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ind w:firstLine="883"/>
        <w:jc w:val="center"/>
        <w:textAlignment w:val="bottom"/>
        <w:rPr>
          <w:rFonts w:ascii="黑体" w:hAnsi="黑体" w:eastAsia="黑体"/>
          <w:b/>
          <w:sz w:val="44"/>
          <w:szCs w:val="44"/>
        </w:rPr>
      </w:pPr>
      <w:bookmarkStart w:id="93" w:name="_GoBack"/>
      <w:bookmarkEnd w:id="93"/>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 xml:space="preserve">服务器磁盘阵列 </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八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8"/>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8"/>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8"/>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8"/>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19</w:t>
      </w:r>
      <w:r>
        <w:rPr>
          <w:rFonts w:ascii="黑体" w:hAnsi="黑体" w:eastAsia="黑体"/>
          <w:sz w:val="22"/>
          <w:szCs w:val="22"/>
        </w:rPr>
        <w:t xml:space="preserve"> -</w:t>
      </w:r>
      <w:r>
        <w:rPr>
          <w:rFonts w:hint="eastAsia" w:ascii="黑体" w:hAnsi="黑体" w:eastAsia="黑体"/>
          <w:sz w:val="22"/>
          <w:szCs w:val="22"/>
        </w:rPr>
        <w:fldChar w:fldCharType="end"/>
      </w:r>
    </w:p>
    <w:p>
      <w:pPr>
        <w:pStyle w:val="38"/>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31</w:t>
      </w:r>
      <w:r>
        <w:rPr>
          <w:rFonts w:ascii="黑体" w:hAnsi="黑体" w:eastAsia="黑体"/>
          <w:sz w:val="22"/>
          <w:szCs w:val="22"/>
        </w:rPr>
        <w:t xml:space="preserve"> -</w:t>
      </w:r>
      <w:r>
        <w:rPr>
          <w:rFonts w:hint="eastAsia" w:ascii="黑体" w:hAnsi="黑体" w:eastAsia="黑体"/>
          <w:sz w:val="22"/>
          <w:szCs w:val="22"/>
        </w:rPr>
        <w:fldChar w:fldCharType="end"/>
      </w:r>
    </w:p>
    <w:p>
      <w:pPr>
        <w:pStyle w:val="38"/>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 xml:space="preserve">34 </w:t>
      </w:r>
      <w:r>
        <w:rPr>
          <w:rFonts w:ascii="黑体" w:hAnsi="黑体" w:eastAsia="黑体"/>
          <w:sz w:val="22"/>
          <w:szCs w:val="22"/>
        </w:rPr>
        <w:t>-</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3"/>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停车场收费系统服务器磁盘阵列</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7"/>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服务器</w:t>
            </w:r>
          </w:p>
        </w:tc>
        <w:tc>
          <w:tcPr>
            <w:tcW w:w="992" w:type="dxa"/>
            <w:vAlign w:val="center"/>
          </w:tcPr>
          <w:p>
            <w:pPr>
              <w:snapToGrid w:val="0"/>
              <w:ind w:firstLine="110" w:firstLineChars="50"/>
              <w:jc w:val="center"/>
              <w:rPr>
                <w:rFonts w:asciiTheme="minorEastAsia" w:hAnsiTheme="minorEastAsia"/>
                <w:sz w:val="22"/>
                <w:szCs w:val="22"/>
              </w:rPr>
            </w:pPr>
            <w:r>
              <w:rPr>
                <w:rFonts w:hint="eastAsia" w:asciiTheme="minorEastAsia" w:hAnsiTheme="minorEastAsia"/>
                <w:sz w:val="22"/>
                <w:szCs w:val="22"/>
              </w:rPr>
              <w:t>2台</w:t>
            </w:r>
          </w:p>
        </w:tc>
        <w:tc>
          <w:tcPr>
            <w:tcW w:w="2078" w:type="dxa"/>
            <w:vAlign w:val="center"/>
          </w:tcPr>
          <w:p>
            <w:pPr>
              <w:pStyle w:val="20"/>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30日</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w:t>
            </w:r>
            <w:r>
              <w:rPr>
                <w:rFonts w:hint="eastAsia" w:asciiTheme="minorEastAsia" w:hAnsiTheme="minorEastAsia"/>
                <w:sz w:val="22"/>
                <w:szCs w:val="22"/>
              </w:rPr>
              <w:t>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磁盘阵列</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1台</w:t>
            </w:r>
          </w:p>
        </w:tc>
        <w:tc>
          <w:tcPr>
            <w:tcW w:w="2078" w:type="dxa"/>
            <w:vAlign w:val="center"/>
          </w:tcPr>
          <w:p>
            <w:pPr>
              <w:pStyle w:val="20"/>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30日</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w:t>
            </w:r>
            <w:r>
              <w:rPr>
                <w:rFonts w:hint="eastAsia" w:asciiTheme="minorEastAsia" w:hAnsiTheme="minorEastAsia"/>
                <w:sz w:val="22"/>
                <w:szCs w:val="22"/>
              </w:rPr>
              <w:t>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IPS</w:t>
            </w:r>
          </w:p>
        </w:tc>
        <w:tc>
          <w:tcPr>
            <w:tcW w:w="992" w:type="dxa"/>
            <w:vAlign w:val="center"/>
          </w:tcPr>
          <w:p>
            <w:pPr>
              <w:snapToGrid w:val="0"/>
              <w:ind w:firstLine="110" w:firstLineChars="50"/>
              <w:jc w:val="center"/>
              <w:rPr>
                <w:rFonts w:asciiTheme="minorEastAsia" w:hAnsiTheme="minorEastAsia"/>
                <w:sz w:val="22"/>
                <w:szCs w:val="22"/>
              </w:rPr>
            </w:pPr>
            <w:r>
              <w:rPr>
                <w:rFonts w:hint="eastAsia" w:asciiTheme="minorEastAsia" w:hAnsiTheme="minorEastAsia"/>
                <w:sz w:val="22"/>
                <w:szCs w:val="22"/>
              </w:rPr>
              <w:t>1台</w:t>
            </w:r>
          </w:p>
        </w:tc>
        <w:tc>
          <w:tcPr>
            <w:tcW w:w="2078" w:type="dxa"/>
            <w:vAlign w:val="center"/>
          </w:tcPr>
          <w:p>
            <w:pPr>
              <w:pStyle w:val="20"/>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30日</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w:t>
            </w:r>
            <w:r>
              <w:rPr>
                <w:rFonts w:hint="eastAsia" w:asciiTheme="minorEastAsia" w:hAnsiTheme="minorEastAsia"/>
                <w:sz w:val="22"/>
                <w:szCs w:val="22"/>
              </w:rPr>
              <w:t>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100"/>
          <w:rFonts w:hint="eastAsia" w:cs="宋体" w:asciiTheme="minorEastAsia" w:hAnsiTheme="minorEastAsia"/>
          <w:sz w:val="22"/>
        </w:rPr>
        <w:t>具有独立法人资格的制造商或代理商，注册资金不少于人民币 100 万元或等值外币(按投标截止日中国人民银行公布的汇率中间价换算)</w:t>
      </w:r>
      <w:r>
        <w:rPr>
          <w:rFonts w:hint="eastAsia" w:cs="Arial" w:asciiTheme="minorEastAsia" w:hAnsiTheme="minorEastAsia"/>
          <w:kern w:val="0"/>
          <w:sz w:val="22"/>
          <w:szCs w:val="22"/>
        </w:rPr>
        <w:t>。需提供营业执照复印件并加盖投标人公章作为证明材料。</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 xml:space="preserve">（3）近年（2016  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 8月 21 日下午14 时 00 分（北京时间）。投标文件在封口处加盖公章，并派专人于2019年8 月 21 日下午14 时 00 分（北京时间）前送至杭州萧山国际机场翔越路综合服务楼园区招标中心，逾期无效；若采用投递方式的，请于2019年 8月21 日上午12时00分（北京时间）前投递至杭州萧山国际机场物业安检楼407室，逾期无效。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投标联系人：楼工            联系电话：0571-83837017</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bCs/>
          <w:sz w:val="22"/>
          <w:szCs w:val="22"/>
        </w:rPr>
        <w:t>招标监督人：孟工            联系电话：0571-83837728</w:t>
      </w:r>
    </w:p>
    <w:p>
      <w:pPr>
        <w:widowControl/>
        <w:adjustRightInd w:val="0"/>
        <w:snapToGrid w:val="0"/>
        <w:spacing w:line="340" w:lineRule="exact"/>
        <w:ind w:firstLine="440" w:firstLineChars="200"/>
        <w:rPr>
          <w:rFonts w:asciiTheme="minorEastAsia" w:hAnsiTheme="minorEastAsia"/>
          <w:bCs/>
          <w:sz w:val="22"/>
          <w:szCs w:val="22"/>
        </w:rPr>
      </w:pPr>
    </w:p>
    <w:p>
      <w:pPr>
        <w:pStyle w:val="53"/>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服务器磁盘阵列</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ascii="宋体" w:hAnsi="宋体"/>
                <w:sz w:val="22"/>
              </w:rPr>
              <w:t>日历天内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asciiTheme="minorEastAsia" w:hAnsiTheme="minorEastAsia"/>
                <w:sz w:val="22"/>
                <w:u w:val="single"/>
              </w:rPr>
              <w:t>GA/T 1323-2016</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 8月 21日上午12时 前，以书面加盖公章的形式通过E-mail或传真提交给招标人（投标联系人:楼工，电话0571-</w:t>
            </w:r>
            <w:r>
              <w:rPr>
                <w:rFonts w:ascii="宋体" w:hAnsi="宋体" w:cs="Calibri"/>
                <w:kern w:val="0"/>
                <w:sz w:val="22"/>
              </w:rPr>
              <w:t>8</w:t>
            </w:r>
            <w:r>
              <w:rPr>
                <w:rFonts w:hint="eastAsia" w:ascii="宋体" w:hAnsi="宋体" w:cs="Calibri"/>
                <w:kern w:val="0"/>
                <w:sz w:val="22"/>
              </w:rPr>
              <w:t>3837017；传真：0571-</w:t>
            </w:r>
            <w:r>
              <w:rPr>
                <w:rFonts w:ascii="宋体" w:hAnsi="宋体" w:cs="Calibri"/>
                <w:kern w:val="0"/>
                <w:sz w:val="22"/>
              </w:rPr>
              <w:t>83837</w:t>
            </w:r>
            <w:r>
              <w:rPr>
                <w:rFonts w:hint="eastAsia" w:ascii="宋体" w:hAnsi="宋体" w:cs="Calibri"/>
                <w:kern w:val="0"/>
                <w:sz w:val="22"/>
              </w:rPr>
              <w:t>727；电子邮箱：11965291@qq.com）投标人必须在规定时间前提出对招标文件的疑问，否则招标人有权拒绝接收和拒绝回答未在截止时间前提出的疑问。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 8 月 21 日下午14 时00 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杭州萧山国际机场服务器磁盘阵列采购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8</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21</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14</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00</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1"/>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color w:val="00000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11806"/>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21980980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10756"/>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19809808"/>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3"/>
      </w:pPr>
      <w:r>
        <w:rPr>
          <w:sz w:val="24"/>
        </w:rPr>
        <w:br w:type="page"/>
      </w:r>
      <w:bookmarkStart w:id="72" w:name="_Toc8673889"/>
      <w:bookmarkStart w:id="73" w:name="_Toc321925454"/>
      <w:r>
        <w:t>第</w:t>
      </w:r>
      <w:r>
        <w:rPr>
          <w:rFonts w:hint="eastAsia"/>
        </w:rPr>
        <w:t>三</w:t>
      </w:r>
      <w:r>
        <w:t xml:space="preserve">章  </w:t>
      </w:r>
      <w:r>
        <w:rPr>
          <w:rFonts w:hint="eastAsia"/>
        </w:rPr>
        <w:t>货物需求一览表及技术规格</w:t>
      </w:r>
      <w:bookmarkEnd w:id="72"/>
    </w:p>
    <w:p>
      <w:pPr>
        <w:widowControl/>
        <w:jc w:val="left"/>
        <w:rPr>
          <w:sz w:val="22"/>
        </w:rPr>
      </w:pPr>
      <w:r>
        <w:rPr>
          <w:rFonts w:hint="eastAsia" w:ascii="宋体" w:hAnsi="宋体" w:cs="Calibri"/>
          <w:b/>
          <w:kern w:val="0"/>
          <w:sz w:val="22"/>
        </w:rPr>
        <w:t>一、采购内容、数量及主要要求</w:t>
      </w:r>
    </w:p>
    <w:p>
      <w:pPr>
        <w:adjustRightInd w:val="0"/>
        <w:snapToGrid w:val="0"/>
        <w:jc w:val="left"/>
        <w:outlineLvl w:val="0"/>
        <w:rPr>
          <w:sz w:val="22"/>
        </w:rPr>
      </w:pPr>
      <w:bookmarkStart w:id="74" w:name="_Toc8673890"/>
      <w:r>
        <w:rPr>
          <w:rFonts w:hint="eastAsia"/>
          <w:sz w:val="22"/>
        </w:rPr>
        <w:t>（一）货物需求一览表</w:t>
      </w:r>
      <w:bookmarkEnd w:id="74"/>
    </w:p>
    <w:tbl>
      <w:tblPr>
        <w:tblStyle w:val="57"/>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34"/>
        <w:gridCol w:w="1419"/>
        <w:gridCol w:w="708"/>
        <w:gridCol w:w="552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454"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序号</w:t>
            </w:r>
          </w:p>
        </w:tc>
        <w:tc>
          <w:tcPr>
            <w:tcW w:w="1134"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货物名称</w:t>
            </w:r>
          </w:p>
        </w:tc>
        <w:tc>
          <w:tcPr>
            <w:tcW w:w="1419"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参考品牌</w:t>
            </w:r>
          </w:p>
        </w:tc>
        <w:tc>
          <w:tcPr>
            <w:tcW w:w="708"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数量</w:t>
            </w:r>
          </w:p>
        </w:tc>
        <w:tc>
          <w:tcPr>
            <w:tcW w:w="5527"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主要配置及要求</w:t>
            </w:r>
          </w:p>
        </w:tc>
        <w:tc>
          <w:tcPr>
            <w:tcW w:w="993"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使用场景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1</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服务器</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联想（Lenovo）、戴尔（DELL）、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或同档次及以上其他品牌</w:t>
            </w: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2台</w:t>
            </w:r>
          </w:p>
        </w:tc>
        <w:tc>
          <w:tcPr>
            <w:tcW w:w="5527" w:type="dxa"/>
            <w:vAlign w:val="center"/>
          </w:tcPr>
          <w:p>
            <w:pPr>
              <w:rPr>
                <w:rFonts w:asciiTheme="minorEastAsia" w:hAnsiTheme="minorEastAsia"/>
                <w:sz w:val="18"/>
                <w:szCs w:val="18"/>
              </w:rPr>
            </w:pPr>
            <w:r>
              <w:rPr>
                <w:rFonts w:asciiTheme="minorEastAsia" w:hAnsiTheme="minorEastAsia"/>
                <w:sz w:val="18"/>
                <w:szCs w:val="18"/>
              </w:rPr>
              <w:t>2</w:t>
            </w:r>
            <w:r>
              <w:rPr>
                <w:rFonts w:hint="eastAsia" w:asciiTheme="minorEastAsia" w:hAnsiTheme="minorEastAsia"/>
                <w:sz w:val="18"/>
                <w:szCs w:val="18"/>
              </w:rPr>
              <w:t>U机架式服务器。</w:t>
            </w:r>
          </w:p>
          <w:p>
            <w:pPr>
              <w:rPr>
                <w:rFonts w:asciiTheme="minorEastAsia" w:hAnsiTheme="minorEastAsia"/>
                <w:sz w:val="18"/>
                <w:szCs w:val="18"/>
              </w:rPr>
            </w:pPr>
            <w:r>
              <w:rPr>
                <w:rFonts w:hint="eastAsia" w:asciiTheme="minorEastAsia" w:hAnsiTheme="minorEastAsia"/>
                <w:sz w:val="18"/>
                <w:szCs w:val="18"/>
              </w:rPr>
              <w:t>Intel C624芯片组，支持Intel至强可扩展处理器家族金牌及铂金处理器产品。</w:t>
            </w:r>
          </w:p>
          <w:p>
            <w:pPr>
              <w:rPr>
                <w:rFonts w:asciiTheme="minorEastAsia" w:hAnsiTheme="minorEastAsia"/>
                <w:sz w:val="18"/>
                <w:szCs w:val="18"/>
              </w:rPr>
            </w:pPr>
            <w:r>
              <w:rPr>
                <w:rFonts w:hint="eastAsia" w:asciiTheme="minorEastAsia" w:hAnsiTheme="minorEastAsia"/>
                <w:sz w:val="18"/>
                <w:szCs w:val="18"/>
              </w:rPr>
              <w:t>最大支持2个Intel至强处理器，可选最大可支持至 28 核处理器。</w:t>
            </w:r>
          </w:p>
          <w:p>
            <w:pPr>
              <w:rPr>
                <w:rFonts w:asciiTheme="minorEastAsia" w:hAnsiTheme="minorEastAsia"/>
                <w:sz w:val="18"/>
                <w:szCs w:val="18"/>
              </w:rPr>
            </w:pPr>
            <w:r>
              <w:rPr>
                <w:rFonts w:hint="eastAsia" w:asciiTheme="minorEastAsia" w:hAnsiTheme="minorEastAsia"/>
                <w:sz w:val="18"/>
                <w:szCs w:val="18"/>
              </w:rPr>
              <w:t xml:space="preserve">本次配置2颗Intel Xeon </w:t>
            </w:r>
            <w:r>
              <w:rPr>
                <w:rFonts w:asciiTheme="minorEastAsia" w:hAnsiTheme="minorEastAsia"/>
                <w:sz w:val="18"/>
                <w:szCs w:val="18"/>
              </w:rPr>
              <w:t>5</w:t>
            </w:r>
            <w:r>
              <w:rPr>
                <w:rFonts w:hint="eastAsia" w:asciiTheme="minorEastAsia" w:hAnsiTheme="minorEastAsia"/>
                <w:sz w:val="18"/>
                <w:szCs w:val="18"/>
              </w:rPr>
              <w:t>1</w:t>
            </w:r>
            <w:r>
              <w:rPr>
                <w:rFonts w:asciiTheme="minorEastAsia" w:hAnsiTheme="minorEastAsia"/>
                <w:sz w:val="18"/>
                <w:szCs w:val="18"/>
              </w:rPr>
              <w:t>17</w:t>
            </w:r>
            <w:r>
              <w:rPr>
                <w:rFonts w:hint="eastAsia" w:asciiTheme="minorEastAsia" w:hAnsiTheme="minorEastAsia"/>
                <w:sz w:val="18"/>
                <w:szCs w:val="18"/>
              </w:rPr>
              <w:t>处理器，主频≥2.</w:t>
            </w:r>
            <w:r>
              <w:rPr>
                <w:rFonts w:asciiTheme="minorEastAsia" w:hAnsiTheme="minorEastAsia"/>
                <w:sz w:val="18"/>
                <w:szCs w:val="18"/>
              </w:rPr>
              <w:t>0</w:t>
            </w:r>
            <w:r>
              <w:rPr>
                <w:rFonts w:hint="eastAsia" w:asciiTheme="minorEastAsia" w:hAnsiTheme="minorEastAsia"/>
                <w:sz w:val="18"/>
                <w:szCs w:val="18"/>
              </w:rPr>
              <w:t>GHz且≥</w:t>
            </w:r>
            <w:r>
              <w:rPr>
                <w:rFonts w:asciiTheme="minorEastAsia" w:hAnsiTheme="minorEastAsia"/>
                <w:sz w:val="18"/>
                <w:szCs w:val="18"/>
              </w:rPr>
              <w:t>14</w:t>
            </w:r>
            <w:r>
              <w:rPr>
                <w:rFonts w:hint="eastAsia" w:asciiTheme="minorEastAsia" w:hAnsiTheme="minorEastAsia"/>
                <w:sz w:val="18"/>
                <w:szCs w:val="18"/>
              </w:rPr>
              <w:t>核。</w:t>
            </w:r>
          </w:p>
          <w:p>
            <w:pPr>
              <w:rPr>
                <w:rFonts w:asciiTheme="minorEastAsia" w:hAnsiTheme="minorEastAsia"/>
                <w:sz w:val="18"/>
                <w:szCs w:val="18"/>
              </w:rPr>
            </w:pPr>
            <w:r>
              <w:rPr>
                <w:rFonts w:asciiTheme="minorEastAsia" w:hAnsiTheme="minorEastAsia"/>
                <w:sz w:val="18"/>
                <w:szCs w:val="18"/>
              </w:rPr>
              <w:t>TruDDR4 DDR4 2666MHz，最大支持≥1.5TB内存扩展或最大支持24根内存插槽</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本次配置</w:t>
            </w:r>
            <w:r>
              <w:rPr>
                <w:rFonts w:asciiTheme="minorEastAsia" w:hAnsiTheme="minorEastAsia"/>
                <w:sz w:val="18"/>
                <w:szCs w:val="18"/>
              </w:rPr>
              <w:t>2</w:t>
            </w:r>
            <w:r>
              <w:rPr>
                <w:rFonts w:hint="eastAsia" w:asciiTheme="minorEastAsia" w:hAnsiTheme="minorEastAsia"/>
                <w:sz w:val="18"/>
                <w:szCs w:val="18"/>
              </w:rPr>
              <w:t>根</w:t>
            </w:r>
            <w:r>
              <w:rPr>
                <w:rFonts w:asciiTheme="minorEastAsia" w:hAnsiTheme="minorEastAsia"/>
                <w:sz w:val="18"/>
                <w:szCs w:val="18"/>
              </w:rPr>
              <w:t>32</w:t>
            </w:r>
            <w:r>
              <w:rPr>
                <w:rFonts w:hint="eastAsia" w:asciiTheme="minorEastAsia" w:hAnsiTheme="minorEastAsia"/>
                <w:sz w:val="18"/>
                <w:szCs w:val="18"/>
              </w:rPr>
              <w:t>GB TruDDR4 2666 MHzRDIMM。</w:t>
            </w:r>
          </w:p>
          <w:p>
            <w:pPr>
              <w:rPr>
                <w:rFonts w:asciiTheme="minorEastAsia" w:hAnsiTheme="minorEastAsia"/>
                <w:sz w:val="18"/>
                <w:szCs w:val="18"/>
              </w:rPr>
            </w:pPr>
            <w:r>
              <w:rPr>
                <w:rFonts w:hint="eastAsia" w:asciiTheme="minorEastAsia" w:hAnsiTheme="minorEastAsia"/>
                <w:sz w:val="18"/>
                <w:szCs w:val="18"/>
              </w:rPr>
              <w:t>最大支持</w:t>
            </w:r>
            <w:r>
              <w:rPr>
                <w:rFonts w:asciiTheme="minorEastAsia" w:hAnsiTheme="minorEastAsia"/>
                <w:sz w:val="18"/>
                <w:szCs w:val="18"/>
              </w:rPr>
              <w:t>26个硬盘扩展，支持前置直连U.2 NVMe SSD硬盘。支持内置两个M.2 且支持RAID 0/1</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本次配置2块</w:t>
            </w:r>
            <w:r>
              <w:rPr>
                <w:rFonts w:asciiTheme="minorEastAsia" w:hAnsiTheme="minorEastAsia"/>
                <w:sz w:val="18"/>
                <w:szCs w:val="18"/>
              </w:rPr>
              <w:t>600G 10K</w:t>
            </w:r>
            <w:r>
              <w:rPr>
                <w:rFonts w:hint="eastAsia" w:asciiTheme="minorEastAsia" w:hAnsiTheme="minorEastAsia"/>
                <w:sz w:val="18"/>
                <w:szCs w:val="18"/>
              </w:rPr>
              <w:t>热插拔2.5寸SAS硬盘</w:t>
            </w:r>
          </w:p>
          <w:p>
            <w:pPr>
              <w:rPr>
                <w:rFonts w:asciiTheme="minorEastAsia" w:hAnsiTheme="minorEastAsia"/>
                <w:sz w:val="18"/>
                <w:szCs w:val="18"/>
              </w:rPr>
            </w:pPr>
            <w:r>
              <w:rPr>
                <w:rFonts w:hint="eastAsia" w:asciiTheme="minorEastAsia" w:hAnsiTheme="minorEastAsia"/>
                <w:sz w:val="18"/>
                <w:szCs w:val="18"/>
              </w:rPr>
              <w:t>本次配置1块RAID阵列卡带</w:t>
            </w:r>
            <w:r>
              <w:rPr>
                <w:rFonts w:asciiTheme="minorEastAsia" w:hAnsiTheme="minorEastAsia"/>
                <w:sz w:val="18"/>
                <w:szCs w:val="18"/>
              </w:rPr>
              <w:t>2</w:t>
            </w:r>
            <w:r>
              <w:rPr>
                <w:rFonts w:hint="eastAsia" w:asciiTheme="minorEastAsia" w:hAnsiTheme="minorEastAsia"/>
                <w:sz w:val="18"/>
                <w:szCs w:val="18"/>
              </w:rPr>
              <w:t>G闪存，支持 0/1/10/5/50 RAID 级别，最大支持 4GB 闪存。</w:t>
            </w:r>
          </w:p>
          <w:p>
            <w:pPr>
              <w:rPr>
                <w:rFonts w:asciiTheme="minorEastAsia" w:hAnsiTheme="minorEastAsia"/>
                <w:sz w:val="18"/>
                <w:szCs w:val="18"/>
              </w:rPr>
            </w:pPr>
            <w:r>
              <w:rPr>
                <w:rFonts w:hint="eastAsia" w:asciiTheme="minorEastAsia" w:hAnsiTheme="minorEastAsia"/>
                <w:sz w:val="18"/>
                <w:szCs w:val="18"/>
              </w:rPr>
              <w:t>本次配置</w:t>
            </w:r>
            <w:r>
              <w:rPr>
                <w:rFonts w:asciiTheme="minorEastAsia" w:hAnsiTheme="minorEastAsia"/>
                <w:sz w:val="18"/>
                <w:szCs w:val="18"/>
              </w:rPr>
              <w:t>1</w:t>
            </w:r>
            <w:r>
              <w:rPr>
                <w:rFonts w:hint="eastAsia" w:asciiTheme="minorEastAsia" w:hAnsiTheme="minorEastAsia"/>
                <w:sz w:val="18"/>
                <w:szCs w:val="18"/>
              </w:rPr>
              <w:t>块</w:t>
            </w:r>
            <w:r>
              <w:rPr>
                <w:rFonts w:asciiTheme="minorEastAsia" w:hAnsiTheme="minorEastAsia"/>
                <w:sz w:val="18"/>
                <w:szCs w:val="18"/>
              </w:rPr>
              <w:t>2</w:t>
            </w:r>
            <w:r>
              <w:rPr>
                <w:rFonts w:hint="eastAsia" w:asciiTheme="minorEastAsia" w:hAnsiTheme="minorEastAsia"/>
                <w:sz w:val="18"/>
                <w:szCs w:val="18"/>
              </w:rPr>
              <w:t>口千兆以太网控制器，1个专用的管理端口，</w:t>
            </w:r>
            <w:r>
              <w:rPr>
                <w:rFonts w:asciiTheme="minorEastAsia" w:hAnsiTheme="minorEastAsia"/>
                <w:sz w:val="18"/>
                <w:szCs w:val="18"/>
              </w:rPr>
              <w:t>1</w:t>
            </w:r>
            <w:r>
              <w:rPr>
                <w:rFonts w:hint="eastAsia" w:asciiTheme="minorEastAsia" w:hAnsiTheme="minorEastAsia"/>
                <w:sz w:val="18"/>
                <w:szCs w:val="18"/>
              </w:rPr>
              <w:t>块双口万1</w:t>
            </w:r>
            <w:r>
              <w:rPr>
                <w:rFonts w:asciiTheme="minorEastAsia" w:hAnsiTheme="minorEastAsia"/>
                <w:sz w:val="18"/>
                <w:szCs w:val="18"/>
              </w:rPr>
              <w:t>6G HBA</w:t>
            </w:r>
            <w:r>
              <w:rPr>
                <w:rFonts w:hint="eastAsia" w:asciiTheme="minorEastAsia" w:hAnsiTheme="minorEastAsia"/>
                <w:sz w:val="18"/>
                <w:szCs w:val="18"/>
              </w:rPr>
              <w:t>卡。</w:t>
            </w:r>
          </w:p>
          <w:p>
            <w:pPr>
              <w:rPr>
                <w:rFonts w:asciiTheme="minorEastAsia" w:hAnsiTheme="minorEastAsia"/>
                <w:sz w:val="18"/>
                <w:szCs w:val="18"/>
              </w:rPr>
            </w:pPr>
            <w:r>
              <w:rPr>
                <w:rFonts w:hint="eastAsia" w:asciiTheme="minorEastAsia" w:hAnsiTheme="minorEastAsia"/>
                <w:sz w:val="18"/>
                <w:szCs w:val="18"/>
              </w:rPr>
              <w:t>实配电源输出功率≥</w:t>
            </w:r>
            <w:r>
              <w:rPr>
                <w:rFonts w:asciiTheme="minorEastAsia" w:hAnsiTheme="minorEastAsia"/>
                <w:sz w:val="18"/>
                <w:szCs w:val="18"/>
              </w:rPr>
              <w:t>75</w:t>
            </w:r>
            <w:r>
              <w:rPr>
                <w:rFonts w:hint="eastAsia" w:asciiTheme="minorEastAsia" w:hAnsiTheme="minorEastAsia"/>
                <w:sz w:val="18"/>
                <w:szCs w:val="18"/>
              </w:rPr>
              <w:t>0W 铂金电源，1+1热插拔冗余电源。</w:t>
            </w:r>
          </w:p>
          <w:p>
            <w:pPr>
              <w:rPr>
                <w:rFonts w:asciiTheme="minorEastAsia" w:hAnsiTheme="minorEastAsia"/>
                <w:sz w:val="18"/>
                <w:szCs w:val="18"/>
              </w:rPr>
            </w:pPr>
            <w:r>
              <w:rPr>
                <w:rFonts w:hint="eastAsia" w:asciiTheme="minorEastAsia" w:hAnsiTheme="minorEastAsia"/>
                <w:sz w:val="18"/>
                <w:szCs w:val="18"/>
              </w:rPr>
              <w:t>支持240V高压直流。</w:t>
            </w:r>
          </w:p>
          <w:p>
            <w:pPr>
              <w:rPr>
                <w:rFonts w:asciiTheme="minorEastAsia" w:hAnsiTheme="minorEastAsia"/>
                <w:sz w:val="18"/>
                <w:szCs w:val="18"/>
              </w:rPr>
            </w:pPr>
            <w:r>
              <w:rPr>
                <w:rFonts w:hint="eastAsia" w:asciiTheme="minorEastAsia" w:hAnsiTheme="minorEastAsia"/>
                <w:sz w:val="18"/>
                <w:szCs w:val="18"/>
              </w:rPr>
              <w:t>支持6个带故障预报警(PFA)功能的冗余热插拔系统风扇。</w:t>
            </w:r>
          </w:p>
          <w:p>
            <w:pPr>
              <w:rPr>
                <w:rFonts w:asciiTheme="minorEastAsia" w:hAnsiTheme="minorEastAsia"/>
                <w:sz w:val="18"/>
                <w:szCs w:val="18"/>
              </w:rPr>
            </w:pPr>
            <w:r>
              <w:rPr>
                <w:rFonts w:hint="eastAsia" w:asciiTheme="minorEastAsia" w:hAnsiTheme="minorEastAsia"/>
                <w:sz w:val="18"/>
                <w:szCs w:val="18"/>
              </w:rPr>
              <w:t>最大支持</w:t>
            </w:r>
            <w:r>
              <w:rPr>
                <w:rFonts w:asciiTheme="minorEastAsia" w:hAnsiTheme="minorEastAsia"/>
                <w:sz w:val="18"/>
                <w:szCs w:val="18"/>
              </w:rPr>
              <w:t>8个PCIe插槽</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支持手机客户端登陆带外管理的解决方案管理软件的USB端口。</w:t>
            </w:r>
          </w:p>
          <w:p>
            <w:pPr>
              <w:rPr>
                <w:rFonts w:asciiTheme="minorEastAsia" w:hAnsiTheme="minorEastAsia"/>
                <w:sz w:val="18"/>
                <w:szCs w:val="18"/>
              </w:rPr>
            </w:pPr>
            <w:r>
              <w:rPr>
                <w:rFonts w:hint="eastAsia" w:asciiTheme="minorEastAsia" w:hAnsiTheme="minorEastAsia"/>
                <w:sz w:val="18"/>
                <w:szCs w:val="18"/>
              </w:rPr>
              <w:t>工作温度</w:t>
            </w:r>
          </w:p>
          <w:p>
            <w:pPr>
              <w:rPr>
                <w:rFonts w:asciiTheme="minorEastAsia" w:hAnsiTheme="minorEastAsia"/>
                <w:sz w:val="18"/>
                <w:szCs w:val="18"/>
              </w:rPr>
            </w:pPr>
            <w:r>
              <w:rPr>
                <w:rFonts w:hint="eastAsia" w:asciiTheme="minorEastAsia" w:hAnsiTheme="minorEastAsia"/>
                <w:sz w:val="18"/>
                <w:szCs w:val="18"/>
              </w:rPr>
              <w:t>支持ASHARE A4标准，工作温度5°C 到45°C。</w:t>
            </w:r>
          </w:p>
          <w:p>
            <w:pPr>
              <w:rPr>
                <w:rFonts w:asciiTheme="minorEastAsia" w:hAnsiTheme="minorEastAsia"/>
                <w:sz w:val="18"/>
                <w:szCs w:val="18"/>
              </w:rPr>
            </w:pPr>
            <w:r>
              <w:rPr>
                <w:rFonts w:hint="eastAsia" w:asciiTheme="minorEastAsia" w:hAnsiTheme="minorEastAsia"/>
                <w:sz w:val="18"/>
                <w:szCs w:val="18"/>
              </w:rPr>
              <w:t>★服务器管理：</w:t>
            </w:r>
          </w:p>
          <w:p>
            <w:pPr>
              <w:rPr>
                <w:rFonts w:asciiTheme="minorEastAsia" w:hAnsiTheme="minorEastAsia"/>
                <w:sz w:val="18"/>
                <w:szCs w:val="18"/>
              </w:rPr>
            </w:pPr>
            <w:r>
              <w:rPr>
                <w:rFonts w:hint="eastAsia" w:asciiTheme="minorEastAsia" w:hAnsiTheme="minorEastAsia"/>
                <w:sz w:val="18"/>
                <w:szCs w:val="18"/>
              </w:rPr>
              <w:t>提供带外管理的解决方案，可管理同品牌服务器、网络与存储。</w:t>
            </w:r>
          </w:p>
          <w:p>
            <w:pPr>
              <w:rPr>
                <w:rFonts w:asciiTheme="minorEastAsia" w:hAnsiTheme="minorEastAsia"/>
                <w:sz w:val="18"/>
                <w:szCs w:val="18"/>
              </w:rPr>
            </w:pPr>
            <w:r>
              <w:rPr>
                <w:rFonts w:hint="eastAsia" w:asciiTheme="minorEastAsia" w:hAnsiTheme="minorEastAsia"/>
                <w:sz w:val="18"/>
                <w:szCs w:val="18"/>
              </w:rPr>
              <w:t>提供有注册商标、软件著作权的管理软件，投标时提供软件著作权证书扫描件。</w:t>
            </w:r>
          </w:p>
          <w:p>
            <w:pPr>
              <w:rPr>
                <w:rFonts w:asciiTheme="minorEastAsia" w:hAnsiTheme="minorEastAsia"/>
                <w:sz w:val="18"/>
                <w:szCs w:val="18"/>
              </w:rPr>
            </w:pPr>
            <w:r>
              <w:rPr>
                <w:rFonts w:hint="eastAsia" w:asciiTheme="minorEastAsia" w:hAnsiTheme="minorEastAsia"/>
                <w:sz w:val="18"/>
                <w:szCs w:val="18"/>
              </w:rPr>
              <w:t>提供硬件集中式资源管理系统，可简化基础结构管理、加快响应和提高硬件系统可用性，可自动发现、清点、跟踪、监控和配置服务器、网络和存储硬件（提供此功能界面截图），提供如下功能：</w:t>
            </w:r>
          </w:p>
          <w:p>
            <w:pP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提供基于模板的服务器的集中配置和管理；无需在虚机/操作系统安装代理，提供手机移动运维功能</w:t>
            </w:r>
            <w:r>
              <w:rPr>
                <w:rFonts w:hint="eastAsia" w:asciiTheme="minorEastAsia" w:hAnsiTheme="minorEastAsia"/>
                <w:sz w:val="18"/>
                <w:szCs w:val="18"/>
              </w:rPr>
              <w:t>。</w:t>
            </w:r>
            <w:r>
              <w:rPr>
                <w:rFonts w:asciiTheme="minorEastAsia" w:hAnsiTheme="minorEastAsia"/>
                <w:sz w:val="18"/>
                <w:szCs w:val="18"/>
              </w:rPr>
              <w:t>（提供手机功能界面截图证明）</w:t>
            </w:r>
          </w:p>
          <w:p>
            <w:pPr>
              <w:rPr>
                <w:rFonts w:asciiTheme="minorEastAsia" w:hAnsiTheme="minorEastAsia"/>
                <w:sz w:val="18"/>
                <w:szCs w:val="18"/>
              </w:rPr>
            </w:pPr>
            <w:r>
              <w:rPr>
                <w:rFonts w:asciiTheme="minorEastAsia" w:hAnsiTheme="minorEastAsia"/>
                <w:sz w:val="18"/>
                <w:szCs w:val="18"/>
              </w:rPr>
              <w:t>2</w:t>
            </w:r>
            <w:r>
              <w:rPr>
                <w:rFonts w:hint="eastAsia" w:asciiTheme="minorEastAsia" w:hAnsiTheme="minorEastAsia"/>
                <w:sz w:val="18"/>
                <w:szCs w:val="18"/>
              </w:rPr>
              <w:t>）该管理软件可实现服务器操作系统批量部署；可管理操作系统映像的存储库以及可同时将操作系统映像部署到多台受管服务器（提供此功能界面截图）。</w:t>
            </w:r>
          </w:p>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）移动APP管理功能：提供支持Android和 iOS的移动APP，通过APP可以集中监控查看设备的状态、审计日志和报警信息，以及执行设备电源开关动作等。必须提供移动APP下载网址。</w:t>
            </w:r>
          </w:p>
          <w:p>
            <w:pPr>
              <w:rPr>
                <w:rFonts w:asciiTheme="minorEastAsia" w:hAnsiTheme="minorEastAsia"/>
                <w:sz w:val="18"/>
                <w:szCs w:val="18"/>
              </w:rPr>
            </w:pPr>
            <w:r>
              <w:rPr>
                <w:rFonts w:hint="eastAsia" w:asciiTheme="minorEastAsia" w:hAnsiTheme="minorEastAsia"/>
                <w:sz w:val="18"/>
                <w:szCs w:val="18"/>
              </w:rPr>
              <w:t>故障定位：</w:t>
            </w:r>
          </w:p>
          <w:p>
            <w:pPr>
              <w:rPr>
                <w:rFonts w:asciiTheme="minorEastAsia" w:hAnsiTheme="minorEastAsia"/>
                <w:sz w:val="18"/>
                <w:szCs w:val="18"/>
              </w:rPr>
            </w:pPr>
            <w:r>
              <w:rPr>
                <w:rFonts w:hint="eastAsia" w:asciiTheme="minorEastAsia" w:hAnsiTheme="minorEastAsia"/>
                <w:sz w:val="18"/>
                <w:szCs w:val="18"/>
              </w:rPr>
              <w:t>支持针对处理器，内存，内部存储，风扇，电源，阵列卡等关键部件的故障预报警机制。</w:t>
            </w:r>
          </w:p>
          <w:p>
            <w:pPr>
              <w:rPr>
                <w:rFonts w:asciiTheme="minorEastAsia" w:hAnsiTheme="minorEastAsia"/>
                <w:sz w:val="18"/>
                <w:szCs w:val="18"/>
              </w:rPr>
            </w:pPr>
            <w:r>
              <w:rPr>
                <w:rFonts w:hint="eastAsia" w:asciiTheme="minorEastAsia" w:hAnsiTheme="minorEastAsia"/>
                <w:sz w:val="18"/>
                <w:szCs w:val="18"/>
              </w:rPr>
              <w:t>支持针对处理器，内存插槽，风扇，电源，CPU板的LED故障报警指示灯。</w:t>
            </w:r>
          </w:p>
          <w:p>
            <w:pPr>
              <w:rPr>
                <w:rFonts w:asciiTheme="minorEastAsia" w:hAnsiTheme="minorEastAsia"/>
                <w:sz w:val="18"/>
                <w:szCs w:val="18"/>
              </w:rPr>
            </w:pPr>
            <w:r>
              <w:rPr>
                <w:rFonts w:hint="eastAsia" w:asciiTheme="minorEastAsia" w:hAnsiTheme="minorEastAsia"/>
                <w:sz w:val="18"/>
                <w:szCs w:val="18"/>
              </w:rPr>
              <w:t>★保修和服务：</w:t>
            </w:r>
          </w:p>
          <w:p>
            <w:pPr>
              <w:rPr>
                <w:rFonts w:asciiTheme="minorEastAsia" w:hAnsiTheme="minorEastAsia"/>
                <w:sz w:val="18"/>
                <w:szCs w:val="18"/>
              </w:rPr>
            </w:pPr>
            <w:r>
              <w:rPr>
                <w:rFonts w:hint="eastAsia" w:asciiTheme="minorEastAsia" w:hAnsiTheme="minorEastAsia"/>
                <w:sz w:val="18"/>
                <w:szCs w:val="18"/>
              </w:rPr>
              <w:t>提供3年原厂上门保修服务，7×24小时，当日4小时上门原厂售后维护服务，免费上门检测诊断，免费更换部件；为保证设备的可靠性服务，要求设备原包装到用户现场开封,。投标时提供原厂商出具的针对本项目的质保函原件。</w:t>
            </w:r>
          </w:p>
          <w:p>
            <w:pPr>
              <w:rPr>
                <w:rFonts w:asciiTheme="minorEastAsia" w:hAnsiTheme="minorEastAsia"/>
                <w:sz w:val="18"/>
                <w:szCs w:val="18"/>
              </w:rPr>
            </w:pPr>
            <w:r>
              <w:rPr>
                <w:rFonts w:hint="eastAsia" w:asciiTheme="minorEastAsia" w:hAnsiTheme="minorEastAsia"/>
                <w:sz w:val="18"/>
                <w:szCs w:val="18"/>
              </w:rPr>
              <w:t>★可靠性</w:t>
            </w:r>
          </w:p>
          <w:p>
            <w:pPr>
              <w:rPr>
                <w:rFonts w:asciiTheme="minorEastAsia" w:hAnsiTheme="minorEastAsia"/>
                <w:sz w:val="18"/>
                <w:szCs w:val="18"/>
              </w:rPr>
            </w:pPr>
            <w:r>
              <w:rPr>
                <w:rFonts w:hint="eastAsia" w:asciiTheme="minorEastAsia" w:hAnsiTheme="minorEastAsia"/>
                <w:sz w:val="18"/>
                <w:szCs w:val="18"/>
              </w:rPr>
              <w:t>满足99.999%的高可靠性，所投品牌服务器需达到全年4小时以上的非计划性宕机时间小于6分钟（需提供第三方证明材料）。</w:t>
            </w:r>
          </w:p>
          <w:p>
            <w:pPr>
              <w:rPr>
                <w:rFonts w:asciiTheme="minorEastAsia" w:hAnsiTheme="minorEastAsia"/>
                <w:sz w:val="18"/>
                <w:szCs w:val="18"/>
              </w:rPr>
            </w:pPr>
            <w:r>
              <w:rPr>
                <w:rFonts w:hint="eastAsia" w:asciiTheme="minorEastAsia" w:hAnsiTheme="minorEastAsia"/>
                <w:sz w:val="18"/>
                <w:szCs w:val="18"/>
              </w:rPr>
              <w:t>★认证</w:t>
            </w:r>
          </w:p>
          <w:p>
            <w:pPr>
              <w:rPr>
                <w:rFonts w:asciiTheme="minorEastAsia" w:hAnsiTheme="minorEastAsia"/>
                <w:sz w:val="18"/>
                <w:szCs w:val="18"/>
              </w:rPr>
            </w:pPr>
            <w:r>
              <w:rPr>
                <w:rFonts w:hint="eastAsia" w:asciiTheme="minorEastAsia" w:hAnsiTheme="minorEastAsia"/>
                <w:sz w:val="18"/>
                <w:szCs w:val="18"/>
              </w:rPr>
              <w:t>中国环境标志产品认证证书，环境标志产品政府采购清单，3C认证，提供</w:t>
            </w:r>
            <w:r>
              <w:rPr>
                <w:rFonts w:asciiTheme="minorEastAsia" w:hAnsiTheme="minorEastAsia"/>
                <w:sz w:val="18"/>
                <w:szCs w:val="18"/>
              </w:rPr>
              <w:t>IDC 2016年全年中国服务器市场总份额证明。</w:t>
            </w:r>
          </w:p>
          <w:p>
            <w:pPr>
              <w:rPr>
                <w:rFonts w:asciiTheme="minorEastAsia" w:hAnsiTheme="minorEastAsia"/>
                <w:sz w:val="18"/>
                <w:szCs w:val="18"/>
              </w:rPr>
            </w:pPr>
            <w:r>
              <w:rPr>
                <w:rFonts w:hint="eastAsia" w:asciiTheme="minorEastAsia" w:hAnsiTheme="minorEastAsia"/>
                <w:sz w:val="18"/>
                <w:szCs w:val="18"/>
              </w:rPr>
              <w:t>★相关证明</w:t>
            </w:r>
          </w:p>
          <w:p>
            <w:pPr>
              <w:rPr>
                <w:rFonts w:asciiTheme="minorEastAsia" w:hAnsiTheme="minorEastAsia"/>
                <w:sz w:val="18"/>
                <w:szCs w:val="18"/>
              </w:rPr>
            </w:pPr>
            <w:r>
              <w:rPr>
                <w:rFonts w:hint="eastAsia" w:asciiTheme="minorEastAsia" w:hAnsiTheme="minorEastAsia"/>
                <w:sz w:val="18"/>
                <w:szCs w:val="18"/>
              </w:rPr>
              <w:t>投标时提供针对本项目设备厂商盖章的国产证明文件，设备厂家具备信息安全服务一级资质。</w:t>
            </w:r>
          </w:p>
          <w:p>
            <w:pPr>
              <w:rPr>
                <w:rFonts w:asciiTheme="minorEastAsia" w:hAnsiTheme="minorEastAsia"/>
                <w:sz w:val="18"/>
                <w:szCs w:val="18"/>
              </w:rPr>
            </w:pPr>
            <w:r>
              <w:rPr>
                <w:rFonts w:hint="eastAsia" w:asciiTheme="minorEastAsia" w:hAnsiTheme="minorEastAsia"/>
                <w:sz w:val="18"/>
                <w:szCs w:val="18"/>
              </w:rPr>
              <w:t>★操作系统</w:t>
            </w:r>
          </w:p>
          <w:p>
            <w:pPr>
              <w:rPr>
                <w:rFonts w:asciiTheme="minorEastAsia" w:hAnsiTheme="minorEastAsia"/>
                <w:sz w:val="18"/>
                <w:szCs w:val="18"/>
              </w:rPr>
            </w:pPr>
            <w:r>
              <w:rPr>
                <w:rFonts w:asciiTheme="minorEastAsia" w:hAnsiTheme="minorEastAsia"/>
                <w:sz w:val="18"/>
                <w:szCs w:val="18"/>
              </w:rPr>
              <w:t>W</w:t>
            </w:r>
            <w:r>
              <w:rPr>
                <w:rFonts w:hint="eastAsia" w:asciiTheme="minorEastAsia" w:hAnsiTheme="minorEastAsia"/>
                <w:sz w:val="18"/>
                <w:szCs w:val="18"/>
              </w:rPr>
              <w:t>indowsserver</w:t>
            </w:r>
            <w:r>
              <w:rPr>
                <w:rFonts w:asciiTheme="minorEastAsia" w:hAnsiTheme="minorEastAsia"/>
                <w:sz w:val="18"/>
                <w:szCs w:val="18"/>
              </w:rPr>
              <w:t xml:space="preserve"> 2016</w:t>
            </w:r>
            <w:r>
              <w:rPr>
                <w:rFonts w:hint="eastAsia" w:asciiTheme="minorEastAsia" w:hAnsiTheme="minorEastAsia"/>
                <w:sz w:val="18"/>
                <w:szCs w:val="18"/>
              </w:rPr>
              <w:t>正版操作系统。</w:t>
            </w:r>
          </w:p>
          <w:p>
            <w:pPr>
              <w:rPr>
                <w:rFonts w:asciiTheme="minorEastAsia" w:hAnsiTheme="minorEastAsia"/>
                <w:sz w:val="18"/>
                <w:szCs w:val="18"/>
              </w:rPr>
            </w:pPr>
            <w:r>
              <w:rPr>
                <w:rFonts w:hint="eastAsia"/>
                <w:sz w:val="18"/>
                <w:szCs w:val="18"/>
              </w:rPr>
              <w:t>★</w:t>
            </w:r>
            <w:r>
              <w:rPr>
                <w:rFonts w:hint="eastAsia" w:asciiTheme="minorEastAsia" w:hAnsiTheme="minorEastAsia"/>
                <w:sz w:val="18"/>
                <w:szCs w:val="18"/>
              </w:rPr>
              <w:t>提供3年原厂上门保修服务，7×24小时，当日4小时上门原厂售后维护服务，免费上门检测诊断，免费更换部件；为保证设备的可靠性服务，要求设备原包装到用户现场开封,。投标时提供原厂商出具的针对本项目的质保函原件。</w:t>
            </w:r>
          </w:p>
          <w:p>
            <w:pPr>
              <w:rPr>
                <w:rFonts w:asciiTheme="minorEastAsia" w:hAnsiTheme="minorEastAsia"/>
                <w:sz w:val="18"/>
                <w:szCs w:val="18"/>
              </w:rPr>
            </w:pPr>
            <w:r>
              <w:rPr>
                <w:rFonts w:hint="eastAsia"/>
                <w:sz w:val="18"/>
                <w:szCs w:val="18"/>
              </w:rPr>
              <w:t>★负责完成收费系统应用软件的安装。</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机房使用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2</w:t>
            </w:r>
          </w:p>
        </w:tc>
        <w:tc>
          <w:tcPr>
            <w:tcW w:w="1134" w:type="dxa"/>
            <w:vAlign w:val="center"/>
          </w:tcPr>
          <w:p>
            <w:pPr>
              <w:widowControl/>
              <w:rPr>
                <w:rFonts w:ascii="宋体" w:hAnsi="宋体" w:cs="宋体"/>
                <w:bCs/>
                <w:kern w:val="0"/>
                <w:sz w:val="18"/>
                <w:szCs w:val="18"/>
              </w:rPr>
            </w:pPr>
            <w:r>
              <w:rPr>
                <w:rFonts w:hint="eastAsia"/>
                <w:sz w:val="18"/>
                <w:szCs w:val="18"/>
              </w:rPr>
              <w:t>磁盘阵列存储设备</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联想（Lenovo）、戴尔（DELL）、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或同档次及以上其他品牌</w:t>
            </w: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vAlign w:val="center"/>
          </w:tcPr>
          <w:p>
            <w:pPr>
              <w:rPr>
                <w:rFonts w:asciiTheme="minorEastAsia" w:hAnsiTheme="minorEastAsia"/>
                <w:sz w:val="18"/>
                <w:szCs w:val="18"/>
              </w:rPr>
            </w:pPr>
            <w:r>
              <w:rPr>
                <w:rFonts w:hint="eastAsia"/>
                <w:sz w:val="18"/>
                <w:szCs w:val="18"/>
              </w:rPr>
              <w:t>★为保证兼容性要求与服务器统一品牌。</w:t>
            </w:r>
          </w:p>
          <w:p>
            <w:pPr>
              <w:rPr>
                <w:rFonts w:asciiTheme="minorEastAsia" w:hAnsiTheme="minorEastAsia"/>
                <w:sz w:val="18"/>
                <w:szCs w:val="18"/>
              </w:rPr>
            </w:pPr>
            <w:r>
              <w:rPr>
                <w:rFonts w:hint="eastAsia" w:asciiTheme="minorEastAsia" w:hAnsiTheme="minorEastAsia"/>
                <w:sz w:val="18"/>
                <w:szCs w:val="18"/>
              </w:rPr>
              <w:t>一体化存储设备，模块化体系结构。</w:t>
            </w:r>
          </w:p>
          <w:p>
            <w:pPr>
              <w:rPr>
                <w:rFonts w:asciiTheme="minorEastAsia" w:hAnsiTheme="minorEastAsia"/>
                <w:sz w:val="18"/>
                <w:szCs w:val="18"/>
              </w:rPr>
            </w:pPr>
            <w:r>
              <w:rPr>
                <w:rFonts w:hint="eastAsia" w:asciiTheme="minorEastAsia" w:hAnsiTheme="minorEastAsia"/>
                <w:sz w:val="18"/>
                <w:szCs w:val="18"/>
              </w:rPr>
              <w:t>完全的硬件冗余：处理器、缓存、电源、风扇、适配卡、总线等都提供冗余，并保证在某硬件出问题时，能够进行自动切换，不出现单点故障，所有部件支持热插拔，包括控制器、电源、风扇、接口模块、硬盘等。</w:t>
            </w:r>
          </w:p>
          <w:p>
            <w:pPr>
              <w:rPr>
                <w:rFonts w:asciiTheme="minorEastAsia" w:hAnsiTheme="minorEastAsia"/>
                <w:sz w:val="18"/>
                <w:szCs w:val="18"/>
              </w:rPr>
            </w:pPr>
            <w:r>
              <w:rPr>
                <w:rFonts w:hint="eastAsia" w:asciiTheme="minorEastAsia" w:hAnsiTheme="minorEastAsia"/>
                <w:sz w:val="18"/>
                <w:szCs w:val="18"/>
              </w:rPr>
              <w:t>★配置两个存储控制器，采用</w:t>
            </w:r>
            <w:r>
              <w:rPr>
                <w:rFonts w:asciiTheme="minorEastAsia" w:hAnsiTheme="minorEastAsia"/>
                <w:sz w:val="18"/>
                <w:szCs w:val="18"/>
              </w:rPr>
              <w:t>Active-Active存取模式，实现冗余</w:t>
            </w:r>
          </w:p>
          <w:p>
            <w:pPr>
              <w:rPr>
                <w:rFonts w:asciiTheme="minorEastAsia" w:hAnsiTheme="minorEastAsia"/>
                <w:sz w:val="18"/>
                <w:szCs w:val="18"/>
              </w:rPr>
            </w:pPr>
            <w:r>
              <w:rPr>
                <w:rFonts w:hint="eastAsia" w:cs="宋体" w:asciiTheme="minorEastAsia" w:hAnsiTheme="minorEastAsia"/>
                <w:bCs/>
                <w:sz w:val="18"/>
                <w:szCs w:val="18"/>
              </w:rPr>
              <w:t>本项目要求配置</w:t>
            </w:r>
            <w:r>
              <w:rPr>
                <w:rFonts w:hint="eastAsia" w:cs="Arial" w:asciiTheme="minorEastAsia" w:hAnsiTheme="minorEastAsia"/>
                <w:sz w:val="18"/>
                <w:szCs w:val="18"/>
              </w:rPr>
              <w:t>≥</w:t>
            </w:r>
            <w:r>
              <w:rPr>
                <w:rFonts w:hint="eastAsia" w:cs="宋体" w:asciiTheme="minorEastAsia" w:hAnsiTheme="minorEastAsia"/>
                <w:bCs/>
                <w:sz w:val="18"/>
                <w:szCs w:val="18"/>
              </w:rPr>
              <w:t>16</w:t>
            </w:r>
            <w:r>
              <w:rPr>
                <w:rFonts w:cs="宋体" w:asciiTheme="minorEastAsia" w:hAnsiTheme="minorEastAsia"/>
                <w:bCs/>
                <w:sz w:val="18"/>
                <w:szCs w:val="18"/>
              </w:rPr>
              <w:t>GB</w:t>
            </w:r>
            <w:r>
              <w:rPr>
                <w:rFonts w:hint="eastAsia" w:cs="宋体" w:asciiTheme="minorEastAsia" w:hAnsiTheme="minorEastAsia"/>
                <w:bCs/>
                <w:sz w:val="18"/>
                <w:szCs w:val="18"/>
              </w:rPr>
              <w:t>系统缓存</w:t>
            </w:r>
            <w:r>
              <w:rPr>
                <w:rFonts w:hint="eastAsia" w:cs="Arial" w:asciiTheme="minorEastAsia" w:hAnsiTheme="minorEastAsia"/>
                <w:sz w:val="18"/>
                <w:szCs w:val="18"/>
              </w:rPr>
              <w:t>，系统缓存包含</w:t>
            </w:r>
            <w:r>
              <w:rPr>
                <w:rFonts w:hint="eastAsia" w:cs="宋体" w:asciiTheme="minorEastAsia" w:hAnsiTheme="minorEastAsia"/>
                <w:bCs/>
                <w:sz w:val="18"/>
                <w:szCs w:val="18"/>
              </w:rPr>
              <w:t>相互独立的</w:t>
            </w:r>
            <w:r>
              <w:rPr>
                <w:rFonts w:hint="eastAsia" w:cs="Arial" w:asciiTheme="minorEastAsia" w:hAnsiTheme="minorEastAsia"/>
                <w:sz w:val="18"/>
                <w:szCs w:val="18"/>
              </w:rPr>
              <w:t>数据缓存和控制缓存。</w:t>
            </w:r>
          </w:p>
          <w:p>
            <w:pPr>
              <w:rPr>
                <w:rFonts w:asciiTheme="minorEastAsia" w:hAnsiTheme="minorEastAsia"/>
                <w:sz w:val="18"/>
                <w:szCs w:val="18"/>
              </w:rPr>
            </w:pPr>
            <w:r>
              <w:rPr>
                <w:rFonts w:hint="eastAsia" w:asciiTheme="minorEastAsia" w:hAnsiTheme="minorEastAsia"/>
                <w:sz w:val="18"/>
                <w:szCs w:val="18"/>
              </w:rPr>
              <w:t>★本次配置必须保证高性能1.</w:t>
            </w:r>
            <w:r>
              <w:rPr>
                <w:rFonts w:asciiTheme="minorEastAsia" w:hAnsiTheme="minorEastAsia"/>
                <w:sz w:val="18"/>
                <w:szCs w:val="18"/>
              </w:rPr>
              <w:t>2T SAS</w:t>
            </w:r>
            <w:r>
              <w:rPr>
                <w:rFonts w:hint="eastAsia" w:asciiTheme="minorEastAsia" w:hAnsiTheme="minorEastAsia"/>
                <w:sz w:val="18"/>
                <w:szCs w:val="18"/>
              </w:rPr>
              <w:t>硬盘</w:t>
            </w:r>
            <w:r>
              <w:rPr>
                <w:rFonts w:asciiTheme="minorEastAsia" w:hAnsiTheme="minorEastAsia"/>
                <w:sz w:val="18"/>
                <w:szCs w:val="18"/>
              </w:rPr>
              <w:t>,5块</w:t>
            </w:r>
            <w:r>
              <w:rPr>
                <w:rFonts w:hint="eastAsia" w:asciiTheme="minorEastAsia" w:hAnsiTheme="minorEastAsia"/>
                <w:sz w:val="18"/>
                <w:szCs w:val="18"/>
              </w:rPr>
              <w:t>。</w:t>
            </w:r>
          </w:p>
          <w:p>
            <w:pPr>
              <w:spacing w:after="120" w:line="276" w:lineRule="auto"/>
              <w:rPr>
                <w:rFonts w:cs="宋体" w:asciiTheme="minorEastAsia" w:hAnsiTheme="minorEastAsia"/>
                <w:bCs/>
                <w:sz w:val="18"/>
                <w:szCs w:val="18"/>
              </w:rPr>
            </w:pPr>
            <w:r>
              <w:rPr>
                <w:rFonts w:hint="eastAsia" w:cs="宋体" w:asciiTheme="minorEastAsia" w:hAnsiTheme="minorEastAsia"/>
                <w:bCs/>
                <w:sz w:val="18"/>
                <w:szCs w:val="18"/>
              </w:rPr>
              <w:t>标配支持SSD</w:t>
            </w:r>
            <w:r>
              <w:rPr>
                <w:rFonts w:cs="宋体" w:asciiTheme="minorEastAsia" w:hAnsiTheme="minorEastAsia"/>
                <w:bCs/>
                <w:sz w:val="18"/>
                <w:szCs w:val="18"/>
              </w:rPr>
              <w:t>读缓存扩展功能，最大</w:t>
            </w:r>
            <w:r>
              <w:rPr>
                <w:rFonts w:hint="eastAsia" w:cs="宋体" w:asciiTheme="minorEastAsia" w:hAnsiTheme="minorEastAsia"/>
                <w:bCs/>
                <w:sz w:val="18"/>
                <w:szCs w:val="18"/>
              </w:rPr>
              <w:t>32TB以上的SSD 缓存。</w:t>
            </w:r>
          </w:p>
          <w:p>
            <w:pPr>
              <w:spacing w:after="120" w:line="276" w:lineRule="auto"/>
              <w:rPr>
                <w:rFonts w:asciiTheme="minorEastAsia" w:hAnsiTheme="minorEastAsia"/>
                <w:sz w:val="18"/>
                <w:szCs w:val="18"/>
              </w:rPr>
            </w:pPr>
            <w:r>
              <w:rPr>
                <w:rFonts w:hint="eastAsia" w:cs="宋体" w:asciiTheme="minorEastAsia" w:hAnsiTheme="minorEastAsia"/>
                <w:bCs/>
                <w:sz w:val="18"/>
                <w:szCs w:val="18"/>
              </w:rPr>
              <w:t>配置中文图形化存储管理软件。对磁盘阵列的各项指标进行管理、调</w:t>
            </w:r>
            <w:r>
              <w:rPr>
                <w:rFonts w:hint="eastAsia" w:asciiTheme="minorEastAsia" w:hAnsiTheme="minorEastAsia"/>
                <w:sz w:val="18"/>
                <w:szCs w:val="18"/>
              </w:rPr>
              <w:t>整和监测。</w:t>
            </w:r>
          </w:p>
          <w:p>
            <w:pPr>
              <w:spacing w:after="120" w:line="276" w:lineRule="auto"/>
              <w:rPr>
                <w:rFonts w:asciiTheme="minorEastAsia" w:hAnsiTheme="minorEastAsia"/>
                <w:sz w:val="18"/>
                <w:szCs w:val="18"/>
              </w:rPr>
            </w:pPr>
            <w:r>
              <w:rPr>
                <w:rFonts w:hint="eastAsia" w:asciiTheme="minorEastAsia" w:hAnsiTheme="minorEastAsia"/>
                <w:sz w:val="18"/>
                <w:szCs w:val="18"/>
              </w:rPr>
              <w:t>支持</w:t>
            </w:r>
            <w:r>
              <w:rPr>
                <w:rFonts w:asciiTheme="minorEastAsia" w:hAnsiTheme="minorEastAsia"/>
                <w:sz w:val="18"/>
                <w:szCs w:val="18"/>
              </w:rPr>
              <w:t>SSD盘的智能二级缓存加速技术，可以将SAS、NL-SAS上的热点数据自动缓存至SDD盘，实现热点数据的加速。</w:t>
            </w:r>
          </w:p>
          <w:p>
            <w:pPr>
              <w:spacing w:after="120" w:line="276" w:lineRule="auto"/>
              <w:rPr>
                <w:rFonts w:asciiTheme="minorEastAsia" w:hAnsiTheme="minorEastAsia"/>
                <w:sz w:val="18"/>
                <w:szCs w:val="18"/>
              </w:rPr>
            </w:pPr>
            <w:r>
              <w:rPr>
                <w:rFonts w:hint="eastAsia"/>
                <w:sz w:val="18"/>
                <w:szCs w:val="18"/>
              </w:rPr>
              <w:t>★</w:t>
            </w:r>
            <w:r>
              <w:rPr>
                <w:rFonts w:hint="eastAsia" w:asciiTheme="minorEastAsia" w:hAnsiTheme="minorEastAsia"/>
                <w:sz w:val="18"/>
                <w:szCs w:val="18"/>
              </w:rPr>
              <w:t>3年原厂保修，7x24小时热线电话支持，必要时的现场支持以及故障部件更换服务。</w:t>
            </w:r>
          </w:p>
          <w:p>
            <w:pPr>
              <w:spacing w:after="120" w:line="276" w:lineRule="auto"/>
              <w:rPr>
                <w:rFonts w:cs="Arial" w:asciiTheme="minorEastAsia" w:hAnsiTheme="minorEastAsia"/>
                <w:sz w:val="18"/>
                <w:szCs w:val="18"/>
              </w:rPr>
            </w:pPr>
            <w:r>
              <w:rPr>
                <w:rFonts w:hint="eastAsia"/>
                <w:sz w:val="18"/>
                <w:szCs w:val="18"/>
              </w:rPr>
              <w:t>★负责完成收费系统原有的数据库迁移。</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机房使用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3</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IPS入侵防御系统</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H3C或同档次及以上其他品牌</w:t>
            </w: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vAlign w:val="center"/>
          </w:tcPr>
          <w:p>
            <w:pPr>
              <w:spacing w:after="120" w:line="276" w:lineRule="auto"/>
              <w:rPr>
                <w:rFonts w:cs="宋体" w:asciiTheme="minorEastAsia" w:hAnsiTheme="minorEastAsia"/>
                <w:bCs/>
                <w:sz w:val="18"/>
                <w:szCs w:val="18"/>
              </w:rPr>
            </w:pPr>
            <w:r>
              <w:rPr>
                <w:rFonts w:hint="eastAsia" w:cs="宋体" w:asciiTheme="minorEastAsia" w:hAnsiTheme="minorEastAsia"/>
                <w:bCs/>
                <w:sz w:val="18"/>
                <w:szCs w:val="18"/>
              </w:rPr>
              <w:t>通过对流经该关键路径上的网络数据流进行</w:t>
            </w:r>
            <w:r>
              <w:rPr>
                <w:rFonts w:cs="宋体" w:asciiTheme="minorEastAsia" w:hAnsiTheme="minorEastAsia"/>
                <w:bCs/>
                <w:sz w:val="18"/>
                <w:szCs w:val="18"/>
              </w:rPr>
              <w:t xml:space="preserve"> 4 </w:t>
            </w:r>
            <w:r>
              <w:rPr>
                <w:rFonts w:hint="eastAsia" w:cs="宋体" w:asciiTheme="minorEastAsia" w:hAnsiTheme="minorEastAsia"/>
                <w:bCs/>
                <w:sz w:val="18"/>
                <w:szCs w:val="18"/>
              </w:rPr>
              <w:t>到</w:t>
            </w:r>
            <w:r>
              <w:rPr>
                <w:rFonts w:cs="宋体" w:asciiTheme="minorEastAsia" w:hAnsiTheme="minorEastAsia"/>
                <w:bCs/>
                <w:sz w:val="18"/>
                <w:szCs w:val="18"/>
              </w:rPr>
              <w:t xml:space="preserve"> 7 </w:t>
            </w:r>
            <w:r>
              <w:rPr>
                <w:rFonts w:hint="eastAsia" w:cs="宋体" w:asciiTheme="minorEastAsia" w:hAnsiTheme="minorEastAsia"/>
                <w:bCs/>
                <w:sz w:val="18"/>
                <w:szCs w:val="18"/>
              </w:rPr>
              <w:t>层的深度分析，能精确、实时地识别并阻断或限制黑客、蠕虫、病毒、木马、</w:t>
            </w:r>
            <w:r>
              <w:rPr>
                <w:rFonts w:cs="宋体" w:asciiTheme="minorEastAsia" w:hAnsiTheme="minorEastAsia"/>
                <w:bCs/>
                <w:sz w:val="18"/>
                <w:szCs w:val="18"/>
              </w:rPr>
              <w:t>DoS/DDoS</w:t>
            </w:r>
            <w:r>
              <w:rPr>
                <w:rFonts w:hint="eastAsia" w:cs="宋体" w:asciiTheme="minorEastAsia" w:hAnsiTheme="minorEastAsia"/>
                <w:bCs/>
                <w:sz w:val="18"/>
                <w:szCs w:val="18"/>
              </w:rPr>
              <w:t>、扫描、间谍软件、协议异常、网络钓鱼、</w:t>
            </w:r>
            <w:r>
              <w:rPr>
                <w:rFonts w:cs="宋体" w:asciiTheme="minorEastAsia" w:hAnsiTheme="minorEastAsia"/>
                <w:bCs/>
                <w:sz w:val="18"/>
                <w:szCs w:val="18"/>
              </w:rPr>
              <w:t>P2P</w:t>
            </w:r>
            <w:r>
              <w:rPr>
                <w:rFonts w:hint="eastAsia" w:cs="宋体" w:asciiTheme="minorEastAsia" w:hAnsiTheme="minorEastAsia"/>
                <w:bCs/>
                <w:sz w:val="18"/>
                <w:szCs w:val="18"/>
              </w:rPr>
              <w:t>、</w:t>
            </w:r>
            <w:r>
              <w:rPr>
                <w:rFonts w:cs="宋体" w:asciiTheme="minorEastAsia" w:hAnsiTheme="minorEastAsia"/>
                <w:bCs/>
                <w:sz w:val="18"/>
                <w:szCs w:val="18"/>
              </w:rPr>
              <w:t>IM</w:t>
            </w:r>
            <w:r>
              <w:rPr>
                <w:rFonts w:hint="eastAsia" w:cs="宋体" w:asciiTheme="minorEastAsia" w:hAnsiTheme="minorEastAsia"/>
                <w:bCs/>
                <w:sz w:val="18"/>
                <w:szCs w:val="18"/>
              </w:rPr>
              <w:t>、网游等网络攻击或网络滥用，具有强大、实用的带宽管理和</w:t>
            </w:r>
            <w:r>
              <w:rPr>
                <w:rFonts w:cs="宋体" w:asciiTheme="minorEastAsia" w:hAnsiTheme="minorEastAsia"/>
                <w:bCs/>
                <w:sz w:val="18"/>
                <w:szCs w:val="18"/>
              </w:rPr>
              <w:t xml:space="preserve"> URL </w:t>
            </w:r>
            <w:r>
              <w:rPr>
                <w:rFonts w:hint="eastAsia" w:cs="宋体" w:asciiTheme="minorEastAsia" w:hAnsiTheme="minorEastAsia"/>
                <w:bCs/>
                <w:sz w:val="18"/>
                <w:szCs w:val="18"/>
              </w:rPr>
              <w:t>过滤功能。采用</w:t>
            </w:r>
            <w:r>
              <w:rPr>
                <w:rFonts w:cs="宋体" w:asciiTheme="minorEastAsia" w:hAnsiTheme="minorEastAsia"/>
                <w:bCs/>
                <w:sz w:val="18"/>
                <w:szCs w:val="18"/>
              </w:rPr>
              <w:t xml:space="preserve"> CPU+Switch </w:t>
            </w:r>
            <w:r>
              <w:rPr>
                <w:rFonts w:hint="eastAsia" w:cs="宋体" w:asciiTheme="minorEastAsia" w:hAnsiTheme="minorEastAsia"/>
                <w:bCs/>
                <w:sz w:val="18"/>
                <w:szCs w:val="18"/>
              </w:rPr>
              <w:t>架构。</w:t>
            </w:r>
          </w:p>
          <w:p>
            <w:pPr>
              <w:spacing w:after="120" w:line="276" w:lineRule="auto"/>
              <w:rPr>
                <w:rFonts w:cs="宋体" w:asciiTheme="minorEastAsia" w:hAnsiTheme="minorEastAsia"/>
                <w:bCs/>
                <w:sz w:val="18"/>
                <w:szCs w:val="18"/>
              </w:rPr>
            </w:pPr>
            <w:r>
              <w:rPr>
                <w:rFonts w:hint="eastAsia" w:cs="宋体" w:asciiTheme="minorEastAsia" w:hAnsiTheme="minorEastAsia"/>
                <w:bCs/>
                <w:sz w:val="18"/>
                <w:szCs w:val="18"/>
              </w:rPr>
              <w:t>本次配置1个配置口（</w:t>
            </w:r>
            <w:r>
              <w:rPr>
                <w:rFonts w:cs="宋体" w:asciiTheme="minorEastAsia" w:hAnsiTheme="minorEastAsia"/>
                <w:bCs/>
                <w:sz w:val="18"/>
                <w:szCs w:val="18"/>
              </w:rPr>
              <w:t>CON</w:t>
            </w:r>
            <w:r>
              <w:rPr>
                <w:rFonts w:hint="eastAsia" w:cs="宋体" w:asciiTheme="minorEastAsia" w:hAnsiTheme="minorEastAsia"/>
                <w:bCs/>
                <w:sz w:val="18"/>
                <w:szCs w:val="18"/>
              </w:rPr>
              <w:t>）</w:t>
            </w:r>
          </w:p>
          <w:p>
            <w:pPr>
              <w:pStyle w:val="213"/>
              <w:tabs>
                <w:tab w:val="left" w:pos="242"/>
              </w:tabs>
              <w:spacing w:before="86"/>
              <w:rPr>
                <w:rFonts w:cs="宋体" w:asciiTheme="minorEastAsia" w:hAnsiTheme="minorEastAsia" w:eastAsiaTheme="minorEastAsia"/>
                <w:bCs/>
                <w:kern w:val="2"/>
                <w:sz w:val="18"/>
                <w:szCs w:val="18"/>
                <w:lang w:val="en-US" w:bidi="ar-SA"/>
              </w:rPr>
            </w:pPr>
            <w:r>
              <w:rPr>
                <w:rFonts w:cs="宋体" w:asciiTheme="minorEastAsia" w:hAnsiTheme="minorEastAsia" w:eastAsiaTheme="minorEastAsia"/>
                <w:bCs/>
                <w:kern w:val="2"/>
                <w:sz w:val="18"/>
                <w:szCs w:val="18"/>
                <w:lang w:val="en-US" w:bidi="ar-SA"/>
              </w:rPr>
              <w:t>本次配置</w:t>
            </w:r>
            <w:r>
              <w:rPr>
                <w:rFonts w:hint="eastAsia" w:cs="宋体" w:asciiTheme="minorEastAsia" w:hAnsiTheme="minorEastAsia" w:eastAsiaTheme="minorEastAsia"/>
                <w:bCs/>
                <w:kern w:val="2"/>
                <w:sz w:val="18"/>
                <w:szCs w:val="18"/>
                <w:lang w:val="en-US" w:bidi="ar-SA"/>
              </w:rPr>
              <w:t xml:space="preserve">1个外置 </w:t>
            </w:r>
            <w:r>
              <w:rPr>
                <w:rFonts w:cs="宋体" w:asciiTheme="minorEastAsia" w:hAnsiTheme="minorEastAsia" w:eastAsiaTheme="minorEastAsia"/>
                <w:bCs/>
                <w:kern w:val="2"/>
                <w:sz w:val="18"/>
                <w:szCs w:val="18"/>
                <w:lang w:val="en-US" w:bidi="ar-SA"/>
              </w:rPr>
              <w:t xml:space="preserve">USB host </w:t>
            </w:r>
            <w:r>
              <w:rPr>
                <w:rFonts w:hint="eastAsia" w:cs="宋体" w:asciiTheme="minorEastAsia" w:hAnsiTheme="minorEastAsia" w:eastAsiaTheme="minorEastAsia"/>
                <w:bCs/>
                <w:kern w:val="2"/>
                <w:sz w:val="18"/>
                <w:szCs w:val="18"/>
                <w:lang w:val="en-US" w:bidi="ar-SA"/>
              </w:rPr>
              <w:t>接口</w:t>
            </w:r>
          </w:p>
          <w:p>
            <w:pPr>
              <w:pStyle w:val="213"/>
              <w:spacing w:before="85"/>
              <w:rPr>
                <w:rFonts w:cs="宋体" w:asciiTheme="minorEastAsia" w:hAnsiTheme="minorEastAsia" w:eastAsiaTheme="minorEastAsia"/>
                <w:bCs/>
                <w:kern w:val="2"/>
                <w:sz w:val="18"/>
                <w:szCs w:val="18"/>
                <w:lang w:val="en-US" w:bidi="ar-SA"/>
              </w:rPr>
            </w:pPr>
            <w:r>
              <w:rPr>
                <w:rFonts w:cs="宋体" w:asciiTheme="minorEastAsia" w:hAnsiTheme="minorEastAsia" w:eastAsiaTheme="minorEastAsia"/>
                <w:bCs/>
                <w:kern w:val="2"/>
                <w:sz w:val="18"/>
                <w:szCs w:val="18"/>
                <w:lang w:val="en-US" w:bidi="ar-SA"/>
              </w:rPr>
              <w:t xml:space="preserve">本次配置16 </w:t>
            </w:r>
            <w:r>
              <w:rPr>
                <w:rFonts w:hint="eastAsia" w:cs="宋体" w:asciiTheme="minorEastAsia" w:hAnsiTheme="minorEastAsia" w:eastAsiaTheme="minorEastAsia"/>
                <w:bCs/>
                <w:kern w:val="2"/>
                <w:sz w:val="18"/>
                <w:szCs w:val="18"/>
                <w:lang w:val="en-US" w:bidi="ar-SA"/>
              </w:rPr>
              <w:t>个千兆以太电口</w:t>
            </w:r>
          </w:p>
          <w:p>
            <w:pPr>
              <w:spacing w:after="120" w:line="276" w:lineRule="auto"/>
              <w:rPr>
                <w:rFonts w:cs="宋体" w:asciiTheme="minorEastAsia" w:hAnsiTheme="minorEastAsia"/>
                <w:bCs/>
                <w:sz w:val="18"/>
                <w:szCs w:val="18"/>
              </w:rPr>
            </w:pPr>
            <w:r>
              <w:rPr>
                <w:rFonts w:cs="宋体" w:asciiTheme="minorEastAsia" w:hAnsiTheme="minorEastAsia"/>
                <w:bCs/>
                <w:sz w:val="18"/>
                <w:szCs w:val="18"/>
              </w:rPr>
              <w:t xml:space="preserve">本次配置8 </w:t>
            </w:r>
            <w:r>
              <w:rPr>
                <w:rFonts w:hint="eastAsia" w:cs="宋体" w:asciiTheme="minorEastAsia" w:hAnsiTheme="minorEastAsia"/>
                <w:bCs/>
                <w:sz w:val="18"/>
                <w:szCs w:val="18"/>
              </w:rPr>
              <w:t>个千兆以太光口</w:t>
            </w:r>
          </w:p>
          <w:p>
            <w:pPr>
              <w:spacing w:after="120" w:line="276" w:lineRule="auto"/>
              <w:rPr>
                <w:rFonts w:cs="宋体" w:asciiTheme="minorEastAsia" w:hAnsiTheme="minorEastAsia"/>
                <w:bCs/>
                <w:sz w:val="18"/>
                <w:szCs w:val="18"/>
              </w:rPr>
            </w:pPr>
            <w:r>
              <w:rPr>
                <w:rFonts w:cs="宋体" w:asciiTheme="minorEastAsia" w:hAnsiTheme="minorEastAsia"/>
                <w:bCs/>
                <w:sz w:val="18"/>
                <w:szCs w:val="18"/>
              </w:rPr>
              <w:t>扩展槽位</w:t>
            </w:r>
            <w:r>
              <w:rPr>
                <w:rFonts w:hint="eastAsia" w:cs="宋体" w:asciiTheme="minorEastAsia" w:hAnsiTheme="minorEastAsia"/>
                <w:bCs/>
                <w:sz w:val="18"/>
                <w:szCs w:val="18"/>
              </w:rPr>
              <w:t>2个</w:t>
            </w:r>
          </w:p>
          <w:p>
            <w:pPr>
              <w:pStyle w:val="213"/>
              <w:spacing w:before="78"/>
              <w:rPr>
                <w:rFonts w:cs="宋体" w:asciiTheme="minorEastAsia" w:hAnsiTheme="minorEastAsia" w:eastAsiaTheme="minorEastAsia"/>
                <w:bCs/>
                <w:sz w:val="18"/>
                <w:szCs w:val="18"/>
              </w:rPr>
            </w:pPr>
            <w:r>
              <w:rPr>
                <w:rFonts w:cs="宋体" w:asciiTheme="minorEastAsia" w:hAnsiTheme="minorEastAsia"/>
                <w:bCs/>
                <w:sz w:val="18"/>
                <w:szCs w:val="18"/>
              </w:rPr>
              <w:t>内置双电源</w:t>
            </w:r>
          </w:p>
          <w:p>
            <w:pPr>
              <w:pStyle w:val="213"/>
              <w:spacing w:before="78"/>
              <w:rPr>
                <w:rFonts w:cs="宋体" w:asciiTheme="minorEastAsia" w:hAnsiTheme="minorEastAsia" w:eastAsiaTheme="minorEastAsia"/>
                <w:bCs/>
                <w:kern w:val="2"/>
                <w:sz w:val="18"/>
                <w:szCs w:val="18"/>
                <w:lang w:val="en-US" w:bidi="ar-SA"/>
              </w:rPr>
            </w:pPr>
            <w:r>
              <w:rPr>
                <w:rFonts w:hint="eastAsia" w:cs="宋体" w:asciiTheme="minorEastAsia" w:hAnsiTheme="minorEastAsia" w:eastAsiaTheme="minorEastAsia"/>
                <w:bCs/>
                <w:kern w:val="2"/>
                <w:sz w:val="18"/>
                <w:szCs w:val="18"/>
                <w:lang w:val="en-US" w:bidi="ar-SA"/>
              </w:rPr>
              <w:t>环境</w:t>
            </w:r>
            <w:r>
              <w:rPr>
                <w:rFonts w:cs="宋体" w:asciiTheme="minorEastAsia" w:hAnsiTheme="minorEastAsia" w:eastAsiaTheme="minorEastAsia"/>
                <w:bCs/>
                <w:kern w:val="2"/>
                <w:sz w:val="18"/>
                <w:szCs w:val="18"/>
                <w:lang w:val="en-US" w:bidi="ar-SA"/>
              </w:rPr>
              <w:t>温度</w:t>
            </w:r>
            <w:r>
              <w:rPr>
                <w:rFonts w:hint="eastAsia" w:cs="宋体" w:asciiTheme="minorEastAsia" w:hAnsiTheme="minorEastAsia" w:eastAsiaTheme="minorEastAsia"/>
                <w:bCs/>
                <w:kern w:val="2"/>
                <w:sz w:val="18"/>
                <w:szCs w:val="18"/>
                <w:lang w:val="en-US" w:bidi="ar-SA"/>
              </w:rPr>
              <w:t>：工作：</w:t>
            </w:r>
            <w:r>
              <w:rPr>
                <w:rFonts w:cs="宋体" w:asciiTheme="minorEastAsia" w:hAnsiTheme="minorEastAsia" w:eastAsiaTheme="minorEastAsia"/>
                <w:bCs/>
                <w:kern w:val="2"/>
                <w:sz w:val="18"/>
                <w:szCs w:val="18"/>
                <w:lang w:val="en-US" w:bidi="ar-SA"/>
              </w:rPr>
              <w:t>0</w:t>
            </w:r>
            <w:r>
              <w:rPr>
                <w:rFonts w:hint="eastAsia" w:cs="宋体" w:asciiTheme="minorEastAsia" w:hAnsiTheme="minorEastAsia" w:eastAsiaTheme="minorEastAsia"/>
                <w:bCs/>
                <w:kern w:val="2"/>
                <w:sz w:val="18"/>
                <w:szCs w:val="18"/>
                <w:lang w:val="en-US" w:bidi="ar-SA"/>
              </w:rPr>
              <w:t>～</w:t>
            </w:r>
            <w:r>
              <w:rPr>
                <w:rFonts w:cs="宋体" w:asciiTheme="minorEastAsia" w:hAnsiTheme="minorEastAsia" w:eastAsiaTheme="minorEastAsia"/>
                <w:bCs/>
                <w:kern w:val="2"/>
                <w:sz w:val="18"/>
                <w:szCs w:val="18"/>
                <w:lang w:val="en-US" w:bidi="ar-SA"/>
              </w:rPr>
              <w:t>45</w:t>
            </w:r>
            <w:r>
              <w:rPr>
                <w:rFonts w:hint="eastAsia" w:cs="宋体" w:asciiTheme="minorEastAsia" w:hAnsiTheme="minorEastAsia" w:eastAsiaTheme="minorEastAsia"/>
                <w:bCs/>
                <w:kern w:val="2"/>
                <w:sz w:val="18"/>
                <w:szCs w:val="18"/>
                <w:lang w:val="en-US" w:bidi="ar-SA"/>
              </w:rPr>
              <w:t>℃</w:t>
            </w:r>
          </w:p>
          <w:p>
            <w:pPr>
              <w:spacing w:after="120" w:line="276" w:lineRule="auto"/>
              <w:rPr>
                <w:rFonts w:cs="宋体" w:asciiTheme="minorEastAsia" w:hAnsiTheme="minorEastAsia"/>
                <w:bCs/>
                <w:sz w:val="18"/>
                <w:szCs w:val="18"/>
              </w:rPr>
            </w:pPr>
            <w:r>
              <w:rPr>
                <w:rFonts w:hint="eastAsia" w:cs="宋体" w:asciiTheme="minorEastAsia" w:hAnsiTheme="minorEastAsia"/>
                <w:bCs/>
                <w:sz w:val="18"/>
                <w:szCs w:val="18"/>
              </w:rPr>
              <w:t>非工作：</w:t>
            </w:r>
            <w:r>
              <w:rPr>
                <w:rFonts w:cs="宋体" w:asciiTheme="minorEastAsia" w:hAnsiTheme="minorEastAsia"/>
                <w:bCs/>
                <w:sz w:val="18"/>
                <w:szCs w:val="18"/>
              </w:rPr>
              <w:t>-40</w:t>
            </w:r>
            <w:r>
              <w:rPr>
                <w:rFonts w:hint="eastAsia" w:cs="宋体" w:asciiTheme="minorEastAsia" w:hAnsiTheme="minorEastAsia"/>
                <w:bCs/>
                <w:sz w:val="18"/>
                <w:szCs w:val="18"/>
              </w:rPr>
              <w:t>～</w:t>
            </w:r>
            <w:r>
              <w:rPr>
                <w:rFonts w:cs="宋体" w:asciiTheme="minorEastAsia" w:hAnsiTheme="minorEastAsia"/>
                <w:bCs/>
                <w:sz w:val="18"/>
                <w:szCs w:val="18"/>
              </w:rPr>
              <w:t>70</w:t>
            </w:r>
            <w:r>
              <w:rPr>
                <w:rFonts w:hint="eastAsia" w:cs="宋体" w:asciiTheme="minorEastAsia" w:hAnsiTheme="minorEastAsia"/>
                <w:bCs/>
                <w:sz w:val="18"/>
                <w:szCs w:val="18"/>
              </w:rPr>
              <w:t>℃</w:t>
            </w:r>
          </w:p>
          <w:p>
            <w:pPr>
              <w:spacing w:after="120" w:line="276" w:lineRule="auto"/>
              <w:rPr>
                <w:rFonts w:cs="宋体" w:asciiTheme="minorEastAsia" w:hAnsiTheme="minorEastAsia"/>
                <w:bCs/>
                <w:sz w:val="18"/>
                <w:szCs w:val="18"/>
              </w:rPr>
            </w:pPr>
            <w:r>
              <w:rPr>
                <w:rFonts w:cs="宋体" w:asciiTheme="minorEastAsia" w:hAnsiTheme="minorEastAsia"/>
                <w:bCs/>
                <w:sz w:val="18"/>
                <w:szCs w:val="18"/>
              </w:rPr>
              <w:t>环境湿度</w:t>
            </w:r>
            <w:r>
              <w:rPr>
                <w:rFonts w:hint="eastAsia" w:cs="宋体" w:asciiTheme="minorEastAsia" w:hAnsiTheme="minorEastAsia"/>
                <w:bCs/>
                <w:sz w:val="18"/>
                <w:szCs w:val="18"/>
              </w:rPr>
              <w:t>：工作：</w:t>
            </w:r>
            <w:r>
              <w:rPr>
                <w:rFonts w:cs="宋体" w:asciiTheme="minorEastAsia" w:hAnsiTheme="minorEastAsia"/>
                <w:bCs/>
                <w:sz w:val="18"/>
                <w:szCs w:val="18"/>
              </w:rPr>
              <w:t>10</w:t>
            </w:r>
            <w:r>
              <w:rPr>
                <w:rFonts w:hint="eastAsia" w:cs="宋体" w:asciiTheme="minorEastAsia" w:hAnsiTheme="minorEastAsia"/>
                <w:bCs/>
                <w:sz w:val="18"/>
                <w:szCs w:val="18"/>
              </w:rPr>
              <w:t>～</w:t>
            </w:r>
            <w:r>
              <w:rPr>
                <w:rFonts w:cs="宋体" w:asciiTheme="minorEastAsia" w:hAnsiTheme="minorEastAsia"/>
                <w:bCs/>
                <w:sz w:val="18"/>
                <w:szCs w:val="18"/>
              </w:rPr>
              <w:t>95%</w:t>
            </w:r>
            <w:r>
              <w:rPr>
                <w:rFonts w:hint="eastAsia" w:cs="宋体" w:asciiTheme="minorEastAsia" w:hAnsiTheme="minorEastAsia"/>
                <w:bCs/>
                <w:sz w:val="18"/>
                <w:szCs w:val="18"/>
              </w:rPr>
              <w:t>，非工作：</w:t>
            </w:r>
            <w:r>
              <w:rPr>
                <w:rFonts w:cs="宋体" w:asciiTheme="minorEastAsia" w:hAnsiTheme="minorEastAsia"/>
                <w:bCs/>
                <w:sz w:val="18"/>
                <w:szCs w:val="18"/>
              </w:rPr>
              <w:t>5</w:t>
            </w:r>
            <w:r>
              <w:rPr>
                <w:rFonts w:hint="eastAsia" w:cs="宋体" w:asciiTheme="minorEastAsia" w:hAnsiTheme="minorEastAsia"/>
                <w:bCs/>
                <w:sz w:val="18"/>
                <w:szCs w:val="18"/>
              </w:rPr>
              <w:t>～</w:t>
            </w:r>
            <w:r>
              <w:rPr>
                <w:rFonts w:cs="宋体" w:asciiTheme="minorEastAsia" w:hAnsiTheme="minorEastAsia"/>
                <w:bCs/>
                <w:sz w:val="18"/>
                <w:szCs w:val="18"/>
              </w:rPr>
              <w:t xml:space="preserve">95% </w:t>
            </w:r>
          </w:p>
          <w:p>
            <w:pPr>
              <w:spacing w:after="120" w:line="276" w:lineRule="auto"/>
              <w:rPr>
                <w:rFonts w:cs="宋体" w:asciiTheme="minorEastAsia" w:hAnsiTheme="minorEastAsia"/>
                <w:bCs/>
                <w:sz w:val="18"/>
                <w:szCs w:val="18"/>
              </w:rPr>
            </w:pPr>
            <w:r>
              <w:rPr>
                <w:rFonts w:hint="eastAsia"/>
                <w:sz w:val="18"/>
                <w:szCs w:val="18"/>
              </w:rPr>
              <w:t>★配合机场信息导航部完成对IPS的相关配置及调试。</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机房使用</w:t>
            </w:r>
          </w:p>
        </w:tc>
      </w:tr>
    </w:tbl>
    <w:p>
      <w:pPr>
        <w:adjustRightInd w:val="0"/>
        <w:snapToGrid w:val="0"/>
        <w:jc w:val="left"/>
        <w:outlineLvl w:val="0"/>
        <w:rPr>
          <w:sz w:val="22"/>
        </w:rPr>
      </w:pPr>
      <w:bookmarkStart w:id="75" w:name="_Toc8673891"/>
      <w:r>
        <w:rPr>
          <w:rFonts w:hint="eastAsia"/>
          <w:sz w:val="22"/>
        </w:rPr>
        <w:t>说明：</w:t>
      </w:r>
      <w:bookmarkEnd w:id="75"/>
    </w:p>
    <w:p>
      <w:pPr>
        <w:widowControl/>
        <w:jc w:val="left"/>
        <w:rPr>
          <w:rFonts w:ascii="宋体" w:hAnsi="宋体" w:cs="Calibri"/>
          <w:kern w:val="0"/>
          <w:sz w:val="22"/>
        </w:rPr>
      </w:pPr>
      <w:r>
        <w:rPr>
          <w:rFonts w:hint="eastAsia" w:ascii="宋体" w:hAnsi="宋体" w:cs="Calibri"/>
          <w:kern w:val="0"/>
          <w:sz w:val="22"/>
        </w:rPr>
        <w:t>1.本项目采购需求中的所有指标均为最低参考标准，一览表中提供了推荐品牌（或型号）、参考品牌（或型号）等，但这些</w:t>
      </w:r>
      <w:r>
        <w:rPr>
          <w:rFonts w:hint="eastAsia" w:ascii="宋体" w:hAnsi="宋体" w:cs="Calibri"/>
          <w:b/>
          <w:kern w:val="0"/>
          <w:sz w:val="22"/>
        </w:rPr>
        <w:t>品牌（或型号）仅供参考，并无限制性</w:t>
      </w:r>
      <w:r>
        <w:rPr>
          <w:rFonts w:hint="eastAsia" w:ascii="宋体" w:hAnsi="宋体" w:cs="Calibri"/>
          <w:kern w:val="0"/>
          <w:sz w:val="22"/>
        </w:rPr>
        <w:t>。投标人可以选择性能不低于推荐（或参考）的品牌（或型号）的其他品牌产品，但投标时应当提供有关技术证明资料，未提供的可能导致投标无效；</w:t>
      </w:r>
    </w:p>
    <w:p>
      <w:pPr>
        <w:widowControl/>
        <w:jc w:val="left"/>
        <w:rPr>
          <w:rFonts w:ascii="宋体" w:hAnsi="宋体" w:cs="Calibri"/>
          <w:kern w:val="0"/>
          <w:sz w:val="22"/>
        </w:rPr>
      </w:pPr>
      <w:r>
        <w:rPr>
          <w:rFonts w:hint="eastAsia" w:ascii="宋体" w:hAnsi="宋体" w:cs="Calibri"/>
          <w:kern w:val="0"/>
          <w:sz w:val="22"/>
        </w:rPr>
        <w:t>2.报价时，投标人必须对项目的技术参数及相关条款作一一实质性响应，并详细列出响应的具体内容。报价投标人必须响应并承诺项目本招标文件中所附合同主要条款。</w:t>
      </w:r>
    </w:p>
    <w:p>
      <w:pPr>
        <w:widowControl/>
        <w:jc w:val="left"/>
        <w:rPr>
          <w:rFonts w:ascii="宋体" w:hAnsi="宋体" w:cs="Calibri"/>
          <w:kern w:val="0"/>
        </w:rPr>
      </w:pPr>
      <w:r>
        <w:rPr>
          <w:rFonts w:hint="eastAsia" w:ascii="宋体" w:hAnsi="宋体" w:cs="Calibri"/>
          <w:kern w:val="0"/>
          <w:sz w:val="22"/>
        </w:rPr>
        <w:t>3.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r>
        <w:rPr>
          <w:rFonts w:hint="eastAsia" w:ascii="宋体" w:hAnsi="宋体" w:cs="Calibri"/>
          <w:kern w:val="0"/>
        </w:rPr>
        <w:t>　</w:t>
      </w:r>
    </w:p>
    <w:p>
      <w:pPr>
        <w:widowControl/>
        <w:jc w:val="left"/>
        <w:rPr>
          <w:rFonts w:ascii="宋体" w:hAnsi="宋体" w:cs="Arial"/>
          <w:b/>
          <w:kern w:val="0"/>
          <w:sz w:val="22"/>
        </w:rPr>
      </w:pPr>
      <w:r>
        <w:rPr>
          <w:rFonts w:hint="eastAsia" w:ascii="宋体" w:hAnsi="宋体" w:cs="Arial"/>
          <w:b/>
          <w:kern w:val="0"/>
          <w:sz w:val="22"/>
        </w:rPr>
        <w:t>二、技术标准：</w:t>
      </w:r>
    </w:p>
    <w:p>
      <w:pPr>
        <w:widowControl/>
        <w:ind w:firstLine="555"/>
        <w:jc w:val="left"/>
        <w:rPr>
          <w:rFonts w:ascii="宋体" w:hAnsi="宋体" w:cs="Arial"/>
          <w:kern w:val="0"/>
          <w:sz w:val="22"/>
        </w:rPr>
      </w:pPr>
      <w:r>
        <w:rPr>
          <w:rFonts w:hint="eastAsia" w:ascii="宋体" w:hAnsi="宋体" w:cs="Arial"/>
          <w:kern w:val="0"/>
          <w:sz w:val="22"/>
        </w:rPr>
        <w:t>1.以上货物要求为原厂全新包装，不得拆封，出具的出厂合格证、产品序列号，包装箱号与出厂批号须一致，并可追索查阅。货物颜色首选黑色。电源线、连接线、安装附件、原厂随机打印耗材等保证设备正常使用的配件齐备。原厂标准包装内不含的线缆等配件需补充齐全。</w:t>
      </w:r>
    </w:p>
    <w:p>
      <w:pPr>
        <w:widowControl/>
        <w:jc w:val="left"/>
        <w:rPr>
          <w:rFonts w:ascii="宋体" w:hAnsi="宋体" w:cs="Arial"/>
          <w:b/>
          <w:kern w:val="0"/>
          <w:sz w:val="22"/>
        </w:rPr>
      </w:pPr>
      <w:r>
        <w:rPr>
          <w:rFonts w:hint="eastAsia" w:ascii="宋体" w:hAnsi="宋体" w:cs="Arial"/>
          <w:b/>
          <w:kern w:val="0"/>
          <w:sz w:val="22"/>
        </w:rPr>
        <w:t>三、安装及调试</w:t>
      </w:r>
    </w:p>
    <w:p>
      <w:pPr>
        <w:widowControl/>
        <w:ind w:firstLine="555"/>
        <w:jc w:val="left"/>
        <w:rPr>
          <w:rFonts w:ascii="宋体" w:hAnsi="宋体" w:cs="Arial"/>
          <w:kern w:val="0"/>
          <w:sz w:val="22"/>
        </w:rPr>
      </w:pPr>
      <w:r>
        <w:rPr>
          <w:rFonts w:hint="eastAsia" w:ascii="宋体" w:hAnsi="宋体" w:cs="Arial"/>
          <w:kern w:val="0"/>
          <w:sz w:val="22"/>
        </w:rPr>
        <w:t>1.由中标人负责设备的现场安装调试，设备安装时间定于航班结束后，具体时间由甲方决定。。</w:t>
      </w:r>
    </w:p>
    <w:p>
      <w:pPr>
        <w:widowControl/>
        <w:ind w:firstLine="555"/>
        <w:jc w:val="left"/>
        <w:rPr>
          <w:rFonts w:ascii="宋体" w:hAnsi="宋体" w:cs="Arial"/>
          <w:kern w:val="0"/>
          <w:sz w:val="22"/>
        </w:rPr>
      </w:pPr>
      <w:r>
        <w:rPr>
          <w:rFonts w:hint="eastAsia" w:ascii="宋体" w:hAnsi="宋体" w:cs="Arial"/>
          <w:kern w:val="0"/>
          <w:sz w:val="22"/>
        </w:rPr>
        <w:t>2.如招标人在调试过程中无法正常使用，中标人需提供现场技术响应。</w:t>
      </w:r>
    </w:p>
    <w:p>
      <w:pPr>
        <w:widowControl/>
        <w:ind w:firstLine="555"/>
        <w:jc w:val="left"/>
        <w:rPr>
          <w:rFonts w:ascii="宋体" w:hAnsi="宋体" w:cs="Arial"/>
          <w:kern w:val="0"/>
          <w:sz w:val="22"/>
        </w:rPr>
      </w:pPr>
    </w:p>
    <w:p>
      <w:pPr>
        <w:widowControl/>
        <w:jc w:val="left"/>
        <w:rPr>
          <w:rFonts w:ascii="宋体" w:hAnsi="宋体" w:cs="Arial"/>
          <w:b/>
          <w:kern w:val="0"/>
          <w:sz w:val="22"/>
        </w:rPr>
      </w:pPr>
      <w:r>
        <w:rPr>
          <w:rFonts w:hint="eastAsia" w:ascii="宋体" w:hAnsi="宋体" w:cs="Arial"/>
          <w:b/>
          <w:kern w:val="0"/>
          <w:sz w:val="22"/>
        </w:rPr>
        <w:t>四、知识产权</w:t>
      </w:r>
    </w:p>
    <w:p>
      <w:pPr>
        <w:pStyle w:val="34"/>
        <w:spacing w:after="0" w:line="240" w:lineRule="auto"/>
        <w:ind w:left="0" w:leftChars="0" w:firstLine="440" w:firstLineChars="200"/>
        <w:jc w:val="left"/>
        <w:rPr>
          <w:rFonts w:ascii="宋体" w:hAnsi="宋体" w:cs="Arial"/>
          <w:sz w:val="22"/>
          <w:szCs w:val="22"/>
        </w:rPr>
      </w:pPr>
      <w:r>
        <w:rPr>
          <w:rFonts w:hint="eastAsia" w:ascii="宋体" w:hAnsi="宋体" w:cs="Arial"/>
          <w:sz w:val="22"/>
          <w:szCs w:val="22"/>
        </w:rPr>
        <w:t>保证所提供的货物或其任何一部分均不会侵犯任何第三方的知识产权。本项目涉及软件产品的，必须采购和使用正版软件。</w:t>
      </w:r>
    </w:p>
    <w:p>
      <w:pPr>
        <w:pStyle w:val="34"/>
        <w:spacing w:after="0" w:line="240" w:lineRule="auto"/>
        <w:ind w:left="0" w:leftChars="0" w:firstLine="440" w:firstLineChars="200"/>
        <w:jc w:val="left"/>
        <w:rPr>
          <w:rFonts w:ascii="宋体" w:hAnsi="宋体" w:cs="Arial"/>
          <w:sz w:val="22"/>
          <w:szCs w:val="22"/>
        </w:rPr>
      </w:pPr>
    </w:p>
    <w:p>
      <w:pPr>
        <w:widowControl/>
        <w:jc w:val="left"/>
        <w:rPr>
          <w:rFonts w:ascii="宋体" w:hAnsi="宋体" w:cs="Arial"/>
          <w:b/>
          <w:kern w:val="0"/>
          <w:sz w:val="22"/>
        </w:rPr>
      </w:pPr>
      <w:r>
        <w:rPr>
          <w:rFonts w:hint="eastAsia" w:ascii="宋体" w:hAnsi="宋体" w:cs="Arial"/>
          <w:b/>
          <w:kern w:val="0"/>
          <w:sz w:val="22"/>
        </w:rPr>
        <w:t>五、售后服务</w:t>
      </w:r>
    </w:p>
    <w:p>
      <w:pPr>
        <w:widowControl/>
        <w:ind w:firstLine="555"/>
        <w:jc w:val="left"/>
        <w:rPr>
          <w:rFonts w:ascii="宋体" w:hAnsi="宋体" w:cs="Arial"/>
          <w:kern w:val="0"/>
          <w:sz w:val="22"/>
        </w:rPr>
      </w:pPr>
      <w:r>
        <w:rPr>
          <w:rFonts w:hint="eastAsia" w:ascii="宋体" w:hAnsi="宋体" w:cs="Arial"/>
          <w:kern w:val="0"/>
          <w:sz w:val="22"/>
        </w:rPr>
        <w:t>1.本项目产品的质量保修期默认为自验收通过之日起，所投产品原厂（整机）免费上门保修，服务器及磁盘阵列质保【3】年，IPS入侵防御系统质保【1】年，详见第三章。</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22"/>
        </w:rPr>
      </w:pPr>
      <w:r>
        <w:rPr>
          <w:rFonts w:hint="eastAsia" w:ascii="宋体" w:hAnsi="宋体" w:cs="Arial"/>
          <w:kern w:val="0"/>
          <w:sz w:val="22"/>
        </w:rPr>
        <w:t>产品故障报修的响应时间：应在接到产品故障报修后4小时内响应，1个工作日内到达现场，2个工作日内处理完毕。若故障检修两个工作日后仍无法排除的，中标人应在故障报修两个工作日后的一个工作日内提供不低于故障规格型号档次的替代产品供招标人使用。</w:t>
      </w:r>
    </w:p>
    <w:p>
      <w:pPr>
        <w:widowControl/>
        <w:ind w:firstLine="555"/>
        <w:jc w:val="left"/>
        <w:rPr>
          <w:rFonts w:ascii="宋体" w:hAnsi="宋体" w:cs="Arial"/>
          <w:kern w:val="0"/>
          <w:sz w:val="22"/>
        </w:rPr>
      </w:pPr>
      <w:r>
        <w:rPr>
          <w:rFonts w:hint="eastAsia" w:ascii="宋体" w:hAnsi="宋体" w:cs="Arial"/>
          <w:kern w:val="0"/>
          <w:sz w:val="22"/>
        </w:rPr>
        <w:t>如对货物出现的质量及安全问题经处理仍不能解决的，则招标人有权退货或要求投标人更换货物。</w:t>
      </w:r>
    </w:p>
    <w:p>
      <w:pPr>
        <w:widowControl/>
        <w:ind w:firstLine="555"/>
        <w:jc w:val="left"/>
        <w:rPr>
          <w:rFonts w:ascii="宋体" w:hAnsi="宋体" w:cs="Arial"/>
          <w:kern w:val="0"/>
          <w:sz w:val="22"/>
        </w:rPr>
      </w:pPr>
      <w:r>
        <w:rPr>
          <w:rFonts w:hint="eastAsia" w:ascii="宋体" w:hAnsi="宋体" w:cs="Arial"/>
          <w:kern w:val="0"/>
          <w:sz w:val="22"/>
        </w:rPr>
        <w:t>5.上述的货物免费保修期按照本文件要求，因招标人人为因素出现的故障不在免费保修范围内。对于超过保修期的机器设备，投标人仍负责终生维修，维修时只收部件成本费。</w:t>
      </w:r>
    </w:p>
    <w:p>
      <w:pPr>
        <w:pStyle w:val="53"/>
      </w:pPr>
      <w:r>
        <w:t xml:space="preserve"> </w:t>
      </w:r>
    </w:p>
    <w:p>
      <w:pPr>
        <w:pStyle w:val="53"/>
        <w:jc w:val="both"/>
      </w:pPr>
    </w:p>
    <w:bookmarkEnd w:id="73"/>
    <w:p>
      <w:pPr>
        <w:spacing w:line="560" w:lineRule="exact"/>
        <w:ind w:firstLine="643" w:firstLineChars="200"/>
        <w:jc w:val="center"/>
        <w:rPr>
          <w:rFonts w:ascii="黑体" w:hAnsi="仿宋" w:eastAsia="黑体"/>
          <w:b/>
          <w:sz w:val="32"/>
          <w:szCs w:val="32"/>
        </w:rPr>
      </w:pPr>
      <w:r>
        <w:rPr>
          <w:rFonts w:hint="eastAsia" w:ascii="黑体" w:hAnsi="仿宋" w:eastAsia="黑体"/>
          <w:b/>
          <w:sz w:val="32"/>
          <w:szCs w:val="32"/>
        </w:rPr>
        <w:t>杭州萧山国际机场</w:t>
      </w:r>
      <w:r>
        <w:rPr>
          <w:rFonts w:hint="eastAsia" w:ascii="黑体" w:hAnsi="黑体" w:eastAsia="黑体"/>
          <w:b/>
          <w:sz w:val="32"/>
          <w:szCs w:val="32"/>
        </w:rPr>
        <w:t>服务器磁盘阵列</w:t>
      </w:r>
      <w:r>
        <w:rPr>
          <w:rFonts w:hint="eastAsia" w:ascii="黑体" w:hAnsi="仿宋" w:eastAsia="黑体"/>
          <w:b/>
          <w:sz w:val="32"/>
          <w:szCs w:val="32"/>
        </w:rPr>
        <w:t>采购合同</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宋体" w:hAnsi="宋体" w:eastAsia="宋体"/>
          <w:b/>
          <w:sz w:val="22"/>
          <w:szCs w:val="22"/>
        </w:rPr>
      </w:pPr>
      <w:r>
        <w:rPr>
          <w:rFonts w:hint="eastAsia" w:ascii="宋体" w:hAnsi="宋体" w:eastAsia="宋体"/>
          <w:b/>
          <w:sz w:val="22"/>
          <w:szCs w:val="22"/>
        </w:rPr>
        <w:t>甲方：杭州萧山国际机场有限公司</w:t>
      </w:r>
    </w:p>
    <w:p>
      <w:pPr>
        <w:adjustRightInd w:val="0"/>
        <w:snapToGrid w:val="0"/>
        <w:spacing w:line="560" w:lineRule="exact"/>
        <w:ind w:firstLine="452"/>
        <w:rPr>
          <w:rFonts w:ascii="宋体" w:hAnsi="宋体" w:eastAsia="宋体"/>
          <w:b/>
          <w:sz w:val="22"/>
          <w:szCs w:val="22"/>
        </w:rPr>
      </w:pPr>
      <w:r>
        <w:rPr>
          <w:rFonts w:hint="eastAsia" w:ascii="宋体" w:hAnsi="宋体" w:eastAsia="宋体"/>
          <w:b/>
          <w:sz w:val="22"/>
          <w:szCs w:val="22"/>
        </w:rPr>
        <w:t>住所地：杭州萧山国际机场内</w:t>
      </w:r>
    </w:p>
    <w:p>
      <w:pPr>
        <w:adjustRightInd w:val="0"/>
        <w:snapToGrid w:val="0"/>
        <w:spacing w:line="560" w:lineRule="exact"/>
        <w:rPr>
          <w:rFonts w:ascii="宋体" w:hAnsi="宋体" w:eastAsia="宋体"/>
          <w:b/>
          <w:sz w:val="22"/>
          <w:szCs w:val="22"/>
        </w:rPr>
      </w:pPr>
    </w:p>
    <w:p>
      <w:pPr>
        <w:adjustRightInd w:val="0"/>
        <w:snapToGrid w:val="0"/>
        <w:spacing w:line="560" w:lineRule="exact"/>
        <w:ind w:firstLine="452"/>
        <w:rPr>
          <w:rFonts w:ascii="宋体" w:hAnsi="宋体" w:eastAsia="宋体"/>
          <w:b/>
          <w:sz w:val="22"/>
          <w:szCs w:val="22"/>
        </w:rPr>
      </w:pPr>
      <w:r>
        <w:rPr>
          <w:rFonts w:hint="eastAsia" w:ascii="宋体" w:hAnsi="宋体" w:eastAsia="宋体"/>
          <w:b/>
          <w:sz w:val="22"/>
          <w:szCs w:val="22"/>
        </w:rPr>
        <w:t>乙方:</w:t>
      </w:r>
    </w:p>
    <w:p>
      <w:pPr>
        <w:adjustRightInd w:val="0"/>
        <w:snapToGrid w:val="0"/>
        <w:spacing w:line="560" w:lineRule="exact"/>
        <w:ind w:firstLine="452"/>
        <w:rPr>
          <w:rFonts w:ascii="宋体" w:hAnsi="宋体" w:eastAsia="宋体"/>
          <w:sz w:val="22"/>
          <w:szCs w:val="22"/>
        </w:rPr>
      </w:pPr>
      <w:r>
        <w:rPr>
          <w:rFonts w:hint="eastAsia" w:ascii="宋体" w:hAnsi="宋体" w:eastAsia="宋体"/>
          <w:b/>
          <w:sz w:val="22"/>
          <w:szCs w:val="22"/>
        </w:rPr>
        <w:t>住所地:</w:t>
      </w:r>
    </w:p>
    <w:p>
      <w:pPr>
        <w:adjustRightInd w:val="0"/>
        <w:snapToGrid w:val="0"/>
        <w:spacing w:line="560" w:lineRule="exact"/>
        <w:ind w:firstLine="450"/>
        <w:rPr>
          <w:rFonts w:ascii="宋体" w:hAnsi="宋体" w:eastAsia="宋体"/>
          <w:sz w:val="22"/>
          <w:szCs w:val="22"/>
        </w:rPr>
      </w:pP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eastAsia="宋体"/>
          <w:b/>
          <w:bCs/>
          <w:sz w:val="22"/>
          <w:szCs w:val="22"/>
        </w:rPr>
      </w:pPr>
      <w:r>
        <w:rPr>
          <w:rFonts w:hint="eastAsia" w:ascii="宋体" w:hAnsi="宋体" w:eastAsia="宋体"/>
          <w:b/>
          <w:bCs/>
          <w:sz w:val="22"/>
          <w:szCs w:val="22"/>
        </w:rPr>
        <w:t>一、产品规格型号及参数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40"/>
              <w:spacing w:line="560" w:lineRule="exact"/>
              <w:jc w:val="center"/>
              <w:rPr>
                <w:rFonts w:ascii="宋体" w:hAnsi="宋体"/>
                <w:b/>
                <w:sz w:val="22"/>
              </w:rPr>
            </w:pPr>
            <w:r>
              <w:rPr>
                <w:rFonts w:hint="eastAsia" w:ascii="宋体" w:hAnsi="宋体"/>
                <w:b/>
                <w:sz w:val="22"/>
              </w:rPr>
              <w:t>序号</w:t>
            </w:r>
          </w:p>
        </w:tc>
        <w:tc>
          <w:tcPr>
            <w:tcW w:w="1559" w:type="dxa"/>
            <w:vAlign w:val="center"/>
          </w:tcPr>
          <w:p>
            <w:pPr>
              <w:pStyle w:val="140"/>
              <w:spacing w:line="560" w:lineRule="exact"/>
              <w:jc w:val="center"/>
              <w:rPr>
                <w:rFonts w:ascii="宋体" w:hAnsi="宋体"/>
                <w:b/>
                <w:sz w:val="22"/>
              </w:rPr>
            </w:pPr>
            <w:r>
              <w:rPr>
                <w:rFonts w:hint="eastAsia" w:ascii="宋体" w:hAnsi="宋体"/>
                <w:b/>
                <w:sz w:val="22"/>
              </w:rPr>
              <w:t>产品名称</w:t>
            </w:r>
          </w:p>
        </w:tc>
        <w:tc>
          <w:tcPr>
            <w:tcW w:w="1820" w:type="dxa"/>
            <w:vAlign w:val="center"/>
          </w:tcPr>
          <w:p>
            <w:pPr>
              <w:pStyle w:val="140"/>
              <w:spacing w:line="560" w:lineRule="exact"/>
              <w:jc w:val="center"/>
              <w:rPr>
                <w:rFonts w:ascii="宋体" w:hAnsi="宋体"/>
                <w:b/>
                <w:sz w:val="22"/>
              </w:rPr>
            </w:pPr>
            <w:r>
              <w:rPr>
                <w:rFonts w:hint="eastAsia" w:ascii="宋体" w:hAnsi="宋体"/>
                <w:b/>
                <w:sz w:val="22"/>
              </w:rPr>
              <w:t>品牌型号</w:t>
            </w:r>
          </w:p>
        </w:tc>
        <w:tc>
          <w:tcPr>
            <w:tcW w:w="2150" w:type="dxa"/>
            <w:vAlign w:val="center"/>
          </w:tcPr>
          <w:p>
            <w:pPr>
              <w:pStyle w:val="140"/>
              <w:spacing w:line="560" w:lineRule="exact"/>
              <w:jc w:val="center"/>
              <w:rPr>
                <w:rFonts w:ascii="宋体" w:hAnsi="宋体"/>
                <w:b/>
                <w:sz w:val="22"/>
              </w:rPr>
            </w:pPr>
            <w:r>
              <w:rPr>
                <w:rFonts w:hint="eastAsia" w:ascii="宋体" w:hAnsi="宋体"/>
                <w:b/>
                <w:sz w:val="22"/>
              </w:rPr>
              <w:t>单位</w:t>
            </w:r>
          </w:p>
        </w:tc>
        <w:tc>
          <w:tcPr>
            <w:tcW w:w="1180" w:type="dxa"/>
            <w:vAlign w:val="center"/>
          </w:tcPr>
          <w:p>
            <w:pPr>
              <w:pStyle w:val="140"/>
              <w:spacing w:line="560" w:lineRule="exact"/>
              <w:jc w:val="center"/>
              <w:rPr>
                <w:rFonts w:ascii="宋体" w:hAnsi="宋体"/>
                <w:b/>
                <w:sz w:val="22"/>
              </w:rPr>
            </w:pPr>
            <w:r>
              <w:rPr>
                <w:rFonts w:hint="eastAsia" w:ascii="宋体" w:hAnsi="宋体"/>
                <w:b/>
                <w:sz w:val="22"/>
              </w:rPr>
              <w:t>数量</w:t>
            </w:r>
          </w:p>
        </w:tc>
        <w:tc>
          <w:tcPr>
            <w:tcW w:w="1134" w:type="dxa"/>
            <w:vAlign w:val="center"/>
          </w:tcPr>
          <w:p>
            <w:pPr>
              <w:pStyle w:val="140"/>
              <w:spacing w:line="560" w:lineRule="exact"/>
              <w:jc w:val="center"/>
              <w:rPr>
                <w:rFonts w:ascii="宋体" w:hAnsi="宋体"/>
                <w:b/>
                <w:sz w:val="22"/>
              </w:rPr>
            </w:pPr>
            <w:r>
              <w:rPr>
                <w:rFonts w:hint="eastAsia" w:ascii="宋体" w:hAnsi="宋体"/>
                <w:b/>
                <w:sz w:val="22"/>
              </w:rPr>
              <w:t>单价</w:t>
            </w:r>
          </w:p>
        </w:tc>
        <w:tc>
          <w:tcPr>
            <w:tcW w:w="1476" w:type="dxa"/>
            <w:vAlign w:val="center"/>
          </w:tcPr>
          <w:p>
            <w:pPr>
              <w:pStyle w:val="140"/>
              <w:spacing w:line="560" w:lineRule="exact"/>
              <w:jc w:val="center"/>
              <w:rPr>
                <w:rFonts w:ascii="宋体" w:hAnsi="宋体"/>
                <w:b/>
                <w:sz w:val="22"/>
              </w:rPr>
            </w:pPr>
            <w:r>
              <w:rPr>
                <w:rFonts w:hint="eastAsia" w:ascii="宋体" w:hAnsi="宋体"/>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40"/>
              <w:spacing w:line="560" w:lineRule="exact"/>
              <w:jc w:val="center"/>
              <w:rPr>
                <w:rFonts w:ascii="宋体" w:hAnsi="宋体"/>
                <w:sz w:val="22"/>
              </w:rPr>
            </w:pPr>
          </w:p>
        </w:tc>
        <w:tc>
          <w:tcPr>
            <w:tcW w:w="1559" w:type="dxa"/>
            <w:vAlign w:val="center"/>
          </w:tcPr>
          <w:p>
            <w:pPr>
              <w:pStyle w:val="140"/>
              <w:spacing w:line="560" w:lineRule="exact"/>
              <w:jc w:val="center"/>
              <w:rPr>
                <w:rFonts w:ascii="宋体" w:hAnsi="宋体"/>
                <w:sz w:val="22"/>
              </w:rPr>
            </w:pPr>
          </w:p>
        </w:tc>
        <w:tc>
          <w:tcPr>
            <w:tcW w:w="1820" w:type="dxa"/>
            <w:vAlign w:val="center"/>
          </w:tcPr>
          <w:p>
            <w:pPr>
              <w:pStyle w:val="140"/>
              <w:spacing w:line="560" w:lineRule="exact"/>
              <w:jc w:val="center"/>
              <w:rPr>
                <w:rFonts w:ascii="宋体" w:hAnsi="宋体"/>
                <w:sz w:val="22"/>
              </w:rPr>
            </w:pPr>
          </w:p>
        </w:tc>
        <w:tc>
          <w:tcPr>
            <w:tcW w:w="2150" w:type="dxa"/>
            <w:vAlign w:val="center"/>
          </w:tcPr>
          <w:p>
            <w:pPr>
              <w:pStyle w:val="140"/>
              <w:spacing w:line="560" w:lineRule="exact"/>
              <w:jc w:val="center"/>
              <w:rPr>
                <w:rFonts w:ascii="宋体" w:hAnsi="宋体"/>
                <w:sz w:val="22"/>
              </w:rPr>
            </w:pPr>
          </w:p>
        </w:tc>
        <w:tc>
          <w:tcPr>
            <w:tcW w:w="1180" w:type="dxa"/>
            <w:vAlign w:val="center"/>
          </w:tcPr>
          <w:p>
            <w:pPr>
              <w:pStyle w:val="140"/>
              <w:spacing w:line="560" w:lineRule="exact"/>
              <w:ind w:firstLine="110" w:firstLineChars="50"/>
              <w:jc w:val="center"/>
              <w:rPr>
                <w:rFonts w:ascii="宋体" w:hAnsi="宋体"/>
                <w:sz w:val="22"/>
              </w:rPr>
            </w:pPr>
          </w:p>
        </w:tc>
        <w:tc>
          <w:tcPr>
            <w:tcW w:w="1134" w:type="dxa"/>
            <w:vAlign w:val="center"/>
          </w:tcPr>
          <w:p>
            <w:pPr>
              <w:pStyle w:val="140"/>
              <w:spacing w:line="560" w:lineRule="exact"/>
              <w:jc w:val="center"/>
              <w:rPr>
                <w:rFonts w:ascii="宋体" w:hAnsi="宋体"/>
                <w:sz w:val="22"/>
              </w:rPr>
            </w:pPr>
          </w:p>
        </w:tc>
        <w:tc>
          <w:tcPr>
            <w:tcW w:w="1476" w:type="dxa"/>
            <w:vAlign w:val="center"/>
          </w:tcPr>
          <w:p>
            <w:pPr>
              <w:pStyle w:val="140"/>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40"/>
              <w:spacing w:line="560" w:lineRule="exact"/>
              <w:jc w:val="center"/>
              <w:rPr>
                <w:rFonts w:ascii="宋体" w:hAnsi="宋体"/>
                <w:sz w:val="22"/>
              </w:rPr>
            </w:pPr>
            <w:r>
              <w:rPr>
                <w:rFonts w:hint="eastAsia" w:ascii="宋体" w:hAnsi="宋体"/>
                <w:sz w:val="22"/>
              </w:rPr>
              <w:t>合计</w:t>
            </w:r>
          </w:p>
        </w:tc>
        <w:tc>
          <w:tcPr>
            <w:tcW w:w="9319" w:type="dxa"/>
            <w:gridSpan w:val="6"/>
          </w:tcPr>
          <w:p>
            <w:pPr>
              <w:pStyle w:val="140"/>
              <w:spacing w:line="560" w:lineRule="exact"/>
              <w:jc w:val="right"/>
              <w:rPr>
                <w:rFonts w:ascii="宋体" w:hAnsi="宋体"/>
                <w:sz w:val="22"/>
              </w:rPr>
            </w:pPr>
          </w:p>
        </w:tc>
      </w:tr>
    </w:tbl>
    <w:p>
      <w:pPr>
        <w:adjustRightInd w:val="0"/>
        <w:snapToGrid w:val="0"/>
        <w:spacing w:line="560" w:lineRule="exact"/>
        <w:rPr>
          <w:rFonts w:ascii="宋体" w:hAnsi="宋体" w:eastAsia="宋体"/>
          <w:b/>
          <w:sz w:val="22"/>
          <w:szCs w:val="22"/>
        </w:rPr>
      </w:pP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二、合同金额</w:t>
      </w:r>
    </w:p>
    <w:p>
      <w:pPr>
        <w:spacing w:line="560" w:lineRule="exact"/>
        <w:ind w:firstLine="422" w:firstLineChars="192"/>
        <w:rPr>
          <w:rFonts w:ascii="宋体" w:hAnsi="宋体" w:eastAsia="宋体"/>
          <w:sz w:val="22"/>
          <w:szCs w:val="22"/>
        </w:rPr>
      </w:pPr>
      <w:r>
        <w:rPr>
          <w:rFonts w:hint="eastAsia" w:ascii="宋体" w:hAnsi="宋体" w:eastAsia="宋体"/>
          <w:sz w:val="22"/>
          <w:szCs w:val="22"/>
        </w:rPr>
        <w:t>本合同金额为固定总价合同，合同金额为（大写）：人民币    ，（小写）</w:t>
      </w:r>
      <w:r>
        <w:rPr>
          <w:rFonts w:hint="eastAsia" w:ascii="宋体" w:hAnsi="宋体" w:eastAsia="宋体" w:cs="Arial"/>
          <w:sz w:val="22"/>
          <w:szCs w:val="22"/>
        </w:rPr>
        <w:t xml:space="preserve">¥       </w:t>
      </w:r>
      <w:r>
        <w:rPr>
          <w:rFonts w:hint="eastAsia" w:ascii="宋体" w:hAnsi="宋体" w:eastAsia="宋体"/>
          <w:sz w:val="22"/>
          <w:szCs w:val="22"/>
        </w:rPr>
        <w:t>。本合同价为杭州萧山国际机场内交货价，含产品价格、运输费、包装费、保险费、税费等所有费用。甲方不再承担其他任何费用。</w:t>
      </w:r>
    </w:p>
    <w:p>
      <w:pPr>
        <w:spacing w:line="560" w:lineRule="exact"/>
        <w:ind w:firstLine="422" w:firstLineChars="192"/>
        <w:rPr>
          <w:rFonts w:ascii="宋体" w:hAnsi="宋体" w:eastAsia="宋体"/>
          <w:sz w:val="22"/>
          <w:szCs w:val="22"/>
        </w:rPr>
      </w:pPr>
      <w:r>
        <w:rPr>
          <w:rFonts w:hint="eastAsia" w:ascii="宋体" w:hAnsi="宋体" w:eastAsia="宋体"/>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三、技术资料</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1.乙方应在交付合同产品时同时向甲方提供使用产品的有关技术资料。</w:t>
      </w:r>
    </w:p>
    <w:p>
      <w:pPr>
        <w:adjustRightInd w:val="0"/>
        <w:snapToGrid w:val="0"/>
        <w:spacing w:line="560" w:lineRule="exact"/>
        <w:ind w:firstLine="442" w:firstLineChars="200"/>
        <w:rPr>
          <w:rFonts w:ascii="宋体" w:hAnsi="宋体" w:eastAsia="宋体"/>
          <w:sz w:val="22"/>
          <w:szCs w:val="22"/>
        </w:rPr>
      </w:pPr>
      <w:r>
        <w:rPr>
          <w:rFonts w:hint="eastAsia" w:ascii="宋体" w:hAnsi="宋体" w:eastAsia="宋体"/>
          <w:b/>
          <w:sz w:val="22"/>
          <w:szCs w:val="22"/>
        </w:rPr>
        <w:t>2.</w:t>
      </w:r>
      <w:r>
        <w:rPr>
          <w:rFonts w:hint="eastAsia" w:ascii="宋体" w:hAnsi="宋体" w:eastAsia="宋体"/>
          <w:sz w:val="22"/>
          <w:szCs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四、知识产权</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五、产权担保</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六、转包或分包</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七、产品包装、发运及运输</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3. 乙方在产品发运手续办理完毕后【24】小时内必须书面通知甲方，以便甲方准备接货。</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八、交货期、交货方式及交货地点</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 交货期：签订合同之日起30日内</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 交货方式：乙方送货上门</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3. 交货地点：杭州萧山国际机场内</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九、安装与验收</w:t>
      </w:r>
    </w:p>
    <w:p>
      <w:pPr>
        <w:pStyle w:val="154"/>
        <w:adjustRightInd w:val="0"/>
        <w:snapToGrid w:val="0"/>
        <w:spacing w:line="560" w:lineRule="exact"/>
        <w:ind w:firstLine="442" w:firstLineChars="200"/>
        <w:rPr>
          <w:rFonts w:ascii="宋体" w:hAnsi="宋体"/>
          <w:sz w:val="22"/>
        </w:rPr>
      </w:pPr>
      <w:r>
        <w:rPr>
          <w:rFonts w:hint="eastAsia" w:ascii="宋体" w:hAnsi="宋体"/>
          <w:b/>
          <w:sz w:val="22"/>
        </w:rPr>
        <w:t>1.</w:t>
      </w:r>
      <w:r>
        <w:rPr>
          <w:rFonts w:hint="eastAsia" w:ascii="宋体" w:hAnsi="宋体"/>
          <w:sz w:val="22"/>
        </w:rPr>
        <w:t>甲方对乙方交付的货物依据甲方要求和国家有关质量标准进行现场初步验收，产品外观、数量、品种、规格和说明书等资料符合甲方要求的，视为初步验收合格，给予签收，初步验收不合格的不予签收并在到货之日起【5】日内以书面或电话形式向乙方提出异议。乙方在甲方初步验收完毕后，负责在【10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5】日内以书面方式向乙方提出相关异议。</w:t>
      </w:r>
    </w:p>
    <w:p>
      <w:pPr>
        <w:pStyle w:val="154"/>
        <w:adjustRightInd w:val="0"/>
        <w:snapToGrid w:val="0"/>
        <w:spacing w:line="5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pStyle w:val="154"/>
        <w:adjustRightInd w:val="0"/>
        <w:snapToGrid w:val="0"/>
        <w:spacing w:line="560" w:lineRule="exact"/>
        <w:ind w:firstLine="442" w:firstLineChars="200"/>
        <w:rPr>
          <w:rFonts w:ascii="宋体" w:hAnsi="宋体"/>
          <w:sz w:val="22"/>
        </w:rPr>
      </w:pPr>
      <w:r>
        <w:rPr>
          <w:rFonts w:hint="eastAsia" w:ascii="宋体" w:hAnsi="宋体"/>
          <w:b/>
          <w:sz w:val="22"/>
        </w:rPr>
        <w:t>3.</w:t>
      </w:r>
      <w:r>
        <w:rPr>
          <w:rFonts w:hint="eastAsia" w:ascii="宋体" w:hAnsi="宋体"/>
          <w:sz w:val="22"/>
        </w:rPr>
        <w:t>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54"/>
        <w:adjustRightInd w:val="0"/>
        <w:snapToGrid w:val="0"/>
        <w:spacing w:line="560" w:lineRule="exact"/>
        <w:ind w:firstLine="440" w:firstLineChars="200"/>
        <w:rPr>
          <w:rFonts w:ascii="宋体" w:hAnsi="宋体" w:cs="Arial Unicode MS"/>
          <w:color w:val="000000"/>
          <w:kern w:val="0"/>
          <w:sz w:val="22"/>
        </w:rPr>
      </w:pPr>
      <w:r>
        <w:rPr>
          <w:rFonts w:hint="eastAsia" w:ascii="宋体" w:hAnsi="宋体" w:cs="Arial Unicode MS"/>
          <w:color w:val="000000"/>
          <w:kern w:val="0"/>
          <w:sz w:val="22"/>
        </w:rPr>
        <w:t>4.具体的安装要求：</w:t>
      </w:r>
    </w:p>
    <w:p>
      <w:pPr>
        <w:ind w:firstLine="440" w:firstLineChars="200"/>
        <w:rPr>
          <w:rFonts w:ascii="宋体" w:hAnsi="宋体" w:eastAsia="宋体" w:cs="Arial Unicode MS"/>
          <w:color w:val="000000"/>
          <w:kern w:val="0"/>
          <w:sz w:val="22"/>
          <w:szCs w:val="22"/>
        </w:rPr>
      </w:pPr>
      <w:r>
        <w:rPr>
          <w:rFonts w:hint="eastAsia" w:ascii="宋体" w:hAnsi="宋体" w:eastAsia="宋体" w:cs="Arial Unicode MS"/>
          <w:color w:val="000000"/>
          <w:kern w:val="0"/>
          <w:sz w:val="22"/>
          <w:szCs w:val="22"/>
        </w:rPr>
        <w:t>4.1 乙方需配合机场信息导航部完成IPS入侵防御系统相关配置，设备安装调试需在航班结束后，日期由甲方决定，乙方技术人员在设备安装时必须到杭州萧山国际机场设备使用现场，否则甲方有权终止合同，由此产生的一切损失、费用由乙方负责。</w:t>
      </w:r>
    </w:p>
    <w:p>
      <w:pPr>
        <w:ind w:firstLine="440" w:firstLineChars="200"/>
        <w:rPr>
          <w:rFonts w:ascii="宋体" w:hAnsi="宋体" w:eastAsia="宋体" w:cs="Arial Unicode MS"/>
          <w:color w:val="000000"/>
          <w:kern w:val="0"/>
          <w:sz w:val="22"/>
          <w:szCs w:val="22"/>
        </w:rPr>
      </w:pPr>
      <w:r>
        <w:rPr>
          <w:rFonts w:hint="eastAsia" w:ascii="宋体" w:hAnsi="宋体" w:eastAsia="宋体" w:cs="Arial Unicode MS"/>
          <w:color w:val="000000"/>
          <w:kern w:val="0"/>
          <w:sz w:val="22"/>
          <w:szCs w:val="22"/>
        </w:rPr>
        <w:t>4.2服务器需完成停车场收费系统应用软件安装，并配合收费系统厂家调试，设备安装调试需在航班结束后，日期由甲方决定，乙方技术人员在设备安装时必须到杭州萧山国际机场设备使用现场，否则甲方有权终止合同，由此产生的一切损失、费用由乙方负责。</w:t>
      </w:r>
    </w:p>
    <w:p>
      <w:pPr>
        <w:ind w:firstLine="440" w:firstLineChars="200"/>
        <w:rPr>
          <w:rFonts w:ascii="宋体" w:hAnsi="宋体" w:eastAsia="宋体" w:cs="Arial Unicode MS"/>
          <w:color w:val="000000"/>
          <w:kern w:val="0"/>
          <w:sz w:val="22"/>
          <w:szCs w:val="22"/>
        </w:rPr>
      </w:pPr>
      <w:r>
        <w:rPr>
          <w:rFonts w:hint="eastAsia" w:ascii="宋体" w:hAnsi="宋体" w:eastAsia="宋体" w:cs="Arial Unicode MS"/>
          <w:color w:val="000000"/>
          <w:kern w:val="0"/>
          <w:sz w:val="22"/>
          <w:szCs w:val="22"/>
        </w:rPr>
        <w:t>4.3磁盘阵列需完成收费系统数据库的迁移，设备安装调试需在航班结束后，日期由甲方决定，乙方技术员在设备安装时必须到杭州萧山国际机场设备使用现场，否则甲方有权终止合同，由此产生的一切损失、费用由乙方负责。</w:t>
      </w:r>
    </w:p>
    <w:p>
      <w:pPr>
        <w:ind w:firstLine="440" w:firstLineChars="200"/>
        <w:rPr>
          <w:rFonts w:ascii="宋体" w:hAnsi="宋体" w:eastAsia="宋体" w:cs="Arial Unicode MS"/>
          <w:color w:val="000000"/>
          <w:kern w:val="0"/>
          <w:sz w:val="22"/>
          <w:szCs w:val="22"/>
        </w:rPr>
      </w:pPr>
    </w:p>
    <w:p>
      <w:pPr>
        <w:pStyle w:val="154"/>
        <w:adjustRightInd w:val="0"/>
        <w:snapToGrid w:val="0"/>
        <w:spacing w:line="560" w:lineRule="exact"/>
        <w:ind w:firstLine="440" w:firstLineChars="200"/>
        <w:rPr>
          <w:rFonts w:ascii="宋体" w:hAnsi="宋体" w:cs="Arial Unicode MS"/>
          <w:color w:val="000000"/>
          <w:kern w:val="0"/>
          <w:sz w:val="22"/>
        </w:rPr>
      </w:pPr>
      <w:r>
        <w:rPr>
          <w:rFonts w:hint="eastAsia" w:ascii="宋体" w:hAnsi="宋体" w:cs="Arial Unicode MS"/>
          <w:color w:val="000000"/>
          <w:kern w:val="0"/>
          <w:sz w:val="22"/>
        </w:rPr>
        <w:t>5.具体的验收要求：</w:t>
      </w:r>
    </w:p>
    <w:p>
      <w:pPr>
        <w:pStyle w:val="154"/>
        <w:adjustRightInd w:val="0"/>
        <w:snapToGrid w:val="0"/>
        <w:spacing w:line="560" w:lineRule="exact"/>
        <w:ind w:firstLine="440" w:firstLineChars="200"/>
        <w:rPr>
          <w:rFonts w:ascii="宋体" w:hAnsi="宋体" w:cs="Arial Unicode MS"/>
          <w:color w:val="000000"/>
          <w:kern w:val="0"/>
          <w:sz w:val="22"/>
        </w:rPr>
      </w:pPr>
      <w:r>
        <w:rPr>
          <w:rFonts w:hint="eastAsia" w:ascii="宋体" w:hAnsi="宋体" w:cs="Arial Unicode MS"/>
          <w:color w:val="000000"/>
          <w:kern w:val="0"/>
          <w:sz w:val="22"/>
        </w:rPr>
        <w:t>乙方提供的设备必须完成停车场收费系统应用软件安装，磁盘阵列数据库的迁移，IPS入侵防御系统完成相关配置且在现场使用30日无质量问题方可通过终验。</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十、货款支付</w:t>
      </w:r>
    </w:p>
    <w:p>
      <w:pPr>
        <w:pStyle w:val="50"/>
        <w:snapToGrid w:val="0"/>
        <w:spacing w:before="0" w:beforeAutospacing="0" w:after="0" w:afterAutospacing="0" w:line="360" w:lineRule="exact"/>
        <w:ind w:firstLine="437" w:firstLineChars="198"/>
        <w:jc w:val="both"/>
        <w:rPr>
          <w:rFonts w:ascii="宋体" w:hAnsi="宋体" w:eastAsia="宋体"/>
          <w:sz w:val="22"/>
          <w:szCs w:val="22"/>
        </w:rPr>
      </w:pPr>
      <w:r>
        <w:rPr>
          <w:rFonts w:hint="eastAsia" w:ascii="宋体" w:hAnsi="宋体" w:eastAsia="宋体"/>
          <w:b/>
          <w:sz w:val="22"/>
          <w:szCs w:val="22"/>
        </w:rPr>
        <w:t>1</w:t>
      </w:r>
      <w:r>
        <w:rPr>
          <w:rFonts w:hint="eastAsia" w:ascii="宋体" w:hAnsi="宋体" w:eastAsia="宋体"/>
          <w:sz w:val="22"/>
          <w:szCs w:val="22"/>
        </w:rPr>
        <w:t>. 设备安装调试完成后，并经甲方验收合格后【15】个工作日内，支付至合同总金额的95%。</w:t>
      </w:r>
    </w:p>
    <w:p>
      <w:pPr>
        <w:pStyle w:val="50"/>
        <w:snapToGrid w:val="0"/>
        <w:spacing w:before="0" w:beforeAutospacing="0" w:after="0" w:afterAutospacing="0" w:line="360" w:lineRule="exact"/>
        <w:ind w:left="480" w:leftChars="200"/>
        <w:jc w:val="both"/>
        <w:rPr>
          <w:rFonts w:ascii="宋体" w:hAnsi="宋体" w:eastAsia="宋体"/>
          <w:sz w:val="22"/>
          <w:szCs w:val="22"/>
        </w:rPr>
      </w:pPr>
      <w:r>
        <w:rPr>
          <w:rFonts w:hint="eastAsia" w:ascii="宋体" w:hAnsi="宋体" w:eastAsia="宋体"/>
          <w:sz w:val="22"/>
          <w:szCs w:val="22"/>
        </w:rPr>
        <w:t>2. 合同总价的5%作为质量保证金，在甲方终验合格满一年后的15日内无息支付。</w:t>
      </w:r>
    </w:p>
    <w:p>
      <w:pPr>
        <w:pStyle w:val="50"/>
        <w:snapToGrid w:val="0"/>
        <w:spacing w:before="0" w:beforeAutospacing="0" w:after="0" w:afterAutospacing="0" w:line="360" w:lineRule="exact"/>
        <w:ind w:left="480" w:leftChars="200"/>
        <w:jc w:val="both"/>
        <w:rPr>
          <w:rFonts w:ascii="宋体" w:hAnsi="宋体" w:eastAsia="宋体"/>
          <w:sz w:val="22"/>
          <w:szCs w:val="22"/>
        </w:rPr>
      </w:pPr>
      <w:r>
        <w:rPr>
          <w:rFonts w:hint="eastAsia" w:ascii="宋体" w:hAnsi="宋体" w:eastAsia="宋体"/>
          <w:sz w:val="22"/>
          <w:szCs w:val="22"/>
        </w:rPr>
        <w:t>3.乙方在甲方每次付款前开具正式增值税发票。</w:t>
      </w:r>
    </w:p>
    <w:p>
      <w:pPr>
        <w:pStyle w:val="50"/>
        <w:spacing w:before="150" w:after="150" w:line="560" w:lineRule="exact"/>
        <w:ind w:firstLine="442"/>
        <w:rPr>
          <w:rFonts w:ascii="宋体" w:hAnsi="宋体" w:eastAsia="宋体"/>
          <w:b/>
          <w:color w:val="444444"/>
          <w:sz w:val="22"/>
          <w:szCs w:val="22"/>
          <w:lang w:val="zh-CN"/>
        </w:rPr>
      </w:pPr>
      <w:r>
        <w:rPr>
          <w:rFonts w:hint="eastAsia" w:ascii="宋体" w:hAnsi="宋体" w:eastAsia="宋体"/>
          <w:b/>
          <w:color w:val="444444"/>
          <w:sz w:val="22"/>
          <w:szCs w:val="22"/>
        </w:rPr>
        <w:t xml:space="preserve">    十一、</w:t>
      </w:r>
      <w:r>
        <w:rPr>
          <w:rFonts w:hint="eastAsia" w:ascii="宋体" w:hAnsi="宋体" w:eastAsia="宋体"/>
          <w:b/>
          <w:color w:val="444444"/>
          <w:sz w:val="22"/>
          <w:szCs w:val="22"/>
          <w:lang w:val="zh-CN"/>
        </w:rPr>
        <w:t>履约保证金</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十二、免费质保期及服务内容</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2、乙方应为产品提供【24】个月的免费质保期(含工时费和零部件费)，时间自甲方最终签署安装验收合格报告之日起计算。</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4． 乙方提供【 】小时售后服务，在接到报修通知后，维修人员应在【  】小时内赶到杭州萧山国际机场，并连续进行维修，直到产品恢复正常。修复部分的质保期自修复之日起重新开始计算。</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十三、违约责任</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 甲方无故逾期支付货款的,甲方应按逾期付款总额每日【0.05】%向乙方支付违约金。</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 xml:space="preserve">2. 乙方逾期交付产品和本合同规定的文件资料的，或者未按甲方时间要求完成安装调试并通过甲方终验收的，乙方应按合同总额每日【0.5】%向甲方支付违约金，由甲方从货款中扣除。逾期超过约定日期【15】个工作日的，甲方可解除本合同。乙方因逾期交货或因其他违约行为导致甲方解除合同的，乙方应向甲方支付合同总额【 】%的违约金，且全额没收乙方的履约保证金，如造成甲方损失超过违约金的，超出部分由乙方继续承担赔偿责任。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十四、不可抗力事件处理</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 不可抗力事件发生后，遭遇不可抗力的一方应立即通知对方，并寄送有关官方权威机构出具的证明。</w:t>
      </w:r>
    </w:p>
    <w:p>
      <w:pPr>
        <w:spacing w:line="560" w:lineRule="exact"/>
        <w:ind w:firstLine="418" w:firstLineChars="190"/>
        <w:rPr>
          <w:rFonts w:ascii="宋体" w:hAnsi="宋体" w:eastAsia="宋体"/>
          <w:sz w:val="22"/>
          <w:szCs w:val="22"/>
        </w:rPr>
      </w:pPr>
      <w:r>
        <w:rPr>
          <w:rFonts w:hint="eastAsia" w:ascii="宋体" w:hAnsi="宋体" w:eastAsia="宋体"/>
          <w:sz w:val="22"/>
          <w:szCs w:val="22"/>
        </w:rPr>
        <w:t>3. 不可抗力事件延续【140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十五、争议解决</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eastAsia="宋体"/>
          <w:b/>
          <w:sz w:val="22"/>
          <w:szCs w:val="22"/>
        </w:rPr>
      </w:pPr>
      <w:r>
        <w:rPr>
          <w:rFonts w:hint="eastAsia" w:ascii="宋体" w:hAnsi="宋体" w:eastAsia="宋体"/>
          <w:b/>
          <w:sz w:val="22"/>
          <w:szCs w:val="22"/>
        </w:rPr>
        <w:t>十六、合同组成文件包含下列内容，且解释顺序如下：</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1.本合同协议书</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2.中标通知书</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3.投标书及其附件</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4.招标文件</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5.标准、规范及有关技术文件</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十七、合同生效及其它</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1. 合同经双方法定代表人或授权代表签字（包含签章）并加盖单位公章或者合同章之日起生效。</w:t>
      </w:r>
    </w:p>
    <w:p>
      <w:pPr>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3.本合同一式陆份，甲执四份，乙方持二份，具有同等法律效力。</w:t>
      </w:r>
    </w:p>
    <w:p>
      <w:pPr>
        <w:tabs>
          <w:tab w:val="right" w:pos="8306"/>
        </w:tabs>
        <w:adjustRightInd w:val="0"/>
        <w:snapToGrid w:val="0"/>
        <w:spacing w:line="560" w:lineRule="exact"/>
        <w:ind w:firstLine="440" w:firstLineChars="200"/>
        <w:rPr>
          <w:rFonts w:ascii="宋体" w:hAnsi="宋体" w:eastAsia="宋体"/>
          <w:sz w:val="22"/>
          <w:szCs w:val="22"/>
        </w:rPr>
      </w:pPr>
    </w:p>
    <w:p>
      <w:pPr>
        <w:tabs>
          <w:tab w:val="right" w:pos="8306"/>
        </w:tabs>
        <w:adjustRightInd w:val="0"/>
        <w:snapToGrid w:val="0"/>
        <w:spacing w:line="560" w:lineRule="exact"/>
        <w:rPr>
          <w:rFonts w:ascii="宋体" w:hAnsi="宋体" w:eastAsia="宋体"/>
          <w:sz w:val="22"/>
          <w:szCs w:val="22"/>
        </w:rPr>
      </w:pPr>
    </w:p>
    <w:p>
      <w:pPr>
        <w:tabs>
          <w:tab w:val="right" w:pos="8306"/>
        </w:tabs>
        <w:adjustRightInd w:val="0"/>
        <w:snapToGrid w:val="0"/>
        <w:spacing w:line="560" w:lineRule="exact"/>
        <w:ind w:firstLine="440" w:firstLineChars="200"/>
        <w:rPr>
          <w:rFonts w:ascii="宋体" w:hAnsi="宋体" w:eastAsia="宋体"/>
          <w:sz w:val="22"/>
          <w:szCs w:val="22"/>
        </w:rPr>
      </w:pPr>
    </w:p>
    <w:p>
      <w:pPr>
        <w:tabs>
          <w:tab w:val="right" w:pos="8306"/>
        </w:tabs>
        <w:adjustRightInd w:val="0"/>
        <w:snapToGrid w:val="0"/>
        <w:spacing w:line="560" w:lineRule="exact"/>
        <w:ind w:firstLine="440" w:firstLineChars="200"/>
        <w:rPr>
          <w:rFonts w:ascii="宋体" w:hAnsi="宋体" w:eastAsia="宋体"/>
          <w:sz w:val="22"/>
          <w:szCs w:val="22"/>
        </w:rPr>
      </w:pPr>
    </w:p>
    <w:p>
      <w:pPr>
        <w:tabs>
          <w:tab w:val="right" w:pos="8306"/>
        </w:tabs>
        <w:adjustRightInd w:val="0"/>
        <w:snapToGrid w:val="0"/>
        <w:spacing w:line="560" w:lineRule="exact"/>
        <w:ind w:firstLine="440" w:firstLineChars="200"/>
        <w:rPr>
          <w:rFonts w:ascii="宋体" w:hAnsi="宋体" w:eastAsia="宋体"/>
          <w:sz w:val="22"/>
          <w:szCs w:val="22"/>
        </w:rPr>
      </w:pPr>
    </w:p>
    <w:p>
      <w:pPr>
        <w:tabs>
          <w:tab w:val="right" w:pos="8306"/>
        </w:tabs>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（以下为签署页）</w:t>
      </w:r>
    </w:p>
    <w:p>
      <w:pPr>
        <w:tabs>
          <w:tab w:val="right" w:pos="8306"/>
        </w:tabs>
        <w:adjustRightInd w:val="0"/>
        <w:snapToGrid w:val="0"/>
        <w:spacing w:line="560" w:lineRule="exact"/>
        <w:rPr>
          <w:rFonts w:ascii="宋体" w:hAnsi="宋体" w:eastAsia="宋体"/>
          <w:sz w:val="22"/>
          <w:szCs w:val="22"/>
        </w:rPr>
      </w:pPr>
    </w:p>
    <w:p>
      <w:pPr>
        <w:tabs>
          <w:tab w:val="right" w:pos="8306"/>
        </w:tabs>
        <w:adjustRightInd w:val="0"/>
        <w:snapToGrid w:val="0"/>
        <w:spacing w:line="560" w:lineRule="exact"/>
        <w:ind w:firstLine="440" w:firstLineChars="200"/>
        <w:rPr>
          <w:rFonts w:ascii="宋体" w:hAnsi="宋体" w:eastAsia="宋体"/>
          <w:sz w:val="22"/>
          <w:szCs w:val="22"/>
        </w:rPr>
      </w:pPr>
      <w:r>
        <w:rPr>
          <w:rFonts w:hint="eastAsia" w:ascii="宋体" w:hAnsi="宋体" w:eastAsia="宋体"/>
          <w:sz w:val="22"/>
          <w:szCs w:val="22"/>
        </w:rPr>
        <w:tab/>
      </w:r>
    </w:p>
    <w:p>
      <w:pPr>
        <w:adjustRightInd w:val="0"/>
        <w:snapToGrid w:val="0"/>
        <w:spacing w:line="560" w:lineRule="exact"/>
        <w:ind w:left="3520" w:hanging="3520" w:hangingChars="1600"/>
        <w:rPr>
          <w:rFonts w:ascii="宋体" w:hAnsi="宋体" w:eastAsia="宋体"/>
          <w:sz w:val="22"/>
          <w:szCs w:val="22"/>
        </w:rPr>
      </w:pPr>
      <w:r>
        <w:rPr>
          <w:rFonts w:hint="eastAsia" w:ascii="宋体" w:hAnsi="宋体" w:eastAsia="宋体"/>
          <w:sz w:val="22"/>
          <w:szCs w:val="22"/>
        </w:rPr>
        <w:t>甲方：杭州萧山国际机场有限公司  乙方：</w:t>
      </w:r>
    </w:p>
    <w:p>
      <w:pPr>
        <w:adjustRightInd w:val="0"/>
        <w:snapToGrid w:val="0"/>
        <w:spacing w:line="560" w:lineRule="exact"/>
        <w:ind w:left="6750" w:hanging="6750"/>
        <w:rPr>
          <w:rFonts w:ascii="宋体" w:hAnsi="宋体" w:eastAsia="宋体"/>
          <w:sz w:val="22"/>
          <w:szCs w:val="22"/>
        </w:rPr>
      </w:pPr>
      <w:r>
        <w:rPr>
          <w:rFonts w:hint="eastAsia" w:ascii="宋体" w:hAnsi="宋体" w:eastAsia="宋体"/>
          <w:sz w:val="22"/>
          <w:szCs w:val="22"/>
        </w:rPr>
        <w:t>地址：杭州萧山国际机场内        地址：</w:t>
      </w:r>
    </w:p>
    <w:p>
      <w:pPr>
        <w:adjustRightInd w:val="0"/>
        <w:snapToGrid w:val="0"/>
        <w:spacing w:line="560" w:lineRule="exact"/>
        <w:ind w:left="6750" w:hanging="6750"/>
        <w:rPr>
          <w:rFonts w:ascii="宋体" w:hAnsi="宋体" w:eastAsia="宋体"/>
          <w:sz w:val="22"/>
          <w:szCs w:val="22"/>
        </w:rPr>
      </w:pPr>
    </w:p>
    <w:p>
      <w:pPr>
        <w:adjustRightInd w:val="0"/>
        <w:snapToGrid w:val="0"/>
        <w:spacing w:line="560" w:lineRule="exact"/>
        <w:rPr>
          <w:rFonts w:ascii="宋体" w:hAnsi="宋体" w:eastAsia="宋体"/>
          <w:sz w:val="22"/>
          <w:szCs w:val="22"/>
        </w:rPr>
      </w:pPr>
      <w:r>
        <w:rPr>
          <w:rFonts w:hint="eastAsia" w:ascii="宋体" w:hAnsi="宋体" w:eastAsia="宋体"/>
          <w:sz w:val="22"/>
          <w:szCs w:val="22"/>
        </w:rPr>
        <w:t>法定代表人：                     法定代表人：</w:t>
      </w:r>
    </w:p>
    <w:p>
      <w:pPr>
        <w:adjustRightInd w:val="0"/>
        <w:snapToGrid w:val="0"/>
        <w:spacing w:line="560" w:lineRule="exact"/>
        <w:rPr>
          <w:rFonts w:ascii="宋体" w:hAnsi="宋体" w:eastAsia="宋体"/>
          <w:sz w:val="22"/>
          <w:szCs w:val="22"/>
        </w:rPr>
      </w:pPr>
      <w:r>
        <w:rPr>
          <w:rFonts w:hint="eastAsia" w:ascii="宋体" w:hAnsi="宋体" w:eastAsia="宋体"/>
          <w:sz w:val="22"/>
          <w:szCs w:val="22"/>
        </w:rPr>
        <w:t>或                               或</w:t>
      </w:r>
    </w:p>
    <w:p>
      <w:pPr>
        <w:adjustRightInd w:val="0"/>
        <w:snapToGrid w:val="0"/>
        <w:spacing w:line="560" w:lineRule="exact"/>
        <w:rPr>
          <w:rFonts w:ascii="宋体" w:hAnsi="宋体" w:eastAsia="宋体"/>
          <w:sz w:val="22"/>
          <w:szCs w:val="22"/>
        </w:rPr>
      </w:pPr>
      <w:r>
        <w:rPr>
          <w:rFonts w:hint="eastAsia" w:ascii="宋体" w:hAnsi="宋体" w:eastAsia="宋体"/>
          <w:sz w:val="22"/>
          <w:szCs w:val="22"/>
        </w:rPr>
        <w:t>授权代表：                       授权代表：</w:t>
      </w:r>
    </w:p>
    <w:p>
      <w:pPr>
        <w:adjustRightInd w:val="0"/>
        <w:snapToGrid w:val="0"/>
        <w:spacing w:line="560" w:lineRule="exact"/>
        <w:rPr>
          <w:rFonts w:ascii="宋体" w:hAnsi="宋体" w:eastAsia="宋体"/>
          <w:b/>
          <w:sz w:val="22"/>
          <w:szCs w:val="22"/>
        </w:rPr>
      </w:pPr>
      <w:r>
        <w:rPr>
          <w:rFonts w:hint="eastAsia" w:ascii="宋体" w:hAnsi="宋体" w:eastAsia="宋体"/>
          <w:sz w:val="22"/>
          <w:szCs w:val="22"/>
        </w:rPr>
        <w:t xml:space="preserve">签字日期：                       签字日期： </w:t>
      </w:r>
    </w:p>
    <w:p>
      <w:pPr>
        <w:adjustRightInd w:val="0"/>
        <w:snapToGrid w:val="0"/>
        <w:spacing w:line="560" w:lineRule="exact"/>
        <w:ind w:firstLine="440" w:firstLineChars="200"/>
        <w:rPr>
          <w:rFonts w:ascii="宋体" w:hAnsi="宋体" w:eastAsia="宋体"/>
          <w:b/>
          <w:sz w:val="22"/>
          <w:szCs w:val="22"/>
        </w:rPr>
      </w:pPr>
      <w:r>
        <w:rPr>
          <w:rFonts w:hint="eastAsia" w:ascii="宋体" w:hAnsi="宋体" w:eastAsia="宋体"/>
          <w:sz w:val="22"/>
          <w:szCs w:val="22"/>
        </w:rPr>
        <w:t>年  月  日                      年  月  日</w:t>
      </w:r>
    </w:p>
    <w:p>
      <w:pPr>
        <w:spacing w:line="560" w:lineRule="exact"/>
        <w:ind w:firstLine="440" w:firstLineChars="200"/>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spacing w:line="560" w:lineRule="exact"/>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r>
        <w:rPr>
          <w:rFonts w:hint="eastAsia" w:ascii="宋体" w:hAnsi="宋体"/>
          <w:sz w:val="22"/>
          <w:szCs w:val="22"/>
        </w:rPr>
        <w:t>附件1：</w:t>
      </w:r>
    </w:p>
    <w:p>
      <w:pPr>
        <w:pStyle w:val="131"/>
        <w:spacing w:line="360" w:lineRule="exact"/>
        <w:ind w:firstLine="440"/>
        <w:jc w:val="center"/>
        <w:rPr>
          <w:rFonts w:ascii="宋体" w:hAnsi="宋体"/>
          <w:color w:val="auto"/>
          <w:sz w:val="22"/>
          <w:szCs w:val="22"/>
        </w:rPr>
      </w:pPr>
      <w:r>
        <w:rPr>
          <w:rFonts w:hint="eastAsia" w:ascii="宋体" w:hAnsi="宋体"/>
          <w:color w:val="auto"/>
          <w:sz w:val="22"/>
          <w:szCs w:val="22"/>
        </w:rPr>
        <w:t>杭州萧山国际机场有限公司廉洁自律承诺书</w:t>
      </w:r>
    </w:p>
    <w:p>
      <w:pPr>
        <w:pStyle w:val="131"/>
        <w:spacing w:line="360" w:lineRule="exact"/>
        <w:ind w:firstLine="440"/>
        <w:rPr>
          <w:rFonts w:ascii="宋体" w:hAnsi="宋体"/>
          <w:color w:val="auto"/>
          <w:sz w:val="22"/>
          <w:szCs w:val="22"/>
        </w:rPr>
      </w:pPr>
    </w:p>
    <w:p>
      <w:pPr>
        <w:pStyle w:val="136"/>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36"/>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136"/>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6"/>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136"/>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136"/>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136"/>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136"/>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136"/>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36"/>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136"/>
        <w:numPr>
          <w:ilvl w:val="0"/>
          <w:numId w:val="5"/>
        </w:numPr>
        <w:adjustRightInd w:val="0"/>
        <w:snapToGrid w:val="0"/>
        <w:ind w:firstLineChars="0"/>
        <w:jc w:val="left"/>
        <w:rPr>
          <w:rFonts w:ascii="宋体" w:hAnsi="宋体"/>
          <w:sz w:val="22"/>
          <w:szCs w:val="22"/>
        </w:rPr>
      </w:pPr>
      <w:r>
        <w:rPr>
          <w:rFonts w:hint="eastAsia" w:ascii="宋体" w:hAnsi="宋体"/>
          <w:sz w:val="22"/>
          <w:szCs w:val="22"/>
        </w:rPr>
        <w:t>立即取消我单位投标、中标或在建项目的实施资格；</w:t>
      </w:r>
    </w:p>
    <w:p>
      <w:pPr>
        <w:pStyle w:val="136"/>
        <w:numPr>
          <w:ilvl w:val="0"/>
          <w:numId w:val="5"/>
        </w:numPr>
        <w:adjustRightInd w:val="0"/>
        <w:snapToGrid w:val="0"/>
        <w:ind w:firstLineChars="0"/>
        <w:jc w:val="left"/>
        <w:rPr>
          <w:rFonts w:ascii="宋体" w:hAnsi="宋体"/>
          <w:sz w:val="22"/>
          <w:szCs w:val="22"/>
        </w:rPr>
      </w:pPr>
      <w:r>
        <w:rPr>
          <w:rFonts w:hint="eastAsia" w:ascii="宋体" w:hAnsi="宋体"/>
          <w:sz w:val="22"/>
          <w:szCs w:val="22"/>
        </w:rPr>
        <w:t>扣除我方向贵公司缴纳的履约保证金的10%作为违反廉洁自律承诺的违约金。如该违约金不足以弥补贵公司损失的，我单位仍将承担实际损失赔偿责任。</w:t>
      </w:r>
    </w:p>
    <w:p>
      <w:pPr>
        <w:pStyle w:val="136"/>
        <w:numPr>
          <w:ilvl w:val="0"/>
          <w:numId w:val="5"/>
        </w:numPr>
        <w:adjustRightInd w:val="0"/>
        <w:snapToGrid w:val="0"/>
        <w:ind w:firstLineChars="0"/>
        <w:jc w:val="left"/>
        <w:rPr>
          <w:rFonts w:ascii="宋体" w:hAnsi="宋体"/>
          <w:sz w:val="22"/>
          <w:szCs w:val="22"/>
        </w:rPr>
      </w:pPr>
      <w:r>
        <w:rPr>
          <w:rFonts w:hint="eastAsia" w:ascii="宋体" w:hAnsi="宋体"/>
          <w:sz w:val="22"/>
          <w:szCs w:val="22"/>
        </w:rPr>
        <w:t>拒绝我单位在一定时期内进入贵公司进行项目建设或其它经营活动；</w:t>
      </w:r>
    </w:p>
    <w:p>
      <w:pPr>
        <w:pStyle w:val="136"/>
        <w:numPr>
          <w:ilvl w:val="0"/>
          <w:numId w:val="5"/>
        </w:numPr>
        <w:adjustRightInd w:val="0"/>
        <w:snapToGrid w:val="0"/>
        <w:ind w:firstLineChars="0"/>
        <w:jc w:val="left"/>
        <w:rPr>
          <w:rFonts w:ascii="宋体" w:hAnsi="宋体"/>
          <w:sz w:val="22"/>
          <w:szCs w:val="22"/>
        </w:rPr>
      </w:pPr>
      <w:r>
        <w:rPr>
          <w:rFonts w:hint="eastAsia" w:ascii="宋体" w:hAnsi="宋体"/>
          <w:sz w:val="22"/>
          <w:szCs w:val="22"/>
        </w:rPr>
        <w:t>由此引起的相应损失均由我单位承担。</w:t>
      </w:r>
    </w:p>
    <w:p>
      <w:pPr>
        <w:pStyle w:val="136"/>
        <w:adjustRightInd w:val="0"/>
        <w:snapToGrid w:val="0"/>
        <w:ind w:firstLine="440"/>
        <w:jc w:val="left"/>
        <w:rPr>
          <w:rFonts w:ascii="宋体" w:hAnsi="宋体"/>
          <w:sz w:val="22"/>
          <w:szCs w:val="22"/>
        </w:rPr>
      </w:pPr>
    </w:p>
    <w:p>
      <w:pPr>
        <w:pStyle w:val="136"/>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36"/>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36"/>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36"/>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36"/>
        <w:adjustRightInd w:val="0"/>
        <w:snapToGrid w:val="0"/>
        <w:ind w:firstLine="442"/>
        <w:jc w:val="left"/>
        <w:rPr>
          <w:rFonts w:ascii="宋体" w:hAnsi="宋体"/>
          <w:b/>
          <w:sz w:val="22"/>
          <w:szCs w:val="22"/>
        </w:rPr>
      </w:pPr>
    </w:p>
    <w:p>
      <w:pPr>
        <w:pStyle w:val="131"/>
        <w:spacing w:line="360" w:lineRule="exact"/>
        <w:ind w:firstLine="440"/>
        <w:rPr>
          <w:rFonts w:ascii="宋体" w:hAnsi="宋体"/>
          <w:color w:val="auto"/>
          <w:sz w:val="22"/>
          <w:szCs w:val="22"/>
        </w:rPr>
      </w:pPr>
      <w:bookmarkStart w:id="76" w:name="_Toc422638522"/>
      <w:bookmarkStart w:id="77" w:name="_Toc321925455"/>
      <w:r>
        <w:rPr>
          <w:rFonts w:hint="eastAsia" w:ascii="宋体" w:hAnsi="宋体"/>
          <w:sz w:val="22"/>
          <w:szCs w:val="22"/>
        </w:rPr>
        <w:t xml:space="preserve">                           年     月     日</w:t>
      </w:r>
      <w:bookmarkEnd w:id="76"/>
      <w:bookmarkEnd w:id="77"/>
    </w:p>
    <w:p>
      <w:pPr>
        <w:rPr>
          <w:rFonts w:ascii="宋体" w:hAnsi="宋体"/>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eastAsia="宋体" w:cs="仿宋_GB2312"/>
          <w:sz w:val="22"/>
          <w:szCs w:val="22"/>
        </w:rPr>
      </w:pPr>
      <w:r>
        <w:rPr>
          <w:rFonts w:hint="eastAsia" w:ascii="宋体" w:hAnsi="宋体" w:eastAsia="宋体" w:cs="仿宋_GB2312"/>
          <w:sz w:val="22"/>
          <w:szCs w:val="22"/>
        </w:rPr>
        <w:t xml:space="preserve">附件2： </w:t>
      </w:r>
    </w:p>
    <w:p>
      <w:pPr>
        <w:spacing w:line="560" w:lineRule="exact"/>
        <w:jc w:val="center"/>
        <w:rPr>
          <w:rFonts w:ascii="宋体" w:hAnsi="宋体" w:eastAsia="宋体" w:cs="仿宋_GB2312"/>
          <w:b/>
          <w:bCs/>
          <w:sz w:val="22"/>
          <w:szCs w:val="22"/>
        </w:rPr>
      </w:pPr>
      <w:r>
        <w:rPr>
          <w:rFonts w:hint="eastAsia" w:ascii="宋体" w:hAnsi="宋体" w:eastAsia="宋体" w:cs="仿宋_GB2312"/>
          <w:b/>
          <w:bCs/>
          <w:sz w:val="22"/>
          <w:szCs w:val="22"/>
        </w:rPr>
        <w:t>保密承诺书</w:t>
      </w:r>
    </w:p>
    <w:p>
      <w:pPr>
        <w:snapToGrid w:val="0"/>
        <w:spacing w:line="560" w:lineRule="exact"/>
        <w:ind w:firstLine="440" w:firstLineChars="200"/>
        <w:rPr>
          <w:rFonts w:ascii="宋体" w:hAnsi="宋体" w:eastAsia="宋体" w:cs="仿宋_GB2312"/>
          <w:sz w:val="22"/>
          <w:szCs w:val="22"/>
        </w:rPr>
      </w:pPr>
      <w:r>
        <w:rPr>
          <w:rFonts w:hint="eastAsia" w:ascii="宋体" w:hAnsi="宋体" w:eastAsia="宋体" w:cs="仿宋_GB2312"/>
          <w:sz w:val="22"/>
          <w:szCs w:val="22"/>
        </w:rPr>
        <w:t>鉴于我方愿成为杭州萧山国际机场有限公司（以下简称“机场公司”）的供应商或潜在供应商候选人，为机场公司提供</w:t>
      </w:r>
      <w:r>
        <w:rPr>
          <w:rFonts w:hint="eastAsia" w:ascii="宋体" w:hAnsi="宋体" w:eastAsia="宋体"/>
          <w:b/>
          <w:sz w:val="22"/>
          <w:szCs w:val="22"/>
        </w:rPr>
        <w:t>服务器磁盘阵列采购</w:t>
      </w:r>
      <w:r>
        <w:rPr>
          <w:rFonts w:hint="eastAsia" w:ascii="宋体" w:hAnsi="宋体" w:eastAsia="宋体" w:cs="仿宋_GB2312"/>
          <w:sz w:val="22"/>
          <w:szCs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eastAsia="宋体" w:cs="仿宋_GB2312"/>
          <w:sz w:val="22"/>
          <w:szCs w:val="22"/>
        </w:rPr>
      </w:pPr>
      <w:r>
        <w:rPr>
          <w:rFonts w:hint="eastAsia" w:ascii="宋体" w:hAnsi="宋体" w:eastAsia="宋体" w:cs="仿宋_GB2312"/>
          <w:sz w:val="22"/>
          <w:szCs w:val="22"/>
        </w:rPr>
        <w:t>1.商业秘密</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（1）经营信息（发展规划、运营状况、客户资源、货源情报、投融资计划、开发计划、标书等）；</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（2）管理信息（管理方法、管理制度、员工管理、合同管理、纠纷管理等）；</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（3）产品及技术信息（设计及图纸、样品及服务、技术方案、质量标准、技术标准、计算机程序等）；</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（4）财务信息（财务收支、固定资产、流动资金、成本核算等）；</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eastAsia="宋体" w:cs="仿宋_GB2312"/>
          <w:sz w:val="22"/>
          <w:szCs w:val="22"/>
        </w:rPr>
      </w:pPr>
      <w:r>
        <w:rPr>
          <w:rFonts w:hint="eastAsia" w:ascii="宋体" w:hAnsi="宋体" w:eastAsia="宋体" w:cs="仿宋_GB2312"/>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eastAsia="宋体" w:cs="仿宋_GB2312"/>
          <w:sz w:val="22"/>
          <w:szCs w:val="22"/>
        </w:rPr>
      </w:pPr>
      <w:r>
        <w:rPr>
          <w:rFonts w:hint="eastAsia" w:ascii="宋体" w:hAnsi="宋体" w:eastAsia="宋体" w:cs="仿宋_GB2312"/>
          <w:sz w:val="22"/>
          <w:szCs w:val="22"/>
        </w:rPr>
        <w:t>1.3、对于上述提及的商业秘密，不能仅因为公开发表的文章或资讯中包含其内容，就认为是可对外公开的特殊情况。</w:t>
      </w:r>
    </w:p>
    <w:p>
      <w:pPr>
        <w:spacing w:line="560" w:lineRule="exact"/>
        <w:rPr>
          <w:rFonts w:ascii="宋体" w:hAnsi="宋体" w:eastAsia="宋体" w:cs="仿宋_GB2312"/>
          <w:sz w:val="22"/>
          <w:szCs w:val="22"/>
        </w:rPr>
      </w:pPr>
      <w:r>
        <w:rPr>
          <w:rFonts w:hint="eastAsia" w:ascii="宋体" w:hAnsi="宋体" w:eastAsia="宋体" w:cs="仿宋_GB2312"/>
          <w:sz w:val="22"/>
          <w:szCs w:val="22"/>
        </w:rPr>
        <w:t>1.4、以下资料不属于本承诺所指的商业秘密：</w:t>
      </w:r>
    </w:p>
    <w:p>
      <w:pPr>
        <w:spacing w:line="560" w:lineRule="exact"/>
        <w:rPr>
          <w:rFonts w:ascii="宋体" w:hAnsi="宋体" w:eastAsia="宋体" w:cs="仿宋_GB2312"/>
          <w:sz w:val="22"/>
          <w:szCs w:val="22"/>
        </w:rPr>
      </w:pPr>
      <w:r>
        <w:rPr>
          <w:rFonts w:hint="eastAsia" w:ascii="宋体" w:hAnsi="宋体" w:eastAsia="宋体" w:cs="仿宋_GB2312"/>
          <w:sz w:val="22"/>
          <w:szCs w:val="22"/>
        </w:rPr>
        <w:t>（1）我方从机场公司拟获悉之前已持有的我方无需承担保密义务的机场公司有关资料(但通过其它违约或侵权行为而获得的资料除外)；</w:t>
      </w:r>
    </w:p>
    <w:p>
      <w:pPr>
        <w:spacing w:line="560" w:lineRule="exact"/>
        <w:rPr>
          <w:rFonts w:ascii="宋体" w:hAnsi="宋体" w:eastAsia="宋体" w:cs="仿宋_GB2312"/>
          <w:sz w:val="22"/>
          <w:szCs w:val="22"/>
        </w:rPr>
      </w:pPr>
      <w:r>
        <w:rPr>
          <w:rFonts w:hint="eastAsia" w:ascii="宋体" w:hAnsi="宋体" w:eastAsia="宋体" w:cs="仿宋_GB2312"/>
          <w:sz w:val="22"/>
          <w:szCs w:val="22"/>
        </w:rPr>
        <w:t>（2）已经公开或已成为常识性的资料，且该等公开并非因违反本承诺所致。</w:t>
      </w:r>
    </w:p>
    <w:p>
      <w:pPr>
        <w:spacing w:line="560" w:lineRule="exact"/>
        <w:rPr>
          <w:rFonts w:ascii="宋体" w:hAnsi="宋体" w:eastAsia="宋体" w:cs="仿宋_GB2312"/>
          <w:sz w:val="22"/>
          <w:szCs w:val="22"/>
        </w:rPr>
      </w:pPr>
      <w:r>
        <w:rPr>
          <w:rFonts w:hint="eastAsia" w:ascii="宋体" w:hAnsi="宋体" w:eastAsia="宋体" w:cs="仿宋_GB2312"/>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eastAsia="宋体" w:cs="仿宋_GB2312"/>
          <w:sz w:val="22"/>
          <w:szCs w:val="22"/>
        </w:rPr>
      </w:pPr>
      <w:r>
        <w:rPr>
          <w:rFonts w:hint="eastAsia" w:ascii="宋体" w:hAnsi="宋体" w:eastAsia="宋体" w:cs="仿宋_GB2312"/>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（1）披露、使用或者允许他人以不正当手段获取的商业秘密；</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（2）为机场公司以外的第三人窃取、刺探、收买、非法提供商业秘密。</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（3）在电子公告系统、聊天系统、电子邮箱、论坛等计算机网络系统上传递、转发、抄送、发布、谈论和传播商业秘密；</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（5）擅自将属于商业秘密的文件、资料和其他物品携带、传递、寄运出机场公司办公场所或国（境）外。</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（7）将含有机场公司商业秘密的产品、技术或其他资料、信息向第三人销售、使用或以任何方式提供。</w:t>
      </w:r>
    </w:p>
    <w:p>
      <w:pPr>
        <w:spacing w:line="560" w:lineRule="exact"/>
        <w:rPr>
          <w:rFonts w:ascii="宋体" w:hAnsi="宋体" w:eastAsia="宋体" w:cs="仿宋_GB2312"/>
          <w:sz w:val="22"/>
          <w:szCs w:val="22"/>
        </w:rPr>
      </w:pPr>
      <w:r>
        <w:rPr>
          <w:rFonts w:hint="eastAsia" w:ascii="宋体" w:hAnsi="宋体" w:eastAsia="宋体" w:cs="仿宋_GB2312"/>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eastAsia="宋体" w:cs="仿宋_GB2312"/>
          <w:sz w:val="22"/>
          <w:szCs w:val="22"/>
        </w:rPr>
      </w:pPr>
      <w:r>
        <w:rPr>
          <w:rFonts w:hint="eastAsia" w:ascii="宋体" w:hAnsi="宋体" w:eastAsia="宋体" w:cs="仿宋_GB2312"/>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eastAsia="宋体" w:cs="仿宋_GB2312"/>
          <w:sz w:val="22"/>
          <w:szCs w:val="22"/>
        </w:rPr>
      </w:pPr>
      <w:r>
        <w:rPr>
          <w:rFonts w:hint="eastAsia" w:ascii="宋体" w:hAnsi="宋体" w:eastAsia="宋体" w:cs="仿宋_GB2312"/>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eastAsia="宋体" w:cs="仿宋_GB2312"/>
          <w:sz w:val="22"/>
          <w:szCs w:val="22"/>
        </w:rPr>
      </w:pPr>
    </w:p>
    <w:p>
      <w:pPr>
        <w:spacing w:line="560" w:lineRule="exact"/>
        <w:rPr>
          <w:rFonts w:ascii="宋体" w:hAnsi="宋体" w:eastAsia="宋体" w:cs="仿宋_GB2312"/>
          <w:sz w:val="22"/>
          <w:szCs w:val="22"/>
        </w:rPr>
      </w:pPr>
      <w:r>
        <w:rPr>
          <w:rFonts w:hint="eastAsia" w:ascii="宋体" w:hAnsi="宋体" w:eastAsia="宋体" w:cs="仿宋_GB2312"/>
          <w:sz w:val="22"/>
          <w:szCs w:val="22"/>
        </w:rPr>
        <w:t>8、违约责任</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8.1因我方违反保密义务的行为造成机场公司的一切损失，我方应当全部予以赔偿。</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eastAsia="宋体" w:cs="仿宋_GB2312"/>
          <w:sz w:val="22"/>
          <w:szCs w:val="22"/>
        </w:rPr>
      </w:pPr>
      <w:r>
        <w:rPr>
          <w:rFonts w:hint="eastAsia" w:ascii="宋体" w:hAnsi="宋体" w:eastAsia="宋体" w:cs="仿宋_GB2312"/>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eastAsia="宋体" w:cs="仿宋_GB2312"/>
          <w:sz w:val="22"/>
          <w:szCs w:val="22"/>
        </w:rPr>
      </w:pPr>
    </w:p>
    <w:p>
      <w:pPr>
        <w:spacing w:line="560" w:lineRule="exact"/>
        <w:rPr>
          <w:rFonts w:ascii="宋体" w:hAnsi="宋体" w:eastAsia="宋体" w:cs="仿宋_GB2312"/>
          <w:sz w:val="22"/>
          <w:szCs w:val="22"/>
        </w:rPr>
      </w:pPr>
    </w:p>
    <w:p>
      <w:pPr>
        <w:spacing w:line="560" w:lineRule="exact"/>
        <w:rPr>
          <w:rFonts w:ascii="宋体" w:hAnsi="宋体" w:eastAsia="宋体" w:cs="仿宋_GB2312"/>
          <w:sz w:val="22"/>
          <w:szCs w:val="22"/>
        </w:rPr>
      </w:pPr>
    </w:p>
    <w:p>
      <w:pPr>
        <w:spacing w:line="560" w:lineRule="exact"/>
        <w:rPr>
          <w:rFonts w:ascii="宋体" w:hAnsi="宋体" w:eastAsia="宋体" w:cs="仿宋_GB2312"/>
          <w:sz w:val="22"/>
          <w:szCs w:val="22"/>
        </w:rPr>
      </w:pPr>
    </w:p>
    <w:p>
      <w:pPr>
        <w:spacing w:line="560" w:lineRule="exact"/>
        <w:rPr>
          <w:rFonts w:ascii="宋体" w:hAnsi="宋体" w:eastAsia="宋体" w:cs="仿宋_GB2312"/>
          <w:sz w:val="22"/>
          <w:szCs w:val="22"/>
        </w:rPr>
      </w:pPr>
      <w:r>
        <w:rPr>
          <w:rFonts w:hint="eastAsia" w:ascii="宋体" w:hAnsi="宋体" w:eastAsia="宋体" w:cs="仿宋_GB2312"/>
          <w:sz w:val="22"/>
          <w:szCs w:val="22"/>
        </w:rPr>
        <w:t xml:space="preserve">                   供应商(盖章):</w:t>
      </w:r>
    </w:p>
    <w:p>
      <w:pPr>
        <w:spacing w:line="560" w:lineRule="exact"/>
        <w:jc w:val="center"/>
        <w:rPr>
          <w:rFonts w:ascii="宋体" w:hAnsi="宋体" w:eastAsia="宋体" w:cs="仿宋_GB2312"/>
          <w:sz w:val="22"/>
          <w:szCs w:val="22"/>
        </w:rPr>
      </w:pPr>
      <w:r>
        <w:rPr>
          <w:rFonts w:hint="eastAsia" w:ascii="宋体" w:hAnsi="宋体" w:eastAsia="宋体" w:cs="仿宋_GB2312"/>
          <w:sz w:val="22"/>
          <w:szCs w:val="22"/>
        </w:rPr>
        <w:t>法定代表人或授权代表：</w:t>
      </w:r>
    </w:p>
    <w:p>
      <w:pPr>
        <w:spacing w:line="560" w:lineRule="exact"/>
        <w:jc w:val="center"/>
        <w:rPr>
          <w:rFonts w:ascii="宋体" w:hAnsi="宋体" w:eastAsia="宋体" w:cs="仿宋_GB2312"/>
          <w:sz w:val="22"/>
          <w:szCs w:val="22"/>
        </w:rPr>
      </w:pPr>
    </w:p>
    <w:p>
      <w:pPr>
        <w:spacing w:line="560" w:lineRule="exact"/>
        <w:jc w:val="center"/>
        <w:rPr>
          <w:rFonts w:ascii="宋体" w:hAnsi="宋体" w:eastAsia="宋体" w:cs="仿宋_GB2312"/>
          <w:sz w:val="22"/>
          <w:szCs w:val="22"/>
        </w:rPr>
      </w:pPr>
    </w:p>
    <w:p>
      <w:pPr>
        <w:spacing w:line="560" w:lineRule="exact"/>
        <w:jc w:val="center"/>
        <w:rPr>
          <w:rFonts w:ascii="宋体" w:hAnsi="宋体" w:eastAsia="宋体" w:cs="仿宋_GB2312"/>
          <w:sz w:val="22"/>
          <w:szCs w:val="22"/>
        </w:rPr>
      </w:pPr>
    </w:p>
    <w:p>
      <w:pPr>
        <w:spacing w:line="560" w:lineRule="exact"/>
        <w:rPr>
          <w:rFonts w:ascii="宋体" w:hAnsi="宋体" w:eastAsia="宋体" w:cs="仿宋_GB2312"/>
          <w:sz w:val="22"/>
          <w:szCs w:val="22"/>
        </w:rPr>
      </w:pPr>
      <w:r>
        <w:rPr>
          <w:rFonts w:hint="eastAsia" w:ascii="宋体" w:hAnsi="宋体" w:eastAsia="宋体" w:cs="仿宋_GB2312"/>
          <w:sz w:val="22"/>
          <w:szCs w:val="22"/>
        </w:rPr>
        <w:t xml:space="preserve">                       电话/传真：</w:t>
      </w:r>
    </w:p>
    <w:p>
      <w:pPr>
        <w:spacing w:line="560" w:lineRule="exact"/>
        <w:jc w:val="center"/>
        <w:rPr>
          <w:rFonts w:ascii="宋体" w:hAnsi="宋体" w:eastAsia="宋体" w:cs="仿宋_GB2312"/>
          <w:sz w:val="22"/>
          <w:szCs w:val="22"/>
        </w:rPr>
      </w:pPr>
    </w:p>
    <w:p>
      <w:pPr>
        <w:spacing w:line="560" w:lineRule="exact"/>
        <w:rPr>
          <w:rFonts w:ascii="宋体" w:hAnsi="宋体" w:eastAsia="宋体" w:cs="仿宋_GB2312"/>
          <w:sz w:val="22"/>
          <w:szCs w:val="22"/>
        </w:rPr>
      </w:pPr>
      <w:r>
        <w:rPr>
          <w:rFonts w:hint="eastAsia" w:ascii="宋体" w:hAnsi="宋体" w:eastAsia="宋体" w:cs="仿宋_GB2312"/>
          <w:sz w:val="22"/>
          <w:szCs w:val="22"/>
        </w:rPr>
        <w:t xml:space="preserve">                       地址：</w:t>
      </w:r>
    </w:p>
    <w:p>
      <w:pPr>
        <w:spacing w:line="560" w:lineRule="exact"/>
        <w:rPr>
          <w:rFonts w:ascii="宋体" w:hAnsi="宋体" w:eastAsia="宋体" w:cs="仿宋_GB2312"/>
          <w:sz w:val="22"/>
          <w:szCs w:val="22"/>
        </w:rPr>
      </w:pPr>
    </w:p>
    <w:p>
      <w:pPr>
        <w:spacing w:line="560" w:lineRule="exact"/>
        <w:rPr>
          <w:rFonts w:ascii="宋体" w:hAnsi="宋体" w:eastAsia="宋体" w:cs="仿宋_GB2312"/>
          <w:sz w:val="22"/>
          <w:szCs w:val="22"/>
        </w:rPr>
      </w:pPr>
    </w:p>
    <w:p>
      <w:pPr>
        <w:snapToGrid w:val="0"/>
        <w:spacing w:line="560" w:lineRule="exact"/>
        <w:jc w:val="center"/>
        <w:rPr>
          <w:rFonts w:ascii="宋体" w:hAnsi="宋体" w:eastAsia="宋体" w:cs="仿宋_GB2312"/>
          <w:sz w:val="22"/>
          <w:szCs w:val="22"/>
        </w:rPr>
      </w:pPr>
      <w:r>
        <w:rPr>
          <w:rFonts w:hint="eastAsia" w:ascii="宋体" w:hAnsi="宋体" w:eastAsia="宋体" w:cs="仿宋_GB2312"/>
          <w:sz w:val="22"/>
          <w:szCs w:val="22"/>
        </w:rPr>
        <w:t>日期：     年   月   日</w:t>
      </w:r>
    </w:p>
    <w:p>
      <w:pPr>
        <w:ind w:firstLine="440"/>
        <w:rPr>
          <w:rFonts w:ascii="宋体" w:hAnsi="宋体" w:eastAsia="宋体"/>
          <w:sz w:val="22"/>
          <w:szCs w:val="22"/>
        </w:rPr>
      </w:pPr>
    </w:p>
    <w:p>
      <w:pPr>
        <w:ind w:firstLine="420"/>
        <w:rPr>
          <w:rFonts w:ascii="宋体" w:hAnsi="宋体" w:eastAsia="宋体"/>
          <w:sz w:val="22"/>
          <w:szCs w:val="22"/>
        </w:rPr>
      </w:pPr>
    </w:p>
    <w:p>
      <w:pPr>
        <w:pStyle w:val="53"/>
        <w:rPr>
          <w:rFonts w:ascii="宋体" w:hAnsi="宋体" w:eastAsia="宋体"/>
          <w:sz w:val="22"/>
          <w:szCs w:val="22"/>
        </w:rPr>
      </w:pPr>
      <w:bookmarkStart w:id="78" w:name="_Toc206217401"/>
      <w:bookmarkStart w:id="79" w:name="_Toc90452722"/>
    </w:p>
    <w:bookmarkEnd w:id="78"/>
    <w:bookmarkEnd w:id="79"/>
    <w:p>
      <w:pPr>
        <w:pStyle w:val="2"/>
        <w:spacing w:before="0" w:after="0"/>
        <w:jc w:val="both"/>
        <w:rPr>
          <w:rFonts w:ascii="宋体" w:hAnsi="宋体" w:cs="Calibri"/>
          <w:kern w:val="0"/>
          <w:sz w:val="22"/>
          <w:szCs w:val="22"/>
        </w:rPr>
      </w:pPr>
      <w:bookmarkStart w:id="80" w:name="_Toc275274581"/>
      <w:r>
        <w:rPr>
          <w:rFonts w:ascii="宋体" w:hAnsi="宋体"/>
          <w:sz w:val="22"/>
          <w:szCs w:val="22"/>
        </w:rPr>
        <w:br w:type="page"/>
      </w:r>
    </w:p>
    <w:p>
      <w:pPr>
        <w:pStyle w:val="53"/>
      </w:pPr>
      <w:r>
        <w:rPr>
          <w:rFonts w:hint="eastAsia"/>
        </w:rPr>
        <w:t>第五章</w:t>
      </w:r>
      <w:r>
        <w:t xml:space="preserve">  </w:t>
      </w:r>
      <w:r>
        <w:rPr>
          <w:rFonts w:hint="eastAsia"/>
        </w:rPr>
        <w:t>评标方法及标准</w:t>
      </w:r>
    </w:p>
    <w:p>
      <w:pPr>
        <w:pStyle w:val="30"/>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0"/>
        <w:spacing w:line="360" w:lineRule="exact"/>
        <w:rPr>
          <w:rFonts w:hAnsi="宋体" w:cs="Calibri"/>
          <w:b/>
          <w:bCs/>
          <w:sz w:val="22"/>
          <w:szCs w:val="22"/>
        </w:rPr>
      </w:pPr>
      <w:r>
        <w:rPr>
          <w:rFonts w:hint="eastAsia" w:hAnsi="宋体" w:cs="Calibri"/>
          <w:b/>
          <w:bCs/>
          <w:sz w:val="22"/>
          <w:szCs w:val="22"/>
        </w:rPr>
        <w:t>一、评标原则</w:t>
      </w:r>
    </w:p>
    <w:p>
      <w:pPr>
        <w:pStyle w:val="30"/>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30"/>
        <w:spacing w:line="360" w:lineRule="exact"/>
        <w:rPr>
          <w:rFonts w:hAnsi="宋体" w:cs="Calibri"/>
          <w:b/>
          <w:bCs/>
          <w:sz w:val="22"/>
          <w:szCs w:val="22"/>
        </w:rPr>
      </w:pPr>
      <w:r>
        <w:rPr>
          <w:rFonts w:hint="eastAsia" w:hAnsi="宋体" w:cs="Calibri"/>
          <w:b/>
          <w:bCs/>
          <w:sz w:val="22"/>
          <w:szCs w:val="22"/>
        </w:rPr>
        <w:t>二、评标组织</w:t>
      </w:r>
    </w:p>
    <w:p>
      <w:pPr>
        <w:pStyle w:val="30"/>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评标委员会由招标人自行组建。</w:t>
      </w:r>
    </w:p>
    <w:p>
      <w:pPr>
        <w:pStyle w:val="30"/>
        <w:spacing w:line="360" w:lineRule="exact"/>
        <w:rPr>
          <w:rFonts w:hAnsi="宋体" w:cs="Calibri"/>
          <w:b/>
          <w:bCs/>
          <w:sz w:val="22"/>
          <w:szCs w:val="22"/>
        </w:rPr>
      </w:pPr>
      <w:r>
        <w:rPr>
          <w:rFonts w:hint="eastAsia" w:hAnsi="宋体" w:cs="Calibri"/>
          <w:b/>
          <w:bCs/>
          <w:sz w:val="22"/>
          <w:szCs w:val="22"/>
        </w:rPr>
        <w:t>三、投标文件的评审</w:t>
      </w:r>
    </w:p>
    <w:p>
      <w:pPr>
        <w:pStyle w:val="30"/>
        <w:spacing w:line="360" w:lineRule="exact"/>
        <w:ind w:firstLine="442"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hint="eastAsia" w:ascii="宋体" w:hAnsi="宋体" w:cs="Calibri"/>
          <w:bCs/>
          <w:kern w:val="0"/>
          <w:sz w:val="22"/>
          <w:szCs w:val="22"/>
        </w:rPr>
        <w:t>3.1.1评标委员会应依照招标文件的要求和规定首先对投标人的投标资格和投标文件进行符合性审查，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hint="eastAsia" w:ascii="宋体" w:hAnsi="宋体" w:cs="Calibri"/>
          <w:sz w:val="22"/>
          <w:szCs w:val="22"/>
        </w:rPr>
        <w:t>1、</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hint="eastAsia"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hint="eastAsia"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hint="eastAsia"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hint="eastAsia" w:ascii="宋体" w:hAnsi="宋体" w:cs="Calibri"/>
          <w:sz w:val="22"/>
          <w:szCs w:val="22"/>
        </w:rPr>
        <w:t>5、供货期不满足招标文件要求的；</w:t>
      </w:r>
    </w:p>
    <w:p>
      <w:pPr>
        <w:spacing w:line="360" w:lineRule="exact"/>
        <w:ind w:firstLine="470" w:firstLineChars="214"/>
        <w:rPr>
          <w:rFonts w:ascii="宋体" w:hAnsi="宋体" w:cs="Calibri"/>
          <w:kern w:val="0"/>
          <w:sz w:val="22"/>
          <w:szCs w:val="22"/>
        </w:rPr>
      </w:pPr>
      <w:r>
        <w:rPr>
          <w:rFonts w:hint="eastAsia" w:ascii="宋体" w:hAnsi="宋体" w:cs="Calibri"/>
          <w:sz w:val="22"/>
          <w:szCs w:val="22"/>
        </w:rPr>
        <w:t>6、不</w:t>
      </w:r>
      <w:r>
        <w:rPr>
          <w:rFonts w:hint="eastAsia" w:ascii="宋体" w:hAnsi="宋体" w:cs="Calibri"/>
          <w:kern w:val="0"/>
          <w:sz w:val="22"/>
          <w:szCs w:val="22"/>
        </w:rPr>
        <w:t>响应招标文件规定的技术规格要求（技术规格要求用“★”标示的）</w:t>
      </w:r>
    </w:p>
    <w:p>
      <w:pPr>
        <w:spacing w:line="360" w:lineRule="exact"/>
        <w:ind w:firstLine="470" w:firstLineChars="214"/>
        <w:rPr>
          <w:rFonts w:ascii="宋体" w:hAnsi="宋体" w:cs="Calibri"/>
          <w:sz w:val="22"/>
          <w:szCs w:val="22"/>
        </w:rPr>
      </w:pPr>
      <w:r>
        <w:rPr>
          <w:rFonts w:hint="eastAsia"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hint="eastAsia"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9、存在法律、法规、规章规定的其它无效投标情况的。</w:t>
      </w:r>
    </w:p>
    <w:p>
      <w:pPr>
        <w:widowControl/>
        <w:tabs>
          <w:tab w:val="left" w:pos="709"/>
        </w:tabs>
        <w:snapToGrid w:val="0"/>
        <w:spacing w:line="360" w:lineRule="exact"/>
        <w:ind w:firstLine="446" w:firstLineChars="202"/>
        <w:rPr>
          <w:rFonts w:ascii="宋体" w:hAnsi="宋体" w:cs="Calibri"/>
          <w:b/>
          <w:sz w:val="22"/>
          <w:szCs w:val="22"/>
        </w:rPr>
      </w:pPr>
      <w:r>
        <w:rPr>
          <w:rFonts w:hint="eastAsia" w:ascii="宋体" w:hAnsi="宋体" w:cs="Calibri"/>
          <w:b/>
          <w:sz w:val="22"/>
          <w:szCs w:val="22"/>
        </w:rPr>
        <w:t>3.1.2 报价算术性修正</w:t>
      </w:r>
    </w:p>
    <w:p>
      <w:pPr>
        <w:pStyle w:val="30"/>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0"/>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0"/>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0"/>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30"/>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0"/>
        <w:spacing w:line="360" w:lineRule="exact"/>
        <w:ind w:firstLine="442" w:firstLineChars="200"/>
        <w:rPr>
          <w:rFonts w:hAnsi="宋体" w:cs="Calibri"/>
          <w:b/>
          <w:sz w:val="22"/>
          <w:szCs w:val="22"/>
        </w:rPr>
      </w:pPr>
      <w:r>
        <w:rPr>
          <w:rFonts w:hint="eastAsia" w:hAnsi="宋体" w:cs="Calibri"/>
          <w:b/>
          <w:sz w:val="22"/>
          <w:szCs w:val="22"/>
        </w:rPr>
        <w:t>3.2 投标文件的澄清和补正</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hint="eastAsia" w:ascii="宋体" w:hAnsi="宋体" w:cs="Calibri"/>
          <w:b/>
          <w:sz w:val="22"/>
          <w:szCs w:val="22"/>
        </w:rPr>
        <w:t>3.3</w:t>
      </w:r>
      <w:r>
        <w:rPr>
          <w:rFonts w:hint="eastAsia" w:ascii="宋体" w:hAnsi="宋体"/>
          <w:b/>
          <w:color w:val="000000"/>
          <w:sz w:val="22"/>
          <w:szCs w:val="22"/>
        </w:rPr>
        <w:t>评标细则</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0"/>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0"/>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3.3.1商务报价分85分</w:t>
      </w:r>
    </w:p>
    <w:p>
      <w:pPr>
        <w:pStyle w:val="30"/>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投标人的投标价等于评标基准价的得85分，每高于评标基准价1%的扣1分，每低于评标基准价1%的扣0.5分（不足1个百分点按插值法计算，小数点后保留二位，四舍五入，商务分最低得分为30分）</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0-15分</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7"/>
        <w:tblW w:w="5916" w:type="dxa"/>
        <w:tblInd w:w="1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360" w:lineRule="exact"/>
              <w:jc w:val="center"/>
              <w:rPr>
                <w:rFonts w:hAnsi="宋体" w:cs="Courier New"/>
                <w:kern w:val="2"/>
                <w:sz w:val="22"/>
                <w:szCs w:val="22"/>
              </w:rPr>
            </w:pPr>
            <w:r>
              <w:rPr>
                <w:rFonts w:hint="eastAsia" w:hAnsi="宋体" w:cs="Courier New"/>
                <w:kern w:val="2"/>
                <w:sz w:val="22"/>
                <w:szCs w:val="22"/>
              </w:rPr>
              <w:t>评定项目</w:t>
            </w:r>
          </w:p>
        </w:tc>
        <w:tc>
          <w:tcPr>
            <w:tcW w:w="1842"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360" w:lineRule="exact"/>
              <w:jc w:val="center"/>
              <w:rPr>
                <w:rFonts w:hAnsi="宋体" w:cs="Courier New"/>
                <w:kern w:val="2"/>
                <w:sz w:val="22"/>
                <w:szCs w:val="22"/>
              </w:rPr>
            </w:pPr>
            <w:r>
              <w:rPr>
                <w:rFonts w:hint="eastAsia"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Theme="minorEastAsia" w:hAnsiTheme="minorEastAsia"/>
                <w:sz w:val="22"/>
                <w:szCs w:val="22"/>
              </w:rPr>
            </w:pPr>
            <w:r>
              <w:rPr>
                <w:rFonts w:hint="eastAsia" w:asciiTheme="minorEastAsia" w:hAnsiTheme="minorEastAsia"/>
                <w:sz w:val="22"/>
                <w:szCs w:val="22"/>
              </w:rPr>
              <w:t>投标设备品牌的优劣横向比较（优得5分，好得4分，一般得3分，差得0分）</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sz w:val="22"/>
                <w:szCs w:val="22"/>
              </w:rPr>
            </w:pPr>
            <w:r>
              <w:rPr>
                <w:rFonts w:hint="eastAsia" w:ascii="宋体" w:hAnsi="宋体"/>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pacing w:beforeLines="10" w:afterLines="10" w:line="300" w:lineRule="auto"/>
              <w:jc w:val="center"/>
              <w:rPr>
                <w:rFonts w:ascii="宋体" w:hAnsi="宋体" w:cs="宋体"/>
                <w:kern w:val="0"/>
                <w:sz w:val="22"/>
                <w:szCs w:val="22"/>
              </w:rPr>
            </w:pPr>
            <w:r>
              <w:rPr>
                <w:rFonts w:hint="eastAsia" w:ascii="宋体" w:hAnsi="宋体" w:cs="宋体"/>
                <w:kern w:val="0"/>
                <w:sz w:val="22"/>
                <w:szCs w:val="22"/>
              </w:rPr>
              <w:t>售后服务方案</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sz w:val="22"/>
                <w:szCs w:val="22"/>
              </w:rPr>
            </w:pPr>
            <w:r>
              <w:rPr>
                <w:rFonts w:hint="eastAsia" w:ascii="宋体" w:hAnsi="宋体"/>
                <w:sz w:val="22"/>
                <w:szCs w:val="22"/>
              </w:rPr>
              <w:t>服务器切换方案</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sz w:val="22"/>
                <w:szCs w:val="22"/>
              </w:rPr>
            </w:pPr>
            <w:r>
              <w:rPr>
                <w:rFonts w:hint="eastAsia" w:ascii="宋体" w:hAnsi="宋体"/>
                <w:sz w:val="22"/>
                <w:szCs w:val="22"/>
              </w:rPr>
              <w:t>0-5分</w:t>
            </w:r>
          </w:p>
        </w:tc>
      </w:tr>
    </w:tbl>
    <w:p>
      <w:pPr>
        <w:pStyle w:val="30"/>
        <w:spacing w:line="360" w:lineRule="exact"/>
        <w:rPr>
          <w:rFonts w:hAnsi="宋体" w:cs="Calibri"/>
          <w:b/>
          <w:sz w:val="22"/>
          <w:szCs w:val="22"/>
        </w:rPr>
      </w:pPr>
      <w:r>
        <w:rPr>
          <w:rFonts w:hint="eastAsia" w:hAnsi="宋体" w:cs="Calibri"/>
          <w:b/>
          <w:sz w:val="22"/>
          <w:szCs w:val="22"/>
        </w:rPr>
        <w:t>3.4推荐中标候选人</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3.3.1当有效投标文件大于等于二名时，评标委员会得分最高、次高的投标人为中标候选人（如果得分相同则按投标人报价从低到高顺序推荐为中标候选人，如果投标报价也相同，则抽签决定）。</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3.3.3当有效投标文件只有一名时，则由评标委员会确定是否推荐为中标候选人。</w:t>
      </w:r>
    </w:p>
    <w:p>
      <w:pPr>
        <w:pStyle w:val="30"/>
        <w:spacing w:line="360" w:lineRule="exact"/>
        <w:rPr>
          <w:rFonts w:hAnsi="宋体" w:cs="Calibri"/>
          <w:b/>
          <w:sz w:val="22"/>
          <w:szCs w:val="22"/>
        </w:rPr>
      </w:pPr>
      <w:r>
        <w:rPr>
          <w:rFonts w:hint="eastAsia" w:hAnsi="宋体" w:cs="Calibri"/>
          <w:b/>
          <w:sz w:val="22"/>
          <w:szCs w:val="22"/>
        </w:rPr>
        <w:t>3.5评标报告</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0"/>
        <w:spacing w:line="360" w:lineRule="exact"/>
        <w:rPr>
          <w:rFonts w:hAnsi="宋体" w:cs="Calibri"/>
          <w:b/>
          <w:sz w:val="22"/>
          <w:szCs w:val="22"/>
        </w:rPr>
      </w:pPr>
      <w:r>
        <w:rPr>
          <w:rFonts w:hint="eastAsia" w:hAnsi="宋体" w:cs="Calibri"/>
          <w:b/>
          <w:sz w:val="22"/>
          <w:szCs w:val="22"/>
        </w:rPr>
        <w:t>四、定标</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0"/>
        <w:adjustRightInd w:val="0"/>
        <w:snapToGrid w:val="0"/>
        <w:spacing w:line="360" w:lineRule="exact"/>
        <w:ind w:firstLine="440" w:firstLineChars="200"/>
        <w:rPr>
          <w:rFonts w:hAnsi="宋体" w:cs="Calibri"/>
          <w:sz w:val="22"/>
          <w:szCs w:val="22"/>
        </w:rPr>
      </w:pPr>
      <w:r>
        <w:rPr>
          <w:rFonts w:hint="eastAsia"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0"/>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Pr>
        <w:pStyle w:val="53"/>
        <w:rPr>
          <w:rFonts w:hAnsi="宋体" w:cs="Calibri"/>
          <w:sz w:val="22"/>
          <w:szCs w:val="22"/>
        </w:rPr>
      </w:pPr>
    </w:p>
    <w:p/>
    <w:p/>
    <w:p/>
    <w:p/>
    <w:p/>
    <w:p>
      <w:pPr>
        <w:pStyle w:val="53"/>
        <w:rPr>
          <w:rFonts w:hAnsi="宋体" w:cs="Calibri"/>
          <w:sz w:val="22"/>
          <w:szCs w:val="22"/>
        </w:rPr>
      </w:pPr>
    </w:p>
    <w:p/>
    <w:p/>
    <w:p/>
    <w:p/>
    <w:p/>
    <w:p/>
    <w:p/>
    <w:p>
      <w:pPr>
        <w:pStyle w:val="53"/>
      </w:pPr>
      <w:bookmarkStart w:id="81" w:name="_Toc321925457"/>
    </w:p>
    <w:p>
      <w:pPr>
        <w:pStyle w:val="53"/>
      </w:pPr>
      <w:r>
        <w:t>第</w:t>
      </w:r>
      <w:r>
        <w:rPr>
          <w:rFonts w:hint="eastAsia"/>
        </w:rPr>
        <w:t>六</w:t>
      </w:r>
      <w:r>
        <w:t>章  投标文件格式</w:t>
      </w:r>
      <w:bookmarkEnd w:id="80"/>
      <w:bookmarkEnd w:id="8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2" w:name="_Toc171421958"/>
      <w:r>
        <w:rPr>
          <w:rFonts w:cs="Calibri"/>
          <w:color w:val="000000"/>
        </w:rPr>
        <w:t>封面</w:t>
      </w:r>
      <w:bookmarkEnd w:id="8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0"/>
        <w:spacing w:afterLines="50"/>
        <w:jc w:val="left"/>
        <w:rPr>
          <w:rFonts w:hAnsi="宋体" w:cs="宋体"/>
          <w:b/>
        </w:rPr>
      </w:pPr>
      <w:r>
        <w:rPr>
          <w:rFonts w:hAnsi="宋体" w:cs="宋体"/>
          <w:b/>
        </w:rPr>
        <w:br w:type="page"/>
      </w:r>
      <w:bookmarkStart w:id="83" w:name="_Toc133214102"/>
      <w:bookmarkStart w:id="84" w:name="_Toc133214309"/>
      <w:bookmarkStart w:id="85" w:name="_Toc144265958"/>
      <w:bookmarkStart w:id="86" w:name="_Toc133470542"/>
      <w:bookmarkStart w:id="87" w:name="_Toc137373398"/>
    </w:p>
    <w:p>
      <w:pPr>
        <w:pStyle w:val="30"/>
        <w:spacing w:afterLines="50"/>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0"/>
        <w:spacing w:afterLines="50"/>
        <w:jc w:val="center"/>
        <w:rPr>
          <w:rFonts w:hAnsi="宋体" w:cs="宋体"/>
        </w:rPr>
      </w:pPr>
    </w:p>
    <w:p>
      <w:pPr>
        <w:pStyle w:val="30"/>
        <w:numPr>
          <w:ilvl w:val="1"/>
          <w:numId w:val="8"/>
        </w:numPr>
        <w:snapToGrid w:val="0"/>
        <w:spacing w:beforeLines="50" w:line="360" w:lineRule="exact"/>
        <w:rPr>
          <w:rFonts w:hAnsi="宋体" w:cs="宋体"/>
          <w:b/>
          <w:sz w:val="22"/>
          <w:szCs w:val="22"/>
        </w:rPr>
      </w:pPr>
      <w:r>
        <w:rPr>
          <w:rFonts w:hint="eastAsia" w:hAnsi="宋体" w:cs="宋体"/>
          <w:b/>
          <w:sz w:val="22"/>
          <w:szCs w:val="22"/>
        </w:rPr>
        <w:t>总则</w:t>
      </w:r>
    </w:p>
    <w:p>
      <w:pPr>
        <w:pStyle w:val="30"/>
        <w:numPr>
          <w:ilvl w:val="1"/>
          <w:numId w:val="9"/>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0"/>
        <w:numPr>
          <w:ilvl w:val="1"/>
          <w:numId w:val="9"/>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0"/>
        <w:numPr>
          <w:ilvl w:val="1"/>
          <w:numId w:val="9"/>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0"/>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0"/>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0"/>
        <w:numPr>
          <w:ilvl w:val="1"/>
          <w:numId w:val="9"/>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0"/>
        <w:numPr>
          <w:ilvl w:val="1"/>
          <w:numId w:val="8"/>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3"/>
    <w:bookmarkEnd w:id="84"/>
    <w:bookmarkEnd w:id="85"/>
    <w:bookmarkEnd w:id="86"/>
    <w:bookmarkEnd w:id="87"/>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rPr>
                <w:rFonts w:ascii="宋体" w:hAnsi="宋体" w:cs="宋体"/>
                <w:b/>
                <w:sz w:val="22"/>
              </w:rPr>
            </w:pPr>
            <w:r>
              <w:rPr>
                <w:rFonts w:hint="eastAsia" w:ascii="宋体" w:hAnsi="宋体" w:cs="宋体"/>
                <w:b/>
                <w:sz w:val="22"/>
              </w:rPr>
              <w:t>序 号</w:t>
            </w:r>
          </w:p>
        </w:tc>
        <w:tc>
          <w:tcPr>
            <w:tcW w:w="2976" w:type="dxa"/>
            <w:vAlign w:val="center"/>
          </w:tcPr>
          <w:p>
            <w:pPr>
              <w:snapToGrid w:val="0"/>
              <w:rPr>
                <w:rFonts w:ascii="宋体" w:hAnsi="宋体" w:cs="宋体"/>
                <w:b/>
                <w:sz w:val="22"/>
              </w:rPr>
            </w:pPr>
            <w:r>
              <w:rPr>
                <w:rFonts w:hint="eastAsia" w:ascii="宋体" w:hAnsi="宋体" w:cs="宋体"/>
                <w:b/>
                <w:sz w:val="22"/>
              </w:rPr>
              <w:t>内    容</w:t>
            </w:r>
          </w:p>
        </w:tc>
        <w:tc>
          <w:tcPr>
            <w:tcW w:w="3544" w:type="dxa"/>
            <w:vAlign w:val="center"/>
          </w:tcPr>
          <w:p>
            <w:pPr>
              <w:snapToGrid w:val="0"/>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hint="eastAsia" w:ascii="宋体" w:hAnsi="宋体" w:cs="宋体"/>
                <w:sz w:val="22"/>
              </w:rPr>
              <w:t>1</w:t>
            </w:r>
          </w:p>
        </w:tc>
        <w:tc>
          <w:tcPr>
            <w:tcW w:w="2976" w:type="dxa"/>
            <w:vAlign w:val="center"/>
          </w:tcPr>
          <w:p>
            <w:pPr>
              <w:snapToGrid w:val="0"/>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hint="eastAsia" w:ascii="宋体" w:hAnsi="宋体" w:cs="宋体"/>
                <w:sz w:val="22"/>
              </w:rPr>
              <w:t>2</w:t>
            </w:r>
          </w:p>
        </w:tc>
        <w:tc>
          <w:tcPr>
            <w:tcW w:w="2976" w:type="dxa"/>
            <w:vAlign w:val="center"/>
          </w:tcPr>
          <w:p>
            <w:pPr>
              <w:snapToGrid w:val="0"/>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rPr>
                <w:rFonts w:ascii="宋体" w:hAnsi="宋体" w:cs="宋体"/>
                <w:sz w:val="22"/>
              </w:rPr>
            </w:pPr>
          </w:p>
        </w:tc>
        <w:tc>
          <w:tcPr>
            <w:tcW w:w="2976" w:type="dxa"/>
            <w:vAlign w:val="center"/>
          </w:tcPr>
          <w:p>
            <w:pPr>
              <w:snapToGrid w:val="0"/>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8" w:name="_Toc133470544"/>
      <w:bookmarkStart w:id="89" w:name="_Toc137373399"/>
      <w:bookmarkStart w:id="90" w:name="_Toc133214310"/>
      <w:bookmarkStart w:id="91" w:name="_Toc133214103"/>
    </w:p>
    <w:p>
      <w:pPr>
        <w:spacing w:line="360" w:lineRule="auto"/>
        <w:jc w:val="center"/>
        <w:rPr>
          <w:rFonts w:ascii="宋体" w:hAnsi="宋体" w:cs="宋体"/>
          <w:b/>
          <w:sz w:val="32"/>
          <w:szCs w:val="32"/>
        </w:rPr>
      </w:pPr>
      <w:bookmarkStart w:id="92" w:name="_Toc144265959"/>
      <w:r>
        <w:rPr>
          <w:rFonts w:hint="eastAsia" w:ascii="宋体" w:hAnsi="宋体" w:cs="宋体"/>
          <w:b/>
          <w:sz w:val="32"/>
          <w:szCs w:val="32"/>
        </w:rPr>
        <w:br w:type="page"/>
      </w:r>
    </w:p>
    <w:bookmarkEnd w:id="88"/>
    <w:bookmarkEnd w:id="89"/>
    <w:bookmarkEnd w:id="90"/>
    <w:bookmarkEnd w:id="91"/>
    <w:bookmarkEnd w:id="9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  价  （不含税）</w:t>
            </w:r>
          </w:p>
        </w:tc>
        <w:tc>
          <w:tcPr>
            <w:tcW w:w="1456"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rPr>
                <w:rFonts w:ascii="宋体" w:hAnsi="宋体"/>
                <w:b/>
                <w:bCs/>
                <w:kern w:val="0"/>
                <w:szCs w:val="21"/>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rPr>
                <w:rFonts w:ascii="宋体" w:hAnsi="宋体" w:cs="宋体"/>
                <w:b/>
                <w:bCs/>
                <w:kern w:val="0"/>
                <w:sz w:val="20"/>
              </w:rPr>
            </w:pPr>
          </w:p>
        </w:tc>
        <w:tc>
          <w:tcPr>
            <w:tcW w:w="1032" w:type="dxa"/>
            <w:shd w:val="clear" w:color="000000" w:fill="FFFFFF"/>
            <w:vAlign w:val="center"/>
          </w:tcPr>
          <w:p>
            <w:pPr>
              <w:widowControl/>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rPr>
                <w:rFonts w:ascii="宋体" w:hAnsi="宋体" w:cs="宋体"/>
                <w:b/>
                <w:bCs/>
                <w:kern w:val="0"/>
                <w:sz w:val="20"/>
              </w:rPr>
            </w:pPr>
          </w:p>
        </w:tc>
        <w:tc>
          <w:tcPr>
            <w:tcW w:w="1533" w:type="dxa"/>
            <w:shd w:val="clear" w:color="000000" w:fill="FFFFFF"/>
            <w:vAlign w:val="center"/>
          </w:tcPr>
          <w:p>
            <w:pPr>
              <w:widowControl/>
              <w:rPr>
                <w:rFonts w:ascii="宋体" w:hAnsi="宋体" w:cs="宋体"/>
                <w:b/>
                <w:bCs/>
                <w:kern w:val="0"/>
                <w:sz w:val="20"/>
              </w:rPr>
            </w:pPr>
          </w:p>
        </w:tc>
        <w:tc>
          <w:tcPr>
            <w:tcW w:w="1456"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7"/>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单  价（不含税）</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kern w:val="0"/>
                <w:sz w:val="20"/>
              </w:rPr>
            </w:pPr>
          </w:p>
        </w:tc>
        <w:tc>
          <w:tcPr>
            <w:tcW w:w="2552" w:type="dxa"/>
            <w:shd w:val="clear" w:color="000000" w:fill="FFFFFF"/>
            <w:vAlign w:val="center"/>
          </w:tcPr>
          <w:p>
            <w:pPr>
              <w:widowControl/>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134" w:type="dxa"/>
            <w:vMerge w:val="restart"/>
            <w:vAlign w:val="center"/>
          </w:tcPr>
          <w:p>
            <w:pPr>
              <w:widowControl/>
              <w:rPr>
                <w:rFonts w:ascii="宋体" w:hAnsi="宋体" w:cs="宋体"/>
                <w:kern w:val="0"/>
                <w:sz w:val="20"/>
              </w:rPr>
            </w:pPr>
            <w:r>
              <w:rPr>
                <w:rFonts w:hint="eastAsia" w:ascii="宋体" w:hAnsi="宋体" w:cs="宋体"/>
                <w:kern w:val="0"/>
                <w:sz w:val="20"/>
              </w:rPr>
              <w:t>　　</w:t>
            </w:r>
          </w:p>
        </w:tc>
        <w:tc>
          <w:tcPr>
            <w:tcW w:w="567" w:type="dxa"/>
            <w:vMerge w:val="restart"/>
            <w:vAlign w:val="center"/>
          </w:tcPr>
          <w:p>
            <w:pPr>
              <w:widowControl/>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7812" w:type="dxa"/>
            <w:gridSpan w:val="8"/>
            <w:vAlign w:val="center"/>
          </w:tcPr>
          <w:p>
            <w:pPr>
              <w:jc w:val="center"/>
              <w:rPr>
                <w:rFonts w:ascii="宋体" w:hAnsi="宋体" w:cs="宋体"/>
                <w:b/>
                <w:bCs/>
                <w:kern w:val="0"/>
                <w:sz w:val="20"/>
              </w:rPr>
            </w:pPr>
            <w:r>
              <w:rPr>
                <w:rFonts w:hint="eastAsia" w:ascii="宋体" w:hAnsi="宋体" w:cs="宋体"/>
                <w:b/>
                <w:bCs/>
                <w:kern w:val="0"/>
                <w:sz w:val="20"/>
              </w:rPr>
              <w:t>税率</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7812" w:type="dxa"/>
            <w:gridSpan w:val="8"/>
            <w:vAlign w:val="center"/>
          </w:tcPr>
          <w:p>
            <w:pPr>
              <w:jc w:val="center"/>
              <w:rPr>
                <w:rFonts w:ascii="宋体" w:hAnsi="宋体" w:cs="宋体"/>
                <w:b/>
                <w:bCs/>
                <w:kern w:val="0"/>
                <w:sz w:val="20"/>
              </w:rPr>
            </w:pPr>
            <w:r>
              <w:rPr>
                <w:rFonts w:hint="eastAsia" w:ascii="宋体" w:hAnsi="宋体" w:cs="宋体"/>
                <w:b/>
                <w:bCs/>
                <w:kern w:val="0"/>
                <w:sz w:val="20"/>
              </w:rPr>
              <w:t>合计（含税）</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7"/>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xml:space="preserve"> 合  价 （不含税）</w:t>
            </w:r>
          </w:p>
        </w:tc>
        <w:tc>
          <w:tcPr>
            <w:tcW w:w="567" w:type="dxa"/>
            <w:vMerge w:val="restart"/>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rPr>
                <w:rFonts w:ascii="宋体" w:hAnsi="宋体" w:cs="宋体"/>
                <w:b/>
                <w:kern w:val="0"/>
                <w:sz w:val="20"/>
              </w:rPr>
            </w:pPr>
          </w:p>
        </w:tc>
        <w:tc>
          <w:tcPr>
            <w:tcW w:w="2552" w:type="dxa"/>
            <w:shd w:val="clear" w:color="000000" w:fill="FFFFFF"/>
            <w:vAlign w:val="center"/>
          </w:tcPr>
          <w:p>
            <w:pPr>
              <w:widowControl/>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rPr>
                <w:rFonts w:ascii="宋体" w:hAnsi="宋体" w:cs="宋体"/>
                <w:kern w:val="0"/>
                <w:sz w:val="20"/>
              </w:rPr>
            </w:pPr>
          </w:p>
        </w:tc>
        <w:tc>
          <w:tcPr>
            <w:tcW w:w="755" w:type="dxa"/>
            <w:shd w:val="clear" w:color="000000" w:fill="FFFFFF"/>
            <w:vAlign w:val="center"/>
          </w:tcPr>
          <w:p>
            <w:pPr>
              <w:widowControl/>
              <w:snapToGrid w:val="0"/>
              <w:rPr>
                <w:rFonts w:ascii="宋体" w:hAnsi="宋体" w:cs="宋体"/>
                <w:b/>
                <w:bCs/>
                <w:kern w:val="0"/>
                <w:sz w:val="20"/>
              </w:rPr>
            </w:pPr>
          </w:p>
        </w:tc>
        <w:tc>
          <w:tcPr>
            <w:tcW w:w="637" w:type="dxa"/>
            <w:shd w:val="clear" w:color="000000" w:fill="FFFFFF"/>
            <w:vAlign w:val="center"/>
          </w:tcPr>
          <w:p>
            <w:pPr>
              <w:snapToGrid w:val="0"/>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134" w:type="dxa"/>
            <w:vMerge w:val="restart"/>
            <w:vAlign w:val="center"/>
          </w:tcPr>
          <w:p>
            <w:pPr>
              <w:widowControl/>
              <w:rPr>
                <w:rFonts w:ascii="宋体" w:hAnsi="宋体" w:cs="宋体"/>
                <w:kern w:val="0"/>
                <w:sz w:val="20"/>
              </w:rPr>
            </w:pPr>
            <w:r>
              <w:rPr>
                <w:rFonts w:hint="eastAsia" w:ascii="宋体" w:hAnsi="宋体" w:cs="宋体"/>
                <w:kern w:val="0"/>
                <w:sz w:val="20"/>
              </w:rPr>
              <w:t>　　</w:t>
            </w:r>
          </w:p>
        </w:tc>
        <w:tc>
          <w:tcPr>
            <w:tcW w:w="567" w:type="dxa"/>
            <w:vMerge w:val="restart"/>
            <w:vAlign w:val="center"/>
          </w:tcPr>
          <w:p>
            <w:pPr>
              <w:widowControl/>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7812" w:type="dxa"/>
            <w:gridSpan w:val="8"/>
            <w:vAlign w:val="center"/>
          </w:tcPr>
          <w:p>
            <w:pPr>
              <w:jc w:val="center"/>
              <w:rPr>
                <w:rFonts w:ascii="宋体" w:hAnsi="宋体" w:cs="宋体"/>
                <w:b/>
                <w:bCs/>
                <w:kern w:val="0"/>
                <w:sz w:val="20"/>
              </w:rPr>
            </w:pPr>
            <w:r>
              <w:rPr>
                <w:rFonts w:hint="eastAsia" w:ascii="宋体" w:hAnsi="宋体" w:cs="宋体"/>
                <w:b/>
                <w:bCs/>
                <w:kern w:val="0"/>
                <w:sz w:val="20"/>
              </w:rPr>
              <w:t>税率</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812" w:type="dxa"/>
            <w:gridSpan w:val="8"/>
            <w:tcBorders>
              <w:bottom w:val="single" w:color="auto" w:sz="4" w:space="0"/>
            </w:tcBorders>
            <w:vAlign w:val="center"/>
          </w:tcPr>
          <w:p>
            <w:pPr>
              <w:jc w:val="center"/>
              <w:rPr>
                <w:rFonts w:ascii="宋体" w:hAnsi="宋体" w:cs="宋体"/>
                <w:b/>
                <w:bCs/>
                <w:kern w:val="0"/>
                <w:sz w:val="20"/>
              </w:rPr>
            </w:pPr>
            <w:r>
              <w:rPr>
                <w:rFonts w:hint="eastAsia" w:ascii="宋体" w:hAnsi="宋体" w:cs="宋体"/>
                <w:b/>
                <w:bCs/>
                <w:kern w:val="0"/>
                <w:sz w:val="20"/>
              </w:rPr>
              <w:t>合计（含税）</w:t>
            </w:r>
          </w:p>
        </w:tc>
        <w:tc>
          <w:tcPr>
            <w:tcW w:w="1134" w:type="dxa"/>
            <w:vMerge w:val="continue"/>
            <w:vAlign w:val="center"/>
          </w:tcPr>
          <w:p>
            <w:pPr>
              <w:widowControl/>
              <w:rPr>
                <w:rFonts w:ascii="宋体" w:hAnsi="宋体" w:cs="宋体"/>
                <w:kern w:val="0"/>
                <w:sz w:val="20"/>
              </w:rPr>
            </w:pPr>
          </w:p>
        </w:tc>
        <w:tc>
          <w:tcPr>
            <w:tcW w:w="567" w:type="dxa"/>
            <w:vMerge w:val="continue"/>
            <w:vAlign w:val="center"/>
          </w:tcPr>
          <w:p>
            <w:pPr>
              <w:widowControl/>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rPr>
                <w:rFonts w:ascii="宋体" w:hAnsi="宋体" w:cs="宋体"/>
                <w:sz w:val="22"/>
              </w:rPr>
            </w:pPr>
          </w:p>
        </w:tc>
        <w:tc>
          <w:tcPr>
            <w:tcW w:w="1748" w:type="dxa"/>
            <w:gridSpan w:val="3"/>
            <w:vAlign w:val="center"/>
          </w:tcPr>
          <w:p>
            <w:pPr>
              <w:snapToGrid w:val="0"/>
              <w:ind w:left="-170" w:right="-170"/>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rPr>
                <w:rFonts w:ascii="宋体" w:hAnsi="宋体" w:cs="宋体"/>
                <w:sz w:val="22"/>
              </w:rPr>
            </w:pPr>
          </w:p>
        </w:tc>
        <w:tc>
          <w:tcPr>
            <w:tcW w:w="1748" w:type="dxa"/>
            <w:gridSpan w:val="3"/>
            <w:vAlign w:val="center"/>
          </w:tcPr>
          <w:p>
            <w:pPr>
              <w:snapToGrid w:val="0"/>
              <w:ind w:left="-170" w:right="-170"/>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单位优势</w:t>
            </w:r>
          </w:p>
          <w:p>
            <w:pPr>
              <w:snapToGrid w:val="0"/>
              <w:ind w:left="-170" w:right="-170"/>
              <w:rPr>
                <w:rFonts w:ascii="宋体" w:hAnsi="宋体" w:cs="宋体"/>
                <w:sz w:val="22"/>
              </w:rPr>
            </w:pPr>
            <w:r>
              <w:rPr>
                <w:rFonts w:hint="eastAsia" w:ascii="宋体" w:hAnsi="宋体" w:cs="宋体"/>
                <w:sz w:val="22"/>
              </w:rPr>
              <w:t>及 特 长</w:t>
            </w:r>
          </w:p>
        </w:tc>
        <w:tc>
          <w:tcPr>
            <w:tcW w:w="7643" w:type="dxa"/>
            <w:gridSpan w:val="10"/>
            <w:vAlign w:val="center"/>
          </w:tcPr>
          <w:p>
            <w:pPr>
              <w:pStyle w:val="38"/>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740" w:type="dxa"/>
            <w:gridSpan w:val="3"/>
            <w:vAlign w:val="center"/>
          </w:tcPr>
          <w:p>
            <w:pPr>
              <w:snapToGrid w:val="0"/>
              <w:ind w:left="-170" w:right="-170"/>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restart"/>
            <w:vAlign w:val="center"/>
          </w:tcPr>
          <w:p>
            <w:pPr>
              <w:snapToGrid w:val="0"/>
              <w:ind w:left="-170" w:right="-170"/>
              <w:rPr>
                <w:rFonts w:ascii="宋体" w:hAnsi="宋体" w:cs="宋体"/>
                <w:sz w:val="22"/>
              </w:rPr>
            </w:pPr>
            <w:r>
              <w:rPr>
                <w:rFonts w:hint="eastAsia" w:ascii="宋体" w:hAnsi="宋体" w:cs="宋体"/>
                <w:sz w:val="22"/>
              </w:rPr>
              <w:t>固定</w:t>
            </w:r>
          </w:p>
          <w:p>
            <w:pPr>
              <w:snapToGrid w:val="0"/>
              <w:ind w:left="-170" w:right="-170"/>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rPr>
                <w:rFonts w:ascii="宋体" w:hAnsi="宋体" w:cs="宋体"/>
                <w:sz w:val="22"/>
              </w:rPr>
            </w:pPr>
            <w:r>
              <w:rPr>
                <w:rFonts w:hint="eastAsia" w:ascii="宋体" w:hAnsi="宋体" w:cs="宋体"/>
                <w:sz w:val="22"/>
              </w:rPr>
              <w:t>资金</w:t>
            </w:r>
          </w:p>
          <w:p>
            <w:pPr>
              <w:snapToGrid w:val="0"/>
              <w:ind w:left="-170" w:right="-170"/>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continue"/>
            <w:vAlign w:val="center"/>
          </w:tcPr>
          <w:p>
            <w:pPr>
              <w:snapToGrid w:val="0"/>
              <w:ind w:left="-170" w:right="-170"/>
              <w:rPr>
                <w:rFonts w:ascii="宋体" w:hAnsi="宋体" w:cs="宋体"/>
                <w:sz w:val="22"/>
              </w:rPr>
            </w:pPr>
          </w:p>
        </w:tc>
        <w:tc>
          <w:tcPr>
            <w:tcW w:w="1575" w:type="dxa"/>
            <w:gridSpan w:val="3"/>
            <w:vMerge w:val="continue"/>
            <w:vAlign w:val="center"/>
          </w:tcPr>
          <w:p>
            <w:pPr>
              <w:snapToGrid w:val="0"/>
              <w:ind w:left="-170" w:right="-170"/>
              <w:rPr>
                <w:rFonts w:ascii="宋体" w:hAnsi="宋体" w:cs="宋体"/>
                <w:sz w:val="22"/>
              </w:rPr>
            </w:pPr>
          </w:p>
        </w:tc>
        <w:tc>
          <w:tcPr>
            <w:tcW w:w="840" w:type="dxa"/>
            <w:gridSpan w:val="2"/>
            <w:vMerge w:val="continue"/>
            <w:vAlign w:val="center"/>
          </w:tcPr>
          <w:p>
            <w:pPr>
              <w:snapToGrid w:val="0"/>
              <w:ind w:left="-170" w:right="-170"/>
              <w:rPr>
                <w:rFonts w:ascii="宋体" w:hAnsi="宋体" w:cs="宋体"/>
                <w:sz w:val="22"/>
              </w:rPr>
            </w:pPr>
          </w:p>
        </w:tc>
        <w:tc>
          <w:tcPr>
            <w:tcW w:w="1440" w:type="dxa"/>
            <w:vAlign w:val="center"/>
          </w:tcPr>
          <w:p>
            <w:pPr>
              <w:snapToGrid w:val="0"/>
              <w:ind w:left="-170" w:right="-170"/>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restart"/>
            <w:vAlign w:val="center"/>
          </w:tcPr>
          <w:p>
            <w:pPr>
              <w:snapToGrid w:val="0"/>
              <w:ind w:left="-170" w:right="-170"/>
              <w:rPr>
                <w:rFonts w:ascii="宋体" w:hAnsi="宋体" w:cs="宋体"/>
                <w:sz w:val="22"/>
              </w:rPr>
            </w:pPr>
            <w:r>
              <w:rPr>
                <w:rFonts w:hint="eastAsia" w:ascii="宋体" w:hAnsi="宋体" w:cs="宋体"/>
                <w:sz w:val="22"/>
              </w:rPr>
              <w:t>流动</w:t>
            </w:r>
          </w:p>
          <w:p>
            <w:pPr>
              <w:snapToGrid w:val="0"/>
              <w:ind w:left="-170" w:right="-170"/>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rPr>
                <w:rFonts w:ascii="宋体" w:hAnsi="宋体" w:cs="宋体"/>
                <w:sz w:val="22"/>
              </w:rPr>
            </w:pPr>
            <w:r>
              <w:rPr>
                <w:rFonts w:hint="eastAsia" w:ascii="宋体" w:hAnsi="宋体" w:cs="宋体"/>
                <w:sz w:val="22"/>
              </w:rPr>
              <w:t>资金</w:t>
            </w:r>
          </w:p>
          <w:p>
            <w:pPr>
              <w:snapToGrid w:val="0"/>
              <w:ind w:left="-170" w:right="-170"/>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028" w:type="dxa"/>
            <w:vMerge w:val="continue"/>
            <w:vAlign w:val="center"/>
          </w:tcPr>
          <w:p>
            <w:pPr>
              <w:snapToGrid w:val="0"/>
              <w:ind w:left="-170" w:right="-170"/>
              <w:rPr>
                <w:rFonts w:ascii="宋体" w:hAnsi="宋体" w:cs="宋体"/>
                <w:sz w:val="22"/>
              </w:rPr>
            </w:pPr>
          </w:p>
        </w:tc>
        <w:tc>
          <w:tcPr>
            <w:tcW w:w="1575" w:type="dxa"/>
            <w:gridSpan w:val="3"/>
            <w:vMerge w:val="continue"/>
            <w:vAlign w:val="center"/>
          </w:tcPr>
          <w:p>
            <w:pPr>
              <w:snapToGrid w:val="0"/>
              <w:ind w:left="-170" w:right="-170"/>
              <w:rPr>
                <w:rFonts w:ascii="宋体" w:hAnsi="宋体" w:cs="宋体"/>
                <w:sz w:val="22"/>
              </w:rPr>
            </w:pPr>
          </w:p>
        </w:tc>
        <w:tc>
          <w:tcPr>
            <w:tcW w:w="840" w:type="dxa"/>
            <w:gridSpan w:val="2"/>
            <w:vMerge w:val="continue"/>
            <w:vAlign w:val="center"/>
          </w:tcPr>
          <w:p>
            <w:pPr>
              <w:snapToGrid w:val="0"/>
              <w:ind w:left="-170" w:right="-170"/>
              <w:rPr>
                <w:rFonts w:ascii="宋体" w:hAnsi="宋体" w:cs="宋体"/>
                <w:sz w:val="22"/>
              </w:rPr>
            </w:pPr>
          </w:p>
        </w:tc>
        <w:tc>
          <w:tcPr>
            <w:tcW w:w="1440" w:type="dxa"/>
            <w:vAlign w:val="center"/>
          </w:tcPr>
          <w:p>
            <w:pPr>
              <w:snapToGrid w:val="0"/>
              <w:ind w:left="-170" w:right="-170"/>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rPr>
                <w:rFonts w:ascii="宋体" w:hAnsi="宋体" w:cs="宋体"/>
                <w:sz w:val="22"/>
              </w:rPr>
            </w:pPr>
            <w:r>
              <w:rPr>
                <w:rFonts w:hint="eastAsia" w:ascii="宋体" w:hAnsi="宋体" w:cs="宋体"/>
                <w:sz w:val="22"/>
              </w:rPr>
              <w:t>经营</w:t>
            </w:r>
          </w:p>
          <w:p>
            <w:pPr>
              <w:snapToGrid w:val="0"/>
              <w:ind w:left="-170" w:right="-170"/>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rPr>
                <w:rFonts w:ascii="宋体" w:hAnsi="宋体" w:cs="宋体"/>
                <w:sz w:val="22"/>
              </w:rPr>
            </w:pPr>
          </w:p>
          <w:p>
            <w:pPr>
              <w:snapToGrid w:val="0"/>
              <w:ind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rPr>
                <w:rFonts w:ascii="宋体" w:hAnsi="宋体" w:cs="宋体"/>
                <w:sz w:val="22"/>
              </w:rPr>
            </w:pPr>
            <w:r>
              <w:rPr>
                <w:rFonts w:hint="eastAsia" w:ascii="宋体" w:hAnsi="宋体" w:cs="宋体"/>
                <w:sz w:val="22"/>
              </w:rPr>
              <w:t>经 济</w:t>
            </w:r>
          </w:p>
          <w:p>
            <w:pPr>
              <w:snapToGrid w:val="0"/>
              <w:ind w:left="-170" w:right="-170"/>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553" w:type="dxa"/>
            <w:gridSpan w:val="2"/>
            <w:vAlign w:val="center"/>
          </w:tcPr>
          <w:p>
            <w:pPr>
              <w:snapToGrid w:val="0"/>
              <w:ind w:left="-170" w:right="-170"/>
              <w:rPr>
                <w:rFonts w:ascii="宋体" w:hAnsi="宋体" w:cs="宋体"/>
                <w:sz w:val="22"/>
              </w:rPr>
            </w:pPr>
          </w:p>
        </w:tc>
        <w:tc>
          <w:tcPr>
            <w:tcW w:w="6090" w:type="dxa"/>
            <w:gridSpan w:val="8"/>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rPr>
                <w:rFonts w:ascii="宋体" w:hAnsi="宋体" w:cs="宋体"/>
                <w:sz w:val="22"/>
              </w:rPr>
            </w:pPr>
          </w:p>
        </w:tc>
        <w:tc>
          <w:tcPr>
            <w:tcW w:w="1553" w:type="dxa"/>
            <w:gridSpan w:val="2"/>
            <w:vAlign w:val="center"/>
          </w:tcPr>
          <w:p>
            <w:pPr>
              <w:snapToGrid w:val="0"/>
              <w:ind w:left="-170" w:right="-170"/>
              <w:rPr>
                <w:rFonts w:ascii="宋体" w:hAnsi="宋体" w:cs="宋体"/>
                <w:sz w:val="22"/>
              </w:rPr>
            </w:pPr>
          </w:p>
        </w:tc>
        <w:tc>
          <w:tcPr>
            <w:tcW w:w="6090" w:type="dxa"/>
            <w:gridSpan w:val="8"/>
            <w:vAlign w:val="center"/>
          </w:tcPr>
          <w:p>
            <w:pPr>
              <w:snapToGrid w:val="0"/>
              <w:ind w:left="-170" w:right="-17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rPr>
                <w:rFonts w:ascii="宋体" w:hAnsi="宋体" w:cs="宋体"/>
                <w:sz w:val="22"/>
              </w:rPr>
            </w:pPr>
          </w:p>
        </w:tc>
        <w:tc>
          <w:tcPr>
            <w:tcW w:w="1553" w:type="dxa"/>
            <w:gridSpan w:val="2"/>
            <w:tcBorders>
              <w:bottom w:val="single" w:color="auto" w:sz="4" w:space="0"/>
            </w:tcBorders>
            <w:vAlign w:val="center"/>
          </w:tcPr>
          <w:p>
            <w:pPr>
              <w:snapToGrid w:val="0"/>
              <w:ind w:left="-170" w:right="-170"/>
              <w:rPr>
                <w:rFonts w:ascii="宋体" w:hAnsi="宋体" w:cs="宋体"/>
                <w:sz w:val="22"/>
              </w:rPr>
            </w:pPr>
          </w:p>
        </w:tc>
        <w:tc>
          <w:tcPr>
            <w:tcW w:w="6090" w:type="dxa"/>
            <w:gridSpan w:val="8"/>
            <w:tcBorders>
              <w:bottom w:val="single" w:color="auto" w:sz="4" w:space="0"/>
            </w:tcBorders>
            <w:vAlign w:val="center"/>
          </w:tcPr>
          <w:p>
            <w:pPr>
              <w:snapToGrid w:val="0"/>
              <w:ind w:left="-170" w:right="-170"/>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2"/>
        </w:numPr>
        <w:adjustRightInd w:val="0"/>
        <w:spacing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3"/>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8"/>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7"/>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0"/>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rPr>
                <w:rFonts w:ascii="宋体" w:hAnsi="宋体"/>
                <w:szCs w:val="21"/>
              </w:rPr>
            </w:pPr>
            <w:r>
              <w:rPr>
                <w:rFonts w:hint="eastAsia" w:ascii="宋体" w:hAnsi="宋体"/>
                <w:szCs w:val="21"/>
              </w:rPr>
              <w:t>序号</w:t>
            </w:r>
          </w:p>
        </w:tc>
        <w:tc>
          <w:tcPr>
            <w:tcW w:w="1365" w:type="dxa"/>
            <w:vAlign w:val="center"/>
          </w:tcPr>
          <w:p>
            <w:pPr>
              <w:rPr>
                <w:rFonts w:ascii="宋体" w:hAnsi="宋体"/>
                <w:szCs w:val="21"/>
              </w:rPr>
            </w:pPr>
            <w:r>
              <w:rPr>
                <w:rFonts w:hint="eastAsia" w:ascii="宋体" w:hAnsi="宋体"/>
                <w:szCs w:val="21"/>
              </w:rPr>
              <w:t>货物名称</w:t>
            </w:r>
          </w:p>
        </w:tc>
        <w:tc>
          <w:tcPr>
            <w:tcW w:w="1260" w:type="dxa"/>
            <w:vAlign w:val="center"/>
          </w:tcPr>
          <w:p>
            <w:pPr>
              <w:rPr>
                <w:rFonts w:ascii="宋体" w:hAnsi="宋体"/>
                <w:szCs w:val="21"/>
              </w:rPr>
            </w:pPr>
            <w:r>
              <w:rPr>
                <w:rFonts w:hint="eastAsia" w:ascii="宋体" w:hAnsi="宋体"/>
                <w:szCs w:val="21"/>
              </w:rPr>
              <w:t>招标文件条目号</w:t>
            </w:r>
          </w:p>
        </w:tc>
        <w:tc>
          <w:tcPr>
            <w:tcW w:w="1361" w:type="dxa"/>
            <w:vAlign w:val="center"/>
          </w:tcPr>
          <w:p>
            <w:pPr>
              <w:rPr>
                <w:rFonts w:ascii="宋体" w:hAnsi="宋体"/>
                <w:szCs w:val="21"/>
              </w:rPr>
            </w:pPr>
            <w:r>
              <w:rPr>
                <w:rFonts w:hint="eastAsia" w:ascii="宋体" w:hAnsi="宋体"/>
                <w:szCs w:val="21"/>
              </w:rPr>
              <w:t>招标规格</w:t>
            </w:r>
          </w:p>
        </w:tc>
        <w:tc>
          <w:tcPr>
            <w:tcW w:w="1236" w:type="dxa"/>
            <w:vAlign w:val="center"/>
          </w:tcPr>
          <w:p>
            <w:pPr>
              <w:rPr>
                <w:rFonts w:ascii="宋体" w:hAnsi="宋体"/>
                <w:szCs w:val="21"/>
              </w:rPr>
            </w:pPr>
            <w:r>
              <w:rPr>
                <w:rFonts w:hint="eastAsia" w:ascii="宋体" w:hAnsi="宋体"/>
                <w:szCs w:val="21"/>
              </w:rPr>
              <w:t>投标规格</w:t>
            </w:r>
          </w:p>
        </w:tc>
        <w:tc>
          <w:tcPr>
            <w:tcW w:w="1890" w:type="dxa"/>
            <w:vAlign w:val="center"/>
          </w:tcPr>
          <w:p>
            <w:pPr>
              <w:rPr>
                <w:rFonts w:ascii="宋体" w:hAnsi="宋体"/>
                <w:szCs w:val="21"/>
              </w:rPr>
            </w:pPr>
            <w:r>
              <w:rPr>
                <w:rFonts w:hint="eastAsia" w:ascii="宋体" w:hAnsi="宋体"/>
                <w:szCs w:val="21"/>
              </w:rPr>
              <w:t>偏离</w:t>
            </w:r>
          </w:p>
        </w:tc>
        <w:tc>
          <w:tcPr>
            <w:tcW w:w="1470" w:type="dxa"/>
            <w:vAlign w:val="center"/>
          </w:tcPr>
          <w:p>
            <w:pP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0"/>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r>
              <w:rPr>
                <w:rFonts w:hAnsi="宋体"/>
                <w:kern w:val="2"/>
                <w:sz w:val="21"/>
              </w:rPr>
              <w:t>序号</w:t>
            </w:r>
          </w:p>
        </w:tc>
        <w:tc>
          <w:tcPr>
            <w:tcW w:w="900" w:type="dxa"/>
            <w:vAlign w:val="center"/>
          </w:tcPr>
          <w:p>
            <w:pPr>
              <w:pStyle w:val="30"/>
              <w:adjustRightInd w:val="0"/>
              <w:snapToGrid w:val="0"/>
              <w:rPr>
                <w:rFonts w:hAnsi="宋体"/>
                <w:kern w:val="2"/>
                <w:sz w:val="21"/>
              </w:rPr>
            </w:pPr>
            <w:r>
              <w:rPr>
                <w:rFonts w:hAnsi="宋体"/>
                <w:kern w:val="2"/>
                <w:sz w:val="21"/>
              </w:rPr>
              <w:t>内容</w:t>
            </w:r>
          </w:p>
        </w:tc>
        <w:tc>
          <w:tcPr>
            <w:tcW w:w="3510" w:type="dxa"/>
            <w:vAlign w:val="center"/>
          </w:tcPr>
          <w:p>
            <w:pPr>
              <w:pStyle w:val="30"/>
              <w:adjustRightInd w:val="0"/>
              <w:snapToGrid w:val="0"/>
              <w:rPr>
                <w:rFonts w:hAnsi="宋体"/>
                <w:kern w:val="2"/>
                <w:sz w:val="21"/>
              </w:rPr>
            </w:pPr>
            <w:r>
              <w:rPr>
                <w:rFonts w:hAnsi="宋体"/>
                <w:kern w:val="2"/>
                <w:sz w:val="21"/>
              </w:rPr>
              <w:t>招标文件要求</w:t>
            </w:r>
          </w:p>
        </w:tc>
        <w:tc>
          <w:tcPr>
            <w:tcW w:w="3510" w:type="dxa"/>
            <w:vAlign w:val="center"/>
          </w:tcPr>
          <w:p>
            <w:pPr>
              <w:pStyle w:val="30"/>
              <w:adjustRightInd w:val="0"/>
              <w:snapToGrid w:val="0"/>
              <w:rPr>
                <w:rFonts w:hAnsi="宋体"/>
                <w:kern w:val="2"/>
                <w:sz w:val="21"/>
              </w:rPr>
            </w:pPr>
            <w:r>
              <w:rPr>
                <w:rFonts w:hAnsi="宋体"/>
                <w:kern w:val="2"/>
                <w:sz w:val="21"/>
              </w:rPr>
              <w:t>投标文件对应内容</w:t>
            </w:r>
          </w:p>
        </w:tc>
        <w:tc>
          <w:tcPr>
            <w:tcW w:w="827" w:type="dxa"/>
            <w:vAlign w:val="center"/>
          </w:tcPr>
          <w:p>
            <w:pPr>
              <w:pStyle w:val="30"/>
              <w:adjustRightInd w:val="0"/>
              <w:snapToGrid w:val="0"/>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0"/>
              <w:adjustRightInd w:val="0"/>
              <w:snapToGrid w:val="0"/>
              <w:rPr>
                <w:rFonts w:hAnsi="宋体"/>
                <w:kern w:val="2"/>
                <w:sz w:val="21"/>
              </w:rPr>
            </w:pPr>
          </w:p>
        </w:tc>
        <w:tc>
          <w:tcPr>
            <w:tcW w:w="90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3510" w:type="dxa"/>
            <w:vAlign w:val="center"/>
          </w:tcPr>
          <w:p>
            <w:pPr>
              <w:pStyle w:val="30"/>
              <w:adjustRightInd w:val="0"/>
              <w:snapToGrid w:val="0"/>
              <w:rPr>
                <w:rFonts w:hAnsi="宋体"/>
                <w:kern w:val="2"/>
                <w:sz w:val="21"/>
              </w:rPr>
            </w:pPr>
          </w:p>
        </w:tc>
        <w:tc>
          <w:tcPr>
            <w:tcW w:w="827" w:type="dxa"/>
            <w:vAlign w:val="center"/>
          </w:tcPr>
          <w:p>
            <w:pPr>
              <w:pStyle w:val="30"/>
              <w:adjustRightInd w:val="0"/>
              <w:snapToGrid w:val="0"/>
              <w:rPr>
                <w:rFonts w:hAnsi="宋体"/>
                <w:kern w:val="2"/>
                <w:sz w:val="21"/>
              </w:rPr>
            </w:pPr>
          </w:p>
        </w:tc>
      </w:tr>
    </w:tbl>
    <w:p>
      <w:pPr>
        <w:pStyle w:val="30"/>
        <w:adjustRightInd w:val="0"/>
        <w:snapToGrid w:val="0"/>
        <w:spacing w:line="560" w:lineRule="exact"/>
        <w:rPr>
          <w:rFonts w:hAnsi="宋体"/>
          <w:bCs/>
          <w:sz w:val="24"/>
          <w:szCs w:val="24"/>
        </w:rPr>
      </w:pPr>
    </w:p>
    <w:p>
      <w:pPr>
        <w:pStyle w:val="30"/>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0"/>
        <w:adjustRightInd w:val="0"/>
        <w:snapToGrid w:val="0"/>
        <w:spacing w:line="560" w:lineRule="exact"/>
        <w:rPr>
          <w:rFonts w:hAnsi="宋体"/>
          <w:bCs/>
          <w:sz w:val="24"/>
          <w:szCs w:val="24"/>
        </w:rPr>
      </w:pPr>
    </w:p>
    <w:p>
      <w:pPr>
        <w:widowControl/>
        <w:ind w:firstLine="640"/>
        <w:jc w:val="left"/>
        <w:rPr>
          <w:rFonts w:ascii="Calibri" w:hAnsi="Calibri" w:eastAsia="黑体" w:cs="Calibri"/>
          <w:color w:val="000000"/>
          <w:sz w:val="32"/>
          <w:szCs w:val="32"/>
        </w:rPr>
      </w:pPr>
    </w:p>
    <w:p>
      <w:pPr>
        <w:ind w:firstLine="420"/>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00"/>
    <w:family w:val="roma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CS?o｡ﾀ?">
    <w:altName w:val="MS PGothic"/>
    <w:panose1 w:val="00000000000000000000"/>
    <w:charset w:val="80"/>
    <w:family w:val="modern"/>
    <w:pitch w:val="default"/>
    <w:sig w:usb0="00000000" w:usb1="00000000" w:usb2="00000010" w:usb3="00000000" w:csb0="0002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1834"/>
    </w:sdtPr>
    <w:sdtContent>
      <w:p>
        <w:pPr>
          <w:pStyle w:val="3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separate"/>
    </w:r>
    <w:r>
      <w:rPr>
        <w:rStyle w:val="61"/>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rPr>
        <w:rFonts w:ascii="宋体" w:hAnsi="宋体"/>
      </w:rPr>
    </w:pPr>
    <w:r>
      <w:rPr>
        <w:rFonts w:hint="eastAsia" w:ascii="宋体" w:hAnsi="宋体"/>
        <w:color w:val="000000"/>
      </w:rPr>
      <w:t>杭州萧山国际机场服务器磁盘阵列采购项目招标文件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CE3692E"/>
    <w:multiLevelType w:val="singleLevel"/>
    <w:tmpl w:val="5CE3692E"/>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7">
    <w:nsid w:val="5CE3694F"/>
    <w:multiLevelType w:val="singleLevel"/>
    <w:tmpl w:val="5CE3694F"/>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8"/>
      <w:lvlText w:val=""/>
      <w:lvlJc w:val="left"/>
      <w:pPr>
        <w:tabs>
          <w:tab w:val="left" w:pos="3780"/>
        </w:tabs>
        <w:ind w:left="3780" w:hanging="420"/>
      </w:pPr>
      <w:rPr>
        <w:rFonts w:hint="default" w:ascii="Wingdings" w:hAnsi="Wingdings"/>
      </w:rPr>
    </w:lvl>
  </w:abstractNum>
  <w:num w:numId="1">
    <w:abstractNumId w:val="14"/>
  </w:num>
  <w:num w:numId="2">
    <w:abstractNumId w:val="16"/>
  </w:num>
  <w:num w:numId="3">
    <w:abstractNumId w:val="17"/>
  </w:num>
  <w:num w:numId="4">
    <w:abstractNumId w:val="18"/>
  </w:num>
  <w:num w:numId="5">
    <w:abstractNumId w:val="1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5"/>
  </w:num>
  <w:num w:numId="10">
    <w:abstractNumId w:val="12"/>
  </w:num>
  <w:num w:numId="11">
    <w:abstractNumId w:val="1"/>
  </w:num>
  <w:num w:numId="12">
    <w:abstractNumId w:val="6"/>
  </w:num>
  <w:num w:numId="13">
    <w:abstractNumId w:val="8"/>
  </w:num>
  <w:num w:numId="14">
    <w:abstractNumId w:val="4"/>
  </w:num>
  <w:num w:numId="15">
    <w:abstractNumId w:val="0"/>
  </w:num>
  <w:num w:numId="16">
    <w:abstractNumId w:val="3"/>
  </w:num>
  <w:num w:numId="17">
    <w:abstractNumId w:val="10"/>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0C"/>
    <w:rsid w:val="00026D71"/>
    <w:rsid w:val="000471B1"/>
    <w:rsid w:val="00082770"/>
    <w:rsid w:val="0008361A"/>
    <w:rsid w:val="000B2C1A"/>
    <w:rsid w:val="000D5C34"/>
    <w:rsid w:val="000F5E10"/>
    <w:rsid w:val="00104E8E"/>
    <w:rsid w:val="00111E23"/>
    <w:rsid w:val="001652B1"/>
    <w:rsid w:val="001C233D"/>
    <w:rsid w:val="001E505B"/>
    <w:rsid w:val="002137E9"/>
    <w:rsid w:val="0023206A"/>
    <w:rsid w:val="002B105A"/>
    <w:rsid w:val="002B1691"/>
    <w:rsid w:val="002C7851"/>
    <w:rsid w:val="00303B1B"/>
    <w:rsid w:val="00326ECE"/>
    <w:rsid w:val="00327886"/>
    <w:rsid w:val="0034244A"/>
    <w:rsid w:val="00353989"/>
    <w:rsid w:val="00357EE4"/>
    <w:rsid w:val="003E4CB0"/>
    <w:rsid w:val="00446C48"/>
    <w:rsid w:val="004A0C98"/>
    <w:rsid w:val="004A1BAC"/>
    <w:rsid w:val="004A2488"/>
    <w:rsid w:val="004B4E93"/>
    <w:rsid w:val="004E5C7A"/>
    <w:rsid w:val="00501CED"/>
    <w:rsid w:val="00584CD5"/>
    <w:rsid w:val="005A54BD"/>
    <w:rsid w:val="005B35C9"/>
    <w:rsid w:val="005D3E0C"/>
    <w:rsid w:val="00600D01"/>
    <w:rsid w:val="00601EE0"/>
    <w:rsid w:val="0060680D"/>
    <w:rsid w:val="00607FCA"/>
    <w:rsid w:val="00653026"/>
    <w:rsid w:val="00790999"/>
    <w:rsid w:val="00791CCF"/>
    <w:rsid w:val="007F0D4E"/>
    <w:rsid w:val="00811A49"/>
    <w:rsid w:val="00866AF6"/>
    <w:rsid w:val="00882315"/>
    <w:rsid w:val="00893E75"/>
    <w:rsid w:val="008A4EB1"/>
    <w:rsid w:val="008B7188"/>
    <w:rsid w:val="008C3C79"/>
    <w:rsid w:val="008D2BD4"/>
    <w:rsid w:val="0097032F"/>
    <w:rsid w:val="00976C65"/>
    <w:rsid w:val="00980655"/>
    <w:rsid w:val="00983295"/>
    <w:rsid w:val="009A2321"/>
    <w:rsid w:val="009B2193"/>
    <w:rsid w:val="009C32CD"/>
    <w:rsid w:val="009C534C"/>
    <w:rsid w:val="00A04EEE"/>
    <w:rsid w:val="00A15E22"/>
    <w:rsid w:val="00A31D5E"/>
    <w:rsid w:val="00A345F5"/>
    <w:rsid w:val="00A7387F"/>
    <w:rsid w:val="00AC7E4F"/>
    <w:rsid w:val="00AD0C97"/>
    <w:rsid w:val="00AE310D"/>
    <w:rsid w:val="00AE52C9"/>
    <w:rsid w:val="00AF34EE"/>
    <w:rsid w:val="00B50DCB"/>
    <w:rsid w:val="00B53672"/>
    <w:rsid w:val="00B72F76"/>
    <w:rsid w:val="00B83C6B"/>
    <w:rsid w:val="00B941A0"/>
    <w:rsid w:val="00BE0DC1"/>
    <w:rsid w:val="00BF1060"/>
    <w:rsid w:val="00C0637F"/>
    <w:rsid w:val="00C50A6C"/>
    <w:rsid w:val="00C50EF8"/>
    <w:rsid w:val="00C9776A"/>
    <w:rsid w:val="00CA4663"/>
    <w:rsid w:val="00CB433A"/>
    <w:rsid w:val="00CB7BE6"/>
    <w:rsid w:val="00CF39F8"/>
    <w:rsid w:val="00D27978"/>
    <w:rsid w:val="00D40F01"/>
    <w:rsid w:val="00D70F5F"/>
    <w:rsid w:val="00D74A78"/>
    <w:rsid w:val="00DA12B9"/>
    <w:rsid w:val="00DC14EB"/>
    <w:rsid w:val="00DE305C"/>
    <w:rsid w:val="00DF3854"/>
    <w:rsid w:val="00E00E26"/>
    <w:rsid w:val="00E1430C"/>
    <w:rsid w:val="00E16E1A"/>
    <w:rsid w:val="00E81B24"/>
    <w:rsid w:val="00E928AF"/>
    <w:rsid w:val="00EA11A5"/>
    <w:rsid w:val="00EA2F96"/>
    <w:rsid w:val="00EB490A"/>
    <w:rsid w:val="00EC13C8"/>
    <w:rsid w:val="00ED3DC6"/>
    <w:rsid w:val="00ED5FC0"/>
    <w:rsid w:val="00EE1D91"/>
    <w:rsid w:val="00F21A6F"/>
    <w:rsid w:val="00F36AFF"/>
    <w:rsid w:val="00F5270C"/>
    <w:rsid w:val="00F527A6"/>
    <w:rsid w:val="00F80E83"/>
    <w:rsid w:val="00F920D5"/>
    <w:rsid w:val="00F968CF"/>
    <w:rsid w:val="00FF7AD2"/>
    <w:rsid w:val="1D4A6E6D"/>
    <w:rsid w:val="44AD7D95"/>
    <w:rsid w:val="4694737A"/>
    <w:rsid w:val="5ECA72B7"/>
    <w:rsid w:val="7D56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nhideWhenUsed="0" w:uiPriority="0" w:semiHidden="0" w:name="index 2"/>
    <w:lsdException w:unhideWhenUsed="0" w:uiPriority="0" w:semiHidden="0"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0" w:semiHidden="0" w:name="table of authorities"/>
    <w:lsdException w:uiPriority="99" w:name="macro"/>
    <w:lsdException w:unhideWhenUsed="0" w:uiPriority="0" w:semiHidden="0" w:name="toa heading"/>
    <w:lsdException w:qFormat="1" w:uiPriority="0" w:semiHidden="0" w:name="List"/>
    <w:lsdException w:qFormat="1"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7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7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7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7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7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7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7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7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9">
    <w:name w:val="Default Paragraph Font"/>
    <w:semiHidden/>
    <w:unhideWhenUsed/>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unhideWhenUsed/>
    <w:qFormat/>
    <w:uiPriority w:val="0"/>
    <w:pPr>
      <w:ind w:left="420" w:leftChars="200"/>
    </w:pPr>
    <w:rPr>
      <w:rFonts w:ascii="Times New Roman" w:hAnsi="Times New Roman" w:eastAsia="宋体" w:cs="Times New Roman"/>
      <w:sz w:val="21"/>
    </w:rPr>
  </w:style>
  <w:style w:type="paragraph" w:styleId="14">
    <w:name w:val="Normal Indent"/>
    <w:basedOn w:val="1"/>
    <w:link w:val="149"/>
    <w:unhideWhenUsed/>
    <w:qFormat/>
    <w:uiPriority w:val="0"/>
    <w:pPr>
      <w:ind w:firstLine="420"/>
    </w:pPr>
    <w:rPr>
      <w:rFonts w:ascii="Times New Roman" w:hAnsi="Times New Roman" w:eastAsia="宋体" w:cs="Times New Roman"/>
      <w:sz w:val="21"/>
      <w:szCs w:val="20"/>
    </w:rPr>
  </w:style>
  <w:style w:type="paragraph" w:styleId="15">
    <w:name w:val="caption"/>
    <w:basedOn w:val="1"/>
    <w:next w:val="1"/>
    <w:unhideWhenUsed/>
    <w:qFormat/>
    <w:uiPriority w:val="0"/>
    <w:rPr>
      <w:rFonts w:ascii="Arial" w:hAnsi="Arial" w:eastAsia="黑体" w:cs="Arial"/>
      <w:sz w:val="20"/>
      <w:szCs w:val="20"/>
    </w:rPr>
  </w:style>
  <w:style w:type="paragraph" w:styleId="16">
    <w:name w:val="index 5"/>
    <w:basedOn w:val="1"/>
    <w:next w:val="1"/>
    <w:unhideWhenUsed/>
    <w:qFormat/>
    <w:uiPriority w:val="0"/>
    <w:pPr>
      <w:ind w:left="800" w:leftChars="800"/>
    </w:pPr>
    <w:rPr>
      <w:rFonts w:ascii="Times New Roman" w:hAnsi="Times New Roman" w:eastAsia="宋体" w:cs="Times New Roman"/>
      <w:sz w:val="21"/>
    </w:rPr>
  </w:style>
  <w:style w:type="paragraph" w:styleId="17">
    <w:name w:val="List Bullet"/>
    <w:basedOn w:val="1"/>
    <w:unhideWhenUsed/>
    <w:qFormat/>
    <w:uiPriority w:val="0"/>
    <w:pPr>
      <w:numPr>
        <w:ilvl w:val="0"/>
        <w:numId w:val="2"/>
      </w:numPr>
    </w:pPr>
  </w:style>
  <w:style w:type="paragraph" w:styleId="18">
    <w:name w:val="Document Map"/>
    <w:basedOn w:val="1"/>
    <w:link w:val="78"/>
    <w:unhideWhenUsed/>
    <w:qFormat/>
    <w:uiPriority w:val="0"/>
    <w:pPr>
      <w:shd w:val="clear" w:color="auto" w:fill="000080"/>
    </w:pPr>
    <w:rPr>
      <w:rFonts w:ascii="Times New Roman" w:hAnsi="Times New Roman" w:eastAsia="宋体" w:cs="Times New Roman"/>
      <w:kern w:val="0"/>
      <w:sz w:val="20"/>
    </w:rPr>
  </w:style>
  <w:style w:type="paragraph" w:styleId="19">
    <w:name w:val="toa heading"/>
    <w:basedOn w:val="1"/>
    <w:next w:val="1"/>
    <w:uiPriority w:val="0"/>
    <w:pPr>
      <w:spacing w:before="120"/>
    </w:pPr>
    <w:rPr>
      <w:rFonts w:ascii="Arial" w:hAnsi="Arial" w:eastAsia="宋体" w:cs="Arial"/>
    </w:rPr>
  </w:style>
  <w:style w:type="paragraph" w:styleId="20">
    <w:name w:val="annotation text"/>
    <w:basedOn w:val="1"/>
    <w:link w:val="79"/>
    <w:unhideWhenUsed/>
    <w:qFormat/>
    <w:uiPriority w:val="0"/>
    <w:pPr>
      <w:jc w:val="left"/>
    </w:pPr>
  </w:style>
  <w:style w:type="paragraph" w:styleId="21">
    <w:name w:val="Body Text 3"/>
    <w:basedOn w:val="1"/>
    <w:link w:val="80"/>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2">
    <w:name w:val="Body Text"/>
    <w:basedOn w:val="1"/>
    <w:link w:val="81"/>
    <w:unhideWhenUsed/>
    <w:qFormat/>
    <w:uiPriority w:val="0"/>
    <w:pPr>
      <w:spacing w:after="120"/>
    </w:pPr>
  </w:style>
  <w:style w:type="paragraph" w:styleId="23">
    <w:name w:val="Body Text Indent"/>
    <w:basedOn w:val="1"/>
    <w:link w:val="82"/>
    <w:unhideWhenUsed/>
    <w:qFormat/>
    <w:uiPriority w:val="0"/>
    <w:pPr>
      <w:ind w:firstLine="560" w:firstLineChars="200"/>
    </w:pPr>
    <w:rPr>
      <w:rFonts w:ascii="宋体" w:hAnsi="宋体" w:eastAsia="宋体" w:cs="Times New Roman"/>
      <w:kern w:val="0"/>
      <w:sz w:val="28"/>
      <w:szCs w:val="28"/>
    </w:rPr>
  </w:style>
  <w:style w:type="paragraph" w:styleId="24">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5">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6">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7">
    <w:name w:val="List Bullet 2"/>
    <w:basedOn w:val="1"/>
    <w:unhideWhenUsed/>
    <w:qFormat/>
    <w:uiPriority w:val="0"/>
    <w:pPr>
      <w:numPr>
        <w:ilvl w:val="0"/>
        <w:numId w:val="3"/>
      </w:numPr>
    </w:pPr>
  </w:style>
  <w:style w:type="paragraph" w:styleId="28">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29">
    <w:name w:val="toc 3"/>
    <w:basedOn w:val="1"/>
    <w:next w:val="1"/>
    <w:unhideWhenUsed/>
    <w:qFormat/>
    <w:uiPriority w:val="39"/>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0">
    <w:name w:val="Plain Text"/>
    <w:basedOn w:val="1"/>
    <w:link w:val="83"/>
    <w:unhideWhenUsed/>
    <w:qFormat/>
    <w:uiPriority w:val="0"/>
    <w:rPr>
      <w:rFonts w:ascii="宋体" w:hAnsi="Courier New" w:eastAsia="宋体" w:cs="Times New Roman"/>
      <w:kern w:val="0"/>
      <w:sz w:val="20"/>
      <w:szCs w:val="21"/>
    </w:rPr>
  </w:style>
  <w:style w:type="paragraph" w:styleId="31">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2">
    <w:name w:val="index 3"/>
    <w:basedOn w:val="1"/>
    <w:next w:val="1"/>
    <w:uiPriority w:val="0"/>
    <w:pPr>
      <w:ind w:left="400" w:leftChars="400"/>
    </w:pPr>
    <w:rPr>
      <w:rFonts w:ascii="Times New Roman" w:hAnsi="Times New Roman" w:eastAsia="宋体" w:cs="Times New Roman"/>
      <w:sz w:val="21"/>
    </w:rPr>
  </w:style>
  <w:style w:type="paragraph" w:styleId="33">
    <w:name w:val="Date"/>
    <w:basedOn w:val="1"/>
    <w:next w:val="1"/>
    <w:link w:val="84"/>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85"/>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86"/>
    <w:unhideWhenUsed/>
    <w:qFormat/>
    <w:uiPriority w:val="0"/>
    <w:rPr>
      <w:rFonts w:ascii="Times New Roman" w:hAnsi="Times New Roman" w:eastAsia="宋体" w:cs="Times New Roman"/>
      <w:kern w:val="0"/>
      <w:sz w:val="18"/>
      <w:szCs w:val="18"/>
    </w:rPr>
  </w:style>
  <w:style w:type="paragraph" w:styleId="36">
    <w:name w:val="footer"/>
    <w:basedOn w:val="1"/>
    <w:link w:val="68"/>
    <w:unhideWhenUsed/>
    <w:qFormat/>
    <w:uiPriority w:val="99"/>
    <w:pPr>
      <w:tabs>
        <w:tab w:val="center" w:pos="4153"/>
        <w:tab w:val="right" w:pos="8306"/>
      </w:tabs>
      <w:snapToGrid w:val="0"/>
      <w:jc w:val="left"/>
    </w:pPr>
    <w:rPr>
      <w:sz w:val="18"/>
      <w:szCs w:val="18"/>
    </w:rPr>
  </w:style>
  <w:style w:type="paragraph" w:styleId="37">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39">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0">
    <w:name w:val="List"/>
    <w:basedOn w:val="1"/>
    <w:unhideWhenUsed/>
    <w:qFormat/>
    <w:uiPriority w:val="0"/>
    <w:pPr>
      <w:ind w:left="200" w:hanging="200" w:hangingChars="200"/>
    </w:pPr>
    <w:rPr>
      <w:rFonts w:ascii="Times New Roman" w:hAnsi="Times New Roman" w:eastAsia="宋体" w:cs="Times New Roman"/>
      <w:sz w:val="21"/>
    </w:rPr>
  </w:style>
  <w:style w:type="paragraph" w:styleId="41">
    <w:name w:val="footnote text"/>
    <w:basedOn w:val="1"/>
    <w:link w:val="155"/>
    <w:uiPriority w:val="0"/>
    <w:pPr>
      <w:snapToGrid w:val="0"/>
      <w:jc w:val="left"/>
    </w:pPr>
    <w:rPr>
      <w:rFonts w:ascii="Times New Roman" w:hAnsi="Times New Roman" w:eastAsia="宋体" w:cs="Times New Roman"/>
      <w:kern w:val="0"/>
      <w:sz w:val="18"/>
      <w:szCs w:val="18"/>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7"/>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able of figures"/>
    <w:basedOn w:val="1"/>
    <w:next w:val="1"/>
    <w:uiPriority w:val="0"/>
    <w:pPr>
      <w:ind w:left="200" w:leftChars="200" w:hanging="200" w:hangingChars="200"/>
    </w:pPr>
    <w:rPr>
      <w:rFonts w:ascii="Times New Roman" w:hAnsi="Times New Roman" w:eastAsia="宋体" w:cs="Times New Roman"/>
      <w:sz w:val="21"/>
    </w:rPr>
  </w:style>
  <w:style w:type="paragraph" w:styleId="45">
    <w:name w:val="toc 2"/>
    <w:basedOn w:val="1"/>
    <w:next w:val="1"/>
    <w:unhideWhenUsed/>
    <w:qFormat/>
    <w:uiPriority w:val="39"/>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6">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7">
    <w:name w:val="Body Text 2"/>
    <w:basedOn w:val="1"/>
    <w:link w:val="88"/>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9">
    <w:name w:val="List Continue 2"/>
    <w:basedOn w:val="1"/>
    <w:unhideWhenUsed/>
    <w:qFormat/>
    <w:uiPriority w:val="0"/>
    <w:pPr>
      <w:spacing w:after="120"/>
      <w:ind w:left="840" w:leftChars="400"/>
    </w:pPr>
    <w:rPr>
      <w:rFonts w:ascii="Times New Roman" w:hAnsi="Times New Roman" w:eastAsia="宋体" w:cs="Times New Roman"/>
      <w:sz w:val="21"/>
    </w:rPr>
  </w:style>
  <w:style w:type="paragraph" w:styleId="50">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2">
    <w:name w:val="index 2"/>
    <w:basedOn w:val="1"/>
    <w:next w:val="1"/>
    <w:uiPriority w:val="0"/>
    <w:pPr>
      <w:ind w:left="200" w:leftChars="200"/>
    </w:pPr>
    <w:rPr>
      <w:rFonts w:ascii="Times New Roman" w:hAnsi="Times New Roman" w:eastAsia="宋体" w:cs="Times New Roman"/>
      <w:sz w:val="21"/>
    </w:rPr>
  </w:style>
  <w:style w:type="paragraph" w:styleId="53">
    <w:name w:val="Title"/>
    <w:basedOn w:val="1"/>
    <w:next w:val="1"/>
    <w:link w:val="89"/>
    <w:qFormat/>
    <w:uiPriority w:val="0"/>
    <w:pPr>
      <w:spacing w:before="60" w:after="60"/>
      <w:jc w:val="center"/>
      <w:outlineLvl w:val="0"/>
    </w:pPr>
    <w:rPr>
      <w:rFonts w:ascii="Cambria" w:hAnsi="Cambria" w:eastAsia="黑体" w:cs="Times New Roman"/>
      <w:b/>
      <w:bCs/>
      <w:kern w:val="0"/>
      <w:sz w:val="32"/>
      <w:szCs w:val="32"/>
    </w:rPr>
  </w:style>
  <w:style w:type="paragraph" w:styleId="54">
    <w:name w:val="annotation subject"/>
    <w:basedOn w:val="20"/>
    <w:next w:val="20"/>
    <w:link w:val="90"/>
    <w:unhideWhenUsed/>
    <w:uiPriority w:val="0"/>
    <w:rPr>
      <w:rFonts w:ascii="Times New Roman" w:hAnsi="Times New Roman" w:eastAsia="宋体" w:cs="Times New Roman"/>
      <w:b/>
      <w:bCs/>
      <w:kern w:val="0"/>
      <w:sz w:val="20"/>
    </w:rPr>
  </w:style>
  <w:style w:type="paragraph" w:styleId="55">
    <w:name w:val="Body Text First Indent"/>
    <w:basedOn w:val="22"/>
    <w:link w:val="91"/>
    <w:unhideWhenUsed/>
    <w:qFormat/>
    <w:uiPriority w:val="0"/>
    <w:pPr>
      <w:ind w:firstLine="420" w:firstLineChars="100"/>
    </w:pPr>
    <w:rPr>
      <w:rFonts w:ascii="Times New Roman" w:hAnsi="Times New Roman" w:eastAsia="宋体" w:cs="Times New Roman"/>
      <w:kern w:val="0"/>
      <w:sz w:val="20"/>
    </w:rPr>
  </w:style>
  <w:style w:type="paragraph" w:styleId="56">
    <w:name w:val="Body Text First Indent 2"/>
    <w:basedOn w:val="23"/>
    <w:link w:val="92"/>
    <w:unhideWhenUsed/>
    <w:qFormat/>
    <w:uiPriority w:val="0"/>
    <w:pPr>
      <w:spacing w:after="120"/>
      <w:ind w:left="420" w:leftChars="200" w:firstLine="420"/>
    </w:pPr>
    <w:rPr>
      <w:szCs w:val="24"/>
    </w:rPr>
  </w:style>
  <w:style w:type="table" w:styleId="58">
    <w:name w:val="Table Grid"/>
    <w:basedOn w:val="5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0">
    <w:name w:val="Strong"/>
    <w:qFormat/>
    <w:uiPriority w:val="0"/>
    <w:rPr>
      <w:rFonts w:asciiTheme="minorHAnsi" w:hAnsiTheme="minorHAnsi" w:eastAsiaTheme="minorEastAsia" w:cstheme="minorBidi"/>
      <w:b/>
      <w:bCs/>
      <w:kern w:val="2"/>
      <w:sz w:val="21"/>
      <w:szCs w:val="22"/>
      <w:lang w:val="en-US" w:eastAsia="zh-CN" w:bidi="ar-SA"/>
    </w:rPr>
  </w:style>
  <w:style w:type="character" w:styleId="61">
    <w:name w:val="page number"/>
    <w:basedOn w:val="59"/>
    <w:unhideWhenUsed/>
    <w:qFormat/>
    <w:uiPriority w:val="0"/>
    <w:rPr>
      <w:rFonts w:asciiTheme="minorHAnsi" w:hAnsiTheme="minorHAnsi" w:eastAsiaTheme="minorEastAsia" w:cstheme="minorBidi"/>
      <w:kern w:val="2"/>
      <w:sz w:val="21"/>
      <w:szCs w:val="22"/>
      <w:lang w:val="en-US" w:eastAsia="zh-CN" w:bidi="ar-SA"/>
    </w:rPr>
  </w:style>
  <w:style w:type="character" w:styleId="62">
    <w:name w:val="FollowedHyperlink"/>
    <w:unhideWhenUsed/>
    <w:qFormat/>
    <w:uiPriority w:val="0"/>
    <w:rPr>
      <w:rFonts w:asciiTheme="minorHAnsi" w:hAnsiTheme="minorHAnsi" w:eastAsiaTheme="minorEastAsia" w:cstheme="minorBidi"/>
      <w:color w:val="800080"/>
      <w:kern w:val="2"/>
      <w:sz w:val="21"/>
      <w:szCs w:val="22"/>
      <w:u w:val="single"/>
      <w:lang w:val="en-US" w:eastAsia="zh-CN" w:bidi="ar-SA"/>
    </w:rPr>
  </w:style>
  <w:style w:type="character" w:styleId="63">
    <w:name w:val="Emphasis"/>
    <w:qFormat/>
    <w:uiPriority w:val="20"/>
    <w:rPr>
      <w:rFonts w:ascii="Calibri" w:hAnsi="Calibri" w:eastAsia="宋体" w:cs="Calibri"/>
      <w:i/>
      <w:iCs/>
      <w:lang w:val="en-US" w:eastAsia="zh-CN" w:bidi="ar-SA"/>
    </w:rPr>
  </w:style>
  <w:style w:type="character" w:styleId="64">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65">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66">
    <w:name w:val="footnote reference"/>
    <w:uiPriority w:val="0"/>
    <w:rPr>
      <w:rFonts w:ascii="Calibri" w:hAnsi="Calibri" w:eastAsia="宋体" w:cs="Calibri"/>
      <w:vertAlign w:val="superscript"/>
      <w:lang w:val="en-US" w:eastAsia="zh-CN" w:bidi="ar-SA"/>
    </w:rPr>
  </w:style>
  <w:style w:type="character" w:customStyle="1" w:styleId="67">
    <w:name w:val="页眉 Char"/>
    <w:basedOn w:val="59"/>
    <w:link w:val="37"/>
    <w:qFormat/>
    <w:uiPriority w:val="99"/>
    <w:rPr>
      <w:rFonts w:asciiTheme="minorHAnsi" w:hAnsiTheme="minorHAnsi" w:eastAsiaTheme="minorEastAsia" w:cstheme="minorBidi"/>
      <w:kern w:val="2"/>
      <w:sz w:val="18"/>
      <w:szCs w:val="18"/>
      <w:lang w:val="en-US" w:eastAsia="zh-CN" w:bidi="ar-SA"/>
    </w:rPr>
  </w:style>
  <w:style w:type="character" w:customStyle="1" w:styleId="68">
    <w:name w:val="页脚 Char"/>
    <w:basedOn w:val="59"/>
    <w:link w:val="36"/>
    <w:qFormat/>
    <w:uiPriority w:val="99"/>
    <w:rPr>
      <w:rFonts w:asciiTheme="minorHAnsi" w:hAnsiTheme="minorHAnsi" w:eastAsiaTheme="minorEastAsia" w:cstheme="minorBidi"/>
      <w:kern w:val="2"/>
      <w:sz w:val="18"/>
      <w:szCs w:val="18"/>
      <w:lang w:val="en-US" w:eastAsia="zh-CN" w:bidi="ar-SA"/>
    </w:rPr>
  </w:style>
  <w:style w:type="character" w:customStyle="1" w:styleId="69">
    <w:name w:val="标题 1 Char"/>
    <w:basedOn w:val="59"/>
    <w:link w:val="2"/>
    <w:qFormat/>
    <w:uiPriority w:val="0"/>
    <w:rPr>
      <w:rFonts w:ascii="Times New Roman" w:hAnsi="Times New Roman" w:eastAsia="宋体" w:cs="Times New Roman"/>
      <w:b/>
      <w:bCs/>
      <w:kern w:val="44"/>
      <w:sz w:val="30"/>
      <w:szCs w:val="44"/>
      <w:lang w:val="en-US" w:eastAsia="zh-CN" w:bidi="ar-SA"/>
    </w:rPr>
  </w:style>
  <w:style w:type="character" w:customStyle="1" w:styleId="70">
    <w:name w:val="标题 2 Char"/>
    <w:basedOn w:val="59"/>
    <w:link w:val="3"/>
    <w:qFormat/>
    <w:uiPriority w:val="0"/>
    <w:rPr>
      <w:rFonts w:ascii="Arial" w:hAnsi="Arial" w:eastAsia="宋体" w:cs="Times New Roman"/>
      <w:b/>
      <w:bCs/>
      <w:kern w:val="0"/>
      <w:sz w:val="28"/>
      <w:szCs w:val="32"/>
      <w:lang w:val="en-US" w:eastAsia="zh-CN" w:bidi="ar-SA"/>
    </w:rPr>
  </w:style>
  <w:style w:type="character" w:customStyle="1" w:styleId="71">
    <w:name w:val="标题 3 Char"/>
    <w:basedOn w:val="59"/>
    <w:link w:val="4"/>
    <w:qFormat/>
    <w:uiPriority w:val="0"/>
    <w:rPr>
      <w:rFonts w:ascii="宋体" w:hAnsi="Times New Roman" w:eastAsia="宋体" w:cs="Times New Roman"/>
      <w:b/>
      <w:kern w:val="0"/>
      <w:sz w:val="28"/>
      <w:szCs w:val="20"/>
      <w:lang w:val="en-US" w:eastAsia="zh-CN" w:bidi="ar-SA"/>
    </w:rPr>
  </w:style>
  <w:style w:type="character" w:customStyle="1" w:styleId="72">
    <w:name w:val="标题 4 Char"/>
    <w:basedOn w:val="59"/>
    <w:link w:val="5"/>
    <w:qFormat/>
    <w:uiPriority w:val="0"/>
    <w:rPr>
      <w:rFonts w:ascii="Arial" w:hAnsi="Arial" w:eastAsia="黑体" w:cs="Times New Roman"/>
      <w:b/>
      <w:bCs/>
      <w:kern w:val="0"/>
      <w:sz w:val="28"/>
      <w:szCs w:val="28"/>
      <w:lang w:val="en-US" w:eastAsia="zh-CN" w:bidi="ar-SA"/>
    </w:rPr>
  </w:style>
  <w:style w:type="character" w:customStyle="1" w:styleId="73">
    <w:name w:val="标题 5 Char"/>
    <w:basedOn w:val="59"/>
    <w:link w:val="6"/>
    <w:qFormat/>
    <w:uiPriority w:val="0"/>
    <w:rPr>
      <w:rFonts w:ascii="Times New Roman" w:hAnsi="Times New Roman" w:eastAsia="宋体" w:cs="Times New Roman"/>
      <w:b/>
      <w:bCs/>
      <w:kern w:val="0"/>
      <w:sz w:val="28"/>
      <w:szCs w:val="28"/>
      <w:lang w:val="en-US" w:eastAsia="zh-CN" w:bidi="ar-SA"/>
    </w:rPr>
  </w:style>
  <w:style w:type="character" w:customStyle="1" w:styleId="74">
    <w:name w:val="标题 6 Char"/>
    <w:basedOn w:val="59"/>
    <w:link w:val="7"/>
    <w:qFormat/>
    <w:uiPriority w:val="0"/>
    <w:rPr>
      <w:rFonts w:ascii="Arial" w:hAnsi="Arial" w:eastAsia="黑体" w:cs="Times New Roman"/>
      <w:b/>
      <w:bCs/>
      <w:kern w:val="0"/>
      <w:sz w:val="21"/>
      <w:szCs w:val="22"/>
      <w:lang w:val="en-US" w:eastAsia="zh-CN" w:bidi="ar-SA"/>
    </w:rPr>
  </w:style>
  <w:style w:type="character" w:customStyle="1" w:styleId="75">
    <w:name w:val="标题 7 Char"/>
    <w:basedOn w:val="59"/>
    <w:link w:val="8"/>
    <w:qFormat/>
    <w:uiPriority w:val="0"/>
    <w:rPr>
      <w:rFonts w:ascii="Times New Roman" w:hAnsi="Times New Roman" w:eastAsia="宋体" w:cs="Times New Roman"/>
      <w:b/>
      <w:bCs/>
      <w:kern w:val="0"/>
      <w:sz w:val="21"/>
      <w:szCs w:val="22"/>
      <w:lang w:val="en-US" w:eastAsia="zh-CN" w:bidi="ar-SA"/>
    </w:rPr>
  </w:style>
  <w:style w:type="character" w:customStyle="1" w:styleId="76">
    <w:name w:val="标题 8 Char"/>
    <w:basedOn w:val="59"/>
    <w:link w:val="9"/>
    <w:qFormat/>
    <w:uiPriority w:val="0"/>
    <w:rPr>
      <w:rFonts w:ascii="Arial" w:hAnsi="Arial" w:eastAsia="黑体" w:cs="Times New Roman"/>
      <w:kern w:val="0"/>
      <w:sz w:val="21"/>
      <w:szCs w:val="22"/>
      <w:lang w:val="en-US" w:eastAsia="zh-CN" w:bidi="ar-SA"/>
    </w:rPr>
  </w:style>
  <w:style w:type="character" w:customStyle="1" w:styleId="77">
    <w:name w:val="标题 9 Char"/>
    <w:basedOn w:val="59"/>
    <w:link w:val="10"/>
    <w:qFormat/>
    <w:uiPriority w:val="0"/>
    <w:rPr>
      <w:rFonts w:ascii="Arial" w:hAnsi="Arial" w:eastAsia="黑体" w:cs="Times New Roman"/>
      <w:kern w:val="0"/>
      <w:sz w:val="20"/>
      <w:szCs w:val="21"/>
      <w:lang w:val="en-US" w:eastAsia="zh-CN" w:bidi="ar-SA"/>
    </w:rPr>
  </w:style>
  <w:style w:type="character" w:customStyle="1" w:styleId="78">
    <w:name w:val="文档结构图 Char"/>
    <w:basedOn w:val="59"/>
    <w:link w:val="18"/>
    <w:qFormat/>
    <w:uiPriority w:val="0"/>
    <w:rPr>
      <w:rFonts w:ascii="Times New Roman" w:hAnsi="Times New Roman" w:eastAsia="宋体" w:cs="Times New Roman"/>
      <w:kern w:val="0"/>
      <w:sz w:val="20"/>
      <w:szCs w:val="22"/>
      <w:lang w:val="en-US" w:eastAsia="zh-CN" w:bidi="ar-SA"/>
    </w:rPr>
  </w:style>
  <w:style w:type="character" w:customStyle="1" w:styleId="79">
    <w:name w:val="批注文字 Char"/>
    <w:basedOn w:val="59"/>
    <w:link w:val="20"/>
    <w:qFormat/>
    <w:uiPriority w:val="0"/>
    <w:rPr>
      <w:rFonts w:asciiTheme="minorHAnsi" w:hAnsiTheme="minorHAnsi" w:eastAsiaTheme="minorEastAsia" w:cstheme="minorBidi"/>
      <w:kern w:val="2"/>
      <w:sz w:val="21"/>
      <w:szCs w:val="22"/>
      <w:lang w:val="en-US" w:eastAsia="zh-CN" w:bidi="ar-SA"/>
    </w:rPr>
  </w:style>
  <w:style w:type="character" w:customStyle="1" w:styleId="80">
    <w:name w:val="正文文本 3 Char"/>
    <w:basedOn w:val="59"/>
    <w:link w:val="21"/>
    <w:qFormat/>
    <w:uiPriority w:val="0"/>
    <w:rPr>
      <w:rFonts w:ascii="Times New Roman" w:hAnsi="Times New Roman" w:eastAsia="宋体" w:cs="Times New Roman"/>
      <w:kern w:val="0"/>
      <w:sz w:val="16"/>
      <w:szCs w:val="16"/>
      <w:lang w:val="en-US" w:eastAsia="zh-CN" w:bidi="ar-SA"/>
    </w:rPr>
  </w:style>
  <w:style w:type="character" w:customStyle="1" w:styleId="81">
    <w:name w:val="正文文本 Char"/>
    <w:basedOn w:val="59"/>
    <w:link w:val="22"/>
    <w:qFormat/>
    <w:uiPriority w:val="0"/>
    <w:rPr>
      <w:rFonts w:asciiTheme="minorHAnsi" w:hAnsiTheme="minorHAnsi" w:eastAsiaTheme="minorEastAsia" w:cstheme="minorBidi"/>
      <w:kern w:val="2"/>
      <w:sz w:val="21"/>
      <w:szCs w:val="22"/>
      <w:lang w:val="en-US" w:eastAsia="zh-CN" w:bidi="ar-SA"/>
    </w:rPr>
  </w:style>
  <w:style w:type="character" w:customStyle="1" w:styleId="82">
    <w:name w:val="正文文本缩进 Char"/>
    <w:basedOn w:val="59"/>
    <w:link w:val="23"/>
    <w:qFormat/>
    <w:uiPriority w:val="0"/>
    <w:rPr>
      <w:rFonts w:ascii="宋体" w:hAnsi="宋体" w:eastAsia="宋体" w:cs="Times New Roman"/>
      <w:kern w:val="0"/>
      <w:sz w:val="28"/>
      <w:szCs w:val="28"/>
      <w:lang w:val="en-US" w:eastAsia="zh-CN" w:bidi="ar-SA"/>
    </w:rPr>
  </w:style>
  <w:style w:type="character" w:customStyle="1" w:styleId="83">
    <w:name w:val="纯文本 Char"/>
    <w:basedOn w:val="59"/>
    <w:link w:val="30"/>
    <w:qFormat/>
    <w:uiPriority w:val="0"/>
    <w:rPr>
      <w:rFonts w:ascii="宋体" w:hAnsi="Courier New" w:eastAsia="宋体" w:cs="Times New Roman"/>
      <w:kern w:val="0"/>
      <w:sz w:val="20"/>
      <w:szCs w:val="21"/>
      <w:lang w:val="en-US" w:eastAsia="zh-CN" w:bidi="ar-SA"/>
    </w:rPr>
  </w:style>
  <w:style w:type="character" w:customStyle="1" w:styleId="84">
    <w:name w:val="日期 Char"/>
    <w:basedOn w:val="59"/>
    <w:link w:val="33"/>
    <w:qFormat/>
    <w:uiPriority w:val="0"/>
    <w:rPr>
      <w:rFonts w:ascii="Times New Roman" w:hAnsi="Times New Roman" w:eastAsia="宋体" w:cs="Times New Roman"/>
      <w:kern w:val="0"/>
      <w:sz w:val="20"/>
      <w:szCs w:val="22"/>
      <w:lang w:val="en-US" w:eastAsia="zh-CN" w:bidi="ar-SA"/>
    </w:rPr>
  </w:style>
  <w:style w:type="character" w:customStyle="1" w:styleId="85">
    <w:name w:val="正文文本缩进 2 Char"/>
    <w:basedOn w:val="59"/>
    <w:link w:val="34"/>
    <w:qFormat/>
    <w:uiPriority w:val="0"/>
    <w:rPr>
      <w:rFonts w:ascii="Times New Roman" w:hAnsi="Times New Roman" w:eastAsia="宋体" w:cs="Times New Roman"/>
      <w:kern w:val="0"/>
      <w:sz w:val="20"/>
      <w:szCs w:val="22"/>
      <w:lang w:val="en-US" w:eastAsia="zh-CN" w:bidi="ar-SA"/>
    </w:rPr>
  </w:style>
  <w:style w:type="character" w:customStyle="1" w:styleId="86">
    <w:name w:val="批注框文本 Char"/>
    <w:basedOn w:val="59"/>
    <w:link w:val="35"/>
    <w:qFormat/>
    <w:uiPriority w:val="0"/>
    <w:rPr>
      <w:rFonts w:ascii="Times New Roman" w:hAnsi="Times New Roman" w:eastAsia="宋体" w:cs="Times New Roman"/>
      <w:kern w:val="0"/>
      <w:sz w:val="18"/>
      <w:szCs w:val="18"/>
      <w:lang w:val="en-US" w:eastAsia="zh-CN" w:bidi="ar-SA"/>
    </w:rPr>
  </w:style>
  <w:style w:type="character" w:customStyle="1" w:styleId="87">
    <w:name w:val="正文文本缩进 3 Char"/>
    <w:basedOn w:val="59"/>
    <w:link w:val="43"/>
    <w:qFormat/>
    <w:uiPriority w:val="0"/>
    <w:rPr>
      <w:rFonts w:ascii="Times New Roman" w:hAnsi="Times New Roman" w:eastAsia="宋体" w:cs="Times New Roman"/>
      <w:kern w:val="0"/>
      <w:sz w:val="16"/>
      <w:szCs w:val="16"/>
      <w:lang w:val="en-US" w:eastAsia="zh-CN" w:bidi="ar-SA"/>
    </w:rPr>
  </w:style>
  <w:style w:type="character" w:customStyle="1" w:styleId="88">
    <w:name w:val="正文文本 2 Char"/>
    <w:basedOn w:val="59"/>
    <w:link w:val="47"/>
    <w:qFormat/>
    <w:uiPriority w:val="0"/>
    <w:rPr>
      <w:rFonts w:ascii="Times New Roman" w:hAnsi="Times New Roman" w:eastAsia="宋体" w:cs="Times New Roman"/>
      <w:kern w:val="0"/>
      <w:sz w:val="20"/>
      <w:szCs w:val="22"/>
      <w:lang w:val="en-US" w:eastAsia="zh-CN" w:bidi="ar-SA"/>
    </w:rPr>
  </w:style>
  <w:style w:type="character" w:customStyle="1" w:styleId="89">
    <w:name w:val="标题 Char"/>
    <w:basedOn w:val="59"/>
    <w:link w:val="53"/>
    <w:qFormat/>
    <w:uiPriority w:val="0"/>
    <w:rPr>
      <w:rFonts w:ascii="Cambria" w:hAnsi="Cambria" w:eastAsia="黑体" w:cs="Times New Roman"/>
      <w:b/>
      <w:bCs/>
      <w:kern w:val="0"/>
      <w:sz w:val="32"/>
      <w:szCs w:val="32"/>
      <w:lang w:val="en-US" w:eastAsia="zh-CN" w:bidi="ar-SA"/>
    </w:rPr>
  </w:style>
  <w:style w:type="character" w:customStyle="1" w:styleId="90">
    <w:name w:val="批注主题 Char"/>
    <w:basedOn w:val="79"/>
    <w:link w:val="54"/>
    <w:semiHidden/>
    <w:qFormat/>
    <w:uiPriority w:val="0"/>
    <w:rPr>
      <w:rFonts w:ascii="Times New Roman" w:hAnsi="Times New Roman" w:eastAsia="宋体" w:cs="Times New Roman"/>
      <w:b/>
      <w:bCs/>
      <w:kern w:val="0"/>
      <w:sz w:val="20"/>
    </w:rPr>
  </w:style>
  <w:style w:type="character" w:customStyle="1" w:styleId="91">
    <w:name w:val="正文首行缩进 Char"/>
    <w:basedOn w:val="81"/>
    <w:link w:val="55"/>
    <w:qFormat/>
    <w:uiPriority w:val="0"/>
    <w:rPr>
      <w:rFonts w:ascii="Times New Roman" w:hAnsi="Times New Roman" w:eastAsia="宋体" w:cs="Times New Roman"/>
      <w:kern w:val="0"/>
      <w:sz w:val="20"/>
    </w:rPr>
  </w:style>
  <w:style w:type="character" w:customStyle="1" w:styleId="92">
    <w:name w:val="正文首行缩进 2 Char"/>
    <w:basedOn w:val="82"/>
    <w:link w:val="56"/>
    <w:qFormat/>
    <w:uiPriority w:val="0"/>
    <w:rPr>
      <w:szCs w:val="24"/>
    </w:rPr>
  </w:style>
  <w:style w:type="character" w:customStyle="1" w:styleId="93">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94">
    <w:name w:val="Char Char"/>
    <w:qFormat/>
    <w:uiPriority w:val="0"/>
    <w:rPr>
      <w:rFonts w:ascii="宋体" w:hAnsi="Courier New" w:eastAsia="宋体" w:cs="Courier New"/>
      <w:kern w:val="2"/>
      <w:sz w:val="21"/>
      <w:szCs w:val="21"/>
      <w:lang w:val="en-US" w:eastAsia="zh-CN" w:bidi="ar-SA"/>
    </w:rPr>
  </w:style>
  <w:style w:type="character" w:customStyle="1" w:styleId="9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96">
    <w:name w:val="Char Char3"/>
    <w:qFormat/>
    <w:uiPriority w:val="0"/>
    <w:rPr>
      <w:rFonts w:eastAsia="宋体" w:asciiTheme="minorHAnsi" w:hAnsiTheme="minorHAnsi" w:cstheme="minorBidi"/>
      <w:kern w:val="2"/>
      <w:sz w:val="18"/>
      <w:szCs w:val="18"/>
      <w:lang w:val="en-US" w:eastAsia="zh-CN" w:bidi="ar-SA"/>
    </w:rPr>
  </w:style>
  <w:style w:type="character" w:customStyle="1" w:styleId="97">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8">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9">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100">
    <w:name w:val="zbggmain style9"/>
    <w:basedOn w:val="59"/>
    <w:qFormat/>
    <w:uiPriority w:val="0"/>
    <w:rPr>
      <w:rFonts w:asciiTheme="minorHAnsi" w:hAnsiTheme="minorHAnsi" w:eastAsiaTheme="minorEastAsia" w:cstheme="minorBidi"/>
      <w:kern w:val="2"/>
      <w:sz w:val="21"/>
      <w:szCs w:val="22"/>
      <w:lang w:val="en-US" w:eastAsia="zh-CN" w:bidi="ar-SA"/>
    </w:rPr>
  </w:style>
  <w:style w:type="character" w:customStyle="1" w:styleId="101">
    <w:name w:val="px1233"/>
    <w:basedOn w:val="59"/>
    <w:qFormat/>
    <w:uiPriority w:val="0"/>
    <w:rPr>
      <w:rFonts w:asciiTheme="minorHAnsi" w:hAnsiTheme="minorHAnsi" w:eastAsiaTheme="minorEastAsia" w:cstheme="minorBidi"/>
      <w:kern w:val="2"/>
      <w:sz w:val="21"/>
      <w:szCs w:val="22"/>
      <w:lang w:val="en-US" w:eastAsia="zh-CN" w:bidi="ar-SA"/>
    </w:rPr>
  </w:style>
  <w:style w:type="character" w:customStyle="1" w:styleId="102">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103">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104">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05">
    <w:name w:val="Char Char2"/>
    <w:qFormat/>
    <w:uiPriority w:val="0"/>
    <w:rPr>
      <w:rFonts w:eastAsia="宋体" w:asciiTheme="minorHAnsi" w:hAnsiTheme="minorHAnsi" w:cstheme="minorBidi"/>
      <w:kern w:val="2"/>
      <w:sz w:val="18"/>
      <w:szCs w:val="18"/>
      <w:lang w:val="en-US" w:eastAsia="zh-CN" w:bidi="ar-SA"/>
    </w:rPr>
  </w:style>
  <w:style w:type="character" w:customStyle="1" w:styleId="106">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7">
    <w:name w:val="样式1"/>
    <w:basedOn w:val="5"/>
    <w:qFormat/>
    <w:uiPriority w:val="0"/>
    <w:pPr>
      <w:tabs>
        <w:tab w:val="left" w:pos="864"/>
      </w:tabs>
      <w:spacing w:before="120" w:after="120" w:line="360" w:lineRule="auto"/>
      <w:ind w:left="864" w:hanging="864"/>
    </w:pPr>
    <w:rPr>
      <w:b w:val="0"/>
      <w:bCs w:val="0"/>
    </w:rPr>
  </w:style>
  <w:style w:type="paragraph" w:customStyle="1" w:styleId="108">
    <w:name w:val="Char Char Char1 Char Char Char Char"/>
    <w:basedOn w:val="1"/>
    <w:qFormat/>
    <w:uiPriority w:val="0"/>
    <w:rPr>
      <w:rFonts w:ascii="Times New Roman" w:hAnsi="Times New Roman" w:eastAsia="宋体" w:cs="Times New Roman"/>
      <w:sz w:val="21"/>
    </w:rPr>
  </w:style>
  <w:style w:type="paragraph" w:customStyle="1" w:styleId="109">
    <w:name w:val="Char Char Char Char Char Char"/>
    <w:basedOn w:val="1"/>
    <w:qFormat/>
    <w:uiPriority w:val="0"/>
    <w:rPr>
      <w:rFonts w:ascii="Times New Roman" w:hAnsi="Times New Roman" w:eastAsia="宋体" w:cs="Times New Roman"/>
      <w:sz w:val="21"/>
    </w:rPr>
  </w:style>
  <w:style w:type="character" w:customStyle="1" w:styleId="110">
    <w:name w:val="批注框文本字符1"/>
    <w:basedOn w:val="59"/>
    <w:semiHidden/>
    <w:qFormat/>
    <w:uiPriority w:val="99"/>
    <w:rPr>
      <w:rFonts w:ascii="Heiti SC Light" w:eastAsia="Heiti SC Light" w:hAnsiTheme="minorHAnsi" w:cstheme="minorBidi"/>
      <w:kern w:val="2"/>
      <w:sz w:val="18"/>
      <w:szCs w:val="18"/>
      <w:lang w:val="en-US" w:eastAsia="zh-CN" w:bidi="ar-SA"/>
    </w:rPr>
  </w:style>
  <w:style w:type="character" w:customStyle="1" w:styleId="111">
    <w:name w:val="日期字符1"/>
    <w:basedOn w:val="59"/>
    <w:semiHidden/>
    <w:qFormat/>
    <w:uiPriority w:val="99"/>
    <w:rPr>
      <w:rFonts w:asciiTheme="minorHAnsi" w:hAnsiTheme="minorHAnsi" w:eastAsiaTheme="minorEastAsia" w:cstheme="minorBidi"/>
      <w:kern w:val="2"/>
      <w:sz w:val="21"/>
      <w:szCs w:val="22"/>
      <w:lang w:val="en-US" w:eastAsia="zh-CN" w:bidi="ar-SA"/>
    </w:rPr>
  </w:style>
  <w:style w:type="character" w:customStyle="1" w:styleId="112">
    <w:name w:val="纯文本字符1"/>
    <w:basedOn w:val="59"/>
    <w:semiHidden/>
    <w:qFormat/>
    <w:uiPriority w:val="99"/>
    <w:rPr>
      <w:rFonts w:ascii="宋体" w:hAnsi="Courier" w:eastAsia="宋体" w:cstheme="minorBidi"/>
      <w:kern w:val="2"/>
      <w:sz w:val="21"/>
      <w:szCs w:val="22"/>
      <w:lang w:val="en-US" w:eastAsia="zh-CN" w:bidi="ar-SA"/>
    </w:rPr>
  </w:style>
  <w:style w:type="character" w:customStyle="1" w:styleId="113">
    <w:name w:val="批注主题字符1"/>
    <w:basedOn w:val="79"/>
    <w:semiHidden/>
    <w:qFormat/>
    <w:uiPriority w:val="99"/>
    <w:rPr>
      <w:b/>
      <w:bCs/>
      <w:sz w:val="24"/>
      <w:szCs w:val="24"/>
    </w:rPr>
  </w:style>
  <w:style w:type="paragraph" w:customStyle="1" w:styleId="114">
    <w:name w:val="Char Char Char Char"/>
    <w:basedOn w:val="1"/>
    <w:qFormat/>
    <w:uiPriority w:val="0"/>
    <w:rPr>
      <w:rFonts w:ascii="Times New Roman" w:hAnsi="Times New Roman" w:eastAsia="宋体" w:cs="Times New Roman"/>
      <w:sz w:val="21"/>
    </w:rPr>
  </w:style>
  <w:style w:type="character" w:customStyle="1" w:styleId="115">
    <w:name w:val="正文首行缩进字符1"/>
    <w:basedOn w:val="81"/>
    <w:semiHidden/>
    <w:qFormat/>
    <w:uiPriority w:val="99"/>
    <w:rPr>
      <w:sz w:val="24"/>
      <w:szCs w:val="24"/>
    </w:rPr>
  </w:style>
  <w:style w:type="character" w:customStyle="1" w:styleId="116">
    <w:name w:val="正文文本缩进 3字符1"/>
    <w:basedOn w:val="59"/>
    <w:semiHidden/>
    <w:qFormat/>
    <w:uiPriority w:val="99"/>
    <w:rPr>
      <w:rFonts w:asciiTheme="minorHAnsi" w:hAnsiTheme="minorHAnsi" w:eastAsiaTheme="minorEastAsia" w:cstheme="minorBidi"/>
      <w:kern w:val="2"/>
      <w:sz w:val="16"/>
      <w:szCs w:val="16"/>
      <w:lang w:val="en-US" w:eastAsia="zh-CN" w:bidi="ar-SA"/>
    </w:rPr>
  </w:style>
  <w:style w:type="paragraph" w:customStyle="1" w:styleId="117">
    <w:name w:val="p0"/>
    <w:basedOn w:val="1"/>
    <w:qFormat/>
    <w:uiPriority w:val="0"/>
    <w:pPr>
      <w:widowControl/>
    </w:pPr>
    <w:rPr>
      <w:rFonts w:ascii="Times New Roman" w:hAnsi="Times New Roman" w:eastAsia="宋体" w:cs="Times New Roman"/>
      <w:kern w:val="0"/>
      <w:sz w:val="21"/>
      <w:szCs w:val="21"/>
    </w:rPr>
  </w:style>
  <w:style w:type="character" w:customStyle="1" w:styleId="118">
    <w:name w:val="文档结构图 字符1"/>
    <w:basedOn w:val="59"/>
    <w:semiHidden/>
    <w:qFormat/>
    <w:uiPriority w:val="99"/>
    <w:rPr>
      <w:rFonts w:ascii="Heiti SC Light" w:eastAsia="Heiti SC Light" w:hAnsiTheme="minorHAnsi" w:cstheme="minorBidi"/>
      <w:kern w:val="2"/>
      <w:sz w:val="21"/>
      <w:szCs w:val="22"/>
      <w:lang w:val="en-US" w:eastAsia="zh-CN" w:bidi="ar-SA"/>
    </w:rPr>
  </w:style>
  <w:style w:type="character" w:customStyle="1" w:styleId="119">
    <w:name w:val="正文文本 3字符1"/>
    <w:basedOn w:val="59"/>
    <w:semiHidden/>
    <w:qFormat/>
    <w:uiPriority w:val="99"/>
    <w:rPr>
      <w:rFonts w:asciiTheme="minorHAnsi" w:hAnsiTheme="minorHAnsi" w:eastAsiaTheme="minorEastAsia" w:cstheme="minorBidi"/>
      <w:kern w:val="2"/>
      <w:sz w:val="16"/>
      <w:szCs w:val="16"/>
      <w:lang w:val="en-US" w:eastAsia="zh-CN" w:bidi="ar-SA"/>
    </w:rPr>
  </w:style>
  <w:style w:type="character" w:customStyle="1" w:styleId="120">
    <w:name w:val="正文文本缩进字符1"/>
    <w:basedOn w:val="59"/>
    <w:semiHidden/>
    <w:qFormat/>
    <w:uiPriority w:val="99"/>
    <w:rPr>
      <w:rFonts w:asciiTheme="minorHAnsi" w:hAnsiTheme="minorHAnsi" w:eastAsiaTheme="minorEastAsia" w:cstheme="minorBidi"/>
      <w:kern w:val="2"/>
      <w:sz w:val="21"/>
      <w:szCs w:val="22"/>
      <w:lang w:val="en-US" w:eastAsia="zh-CN" w:bidi="ar-SA"/>
    </w:rPr>
  </w:style>
  <w:style w:type="character" w:customStyle="1" w:styleId="121">
    <w:name w:val="正文文本缩进 2字符1"/>
    <w:basedOn w:val="59"/>
    <w:semiHidden/>
    <w:qFormat/>
    <w:uiPriority w:val="99"/>
    <w:rPr>
      <w:rFonts w:asciiTheme="minorHAnsi" w:hAnsiTheme="minorHAnsi" w:eastAsiaTheme="minorEastAsia" w:cstheme="minorBidi"/>
      <w:kern w:val="2"/>
      <w:sz w:val="21"/>
      <w:szCs w:val="22"/>
      <w:lang w:val="en-US" w:eastAsia="zh-CN" w:bidi="ar-SA"/>
    </w:rPr>
  </w:style>
  <w:style w:type="paragraph" w:customStyle="1" w:styleId="122">
    <w:name w:val="Legal 3"/>
    <w:basedOn w:val="123"/>
    <w:next w:val="123"/>
    <w:qFormat/>
    <w:uiPriority w:val="0"/>
    <w:pPr>
      <w:spacing w:after="120"/>
    </w:pPr>
    <w:rPr>
      <w:rFonts w:cs="Times New Roman"/>
      <w:color w:val="auto"/>
    </w:rPr>
  </w:style>
  <w:style w:type="paragraph" w:customStyle="1" w:styleId="1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4">
    <w:name w:val="页脚字符1"/>
    <w:basedOn w:val="59"/>
    <w:semiHidden/>
    <w:qFormat/>
    <w:uiPriority w:val="99"/>
    <w:rPr>
      <w:rFonts w:asciiTheme="minorHAnsi" w:hAnsiTheme="minorHAnsi" w:eastAsiaTheme="minorEastAsia" w:cstheme="minorBidi"/>
      <w:kern w:val="2"/>
      <w:sz w:val="18"/>
      <w:szCs w:val="18"/>
      <w:lang w:val="en-US" w:eastAsia="zh-CN" w:bidi="ar-SA"/>
    </w:rPr>
  </w:style>
  <w:style w:type="character" w:customStyle="1" w:styleId="125">
    <w:name w:val="正文首行缩进 2字符1"/>
    <w:basedOn w:val="120"/>
    <w:semiHidden/>
    <w:qFormat/>
    <w:uiPriority w:val="99"/>
  </w:style>
  <w:style w:type="character" w:customStyle="1" w:styleId="126">
    <w:name w:val="页眉字符1"/>
    <w:basedOn w:val="59"/>
    <w:semiHidden/>
    <w:qFormat/>
    <w:uiPriority w:val="99"/>
    <w:rPr>
      <w:rFonts w:asciiTheme="minorHAnsi" w:hAnsiTheme="minorHAnsi" w:eastAsiaTheme="minorEastAsia" w:cstheme="minorBidi"/>
      <w:kern w:val="2"/>
      <w:sz w:val="18"/>
      <w:szCs w:val="18"/>
      <w:lang w:val="en-US" w:eastAsia="zh-CN" w:bidi="ar-SA"/>
    </w:rPr>
  </w:style>
  <w:style w:type="character" w:customStyle="1" w:styleId="127">
    <w:name w:val="正文文本 2字符1"/>
    <w:basedOn w:val="59"/>
    <w:semiHidden/>
    <w:qFormat/>
    <w:uiPriority w:val="99"/>
    <w:rPr>
      <w:rFonts w:asciiTheme="minorHAnsi" w:hAnsiTheme="minorHAnsi" w:eastAsiaTheme="minorEastAsia" w:cstheme="minorBidi"/>
      <w:kern w:val="2"/>
      <w:sz w:val="21"/>
      <w:szCs w:val="22"/>
      <w:lang w:val="en-US" w:eastAsia="zh-CN" w:bidi="ar-SA"/>
    </w:rPr>
  </w:style>
  <w:style w:type="character" w:customStyle="1" w:styleId="128">
    <w:name w:val="标题字符1"/>
    <w:basedOn w:val="59"/>
    <w:qFormat/>
    <w:uiPriority w:val="10"/>
    <w:rPr>
      <w:rFonts w:eastAsia="宋体" w:asciiTheme="majorHAnsi" w:hAnsiTheme="majorHAnsi" w:cstheme="majorBidi"/>
      <w:b/>
      <w:bCs/>
      <w:kern w:val="2"/>
      <w:sz w:val="32"/>
      <w:szCs w:val="32"/>
      <w:lang w:val="en-US" w:eastAsia="zh-CN" w:bidi="ar-SA"/>
    </w:rPr>
  </w:style>
  <w:style w:type="paragraph" w:customStyle="1" w:styleId="129">
    <w:name w:val="列出段落1"/>
    <w:basedOn w:val="1"/>
    <w:unhideWhenUsed/>
    <w:qFormat/>
    <w:uiPriority w:val="0"/>
    <w:pPr>
      <w:ind w:firstLine="420" w:firstLineChars="200"/>
    </w:pPr>
    <w:rPr>
      <w:rFonts w:ascii="Calibri" w:hAnsi="Calibri" w:eastAsia="宋体" w:cs="Times New Roman"/>
      <w:sz w:val="21"/>
      <w:szCs w:val="22"/>
    </w:rPr>
  </w:style>
  <w:style w:type="paragraph" w:customStyle="1" w:styleId="130">
    <w:name w:val="图表标题"/>
    <w:basedOn w:val="1"/>
    <w:next w:val="22"/>
    <w:qFormat/>
    <w:uiPriority w:val="0"/>
    <w:rPr>
      <w:rFonts w:ascii="Times New Roman" w:hAnsi="Times New Roman" w:eastAsia="宋体" w:cs="Times New Roman"/>
      <w:sz w:val="30"/>
      <w:szCs w:val="20"/>
    </w:rPr>
  </w:style>
  <w:style w:type="paragraph" w:customStyle="1" w:styleId="13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32">
    <w:name w:val="Char"/>
    <w:basedOn w:val="1"/>
    <w:qFormat/>
    <w:uiPriority w:val="0"/>
    <w:rPr>
      <w:rFonts w:ascii="仿宋_GB2312" w:hAnsi="Times New Roman" w:eastAsia="仿宋_GB2312" w:cs="Times New Roman"/>
      <w:b/>
      <w:sz w:val="32"/>
      <w:szCs w:val="32"/>
    </w:rPr>
  </w:style>
  <w:style w:type="paragraph" w:customStyle="1" w:styleId="133">
    <w:name w:val="Char4 Char Char Char"/>
    <w:basedOn w:val="18"/>
    <w:qFormat/>
    <w:uiPriority w:val="0"/>
    <w:rPr>
      <w:rFonts w:ascii="Tahoma" w:hAnsi="Tahoma"/>
      <w:sz w:val="24"/>
    </w:rPr>
  </w:style>
  <w:style w:type="paragraph" w:customStyle="1" w:styleId="134">
    <w:name w:val="表内文字"/>
    <w:basedOn w:val="1"/>
    <w:qFormat/>
    <w:uiPriority w:val="0"/>
    <w:pPr>
      <w:widowControl/>
      <w:ind w:firstLine="120" w:firstLineChars="50"/>
    </w:pPr>
    <w:rPr>
      <w:rFonts w:ascii="宋体" w:hAnsi="宋体" w:eastAsia="宋体" w:cs="Times New Roman"/>
      <w:szCs w:val="20"/>
    </w:rPr>
  </w:style>
  <w:style w:type="paragraph" w:customStyle="1" w:styleId="135">
    <w:name w:val="Char Char Char"/>
    <w:basedOn w:val="1"/>
    <w:qFormat/>
    <w:uiPriority w:val="0"/>
    <w:pPr>
      <w:ind w:firstLine="360" w:firstLineChars="150"/>
    </w:pPr>
    <w:rPr>
      <w:rFonts w:ascii="Tahoma" w:hAnsi="Tahoma" w:eastAsia="宋体" w:cs="Times New Roman"/>
      <w:szCs w:val="20"/>
    </w:rPr>
  </w:style>
  <w:style w:type="paragraph" w:customStyle="1" w:styleId="136">
    <w:name w:val="样式 样式1 + 首行缩进:  2 字符"/>
    <w:basedOn w:val="1"/>
    <w:link w:val="201"/>
    <w:qFormat/>
    <w:uiPriority w:val="0"/>
    <w:pPr>
      <w:spacing w:line="360" w:lineRule="exact"/>
      <w:ind w:firstLine="420" w:firstLineChars="200"/>
    </w:pPr>
    <w:rPr>
      <w:rFonts w:ascii="Arial" w:hAnsi="Arial" w:eastAsia="宋体" w:cs="Times New Roman"/>
      <w:sz w:val="21"/>
      <w:szCs w:val="20"/>
    </w:rPr>
  </w:style>
  <w:style w:type="paragraph" w:customStyle="1" w:styleId="137">
    <w:name w:val="legal 2"/>
    <w:basedOn w:val="123"/>
    <w:next w:val="123"/>
    <w:qFormat/>
    <w:uiPriority w:val="0"/>
    <w:pPr>
      <w:spacing w:after="120"/>
    </w:pPr>
    <w:rPr>
      <w:rFonts w:cs="Times New Roman"/>
      <w:color w:val="auto"/>
    </w:rPr>
  </w:style>
  <w:style w:type="paragraph" w:customStyle="1" w:styleId="138">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9">
    <w:name w:val="Legal 5"/>
    <w:basedOn w:val="123"/>
    <w:next w:val="123"/>
    <w:qFormat/>
    <w:uiPriority w:val="0"/>
    <w:pPr>
      <w:spacing w:after="120"/>
    </w:pPr>
    <w:rPr>
      <w:rFonts w:cs="Times New Roman"/>
      <w:color w:val="auto"/>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Legal 4"/>
    <w:basedOn w:val="123"/>
    <w:next w:val="123"/>
    <w:qFormat/>
    <w:uiPriority w:val="0"/>
    <w:pPr>
      <w:spacing w:after="120"/>
    </w:pPr>
    <w:rPr>
      <w:rFonts w:cs="Times New Roman"/>
      <w:color w:val="auto"/>
    </w:rPr>
  </w:style>
  <w:style w:type="paragraph" w:customStyle="1" w:styleId="142">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文字3"/>
    <w:basedOn w:val="22"/>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44">
    <w:name w:val="1"/>
    <w:basedOn w:val="1"/>
    <w:qFormat/>
    <w:uiPriority w:val="0"/>
    <w:rPr>
      <w:rFonts w:ascii="仿宋_GB2312" w:hAnsi="Times New Roman" w:eastAsia="仿宋_GB2312" w:cs="Times New Roman"/>
      <w:b/>
      <w:sz w:val="32"/>
      <w:szCs w:val="32"/>
    </w:rPr>
  </w:style>
  <w:style w:type="paragraph" w:customStyle="1" w:styleId="14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7">
    <w:name w:val="子项位"/>
    <w:basedOn w:val="1"/>
    <w:qFormat/>
    <w:uiPriority w:val="0"/>
    <w:pPr>
      <w:tabs>
        <w:tab w:val="left" w:pos="1531"/>
      </w:tabs>
      <w:adjustRightInd w:val="0"/>
      <w:snapToGrid w:val="0"/>
      <w:spacing w:before="120"/>
      <w:ind w:left="1531" w:hanging="397"/>
      <w:jc w:val="left"/>
      <w:textAlignment w:val="baseline"/>
    </w:pPr>
    <w:rPr>
      <w:rFonts w:ascii="Times New Roman" w:hAnsi="Times New Roman" w:eastAsia="宋体" w:cs="Times New Roman"/>
      <w:kern w:val="0"/>
      <w:sz w:val="28"/>
      <w:szCs w:val="20"/>
    </w:rPr>
  </w:style>
  <w:style w:type="paragraph" w:customStyle="1" w:styleId="148">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character" w:customStyle="1" w:styleId="149">
    <w:name w:val="正文缩进 Char"/>
    <w:link w:val="14"/>
    <w:qFormat/>
    <w:locked/>
    <w:uiPriority w:val="0"/>
    <w:rPr>
      <w:rFonts w:ascii="Times New Roman" w:hAnsi="Times New Roman" w:eastAsia="宋体" w:cs="Times New Roman"/>
      <w:kern w:val="2"/>
      <w:sz w:val="21"/>
      <w:szCs w:val="20"/>
      <w:lang w:val="en-US" w:eastAsia="zh-CN" w:bidi="ar-SA"/>
    </w:rPr>
  </w:style>
  <w:style w:type="paragraph" w:customStyle="1" w:styleId="150">
    <w:name w:val="列出段落2"/>
    <w:basedOn w:val="1"/>
    <w:qFormat/>
    <w:uiPriority w:val="34"/>
    <w:pPr>
      <w:ind w:firstLine="420" w:firstLineChars="200"/>
    </w:pPr>
    <w:rPr>
      <w:sz w:val="21"/>
      <w:szCs w:val="22"/>
    </w:rPr>
  </w:style>
  <w:style w:type="character" w:customStyle="1" w:styleId="151">
    <w:name w:val="小正文 Char"/>
    <w:link w:val="152"/>
    <w:qFormat/>
    <w:uiPriority w:val="0"/>
    <w:rPr>
      <w:rFonts w:ascii="仿宋_GB2312" w:hAnsi="宋体" w:eastAsia="仿宋_GB2312" w:cs="Times New Roman"/>
      <w:kern w:val="0"/>
      <w:sz w:val="28"/>
      <w:szCs w:val="28"/>
      <w:lang w:val="en-US" w:eastAsia="zh-CN" w:bidi="ar-SA"/>
    </w:rPr>
  </w:style>
  <w:style w:type="paragraph" w:customStyle="1" w:styleId="152">
    <w:name w:val="小正文"/>
    <w:basedOn w:val="1"/>
    <w:link w:val="151"/>
    <w:qFormat/>
    <w:uiPriority w:val="0"/>
    <w:pPr>
      <w:spacing w:line="560" w:lineRule="exact"/>
      <w:ind w:firstLine="560" w:firstLineChars="200"/>
      <w:jc w:val="left"/>
    </w:pPr>
    <w:rPr>
      <w:rFonts w:ascii="仿宋_GB2312" w:hAnsi="宋体" w:eastAsia="仿宋_GB2312" w:cs="Times New Roman"/>
      <w:kern w:val="0"/>
      <w:sz w:val="28"/>
      <w:szCs w:val="28"/>
    </w:rPr>
  </w:style>
  <w:style w:type="paragraph" w:customStyle="1" w:styleId="153">
    <w:name w:val="修订1"/>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15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5">
    <w:name w:val="脚注文本 Char"/>
    <w:basedOn w:val="59"/>
    <w:link w:val="41"/>
    <w:qFormat/>
    <w:uiPriority w:val="0"/>
    <w:rPr>
      <w:rFonts w:ascii="Times New Roman" w:hAnsi="Times New Roman" w:eastAsia="宋体" w:cs="Times New Roman"/>
      <w:sz w:val="18"/>
      <w:szCs w:val="18"/>
    </w:rPr>
  </w:style>
  <w:style w:type="character" w:customStyle="1" w:styleId="156">
    <w:name w:val="标题 1 字符"/>
    <w:basedOn w:val="59"/>
    <w:uiPriority w:val="9"/>
    <w:rPr>
      <w:rFonts w:ascii="Calibri" w:hAnsi="Calibri" w:eastAsia="宋体" w:cs="Calibri"/>
      <w:b/>
      <w:bCs/>
      <w:kern w:val="44"/>
      <w:sz w:val="44"/>
      <w:szCs w:val="44"/>
      <w:lang w:val="en-US" w:eastAsia="zh-CN" w:bidi="ar-SA"/>
    </w:rPr>
  </w:style>
  <w:style w:type="character" w:customStyle="1" w:styleId="157">
    <w:name w:val="标题 2 字符"/>
    <w:basedOn w:val="59"/>
    <w:semiHidden/>
    <w:qFormat/>
    <w:uiPriority w:val="9"/>
    <w:rPr>
      <w:rFonts w:asciiTheme="majorHAnsi" w:hAnsiTheme="majorHAnsi" w:eastAsiaTheme="majorEastAsia" w:cstheme="majorBidi"/>
      <w:b/>
      <w:bCs/>
      <w:sz w:val="32"/>
      <w:szCs w:val="32"/>
      <w:lang w:val="en-US" w:eastAsia="zh-CN" w:bidi="ar-SA"/>
    </w:rPr>
  </w:style>
  <w:style w:type="character" w:customStyle="1" w:styleId="158">
    <w:name w:val="标题 3 字符"/>
    <w:basedOn w:val="59"/>
    <w:semiHidden/>
    <w:uiPriority w:val="9"/>
    <w:rPr>
      <w:rFonts w:ascii="Calibri" w:hAnsi="Calibri" w:eastAsia="宋体" w:cs="Calibri"/>
      <w:b/>
      <w:bCs/>
      <w:sz w:val="32"/>
      <w:szCs w:val="32"/>
      <w:lang w:val="en-US" w:eastAsia="zh-CN" w:bidi="ar-SA"/>
    </w:rPr>
  </w:style>
  <w:style w:type="character" w:customStyle="1" w:styleId="159">
    <w:name w:val="标题 4 字符"/>
    <w:basedOn w:val="59"/>
    <w:semiHidden/>
    <w:uiPriority w:val="9"/>
    <w:rPr>
      <w:rFonts w:asciiTheme="majorHAnsi" w:hAnsiTheme="majorHAnsi" w:eastAsiaTheme="majorEastAsia" w:cstheme="majorBidi"/>
      <w:b/>
      <w:bCs/>
      <w:sz w:val="28"/>
      <w:szCs w:val="28"/>
      <w:lang w:val="en-US" w:eastAsia="zh-CN" w:bidi="ar-SA"/>
    </w:rPr>
  </w:style>
  <w:style w:type="character" w:customStyle="1" w:styleId="160">
    <w:name w:val="标题 5 字符"/>
    <w:basedOn w:val="59"/>
    <w:semiHidden/>
    <w:uiPriority w:val="9"/>
    <w:rPr>
      <w:rFonts w:ascii="Calibri" w:hAnsi="Calibri" w:eastAsia="宋体" w:cs="Calibri"/>
      <w:b/>
      <w:bCs/>
      <w:sz w:val="28"/>
      <w:szCs w:val="28"/>
      <w:lang w:val="en-US" w:eastAsia="zh-CN" w:bidi="ar-SA"/>
    </w:rPr>
  </w:style>
  <w:style w:type="character" w:customStyle="1" w:styleId="161">
    <w:name w:val="正文文本缩进 3 字符"/>
    <w:basedOn w:val="59"/>
    <w:semiHidden/>
    <w:uiPriority w:val="99"/>
    <w:rPr>
      <w:rFonts w:ascii="Calibri" w:hAnsi="Calibri" w:eastAsia="宋体" w:cs="Calibri"/>
      <w:sz w:val="16"/>
      <w:szCs w:val="16"/>
      <w:lang w:val="en-US" w:eastAsia="zh-CN" w:bidi="ar-SA"/>
    </w:rPr>
  </w:style>
  <w:style w:type="character" w:customStyle="1" w:styleId="162">
    <w:name w:val="正文文本缩进 字符"/>
    <w:basedOn w:val="59"/>
    <w:semiHidden/>
    <w:qFormat/>
    <w:uiPriority w:val="99"/>
    <w:rPr>
      <w:rFonts w:ascii="Calibri" w:hAnsi="Calibri" w:eastAsia="宋体" w:cs="Calibri"/>
      <w:lang w:val="en-US" w:eastAsia="zh-CN" w:bidi="ar-SA"/>
    </w:rPr>
  </w:style>
  <w:style w:type="character" w:customStyle="1" w:styleId="163">
    <w:name w:val="正文首行缩进 2 字符"/>
    <w:basedOn w:val="162"/>
    <w:semiHidden/>
    <w:uiPriority w:val="99"/>
  </w:style>
  <w:style w:type="character" w:customStyle="1" w:styleId="164">
    <w:name w:val="页眉 字符"/>
    <w:basedOn w:val="59"/>
    <w:semiHidden/>
    <w:uiPriority w:val="99"/>
    <w:rPr>
      <w:rFonts w:ascii="Calibri" w:hAnsi="Calibri" w:eastAsia="宋体" w:cs="Calibri"/>
      <w:sz w:val="18"/>
      <w:szCs w:val="18"/>
      <w:lang w:val="en-US" w:eastAsia="zh-CN" w:bidi="ar-SA"/>
    </w:rPr>
  </w:style>
  <w:style w:type="character" w:customStyle="1" w:styleId="165">
    <w:name w:val="文档结构图 字符"/>
    <w:basedOn w:val="59"/>
    <w:semiHidden/>
    <w:uiPriority w:val="99"/>
    <w:rPr>
      <w:rFonts w:ascii="Microsoft YaHei UI" w:hAnsi="Calibri" w:eastAsia="Microsoft YaHei UI" w:cs="Calibri"/>
      <w:sz w:val="18"/>
      <w:szCs w:val="18"/>
      <w:lang w:val="en-US" w:eastAsia="zh-CN" w:bidi="ar-SA"/>
    </w:rPr>
  </w:style>
  <w:style w:type="character" w:customStyle="1" w:styleId="166">
    <w:name w:val="日期 字符"/>
    <w:basedOn w:val="59"/>
    <w:semiHidden/>
    <w:uiPriority w:val="99"/>
    <w:rPr>
      <w:rFonts w:ascii="Calibri" w:hAnsi="Calibri" w:eastAsia="宋体" w:cs="Calibri"/>
      <w:lang w:val="en-US" w:eastAsia="zh-CN" w:bidi="ar-SA"/>
    </w:rPr>
  </w:style>
  <w:style w:type="character" w:customStyle="1" w:styleId="167">
    <w:name w:val="标题 字符"/>
    <w:basedOn w:val="59"/>
    <w:uiPriority w:val="10"/>
    <w:rPr>
      <w:rFonts w:asciiTheme="majorHAnsi" w:hAnsiTheme="majorHAnsi" w:eastAsiaTheme="majorEastAsia" w:cstheme="majorBidi"/>
      <w:b/>
      <w:bCs/>
      <w:sz w:val="32"/>
      <w:szCs w:val="32"/>
      <w:lang w:val="en-US" w:eastAsia="zh-CN" w:bidi="ar-SA"/>
    </w:rPr>
  </w:style>
  <w:style w:type="paragraph" w:customStyle="1" w:styleId="168">
    <w:name w:val="样式2"/>
    <w:basedOn w:val="44"/>
    <w:uiPriority w:val="0"/>
    <w:pPr>
      <w:ind w:firstLine="2720"/>
    </w:pPr>
    <w:rPr>
      <w:bCs/>
    </w:rPr>
  </w:style>
  <w:style w:type="paragraph" w:customStyle="1" w:styleId="169">
    <w:name w:val="0"/>
    <w:basedOn w:val="1"/>
    <w:uiPriority w:val="0"/>
    <w:pPr>
      <w:widowControl/>
    </w:pPr>
    <w:rPr>
      <w:rFonts w:ascii="Times New Roman" w:hAnsi="Times New Roman" w:eastAsia="宋体" w:cs="Times New Roman"/>
      <w:kern w:val="0"/>
      <w:sz w:val="21"/>
      <w:szCs w:val="20"/>
    </w:rPr>
  </w:style>
  <w:style w:type="paragraph" w:customStyle="1" w:styleId="170">
    <w:name w:val="Char Char Char Char Char Char Char"/>
    <w:basedOn w:val="1"/>
    <w:uiPriority w:val="0"/>
    <w:pPr>
      <w:widowControl/>
      <w:spacing w:after="160" w:line="240" w:lineRule="exact"/>
      <w:jc w:val="left"/>
    </w:pPr>
    <w:rPr>
      <w:rFonts w:ascii="Times New Roman" w:hAnsi="Times New Roman" w:eastAsia="宋体" w:cs="Times New Roman"/>
      <w:sz w:val="21"/>
      <w:szCs w:val="20"/>
    </w:rPr>
  </w:style>
  <w:style w:type="paragraph" w:customStyle="1" w:styleId="171">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Cs w:val="20"/>
    </w:rPr>
  </w:style>
  <w:style w:type="paragraph" w:customStyle="1" w:styleId="172">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Cs w:val="20"/>
    </w:rPr>
  </w:style>
  <w:style w:type="paragraph" w:customStyle="1" w:styleId="173">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174">
    <w:name w:val="z-窗体顶端1"/>
    <w:basedOn w:val="1"/>
    <w:next w:val="1"/>
    <w:link w:val="176"/>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175">
    <w:name w:val="z-窗体顶端 字符"/>
    <w:basedOn w:val="59"/>
    <w:semiHidden/>
    <w:qFormat/>
    <w:uiPriority w:val="99"/>
    <w:rPr>
      <w:rFonts w:ascii="Arial" w:hAnsi="Arial" w:eastAsia="宋体" w:cs="Arial"/>
      <w:vanish/>
      <w:sz w:val="16"/>
      <w:szCs w:val="16"/>
      <w:lang w:val="en-US" w:eastAsia="zh-CN" w:bidi="ar-SA"/>
    </w:rPr>
  </w:style>
  <w:style w:type="character" w:customStyle="1" w:styleId="176">
    <w:name w:val="z-窗体顶端 字符1"/>
    <w:link w:val="174"/>
    <w:qFormat/>
    <w:uiPriority w:val="0"/>
    <w:rPr>
      <w:rFonts w:ascii="Arial" w:hAnsi="Arial" w:eastAsia="宋体" w:cs="Times New Roman"/>
      <w:vanish/>
      <w:sz w:val="16"/>
      <w:szCs w:val="16"/>
    </w:rPr>
  </w:style>
  <w:style w:type="paragraph" w:customStyle="1" w:styleId="177">
    <w:name w:val="_Style 10"/>
    <w:basedOn w:val="1"/>
    <w:next w:val="1"/>
    <w:qFormat/>
    <w:uiPriority w:val="0"/>
    <w:rPr>
      <w:rFonts w:ascii="Times New Roman" w:hAnsi="Times New Roman" w:eastAsia="宋体" w:cs="Times New Roman"/>
      <w:sz w:val="21"/>
    </w:rPr>
  </w:style>
  <w:style w:type="paragraph" w:customStyle="1" w:styleId="178">
    <w:name w:val="默认段落字体 Para Char Char Char Char"/>
    <w:basedOn w:val="1"/>
    <w:qFormat/>
    <w:uiPriority w:val="0"/>
    <w:pPr>
      <w:spacing w:line="360" w:lineRule="auto"/>
      <w:ind w:firstLine="200" w:firstLineChars="200"/>
    </w:pPr>
    <w:rPr>
      <w:rFonts w:ascii="宋体" w:hAnsi="宋体" w:eastAsia="宋体" w:cs="宋体"/>
    </w:rPr>
  </w:style>
  <w:style w:type="paragraph" w:customStyle="1" w:styleId="179">
    <w:name w:val="末级"/>
    <w:basedOn w:val="1"/>
    <w:uiPriority w:val="0"/>
    <w:pPr>
      <w:tabs>
        <w:tab w:val="left" w:pos="851"/>
      </w:tabs>
      <w:spacing w:line="360" w:lineRule="auto"/>
      <w:ind w:firstLine="510"/>
    </w:pPr>
    <w:rPr>
      <w:rFonts w:ascii="Times New Roman" w:hAnsi="Times New Roman" w:eastAsia="宋体" w:cs="Times New Roman"/>
    </w:rPr>
  </w:style>
  <w:style w:type="paragraph" w:customStyle="1" w:styleId="180">
    <w:name w:val="Char Char Char Char Char Char Char Char Char"/>
    <w:basedOn w:val="1"/>
    <w:qFormat/>
    <w:uiPriority w:val="0"/>
    <w:pPr>
      <w:widowControl/>
      <w:spacing w:after="160" w:line="240" w:lineRule="exact"/>
      <w:jc w:val="left"/>
    </w:pPr>
    <w:rPr>
      <w:rFonts w:ascii="Times New Roman" w:hAnsi="Times New Roman" w:eastAsia="宋体" w:cs="Times New Roman"/>
      <w:sz w:val="21"/>
      <w:szCs w:val="20"/>
    </w:rPr>
  </w:style>
  <w:style w:type="paragraph" w:customStyle="1" w:styleId="181">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82">
    <w:name w:val="正文段"/>
    <w:basedOn w:val="1"/>
    <w:qFormat/>
    <w:uiPriority w:val="0"/>
    <w:pPr>
      <w:spacing w:line="360" w:lineRule="auto"/>
      <w:ind w:firstLine="420"/>
    </w:pPr>
    <w:rPr>
      <w:rFonts w:ascii="宋体" w:hAnsi="Times New Roman" w:eastAsia="宋体" w:cs="Times New Roman"/>
    </w:rPr>
  </w:style>
  <w:style w:type="paragraph" w:customStyle="1" w:styleId="183">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84">
    <w:name w:val="样式 一号 加粗 居中"/>
    <w:basedOn w:val="1"/>
    <w:qFormat/>
    <w:uiPriority w:val="0"/>
    <w:pPr>
      <w:jc w:val="center"/>
    </w:pPr>
    <w:rPr>
      <w:rFonts w:ascii="Times New Roman" w:hAnsi="Times New Roman" w:eastAsia="宋体" w:cs="宋体"/>
      <w:bCs/>
      <w:sz w:val="52"/>
      <w:szCs w:val="20"/>
    </w:rPr>
  </w:style>
  <w:style w:type="paragraph" w:customStyle="1" w:styleId="185">
    <w:name w:val="Char Char Char Char Char Char Char Char Char Char"/>
    <w:basedOn w:val="1"/>
    <w:qFormat/>
    <w:uiPriority w:val="0"/>
    <w:pPr>
      <w:widowControl/>
      <w:spacing w:after="160" w:line="240" w:lineRule="exact"/>
      <w:jc w:val="left"/>
    </w:pPr>
    <w:rPr>
      <w:rFonts w:ascii="Times New Roman" w:hAnsi="Times New Roman" w:eastAsia="宋体" w:cs="Times New Roman"/>
      <w:sz w:val="21"/>
      <w:szCs w:val="20"/>
    </w:rPr>
  </w:style>
  <w:style w:type="paragraph" w:customStyle="1" w:styleId="186">
    <w:name w:val="z-窗体底端1"/>
    <w:basedOn w:val="1"/>
    <w:next w:val="1"/>
    <w:link w:val="188"/>
    <w:qFormat/>
    <w:uiPriority w:val="0"/>
    <w:pPr>
      <w:pBdr>
        <w:top w:val="single" w:color="auto" w:sz="6" w:space="1"/>
      </w:pBdr>
      <w:jc w:val="center"/>
    </w:pPr>
    <w:rPr>
      <w:rFonts w:ascii="Arial" w:hAnsi="Arial" w:eastAsia="宋体" w:cs="Times New Roman"/>
      <w:vanish/>
      <w:kern w:val="0"/>
      <w:sz w:val="16"/>
      <w:szCs w:val="16"/>
    </w:rPr>
  </w:style>
  <w:style w:type="character" w:customStyle="1" w:styleId="187">
    <w:name w:val="z-窗体底端 字符"/>
    <w:basedOn w:val="59"/>
    <w:semiHidden/>
    <w:qFormat/>
    <w:uiPriority w:val="99"/>
    <w:rPr>
      <w:rFonts w:ascii="Arial" w:hAnsi="Arial" w:eastAsia="宋体" w:cs="Arial"/>
      <w:vanish/>
      <w:sz w:val="16"/>
      <w:szCs w:val="16"/>
      <w:lang w:val="en-US" w:eastAsia="zh-CN" w:bidi="ar-SA"/>
    </w:rPr>
  </w:style>
  <w:style w:type="character" w:customStyle="1" w:styleId="188">
    <w:name w:val="z-窗体底端 字符1"/>
    <w:link w:val="186"/>
    <w:qFormat/>
    <w:uiPriority w:val="0"/>
    <w:rPr>
      <w:rFonts w:ascii="Arial" w:hAnsi="Arial" w:eastAsia="宋体" w:cs="Times New Roman"/>
      <w:vanish/>
      <w:sz w:val="16"/>
      <w:szCs w:val="16"/>
    </w:rPr>
  </w:style>
  <w:style w:type="character" w:customStyle="1" w:styleId="189">
    <w:name w:val="正文文本 字符"/>
    <w:basedOn w:val="59"/>
    <w:semiHidden/>
    <w:qFormat/>
    <w:uiPriority w:val="99"/>
    <w:rPr>
      <w:rFonts w:ascii="Calibri" w:hAnsi="Calibri" w:eastAsia="宋体" w:cs="Calibri"/>
      <w:lang w:val="en-US" w:eastAsia="zh-CN" w:bidi="ar-SA"/>
    </w:rPr>
  </w:style>
  <w:style w:type="character" w:customStyle="1" w:styleId="190">
    <w:name w:val="正文首行缩进 字符"/>
    <w:basedOn w:val="189"/>
    <w:semiHidden/>
    <w:qFormat/>
    <w:uiPriority w:val="99"/>
  </w:style>
  <w:style w:type="character" w:customStyle="1" w:styleId="191">
    <w:name w:val="批注框文本 字符"/>
    <w:basedOn w:val="59"/>
    <w:semiHidden/>
    <w:uiPriority w:val="99"/>
    <w:rPr>
      <w:rFonts w:ascii="Calibri" w:hAnsi="Calibri" w:eastAsia="宋体" w:cs="Calibri"/>
      <w:sz w:val="18"/>
      <w:szCs w:val="18"/>
      <w:lang w:val="en-US" w:eastAsia="zh-CN" w:bidi="ar-SA"/>
    </w:rPr>
  </w:style>
  <w:style w:type="character" w:customStyle="1" w:styleId="192">
    <w:name w:val="脚注文本 字符"/>
    <w:basedOn w:val="59"/>
    <w:semiHidden/>
    <w:qFormat/>
    <w:uiPriority w:val="99"/>
    <w:rPr>
      <w:rFonts w:ascii="Calibri" w:hAnsi="Calibri" w:eastAsia="宋体" w:cs="Calibri"/>
      <w:sz w:val="18"/>
      <w:szCs w:val="18"/>
      <w:lang w:val="en-US" w:eastAsia="zh-CN" w:bidi="ar-SA"/>
    </w:rPr>
  </w:style>
  <w:style w:type="character" w:customStyle="1" w:styleId="193">
    <w:name w:val="纯文本 字符"/>
    <w:basedOn w:val="59"/>
    <w:qFormat/>
    <w:uiPriority w:val="0"/>
    <w:rPr>
      <w:rFonts w:hAnsi="Courier New" w:eastAsia="宋体" w:cs="Courier New" w:asciiTheme="minorEastAsia"/>
      <w:lang w:val="en-US" w:eastAsia="zh-CN" w:bidi="ar-SA"/>
    </w:rPr>
  </w:style>
  <w:style w:type="paragraph" w:customStyle="1" w:styleId="194">
    <w:name w:val="Char1"/>
    <w:basedOn w:val="1"/>
    <w:qFormat/>
    <w:uiPriority w:val="0"/>
    <w:pPr>
      <w:widowControl/>
      <w:spacing w:after="160" w:line="240" w:lineRule="exact"/>
      <w:jc w:val="left"/>
    </w:pPr>
    <w:rPr>
      <w:rFonts w:ascii="Tahoma" w:hAnsi="Tahoma" w:eastAsia="宋体" w:cs="Times New Roman"/>
      <w:kern w:val="0"/>
      <w:lang w:eastAsia="en-US"/>
    </w:rPr>
  </w:style>
  <w:style w:type="paragraph" w:customStyle="1" w:styleId="195">
    <w:name w:val="样式3"/>
    <w:basedOn w:val="4"/>
    <w:uiPriority w:val="0"/>
    <w:pPr>
      <w:keepLines/>
      <w:numPr>
        <w:numId w:val="0"/>
      </w:numPr>
      <w:tabs>
        <w:tab w:val="clear" w:pos="1275"/>
      </w:tabs>
      <w:spacing w:before="120" w:after="120" w:line="360" w:lineRule="auto"/>
    </w:pPr>
    <w:rPr>
      <w:rFonts w:ascii="Times New Roman"/>
      <w:b w:val="0"/>
      <w:sz w:val="24"/>
      <w:szCs w:val="24"/>
    </w:rPr>
  </w:style>
  <w:style w:type="paragraph" w:customStyle="1" w:styleId="196">
    <w:name w:val="表"/>
    <w:basedOn w:val="1"/>
    <w:uiPriority w:val="0"/>
    <w:pPr>
      <w:spacing w:line="360" w:lineRule="auto"/>
      <w:jc w:val="center"/>
    </w:pPr>
    <w:rPr>
      <w:rFonts w:ascii="Times New Roman" w:hAnsi="Times New Roman" w:eastAsia="宋体" w:cs="Times New Roman"/>
      <w:color w:val="000000"/>
      <w:sz w:val="21"/>
      <w:szCs w:val="21"/>
    </w:rPr>
  </w:style>
  <w:style w:type="character" w:customStyle="1" w:styleId="197">
    <w:name w:val="正文文本 2 字符"/>
    <w:basedOn w:val="59"/>
    <w:semiHidden/>
    <w:uiPriority w:val="99"/>
    <w:rPr>
      <w:rFonts w:ascii="Calibri" w:hAnsi="Calibri" w:eastAsia="宋体" w:cs="Calibri"/>
      <w:lang w:val="en-US" w:eastAsia="zh-CN" w:bidi="ar-SA"/>
    </w:rPr>
  </w:style>
  <w:style w:type="character" w:customStyle="1" w:styleId="198">
    <w:name w:val="正文文本缩进 2 字符"/>
    <w:basedOn w:val="59"/>
    <w:semiHidden/>
    <w:uiPriority w:val="99"/>
    <w:rPr>
      <w:rFonts w:ascii="Calibri" w:hAnsi="Calibri" w:eastAsia="宋体" w:cs="Calibri"/>
      <w:lang w:val="en-US" w:eastAsia="zh-CN" w:bidi="ar-SA"/>
    </w:rPr>
  </w:style>
  <w:style w:type="character" w:customStyle="1" w:styleId="199">
    <w:name w:val="页脚 字符"/>
    <w:basedOn w:val="59"/>
    <w:uiPriority w:val="99"/>
    <w:rPr>
      <w:rFonts w:ascii="Calibri" w:hAnsi="Calibri" w:eastAsia="宋体" w:cs="Calibri"/>
      <w:sz w:val="18"/>
      <w:szCs w:val="18"/>
      <w:lang w:val="en-US" w:eastAsia="zh-CN" w:bidi="ar-SA"/>
    </w:rPr>
  </w:style>
  <w:style w:type="paragraph" w:customStyle="1" w:styleId="200">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character" w:customStyle="1" w:styleId="201">
    <w:name w:val="样式 样式1 + 首行缩进:  2 字符 Char"/>
    <w:link w:val="136"/>
    <w:uiPriority w:val="0"/>
    <w:rPr>
      <w:rFonts w:ascii="Arial" w:hAnsi="Arial" w:eastAsia="宋体" w:cs="Times New Roman"/>
      <w:kern w:val="2"/>
      <w:sz w:val="21"/>
    </w:rPr>
  </w:style>
  <w:style w:type="paragraph" w:customStyle="1" w:styleId="202">
    <w:name w:val="样式 标题 1 + (符号) Arial 三号"/>
    <w:basedOn w:val="2"/>
    <w:uiPriority w:val="0"/>
    <w:pPr>
      <w:snapToGrid w:val="0"/>
      <w:spacing w:before="0" w:after="0"/>
      <w:jc w:val="both"/>
    </w:pPr>
    <w:rPr>
      <w:sz w:val="32"/>
    </w:rPr>
  </w:style>
  <w:style w:type="character" w:customStyle="1" w:styleId="203">
    <w:name w:val="Char Char14"/>
    <w:uiPriority w:val="0"/>
    <w:rPr>
      <w:rFonts w:ascii="宋体" w:hAnsi="Courier New" w:eastAsia="宋体" w:cs="Courier New"/>
      <w:kern w:val="2"/>
      <w:sz w:val="21"/>
      <w:szCs w:val="21"/>
      <w:lang w:val="en-US" w:eastAsia="zh-CN" w:bidi="ar-SA"/>
    </w:rPr>
  </w:style>
  <w:style w:type="paragraph" w:customStyle="1" w:styleId="204">
    <w:name w:val="_Style 5"/>
    <w:basedOn w:val="1"/>
    <w:next w:val="1"/>
    <w:uiPriority w:val="0"/>
    <w:rPr>
      <w:rFonts w:ascii="Times New Roman" w:hAnsi="Times New Roman" w:eastAsia="宋体" w:cs="Times New Roman"/>
      <w:sz w:val="21"/>
      <w:szCs w:val="20"/>
    </w:rPr>
  </w:style>
  <w:style w:type="paragraph" w:customStyle="1" w:styleId="205">
    <w:name w:val="reader-word-layer"/>
    <w:basedOn w:val="1"/>
    <w:uiPriority w:val="0"/>
    <w:pPr>
      <w:widowControl/>
      <w:spacing w:before="100" w:beforeAutospacing="1" w:after="100" w:afterAutospacing="1"/>
      <w:jc w:val="left"/>
    </w:pPr>
    <w:rPr>
      <w:rFonts w:ascii="宋体" w:hAnsi="宋体" w:eastAsia="宋体" w:cs="宋体"/>
      <w:kern w:val="0"/>
    </w:rPr>
  </w:style>
  <w:style w:type="paragraph" w:customStyle="1" w:styleId="206">
    <w:name w:val="!机场正文"/>
    <w:basedOn w:val="1"/>
    <w:qFormat/>
    <w:uiPriority w:val="0"/>
    <w:pPr>
      <w:spacing w:line="560" w:lineRule="exact"/>
      <w:ind w:firstLine="200" w:firstLineChars="200"/>
    </w:pPr>
    <w:rPr>
      <w:rFonts w:ascii="仿宋_GB2312" w:hAnsi="仿宋_GB2312" w:eastAsia="仿宋_GB2312" w:cs="Times New Roman"/>
      <w:sz w:val="32"/>
      <w:szCs w:val="22"/>
    </w:rPr>
  </w:style>
  <w:style w:type="character" w:customStyle="1" w:styleId="207">
    <w:name w:val="批注文字 字符"/>
    <w:basedOn w:val="59"/>
    <w:qFormat/>
    <w:uiPriority w:val="0"/>
    <w:rPr>
      <w:rFonts w:ascii="Calibri" w:hAnsi="Calibri" w:eastAsia="宋体" w:cs="Calibri"/>
      <w:lang w:val="en-US" w:eastAsia="zh-CN" w:bidi="ar-SA"/>
    </w:rPr>
  </w:style>
  <w:style w:type="character" w:customStyle="1" w:styleId="208">
    <w:name w:val="批注文字 字符1"/>
    <w:semiHidden/>
    <w:uiPriority w:val="99"/>
    <w:rPr>
      <w:rFonts w:ascii="Calibri" w:hAnsi="Calibri" w:eastAsia="宋体" w:cs="Times New Roman"/>
      <w:lang w:val="en-US" w:eastAsia="zh-CN" w:bidi="ar-SA"/>
    </w:rPr>
  </w:style>
  <w:style w:type="character" w:customStyle="1" w:styleId="209">
    <w:name w:val="批注主题 字符"/>
    <w:basedOn w:val="207"/>
    <w:semiHidden/>
    <w:uiPriority w:val="99"/>
    <w:rPr>
      <w:b/>
      <w:bCs/>
    </w:rPr>
  </w:style>
  <w:style w:type="character" w:customStyle="1" w:styleId="210">
    <w:name w:val="批注主题 Char1"/>
    <w:semiHidden/>
    <w:uiPriority w:val="99"/>
    <w:rPr>
      <w:rFonts w:ascii="Calibri" w:hAnsi="Calibri" w:eastAsia="宋体" w:cs="Calibri"/>
      <w:b/>
      <w:bCs/>
      <w:kern w:val="2"/>
      <w:sz w:val="21"/>
      <w:szCs w:val="22"/>
      <w:lang w:val="en-US" w:eastAsia="zh-CN" w:bidi="ar-SA"/>
    </w:rPr>
  </w:style>
  <w:style w:type="character" w:customStyle="1" w:styleId="211">
    <w:name w:val="正文文本缩进 2 Char1"/>
    <w:uiPriority w:val="0"/>
    <w:rPr>
      <w:rFonts w:ascii="Times New Roman" w:hAnsi="Times New Roman" w:eastAsia="宋体" w:cs="Times New Roman"/>
      <w:kern w:val="0"/>
      <w:sz w:val="20"/>
      <w:szCs w:val="24"/>
      <w:lang w:val="en-US" w:eastAsia="zh-CN" w:bidi="ar-SA"/>
    </w:rPr>
  </w:style>
  <w:style w:type="paragraph" w:customStyle="1" w:styleId="212">
    <w:name w:val="+正文"/>
    <w:basedOn w:val="1"/>
    <w:qFormat/>
    <w:uiPriority w:val="0"/>
    <w:pPr>
      <w:ind w:firstLine="200" w:firstLineChars="200"/>
    </w:pPr>
    <w:rPr>
      <w:rFonts w:ascii="Times New Roman" w:hAnsi="Times New Roman" w:eastAsia="宋体" w:cs="Times New Roman"/>
      <w:szCs w:val="28"/>
    </w:rPr>
  </w:style>
  <w:style w:type="paragraph" w:customStyle="1" w:styleId="213">
    <w:name w:val="Table Paragraph"/>
    <w:basedOn w:val="1"/>
    <w:qFormat/>
    <w:uiPriority w:val="1"/>
    <w:pPr>
      <w:autoSpaceDE w:val="0"/>
      <w:autoSpaceDN w:val="0"/>
      <w:jc w:val="left"/>
    </w:pPr>
    <w:rPr>
      <w:rFonts w:ascii="Arial" w:hAnsi="Arial" w:eastAsia="Arial" w:cs="Arial"/>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FAA5C-6BBB-4DA3-BB0B-1839116DB533}">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46</Pages>
  <Words>4578</Words>
  <Characters>26097</Characters>
  <Lines>217</Lines>
  <Paragraphs>61</Paragraphs>
  <TotalTime>231</TotalTime>
  <ScaleCrop>false</ScaleCrop>
  <LinksUpToDate>false</LinksUpToDate>
  <CharactersWithSpaces>30614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2019-05-15T06:53:00Z</dcterms:created>
  <dc:creator>admin</dc:creator>
  <cp:lastModifiedBy>贾思勰</cp:lastModifiedBy>
  <dcterms:modified xsi:type="dcterms:W3CDTF">2019-08-14T05:44:34Z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