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rPr>
        <w:t>场区管理中心现场服务岗位监控复核项目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八</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7"/>
        <w:rPr>
          <w:rFonts w:ascii="Calibri" w:cs="Calibri"/>
          <w:b/>
          <w:color w:val="000000"/>
          <w:sz w:val="44"/>
        </w:rPr>
      </w:pPr>
      <w:bookmarkStart w:id="3" w:name="_Toc349007685"/>
      <w:bookmarkStart w:id="4" w:name="_Toc386363314"/>
      <w:bookmarkStart w:id="5" w:name="_Toc349011855"/>
      <w:bookmarkStart w:id="6" w:name="_Toc386359390"/>
    </w:p>
    <w:p>
      <w:pPr>
        <w:pStyle w:val="27"/>
        <w:rPr>
          <w:rFonts w:ascii="Calibri" w:hAnsi="Calibri" w:cs="Calibri"/>
          <w:b/>
          <w:color w:val="000000"/>
          <w:sz w:val="44"/>
        </w:rPr>
      </w:pPr>
      <w:bookmarkStart w:id="7" w:name="_Toc400369182"/>
      <w:bookmarkStart w:id="8" w:name="_Toc444811406"/>
      <w:bookmarkStart w:id="9" w:name="_Toc444174976"/>
      <w:bookmarkStart w:id="10" w:name="_Toc448002981"/>
      <w:bookmarkStart w:id="11" w:name="_Toc444173456"/>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27"/>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w:t>
      </w:r>
      <w:r>
        <w:rPr>
          <w:rStyle w:val="52"/>
          <w:rFonts w:hint="eastAsia" w:ascii="黑体" w:hAnsi="黑体" w:eastAsia="黑体" w:cs="Calibri"/>
          <w:kern w:val="0"/>
          <w:sz w:val="22"/>
          <w:szCs w:val="22"/>
          <w:lang w:eastAsia="zh-CN"/>
        </w:rPr>
        <w:t>六</w:t>
      </w:r>
      <w:r>
        <w:rPr>
          <w:rStyle w:val="52"/>
          <w:rFonts w:hint="eastAsia" w:ascii="黑体" w:hAnsi="黑体" w:eastAsia="黑体" w:cs="Calibri"/>
          <w:kern w:val="0"/>
          <w:sz w:val="22"/>
          <w:szCs w:val="22"/>
        </w:rPr>
        <w:t>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2293"/>
      <w:bookmarkStart w:id="13" w:name="_Toc24932"/>
      <w:bookmarkStart w:id="14" w:name="_Toc7641"/>
      <w:bookmarkStart w:id="15" w:name="_Toc6581"/>
      <w:bookmarkStart w:id="16" w:name="_Toc14628"/>
      <w:bookmarkStart w:id="17" w:name="_Toc6832"/>
      <w:bookmarkStart w:id="18" w:name="_Toc8110"/>
      <w:bookmarkStart w:id="19" w:name="_Toc18642"/>
      <w:bookmarkStart w:id="20" w:name="_Toc24784"/>
      <w:bookmarkStart w:id="21" w:name="_Toc448002982"/>
      <w:bookmarkStart w:id="22" w:name="_Toc249322950"/>
      <w:bookmarkStart w:id="23" w:name="_Toc248766631"/>
      <w:r>
        <w:rPr>
          <w:rFonts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lang w:val="en-US" w:eastAsia="zh-CN"/>
        </w:rPr>
        <w:t xml:space="preserve"> </w:t>
      </w:r>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cs="Arial" w:asciiTheme="minorEastAsia" w:hAnsiTheme="minorEastAsia" w:eastAsiaTheme="minorEastAsia"/>
          <w:kern w:val="0"/>
          <w:sz w:val="22"/>
        </w:rPr>
      </w:pPr>
      <w:r>
        <w:rPr>
          <w:rFonts w:hint="eastAsia" w:ascii="宋体" w:hAnsi="宋体" w:cs="Arial"/>
          <w:kern w:val="0"/>
          <w:sz w:val="22"/>
        </w:rPr>
        <w:t>（3）招标内容：</w:t>
      </w:r>
      <w:r>
        <w:rPr>
          <w:rFonts w:hint="eastAsia" w:cs="Arial" w:asciiTheme="minorEastAsia" w:hAnsiTheme="minorEastAsia" w:eastAsiaTheme="minorEastAsia"/>
          <w:kern w:val="0"/>
          <w:sz w:val="22"/>
        </w:rPr>
        <w:t>杭州萧山国际机场有限公司场区管理中心为提升改进现场岗位人员服务水平，引进第三方对现场岗位人员服务效能进行复核查看。方式主要依据相关服务标准、操作规程、管理制度对现场岗位人员工作情况进行监控视频查看，发现现场岗位人员在实际服务行为中的存在的问题，并提出合理改进建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Times New Roman" w:hAnsi="Times New Roman"/>
          <w:kern w:val="0"/>
          <w:szCs w:val="21"/>
        </w:rPr>
        <w:t>1</w:t>
      </w:r>
      <w:r>
        <w:rPr>
          <w:rFonts w:ascii="Times New Roman" w:hAnsi="Times New Roman"/>
          <w:kern w:val="0"/>
          <w:szCs w:val="21"/>
        </w:rPr>
        <w:t>+1年。</w:t>
      </w:r>
      <w:r>
        <w:rPr>
          <w:rFonts w:hint="eastAsia" w:ascii="Times New Roman" w:hAnsi="Times New Roman"/>
          <w:kern w:val="0"/>
          <w:szCs w:val="21"/>
        </w:rPr>
        <w:t>自合同签订之日起满一年后，经考核合格后顺延一年</w:t>
      </w:r>
      <w:r>
        <w:rPr>
          <w:rFonts w:hint="eastAsia" w:ascii="Times New Roman" w:hAnsi="Times New Roman"/>
          <w:kern w:val="0"/>
          <w:szCs w:val="21"/>
          <w:lang w:eastAsia="zh-CN"/>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，可提供税率为17%的增值税专用发票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Times New Roman" w:hAnsi="Times New Roman"/>
          <w:kern w:val="0"/>
          <w:sz w:val="22"/>
          <w:u w:val="single"/>
        </w:rPr>
      </w:pPr>
      <w:r>
        <w:rPr>
          <w:rFonts w:hint="eastAsia" w:ascii="Times New Roman" w:hAnsi="Times New Roman"/>
          <w:kern w:val="0"/>
          <w:sz w:val="22"/>
        </w:rPr>
        <w:t>（4）</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Times New Roman" w:hAnsi="Times New Roman"/>
          <w:kern w:val="0"/>
          <w:sz w:val="22"/>
        </w:rPr>
      </w:pPr>
      <w:r>
        <w:rPr>
          <w:rFonts w:hint="eastAsia" w:ascii="Times New Roman" w:hAnsi="Times New Roman"/>
          <w:kern w:val="0"/>
          <w:sz w:val="22"/>
          <w:u w:val="single"/>
        </w:rPr>
        <w:t>（5）</w:t>
      </w:r>
      <w:r>
        <w:rPr>
          <w:rFonts w:ascii="Times New Roman" w:hAnsi="Times New Roman"/>
          <w:kern w:val="0"/>
          <w:sz w:val="22"/>
          <w:u w:val="single"/>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val="0"/>
        <w:adjustRightInd/>
        <w:snapToGrid/>
        <w:spacing w:line="240" w:lineRule="auto"/>
        <w:ind w:firstLine="0" w:firstLineChars="0"/>
        <w:rPr>
          <w:rFonts w:ascii="宋体" w:hAnsi="宋体" w:cs="Arial"/>
          <w:color w:val="FF0000"/>
          <w:kern w:val="0"/>
          <w:sz w:val="22"/>
        </w:rPr>
      </w:pPr>
      <w:r>
        <w:rPr>
          <w:rFonts w:hint="eastAsia" w:ascii="宋体" w:hAnsi="宋体" w:cs="Arial"/>
          <w:kern w:val="0"/>
          <w:sz w:val="22"/>
        </w:rPr>
        <w:t xml:space="preserve">   </w:t>
      </w:r>
      <w:r>
        <w:rPr>
          <w:rFonts w:hint="eastAsia"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w:t>
      </w:r>
      <w:r>
        <w:rPr>
          <w:rFonts w:hint="eastAsia" w:cs="Arial" w:asciiTheme="minorEastAsia" w:hAnsiTheme="minorEastAsia" w:eastAsiaTheme="minorEastAsia"/>
          <w:color w:val="000000" w:themeColor="text1"/>
          <w:kern w:val="0"/>
          <w:sz w:val="22"/>
          <w14:textFill>
            <w14:solidFill>
              <w14:schemeClr w14:val="tx1"/>
            </w14:solidFill>
          </w14:textFill>
        </w:rPr>
        <w:t>为本</w:t>
      </w:r>
      <w:r>
        <w:rPr>
          <w:rFonts w:hint="eastAsia" w:cs="Arial" w:asciiTheme="minorEastAsia" w:hAnsiTheme="minorEastAsia" w:eastAsiaTheme="minorEastAsia"/>
          <w:color w:val="000000" w:themeColor="text1"/>
          <w:kern w:val="0"/>
          <w:sz w:val="22"/>
          <w:lang w:eastAsia="zh-CN"/>
          <w14:textFill>
            <w14:solidFill>
              <w14:schemeClr w14:val="tx1"/>
            </w14:solidFill>
          </w14:textFill>
        </w:rPr>
        <w:t>项目招标范围内</w:t>
      </w:r>
      <w:r>
        <w:rPr>
          <w:rFonts w:hint="eastAsia" w:cs="Arial" w:asciiTheme="minorEastAsia" w:hAnsiTheme="minorEastAsia" w:eastAsiaTheme="minorEastAsia"/>
          <w:color w:val="000000" w:themeColor="text1"/>
          <w:kern w:val="0"/>
          <w:sz w:val="22"/>
          <w14:textFill>
            <w14:solidFill>
              <w14:schemeClr w14:val="tx1"/>
            </w14:solidFill>
          </w14:textFill>
        </w:rPr>
        <w:t>提供停车收费、保安、停车管理、停车收费系统维护、车站管理</w:t>
      </w:r>
      <w:r>
        <w:rPr>
          <w:rFonts w:hint="eastAsia" w:cs="Arial" w:asciiTheme="minorEastAsia" w:hAnsiTheme="minorEastAsia" w:eastAsiaTheme="minorEastAsia"/>
          <w:color w:val="000000" w:themeColor="text1"/>
          <w:kern w:val="0"/>
          <w:sz w:val="22"/>
          <w:lang w:eastAsia="zh-CN"/>
          <w14:textFill>
            <w14:solidFill>
              <w14:schemeClr w14:val="tx1"/>
            </w14:solidFill>
          </w14:textFill>
        </w:rPr>
        <w:t>、出租车管理</w:t>
      </w:r>
      <w:r>
        <w:rPr>
          <w:rFonts w:hint="eastAsia" w:cs="Arial" w:asciiTheme="minorEastAsia" w:hAnsiTheme="minorEastAsia" w:eastAsiaTheme="minorEastAsia"/>
          <w:color w:val="000000" w:themeColor="text1"/>
          <w:kern w:val="0"/>
          <w:sz w:val="22"/>
          <w14:textFill>
            <w14:solidFill>
              <w14:schemeClr w14:val="tx1"/>
            </w14:solidFill>
          </w14:textFill>
        </w:rPr>
        <w:t>等服务的外包商或供应商，不得参加本项目投标活动</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2019年8月23日上午9时00分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2019年8月23日上午9时00分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2019年8月23日上午9时00分</w:t>
      </w:r>
      <w:r>
        <w:rPr>
          <w:rFonts w:hint="eastAsia" w:ascii="宋体" w:hAnsi="宋体" w:cs="Arial"/>
          <w:kern w:val="0"/>
          <w:sz w:val="22"/>
        </w:rPr>
        <w:t>（北京时间）前投递至</w:t>
      </w:r>
      <w:r>
        <w:rPr>
          <w:rFonts w:hint="eastAsia" w:ascii="宋体" w:hAnsi="宋体" w:cs="Arial"/>
          <w:kern w:val="0"/>
          <w:sz w:val="22"/>
          <w:lang w:eastAsia="zh-CN"/>
        </w:rPr>
        <w:t>杭州萧山国际机场物业安检楼</w:t>
      </w:r>
      <w:r>
        <w:rPr>
          <w:rFonts w:hint="eastAsia" w:ascii="宋体" w:hAnsi="宋体" w:cs="Arial"/>
          <w:kern w:val="0"/>
          <w:sz w:val="22"/>
          <w:lang w:val="en-US" w:eastAsia="zh-CN"/>
        </w:rPr>
        <w:t>407室</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李欣</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联系电话：0571-</w:t>
      </w:r>
      <w:r>
        <w:rPr>
          <w:rFonts w:hint="eastAsia" w:ascii="宋体" w:hAnsi="宋体"/>
          <w:sz w:val="22"/>
          <w:lang w:val="en-US" w:eastAsia="zh-CN"/>
        </w:rPr>
        <w:t>86662629</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孟庆月</w:t>
      </w:r>
      <w:r>
        <w:rPr>
          <w:rFonts w:hint="eastAsia" w:ascii="宋体" w:hAnsi="宋体"/>
          <w:sz w:val="22"/>
        </w:rPr>
        <w:t xml:space="preserve">       联系电话：</w:t>
      </w:r>
      <w:r>
        <w:rPr>
          <w:rFonts w:hint="eastAsia" w:ascii="宋体" w:hAnsi="宋体"/>
          <w:sz w:val="22"/>
          <w:lang w:val="en-US" w:eastAsia="zh-CN"/>
        </w:rPr>
        <w:t>0571-83837728</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hint="eastAsia" w:ascii="Calibri" w:eastAsia="黑体" w:cs="Calibri"/>
          <w:kern w:val="0"/>
          <w:sz w:val="32"/>
          <w:lang w:val="en-US" w:eastAsia="zh-CN"/>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rPr>
          <w:rFonts w:ascii="Calibri" w:hAnsi="Calibri" w:eastAsia="黑体" w:cs="Calibri"/>
          <w:kern w:val="2"/>
          <w:sz w:val="28"/>
          <w:szCs w:val="32"/>
        </w:rPr>
      </w:pPr>
      <w:bookmarkStart w:id="26" w:name="_Toc444811409"/>
      <w:bookmarkStart w:id="27" w:name="_Toc444174979"/>
      <w:bookmarkStart w:id="28" w:name="_Toc386359393"/>
      <w:bookmarkStart w:id="29" w:name="_Toc11881"/>
      <w:bookmarkStart w:id="30" w:name="_Toc448002984"/>
      <w:bookmarkStart w:id="31" w:name="_Toc400369185"/>
      <w:bookmarkStart w:id="32" w:name="_Toc386363317"/>
      <w:bookmarkStart w:id="33" w:name="_Toc349011858"/>
      <w:bookmarkStart w:id="34" w:name="_Toc444173459"/>
      <w:bookmarkStart w:id="35" w:name="_Toc34900768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jc w:val="center"/>
              <w:rPr>
                <w:rFonts w:cs="Calibri" w:asciiTheme="minorEastAsia" w:hAnsiTheme="minorEastAsia" w:eastAsiaTheme="minorEastAsia"/>
                <w:szCs w:val="21"/>
              </w:rPr>
            </w:pPr>
            <w:r>
              <w:rPr>
                <w:rFonts w:ascii="宋体" w:hAnsi="宋体" w:cs="Arial"/>
                <w:kern w:val="0"/>
                <w:sz w:val="22"/>
              </w:rPr>
              <w:t>杭州萧山国际机场</w:t>
            </w:r>
            <w:r>
              <w:rPr>
                <w:rFonts w:hint="eastAsia" w:cs="Calibri" w:asciiTheme="minorEastAsia" w:hAnsiTheme="minorEastAsia" w:eastAsiaTheme="minorEastAsia"/>
                <w:szCs w:val="21"/>
              </w:rPr>
              <w:t>场区管理中心现场服务岗位第三方复核项目</w:t>
            </w:r>
          </w:p>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Style w:val="53"/>
                <w:rFonts w:hint="eastAsia"/>
                <w:lang w:val="en-US" w:eastAsia="zh-CN"/>
              </w:rPr>
              <w:t>自合同签订之日起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2019年8月</w:t>
            </w:r>
            <w:r>
              <w:rPr>
                <w:rFonts w:hint="eastAsia" w:ascii="宋体" w:hAnsi="宋体" w:cs="Calibri"/>
                <w:kern w:val="0"/>
                <w:sz w:val="22"/>
                <w:lang w:val="en-US" w:eastAsia="zh-CN"/>
              </w:rPr>
              <w:t>20</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李欣</w:t>
            </w:r>
            <w:r>
              <w:rPr>
                <w:rFonts w:hint="eastAsia" w:ascii="宋体" w:hAnsi="宋体" w:cs="Calibri"/>
                <w:kern w:val="0"/>
                <w:sz w:val="22"/>
              </w:rPr>
              <w:t>，电话0571-</w:t>
            </w:r>
            <w:r>
              <w:rPr>
                <w:rFonts w:ascii="宋体" w:hAnsi="宋体" w:cs="Calibri"/>
                <w:kern w:val="0"/>
                <w:sz w:val="22"/>
              </w:rPr>
              <w:t>8</w:t>
            </w:r>
            <w:r>
              <w:rPr>
                <w:rFonts w:hint="eastAsia" w:ascii="宋体" w:hAnsi="宋体" w:cs="Calibri"/>
                <w:kern w:val="0"/>
                <w:sz w:val="22"/>
                <w:lang w:val="en-US" w:eastAsia="zh-CN"/>
              </w:rPr>
              <w:t>6662629</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201</w:t>
            </w:r>
            <w:r>
              <w:rPr>
                <w:rFonts w:hint="eastAsia" w:cs="Calibri" w:asciiTheme="minorEastAsia" w:hAnsiTheme="minorEastAsia" w:eastAsiaTheme="minorEastAsia"/>
                <w:b/>
                <w:kern w:val="0"/>
                <w:sz w:val="22"/>
              </w:rPr>
              <w:t>9</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rPr>
              <w:t>8</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23</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val="en-US" w:eastAsia="zh-CN"/>
              </w:rPr>
              <w:t>9</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rPr>
              <w:t>0</w:t>
            </w:r>
            <w:r>
              <w:rPr>
                <w:rFonts w:hint="eastAsia" w:cs="Calibri" w:asciiTheme="minorEastAsia" w:hAnsiTheme="minorEastAsia" w:eastAsiaTheme="minorEastAsia"/>
                <w:b/>
                <w:kern w:val="0"/>
                <w:sz w:val="22"/>
                <w:lang w:val="en-US" w:eastAsia="zh-CN"/>
              </w:rPr>
              <w:t>0</w:t>
            </w:r>
            <w:bookmarkStart w:id="118" w:name="_GoBack"/>
            <w:bookmarkEnd w:id="118"/>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i w:val="0"/>
                <w:iCs/>
                <w:color w:val="FF0000"/>
                <w:kern w:val="0"/>
                <w:sz w:val="22"/>
              </w:rPr>
            </w:pPr>
            <w:r>
              <w:rPr>
                <w:rFonts w:cs="Calibri" w:asciiTheme="minorEastAsia" w:hAnsiTheme="minorEastAsia" w:eastAsiaTheme="minorEastAsia"/>
                <w:i w:val="0"/>
                <w:iCs/>
                <w:color w:val="FF0000"/>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i w:val="0"/>
                <w:iCs/>
                <w:color w:val="FF0000"/>
                <w:kern w:val="0"/>
                <w:sz w:val="22"/>
              </w:rPr>
            </w:pPr>
            <w:r>
              <w:rPr>
                <w:rFonts w:cs="Calibri" w:asciiTheme="minorEastAsia" w:hAnsiTheme="minorEastAsia" w:eastAsiaTheme="minorEastAsia"/>
                <w:i w:val="0"/>
                <w:iCs/>
                <w:color w:val="FF0000"/>
                <w:kern w:val="0"/>
                <w:sz w:val="22"/>
              </w:rPr>
              <w:t>投标保证金</w:t>
            </w:r>
          </w:p>
        </w:tc>
        <w:tc>
          <w:tcPr>
            <w:tcW w:w="6487" w:type="dxa"/>
            <w:vAlign w:val="center"/>
          </w:tcPr>
          <w:p>
            <w:pPr>
              <w:snapToGrid w:val="0"/>
              <w:rPr>
                <w:rFonts w:asciiTheme="minorEastAsia" w:hAnsiTheme="minorEastAsia" w:eastAsiaTheme="minorEastAsia"/>
                <w:i/>
                <w:color w:val="FF0000"/>
                <w:sz w:val="22"/>
                <w:lang w:val="zh-CN"/>
              </w:rPr>
            </w:pPr>
            <w:r>
              <w:rPr>
                <w:rFonts w:hint="eastAsia" w:asciiTheme="minorEastAsia" w:hAnsiTheme="minorEastAsia" w:eastAsiaTheme="minorEastAsia"/>
                <w:i/>
                <w:color w:val="FF0000"/>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iCs/>
                <w:kern w:val="0"/>
                <w:sz w:val="22"/>
              </w:rPr>
            </w:pPr>
            <w:r>
              <w:rPr>
                <w:rFonts w:cs="Calibri" w:asciiTheme="minorEastAsia" w:hAnsiTheme="minorEastAsia" w:eastAsiaTheme="minorEastAsia"/>
                <w:iCs/>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iCs/>
                <w:kern w:val="0"/>
                <w:sz w:val="22"/>
              </w:rPr>
            </w:pPr>
            <w:r>
              <w:rPr>
                <w:rFonts w:cs="Calibri" w:asciiTheme="minorEastAsia" w:hAnsiTheme="minorEastAsia" w:eastAsiaTheme="minorEastAsia"/>
                <w:iCs/>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cs="Calibri" w:asciiTheme="minorEastAsia" w:hAnsiTheme="minorEastAsia" w:eastAsiaTheme="minorEastAsia"/>
                <w:szCs w:val="21"/>
              </w:rPr>
              <w:t>场区管理中心现场服务岗位第三方复核项目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eastAsiaTheme="minorEastAsia"/>
                <w:kern w:val="0"/>
                <w:sz w:val="22"/>
                <w:lang w:eastAsia="zh-CN"/>
              </w:rPr>
              <w:t>2019年8月23日上午9时00分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0"/>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0"/>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15553"/>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986"/>
      <w:bookmarkStart w:id="92" w:name="_Toc219809804"/>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20123246"/>
      <w:bookmarkStart w:id="98" w:name="_Toc10820"/>
      <w:bookmarkStart w:id="99" w:name="_Toc21980980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21980980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19809808"/>
      <w:bookmarkStart w:id="105" w:name="_Toc22012324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0"/>
      <w:bookmarkEnd w:id="111"/>
      <w:r>
        <w:rPr>
          <w:rFonts w:hint="eastAsia" w:ascii="Calibri" w:hAnsi="Calibri" w:eastAsia="黑体" w:cs="Calibri"/>
          <w:kern w:val="0"/>
          <w:sz w:val="32"/>
          <w:lang w:val="en-US" w:eastAsia="zh-CN"/>
        </w:rPr>
        <w:t xml:space="preserve"> </w:t>
      </w:r>
      <w:r>
        <w:rPr>
          <w:rFonts w:hint="eastAsia" w:ascii="Calibri" w:hAnsi="Calibri" w:eastAsia="黑体" w:cs="Calibri"/>
          <w:kern w:val="0"/>
          <w:sz w:val="32"/>
        </w:rPr>
        <w:t>服务技术标准及要求</w:t>
      </w:r>
      <w:bookmarkEnd w:id="112"/>
    </w:p>
    <w:p>
      <w:pPr>
        <w:widowControl/>
        <w:spacing w:line="340" w:lineRule="exact"/>
        <w:jc w:val="left"/>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 xml:space="preserve">   </w:t>
      </w:r>
      <w:r>
        <w:rPr>
          <w:rFonts w:hint="eastAsia" w:asciiTheme="minorEastAsia" w:hAnsiTheme="minorEastAsia" w:eastAsiaTheme="minorEastAsia"/>
          <w:sz w:val="22"/>
        </w:rPr>
        <w:t>本服务内容及技术规范所提出的需求是对本次招标欲采购服务的基本技术要求，</w:t>
      </w:r>
      <w:r>
        <w:rPr>
          <w:rFonts w:hint="eastAsia" w:cs="Arial" w:asciiTheme="minorEastAsia" w:hAnsiTheme="minorEastAsia" w:eastAsiaTheme="minorEastAsia"/>
          <w:kern w:val="0"/>
          <w:sz w:val="22"/>
        </w:rPr>
        <w:t>旨在让潜在投标人能够了解本项目的总体情况以及服务内容、范围的基本要求，</w:t>
      </w:r>
      <w:r>
        <w:rPr>
          <w:rFonts w:hint="eastAsia" w:asciiTheme="minorEastAsia" w:hAnsiTheme="minorEastAsia" w:eastAsiaTheme="minorEastAsia"/>
          <w:sz w:val="22"/>
        </w:rPr>
        <w:t>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r>
        <w:rPr>
          <w:rFonts w:hint="eastAsia" w:cs="Arial" w:asciiTheme="minorEastAsia" w:hAnsiTheme="minorEastAsia" w:eastAsiaTheme="minorEastAsia"/>
          <w:kern w:val="0"/>
          <w:sz w:val="22"/>
        </w:rPr>
        <w:t>投标人应据此提供最具竞争力、体现最先进服务理念和服务水平的针对本项目的专业化详细服务方案。</w:t>
      </w:r>
    </w:p>
    <w:p>
      <w:pPr>
        <w:widowControl/>
        <w:spacing w:line="360" w:lineRule="exact"/>
        <w:ind w:firstLine="440" w:firstLineChars="200"/>
        <w:jc w:val="left"/>
        <w:rPr>
          <w:rFonts w:asciiTheme="minorEastAsia" w:hAnsiTheme="minorEastAsia" w:eastAsiaTheme="minorEastAsia"/>
          <w:sz w:val="22"/>
        </w:rPr>
      </w:pPr>
      <w:r>
        <w:rPr>
          <w:rFonts w:hint="eastAsia" w:cs="Arial" w:asciiTheme="minorEastAsia" w:hAnsiTheme="minorEastAsia" w:eastAsiaTheme="minorEastAsia"/>
          <w:kern w:val="0"/>
          <w:sz w:val="22"/>
        </w:rPr>
        <w:t>一、</w:t>
      </w:r>
      <w:r>
        <w:rPr>
          <w:rFonts w:hint="eastAsia" w:cs="Arial" w:asciiTheme="minorEastAsia" w:hAnsiTheme="minorEastAsia" w:eastAsiaTheme="minorEastAsia"/>
          <w:b/>
          <w:kern w:val="0"/>
          <w:sz w:val="22"/>
        </w:rPr>
        <w:t>项目说明</w:t>
      </w:r>
      <w:r>
        <w:rPr>
          <w:rFonts w:hint="eastAsia" w:cs="Arial" w:asciiTheme="minorEastAsia" w:hAnsiTheme="minorEastAsia" w:eastAsiaTheme="minorEastAsia"/>
          <w:kern w:val="0"/>
          <w:sz w:val="22"/>
        </w:rPr>
        <w:t>：为提升并不断改进杭州萧山国际机场停车场、巴士车站、出租车服务区、出租车上客区现场等外包岗位人员服务标准和水平，实现对外包岗位人员的有效监管，通过对外包岗位人员现场工作情况的监控视频复核和现场抽查，发现外包岗位人员工作中存在的问题，从而针对性提出解决措施，严格规范现场人员操作规程，堵塞可能存在的管理漏洞。</w:t>
      </w:r>
    </w:p>
    <w:p>
      <w:pPr>
        <w:widowControl/>
        <w:spacing w:line="360" w:lineRule="exact"/>
        <w:jc w:val="left"/>
        <w:rPr>
          <w:rFonts w:cs="Calibri" w:asciiTheme="minorEastAsia" w:hAnsiTheme="minorEastAsia" w:eastAsiaTheme="minorEastAsia"/>
          <w:b/>
          <w:kern w:val="0"/>
          <w:sz w:val="22"/>
        </w:rPr>
      </w:pPr>
      <w:r>
        <w:rPr>
          <w:rFonts w:hint="eastAsia" w:cs="Calibri" w:asciiTheme="minorEastAsia" w:hAnsiTheme="minorEastAsia" w:eastAsiaTheme="minorEastAsia"/>
          <w:kern w:val="0"/>
          <w:sz w:val="22"/>
        </w:rPr>
        <w:t xml:space="preserve">    </w:t>
      </w:r>
      <w:r>
        <w:rPr>
          <w:rFonts w:hint="eastAsia" w:cs="Calibri" w:asciiTheme="minorEastAsia" w:hAnsiTheme="minorEastAsia" w:eastAsiaTheme="minorEastAsia"/>
          <w:b/>
          <w:kern w:val="0"/>
          <w:sz w:val="22"/>
        </w:rPr>
        <w:t>二、服务范围</w:t>
      </w:r>
    </w:p>
    <w:p>
      <w:pPr>
        <w:spacing w:line="36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杭州萧山国际机场场区管理中心负责监管的全部停车场、车站、出租车服务区、上客区等所有外包服务岗位。</w:t>
      </w:r>
    </w:p>
    <w:p>
      <w:pPr>
        <w:spacing w:line="360" w:lineRule="exact"/>
        <w:ind w:firstLine="442" w:firstLineChars="200"/>
        <w:rPr>
          <w:rFonts w:asciiTheme="minorEastAsia" w:hAnsiTheme="minorEastAsia" w:eastAsiaTheme="minorEastAsia"/>
          <w:b/>
          <w:sz w:val="22"/>
        </w:rPr>
      </w:pPr>
      <w:r>
        <w:rPr>
          <w:rFonts w:hint="eastAsia" w:asciiTheme="minorEastAsia" w:hAnsiTheme="minorEastAsia" w:eastAsiaTheme="minorEastAsia"/>
          <w:b/>
          <w:sz w:val="22"/>
        </w:rPr>
        <w:t>三、服务形式</w:t>
      </w:r>
    </w:p>
    <w:p>
      <w:pPr>
        <w:widowControl/>
        <w:jc w:val="left"/>
        <w:rPr>
          <w:rFonts w:cs="Calibri" w:asciiTheme="minorEastAsia" w:hAnsiTheme="minorEastAsia" w:eastAsiaTheme="minorEastAsia"/>
          <w:kern w:val="0"/>
          <w:sz w:val="22"/>
        </w:rPr>
      </w:pPr>
      <w:r>
        <w:rPr>
          <w:rFonts w:hint="eastAsia" w:eastAsia="黑体" w:cs="Calibri"/>
          <w:kern w:val="0"/>
          <w:sz w:val="32"/>
        </w:rPr>
        <w:t xml:space="preserve">   </w:t>
      </w:r>
      <w:r>
        <w:rPr>
          <w:rFonts w:hint="eastAsia" w:cs="Calibri" w:asciiTheme="minorEastAsia" w:hAnsiTheme="minorEastAsia" w:eastAsiaTheme="minorEastAsia"/>
          <w:kern w:val="0"/>
          <w:sz w:val="22"/>
        </w:rPr>
        <w:t>1、全过程查看由招标方指定日期的现场岗位工作情况监控，并详细记录岗位人员工作表现、操作规范情况，存在的问题，需改进措施等，中标方需将复核结果设计反馈表（文件、方案）在投标时提交招标方。</w:t>
      </w:r>
    </w:p>
    <w:p>
      <w:pPr>
        <w:widowControl/>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 xml:space="preserve">    2、服务采取按小时为单位付费方式。</w:t>
      </w:r>
    </w:p>
    <w:p>
      <w:pPr>
        <w:widowControl/>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 xml:space="preserve">    3、招标方负责存储设备购置及视频拷贝，由专人交付中标人。</w:t>
      </w:r>
    </w:p>
    <w:p>
      <w:pPr>
        <w:widowControl/>
        <w:ind w:firstLine="440"/>
        <w:jc w:val="left"/>
        <w:rPr>
          <w:rFonts w:hint="eastAsia" w:cs="Calibri" w:asciiTheme="minorEastAsia" w:hAnsiTheme="minorEastAsia" w:eastAsiaTheme="minorEastAsia"/>
          <w:kern w:val="0"/>
          <w:sz w:val="22"/>
        </w:rPr>
      </w:pPr>
      <w:r>
        <w:rPr>
          <w:rFonts w:hint="eastAsia" w:cs="Calibri" w:asciiTheme="minorEastAsia" w:hAnsiTheme="minorEastAsia" w:eastAsiaTheme="minorEastAsia"/>
          <w:kern w:val="0"/>
          <w:sz w:val="22"/>
        </w:rPr>
        <w:t>4、针对本项目，招标方将与中标人签订保密条款，做为本项目合同的组成部分。</w:t>
      </w:r>
    </w:p>
    <w:p>
      <w:pPr>
        <w:widowControl/>
        <w:ind w:firstLine="440"/>
        <w:jc w:val="lef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四、服务期限</w:t>
      </w:r>
    </w:p>
    <w:p>
      <w:pPr>
        <w:widowControl/>
        <w:ind w:firstLine="440"/>
        <w:jc w:val="left"/>
        <w:rPr>
          <w:rFonts w:hint="eastAsia" w:cs="Calibri" w:asciiTheme="minorEastAsia" w:hAnsiTheme="minorEastAsia" w:eastAsiaTheme="minorEastAsia"/>
          <w:kern w:val="0"/>
          <w:sz w:val="22"/>
          <w:lang w:eastAsia="zh-CN"/>
        </w:rPr>
      </w:pPr>
    </w:p>
    <w:p>
      <w:pPr>
        <w:spacing w:line="360" w:lineRule="exact"/>
        <w:ind w:firstLine="420" w:firstLineChars="200"/>
        <w:jc w:val="left"/>
        <w:rPr>
          <w:rFonts w:ascii="宋体" w:hAnsi="宋体"/>
          <w:bCs/>
          <w:color w:val="000000"/>
          <w:sz w:val="22"/>
        </w:rPr>
      </w:pPr>
      <w:r>
        <w:rPr>
          <w:rFonts w:hint="eastAsia" w:ascii="Times New Roman" w:hAnsi="Times New Roman"/>
          <w:kern w:val="0"/>
          <w:szCs w:val="21"/>
          <w:lang w:val="en-US" w:eastAsia="zh-CN"/>
        </w:rPr>
        <w:t xml:space="preserve">     </w:t>
      </w:r>
      <w:r>
        <w:rPr>
          <w:rFonts w:ascii="Times New Roman" w:hAnsi="Times New Roman"/>
          <w:kern w:val="0"/>
          <w:szCs w:val="21"/>
        </w:rPr>
        <w:t>服务期：</w:t>
      </w:r>
      <w:r>
        <w:rPr>
          <w:rFonts w:hint="eastAsia" w:ascii="Times New Roman" w:hAnsi="Times New Roman"/>
          <w:kern w:val="0"/>
          <w:szCs w:val="21"/>
        </w:rPr>
        <w:t>1</w:t>
      </w:r>
      <w:r>
        <w:rPr>
          <w:rFonts w:ascii="Times New Roman" w:hAnsi="Times New Roman"/>
          <w:kern w:val="0"/>
          <w:szCs w:val="21"/>
        </w:rPr>
        <w:t>+1年。</w:t>
      </w: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第四章</w:t>
      </w:r>
      <w:r>
        <w:rPr>
          <w:rFonts w:hint="eastAsia" w:ascii="Calibri" w:hAnsi="Calibri" w:eastAsia="黑体" w:cs="Calibri"/>
          <w:kern w:val="0"/>
          <w:sz w:val="32"/>
          <w:lang w:val="en-US" w:eastAsia="zh-CN"/>
        </w:rPr>
        <w:t xml:space="preserve"> </w:t>
      </w:r>
      <w:r>
        <w:rPr>
          <w:rFonts w:ascii="Calibri" w:hAnsi="Calibri" w:eastAsia="黑体" w:cs="Calibri"/>
          <w:kern w:val="0"/>
          <w:sz w:val="32"/>
        </w:rPr>
        <w:t>合同条款</w:t>
      </w:r>
      <w:bookmarkEnd w:id="113"/>
    </w:p>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甲方：杭州萧山国际机场有限公司</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地址：杭州萧山国际机场内</w:t>
      </w:r>
    </w:p>
    <w:p>
      <w:pPr>
        <w:spacing w:line="340" w:lineRule="exact"/>
        <w:ind w:firstLine="470" w:firstLineChars="214"/>
        <w:rPr>
          <w:rFonts w:asciiTheme="minorEastAsia" w:hAnsiTheme="minorEastAsia" w:eastAsiaTheme="minorEastAsia"/>
          <w:sz w:val="22"/>
        </w:rPr>
      </w:pP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乙方：</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地址：</w:t>
      </w:r>
      <w:r>
        <w:rPr>
          <w:rFonts w:asciiTheme="minorEastAsia" w:hAnsiTheme="minorEastAsia" w:eastAsiaTheme="minorEastAsia"/>
          <w:sz w:val="22"/>
        </w:rPr>
        <w:t xml:space="preserve"> </w:t>
      </w:r>
    </w:p>
    <w:p>
      <w:pPr>
        <w:pStyle w:val="124"/>
        <w:autoSpaceDE w:val="0"/>
        <w:autoSpaceDN w:val="0"/>
        <w:adjustRightInd w:val="0"/>
        <w:spacing w:line="340" w:lineRule="exact"/>
        <w:ind w:left="360" w:firstLine="0" w:firstLineChars="0"/>
        <w:rPr>
          <w:rFonts w:cs="方正小标宋简体" w:asciiTheme="minorEastAsia" w:hAnsiTheme="minorEastAsia" w:eastAsiaTheme="minorEastAsia"/>
          <w:bCs/>
          <w:sz w:val="22"/>
        </w:rPr>
      </w:pPr>
      <w:r>
        <w:rPr>
          <w:rFonts w:hint="eastAsia" w:asciiTheme="minorEastAsia" w:hAnsiTheme="minorEastAsia" w:eastAsiaTheme="minorEastAsia"/>
          <w:sz w:val="22"/>
        </w:rPr>
        <w:t>甲、乙双方根据有关法律规定，本着友好合作、协商一致的原则，就乙方承接甲方负责管理与运营的杭州萧山国际机场停车场、巴</w:t>
      </w:r>
      <w:r>
        <w:rPr>
          <w:rFonts w:hint="eastAsia" w:cs="方正小标宋简体" w:asciiTheme="minorEastAsia" w:hAnsiTheme="minorEastAsia" w:eastAsiaTheme="minorEastAsia"/>
          <w:bCs/>
          <w:sz w:val="22"/>
        </w:rPr>
        <w:t>士车站、出租车服务区、出租车上客区等区域现场岗位监控复核业务有关事宜达成协议如下：</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第一条：合同文件</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本合同所附下列文件是合同构成不可分割的部分：</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、合同条款</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、合同附件</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3</w:t>
      </w:r>
      <w:r>
        <w:rPr>
          <w:rFonts w:hint="eastAsia" w:asciiTheme="minorEastAsia" w:hAnsiTheme="minorEastAsia" w:eastAsiaTheme="minorEastAsia"/>
          <w:sz w:val="22"/>
        </w:rPr>
        <w:t>、招标文件、投标文件等及其相应附件</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如合同条款与招标文件、投标文件等相关材料表述不一致的，则以合同条款为准。</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第二条：合同标的及期限</w:t>
      </w:r>
    </w:p>
    <w:p>
      <w:pPr>
        <w:pStyle w:val="124"/>
        <w:autoSpaceDE w:val="0"/>
        <w:autoSpaceDN w:val="0"/>
        <w:adjustRightInd w:val="0"/>
        <w:spacing w:line="340" w:lineRule="exact"/>
        <w:ind w:left="360" w:firstLine="0" w:firstLineChars="0"/>
        <w:rPr>
          <w:rFonts w:cs="方正小标宋简体" w:asciiTheme="minorEastAsia" w:hAnsiTheme="minorEastAsia" w:eastAsiaTheme="minorEastAsia"/>
          <w:bCs/>
          <w:sz w:val="22"/>
        </w:rPr>
      </w:pPr>
      <w:r>
        <w:rPr>
          <w:rFonts w:hint="eastAsia" w:asciiTheme="minorEastAsia" w:hAnsiTheme="minorEastAsia" w:eastAsiaTheme="minorEastAsia"/>
          <w:sz w:val="22"/>
        </w:rPr>
        <w:t>1、乙方在同意各项合同条款的条件下，承接甲方运营管理的杭州萧山国际机场停车场、巴</w:t>
      </w:r>
      <w:r>
        <w:rPr>
          <w:rFonts w:hint="eastAsia" w:cs="方正小标宋简体" w:asciiTheme="minorEastAsia" w:hAnsiTheme="minorEastAsia" w:eastAsiaTheme="minorEastAsia"/>
          <w:bCs/>
          <w:sz w:val="22"/>
        </w:rPr>
        <w:t>士车站、出租车服务区、出租车上客区等区域现场岗位监控复核业务。</w:t>
      </w:r>
    </w:p>
    <w:p>
      <w:pPr>
        <w:pStyle w:val="124"/>
        <w:autoSpaceDE w:val="0"/>
        <w:autoSpaceDN w:val="0"/>
        <w:adjustRightInd w:val="0"/>
        <w:spacing w:line="340" w:lineRule="exact"/>
        <w:ind w:left="360" w:firstLine="0" w:firstLineChars="0"/>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、乙方按照甲方及甲方招标文件的要求，提供附件1（不限于附件所列内容）的服务内容。</w:t>
      </w:r>
    </w:p>
    <w:p>
      <w:pPr>
        <w:spacing w:line="360" w:lineRule="exact"/>
        <w:ind w:firstLine="440" w:firstLineChars="200"/>
        <w:jc w:val="left"/>
        <w:rPr>
          <w:rFonts w:ascii="宋体" w:hAnsi="宋体"/>
          <w:bCs/>
          <w:color w:val="000000"/>
          <w:sz w:val="22"/>
        </w:rPr>
      </w:pPr>
      <w:r>
        <w:rPr>
          <w:rFonts w:hint="eastAsia" w:asciiTheme="minorEastAsia" w:hAnsiTheme="minorEastAsia" w:eastAsiaTheme="minorEastAsia"/>
          <w:sz w:val="22"/>
        </w:rPr>
        <w:t>3、本合同期限</w:t>
      </w:r>
      <w:r>
        <w:rPr>
          <w:rFonts w:hint="eastAsia" w:ascii="宋体" w:hAnsi="宋体"/>
          <w:sz w:val="22"/>
        </w:rPr>
        <w:t>采用“1+1”模式，</w:t>
      </w:r>
      <w:r>
        <w:rPr>
          <w:rFonts w:hint="eastAsia" w:asciiTheme="minorEastAsia" w:hAnsiTheme="minorEastAsia" w:eastAsiaTheme="minorEastAsia"/>
          <w:color w:val="000000" w:themeColor="text1"/>
          <w:sz w:val="22"/>
          <w14:textFill>
            <w14:solidFill>
              <w14:schemeClr w14:val="tx1"/>
            </w14:solidFill>
          </w14:textFill>
        </w:rPr>
        <w:t>自</w:t>
      </w:r>
      <w:r>
        <w:rPr>
          <w:rFonts w:asciiTheme="minorEastAsia" w:hAnsiTheme="minorEastAsia" w:eastAsiaTheme="minorEastAsia"/>
          <w:color w:val="000000" w:themeColor="text1"/>
          <w:sz w:val="22"/>
          <w14:textFill>
            <w14:solidFill>
              <w14:schemeClr w14:val="tx1"/>
            </w14:solidFill>
          </w14:textFill>
        </w:rPr>
        <w:t>201</w:t>
      </w:r>
      <w:r>
        <w:rPr>
          <w:rFonts w:hint="eastAsia" w:asciiTheme="minorEastAsia" w:hAnsiTheme="minorEastAsia" w:eastAsiaTheme="minorEastAsia"/>
          <w:color w:val="000000" w:themeColor="text1"/>
          <w:sz w:val="22"/>
          <w14:textFill>
            <w14:solidFill>
              <w14:schemeClr w14:val="tx1"/>
            </w14:solidFill>
          </w14:textFill>
        </w:rPr>
        <w:t>9年 月 日至</w:t>
      </w:r>
      <w:r>
        <w:rPr>
          <w:rFonts w:asciiTheme="minorEastAsia" w:hAnsiTheme="minorEastAsia" w:eastAsiaTheme="minorEastAsia"/>
          <w:color w:val="000000" w:themeColor="text1"/>
          <w:sz w:val="22"/>
          <w14:textFill>
            <w14:solidFill>
              <w14:schemeClr w14:val="tx1"/>
            </w14:solidFill>
          </w14:textFill>
        </w:rPr>
        <w:t>202</w:t>
      </w:r>
      <w:r>
        <w:rPr>
          <w:rFonts w:hint="eastAsia" w:asciiTheme="minorEastAsia" w:hAnsiTheme="minorEastAsia" w:eastAsiaTheme="minorEastAsia"/>
          <w:color w:val="000000" w:themeColor="text1"/>
          <w:sz w:val="22"/>
          <w:lang w:val="en-US" w:eastAsia="zh-CN"/>
          <w14:textFill>
            <w14:solidFill>
              <w14:schemeClr w14:val="tx1"/>
            </w14:solidFill>
          </w14:textFill>
        </w:rPr>
        <w:t>1</w:t>
      </w:r>
      <w:r>
        <w:rPr>
          <w:rFonts w:hint="eastAsia" w:asciiTheme="minorEastAsia" w:hAnsiTheme="minorEastAsia" w:eastAsiaTheme="minorEastAsia"/>
          <w:color w:val="000000" w:themeColor="text1"/>
          <w:sz w:val="22"/>
          <w14:textFill>
            <w14:solidFill>
              <w14:schemeClr w14:val="tx1"/>
            </w14:solidFill>
          </w14:textFill>
        </w:rPr>
        <w:t>年 月 日止。甲方在第一合同年度期限届满前1个月，甲方依据</w:t>
      </w:r>
      <w:r>
        <w:rPr>
          <w:rFonts w:hint="eastAsia" w:ascii="宋体" w:hAnsi="宋体"/>
          <w:color w:val="000000"/>
          <w:sz w:val="22"/>
        </w:rPr>
        <w:t>《考核办法》对乙方进行考核，若考核得分达95分（含），服务期限自动顺延1年，至202</w:t>
      </w:r>
      <w:r>
        <w:rPr>
          <w:rFonts w:hint="eastAsia" w:ascii="宋体" w:hAnsi="宋体"/>
          <w:color w:val="000000"/>
          <w:sz w:val="22"/>
          <w:lang w:val="en-US" w:eastAsia="zh-CN"/>
        </w:rPr>
        <w:t>1</w:t>
      </w:r>
      <w:r>
        <w:rPr>
          <w:rFonts w:hint="eastAsia" w:ascii="宋体" w:hAnsi="宋体"/>
          <w:color w:val="000000"/>
          <w:sz w:val="22"/>
        </w:rPr>
        <w:t>年 月 日终止。如考核不合格，则本合同于[  ]年[  ]月[ ]日终止。</w:t>
      </w:r>
      <w:r>
        <w:rPr>
          <w:rFonts w:hint="eastAsia" w:ascii="宋体" w:hAnsi="宋体"/>
          <w:bCs/>
          <w:color w:val="000000"/>
          <w:sz w:val="22"/>
        </w:rPr>
        <w:t>另外，如因甲方第二年年度预算费用未获批或其它政策调整，导致本合同不能继续履行，则本合于[  ]年[  ]月[ ]日终止，甲方须于合同终止前1个月书面通知</w:t>
      </w:r>
      <w:r>
        <w:rPr>
          <w:rFonts w:hint="eastAsia" w:asciiTheme="minorEastAsia" w:hAnsiTheme="minorEastAsia" w:eastAsiaTheme="minorEastAsia"/>
          <w:bCs/>
          <w:sz w:val="22"/>
        </w:rPr>
        <w:t>乙方。</w:t>
      </w:r>
    </w:p>
    <w:p>
      <w:pPr>
        <w:spacing w:line="340" w:lineRule="exact"/>
        <w:rPr>
          <w:rFonts w:asciiTheme="minorEastAsia" w:hAnsiTheme="minorEastAsia" w:eastAsiaTheme="minorEastAsia"/>
          <w:b/>
          <w:sz w:val="22"/>
        </w:rPr>
      </w:pP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第三条：合同费用</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、本合同</w:t>
      </w:r>
      <w:r>
        <w:rPr>
          <w:rFonts w:hint="eastAsia" w:asciiTheme="minorEastAsia" w:hAnsiTheme="minorEastAsia" w:eastAsiaTheme="minorEastAsia"/>
          <w:sz w:val="22"/>
          <w:lang w:eastAsia="zh-CN"/>
        </w:rPr>
        <w:t>暂定</w:t>
      </w:r>
      <w:r>
        <w:rPr>
          <w:rFonts w:hint="eastAsia" w:asciiTheme="minorEastAsia" w:hAnsiTheme="minorEastAsia" w:eastAsiaTheme="minorEastAsia"/>
          <w:sz w:val="22"/>
        </w:rPr>
        <w:t>费用为  元，</w:t>
      </w:r>
      <w:r>
        <w:rPr>
          <w:rFonts w:hint="eastAsia" w:asciiTheme="minorEastAsia" w:hAnsiTheme="minorEastAsia" w:eastAsiaTheme="minorEastAsia"/>
          <w:sz w:val="22"/>
          <w:lang w:eastAsia="zh-CN"/>
        </w:rPr>
        <w:t>复核服务每小时</w:t>
      </w:r>
      <w:r>
        <w:rPr>
          <w:rFonts w:hint="eastAsia" w:asciiTheme="minorEastAsia" w:hAnsiTheme="minorEastAsia" w:eastAsiaTheme="minorEastAsia"/>
          <w:sz w:val="22"/>
          <w:lang w:val="en-US" w:eastAsia="zh-CN"/>
        </w:rPr>
        <w:t xml:space="preserve">   元，</w:t>
      </w:r>
      <w:r>
        <w:rPr>
          <w:rFonts w:hint="eastAsia" w:asciiTheme="minorEastAsia" w:hAnsiTheme="minorEastAsia" w:eastAsiaTheme="minorEastAsia"/>
          <w:sz w:val="22"/>
        </w:rPr>
        <w:t>费用已包含了乙方服务人员的工资、管理费、利润、税金等所有费用。甲方除以上服务费用外，无需向乙方再支付任何费用。</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、费用结算：</w:t>
      </w:r>
    </w:p>
    <w:p>
      <w:pPr>
        <w:spacing w:line="340" w:lineRule="exact"/>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1</w:t>
      </w:r>
      <w:r>
        <w:rPr>
          <w:rFonts w:hint="eastAsia" w:asciiTheme="minorEastAsia" w:hAnsiTheme="minorEastAsia" w:eastAsiaTheme="minorEastAsia"/>
          <w:sz w:val="22"/>
        </w:rPr>
        <w:t>）</w:t>
      </w:r>
      <w:r>
        <w:rPr>
          <w:rFonts w:asciiTheme="minorEastAsia" w:hAnsiTheme="minorEastAsia" w:eastAsiaTheme="minorEastAsia"/>
          <w:color w:val="000000"/>
          <w:sz w:val="22"/>
        </w:rPr>
        <w:t>本合同采用先提供服务再支付费用方式</w:t>
      </w:r>
      <w:r>
        <w:rPr>
          <w:rFonts w:hint="eastAsia" w:asciiTheme="minorEastAsia" w:hAnsiTheme="minorEastAsia" w:eastAsiaTheme="minorEastAsia"/>
          <w:sz w:val="22"/>
        </w:rPr>
        <w:t>；</w:t>
      </w:r>
    </w:p>
    <w:p>
      <w:pPr>
        <w:spacing w:line="340" w:lineRule="exact"/>
        <w:rPr>
          <w:rFonts w:asciiTheme="minorEastAsia" w:hAnsiTheme="minorEastAsia" w:eastAsiaTheme="minorEastAsia"/>
          <w:bCs/>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2</w:t>
      </w:r>
      <w:r>
        <w:rPr>
          <w:rFonts w:hint="eastAsia" w:asciiTheme="minorEastAsia" w:hAnsiTheme="minorEastAsia" w:eastAsiaTheme="minorEastAsia"/>
          <w:sz w:val="22"/>
        </w:rPr>
        <w:t>）因本合同范围</w:t>
      </w:r>
      <w:r>
        <w:rPr>
          <w:rFonts w:hint="eastAsia" w:asciiTheme="minorEastAsia" w:hAnsiTheme="minorEastAsia" w:eastAsiaTheme="minorEastAsia"/>
          <w:bCs/>
          <w:sz w:val="22"/>
        </w:rPr>
        <w:t>乙方提供服务时间非固定时间，本合同采用按次据实结算方式，如一个合同年度内服务复核时间不足700小时，按实际复核时间进行结算；</w:t>
      </w:r>
    </w:p>
    <w:p>
      <w:pPr>
        <w:spacing w:line="340" w:lineRule="exact"/>
        <w:ind w:firstLine="470" w:firstLineChars="214"/>
        <w:rPr>
          <w:rFonts w:asciiTheme="minorEastAsia" w:hAnsiTheme="minorEastAsia" w:eastAsiaTheme="minorEastAsia"/>
          <w:sz w:val="22"/>
        </w:rPr>
      </w:pP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w:t>
      </w:r>
      <w:r>
        <w:rPr>
          <w:rFonts w:asciiTheme="minorEastAsia" w:hAnsiTheme="minorEastAsia" w:eastAsiaTheme="minorEastAsia"/>
          <w:sz w:val="22"/>
        </w:rPr>
        <w:t>3</w:t>
      </w:r>
      <w:r>
        <w:rPr>
          <w:rFonts w:hint="eastAsia" w:asciiTheme="minorEastAsia" w:hAnsiTheme="minorEastAsia" w:eastAsiaTheme="minorEastAsia"/>
          <w:sz w:val="22"/>
        </w:rPr>
        <w:t>）甲方收到乙方复核结果后10日内，依据合同约定考核办法完成审核考核，并将考核结果及应付服务费金额通知乙方，乙方</w:t>
      </w:r>
      <w:r>
        <w:rPr>
          <w:rFonts w:asciiTheme="minorEastAsia" w:hAnsiTheme="minorEastAsia" w:eastAsiaTheme="minorEastAsia"/>
          <w:color w:val="000000"/>
          <w:sz w:val="22"/>
        </w:rPr>
        <w:t>根据甲方的考核结果</w:t>
      </w:r>
      <w:r>
        <w:rPr>
          <w:rFonts w:hint="eastAsia" w:asciiTheme="minorEastAsia" w:hAnsiTheme="minorEastAsia" w:eastAsiaTheme="minorEastAsia"/>
          <w:color w:val="000000"/>
          <w:sz w:val="22"/>
        </w:rPr>
        <w:t>以及甲方确认的服务费金额</w:t>
      </w:r>
      <w:r>
        <w:rPr>
          <w:rFonts w:asciiTheme="minorEastAsia" w:hAnsiTheme="minorEastAsia" w:eastAsiaTheme="minorEastAsia"/>
          <w:color w:val="000000"/>
          <w:sz w:val="22"/>
        </w:rPr>
        <w:t>开具增值税专用发票，甲方于收到乙方发票之日起</w:t>
      </w:r>
      <w:r>
        <w:rPr>
          <w:rFonts w:hint="eastAsia" w:asciiTheme="minorEastAsia" w:hAnsiTheme="minorEastAsia" w:eastAsiaTheme="minorEastAsia"/>
          <w:color w:val="000000"/>
          <w:sz w:val="22"/>
        </w:rPr>
        <w:t>10</w:t>
      </w:r>
      <w:r>
        <w:rPr>
          <w:rFonts w:asciiTheme="minorEastAsia" w:hAnsiTheme="minorEastAsia" w:eastAsiaTheme="minorEastAsia"/>
          <w:color w:val="000000"/>
          <w:sz w:val="22"/>
        </w:rPr>
        <w:t>日内支付服务费用。</w:t>
      </w:r>
      <w:r>
        <w:rPr>
          <w:rFonts w:hint="eastAsia" w:asciiTheme="minorEastAsia" w:hAnsiTheme="minorEastAsia" w:eastAsiaTheme="minorEastAsia"/>
          <w:sz w:val="22"/>
        </w:rPr>
        <w:t>如遇节假日或特殊情况，付款时间则顺延；</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第四条：履约保证金</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乙方在收到甲方中标通知书之日起</w:t>
      </w:r>
      <w:r>
        <w:rPr>
          <w:rFonts w:asciiTheme="minorEastAsia" w:hAnsiTheme="minorEastAsia" w:eastAsiaTheme="minorEastAsia"/>
          <w:sz w:val="22"/>
        </w:rPr>
        <w:t>15</w:t>
      </w:r>
      <w:r>
        <w:rPr>
          <w:rFonts w:hint="eastAsia" w:asciiTheme="minorEastAsia" w:hAnsiTheme="minorEastAsia" w:eastAsiaTheme="minorEastAsia"/>
          <w:sz w:val="22"/>
        </w:rPr>
        <w:t>日内，乙方应向甲方缴纳第一年度合同金额5</w:t>
      </w: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的金额</w:t>
      </w:r>
      <w:r>
        <w:rPr>
          <w:rFonts w:hint="eastAsia" w:asciiTheme="minorEastAsia" w:hAnsiTheme="minorEastAsia" w:eastAsiaTheme="minorEastAsia"/>
          <w:color w:val="0000FF"/>
          <w:sz w:val="22"/>
        </w:rPr>
        <w:t>，</w:t>
      </w:r>
      <w:r>
        <w:rPr>
          <w:rFonts w:hint="eastAsia" w:asciiTheme="minorEastAsia" w:hAnsiTheme="minorEastAsia" w:eastAsiaTheme="minorEastAsia"/>
          <w:sz w:val="22"/>
        </w:rPr>
        <w:t>作为履约保证金，合计金额为 元人民币。若乙方未按本条规定的期限内全额缴清履约保证金，甲方有权取消乙方的中标资格，且乙方应承担由此给甲方造成的实际损失。</w:t>
      </w:r>
    </w:p>
    <w:p>
      <w:pPr>
        <w:spacing w:line="34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在本合同履行期间，若乙方存在违反本合同约定的行为，则甲方有权扣除乙方的履约保证金，并书面通知乙方，乙方对此不得提出任何异议。乙方在收到甲方的书面通知之日起</w:t>
      </w:r>
      <w:r>
        <w:rPr>
          <w:rFonts w:asciiTheme="minorEastAsia" w:hAnsiTheme="minorEastAsia" w:eastAsiaTheme="minorEastAsia"/>
          <w:sz w:val="22"/>
        </w:rPr>
        <w:t>15</w:t>
      </w:r>
      <w:r>
        <w:rPr>
          <w:rFonts w:hint="eastAsia" w:asciiTheme="minorEastAsia" w:hAnsiTheme="minorEastAsia" w:eastAsiaTheme="minorEastAsia"/>
          <w:sz w:val="22"/>
        </w:rPr>
        <w:t>日内补足履约保证金，逾期不补足，视为乙方违约，则甲方有权解除本合同，并要求乙方承担由此给甲方造成的实际损失。待本合同约定的服务内容及服务期限全部履行完毕后，经甲方确认后，乙方不存在任何违约行为，自甲方确认之日起</w:t>
      </w:r>
      <w:r>
        <w:rPr>
          <w:rFonts w:asciiTheme="minorEastAsia" w:hAnsiTheme="minorEastAsia" w:eastAsiaTheme="minorEastAsia"/>
          <w:sz w:val="22"/>
        </w:rPr>
        <w:t>15</w:t>
      </w:r>
      <w:r>
        <w:rPr>
          <w:rFonts w:hint="eastAsia" w:asciiTheme="minorEastAsia" w:hAnsiTheme="minorEastAsia" w:eastAsiaTheme="minorEastAsia"/>
          <w:sz w:val="22"/>
        </w:rPr>
        <w:t>日内，甲方无息返还乙方履约保证金。若乙方存在违约行为或者有相关费用未支付的，则甲方在扣除相关费用后，若有剩余，则无息返还乙方。</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第五条 甲方权利和义务</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 xml:space="preserve">5.1 </w:t>
      </w:r>
      <w:r>
        <w:rPr>
          <w:rFonts w:hint="eastAsia" w:asciiTheme="minorEastAsia" w:hAnsiTheme="minorEastAsia" w:eastAsiaTheme="minorEastAsia"/>
          <w:sz w:val="22"/>
        </w:rPr>
        <w:t>甲方权利及义务</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5.1.1在乙方严格遵守合同条款的情况下，甲方保证乙方正常服务与管理活动不受干扰。甲方</w:t>
      </w:r>
      <w:r>
        <w:rPr>
          <w:rFonts w:hint="eastAsia" w:asciiTheme="minorEastAsia" w:hAnsiTheme="minorEastAsia" w:eastAsiaTheme="minorEastAsia"/>
          <w:sz w:val="22"/>
        </w:rPr>
        <w:t>委托</w:t>
      </w:r>
      <w:r>
        <w:rPr>
          <w:rFonts w:asciiTheme="minorEastAsia" w:hAnsiTheme="minorEastAsia" w:eastAsiaTheme="minorEastAsia"/>
          <w:sz w:val="22"/>
        </w:rPr>
        <w:t>（以下简称监管单位）对乙方完成外包业务进行日常监管和月度、年度考核。</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5.1.2</w:t>
      </w:r>
      <w:r>
        <w:rPr>
          <w:rFonts w:hint="eastAsia" w:asciiTheme="minorEastAsia" w:hAnsiTheme="minorEastAsia" w:eastAsiaTheme="minorEastAsia"/>
          <w:sz w:val="22"/>
        </w:rPr>
        <w:t>甲方监管单位负责提供拷贝视频监控所需电子设备，并依据业务运行实际，不定期拷贝视频监控；</w:t>
      </w:r>
      <w:r>
        <w:rPr>
          <w:rFonts w:asciiTheme="minorEastAsia" w:hAnsiTheme="minorEastAsia" w:eastAsiaTheme="minorEastAsia"/>
          <w:sz w:val="22"/>
        </w:rPr>
        <w:t>。</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5.1.3</w:t>
      </w:r>
      <w:r>
        <w:rPr>
          <w:rFonts w:asciiTheme="minorEastAsia" w:hAnsiTheme="minorEastAsia" w:eastAsiaTheme="minorEastAsia"/>
          <w:sz w:val="22"/>
        </w:rPr>
        <w:t>甲方有义务</w:t>
      </w:r>
      <w:r>
        <w:rPr>
          <w:rFonts w:hint="eastAsia" w:asciiTheme="minorEastAsia" w:hAnsiTheme="minorEastAsia" w:eastAsiaTheme="minorEastAsia"/>
          <w:sz w:val="22"/>
        </w:rPr>
        <w:t>向</w:t>
      </w:r>
      <w:r>
        <w:rPr>
          <w:rFonts w:asciiTheme="minorEastAsia" w:hAnsiTheme="minorEastAsia" w:eastAsiaTheme="minorEastAsia"/>
          <w:sz w:val="22"/>
        </w:rPr>
        <w:t>乙方提供</w:t>
      </w:r>
      <w:r>
        <w:rPr>
          <w:rFonts w:hint="eastAsia" w:asciiTheme="minorEastAsia" w:hAnsiTheme="minorEastAsia" w:eastAsiaTheme="minorEastAsia"/>
          <w:sz w:val="22"/>
        </w:rPr>
        <w:t>为完成监控复核服务所需的</w:t>
      </w:r>
      <w:r>
        <w:rPr>
          <w:rFonts w:asciiTheme="minorEastAsia" w:hAnsiTheme="minorEastAsia" w:eastAsiaTheme="minorEastAsia"/>
          <w:sz w:val="22"/>
        </w:rPr>
        <w:t>相应</w:t>
      </w:r>
      <w:r>
        <w:rPr>
          <w:rFonts w:hint="eastAsia" w:asciiTheme="minorEastAsia" w:hAnsiTheme="minorEastAsia" w:eastAsiaTheme="minorEastAsia"/>
          <w:sz w:val="22"/>
        </w:rPr>
        <w:t>规章制度及相关文件资料</w:t>
      </w:r>
      <w:r>
        <w:rPr>
          <w:rFonts w:asciiTheme="minorEastAsia" w:hAnsiTheme="minorEastAsia" w:eastAsiaTheme="minorEastAsia"/>
          <w:sz w:val="22"/>
        </w:rPr>
        <w:t>。</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5.1.4</w:t>
      </w:r>
      <w:r>
        <w:rPr>
          <w:rFonts w:asciiTheme="minorEastAsia" w:hAnsiTheme="minorEastAsia" w:eastAsiaTheme="minorEastAsia"/>
          <w:sz w:val="22"/>
        </w:rPr>
        <w:t>甲方每年不少于一次对乙方的合同履约情况进行工作调研与沟通，以便乙方</w:t>
      </w:r>
      <w:r>
        <w:rPr>
          <w:rFonts w:hint="eastAsia" w:asciiTheme="minorEastAsia" w:hAnsiTheme="minorEastAsia" w:eastAsiaTheme="minorEastAsia"/>
          <w:sz w:val="22"/>
        </w:rPr>
        <w:t>能够提供更好地服务</w:t>
      </w:r>
      <w:r>
        <w:rPr>
          <w:rFonts w:asciiTheme="minorEastAsia" w:hAnsiTheme="minorEastAsia" w:eastAsiaTheme="minorEastAsia"/>
          <w:sz w:val="22"/>
        </w:rPr>
        <w:t>。</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5.2</w:t>
      </w:r>
      <w:r>
        <w:rPr>
          <w:rFonts w:hint="eastAsia" w:asciiTheme="minorEastAsia" w:hAnsiTheme="minorEastAsia" w:eastAsiaTheme="minorEastAsia"/>
          <w:sz w:val="22"/>
        </w:rPr>
        <w:t>甲方不承担以下责任：</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5.2.1</w:t>
      </w:r>
      <w:r>
        <w:rPr>
          <w:rFonts w:hint="eastAsia" w:asciiTheme="minorEastAsia" w:hAnsiTheme="minorEastAsia" w:eastAsiaTheme="minorEastAsia"/>
          <w:sz w:val="22"/>
        </w:rPr>
        <w:t>由于本合同所列不可抗力造成的服务与管理的区域、乙方工作内容等情形或条件的改变。</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5.2.2</w:t>
      </w:r>
      <w:r>
        <w:rPr>
          <w:rFonts w:hint="eastAsia" w:asciiTheme="minorEastAsia" w:hAnsiTheme="minorEastAsia" w:eastAsiaTheme="minorEastAsia"/>
          <w:sz w:val="22"/>
        </w:rPr>
        <w:t>由本合同所列不可抗力造成的或由第三方或乙方自身原因引起的乙方工作人员或者雇佣人员的人身伤害、财产损失或设备设施损坏。</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5.2.3</w:t>
      </w:r>
      <w:r>
        <w:rPr>
          <w:rFonts w:hint="eastAsia" w:asciiTheme="minorEastAsia" w:hAnsiTheme="minorEastAsia" w:eastAsiaTheme="minorEastAsia"/>
          <w:sz w:val="22"/>
        </w:rPr>
        <w:t>由于乙方责任原因造成第三方人身伤害、财产损失或设备设施损坏。</w:t>
      </w:r>
    </w:p>
    <w:p>
      <w:pPr>
        <w:spacing w:line="340" w:lineRule="exact"/>
        <w:ind w:firstLine="470"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第六条  乙方权利和义务</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乙方权利及义务</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6.1.1</w:t>
      </w:r>
      <w:r>
        <w:rPr>
          <w:rFonts w:hint="eastAsia" w:asciiTheme="minorEastAsia" w:hAnsiTheme="minorEastAsia" w:eastAsiaTheme="minorEastAsia"/>
          <w:sz w:val="22"/>
        </w:rPr>
        <w:t>乙方有义务对甲方所有视频、文件资料以及复核结果进行保密，不得以任何形式泄转租、转让本服务项目；</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6.1.2乙方在开展相关业务的过程中，应遵守甲方的统一服务要求和规章制度，不得出现有损旅客权益和妨碍正常运行的不良行为。</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6.1.3乙方应向员工或者雇佣人员提供培训专业技能的途径，保证员工或者雇佣人员有较高的业务知识与能力，对员工或者雇佣人员开展定期与不定期的相关培训及上岗培训，并做好相关台账记录</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6.1.4</w:t>
      </w:r>
      <w:r>
        <w:rPr>
          <w:rFonts w:hint="eastAsia" w:asciiTheme="minorEastAsia" w:hAnsiTheme="minorEastAsia" w:eastAsiaTheme="minorEastAsia"/>
          <w:sz w:val="22"/>
        </w:rPr>
        <w:t>乙方允许甲方及其主要代表或授权人员对乙方的服务与管理进行质量监控和检查，并予以积极配合。</w:t>
      </w:r>
    </w:p>
    <w:p>
      <w:pPr>
        <w:spacing w:before="60" w:after="60"/>
        <w:ind w:left="134" w:leftChars="64" w:firstLine="440" w:firstLineChars="200"/>
        <w:outlineLvl w:val="0"/>
        <w:rPr>
          <w:rFonts w:hAnsi="宋体" w:cs="宋体"/>
          <w:bCs/>
          <w:color w:val="000000" w:themeColor="text1"/>
          <w:sz w:val="22"/>
          <w14:textFill>
            <w14:solidFill>
              <w14:schemeClr w14:val="tx1"/>
            </w14:solidFill>
          </w14:textFill>
        </w:rPr>
      </w:pPr>
      <w:r>
        <w:rPr>
          <w:rFonts w:asciiTheme="minorEastAsia" w:hAnsiTheme="minorEastAsia" w:eastAsiaTheme="minorEastAsia"/>
          <w:sz w:val="22"/>
        </w:rPr>
        <w:t>6.1.5</w:t>
      </w:r>
      <w:r>
        <w:rPr>
          <w:rFonts w:hint="eastAsia"/>
          <w:color w:val="000000" w:themeColor="text1"/>
          <w:sz w:val="22"/>
          <w14:textFill>
            <w14:solidFill>
              <w14:schemeClr w14:val="tx1"/>
            </w14:solidFill>
          </w14:textFill>
        </w:rPr>
        <w:t>乙方须采取必要措施，对甲方提供资料及复核结果限定知悉人，并保证知悉人不得将复核资料以任何形式透露给非甲方指定联系人，因过失泄露复核资料同样需承担违约责任；</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6乙方有义务参加甲方提供的认为必须要乙方遵守或学习的相关内容的培训，乙方参加的该等培训所引起的费用均由乙方自行承担。</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7如果甲方认为乙方员工有不正当行为、无相关工作能力，玩忽职守或未遵守甲方安全、服务等方面的要求或违反本合同相关条款的，乙方应当按照甲方要求对该人员进行更换，则乙方需在接收到甲方意见之日起10日内整改到位。</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6.1.8</w:t>
      </w:r>
      <w:r>
        <w:rPr>
          <w:rFonts w:hint="eastAsia" w:asciiTheme="minorEastAsia" w:hAnsiTheme="minorEastAsia" w:eastAsiaTheme="minorEastAsia"/>
          <w:sz w:val="22"/>
        </w:rPr>
        <w:t>乙方必须对员工发生的事故责任以及员工计生、身份、健康、各类保险等承担责任；同时对员工在服务地点范围内做出不良行为给甲方造成影响承担责任。</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9乙方或乙方员工自行解决承担除招标文件规定外的协议范围内工作所需的设施设备。</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10乙方员工在工作期间发生人生损害或财产损失的，由乙方负责处理并承担全部责任。</w:t>
      </w:r>
    </w:p>
    <w:p>
      <w:pPr>
        <w:spacing w:before="60" w:after="60"/>
        <w:outlineLvl w:val="0"/>
        <w:rPr>
          <w:color w:val="FF0000"/>
          <w:sz w:val="28"/>
          <w:szCs w:val="28"/>
        </w:rPr>
      </w:pPr>
      <w:r>
        <w:rPr>
          <w:rFonts w:hint="eastAsia" w:asciiTheme="minorEastAsia" w:hAnsiTheme="minorEastAsia" w:eastAsiaTheme="minorEastAsia"/>
          <w:sz w:val="22"/>
        </w:rPr>
        <w:t xml:space="preserve">    6.1.11</w:t>
      </w:r>
      <w:r>
        <w:rPr>
          <w:rFonts w:hint="eastAsia" w:asciiTheme="minorEastAsia" w:hAnsiTheme="minorEastAsia" w:eastAsiaTheme="minorEastAsia" w:cstheme="minorEastAsia"/>
          <w:color w:val="000000" w:themeColor="text1"/>
          <w:sz w:val="22"/>
          <w14:textFill>
            <w14:solidFill>
              <w14:schemeClr w14:val="tx1"/>
            </w14:solidFill>
          </w14:textFill>
        </w:rPr>
        <w:t>乙方不得以任何形式复制、拷贝甲方所提供复核资料进行留存，并保障在本协议终止前10日内，将甲方提供所有资料及复核结果进行销毁。</w:t>
      </w:r>
    </w:p>
    <w:p>
      <w:pPr>
        <w:spacing w:line="340" w:lineRule="exact"/>
        <w:ind w:firstLine="470"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7</w:t>
      </w:r>
      <w:r>
        <w:rPr>
          <w:rFonts w:hint="eastAsia" w:asciiTheme="minorEastAsia" w:hAnsiTheme="minorEastAsia" w:eastAsiaTheme="minorEastAsia"/>
          <w:b/>
          <w:sz w:val="22"/>
        </w:rPr>
        <w:t>考核内容及标准</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7.1</w:t>
      </w:r>
      <w:r>
        <w:rPr>
          <w:rFonts w:hint="eastAsia" w:asciiTheme="minorEastAsia" w:hAnsiTheme="minorEastAsia" w:eastAsiaTheme="minorEastAsia"/>
          <w:sz w:val="22"/>
        </w:rPr>
        <w:t>乙方应促进以下目标和原则的实现：在不影响安全、效率的情况下，及时提供安全、高效、高质量的服务。</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7.2</w:t>
      </w:r>
      <w:r>
        <w:rPr>
          <w:rFonts w:hint="eastAsia" w:asciiTheme="minorEastAsia" w:hAnsiTheme="minorEastAsia" w:eastAsiaTheme="minorEastAsia"/>
          <w:sz w:val="22"/>
        </w:rPr>
        <w:t>乙方应遵守并履行合同中所有的服务条款。</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7.5</w:t>
      </w:r>
      <w:r>
        <w:rPr>
          <w:rFonts w:hint="eastAsia" w:asciiTheme="minorEastAsia" w:hAnsiTheme="minorEastAsia" w:eastAsiaTheme="minorEastAsia"/>
          <w:sz w:val="22"/>
        </w:rPr>
        <w:t>甲方对乙方工作情况、服务质量进行复核抽查，对所复核岗位现场已存在问题未能复核发现，甲方有权依据考核办法进行扣分，并扣减应支付乙方的服务费用。</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7.6</w:t>
      </w:r>
      <w:r>
        <w:rPr>
          <w:rFonts w:hint="eastAsia" w:asciiTheme="minorEastAsia" w:hAnsiTheme="minorEastAsia" w:eastAsiaTheme="minorEastAsia"/>
          <w:sz w:val="22"/>
        </w:rPr>
        <w:t>甲方对乙方单次复核结果依据考核办法进行考核，考核分达到95分以上（含95分）为及格，甲方按合同所规定的付款方式支付给乙方复核服务费；如考核分在95分以下每减少</w:t>
      </w:r>
      <w:r>
        <w:rPr>
          <w:rFonts w:asciiTheme="minorEastAsia" w:hAnsiTheme="minorEastAsia" w:eastAsiaTheme="minorEastAsia"/>
          <w:sz w:val="22"/>
        </w:rPr>
        <w:t>1</w:t>
      </w:r>
      <w:r>
        <w:rPr>
          <w:rFonts w:hint="eastAsia" w:asciiTheme="minorEastAsia" w:hAnsiTheme="minorEastAsia" w:eastAsiaTheme="minorEastAsia"/>
          <w:sz w:val="22"/>
        </w:rPr>
        <w:t>分，减扣单次应付服务费的</w:t>
      </w:r>
      <w:r>
        <w:rPr>
          <w:rFonts w:asciiTheme="minorEastAsia" w:hAnsiTheme="minorEastAsia" w:eastAsiaTheme="minorEastAsia"/>
          <w:sz w:val="22"/>
        </w:rPr>
        <w:t>1%</w:t>
      </w:r>
      <w:r>
        <w:rPr>
          <w:rFonts w:hint="eastAsia" w:asciiTheme="minorEastAsia" w:hAnsiTheme="minorEastAsia" w:eastAsiaTheme="minorEastAsia"/>
          <w:sz w:val="22"/>
        </w:rPr>
        <w:t>。</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7.7</w:t>
      </w:r>
      <w:r>
        <w:rPr>
          <w:rFonts w:hint="eastAsia" w:asciiTheme="minorEastAsia" w:hAnsiTheme="minorEastAsia" w:eastAsiaTheme="minorEastAsia"/>
          <w:sz w:val="22"/>
        </w:rPr>
        <w:t>若</w:t>
      </w:r>
      <w:r>
        <w:rPr>
          <w:rFonts w:hint="eastAsia" w:asciiTheme="minorEastAsia" w:hAnsiTheme="minorEastAsia" w:eastAsiaTheme="minorEastAsia"/>
          <w:color w:val="000000" w:themeColor="text1"/>
          <w:sz w:val="22"/>
          <w14:textFill>
            <w14:solidFill>
              <w14:schemeClr w14:val="tx1"/>
            </w14:solidFill>
          </w14:textFill>
        </w:rPr>
        <w:t>甲方在第一合同年度期限届满前1个月，甲方依据</w:t>
      </w:r>
      <w:r>
        <w:rPr>
          <w:rFonts w:hint="eastAsia" w:ascii="宋体" w:hAnsi="宋体"/>
          <w:color w:val="000000"/>
          <w:sz w:val="22"/>
        </w:rPr>
        <w:t>《考核办法》对乙方进行考核，若考核得分达95分（含），服务期限自动顺延1年，至2020年 月 日终止。如考核不合格，则本合同于[  ]年[  ]月[ ]日终止。</w:t>
      </w:r>
      <w:r>
        <w:rPr>
          <w:rFonts w:asciiTheme="minorEastAsia" w:hAnsiTheme="minorEastAsia" w:eastAsiaTheme="minorEastAsia"/>
          <w:sz w:val="22"/>
        </w:rPr>
        <w:t>乙方</w:t>
      </w:r>
      <w:r>
        <w:rPr>
          <w:rFonts w:hint="eastAsia" w:asciiTheme="minorEastAsia" w:hAnsiTheme="minorEastAsia" w:eastAsiaTheme="minorEastAsia"/>
          <w:sz w:val="22"/>
        </w:rPr>
        <w:t>在签订本合同之时即确认</w:t>
      </w:r>
      <w:r>
        <w:rPr>
          <w:rFonts w:asciiTheme="minorEastAsia" w:hAnsiTheme="minorEastAsia" w:eastAsiaTheme="minorEastAsia"/>
          <w:sz w:val="22"/>
        </w:rPr>
        <w:t>无条件接受考核结果且</w:t>
      </w:r>
      <w:r>
        <w:rPr>
          <w:rFonts w:hint="eastAsia" w:asciiTheme="minorEastAsia" w:hAnsiTheme="minorEastAsia" w:eastAsiaTheme="minorEastAsia"/>
          <w:sz w:val="22"/>
        </w:rPr>
        <w:t>放弃</w:t>
      </w:r>
      <w:r>
        <w:rPr>
          <w:rFonts w:asciiTheme="minorEastAsia" w:hAnsiTheme="minorEastAsia" w:eastAsiaTheme="minorEastAsia"/>
          <w:sz w:val="22"/>
        </w:rPr>
        <w:t>提出任何异议。</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7.8</w:t>
      </w:r>
      <w:r>
        <w:rPr>
          <w:rFonts w:hint="eastAsia" w:asciiTheme="minorEastAsia" w:hAnsiTheme="minorEastAsia" w:eastAsiaTheme="minorEastAsia"/>
          <w:sz w:val="22"/>
        </w:rPr>
        <w:t xml:space="preserve"> 合同年度内如连续两次考核得分低于90分或一个合同年度内共计有三次考核得分低于90分，</w:t>
      </w:r>
      <w:r>
        <w:rPr>
          <w:rFonts w:asciiTheme="minorEastAsia" w:hAnsiTheme="minorEastAsia" w:eastAsiaTheme="minorEastAsia"/>
          <w:sz w:val="22"/>
        </w:rPr>
        <w:t>甲方有权提前</w:t>
      </w:r>
      <w:r>
        <w:rPr>
          <w:rFonts w:hint="eastAsia" w:asciiTheme="minorEastAsia" w:hAnsiTheme="minorEastAsia" w:eastAsiaTheme="minorEastAsia"/>
          <w:sz w:val="22"/>
        </w:rPr>
        <w:t>解除本合同</w:t>
      </w:r>
      <w:r>
        <w:rPr>
          <w:rFonts w:asciiTheme="minorEastAsia" w:hAnsiTheme="minorEastAsia" w:eastAsiaTheme="minorEastAsia"/>
          <w:sz w:val="22"/>
        </w:rPr>
        <w:t>，</w:t>
      </w:r>
      <w:r>
        <w:rPr>
          <w:rFonts w:hint="eastAsia" w:asciiTheme="minorEastAsia" w:hAnsiTheme="minorEastAsia" w:eastAsiaTheme="minorEastAsia"/>
          <w:sz w:val="22"/>
        </w:rPr>
        <w:t>且履约保证金不予返还，</w:t>
      </w:r>
      <w:r>
        <w:rPr>
          <w:rFonts w:asciiTheme="minorEastAsia" w:hAnsiTheme="minorEastAsia" w:eastAsiaTheme="minorEastAsia"/>
          <w:sz w:val="22"/>
        </w:rPr>
        <w:t>乙方无条件接受考核结果且不得提出任何异议，相关损失由乙方承担。</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8违约责任</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1双方应当按照本合同的约定切实履行。任何一方违反本合同的约定，均构成违约，应按照</w:t>
      </w:r>
      <w:r>
        <w:rPr>
          <w:rFonts w:hint="eastAsia" w:asciiTheme="minorEastAsia" w:hAnsiTheme="minorEastAsia" w:eastAsiaTheme="minorEastAsia"/>
          <w:sz w:val="22"/>
        </w:rPr>
        <w:t>本合同</w:t>
      </w:r>
      <w:r>
        <w:rPr>
          <w:rFonts w:asciiTheme="minorEastAsia" w:hAnsiTheme="minorEastAsia" w:eastAsiaTheme="minorEastAsia"/>
          <w:sz w:val="22"/>
        </w:rPr>
        <w:t>的约定承担相应的违约责任。</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r>
        <w:rPr>
          <w:rFonts w:hint="eastAsia" w:asciiTheme="minorEastAsia" w:hAnsiTheme="minorEastAsia" w:eastAsiaTheme="minorEastAsia"/>
          <w:sz w:val="22"/>
        </w:rPr>
        <w:t>本合同其他条款规定一方违约导致另一方有权解除本合同的，该等违约行为均视为根本违约。</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3乙方违反本合同条款相关规定构成违约的，应向甲方支付违约金，违约金金额为每次人民币贰仟元整（2000元），如违约金不足以弥补甲方实际损失的，乙方须另行向甲方承担赔偿责任。乙方构成根本违约的，履约保证金不予返还，并甲方有权追究其</w:t>
      </w:r>
      <w:r>
        <w:rPr>
          <w:rFonts w:hint="eastAsia" w:asciiTheme="minorEastAsia" w:hAnsiTheme="minorEastAsia" w:eastAsiaTheme="minorEastAsia"/>
          <w:sz w:val="22"/>
        </w:rPr>
        <w:t>赔偿责任以及其他</w:t>
      </w:r>
      <w:r>
        <w:rPr>
          <w:rFonts w:asciiTheme="minorEastAsia" w:hAnsiTheme="minorEastAsia" w:eastAsiaTheme="minorEastAsia"/>
          <w:sz w:val="22"/>
        </w:rPr>
        <w:t>相关责任。</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.4不放弃的权利</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9.4.1甲方接受乙方的服务，但不放弃对乙方违约情况的追究权利。</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9.4.2甲方对乙方某一违约情况放弃追究权利，不得视为放弃对乙方其他违约情况的追究权利。</w:t>
      </w:r>
    </w:p>
    <w:p>
      <w:pPr>
        <w:spacing w:line="340" w:lineRule="exact"/>
        <w:ind w:firstLine="470"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10</w:t>
      </w:r>
      <w:r>
        <w:rPr>
          <w:rFonts w:hint="eastAsia" w:asciiTheme="minorEastAsia" w:hAnsiTheme="minorEastAsia" w:eastAsiaTheme="minorEastAsia"/>
          <w:b/>
          <w:sz w:val="22"/>
        </w:rPr>
        <w:t>不可抗力</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10.1</w:t>
      </w:r>
      <w:r>
        <w:rPr>
          <w:rFonts w:hint="eastAsia" w:asciiTheme="minorEastAsia" w:hAnsiTheme="minorEastAsia" w:eastAsiaTheme="minorEastAsia"/>
          <w:sz w:val="22"/>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10.2</w:t>
      </w:r>
      <w:r>
        <w:rPr>
          <w:rFonts w:hint="eastAsia" w:asciiTheme="minorEastAsia" w:hAnsiTheme="minorEastAsia" w:eastAsiaTheme="minorEastAsia"/>
          <w:sz w:val="22"/>
        </w:rPr>
        <w:t>因不可抗力发生而导致任何一方不能履行本合同义务的，遭遇不可抗力方可以免除责任，但必须在不可抗力事由发生后</w:t>
      </w:r>
      <w:r>
        <w:rPr>
          <w:rFonts w:asciiTheme="minorEastAsia" w:hAnsiTheme="minorEastAsia" w:eastAsiaTheme="minorEastAsia"/>
          <w:sz w:val="22"/>
        </w:rPr>
        <w:t>24</w:t>
      </w:r>
      <w:r>
        <w:rPr>
          <w:rFonts w:hint="eastAsia" w:asciiTheme="minorEastAsia" w:hAnsiTheme="minorEastAsia" w:eastAsiaTheme="minorEastAsia"/>
          <w:sz w:val="22"/>
        </w:rPr>
        <w:t>小时内书面通知对方；如因不可抗力导致无法通知对方的，则应在不可抗力事由终止后</w:t>
      </w:r>
      <w:r>
        <w:rPr>
          <w:rFonts w:asciiTheme="minorEastAsia" w:hAnsiTheme="minorEastAsia" w:eastAsiaTheme="minorEastAsia"/>
          <w:sz w:val="22"/>
        </w:rPr>
        <w:t>3</w:t>
      </w:r>
      <w:r>
        <w:rPr>
          <w:rFonts w:hint="eastAsia" w:asciiTheme="minorEastAsia" w:hAnsiTheme="minorEastAsia" w:eastAsiaTheme="minorEastAsia"/>
          <w:sz w:val="22"/>
        </w:rPr>
        <w:t>天内书面通知对方。未履行书面通知的，不可就扩大部分的损失免除责任。</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10.3由于</w:t>
      </w:r>
      <w:r>
        <w:rPr>
          <w:rFonts w:hint="eastAsia" w:asciiTheme="minorEastAsia" w:hAnsiTheme="minorEastAsia" w:eastAsiaTheme="minorEastAsia"/>
          <w:sz w:val="22"/>
        </w:rPr>
        <w:t>甲方</w:t>
      </w:r>
      <w:r>
        <w:rPr>
          <w:rFonts w:asciiTheme="minorEastAsia" w:hAnsiTheme="minorEastAsia" w:eastAsiaTheme="minorEastAsia"/>
          <w:sz w:val="22"/>
        </w:rPr>
        <w:t>改建、扩建</w:t>
      </w:r>
      <w:r>
        <w:rPr>
          <w:rFonts w:hint="eastAsia" w:asciiTheme="minorEastAsia" w:hAnsiTheme="minorEastAsia" w:eastAsiaTheme="minorEastAsia"/>
          <w:sz w:val="22"/>
        </w:rPr>
        <w:t>或者</w:t>
      </w:r>
      <w:r>
        <w:rPr>
          <w:rFonts w:asciiTheme="minorEastAsia" w:hAnsiTheme="minorEastAsia" w:eastAsiaTheme="minorEastAsia"/>
          <w:sz w:val="22"/>
        </w:rPr>
        <w:t>区域的功能及经营性调整</w:t>
      </w:r>
      <w:r>
        <w:rPr>
          <w:rFonts w:hint="eastAsia" w:asciiTheme="minorEastAsia" w:hAnsiTheme="minorEastAsia" w:eastAsiaTheme="minorEastAsia"/>
          <w:sz w:val="22"/>
        </w:rPr>
        <w:t>、相关政策</w:t>
      </w:r>
      <w:r>
        <w:rPr>
          <w:rFonts w:asciiTheme="minorEastAsia" w:hAnsiTheme="minorEastAsia" w:eastAsiaTheme="minorEastAsia"/>
          <w:sz w:val="22"/>
        </w:rPr>
        <w:t>发生变化的，甲、乙双方可协商一致对本合同的约定做出变更。</w:t>
      </w:r>
      <w:r>
        <w:rPr>
          <w:rFonts w:hint="eastAsia" w:asciiTheme="minorEastAsia" w:hAnsiTheme="minorEastAsia" w:eastAsiaTheme="minorEastAsia"/>
          <w:bCs/>
          <w:sz w:val="22"/>
        </w:rPr>
        <w:t>如无法协商达成一致的，甲方有权书面通知乙方单方面终止合同，服务费用结算至合同终止日，且甲方无须向乙方承担任何责任。</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10.4因甲方及其上级主管部门对功能、布局、流程进行调整，涉及本合同约定之事宜，导致本合同无法继续履行的，甲方有权单方面终止合同，</w:t>
      </w:r>
      <w:r>
        <w:rPr>
          <w:rFonts w:hint="eastAsia" w:asciiTheme="minorEastAsia" w:hAnsiTheme="minorEastAsia" w:eastAsiaTheme="minorEastAsia"/>
          <w:sz w:val="22"/>
        </w:rPr>
        <w:t>服务费用结算至合同终止日，且甲方</w:t>
      </w:r>
      <w:r>
        <w:rPr>
          <w:rFonts w:asciiTheme="minorEastAsia" w:hAnsiTheme="minorEastAsia" w:eastAsiaTheme="minorEastAsia"/>
          <w:sz w:val="22"/>
        </w:rPr>
        <w:t>无须承担任何法律责任，但应当书面通知乙方。</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10.5任何一方不得就不可抗力事由发生前已产生之责任免责。</w:t>
      </w:r>
    </w:p>
    <w:p>
      <w:pPr>
        <w:spacing w:line="340" w:lineRule="exact"/>
        <w:ind w:firstLine="470"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11</w:t>
      </w:r>
      <w:r>
        <w:rPr>
          <w:rFonts w:hint="eastAsia" w:asciiTheme="minorEastAsia" w:hAnsiTheme="minorEastAsia" w:eastAsiaTheme="minorEastAsia"/>
          <w:b/>
          <w:sz w:val="22"/>
        </w:rPr>
        <w:t>修改或变更</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11.1</w:t>
      </w:r>
      <w:r>
        <w:rPr>
          <w:rFonts w:hint="eastAsia" w:asciiTheme="minorEastAsia" w:hAnsiTheme="minorEastAsia" w:eastAsiaTheme="minorEastAsia"/>
          <w:sz w:val="22"/>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11.2</w:t>
      </w:r>
      <w:r>
        <w:rPr>
          <w:rFonts w:hint="eastAsia" w:asciiTheme="minorEastAsia" w:hAnsiTheme="minorEastAsia" w:eastAsiaTheme="minorEastAsia"/>
          <w:sz w:val="22"/>
        </w:rPr>
        <w:t>上述</w:t>
      </w:r>
      <w:r>
        <w:rPr>
          <w:rFonts w:asciiTheme="minorEastAsia" w:hAnsiTheme="minorEastAsia" w:eastAsiaTheme="minorEastAsia"/>
          <w:sz w:val="22"/>
        </w:rPr>
        <w:t>“</w:t>
      </w:r>
      <w:r>
        <w:rPr>
          <w:rFonts w:hint="eastAsia" w:asciiTheme="minorEastAsia" w:hAnsiTheme="minorEastAsia" w:eastAsiaTheme="minorEastAsia"/>
          <w:sz w:val="22"/>
        </w:rPr>
        <w:t>补充条款</w:t>
      </w:r>
      <w:r>
        <w:rPr>
          <w:rFonts w:asciiTheme="minorEastAsia" w:hAnsiTheme="minorEastAsia" w:eastAsiaTheme="minorEastAsia"/>
          <w:sz w:val="22"/>
        </w:rPr>
        <w:t>”</w:t>
      </w:r>
      <w:r>
        <w:rPr>
          <w:rFonts w:hint="eastAsia" w:asciiTheme="minorEastAsia" w:hAnsiTheme="minorEastAsia" w:eastAsiaTheme="minorEastAsia"/>
          <w:sz w:val="22"/>
        </w:rPr>
        <w:t>可以以</w:t>
      </w:r>
      <w:r>
        <w:rPr>
          <w:rFonts w:asciiTheme="minorEastAsia" w:hAnsiTheme="minorEastAsia" w:eastAsiaTheme="minorEastAsia"/>
          <w:sz w:val="22"/>
        </w:rPr>
        <w:t>“</w:t>
      </w:r>
      <w:r>
        <w:rPr>
          <w:rFonts w:hint="eastAsia" w:asciiTheme="minorEastAsia" w:hAnsiTheme="minorEastAsia" w:eastAsiaTheme="minorEastAsia"/>
          <w:sz w:val="22"/>
        </w:rPr>
        <w:t>补充合同</w:t>
      </w:r>
      <w:r>
        <w:rPr>
          <w:rFonts w:asciiTheme="minorEastAsia" w:hAnsiTheme="minorEastAsia" w:eastAsiaTheme="minorEastAsia"/>
          <w:sz w:val="22"/>
        </w:rPr>
        <w:t>”</w:t>
      </w:r>
      <w:r>
        <w:rPr>
          <w:rFonts w:hint="eastAsia" w:asciiTheme="minorEastAsia" w:hAnsiTheme="minorEastAsia" w:eastAsiaTheme="minorEastAsia"/>
          <w:sz w:val="22"/>
        </w:rPr>
        <w:t>或双方签署确认的其他文件形式替代，具有同等法律效力。</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11.3</w:t>
      </w:r>
      <w:r>
        <w:rPr>
          <w:rFonts w:hint="eastAsia" w:asciiTheme="minorEastAsia" w:hAnsiTheme="minorEastAsia" w:eastAsiaTheme="minorEastAsia"/>
          <w:sz w:val="22"/>
        </w:rPr>
        <w:t>如在合同履行过程中有不同意见，双方应当友好协商解决。</w:t>
      </w:r>
    </w:p>
    <w:p>
      <w:pPr>
        <w:spacing w:line="340" w:lineRule="exact"/>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12</w:t>
      </w:r>
      <w:r>
        <w:rPr>
          <w:rFonts w:hint="eastAsia" w:asciiTheme="minorEastAsia" w:hAnsiTheme="minorEastAsia" w:eastAsiaTheme="minorEastAsia"/>
          <w:b/>
          <w:sz w:val="22"/>
        </w:rPr>
        <w:t>争议及管辖</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12.1</w:t>
      </w:r>
      <w:r>
        <w:rPr>
          <w:rFonts w:hint="eastAsia" w:asciiTheme="minorEastAsia" w:hAnsiTheme="minorEastAsia" w:eastAsiaTheme="minorEastAsia"/>
          <w:sz w:val="22"/>
        </w:rPr>
        <w:t>因本合同的签订、生效、效力、解释、履行、解除、终止而发生的任何争议，可由双方通过友好协商方式解决。无法协商达成一致的，任何一方均有权向甲方所在地人民法院起诉。</w:t>
      </w:r>
    </w:p>
    <w:p>
      <w:pPr>
        <w:spacing w:line="340" w:lineRule="exact"/>
        <w:ind w:firstLine="470" w:firstLineChars="214"/>
        <w:rPr>
          <w:rFonts w:asciiTheme="minorEastAsia" w:hAnsiTheme="minorEastAsia"/>
          <w:sz w:val="24"/>
          <w:szCs w:val="24"/>
        </w:rPr>
      </w:pPr>
      <w:r>
        <w:rPr>
          <w:rFonts w:asciiTheme="minorEastAsia" w:hAnsiTheme="minorEastAsia" w:eastAsiaTheme="minorEastAsia"/>
          <w:sz w:val="22"/>
        </w:rPr>
        <w:t>12.2</w:t>
      </w:r>
      <w:r>
        <w:rPr>
          <w:rFonts w:hint="eastAsia" w:asciiTheme="minorEastAsia" w:hAnsiTheme="minorEastAsia" w:eastAsiaTheme="minorEastAsia"/>
          <w:sz w:val="22"/>
        </w:rPr>
        <w:t>争议解决期间，与争议无涉的其他合同条款应当继续履行。</w:t>
      </w:r>
    </w:p>
    <w:p>
      <w:pPr>
        <w:spacing w:line="340" w:lineRule="exact"/>
        <w:ind w:firstLine="440" w:firstLineChars="200"/>
        <w:rPr>
          <w:rFonts w:asciiTheme="minorEastAsia" w:hAnsiTheme="minorEastAsia" w:eastAsiaTheme="minorEastAsia"/>
          <w:sz w:val="22"/>
        </w:rPr>
      </w:pP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第四条：附则</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、本合同一式陆份，甲方执肆份，乙方执贰份，具有同等法律效力。</w:t>
      </w:r>
    </w:p>
    <w:p>
      <w:pPr>
        <w:spacing w:line="340" w:lineRule="exact"/>
        <w:ind w:firstLine="470"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、本合同自乙方缴纳履约保证金，且双方法定代表人或授权代表签字（包含签章）并加盖公章或者合同盖章之日起生效。</w:t>
      </w:r>
    </w:p>
    <w:p>
      <w:pPr>
        <w:spacing w:line="340" w:lineRule="exact"/>
        <w:ind w:firstLine="470" w:firstLineChars="214"/>
        <w:rPr>
          <w:rFonts w:asciiTheme="minorEastAsia" w:hAnsiTheme="minorEastAsia" w:eastAsiaTheme="minorEastAsia"/>
          <w:sz w:val="22"/>
        </w:rPr>
      </w:pP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甲方：杭州萧山国际机场有限公司                乙方：</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（盖章）                                   （盖章）</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法定代表人                                 法定代表人</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或授权代表                                 或授权代表</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（签字）：                                 （签字）：</w:t>
      </w:r>
    </w:p>
    <w:p>
      <w:pPr>
        <w:spacing w:line="340" w:lineRule="exact"/>
        <w:ind w:firstLine="470" w:firstLineChars="214"/>
        <w:rPr>
          <w:rFonts w:asciiTheme="minorEastAsia" w:hAnsiTheme="minorEastAsia" w:eastAsiaTheme="minorEastAsia"/>
          <w:sz w:val="22"/>
        </w:rPr>
      </w:pPr>
    </w:p>
    <w:p>
      <w:pPr>
        <w:pStyle w:val="19"/>
        <w:spacing w:line="340" w:lineRule="exact"/>
        <w:ind w:right="96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签字日期：                                签字日期：</w:t>
      </w:r>
    </w:p>
    <w:p>
      <w:pPr>
        <w:pStyle w:val="19"/>
        <w:spacing w:line="340" w:lineRule="exact"/>
        <w:ind w:right="960"/>
        <w:rPr>
          <w:rFonts w:asciiTheme="minorEastAsia" w:hAnsiTheme="minorEastAsia" w:eastAsiaTheme="minorEastAsia"/>
          <w:sz w:val="22"/>
          <w:szCs w:val="22"/>
        </w:rPr>
      </w:pPr>
      <w:r>
        <w:rPr>
          <w:rFonts w:hint="eastAsia" w:asciiTheme="minorEastAsia" w:hAnsiTheme="minorEastAsia" w:eastAsiaTheme="minorEastAsia"/>
          <w:sz w:val="22"/>
          <w:szCs w:val="22"/>
        </w:rPr>
        <w:t>附件：  现场复核考核办法</w:t>
      </w:r>
    </w:p>
    <w:p>
      <w:pPr>
        <w:spacing w:line="360" w:lineRule="exact"/>
        <w:ind w:firstLine="420" w:firstLineChars="200"/>
        <w:jc w:val="left"/>
        <w:rPr>
          <w:rFonts w:asciiTheme="minorEastAsia" w:hAnsiTheme="minorEastAsia"/>
          <w:bCs/>
          <w:kern w:val="0"/>
          <w:szCs w:val="21"/>
        </w:rPr>
      </w:pPr>
      <w:r>
        <w:rPr>
          <w:rFonts w:hint="eastAsia" w:asciiTheme="minorEastAsia" w:hAnsiTheme="minorEastAsia"/>
          <w:bCs/>
          <w:kern w:val="0"/>
          <w:szCs w:val="21"/>
        </w:rPr>
        <w:t>本项考核是指甲方根据招标文件、合同条款及乙方所提供复核服务的质量，对实际工作的改进提升作用，乙方投标文件中提供的服务承诺，对乙方的现场工作质量进行综合考核。考核为单次考核、续约考核。</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cstheme="minorEastAsia"/>
          <w:bCs/>
          <w:kern w:val="0"/>
          <w:sz w:val="22"/>
        </w:rPr>
        <w:t>1、单次考核：是指甲方通过对乙方所提供的复核服务工作质量进行考核打分，主要依据复核结果是否发现问题、是否有助于甲方实际工作的提升等进行考核。</w:t>
      </w:r>
      <w:r>
        <w:rPr>
          <w:rFonts w:hint="eastAsia" w:asciiTheme="minorEastAsia" w:hAnsiTheme="minorEastAsia" w:eastAsiaTheme="minorEastAsia"/>
          <w:sz w:val="22"/>
        </w:rPr>
        <w:t>考核分达到95分以上（含95分）为及格，甲方按合同所规定的付款方式支付给乙方复核服务费；如考核分在95分以下每减少</w:t>
      </w:r>
      <w:r>
        <w:rPr>
          <w:rFonts w:asciiTheme="minorEastAsia" w:hAnsiTheme="minorEastAsia" w:eastAsiaTheme="minorEastAsia"/>
          <w:sz w:val="22"/>
        </w:rPr>
        <w:t>1</w:t>
      </w:r>
      <w:r>
        <w:rPr>
          <w:rFonts w:hint="eastAsia" w:asciiTheme="minorEastAsia" w:hAnsiTheme="minorEastAsia" w:eastAsiaTheme="minorEastAsia"/>
          <w:sz w:val="22"/>
        </w:rPr>
        <w:t>分，减扣单次应付服务费的</w:t>
      </w:r>
      <w:r>
        <w:rPr>
          <w:rFonts w:asciiTheme="minorEastAsia" w:hAnsiTheme="minorEastAsia" w:eastAsiaTheme="minorEastAsia"/>
          <w:sz w:val="22"/>
        </w:rPr>
        <w:t>1%</w:t>
      </w:r>
      <w:r>
        <w:rPr>
          <w:rFonts w:hint="eastAsia" w:asciiTheme="minorEastAsia" w:hAnsiTheme="minorEastAsia" w:eastAsiaTheme="minorEastAsia"/>
          <w:sz w:val="22"/>
        </w:rPr>
        <w:t>。</w:t>
      </w:r>
    </w:p>
    <w:p>
      <w:pPr>
        <w:spacing w:line="340" w:lineRule="exact"/>
        <w:ind w:firstLine="470" w:firstLineChars="214"/>
        <w:rPr>
          <w:rFonts w:asciiTheme="minorEastAsia" w:hAnsiTheme="minorEastAsia" w:eastAsiaTheme="minorEastAsia"/>
          <w:sz w:val="22"/>
        </w:rPr>
      </w:pPr>
      <w:r>
        <w:rPr>
          <w:rFonts w:hint="eastAsia" w:asciiTheme="minorEastAsia" w:hAnsiTheme="minorEastAsia" w:eastAsiaTheme="minorEastAsia"/>
          <w:sz w:val="22"/>
        </w:rPr>
        <w:t>2、续约考核：若</w:t>
      </w:r>
      <w:r>
        <w:rPr>
          <w:rFonts w:hint="eastAsia" w:asciiTheme="minorEastAsia" w:hAnsiTheme="minorEastAsia" w:eastAsiaTheme="minorEastAsia"/>
          <w:color w:val="000000" w:themeColor="text1"/>
          <w:sz w:val="22"/>
          <w14:textFill>
            <w14:solidFill>
              <w14:schemeClr w14:val="tx1"/>
            </w14:solidFill>
          </w14:textFill>
        </w:rPr>
        <w:t>甲方在第一合同年度期限届满前1个月，甲方依据</w:t>
      </w:r>
      <w:r>
        <w:rPr>
          <w:rFonts w:hint="eastAsia" w:ascii="宋体" w:hAnsi="宋体"/>
          <w:color w:val="000000"/>
          <w:sz w:val="22"/>
        </w:rPr>
        <w:t>《考核办法》对乙方进行考核，若考核得分达95分（含），服务期限自动顺延1年，至2020年 月 日终止。如考核不合格，则本合同于[  ]年[  ]月[ ]日终止。</w:t>
      </w:r>
      <w:r>
        <w:rPr>
          <w:rFonts w:asciiTheme="minorEastAsia" w:hAnsiTheme="minorEastAsia" w:eastAsiaTheme="minorEastAsia"/>
          <w:sz w:val="22"/>
        </w:rPr>
        <w:t>乙方</w:t>
      </w:r>
      <w:r>
        <w:rPr>
          <w:rFonts w:hint="eastAsia" w:asciiTheme="minorEastAsia" w:hAnsiTheme="minorEastAsia" w:eastAsiaTheme="minorEastAsia"/>
          <w:sz w:val="22"/>
        </w:rPr>
        <w:t>在签订本合同之时即确认</w:t>
      </w:r>
      <w:r>
        <w:rPr>
          <w:rFonts w:asciiTheme="minorEastAsia" w:hAnsiTheme="minorEastAsia" w:eastAsiaTheme="minorEastAsia"/>
          <w:sz w:val="22"/>
        </w:rPr>
        <w:t>无条件接受考核结果且</w:t>
      </w:r>
      <w:r>
        <w:rPr>
          <w:rFonts w:hint="eastAsia" w:asciiTheme="minorEastAsia" w:hAnsiTheme="minorEastAsia" w:eastAsiaTheme="minorEastAsia"/>
          <w:sz w:val="22"/>
        </w:rPr>
        <w:t>放弃</w:t>
      </w:r>
      <w:r>
        <w:rPr>
          <w:rFonts w:asciiTheme="minorEastAsia" w:hAnsiTheme="minorEastAsia" w:eastAsiaTheme="minorEastAsia"/>
          <w:sz w:val="22"/>
        </w:rPr>
        <w:t>提出任何异议。</w:t>
      </w:r>
      <w:r>
        <w:rPr>
          <w:rFonts w:hint="eastAsia" w:asciiTheme="minorEastAsia" w:hAnsiTheme="minorEastAsia" w:eastAsiaTheme="minorEastAsia"/>
          <w:sz w:val="22"/>
        </w:rPr>
        <w:t>合同年度内如连续两次考核得分低于90分或一个合同年度内共计有三次考核得分低于90分，</w:t>
      </w:r>
      <w:r>
        <w:rPr>
          <w:rFonts w:asciiTheme="minorEastAsia" w:hAnsiTheme="minorEastAsia" w:eastAsiaTheme="minorEastAsia"/>
          <w:sz w:val="22"/>
        </w:rPr>
        <w:t>甲方有权提前</w:t>
      </w:r>
      <w:r>
        <w:rPr>
          <w:rFonts w:hint="eastAsia" w:asciiTheme="minorEastAsia" w:hAnsiTheme="minorEastAsia" w:eastAsiaTheme="minorEastAsia"/>
          <w:sz w:val="22"/>
        </w:rPr>
        <w:t>解除本合同</w:t>
      </w:r>
      <w:r>
        <w:rPr>
          <w:rFonts w:asciiTheme="minorEastAsia" w:hAnsiTheme="minorEastAsia" w:eastAsiaTheme="minorEastAsia"/>
          <w:sz w:val="22"/>
        </w:rPr>
        <w:t>，</w:t>
      </w:r>
      <w:r>
        <w:rPr>
          <w:rFonts w:hint="eastAsia" w:asciiTheme="minorEastAsia" w:hAnsiTheme="minorEastAsia" w:eastAsiaTheme="minorEastAsia"/>
          <w:sz w:val="22"/>
        </w:rPr>
        <w:t>且履约保证金不予返还，</w:t>
      </w:r>
      <w:r>
        <w:rPr>
          <w:rFonts w:asciiTheme="minorEastAsia" w:hAnsiTheme="minorEastAsia" w:eastAsiaTheme="minorEastAsia"/>
          <w:sz w:val="22"/>
        </w:rPr>
        <w:t>乙方无条件接受考核结果且不得提出任何异议，相关损失由乙方承担。</w:t>
      </w:r>
    </w:p>
    <w:p>
      <w:pPr>
        <w:spacing w:line="340" w:lineRule="exact"/>
        <w:ind w:firstLine="470" w:firstLineChars="214"/>
        <w:rPr>
          <w:rFonts w:asciiTheme="minorEastAsia" w:hAnsiTheme="minorEastAsia" w:eastAsiaTheme="minorEastAsia"/>
          <w:sz w:val="22"/>
        </w:rPr>
      </w:pPr>
    </w:p>
    <w:p>
      <w:pPr>
        <w:spacing w:line="360" w:lineRule="auto"/>
        <w:jc w:val="center"/>
        <w:rPr>
          <w:rFonts w:ascii="宋体" w:hAnsi="宋体" w:cs="宋体"/>
          <w:b/>
          <w:bCs/>
          <w:szCs w:val="21"/>
        </w:rPr>
      </w:pPr>
      <w:r>
        <w:rPr>
          <w:rFonts w:hint="eastAsia" w:ascii="宋体" w:hAnsi="宋体" w:cs="宋体"/>
          <w:b/>
          <w:bCs/>
          <w:szCs w:val="21"/>
        </w:rPr>
        <w:t>复核服务考核细则</w:t>
      </w:r>
    </w:p>
    <w:tbl>
      <w:tblPr>
        <w:tblStyle w:val="46"/>
        <w:tblW w:w="7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538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restart"/>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综合</w:t>
            </w: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1</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未能发现现场岗位员工不规范服务行为；</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2</w:t>
            </w:r>
          </w:p>
        </w:tc>
        <w:tc>
          <w:tcPr>
            <w:tcW w:w="5387" w:type="dxa"/>
            <w:vAlign w:val="center"/>
          </w:tcPr>
          <w:p>
            <w:pPr>
              <w:widowControl/>
              <w:spacing w:before="100" w:beforeAutospacing="1" w:after="100" w:afterAutospacing="1" w:line="360" w:lineRule="exact"/>
              <w:ind w:left="231" w:hanging="231" w:hangingChars="110"/>
              <w:jc w:val="left"/>
              <w:rPr>
                <w:rFonts w:ascii="宋体" w:hAnsi="宋体" w:cs="宋体"/>
                <w:bCs/>
                <w:kern w:val="0"/>
                <w:szCs w:val="21"/>
              </w:rPr>
            </w:pPr>
            <w:r>
              <w:rPr>
                <w:rFonts w:hint="eastAsia" w:ascii="宋体" w:hAnsi="宋体"/>
                <w:color w:val="000000"/>
                <w:szCs w:val="21"/>
              </w:rPr>
              <w:t>未按投标文件中对</w:t>
            </w:r>
            <w:r>
              <w:rPr>
                <w:rFonts w:hint="eastAsia" w:ascii="宋体" w:hAnsi="宋体" w:cs="宋体"/>
                <w:color w:val="000000"/>
                <w:szCs w:val="21"/>
              </w:rPr>
              <w:t>甲方承诺</w:t>
            </w:r>
            <w:r>
              <w:rPr>
                <w:rFonts w:hint="eastAsia" w:ascii="宋体" w:hAnsi="宋体"/>
                <w:bCs/>
                <w:color w:val="000000"/>
                <w:kern w:val="0"/>
                <w:szCs w:val="21"/>
              </w:rPr>
              <w:t>的服务质量及方案履行</w:t>
            </w:r>
          </w:p>
        </w:tc>
        <w:tc>
          <w:tcPr>
            <w:tcW w:w="1134" w:type="dxa"/>
            <w:vAlign w:val="center"/>
          </w:tcPr>
          <w:p>
            <w:pPr>
              <w:spacing w:line="240" w:lineRule="exact"/>
              <w:jc w:val="center"/>
              <w:rPr>
                <w:rFonts w:ascii="宋体" w:hAnsi="宋体" w:cs="Arial"/>
                <w:szCs w:val="21"/>
              </w:rPr>
            </w:pPr>
            <w:r>
              <w:rPr>
                <w:rFonts w:hint="eastAsia" w:ascii="宋体" w:hAnsi="宋体" w:cs="Arial"/>
                <w:b/>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3</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未对复核内容妥善保管、保存；</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4</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未能发现所复核内容中存在较大管理漏洞的</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5</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未能如实全程复核甲方提供内容，记录不完整、不清晰</w:t>
            </w:r>
          </w:p>
        </w:tc>
        <w:tc>
          <w:tcPr>
            <w:tcW w:w="1134" w:type="dxa"/>
            <w:vAlign w:val="center"/>
          </w:tcPr>
          <w:p>
            <w:pPr>
              <w:spacing w:line="240" w:lineRule="exact"/>
              <w:jc w:val="center"/>
              <w:rPr>
                <w:rFonts w:ascii="宋体" w:hAnsi="宋体" w:cs="Arial"/>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6</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kern w:val="0"/>
                <w:szCs w:val="21"/>
              </w:rPr>
              <w:t>工作效果影响停车场ASQ得分及各类检查评比活动结果</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7</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kern w:val="0"/>
                <w:szCs w:val="21"/>
              </w:rPr>
            </w:pPr>
            <w:r>
              <w:rPr>
                <w:rFonts w:hint="eastAsia" w:ascii="宋体" w:hAnsi="宋体" w:cs="宋体"/>
                <w:color w:val="000000"/>
                <w:kern w:val="0"/>
                <w:szCs w:val="21"/>
              </w:rPr>
              <w:t>未按规定时间提交相关报表或反馈整改情况</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8</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其它</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7763" w:type="dxa"/>
            <w:gridSpan w:val="4"/>
            <w:vAlign w:val="center"/>
          </w:tcPr>
          <w:p>
            <w:pPr>
              <w:spacing w:line="240" w:lineRule="exact"/>
              <w:rPr>
                <w:rFonts w:ascii="宋体" w:hAnsi="宋体" w:cs="Arial"/>
                <w:b/>
                <w:szCs w:val="21"/>
              </w:rPr>
            </w:pPr>
            <w:r>
              <w:rPr>
                <w:rFonts w:hint="eastAsia" w:ascii="宋体"/>
                <w:szCs w:val="21"/>
              </w:rPr>
              <w:t>总分100分，表中扣分标准为每次/项的分值。</w:t>
            </w:r>
          </w:p>
        </w:tc>
      </w:tr>
    </w:tbl>
    <w:p>
      <w:pPr>
        <w:spacing w:line="340" w:lineRule="exact"/>
        <w:rPr>
          <w:rFonts w:asciiTheme="minorEastAsia" w:hAnsiTheme="minorEastAsia" w:eastAsiaTheme="minorEastAsia"/>
          <w:sz w:val="22"/>
        </w:rPr>
      </w:pPr>
    </w:p>
    <w:tbl>
      <w:tblPr>
        <w:tblStyle w:val="47"/>
        <w:tblpPr w:leftFromText="180" w:rightFromText="180" w:vertAnchor="text" w:tblpX="12777" w:tblpY="-12006"/>
        <w:tblOverlap w:val="never"/>
        <w:tblW w:w="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690" w:type="dxa"/>
          </w:tcPr>
          <w:p>
            <w:pPr>
              <w:spacing w:line="340" w:lineRule="exact"/>
              <w:rPr>
                <w:rFonts w:asciiTheme="minorEastAsia" w:hAnsiTheme="minorEastAsia" w:eastAsiaTheme="minorEastAsia"/>
                <w:sz w:val="22"/>
              </w:rPr>
            </w:pPr>
          </w:p>
        </w:tc>
      </w:tr>
    </w:tbl>
    <w:p>
      <w:pPr>
        <w:spacing w:line="340" w:lineRule="exact"/>
        <w:rPr>
          <w:rFonts w:asciiTheme="minorEastAsia" w:hAnsiTheme="minorEastAsia" w:eastAsiaTheme="minorEastAsia"/>
          <w:sz w:val="22"/>
        </w:rPr>
      </w:pPr>
    </w:p>
    <w:p>
      <w:pPr>
        <w:pStyle w:val="19"/>
        <w:spacing w:line="340" w:lineRule="exact"/>
        <w:ind w:right="960"/>
        <w:rPr>
          <w:rFonts w:asciiTheme="minorEastAsia" w:hAnsiTheme="minorEastAsia" w:eastAsiaTheme="minorEastAsia" w:cstheme="minorEastAsia"/>
          <w:sz w:val="22"/>
          <w:szCs w:val="22"/>
        </w:rPr>
      </w:pPr>
    </w:p>
    <w:p>
      <w:pPr>
        <w:pStyle w:val="19"/>
        <w:spacing w:line="340" w:lineRule="exact"/>
        <w:ind w:right="960"/>
        <w:rPr>
          <w:rFonts w:asciiTheme="minorEastAsia" w:hAnsiTheme="minorEastAsia" w:eastAsiaTheme="minorEastAsia" w:cstheme="minorEastAsia"/>
          <w:sz w:val="22"/>
          <w:szCs w:val="22"/>
        </w:rPr>
      </w:pPr>
    </w:p>
    <w:p>
      <w:pPr>
        <w:pStyle w:val="19"/>
        <w:spacing w:line="340" w:lineRule="exact"/>
        <w:ind w:right="960"/>
        <w:rPr>
          <w:rFonts w:asciiTheme="minorEastAsia" w:hAnsiTheme="minorEastAsia" w:eastAsiaTheme="minorEastAsia"/>
          <w:sz w:val="22"/>
          <w:szCs w:val="22"/>
        </w:rPr>
      </w:pPr>
    </w:p>
    <w:p>
      <w:pPr>
        <w:pStyle w:val="19"/>
        <w:spacing w:line="340" w:lineRule="exact"/>
        <w:ind w:right="960"/>
        <w:rPr>
          <w:rFonts w:asciiTheme="minorEastAsia" w:hAnsiTheme="minorEastAsia" w:eastAsiaTheme="minorEastAsia"/>
          <w:sz w:val="22"/>
          <w:szCs w:val="22"/>
        </w:rPr>
      </w:pPr>
    </w:p>
    <w:p>
      <w:pPr>
        <w:pStyle w:val="19"/>
        <w:spacing w:line="340" w:lineRule="exact"/>
        <w:ind w:right="960"/>
        <w:rPr>
          <w:rFonts w:asciiTheme="minorEastAsia" w:hAnsiTheme="minorEastAsia" w:eastAsiaTheme="minorEastAsia"/>
          <w:sz w:val="22"/>
          <w:szCs w:val="22"/>
        </w:rPr>
      </w:pPr>
    </w:p>
    <w:p>
      <w:pPr>
        <w:spacing w:line="360" w:lineRule="auto"/>
        <w:ind w:firstLine="449" w:firstLineChars="214"/>
        <w:rPr>
          <w:szCs w:val="21"/>
        </w:r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lang w:val="en-US" w:eastAsia="zh-CN"/>
        </w:rPr>
        <w:t xml:space="preserve"> </w:t>
      </w:r>
      <w:r>
        <w:rPr>
          <w:rFonts w:ascii="Calibri" w:hAnsi="Calibri" w:eastAsia="黑体" w:cs="Calibri"/>
          <w:kern w:val="0"/>
          <w:sz w:val="32"/>
        </w:rPr>
        <w:t>评标方法及标准</w:t>
      </w:r>
      <w:bookmarkEnd w:id="114"/>
    </w:p>
    <w:p>
      <w:pPr>
        <w:pStyle w:val="19"/>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1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1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w:t>
      </w:r>
      <w:r>
        <w:rPr>
          <w:rFonts w:hint="eastAsia" w:hAnsi="宋体"/>
          <w:strike w:val="0"/>
          <w:sz w:val="22"/>
          <w:szCs w:val="22"/>
        </w:rPr>
        <w:t>与次低价的算数平均值</w:t>
      </w:r>
      <w:r>
        <w:rPr>
          <w:rFonts w:hint="eastAsia" w:hAnsi="宋体"/>
          <w:sz w:val="22"/>
          <w:szCs w:val="22"/>
        </w:rPr>
        <w:t>作为评标基准价。</w:t>
      </w:r>
      <w:r>
        <w:rPr>
          <w:rFonts w:hint="eastAsia" w:hAnsi="宋体"/>
          <w:strike w:val="0"/>
          <w:sz w:val="22"/>
          <w:szCs w:val="22"/>
        </w:rPr>
        <w:t>有效投标报价的数量小于4个，则评标基准价为所有有效投标报价的算数平均值与最低价的算数平均值</w:t>
      </w:r>
      <w:r>
        <w:rPr>
          <w:rFonts w:hint="eastAsia" w:hAnsi="宋体"/>
          <w:sz w:val="22"/>
          <w:szCs w:val="22"/>
        </w:rPr>
        <w:t>。</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0</w:t>
      </w:r>
      <w:r>
        <w:rPr>
          <w:rFonts w:hint="eastAsia" w:hAnsi="宋体" w:cs="Calibri"/>
          <w:sz w:val="22"/>
          <w:szCs w:val="22"/>
        </w:rPr>
        <w:t>-40分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19"/>
        <w:adjustRightInd w:val="0"/>
        <w:snapToGrid w:val="0"/>
        <w:spacing w:line="360" w:lineRule="exact"/>
        <w:ind w:firstLine="440" w:firstLineChars="200"/>
        <w:rPr>
          <w:rFonts w:hAnsi="宋体" w:cs="Calibri"/>
          <w:sz w:val="22"/>
          <w:szCs w:val="22"/>
        </w:rPr>
      </w:pP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19"/>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19"/>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w:t>
            </w:r>
            <w:r>
              <w:rPr>
                <w:rFonts w:hint="eastAsia" w:ascii="宋体" w:hAnsi="宋体"/>
                <w:szCs w:val="21"/>
                <w:lang w:eastAsia="zh-CN"/>
              </w:rPr>
              <w:t>注册资金、财务状况等</w:t>
            </w:r>
            <w:r>
              <w:rPr>
                <w:rFonts w:hint="eastAsia" w:ascii="宋体" w:hAnsi="宋体"/>
                <w:szCs w:val="21"/>
              </w:rPr>
              <w:t>相关业绩情况，横向对比后评分。原件备查。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eastAsiaTheme="minorEastAsia"/>
                <w:color w:val="000000"/>
                <w:sz w:val="22"/>
              </w:rPr>
              <w:t>实施本项目的管理方案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复核记录反馈设计完整性、详细性、科学性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w:t>
            </w:r>
            <w:r>
              <w:rPr>
                <w:rFonts w:hint="eastAsia" w:ascii="宋体" w:hAnsi="宋体"/>
                <w:szCs w:val="21"/>
                <w:lang w:eastAsia="zh-CN"/>
              </w:rPr>
              <w:t>、保密</w:t>
            </w:r>
            <w:r>
              <w:rPr>
                <w:rFonts w:hint="eastAsia" w:ascii="宋体" w:hAnsi="宋体"/>
                <w:szCs w:val="21"/>
              </w:rPr>
              <w:t>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hint="eastAsia" w:ascii="宋体" w:hAnsi="宋体"/>
                <w:szCs w:val="21"/>
              </w:rPr>
            </w:pPr>
          </w:p>
        </w:tc>
        <w:tc>
          <w:tcPr>
            <w:tcW w:w="2410" w:type="dxa"/>
            <w:vAlign w:val="center"/>
          </w:tcPr>
          <w:p>
            <w:pPr>
              <w:widowControl/>
              <w:snapToGrid w:val="0"/>
              <w:spacing w:line="360" w:lineRule="exact"/>
              <w:jc w:val="center"/>
              <w:rPr>
                <w:rFonts w:hint="eastAsia" w:ascii="宋体" w:hAnsi="宋体" w:cs="宋体"/>
                <w:kern w:val="0"/>
                <w:szCs w:val="21"/>
              </w:rPr>
            </w:pPr>
          </w:p>
        </w:tc>
      </w:tr>
    </w:tbl>
    <w:p>
      <w:pPr>
        <w:pStyle w:val="19"/>
        <w:spacing w:line="360" w:lineRule="exact"/>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lang w:eastAsia="zh-CN"/>
        </w:rPr>
        <w:t>六</w:t>
      </w:r>
      <w:r>
        <w:rPr>
          <w:rFonts w:ascii="Calibri" w:hAnsi="Calibri" w:eastAsia="黑体" w:cs="Calibri"/>
          <w:kern w:val="0"/>
          <w:sz w:val="32"/>
        </w:rPr>
        <w:t>章</w:t>
      </w:r>
      <w:r>
        <w:rPr>
          <w:rFonts w:hint="eastAsia" w:ascii="Calibri" w:hAnsi="Calibri" w:eastAsia="黑体" w:cs="Calibri"/>
          <w:kern w:val="0"/>
          <w:sz w:val="32"/>
          <w:lang w:val="en-US" w:eastAsia="zh-CN"/>
        </w:rPr>
        <w:t xml:space="preserve"> </w:t>
      </w:r>
      <w:r>
        <w:rPr>
          <w:rFonts w:ascii="Calibri" w:hAnsi="Calibri" w:eastAsia="黑体" w:cs="Calibri"/>
          <w:kern w:val="0"/>
          <w:sz w:val="32"/>
        </w:rPr>
        <w:t>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1、根据已收到的招标文件，遵照《中华人民共和国招标投标法》等有关规定，经考察现场和研究上述招标文件后，我方愿以投标</w:t>
      </w:r>
      <w:r>
        <w:rPr>
          <w:rFonts w:hint="eastAsia" w:cs="Calibri" w:asciiTheme="minorEastAsia" w:hAnsiTheme="minorEastAsia" w:eastAsiaTheme="minorEastAsia"/>
          <w:color w:val="FF0000"/>
          <w:sz w:val="24"/>
        </w:rPr>
        <w:t>单</w:t>
      </w:r>
      <w:r>
        <w:rPr>
          <w:rFonts w:cs="Calibri" w:asciiTheme="minorEastAsia" w:hAnsiTheme="minorEastAsia" w:eastAsiaTheme="minorEastAsia"/>
          <w:color w:val="FF0000"/>
          <w:sz w:val="24"/>
        </w:rPr>
        <w:t>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(大写)：元（RMB元）报价并按上述招标文件要求承揽上述项目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p>
    <w:p>
      <w:pPr>
        <w:spacing w:after="120" w:afterLines="50" w:line="440" w:lineRule="exact"/>
        <w:rPr>
          <w:rFonts w:cs="Calibri"/>
          <w:color w:val="000000"/>
          <w:szCs w:val="21"/>
          <w:u w:val="single"/>
        </w:rPr>
      </w:pPr>
      <w:r>
        <w:rPr>
          <w:rFonts w:cs="Calibri"/>
          <w:color w:val="000000"/>
          <w:szCs w:val="21"/>
        </w:rPr>
        <w:t>单位性质：</w:t>
      </w:r>
    </w:p>
    <w:p>
      <w:pPr>
        <w:spacing w:after="120" w:afterLines="50" w:line="440" w:lineRule="exact"/>
        <w:rPr>
          <w:rFonts w:cs="Calibri"/>
          <w:color w:val="000000"/>
          <w:szCs w:val="21"/>
          <w:u w:val="single"/>
        </w:rPr>
      </w:pPr>
      <w:r>
        <w:rPr>
          <w:rFonts w:cs="Calibri"/>
          <w:color w:val="000000"/>
          <w:szCs w:val="21"/>
        </w:rPr>
        <w:t>地址：</w:t>
      </w:r>
    </w:p>
    <w:p>
      <w:pPr>
        <w:spacing w:after="120" w:afterLines="50" w:line="440" w:lineRule="exact"/>
        <w:rPr>
          <w:rFonts w:cs="Calibri"/>
          <w:color w:val="000000"/>
          <w:szCs w:val="21"/>
          <w:u w:val="single"/>
        </w:rPr>
      </w:pPr>
      <w:r>
        <w:rPr>
          <w:rFonts w:cs="Calibri"/>
          <w:color w:val="000000"/>
          <w:szCs w:val="21"/>
        </w:rPr>
        <w:t>成立时间：年月日</w:t>
      </w:r>
    </w:p>
    <w:p>
      <w:pPr>
        <w:spacing w:after="120" w:afterLines="50" w:line="440" w:lineRule="exact"/>
        <w:rPr>
          <w:rFonts w:cs="Calibri"/>
          <w:color w:val="000000"/>
          <w:szCs w:val="21"/>
          <w:u w:val="single"/>
        </w:rPr>
      </w:pPr>
      <w:r>
        <w:rPr>
          <w:rFonts w:cs="Calibri"/>
          <w:color w:val="000000"/>
          <w:szCs w:val="21"/>
        </w:rPr>
        <w:t>经营期限：</w:t>
      </w:r>
    </w:p>
    <w:p>
      <w:pPr>
        <w:spacing w:after="120" w:afterLines="50" w:line="440" w:lineRule="exact"/>
        <w:rPr>
          <w:rFonts w:cs="Calibri"/>
          <w:color w:val="000000"/>
          <w:szCs w:val="21"/>
          <w:u w:val="single"/>
        </w:rPr>
      </w:pPr>
      <w:r>
        <w:rPr>
          <w:rFonts w:cs="Calibri"/>
          <w:color w:val="000000"/>
          <w:szCs w:val="21"/>
        </w:rPr>
        <w:t>姓名：性别：年龄：职务：</w:t>
      </w:r>
    </w:p>
    <w:p>
      <w:pPr>
        <w:spacing w:after="120" w:afterLines="50" w:line="440" w:lineRule="exact"/>
        <w:rPr>
          <w:rFonts w:cs="Calibri"/>
          <w:color w:val="000000"/>
          <w:szCs w:val="21"/>
          <w:u w:val="single"/>
        </w:rPr>
      </w:pPr>
      <w:r>
        <w:rPr>
          <w:rFonts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r>
              <w:rPr>
                <w:rFonts w:hint="eastAsia" w:cs="Calibri"/>
                <w:color w:val="FF0000"/>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监控复核费用单价</w:t>
            </w:r>
          </w:p>
        </w:tc>
        <w:tc>
          <w:tcPr>
            <w:tcW w:w="4536" w:type="dxa"/>
            <w:tcBorders>
              <w:left w:val="single" w:color="auto" w:sz="4" w:space="0"/>
            </w:tcBorders>
            <w:vAlign w:val="center"/>
          </w:tcPr>
          <w:p>
            <w:pPr>
              <w:jc w:val="center"/>
              <w:rPr>
                <w:rFonts w:cs="Calibri"/>
                <w:bCs/>
                <w:szCs w:val="21"/>
              </w:rPr>
            </w:pPr>
            <w:r>
              <w:rPr>
                <w:rFonts w:hint="eastAsia" w:cs="Calibri"/>
                <w:bCs/>
                <w:szCs w:val="21"/>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3"/>
            <w:vAlign w:val="center"/>
          </w:tcPr>
          <w:p>
            <w:pPr>
              <w:adjustRightInd w:val="0"/>
              <w:snapToGrid w:val="0"/>
              <w:jc w:val="left"/>
              <w:rPr>
                <w:rFonts w:ascii="宋体" w:hAnsi="宋体"/>
                <w:b/>
                <w:szCs w:val="21"/>
              </w:rPr>
            </w:pPr>
            <w:r>
              <w:rPr>
                <w:rFonts w:hint="eastAsia" w:cs="Calibri"/>
                <w:b/>
                <w:szCs w:val="21"/>
              </w:rPr>
              <w:t>备注：1、请各投标人按照</w:t>
            </w:r>
            <w:r>
              <w:rPr>
                <w:rFonts w:hint="eastAsia" w:cs="Calibri"/>
                <w:b/>
                <w:szCs w:val="21"/>
                <w:lang w:eastAsia="zh-CN"/>
              </w:rPr>
              <w:t>本表进行单价</w:t>
            </w:r>
            <w:r>
              <w:rPr>
                <w:rFonts w:hint="eastAsia" w:cs="Calibri"/>
                <w:b/>
                <w:szCs w:val="21"/>
              </w:rPr>
              <w:t>报价，</w:t>
            </w:r>
            <w:r>
              <w:rPr>
                <w:rFonts w:hint="eastAsia" w:ascii="宋体" w:hAnsi="宋体"/>
                <w:b/>
                <w:szCs w:val="21"/>
              </w:rPr>
              <w:t>实际</w:t>
            </w:r>
            <w:r>
              <w:rPr>
                <w:rFonts w:hint="eastAsia" w:ascii="宋体" w:hAnsi="宋体"/>
                <w:b/>
                <w:szCs w:val="21"/>
                <w:lang w:eastAsia="zh-CN"/>
              </w:rPr>
              <w:t>按服务时间据</w:t>
            </w:r>
            <w:r>
              <w:rPr>
                <w:rFonts w:hint="eastAsia" w:ascii="宋体" w:hAnsi="宋体"/>
                <w:b/>
                <w:szCs w:val="21"/>
              </w:rPr>
              <w:t>实结算。</w:t>
            </w:r>
          </w:p>
          <w:p>
            <w:pPr>
              <w:widowControl/>
              <w:tabs>
                <w:tab w:val="left" w:pos="284"/>
              </w:tabs>
              <w:adjustRightInd/>
              <w:snapToGrid/>
              <w:jc w:val="both"/>
              <w:rPr>
                <w:rFonts w:ascii="宋体" w:hAnsi="宋体"/>
                <w:b/>
                <w:szCs w:val="21"/>
              </w:rPr>
            </w:pPr>
            <w:r>
              <w:rPr>
                <w:rFonts w:hint="eastAsia" w:ascii="宋体" w:hAnsi="宋体"/>
                <w:b/>
                <w:szCs w:val="21"/>
              </w:rPr>
              <w:t>2、</w:t>
            </w:r>
            <w:r>
              <w:rPr>
                <w:rFonts w:hint="eastAsia" w:ascii="宋体" w:hAnsi="宋体"/>
                <w:b/>
                <w:szCs w:val="21"/>
                <w:lang w:eastAsia="zh-CN"/>
              </w:rPr>
              <w:t>本项目年度复核时间不少于</w:t>
            </w:r>
            <w:r>
              <w:rPr>
                <w:rFonts w:hint="eastAsia" w:ascii="宋体" w:hAnsi="宋体"/>
                <w:b/>
                <w:szCs w:val="21"/>
                <w:lang w:val="en-US" w:eastAsia="zh-CN"/>
              </w:rPr>
              <w:t>700小时，</w:t>
            </w:r>
            <w:r>
              <w:rPr>
                <w:rFonts w:ascii="宋体" w:hAnsi="宋体"/>
                <w:b/>
                <w:szCs w:val="21"/>
              </w:rPr>
              <w:t>本报价单价作为商务评标依据。</w:t>
            </w:r>
          </w:p>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2"/>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4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5"/>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both"/>
    </w:pPr>
    <w:r>
      <w:rPr>
        <w:rFonts w:hint="eastAsia"/>
      </w:rPr>
      <w:t>杭州萧山国际机场</w:t>
    </w:r>
    <w:r>
      <w:rPr>
        <w:rFonts w:hint="eastAsia" w:asciiTheme="minorEastAsia" w:hAnsiTheme="minorEastAsia" w:eastAsiaTheme="minorEastAsia" w:cstheme="minorEastAsia"/>
        <w:b/>
        <w:sz w:val="21"/>
        <w:szCs w:val="21"/>
      </w:rPr>
      <w:t>场区管理中心现场服务岗位监控复核项目</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31"/>
    <w:rsid w:val="00014A41"/>
    <w:rsid w:val="00032AE7"/>
    <w:rsid w:val="00054BA8"/>
    <w:rsid w:val="00083998"/>
    <w:rsid w:val="000A5055"/>
    <w:rsid w:val="000A7D3C"/>
    <w:rsid w:val="000B65E3"/>
    <w:rsid w:val="000D2991"/>
    <w:rsid w:val="000E6F09"/>
    <w:rsid w:val="000F424B"/>
    <w:rsid w:val="000F6D2B"/>
    <w:rsid w:val="00112398"/>
    <w:rsid w:val="00160D3E"/>
    <w:rsid w:val="00175CE1"/>
    <w:rsid w:val="0017705A"/>
    <w:rsid w:val="00191182"/>
    <w:rsid w:val="001953D7"/>
    <w:rsid w:val="001B6993"/>
    <w:rsid w:val="00235211"/>
    <w:rsid w:val="00240577"/>
    <w:rsid w:val="00262931"/>
    <w:rsid w:val="002923E5"/>
    <w:rsid w:val="0029688C"/>
    <w:rsid w:val="002A4593"/>
    <w:rsid w:val="00322053"/>
    <w:rsid w:val="00343046"/>
    <w:rsid w:val="003452BC"/>
    <w:rsid w:val="00360221"/>
    <w:rsid w:val="00363BD3"/>
    <w:rsid w:val="003A1D91"/>
    <w:rsid w:val="003B54EE"/>
    <w:rsid w:val="003C686D"/>
    <w:rsid w:val="003D75CB"/>
    <w:rsid w:val="003E581E"/>
    <w:rsid w:val="00444CD0"/>
    <w:rsid w:val="00450901"/>
    <w:rsid w:val="00454703"/>
    <w:rsid w:val="0047086F"/>
    <w:rsid w:val="004A76E7"/>
    <w:rsid w:val="004C1164"/>
    <w:rsid w:val="004F0C19"/>
    <w:rsid w:val="004F2693"/>
    <w:rsid w:val="0050601A"/>
    <w:rsid w:val="0054747C"/>
    <w:rsid w:val="005714F5"/>
    <w:rsid w:val="00574FA8"/>
    <w:rsid w:val="005E5C1F"/>
    <w:rsid w:val="006040B9"/>
    <w:rsid w:val="00611F49"/>
    <w:rsid w:val="00631B6C"/>
    <w:rsid w:val="00675583"/>
    <w:rsid w:val="00683C07"/>
    <w:rsid w:val="0069025B"/>
    <w:rsid w:val="00695C5A"/>
    <w:rsid w:val="00697CD5"/>
    <w:rsid w:val="006C2DDA"/>
    <w:rsid w:val="006D6914"/>
    <w:rsid w:val="006E40ED"/>
    <w:rsid w:val="006F0A51"/>
    <w:rsid w:val="007329DB"/>
    <w:rsid w:val="00733C0A"/>
    <w:rsid w:val="00735422"/>
    <w:rsid w:val="00742504"/>
    <w:rsid w:val="007551D4"/>
    <w:rsid w:val="00773274"/>
    <w:rsid w:val="007836C1"/>
    <w:rsid w:val="00796B89"/>
    <w:rsid w:val="007C22F5"/>
    <w:rsid w:val="008170D0"/>
    <w:rsid w:val="008243A2"/>
    <w:rsid w:val="0086238C"/>
    <w:rsid w:val="00872C20"/>
    <w:rsid w:val="008872C8"/>
    <w:rsid w:val="008A1096"/>
    <w:rsid w:val="008A26D8"/>
    <w:rsid w:val="008B43CD"/>
    <w:rsid w:val="008D7D30"/>
    <w:rsid w:val="009062C6"/>
    <w:rsid w:val="0091212D"/>
    <w:rsid w:val="00925B09"/>
    <w:rsid w:val="009263ED"/>
    <w:rsid w:val="00926FFE"/>
    <w:rsid w:val="009413A1"/>
    <w:rsid w:val="0094606B"/>
    <w:rsid w:val="00953F65"/>
    <w:rsid w:val="0099013C"/>
    <w:rsid w:val="00992F3B"/>
    <w:rsid w:val="00997E81"/>
    <w:rsid w:val="009A1F0D"/>
    <w:rsid w:val="009B1643"/>
    <w:rsid w:val="009D0030"/>
    <w:rsid w:val="009E1CF2"/>
    <w:rsid w:val="009F3AB2"/>
    <w:rsid w:val="00A20254"/>
    <w:rsid w:val="00A2314E"/>
    <w:rsid w:val="00A33C75"/>
    <w:rsid w:val="00A52F4B"/>
    <w:rsid w:val="00A65350"/>
    <w:rsid w:val="00AB7C27"/>
    <w:rsid w:val="00AC0461"/>
    <w:rsid w:val="00AD5994"/>
    <w:rsid w:val="00B070AA"/>
    <w:rsid w:val="00B1319B"/>
    <w:rsid w:val="00B3507F"/>
    <w:rsid w:val="00B512D6"/>
    <w:rsid w:val="00BA6EE7"/>
    <w:rsid w:val="00BB2D18"/>
    <w:rsid w:val="00BC0E7C"/>
    <w:rsid w:val="00BF639E"/>
    <w:rsid w:val="00C12871"/>
    <w:rsid w:val="00C159D6"/>
    <w:rsid w:val="00C20A43"/>
    <w:rsid w:val="00C27329"/>
    <w:rsid w:val="00C661A6"/>
    <w:rsid w:val="00C71A8F"/>
    <w:rsid w:val="00C73031"/>
    <w:rsid w:val="00C9340D"/>
    <w:rsid w:val="00CD3551"/>
    <w:rsid w:val="00CD5A61"/>
    <w:rsid w:val="00CF2FE2"/>
    <w:rsid w:val="00D105E4"/>
    <w:rsid w:val="00D12CA3"/>
    <w:rsid w:val="00D57159"/>
    <w:rsid w:val="00D6013E"/>
    <w:rsid w:val="00D62F33"/>
    <w:rsid w:val="00D77753"/>
    <w:rsid w:val="00D947BF"/>
    <w:rsid w:val="00DC16DD"/>
    <w:rsid w:val="00DE13FB"/>
    <w:rsid w:val="00DF259D"/>
    <w:rsid w:val="00E02892"/>
    <w:rsid w:val="00E050E2"/>
    <w:rsid w:val="00E377B2"/>
    <w:rsid w:val="00E4672B"/>
    <w:rsid w:val="00E57BC4"/>
    <w:rsid w:val="00E63D9C"/>
    <w:rsid w:val="00E94136"/>
    <w:rsid w:val="00EA5BC9"/>
    <w:rsid w:val="00ED0393"/>
    <w:rsid w:val="00ED57DE"/>
    <w:rsid w:val="00ED618A"/>
    <w:rsid w:val="00EE0652"/>
    <w:rsid w:val="00F425C6"/>
    <w:rsid w:val="00F83D27"/>
    <w:rsid w:val="00FA4609"/>
    <w:rsid w:val="00FB0206"/>
    <w:rsid w:val="00FB2B25"/>
    <w:rsid w:val="015E4C90"/>
    <w:rsid w:val="04865AFC"/>
    <w:rsid w:val="08FE558D"/>
    <w:rsid w:val="18173E4A"/>
    <w:rsid w:val="1C1B1ADD"/>
    <w:rsid w:val="202F6546"/>
    <w:rsid w:val="26F30475"/>
    <w:rsid w:val="2B2244F8"/>
    <w:rsid w:val="2B6C493E"/>
    <w:rsid w:val="366B0FD6"/>
    <w:rsid w:val="37C2118A"/>
    <w:rsid w:val="3AEB241C"/>
    <w:rsid w:val="3CAD5C7F"/>
    <w:rsid w:val="409F3DD3"/>
    <w:rsid w:val="4A7F6735"/>
    <w:rsid w:val="4CC230F3"/>
    <w:rsid w:val="4D117955"/>
    <w:rsid w:val="508C296D"/>
    <w:rsid w:val="515B534C"/>
    <w:rsid w:val="53DD3D84"/>
    <w:rsid w:val="57007A29"/>
    <w:rsid w:val="597817F7"/>
    <w:rsid w:val="5CDA47EE"/>
    <w:rsid w:val="5D95702A"/>
    <w:rsid w:val="62D5558B"/>
    <w:rsid w:val="65D110D3"/>
    <w:rsid w:val="702654EF"/>
    <w:rsid w:val="752A7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toc 7"/>
    <w:basedOn w:val="1"/>
    <w:next w:val="1"/>
    <w:qFormat/>
    <w:uiPriority w:val="0"/>
    <w:pPr>
      <w:ind w:left="2520"/>
    </w:pPr>
    <w:rPr>
      <w:rFonts w:ascii="Times New Roman" w:hAnsi="Times New Roman"/>
      <w:szCs w:val="24"/>
    </w:rPr>
  </w:style>
  <w:style w:type="paragraph" w:styleId="9">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75"/>
    <w:qFormat/>
    <w:uiPriority w:val="0"/>
    <w:pPr>
      <w:shd w:val="clear" w:color="auto" w:fill="000080"/>
    </w:pPr>
    <w:rPr>
      <w:rFonts w:ascii="Times New Roman" w:hAnsi="Times New Roman"/>
      <w:kern w:val="0"/>
      <w:sz w:val="20"/>
      <w:szCs w:val="24"/>
    </w:rPr>
  </w:style>
  <w:style w:type="paragraph" w:styleId="12">
    <w:name w:val="toa heading"/>
    <w:basedOn w:val="1"/>
    <w:next w:val="1"/>
    <w:qFormat/>
    <w:uiPriority w:val="0"/>
    <w:pPr>
      <w:spacing w:before="120"/>
    </w:pPr>
    <w:rPr>
      <w:rFonts w:ascii="Arial" w:hAnsi="Arial" w:cs="Arial"/>
      <w:sz w:val="24"/>
      <w:szCs w:val="24"/>
    </w:rPr>
  </w:style>
  <w:style w:type="paragraph" w:styleId="13">
    <w:name w:val="annotation text"/>
    <w:basedOn w:val="1"/>
    <w:link w:val="137"/>
    <w:unhideWhenUsed/>
    <w:qFormat/>
    <w:uiPriority w:val="99"/>
    <w:pPr>
      <w:jc w:val="left"/>
    </w:pPr>
  </w:style>
  <w:style w:type="paragraph" w:styleId="14">
    <w:name w:val="Body Text"/>
    <w:basedOn w:val="1"/>
    <w:link w:val="106"/>
    <w:unhideWhenUsed/>
    <w:qFormat/>
    <w:uiPriority w:val="0"/>
    <w:pPr>
      <w:spacing w:after="120"/>
    </w:pPr>
    <w:rPr>
      <w:kern w:val="0"/>
      <w:sz w:val="20"/>
      <w:szCs w:val="20"/>
    </w:rPr>
  </w:style>
  <w:style w:type="paragraph" w:styleId="15">
    <w:name w:val="Body Text Indent"/>
    <w:basedOn w:val="1"/>
    <w:link w:val="69"/>
    <w:unhideWhenUsed/>
    <w:qFormat/>
    <w:uiPriority w:val="0"/>
    <w:pPr>
      <w:spacing w:after="120"/>
      <w:ind w:left="420" w:leftChars="200"/>
    </w:pPr>
    <w:rPr>
      <w:kern w:val="0"/>
      <w:sz w:val="20"/>
      <w:szCs w:val="20"/>
    </w:rPr>
  </w:style>
  <w:style w:type="paragraph" w:styleId="16">
    <w:name w:val="List 2"/>
    <w:basedOn w:val="1"/>
    <w:qFormat/>
    <w:uiPriority w:val="0"/>
    <w:pPr>
      <w:ind w:left="100" w:leftChars="200" w:hanging="200" w:hangingChars="200"/>
    </w:pPr>
    <w:rPr>
      <w:rFonts w:ascii="Times New Roman" w:hAnsi="Times New Roman"/>
      <w:szCs w:val="24"/>
    </w:rPr>
  </w:style>
  <w:style w:type="paragraph" w:styleId="17">
    <w:name w:val="toc 5"/>
    <w:basedOn w:val="1"/>
    <w:next w:val="1"/>
    <w:qFormat/>
    <w:uiPriority w:val="0"/>
    <w:pPr>
      <w:ind w:left="1680"/>
    </w:pPr>
    <w:rPr>
      <w:rFonts w:ascii="Times New Roman" w:hAnsi="Times New Roman"/>
      <w:szCs w:val="24"/>
    </w:rPr>
  </w:style>
  <w:style w:type="paragraph" w:styleId="18">
    <w:name w:val="toc 3"/>
    <w:basedOn w:val="1"/>
    <w:next w:val="1"/>
    <w:qFormat/>
    <w:uiPriority w:val="39"/>
    <w:pPr>
      <w:spacing w:line="360" w:lineRule="auto"/>
      <w:ind w:left="400" w:leftChars="400"/>
    </w:pPr>
    <w:rPr>
      <w:rFonts w:ascii="Times New Roman" w:hAnsi="Times New Roman"/>
      <w:szCs w:val="24"/>
    </w:rPr>
  </w:style>
  <w:style w:type="paragraph" w:styleId="19">
    <w:name w:val="Plain Text"/>
    <w:basedOn w:val="1"/>
    <w:link w:val="114"/>
    <w:qFormat/>
    <w:uiPriority w:val="0"/>
    <w:rPr>
      <w:rFonts w:ascii="宋体" w:hAnsi="Courier New"/>
      <w:kern w:val="0"/>
      <w:sz w:val="20"/>
      <w:szCs w:val="21"/>
    </w:rPr>
  </w:style>
  <w:style w:type="paragraph" w:styleId="20">
    <w:name w:val="toc 8"/>
    <w:basedOn w:val="1"/>
    <w:next w:val="1"/>
    <w:qFormat/>
    <w:uiPriority w:val="0"/>
    <w:pPr>
      <w:ind w:left="2940"/>
    </w:pPr>
    <w:rPr>
      <w:rFonts w:ascii="Times New Roman" w:hAnsi="Times New Roman"/>
      <w:szCs w:val="24"/>
    </w:rPr>
  </w:style>
  <w:style w:type="paragraph" w:styleId="21">
    <w:name w:val="index 3"/>
    <w:basedOn w:val="1"/>
    <w:next w:val="1"/>
    <w:qFormat/>
    <w:uiPriority w:val="0"/>
    <w:pPr>
      <w:ind w:left="400" w:leftChars="400"/>
    </w:pPr>
    <w:rPr>
      <w:rFonts w:ascii="Times New Roman" w:hAnsi="Times New Roman"/>
      <w:szCs w:val="24"/>
    </w:rPr>
  </w:style>
  <w:style w:type="paragraph" w:styleId="22">
    <w:name w:val="Date"/>
    <w:basedOn w:val="1"/>
    <w:next w:val="1"/>
    <w:link w:val="77"/>
    <w:qFormat/>
    <w:uiPriority w:val="0"/>
    <w:pPr>
      <w:ind w:left="100" w:leftChars="2500"/>
    </w:pPr>
    <w:rPr>
      <w:rFonts w:ascii="Times New Roman" w:hAnsi="Times New Roman"/>
      <w:b/>
      <w:bCs/>
      <w:kern w:val="0"/>
      <w:sz w:val="36"/>
      <w:szCs w:val="24"/>
    </w:rPr>
  </w:style>
  <w:style w:type="paragraph" w:styleId="23">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4">
    <w:name w:val="Balloon Text"/>
    <w:basedOn w:val="1"/>
    <w:link w:val="110"/>
    <w:qFormat/>
    <w:uiPriority w:val="0"/>
    <w:rPr>
      <w:rFonts w:ascii="Times New Roman" w:hAnsi="Times New Roman"/>
      <w:kern w:val="0"/>
      <w:sz w:val="18"/>
      <w:szCs w:val="18"/>
    </w:rPr>
  </w:style>
  <w:style w:type="paragraph" w:styleId="25">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6">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7">
    <w:name w:val="toc 1"/>
    <w:basedOn w:val="2"/>
    <w:next w:val="1"/>
    <w:qFormat/>
    <w:uiPriority w:val="39"/>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szCs w:val="24"/>
    </w:rPr>
  </w:style>
  <w:style w:type="paragraph" w:styleId="29">
    <w:name w:val="List"/>
    <w:basedOn w:val="1"/>
    <w:qFormat/>
    <w:uiPriority w:val="0"/>
    <w:pPr>
      <w:ind w:left="200" w:hanging="200" w:hangingChars="200"/>
    </w:pPr>
    <w:rPr>
      <w:rFonts w:ascii="Times New Roman" w:hAnsi="Times New Roman"/>
      <w:szCs w:val="24"/>
    </w:rPr>
  </w:style>
  <w:style w:type="paragraph" w:styleId="30">
    <w:name w:val="footnote text"/>
    <w:basedOn w:val="1"/>
    <w:link w:val="112"/>
    <w:qFormat/>
    <w:uiPriority w:val="0"/>
    <w:pPr>
      <w:snapToGrid w:val="0"/>
      <w:jc w:val="left"/>
    </w:pPr>
    <w:rPr>
      <w:rFonts w:ascii="Times New Roman" w:hAnsi="Times New Roman"/>
      <w:kern w:val="0"/>
      <w:sz w:val="18"/>
      <w:szCs w:val="18"/>
    </w:rPr>
  </w:style>
  <w:style w:type="paragraph" w:styleId="31">
    <w:name w:val="toc 6"/>
    <w:basedOn w:val="1"/>
    <w:next w:val="1"/>
    <w:qFormat/>
    <w:uiPriority w:val="0"/>
    <w:pPr>
      <w:ind w:left="2100"/>
    </w:pPr>
    <w:rPr>
      <w:rFonts w:ascii="Times New Roman" w:hAnsi="Times New Roman"/>
      <w:szCs w:val="24"/>
    </w:rPr>
  </w:style>
  <w:style w:type="paragraph" w:styleId="32">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szCs w:val="24"/>
    </w:rPr>
  </w:style>
  <w:style w:type="paragraph" w:styleId="34">
    <w:name w:val="toc 2"/>
    <w:basedOn w:val="1"/>
    <w:next w:val="1"/>
    <w:qFormat/>
    <w:uiPriority w:val="39"/>
    <w:pPr>
      <w:spacing w:line="360" w:lineRule="auto"/>
      <w:ind w:left="200" w:leftChars="200"/>
    </w:pPr>
    <w:rPr>
      <w:rFonts w:ascii="Times New Roman" w:hAnsi="Times New Roman"/>
      <w:szCs w:val="24"/>
    </w:rPr>
  </w:style>
  <w:style w:type="paragraph" w:styleId="35">
    <w:name w:val="toc 9"/>
    <w:basedOn w:val="1"/>
    <w:next w:val="1"/>
    <w:qFormat/>
    <w:uiPriority w:val="0"/>
    <w:pPr>
      <w:ind w:left="3360"/>
    </w:pPr>
    <w:rPr>
      <w:rFonts w:ascii="Times New Roman" w:hAnsi="Times New Roman"/>
      <w:szCs w:val="24"/>
    </w:rPr>
  </w:style>
  <w:style w:type="paragraph" w:styleId="36">
    <w:name w:val="Body Text 2"/>
    <w:basedOn w:val="1"/>
    <w:link w:val="119"/>
    <w:qFormat/>
    <w:uiPriority w:val="0"/>
    <w:pPr>
      <w:spacing w:after="120" w:line="480" w:lineRule="auto"/>
    </w:pPr>
    <w:rPr>
      <w:rFonts w:ascii="Times New Roman" w:hAnsi="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szCs w:val="24"/>
    </w:rPr>
  </w:style>
  <w:style w:type="paragraph" w:styleId="38">
    <w:name w:val="List Continue 2"/>
    <w:basedOn w:val="1"/>
    <w:qFormat/>
    <w:uiPriority w:val="0"/>
    <w:pPr>
      <w:spacing w:after="120"/>
      <w:ind w:left="840" w:leftChars="400"/>
    </w:pPr>
    <w:rPr>
      <w:rFonts w:ascii="Times New Roman" w:hAnsi="Times New Roman"/>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szCs w:val="24"/>
    </w:rPr>
  </w:style>
  <w:style w:type="paragraph" w:styleId="42">
    <w:name w:val="Title"/>
    <w:basedOn w:val="1"/>
    <w:link w:val="79"/>
    <w:qFormat/>
    <w:uiPriority w:val="0"/>
    <w:pPr>
      <w:spacing w:before="240" w:after="60"/>
      <w:jc w:val="center"/>
      <w:outlineLvl w:val="0"/>
    </w:pPr>
    <w:rPr>
      <w:rFonts w:ascii="Arial" w:hAnsi="Arial"/>
      <w:b/>
      <w:bCs/>
      <w:kern w:val="0"/>
      <w:sz w:val="32"/>
      <w:szCs w:val="32"/>
    </w:rPr>
  </w:style>
  <w:style w:type="paragraph" w:styleId="43">
    <w:name w:val="annotation subject"/>
    <w:basedOn w:val="13"/>
    <w:next w:val="13"/>
    <w:link w:val="136"/>
    <w:semiHidden/>
    <w:qFormat/>
    <w:uiPriority w:val="0"/>
    <w:rPr>
      <w:rFonts w:ascii="Times New Roman" w:hAnsi="Times New Roman"/>
      <w:b/>
      <w:bCs/>
      <w:kern w:val="0"/>
      <w:sz w:val="20"/>
      <w:szCs w:val="24"/>
    </w:rPr>
  </w:style>
  <w:style w:type="paragraph" w:styleId="44">
    <w:name w:val="Body Text First Indent"/>
    <w:basedOn w:val="14"/>
    <w:link w:val="108"/>
    <w:qFormat/>
    <w:uiPriority w:val="0"/>
    <w:pPr>
      <w:ind w:firstLine="420" w:firstLineChars="100"/>
    </w:pPr>
    <w:rPr>
      <w:rFonts w:ascii="Times New Roman" w:hAnsi="Times New Roman"/>
      <w:szCs w:val="24"/>
    </w:rPr>
  </w:style>
  <w:style w:type="paragraph" w:styleId="45">
    <w:name w:val="Body Text First Indent 2"/>
    <w:basedOn w:val="15"/>
    <w:link w:val="71"/>
    <w:qFormat/>
    <w:uiPriority w:val="0"/>
    <w:pPr>
      <w:ind w:firstLine="420" w:firstLineChars="200"/>
    </w:pPr>
    <w:rPr>
      <w:rFonts w:ascii="Times New Roman" w:hAnsi="Times New Roman"/>
      <w:szCs w:val="24"/>
    </w:rPr>
  </w:style>
  <w:style w:type="table" w:styleId="47">
    <w:name w:val="Table Grid"/>
    <w:basedOn w:val="4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1 字符"/>
    <w:qFormat/>
    <w:uiPriority w:val="9"/>
    <w:rPr>
      <w:b/>
      <w:bCs/>
      <w:kern w:val="44"/>
      <w:sz w:val="44"/>
      <w:szCs w:val="44"/>
    </w:rPr>
  </w:style>
  <w:style w:type="character" w:customStyle="1" w:styleId="56">
    <w:name w:val="标题 2 字符"/>
    <w:semiHidden/>
    <w:qFormat/>
    <w:uiPriority w:val="9"/>
    <w:rPr>
      <w:rFonts w:ascii="Calibri Light" w:hAnsi="Calibri Light" w:eastAsia="宋体" w:cs="Times New Roman"/>
      <w:b/>
      <w:bCs/>
      <w:sz w:val="32"/>
      <w:szCs w:val="32"/>
    </w:rPr>
  </w:style>
  <w:style w:type="character" w:customStyle="1" w:styleId="57">
    <w:name w:val="标题 3 字符"/>
    <w:semiHidden/>
    <w:qFormat/>
    <w:uiPriority w:val="9"/>
    <w:rPr>
      <w:b/>
      <w:bCs/>
      <w:sz w:val="32"/>
      <w:szCs w:val="32"/>
    </w:rPr>
  </w:style>
  <w:style w:type="character" w:customStyle="1" w:styleId="58">
    <w:name w:val="标题 4 字符"/>
    <w:semiHidden/>
    <w:qFormat/>
    <w:uiPriority w:val="9"/>
    <w:rPr>
      <w:rFonts w:ascii="Calibri Light" w:hAnsi="Calibri Light" w:eastAsia="宋体" w:cs="Times New Roman"/>
      <w:b/>
      <w:bCs/>
      <w:sz w:val="28"/>
      <w:szCs w:val="28"/>
    </w:rPr>
  </w:style>
  <w:style w:type="character" w:customStyle="1" w:styleId="59">
    <w:name w:val="标题 5 字符"/>
    <w:semiHidden/>
    <w:qFormat/>
    <w:uiPriority w:val="9"/>
    <w:rPr>
      <w:b/>
      <w:bCs/>
      <w:sz w:val="28"/>
      <w:szCs w:val="28"/>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1"/>
    <w:link w:val="3"/>
    <w:qFormat/>
    <w:uiPriority w:val="0"/>
    <w:rPr>
      <w:rFonts w:ascii="Arial" w:hAnsi="Arial" w:eastAsia="黑体" w:cs="Times New Roman"/>
      <w:b/>
      <w:bCs/>
      <w:kern w:val="0"/>
      <w:sz w:val="32"/>
      <w:szCs w:val="32"/>
    </w:rPr>
  </w:style>
  <w:style w:type="character" w:customStyle="1" w:styleId="62">
    <w:name w:val="标题 3 字符1"/>
    <w:link w:val="4"/>
    <w:qFormat/>
    <w:uiPriority w:val="0"/>
    <w:rPr>
      <w:rFonts w:ascii="Times New Roman" w:hAnsi="Times New Roman" w:eastAsia="楷体_GB2312" w:cs="Times New Roman"/>
      <w:kern w:val="0"/>
      <w:sz w:val="28"/>
      <w:szCs w:val="20"/>
    </w:rPr>
  </w:style>
  <w:style w:type="character" w:customStyle="1" w:styleId="63">
    <w:name w:val="标题 4 字符1"/>
    <w:link w:val="5"/>
    <w:qFormat/>
    <w:uiPriority w:val="0"/>
    <w:rPr>
      <w:rFonts w:ascii="Arial" w:hAnsi="Arial" w:eastAsia="黑体" w:cs="Times New Roman"/>
      <w:b/>
      <w:bCs/>
      <w:kern w:val="0"/>
      <w:sz w:val="28"/>
      <w:szCs w:val="28"/>
    </w:rPr>
  </w:style>
  <w:style w:type="character" w:customStyle="1" w:styleId="64">
    <w:name w:val="标题 5 字符1"/>
    <w:link w:val="6"/>
    <w:qFormat/>
    <w:uiPriority w:val="0"/>
    <w:rPr>
      <w:rFonts w:ascii="Times New Roman" w:hAnsi="Times New Roman" w:eastAsia="宋体" w:cs="Times New Roman"/>
      <w:b/>
      <w:bCs/>
      <w:kern w:val="0"/>
      <w:sz w:val="28"/>
      <w:szCs w:val="28"/>
    </w:rPr>
  </w:style>
  <w:style w:type="character" w:customStyle="1" w:styleId="65">
    <w:name w:val="zbggmain style9"/>
    <w:qFormat/>
    <w:uiPriority w:val="0"/>
  </w:style>
  <w:style w:type="character" w:customStyle="1" w:styleId="66">
    <w:name w:val="正文文本缩进 3 字符"/>
    <w:semiHidden/>
    <w:qFormat/>
    <w:uiPriority w:val="99"/>
    <w:rPr>
      <w:sz w:val="16"/>
      <w:szCs w:val="16"/>
    </w:rPr>
  </w:style>
  <w:style w:type="character" w:customStyle="1" w:styleId="67">
    <w:name w:val="正文文本缩进 3 字符1"/>
    <w:link w:val="32"/>
    <w:qFormat/>
    <w:uiPriority w:val="0"/>
    <w:rPr>
      <w:rFonts w:ascii="Times New Roman" w:hAnsi="Times New Roman" w:eastAsia="宋体" w:cs="Times New Roman"/>
      <w:kern w:val="0"/>
      <w:sz w:val="24"/>
      <w:szCs w:val="24"/>
    </w:rPr>
  </w:style>
  <w:style w:type="character" w:customStyle="1" w:styleId="68">
    <w:name w:val="正文文本缩进 字符"/>
    <w:basedOn w:val="48"/>
    <w:semiHidden/>
    <w:qFormat/>
    <w:uiPriority w:val="99"/>
  </w:style>
  <w:style w:type="character" w:customStyle="1" w:styleId="69">
    <w:name w:val="正文文本缩进 字符1"/>
    <w:link w:val="15"/>
    <w:qFormat/>
    <w:uiPriority w:val="0"/>
    <w:rPr>
      <w:rFonts w:ascii="Calibri" w:hAnsi="Calibri" w:eastAsia="宋体" w:cs="Times New Roman"/>
    </w:rPr>
  </w:style>
  <w:style w:type="character" w:customStyle="1" w:styleId="70">
    <w:name w:val="正文首行缩进 2 字符"/>
    <w:basedOn w:val="68"/>
    <w:semiHidden/>
    <w:qFormat/>
    <w:uiPriority w:val="99"/>
  </w:style>
  <w:style w:type="character" w:customStyle="1" w:styleId="71">
    <w:name w:val="正文文本首行缩进 2 字符"/>
    <w:link w:val="45"/>
    <w:qFormat/>
    <w:uiPriority w:val="0"/>
    <w:rPr>
      <w:rFonts w:ascii="Times New Roman" w:hAnsi="Times New Roman" w:eastAsia="宋体" w:cs="Times New Roman"/>
      <w:kern w:val="0"/>
      <w:sz w:val="20"/>
      <w:szCs w:val="24"/>
    </w:rPr>
  </w:style>
  <w:style w:type="character" w:customStyle="1" w:styleId="72">
    <w:name w:val="页眉 字符"/>
    <w:semiHidden/>
    <w:qFormat/>
    <w:uiPriority w:val="99"/>
    <w:rPr>
      <w:sz w:val="18"/>
      <w:szCs w:val="18"/>
    </w:rPr>
  </w:style>
  <w:style w:type="character" w:customStyle="1" w:styleId="73">
    <w:name w:val="页眉 字符1"/>
    <w:link w:val="26"/>
    <w:qFormat/>
    <w:uiPriority w:val="99"/>
    <w:rPr>
      <w:rFonts w:ascii="Times New Roman" w:hAnsi="Times New Roman" w:eastAsia="宋体" w:cs="Times New Roman"/>
      <w:kern w:val="0"/>
      <w:sz w:val="18"/>
      <w:szCs w:val="18"/>
    </w:rPr>
  </w:style>
  <w:style w:type="character" w:customStyle="1" w:styleId="74">
    <w:name w:val="文档结构图 字符"/>
    <w:semiHidden/>
    <w:qFormat/>
    <w:uiPriority w:val="99"/>
    <w:rPr>
      <w:rFonts w:ascii="Microsoft YaHei UI" w:eastAsia="Microsoft YaHei UI"/>
      <w:sz w:val="18"/>
      <w:szCs w:val="18"/>
    </w:rPr>
  </w:style>
  <w:style w:type="character" w:customStyle="1" w:styleId="75">
    <w:name w:val="文档结构图 字符1"/>
    <w:link w:val="11"/>
    <w:qFormat/>
    <w:uiPriority w:val="0"/>
    <w:rPr>
      <w:rFonts w:ascii="Times New Roman" w:hAnsi="Times New Roman" w:eastAsia="宋体" w:cs="Times New Roman"/>
      <w:kern w:val="0"/>
      <w:sz w:val="20"/>
      <w:szCs w:val="24"/>
      <w:shd w:val="clear" w:color="auto" w:fill="000080"/>
    </w:rPr>
  </w:style>
  <w:style w:type="character" w:customStyle="1" w:styleId="76">
    <w:name w:val="日期 字符"/>
    <w:basedOn w:val="48"/>
    <w:semiHidden/>
    <w:qFormat/>
    <w:uiPriority w:val="99"/>
  </w:style>
  <w:style w:type="character" w:customStyle="1" w:styleId="77">
    <w:name w:val="日期 字符1"/>
    <w:link w:val="22"/>
    <w:qFormat/>
    <w:uiPriority w:val="0"/>
    <w:rPr>
      <w:rFonts w:ascii="Times New Roman" w:hAnsi="Times New Roman" w:eastAsia="宋体" w:cs="Times New Roman"/>
      <w:b/>
      <w:bCs/>
      <w:kern w:val="0"/>
      <w:sz w:val="36"/>
      <w:szCs w:val="24"/>
    </w:rPr>
  </w:style>
  <w:style w:type="character" w:customStyle="1" w:styleId="78">
    <w:name w:val="标题 字符"/>
    <w:qFormat/>
    <w:uiPriority w:val="10"/>
    <w:rPr>
      <w:rFonts w:ascii="Calibri Light" w:hAnsi="Calibri Light" w:eastAsia="宋体" w:cs="Times New Roman"/>
      <w:b/>
      <w:bCs/>
      <w:sz w:val="32"/>
      <w:szCs w:val="32"/>
    </w:rPr>
  </w:style>
  <w:style w:type="character" w:customStyle="1" w:styleId="79">
    <w:name w:val="标题 字符1"/>
    <w:link w:val="42"/>
    <w:qFormat/>
    <w:uiPriority w:val="0"/>
    <w:rPr>
      <w:rFonts w:ascii="Arial" w:hAnsi="Arial" w:eastAsia="宋体" w:cs="Times New Roman"/>
      <w:b/>
      <w:bCs/>
      <w:kern w:val="0"/>
      <w:sz w:val="32"/>
      <w:szCs w:val="32"/>
    </w:rPr>
  </w:style>
  <w:style w:type="paragraph" w:customStyle="1" w:styleId="80">
    <w:name w:val="样式2"/>
    <w:basedOn w:val="33"/>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cs="Arial"/>
      <w:vanish/>
      <w:sz w:val="16"/>
      <w:szCs w:val="16"/>
    </w:rPr>
  </w:style>
  <w:style w:type="character" w:customStyle="1" w:styleId="89">
    <w:name w:val="z-窗体顶端 Char"/>
    <w:link w:val="87"/>
    <w:qFormat/>
    <w:uiPriority w:val="0"/>
    <w:rPr>
      <w:rFonts w:ascii="Arial" w:hAnsi="Arial" w:eastAsia="宋体" w:cs="Times New Roman"/>
      <w:vanish/>
      <w:kern w:val="0"/>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cs="Arial"/>
      <w:vanish/>
      <w:sz w:val="16"/>
      <w:szCs w:val="16"/>
    </w:rPr>
  </w:style>
  <w:style w:type="character" w:customStyle="1" w:styleId="104">
    <w:name w:val="z-窗体底端 Char"/>
    <w:link w:val="102"/>
    <w:qFormat/>
    <w:uiPriority w:val="0"/>
    <w:rPr>
      <w:rFonts w:ascii="Arial" w:hAnsi="Arial" w:eastAsia="宋体" w:cs="Times New Roman"/>
      <w:vanish/>
      <w:kern w:val="0"/>
      <w:sz w:val="16"/>
      <w:szCs w:val="16"/>
    </w:rPr>
  </w:style>
  <w:style w:type="character" w:customStyle="1" w:styleId="105">
    <w:name w:val="正文文本 字符"/>
    <w:basedOn w:val="48"/>
    <w:semiHidden/>
    <w:qFormat/>
    <w:uiPriority w:val="99"/>
  </w:style>
  <w:style w:type="character" w:customStyle="1" w:styleId="106">
    <w:name w:val="正文文本 字符1"/>
    <w:link w:val="14"/>
    <w:qFormat/>
    <w:uiPriority w:val="0"/>
    <w:rPr>
      <w:rFonts w:ascii="Calibri" w:hAnsi="Calibri" w:eastAsia="宋体" w:cs="Times New Roman"/>
    </w:rPr>
  </w:style>
  <w:style w:type="character" w:customStyle="1" w:styleId="107">
    <w:name w:val="正文首行缩进 字符"/>
    <w:basedOn w:val="105"/>
    <w:semiHidden/>
    <w:qFormat/>
    <w:uiPriority w:val="99"/>
  </w:style>
  <w:style w:type="character" w:customStyle="1" w:styleId="108">
    <w:name w:val="正文文本首行缩进 字符"/>
    <w:link w:val="44"/>
    <w:qFormat/>
    <w:uiPriority w:val="0"/>
    <w:rPr>
      <w:rFonts w:ascii="Times New Roman" w:hAnsi="Times New Roman" w:eastAsia="宋体" w:cs="Times New Roman"/>
      <w:kern w:val="0"/>
      <w:sz w:val="20"/>
      <w:szCs w:val="24"/>
    </w:rPr>
  </w:style>
  <w:style w:type="character" w:customStyle="1" w:styleId="109">
    <w:name w:val="批注框文本 字符"/>
    <w:semiHidden/>
    <w:qFormat/>
    <w:uiPriority w:val="99"/>
    <w:rPr>
      <w:sz w:val="18"/>
      <w:szCs w:val="18"/>
    </w:rPr>
  </w:style>
  <w:style w:type="character" w:customStyle="1" w:styleId="110">
    <w:name w:val="批注框文本 字符1"/>
    <w:link w:val="24"/>
    <w:qFormat/>
    <w:uiPriority w:val="0"/>
    <w:rPr>
      <w:rFonts w:ascii="Times New Roman" w:hAnsi="Times New Roman" w:eastAsia="宋体" w:cs="Times New Roman"/>
      <w:kern w:val="0"/>
      <w:sz w:val="18"/>
      <w:szCs w:val="18"/>
    </w:rPr>
  </w:style>
  <w:style w:type="character" w:customStyle="1" w:styleId="111">
    <w:name w:val="脚注文本 字符"/>
    <w:semiHidden/>
    <w:qFormat/>
    <w:uiPriority w:val="99"/>
    <w:rPr>
      <w:sz w:val="18"/>
      <w:szCs w:val="18"/>
    </w:rPr>
  </w:style>
  <w:style w:type="character" w:customStyle="1" w:styleId="112">
    <w:name w:val="脚注文本 字符1"/>
    <w:link w:val="30"/>
    <w:qFormat/>
    <w:uiPriority w:val="0"/>
    <w:rPr>
      <w:rFonts w:ascii="Times New Roman" w:hAnsi="Times New Roman" w:eastAsia="宋体" w:cs="Times New Roman"/>
      <w:kern w:val="0"/>
      <w:sz w:val="18"/>
      <w:szCs w:val="18"/>
    </w:rPr>
  </w:style>
  <w:style w:type="character" w:customStyle="1" w:styleId="113">
    <w:name w:val="纯文本 字符"/>
    <w:semiHidden/>
    <w:qFormat/>
    <w:uiPriority w:val="99"/>
    <w:rPr>
      <w:rFonts w:ascii="宋体" w:hAnsi="Courier New" w:cs="Courier New"/>
    </w:rPr>
  </w:style>
  <w:style w:type="character" w:customStyle="1" w:styleId="114">
    <w:name w:val="纯文本 字符1"/>
    <w:link w:val="19"/>
    <w:qFormat/>
    <w:uiPriority w:val="0"/>
    <w:rPr>
      <w:rFonts w:ascii="宋体" w:hAnsi="Courier New" w:eastAsia="宋体" w:cs="Times New Roman"/>
      <w:kern w:val="0"/>
      <w:sz w:val="20"/>
      <w:szCs w:val="21"/>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8"/>
    <w:semiHidden/>
    <w:qFormat/>
    <w:uiPriority w:val="99"/>
  </w:style>
  <w:style w:type="character" w:customStyle="1" w:styleId="119">
    <w:name w:val="正文文本 2 字符1"/>
    <w:link w:val="36"/>
    <w:qFormat/>
    <w:uiPriority w:val="0"/>
    <w:rPr>
      <w:rFonts w:ascii="Times New Roman" w:hAnsi="Times New Roman" w:eastAsia="宋体" w:cs="Times New Roman"/>
      <w:kern w:val="0"/>
      <w:sz w:val="20"/>
      <w:szCs w:val="24"/>
    </w:rPr>
  </w:style>
  <w:style w:type="character" w:customStyle="1" w:styleId="120">
    <w:name w:val="正文文本缩进 2 字符"/>
    <w:basedOn w:val="48"/>
    <w:semiHidden/>
    <w:qFormat/>
    <w:uiPriority w:val="99"/>
  </w:style>
  <w:style w:type="character" w:customStyle="1" w:styleId="121">
    <w:name w:val="正文文本缩进 2 字符1"/>
    <w:link w:val="23"/>
    <w:qFormat/>
    <w:uiPriority w:val="0"/>
    <w:rPr>
      <w:rFonts w:ascii="Times New Roman" w:hAnsi="Times New Roman" w:eastAsia="宋体" w:cs="Times New Roman"/>
      <w:kern w:val="0"/>
      <w:sz w:val="20"/>
      <w:szCs w:val="24"/>
    </w:rPr>
  </w:style>
  <w:style w:type="character" w:customStyle="1" w:styleId="122">
    <w:name w:val="页脚 字符"/>
    <w:semiHidden/>
    <w:qFormat/>
    <w:uiPriority w:val="99"/>
    <w:rPr>
      <w:sz w:val="18"/>
      <w:szCs w:val="18"/>
    </w:rPr>
  </w:style>
  <w:style w:type="character" w:customStyle="1" w:styleId="123">
    <w:name w:val="页脚 字符1"/>
    <w:link w:val="25"/>
    <w:qFormat/>
    <w:uiPriority w:val="99"/>
    <w:rPr>
      <w:rFonts w:ascii="Times New Roman" w:hAnsi="Times New Roman" w:eastAsia="宋体" w:cs="Times New Roman"/>
      <w:kern w:val="0"/>
      <w:sz w:val="18"/>
      <w:szCs w:val="18"/>
    </w:rPr>
  </w:style>
  <w:style w:type="paragraph" w:customStyle="1" w:styleId="124">
    <w:name w:val="列表段落1"/>
    <w:basedOn w:val="1"/>
    <w:qFormat/>
    <w:uiPriority w:val="99"/>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sz w:val="24"/>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2"/>
    <w:qFormat/>
    <w:uiPriority w:val="0"/>
    <w:pPr>
      <w:snapToGrid w:val="0"/>
      <w:spacing w:before="0" w:after="0" w:line="360" w:lineRule="auto"/>
    </w:pPr>
    <w:rPr>
      <w:sz w:val="32"/>
    </w:rPr>
  </w:style>
  <w:style w:type="paragraph" w:customStyle="1" w:styleId="130">
    <w:name w:val="列出段落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9"/>
    <w:qFormat/>
    <w:uiPriority w:val="0"/>
    <w:rPr>
      <w:rFonts w:ascii="宋体" w:hAnsi="Times New Roman"/>
      <w:sz w:val="34"/>
    </w:rPr>
  </w:style>
  <w:style w:type="character" w:customStyle="1" w:styleId="136">
    <w:name w:val="批注主题 字符"/>
    <w:basedOn w:val="137"/>
    <w:link w:val="43"/>
    <w:semiHidden/>
    <w:qFormat/>
    <w:uiPriority w:val="0"/>
    <w:rPr>
      <w:rFonts w:ascii="Times New Roman" w:hAnsi="Times New Roman"/>
      <w:b/>
      <w:bCs/>
      <w:kern w:val="2"/>
      <w:sz w:val="21"/>
      <w:szCs w:val="24"/>
    </w:rPr>
  </w:style>
  <w:style w:type="character" w:customStyle="1" w:styleId="137">
    <w:name w:val="批注文字 字符"/>
    <w:basedOn w:val="48"/>
    <w:link w:val="13"/>
    <w:semiHidden/>
    <w:qFormat/>
    <w:uiPriority w:val="99"/>
    <w:rPr>
      <w:kern w:val="2"/>
      <w:sz w:val="21"/>
      <w:szCs w:val="22"/>
    </w:rPr>
  </w:style>
  <w:style w:type="character" w:customStyle="1" w:styleId="138">
    <w:name w:val="批注主题 Char1"/>
    <w:basedOn w:val="13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3184</Words>
  <Characters>18155</Characters>
  <Lines>151</Lines>
  <Paragraphs>42</Paragraphs>
  <TotalTime>0</TotalTime>
  <ScaleCrop>false</ScaleCrop>
  <LinksUpToDate>false</LinksUpToDate>
  <CharactersWithSpaces>21297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2019-08-16T05:23:50Z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