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eastAsia="黑体" w:cs="Calibri"/>
          <w:b/>
          <w:sz w:val="44"/>
          <w:szCs w:val="44"/>
        </w:rPr>
      </w:pPr>
      <w:bookmarkStart w:id="0" w:name="_Toc143421653"/>
      <w:bookmarkStart w:id="1" w:name="_Toc128451845"/>
      <w:bookmarkStart w:id="2" w:name="_Toc140045840"/>
    </w:p>
    <w:p>
      <w:pPr>
        <w:autoSpaceDE w:val="0"/>
        <w:autoSpaceDN w:val="0"/>
        <w:adjustRightInd w:val="0"/>
        <w:jc w:val="center"/>
        <w:rPr>
          <w:rFonts w:eastAsia="黑体" w:cs="Calibri"/>
          <w:b/>
          <w:sz w:val="44"/>
          <w:szCs w:val="44"/>
        </w:rPr>
      </w:pPr>
      <w:r>
        <w:rPr>
          <w:rFonts w:hint="eastAsia" w:eastAsia="黑体" w:cs="Calibri"/>
          <w:b/>
          <w:sz w:val="44"/>
          <w:szCs w:val="44"/>
        </w:rPr>
        <w:t>杭州萧山国际机场室内移动会议系统</w:t>
      </w:r>
    </w:p>
    <w:p>
      <w:pPr>
        <w:autoSpaceDE w:val="0"/>
        <w:autoSpaceDN w:val="0"/>
        <w:adjustRightInd w:val="0"/>
        <w:jc w:val="center"/>
        <w:rPr>
          <w:rFonts w:hint="eastAsia" w:eastAsia="黑体" w:cs="Calibri"/>
          <w:b/>
          <w:sz w:val="44"/>
          <w:szCs w:val="44"/>
        </w:rPr>
      </w:pPr>
      <w:r>
        <w:rPr>
          <w:rFonts w:hint="eastAsia" w:eastAsia="黑体" w:cs="Calibri"/>
          <w:b/>
          <w:sz w:val="44"/>
          <w:szCs w:val="44"/>
        </w:rPr>
        <w:t>采购项目</w:t>
      </w:r>
    </w:p>
    <w:p>
      <w:pPr>
        <w:autoSpaceDE w:val="0"/>
        <w:autoSpaceDN w:val="0"/>
        <w:adjustRightInd w:val="0"/>
        <w:jc w:val="center"/>
        <w:rPr>
          <w:rFonts w:hint="default" w:eastAsia="黑体" w:cs="Calibri"/>
          <w:b/>
          <w:sz w:val="44"/>
          <w:szCs w:val="44"/>
          <w:lang w:val="en-US" w:eastAsia="zh-CN"/>
        </w:rPr>
      </w:pPr>
      <w:r>
        <w:rPr>
          <w:rFonts w:hint="eastAsia" w:eastAsia="黑体" w:cs="Calibri"/>
          <w:b/>
          <w:sz w:val="44"/>
          <w:szCs w:val="44"/>
          <w:lang w:val="en-US" w:eastAsia="zh-CN"/>
        </w:rPr>
        <w:t>（重新招标）</w:t>
      </w:r>
    </w:p>
    <w:p>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bookmarkStart w:id="67" w:name="_GoBack"/>
      <w:bookmarkEnd w:id="67"/>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19"/>
        <w:spacing w:line="480" w:lineRule="auto"/>
        <w:jc w:val="center"/>
        <w:rPr>
          <w:rFonts w:ascii="Calibri" w:hAnsi="Calibri" w:eastAsia="隶书" w:cs="Calibri"/>
          <w:sz w:val="32"/>
        </w:rPr>
      </w:pPr>
    </w:p>
    <w:p>
      <w:pPr>
        <w:pStyle w:val="19"/>
        <w:spacing w:line="480" w:lineRule="auto"/>
        <w:jc w:val="center"/>
        <w:rPr>
          <w:rFonts w:ascii="Calibri" w:hAnsi="Calibri" w:eastAsia="隶书" w:cs="Calibri"/>
          <w:sz w:val="32"/>
        </w:rPr>
      </w:pPr>
    </w:p>
    <w:p>
      <w:pPr>
        <w:pStyle w:val="19"/>
        <w:spacing w:line="480" w:lineRule="auto"/>
        <w:rPr>
          <w:rFonts w:ascii="Calibri" w:hAnsi="Calibri" w:eastAsia="隶书" w:cs="Calibri"/>
          <w:sz w:val="32"/>
        </w:rPr>
      </w:pPr>
    </w:p>
    <w:p>
      <w:pPr>
        <w:pStyle w:val="19"/>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19"/>
        <w:spacing w:line="480" w:lineRule="auto"/>
        <w:jc w:val="center"/>
        <w:rPr>
          <w:rFonts w:ascii="Calibri" w:hAnsi="Calibri" w:eastAsia="黑体" w:cs="Calibri"/>
          <w:sz w:val="32"/>
          <w:szCs w:val="32"/>
        </w:rPr>
      </w:pPr>
      <w:r>
        <w:rPr>
          <w:rFonts w:hint="eastAsia" w:ascii="Calibri" w:hAnsi="Calibri" w:eastAsia="黑体" w:cs="Calibri"/>
          <w:sz w:val="32"/>
          <w:szCs w:val="32"/>
        </w:rPr>
        <w:t>2019年</w:t>
      </w:r>
      <w:r>
        <w:rPr>
          <w:rFonts w:hint="eastAsia" w:ascii="Calibri" w:hAnsi="Calibri" w:eastAsia="黑体" w:cs="Calibri"/>
          <w:sz w:val="32"/>
          <w:szCs w:val="32"/>
          <w:u w:val="single"/>
          <w:lang w:val="en-US" w:eastAsia="zh-CN"/>
        </w:rPr>
        <w:t>8</w:t>
      </w:r>
      <w:r>
        <w:rPr>
          <w:rFonts w:ascii="Calibri" w:hAnsi="Calibri" w:eastAsia="黑体" w:cs="Calibri"/>
          <w:sz w:val="32"/>
          <w:szCs w:val="32"/>
        </w:rPr>
        <w:t>月</w:t>
      </w:r>
    </w:p>
    <w:p>
      <w:pPr>
        <w:pStyle w:val="19"/>
        <w:spacing w:line="480" w:lineRule="auto"/>
        <w:rPr>
          <w:rFonts w:ascii="Calibri" w:hAnsi="Calibri" w:eastAsia="黑体" w:cs="Calibri"/>
          <w:sz w:val="32"/>
          <w:szCs w:val="32"/>
        </w:rPr>
      </w:pPr>
    </w:p>
    <w:p>
      <w:pPr>
        <w:pStyle w:val="82"/>
        <w:ind w:firstLine="0" w:firstLineChars="0"/>
        <w:rPr>
          <w:rFonts w:ascii="Calibri" w:hAnsi="Calibri" w:eastAsia="楷体_GB2312" w:cs="Calibri"/>
          <w:kern w:val="0"/>
          <w:sz w:val="24"/>
          <w:szCs w:val="24"/>
          <w:u w:val="single"/>
        </w:rPr>
      </w:pPr>
      <w:bookmarkStart w:id="3" w:name="_Toc386359390"/>
      <w:bookmarkStart w:id="4" w:name="_Toc349007685"/>
      <w:bookmarkStart w:id="5" w:name="_Toc386363314"/>
      <w:bookmarkStart w:id="6" w:name="_Toc349011855"/>
    </w:p>
    <w:p>
      <w:pPr>
        <w:pStyle w:val="82"/>
        <w:ind w:firstLine="0" w:firstLineChars="0"/>
        <w:rPr>
          <w:rFonts w:ascii="Calibri" w:hAnsi="Calibri" w:eastAsia="楷体_GB2312" w:cs="Calibri"/>
          <w:kern w:val="0"/>
          <w:sz w:val="24"/>
          <w:szCs w:val="24"/>
          <w:u w:val="single"/>
        </w:rPr>
      </w:pPr>
    </w:p>
    <w:p>
      <w:pPr>
        <w:pStyle w:val="82"/>
        <w:ind w:firstLine="0" w:firstLineChars="0"/>
        <w:rPr>
          <w:rFonts w:ascii="Calibri" w:hAnsi="Calibri" w:eastAsia="楷体_GB2312" w:cs="Calibri"/>
          <w:kern w:val="0"/>
          <w:sz w:val="24"/>
          <w:szCs w:val="24"/>
          <w:u w:val="single"/>
        </w:rPr>
      </w:pPr>
    </w:p>
    <w:p>
      <w:pPr>
        <w:pStyle w:val="82"/>
        <w:ind w:firstLine="0" w:firstLineChars="0"/>
      </w:pPr>
    </w:p>
    <w:p>
      <w:pPr>
        <w:pStyle w:val="27"/>
        <w:rPr>
          <w:rFonts w:ascii="Calibri" w:hAnsi="Calibri" w:cs="Calibri"/>
          <w:b/>
          <w:sz w:val="44"/>
        </w:rPr>
      </w:pPr>
      <w:bookmarkStart w:id="7" w:name="_Toc478453289"/>
      <w:bookmarkStart w:id="8" w:name="_Toc448002981"/>
      <w:bookmarkStart w:id="9" w:name="_Toc444174976"/>
      <w:bookmarkStart w:id="10" w:name="_Toc9351378"/>
      <w:bookmarkStart w:id="11" w:name="_Toc444173456"/>
      <w:bookmarkStart w:id="12" w:name="_Toc400369182"/>
      <w:bookmarkStart w:id="13" w:name="_Toc444811406"/>
      <w:r>
        <w:rPr>
          <w:rFonts w:ascii="Calibri" w:cs="Calibri"/>
          <w:b/>
          <w:sz w:val="44"/>
        </w:rPr>
        <w:t>目</w:t>
      </w:r>
      <w:r>
        <w:rPr>
          <w:rFonts w:ascii="Calibri" w:hAnsi="Calibri" w:cs="Calibri"/>
          <w:b/>
          <w:sz w:val="44"/>
        </w:rPr>
        <w:t xml:space="preserve">  </w:t>
      </w:r>
      <w:r>
        <w:rPr>
          <w:rFonts w:ascii="Calibri" w:cs="Calibri"/>
          <w:b/>
          <w:sz w:val="44"/>
        </w:rPr>
        <w:t>录</w:t>
      </w:r>
      <w:bookmarkEnd w:id="3"/>
      <w:bookmarkEnd w:id="4"/>
      <w:bookmarkEnd w:id="5"/>
      <w:bookmarkEnd w:id="6"/>
      <w:bookmarkEnd w:id="7"/>
      <w:bookmarkEnd w:id="8"/>
      <w:bookmarkEnd w:id="9"/>
      <w:bookmarkEnd w:id="10"/>
      <w:bookmarkEnd w:id="11"/>
      <w:bookmarkEnd w:id="12"/>
      <w:bookmarkEnd w:id="13"/>
    </w:p>
    <w:p>
      <w:pPr>
        <w:pStyle w:val="27"/>
        <w:rPr>
          <w:rFonts w:ascii="等线" w:hAnsi="等线" w:eastAsia="等线"/>
          <w:bCs w:val="0"/>
          <w:kern w:val="2"/>
          <w:szCs w:val="22"/>
        </w:rPr>
      </w:pPr>
      <w:r>
        <w:rPr>
          <w:rFonts w:hint="eastAsia" w:ascii="黑体" w:hAnsi="黑体" w:eastAsia="黑体" w:cs="Calibri"/>
          <w:sz w:val="22"/>
          <w:szCs w:val="22"/>
        </w:rPr>
        <w:fldChar w:fldCharType="begin"/>
      </w:r>
      <w:r>
        <w:rPr>
          <w:rFonts w:hint="eastAsia" w:ascii="黑体" w:hAnsi="黑体" w:eastAsia="黑体" w:cs="Calibri"/>
          <w:sz w:val="22"/>
          <w:szCs w:val="22"/>
        </w:rPr>
        <w:instrText xml:space="preserve"> TOC \o "1-3" \h \z \u </w:instrText>
      </w:r>
      <w:r>
        <w:rPr>
          <w:rFonts w:hint="eastAsia" w:ascii="黑体" w:hAnsi="黑体" w:eastAsia="黑体" w:cs="Calibri"/>
          <w:sz w:val="22"/>
          <w:szCs w:val="22"/>
        </w:rPr>
        <w:fldChar w:fldCharType="separate"/>
      </w:r>
    </w:p>
    <w:p>
      <w:pPr>
        <w:pStyle w:val="27"/>
        <w:rPr>
          <w:rFonts w:ascii="等线" w:hAnsi="等线" w:eastAsia="等线"/>
          <w:bCs w:val="0"/>
          <w:kern w:val="2"/>
          <w:szCs w:val="22"/>
        </w:rPr>
      </w:pPr>
      <w:r>
        <w:fldChar w:fldCharType="begin"/>
      </w:r>
      <w:r>
        <w:instrText xml:space="preserve"> HYPERLINK \l "_Toc9351379" </w:instrText>
      </w:r>
      <w:r>
        <w:fldChar w:fldCharType="separate"/>
      </w:r>
      <w:r>
        <w:rPr>
          <w:rStyle w:val="52"/>
          <w:rFonts w:eastAsia="黑体" w:cs="Calibri"/>
          <w:kern w:val="0"/>
        </w:rPr>
        <w:t>第一章 招标公告</w:t>
      </w:r>
      <w:r>
        <w:tab/>
      </w:r>
      <w:r>
        <w:fldChar w:fldCharType="begin"/>
      </w:r>
      <w:r>
        <w:instrText xml:space="preserve"> PAGEREF _Toc9351379 \h </w:instrText>
      </w:r>
      <w:r>
        <w:fldChar w:fldCharType="separate"/>
      </w:r>
      <w:r>
        <w:t>3</w:t>
      </w:r>
      <w:r>
        <w:fldChar w:fldCharType="end"/>
      </w:r>
      <w:r>
        <w:fldChar w:fldCharType="end"/>
      </w:r>
    </w:p>
    <w:p>
      <w:pPr>
        <w:pStyle w:val="27"/>
        <w:rPr>
          <w:rFonts w:ascii="等线" w:hAnsi="等线" w:eastAsia="等线"/>
          <w:bCs w:val="0"/>
          <w:kern w:val="2"/>
          <w:szCs w:val="22"/>
        </w:rPr>
      </w:pPr>
      <w:r>
        <w:fldChar w:fldCharType="begin"/>
      </w:r>
      <w:r>
        <w:instrText xml:space="preserve"> HYPERLINK \l "_Toc9351380" </w:instrText>
      </w:r>
      <w:r>
        <w:fldChar w:fldCharType="separate"/>
      </w:r>
      <w:r>
        <w:rPr>
          <w:rStyle w:val="52"/>
          <w:rFonts w:eastAsia="黑体" w:cs="Calibri"/>
          <w:kern w:val="0"/>
        </w:rPr>
        <w:t>第二章  投标人须知</w:t>
      </w:r>
      <w:r>
        <w:tab/>
      </w:r>
      <w:r>
        <w:fldChar w:fldCharType="begin"/>
      </w:r>
      <w:r>
        <w:instrText xml:space="preserve"> PAGEREF _Toc9351380 \h </w:instrText>
      </w:r>
      <w:r>
        <w:fldChar w:fldCharType="separate"/>
      </w:r>
      <w:r>
        <w:t>4</w:t>
      </w:r>
      <w:r>
        <w:fldChar w:fldCharType="end"/>
      </w:r>
      <w:r>
        <w:fldChar w:fldCharType="end"/>
      </w:r>
    </w:p>
    <w:p>
      <w:pPr>
        <w:pStyle w:val="27"/>
        <w:rPr>
          <w:rFonts w:ascii="等线" w:hAnsi="等线" w:eastAsia="等线"/>
          <w:bCs w:val="0"/>
          <w:kern w:val="2"/>
          <w:szCs w:val="22"/>
        </w:rPr>
      </w:pPr>
      <w:r>
        <w:fldChar w:fldCharType="begin"/>
      </w:r>
      <w:r>
        <w:instrText xml:space="preserve"> HYPERLINK \l "_Toc9351381" </w:instrText>
      </w:r>
      <w:r>
        <w:fldChar w:fldCharType="separate"/>
      </w:r>
      <w:r>
        <w:rPr>
          <w:rStyle w:val="52"/>
          <w:rFonts w:hAnsi="Arial" w:eastAsia="黑体" w:cs="Calibri"/>
        </w:rPr>
        <w:t>投标人须知前附表</w:t>
      </w:r>
      <w:r>
        <w:tab/>
      </w:r>
      <w:r>
        <w:fldChar w:fldCharType="begin"/>
      </w:r>
      <w:r>
        <w:instrText xml:space="preserve"> PAGEREF _Toc9351381 \h </w:instrText>
      </w:r>
      <w:r>
        <w:fldChar w:fldCharType="separate"/>
      </w:r>
      <w:r>
        <w:t>4</w:t>
      </w:r>
      <w:r>
        <w:fldChar w:fldCharType="end"/>
      </w:r>
      <w:r>
        <w:fldChar w:fldCharType="end"/>
      </w:r>
    </w:p>
    <w:p>
      <w:pPr>
        <w:pStyle w:val="27"/>
        <w:rPr>
          <w:rFonts w:ascii="等线" w:hAnsi="等线" w:eastAsia="等线"/>
          <w:bCs w:val="0"/>
          <w:kern w:val="2"/>
          <w:szCs w:val="22"/>
        </w:rPr>
      </w:pPr>
      <w:r>
        <w:fldChar w:fldCharType="begin"/>
      </w:r>
      <w:r>
        <w:instrText xml:space="preserve"> HYPERLINK \l "_Toc9351382" </w:instrText>
      </w:r>
      <w:r>
        <w:fldChar w:fldCharType="separate"/>
      </w:r>
      <w:r>
        <w:rPr>
          <w:rStyle w:val="52"/>
          <w:rFonts w:eastAsia="黑体" w:cs="Calibri"/>
          <w:kern w:val="0"/>
        </w:rPr>
        <w:t>第三章 货物需求一</w:t>
      </w:r>
      <w:bookmarkStart w:id="14" w:name="_Hlt11084262"/>
      <w:bookmarkStart w:id="15" w:name="_Hlt11084263"/>
      <w:r>
        <w:rPr>
          <w:rStyle w:val="52"/>
          <w:rFonts w:eastAsia="黑体" w:cs="Calibri"/>
          <w:kern w:val="0"/>
        </w:rPr>
        <w:t>览</w:t>
      </w:r>
      <w:bookmarkEnd w:id="14"/>
      <w:bookmarkEnd w:id="15"/>
      <w:r>
        <w:rPr>
          <w:rStyle w:val="52"/>
          <w:rFonts w:eastAsia="黑体" w:cs="Calibri"/>
          <w:kern w:val="0"/>
        </w:rPr>
        <w:t>表及技术</w:t>
      </w:r>
      <w:bookmarkStart w:id="16" w:name="_Hlt11084268"/>
      <w:r>
        <w:rPr>
          <w:rStyle w:val="52"/>
          <w:rFonts w:eastAsia="黑体" w:cs="Calibri"/>
          <w:kern w:val="0"/>
        </w:rPr>
        <w:t>规</w:t>
      </w:r>
      <w:bookmarkEnd w:id="16"/>
      <w:r>
        <w:rPr>
          <w:rStyle w:val="52"/>
          <w:rFonts w:eastAsia="黑体" w:cs="Calibri"/>
          <w:kern w:val="0"/>
        </w:rPr>
        <w:t>格</w:t>
      </w:r>
      <w:r>
        <w:tab/>
      </w:r>
      <w:r>
        <w:fldChar w:fldCharType="begin"/>
      </w:r>
      <w:r>
        <w:instrText xml:space="preserve"> PAGEREF _Toc9351382 \h </w:instrText>
      </w:r>
      <w:r>
        <w:fldChar w:fldCharType="separate"/>
      </w:r>
      <w:r>
        <w:t>13</w:t>
      </w:r>
      <w:r>
        <w:fldChar w:fldCharType="end"/>
      </w:r>
      <w:r>
        <w:fldChar w:fldCharType="end"/>
      </w:r>
    </w:p>
    <w:p>
      <w:pPr>
        <w:pStyle w:val="27"/>
        <w:rPr>
          <w:rFonts w:ascii="等线" w:hAnsi="等线" w:eastAsia="等线"/>
          <w:bCs w:val="0"/>
          <w:kern w:val="2"/>
          <w:szCs w:val="22"/>
        </w:rPr>
      </w:pPr>
      <w:r>
        <w:fldChar w:fldCharType="begin"/>
      </w:r>
      <w:r>
        <w:instrText xml:space="preserve"> HYPERLINK \l "_Toc9351383" </w:instrText>
      </w:r>
      <w:r>
        <w:fldChar w:fldCharType="separate"/>
      </w:r>
      <w:r>
        <w:rPr>
          <w:rStyle w:val="52"/>
          <w:rFonts w:eastAsia="黑体" w:cs="Calibri"/>
          <w:kern w:val="0"/>
        </w:rPr>
        <w:t>第四章  合同条款</w:t>
      </w:r>
      <w:r>
        <w:tab/>
      </w:r>
      <w:r>
        <w:fldChar w:fldCharType="begin"/>
      </w:r>
      <w:r>
        <w:instrText xml:space="preserve"> PAGEREF _Toc9351383 \h </w:instrText>
      </w:r>
      <w:r>
        <w:fldChar w:fldCharType="separate"/>
      </w:r>
      <w:r>
        <w:t>17</w:t>
      </w:r>
      <w:r>
        <w:fldChar w:fldCharType="end"/>
      </w:r>
      <w:r>
        <w:fldChar w:fldCharType="end"/>
      </w:r>
    </w:p>
    <w:p>
      <w:pPr>
        <w:pStyle w:val="27"/>
        <w:rPr>
          <w:rFonts w:ascii="等线" w:hAnsi="等线" w:eastAsia="等线"/>
          <w:bCs w:val="0"/>
          <w:kern w:val="2"/>
          <w:szCs w:val="22"/>
        </w:rPr>
      </w:pPr>
      <w:r>
        <w:fldChar w:fldCharType="begin"/>
      </w:r>
      <w:r>
        <w:instrText xml:space="preserve"> HYPERLINK \l "_Toc9351393" </w:instrText>
      </w:r>
      <w:r>
        <w:fldChar w:fldCharType="separate"/>
      </w:r>
      <w:r>
        <w:rPr>
          <w:rStyle w:val="52"/>
          <w:rFonts w:eastAsia="黑体" w:cs="Calibri"/>
          <w:kern w:val="0"/>
        </w:rPr>
        <w:t>第五章  评标方法及标准</w:t>
      </w:r>
      <w:r>
        <w:tab/>
      </w:r>
      <w:r>
        <w:fldChar w:fldCharType="begin"/>
      </w:r>
      <w:r>
        <w:instrText xml:space="preserve"> PAGEREF _Toc9351393 \h </w:instrText>
      </w:r>
      <w:r>
        <w:fldChar w:fldCharType="separate"/>
      </w:r>
      <w:r>
        <w:t>23</w:t>
      </w:r>
      <w:r>
        <w:fldChar w:fldCharType="end"/>
      </w:r>
      <w:r>
        <w:fldChar w:fldCharType="end"/>
      </w:r>
    </w:p>
    <w:p>
      <w:pPr>
        <w:pStyle w:val="27"/>
        <w:rPr>
          <w:rFonts w:ascii="等线" w:hAnsi="等线" w:eastAsia="等线"/>
          <w:bCs w:val="0"/>
          <w:kern w:val="2"/>
          <w:szCs w:val="22"/>
        </w:rPr>
      </w:pPr>
      <w:r>
        <w:fldChar w:fldCharType="begin"/>
      </w:r>
      <w:r>
        <w:instrText xml:space="preserve"> HYPERLINK \l "_Toc9351394" </w:instrText>
      </w:r>
      <w:r>
        <w:fldChar w:fldCharType="separate"/>
      </w:r>
      <w:r>
        <w:rPr>
          <w:rStyle w:val="52"/>
          <w:rFonts w:eastAsia="黑体" w:cs="Calibri"/>
          <w:kern w:val="0"/>
        </w:rPr>
        <w:t>第六章  投标文件格式</w:t>
      </w:r>
      <w:r>
        <w:tab/>
      </w:r>
      <w:r>
        <w:fldChar w:fldCharType="begin"/>
      </w:r>
      <w:r>
        <w:instrText xml:space="preserve"> PAGEREF _Toc9351394 \h </w:instrText>
      </w:r>
      <w:r>
        <w:fldChar w:fldCharType="separate"/>
      </w:r>
      <w:r>
        <w:t>25</w:t>
      </w:r>
      <w:r>
        <w:fldChar w:fldCharType="end"/>
      </w:r>
      <w:r>
        <w:fldChar w:fldCharType="end"/>
      </w:r>
    </w:p>
    <w:p>
      <w:pPr>
        <w:spacing w:line="480" w:lineRule="auto"/>
        <w:rPr>
          <w:rFonts w:cs="Calibri"/>
          <w:sz w:val="24"/>
        </w:rPr>
      </w:pPr>
      <w:r>
        <w:rPr>
          <w:rFonts w:hint="eastAsia" w:ascii="黑体" w:hAnsi="黑体" w:eastAsia="黑体" w:cs="Calibri"/>
          <w:sz w:val="22"/>
        </w:rPr>
        <w:fldChar w:fldCharType="end"/>
      </w:r>
    </w:p>
    <w:p>
      <w:pPr>
        <w:pStyle w:val="2"/>
        <w:spacing w:before="0" w:after="0" w:line="360" w:lineRule="auto"/>
        <w:jc w:val="center"/>
        <w:rPr>
          <w:rFonts w:ascii="Calibri" w:eastAsia="黑体" w:cs="Calibri"/>
          <w:kern w:val="0"/>
          <w:sz w:val="32"/>
        </w:rPr>
      </w:pPr>
      <w:r>
        <w:rPr>
          <w:rFonts w:ascii="Calibri" w:hAnsi="Calibri" w:cs="Calibri"/>
        </w:rPr>
        <w:br w:type="page"/>
      </w:r>
      <w:bookmarkStart w:id="17" w:name="_Toc24784"/>
      <w:bookmarkStart w:id="18" w:name="_Toc6581"/>
      <w:bookmarkStart w:id="19" w:name="_Toc22293"/>
      <w:bookmarkStart w:id="20" w:name="_Toc14628"/>
      <w:bookmarkStart w:id="21" w:name="_Toc6832"/>
      <w:bookmarkStart w:id="22" w:name="_Toc24932"/>
      <w:bookmarkStart w:id="23" w:name="_Toc7641"/>
      <w:bookmarkStart w:id="24" w:name="_Toc18642"/>
      <w:bookmarkStart w:id="25" w:name="_Toc8110"/>
      <w:bookmarkStart w:id="26" w:name="_Toc9351379"/>
      <w:bookmarkStart w:id="27" w:name="_Toc249322950"/>
      <w:bookmarkStart w:id="28" w:name="_Toc248766631"/>
      <w:r>
        <w:rPr>
          <w:rFonts w:ascii="Calibri" w:eastAsia="黑体" w:cs="Calibri"/>
          <w:kern w:val="0"/>
          <w:sz w:val="32"/>
        </w:rPr>
        <w:t>第一章</w:t>
      </w:r>
      <w:r>
        <w:rPr>
          <w:rFonts w:ascii="Calibri" w:hAnsi="Calibri" w:eastAsia="黑体" w:cs="Calibri"/>
          <w:kern w:val="0"/>
          <w:sz w:val="32"/>
        </w:rPr>
        <w:t xml:space="preserve"> </w:t>
      </w:r>
      <w:bookmarkEnd w:id="17"/>
      <w:bookmarkEnd w:id="18"/>
      <w:bookmarkEnd w:id="19"/>
      <w:bookmarkEnd w:id="20"/>
      <w:bookmarkEnd w:id="21"/>
      <w:bookmarkEnd w:id="22"/>
      <w:bookmarkEnd w:id="23"/>
      <w:bookmarkEnd w:id="24"/>
      <w:bookmarkEnd w:id="25"/>
      <w:r>
        <w:rPr>
          <w:rFonts w:hint="eastAsia" w:ascii="Calibri" w:eastAsia="黑体" w:cs="Calibri"/>
          <w:kern w:val="0"/>
          <w:sz w:val="32"/>
        </w:rPr>
        <w:t>招标公告</w:t>
      </w:r>
      <w:bookmarkEnd w:id="26"/>
    </w:p>
    <w:p>
      <w:pPr>
        <w:widowControl/>
        <w:snapToGrid w:val="0"/>
        <w:spacing w:line="276" w:lineRule="auto"/>
        <w:jc w:val="left"/>
        <w:rPr>
          <w:rFonts w:ascii="Arial" w:hAnsi="Arial" w:cs="Arial"/>
          <w:b/>
          <w:bCs/>
          <w:kern w:val="0"/>
          <w:sz w:val="22"/>
        </w:rPr>
      </w:pPr>
      <w:r>
        <w:rPr>
          <w:rFonts w:hint="eastAsia" w:ascii="Arial" w:hAnsi="Arial" w:cs="Arial"/>
          <w:b/>
          <w:bCs/>
          <w:kern w:val="0"/>
          <w:sz w:val="22"/>
        </w:rPr>
        <w:t>一、招标范围及内容</w:t>
      </w:r>
    </w:p>
    <w:p>
      <w:pPr>
        <w:widowControl/>
        <w:snapToGrid w:val="0"/>
        <w:spacing w:line="276" w:lineRule="auto"/>
        <w:ind w:firstLine="440" w:firstLineChars="200"/>
        <w:jc w:val="left"/>
        <w:rPr>
          <w:rFonts w:ascii="Arial" w:hAnsi="Arial" w:cs="Arial"/>
          <w:bCs/>
          <w:kern w:val="0"/>
          <w:sz w:val="22"/>
        </w:rPr>
      </w:pPr>
      <w:r>
        <w:rPr>
          <w:rFonts w:hint="eastAsia" w:ascii="Arial" w:hAnsi="Arial" w:cs="Arial"/>
          <w:bCs/>
          <w:kern w:val="0"/>
          <w:sz w:val="22"/>
        </w:rPr>
        <w:t>1.项目概况：</w:t>
      </w:r>
      <w:r>
        <w:rPr>
          <w:rFonts w:hint="eastAsia"/>
          <w:szCs w:val="21"/>
        </w:rPr>
        <w:t>采购一套室内移动会议系统</w:t>
      </w:r>
      <w:r>
        <w:rPr>
          <w:rFonts w:hint="eastAsia" w:ascii="Arial" w:hAnsi="Arial" w:cs="Arial"/>
          <w:bCs/>
          <w:kern w:val="0"/>
          <w:sz w:val="22"/>
        </w:rPr>
        <w:t>，适用于公司会议室、培训教室等不同场所，满足会场开会要求。</w:t>
      </w:r>
      <w:r>
        <w:rPr>
          <w:rFonts w:hint="eastAsia" w:ascii="宋体" w:hAnsi="宋体" w:cs="Arial"/>
          <w:kern w:val="0"/>
          <w:sz w:val="22"/>
        </w:rPr>
        <w:t>服务内容包含所有设备采购、运输、安装、调试以及对机场工作人员使用培训等工作。</w:t>
      </w:r>
    </w:p>
    <w:p>
      <w:pPr>
        <w:widowControl/>
        <w:adjustRightInd w:val="0"/>
        <w:snapToGrid w:val="0"/>
        <w:spacing w:line="276" w:lineRule="auto"/>
        <w:ind w:firstLine="440" w:firstLineChars="200"/>
        <w:rPr>
          <w:rFonts w:ascii="宋体" w:hAnsi="宋体" w:cs="Arial"/>
          <w:kern w:val="0"/>
          <w:sz w:val="22"/>
        </w:rPr>
      </w:pPr>
      <w:r>
        <w:rPr>
          <w:rFonts w:hint="eastAsia" w:ascii="Arial" w:hAnsi="Arial" w:cs="Arial"/>
          <w:bCs/>
          <w:kern w:val="0"/>
          <w:sz w:val="22"/>
        </w:rPr>
        <w:t>2</w:t>
      </w:r>
      <w:r>
        <w:rPr>
          <w:rFonts w:ascii="Arial" w:hAnsi="Arial" w:cs="Arial"/>
          <w:bCs/>
          <w:kern w:val="0"/>
          <w:sz w:val="22"/>
        </w:rPr>
        <w:t>.</w:t>
      </w:r>
      <w:r>
        <w:rPr>
          <w:rFonts w:hint="eastAsia" w:ascii="宋体" w:hAnsi="宋体" w:cs="Arial"/>
          <w:kern w:val="0"/>
          <w:sz w:val="22"/>
        </w:rPr>
        <w:t xml:space="preserve"> 招标货物名称、数量及主要技术规格, 详见第三章 “货物需求一览表及技术规格”。</w:t>
      </w:r>
    </w:p>
    <w:p>
      <w:pPr>
        <w:widowControl/>
        <w:snapToGrid w:val="0"/>
        <w:spacing w:line="276" w:lineRule="auto"/>
        <w:jc w:val="left"/>
        <w:rPr>
          <w:rFonts w:ascii="宋体" w:hAnsi="宋体" w:cs="Arial"/>
          <w:b/>
          <w:bCs/>
          <w:kern w:val="0"/>
          <w:sz w:val="22"/>
        </w:rPr>
      </w:pPr>
      <w:r>
        <w:rPr>
          <w:rFonts w:hint="eastAsia" w:ascii="宋体" w:hAnsi="宋体" w:cs="Arial"/>
          <w:b/>
          <w:bCs/>
          <w:kern w:val="0"/>
          <w:sz w:val="22"/>
        </w:rPr>
        <w:t>二、</w:t>
      </w:r>
      <w:r>
        <w:rPr>
          <w:rFonts w:ascii="宋体" w:hAnsi="宋体" w:cs="Arial"/>
          <w:b/>
          <w:bCs/>
          <w:kern w:val="0"/>
          <w:sz w:val="22"/>
        </w:rPr>
        <w:t> </w:t>
      </w:r>
      <w:r>
        <w:rPr>
          <w:rFonts w:hint="eastAsia" w:ascii="宋体" w:hAnsi="宋体" w:cs="Arial"/>
          <w:b/>
          <w:bCs/>
          <w:kern w:val="0"/>
          <w:sz w:val="22"/>
        </w:rPr>
        <w:t>投标人资格要求</w:t>
      </w:r>
      <w:r>
        <w:rPr>
          <w:rFonts w:ascii="宋体" w:hAnsi="宋体" w:cs="Arial"/>
          <w:b/>
          <w:bCs/>
          <w:kern w:val="0"/>
          <w:sz w:val="22"/>
        </w:rPr>
        <w:t> </w:t>
      </w:r>
      <w:r>
        <w:rPr>
          <w:rFonts w:hint="eastAsia" w:ascii="宋体" w:hAnsi="宋体" w:cs="Arial"/>
          <w:b/>
          <w:bCs/>
          <w:kern w:val="0"/>
          <w:sz w:val="22"/>
        </w:rPr>
        <w:t xml:space="preserve">  </w:t>
      </w:r>
    </w:p>
    <w:p>
      <w:pPr>
        <w:widowControl/>
        <w:adjustRightInd w:val="0"/>
        <w:snapToGrid w:val="0"/>
        <w:spacing w:line="276" w:lineRule="auto"/>
        <w:ind w:firstLine="440" w:firstLineChars="200"/>
        <w:rPr>
          <w:rFonts w:ascii="宋体" w:hAnsi="宋体" w:cs="Arial"/>
          <w:kern w:val="0"/>
          <w:sz w:val="22"/>
        </w:rPr>
      </w:pPr>
      <w:r>
        <w:rPr>
          <w:rFonts w:hint="eastAsia" w:ascii="宋体" w:hAnsi="宋体" w:cs="Arial"/>
          <w:kern w:val="0"/>
          <w:sz w:val="22"/>
        </w:rPr>
        <w:t xml:space="preserve">（1）具有独立法人资格，持有有效营业执照，注册资本100万元（含）以上 (提供营业执照复印件，原件备查)； </w:t>
      </w:r>
    </w:p>
    <w:p>
      <w:pPr>
        <w:widowControl/>
        <w:adjustRightInd w:val="0"/>
        <w:snapToGrid w:val="0"/>
        <w:spacing w:line="276" w:lineRule="auto"/>
        <w:ind w:firstLine="440" w:firstLineChars="200"/>
        <w:rPr>
          <w:rFonts w:ascii="宋体" w:hAnsi="宋体" w:cs="Arial"/>
          <w:kern w:val="0"/>
          <w:sz w:val="22"/>
        </w:rPr>
      </w:pPr>
      <w:r>
        <w:rPr>
          <w:rFonts w:hint="eastAsia" w:ascii="宋体" w:hAnsi="宋体" w:cs="Arial"/>
          <w:kern w:val="0"/>
          <w:sz w:val="22"/>
        </w:rPr>
        <w:t xml:space="preserve">（2）依据最高人民法院等九部门《关于在招标投标活动中对失信被执行人实施联合惩戒的通知》，投标人不得为失信被执行人。（通过信用中国网站www.creditchina.gov.cn 查询，查询结果以网站页面显示内容为准，投标时需提供查询结果并加盖投标人公章作为证明材料）。若在中标公示期间发现中标候选人在投标截止日前为失信被执行人的，招标人将依法取消其中标资格。 </w:t>
      </w:r>
    </w:p>
    <w:p>
      <w:pPr>
        <w:widowControl/>
        <w:adjustRightInd w:val="0"/>
        <w:snapToGrid w:val="0"/>
        <w:spacing w:line="276" w:lineRule="auto"/>
        <w:ind w:firstLine="440" w:firstLineChars="200"/>
        <w:rPr>
          <w:rFonts w:ascii="宋体" w:hAnsi="宋体" w:cs="Arial"/>
          <w:kern w:val="0"/>
          <w:sz w:val="22"/>
        </w:rPr>
      </w:pPr>
      <w:r>
        <w:rPr>
          <w:rFonts w:hint="eastAsia" w:ascii="宋体" w:hAnsi="宋体" w:cs="Arial"/>
          <w:kern w:val="0"/>
          <w:sz w:val="22"/>
        </w:rPr>
        <w:t xml:space="preserve">（3）近三年（2016年1月1日起至投标截止日止）无行贿犯罪记录(通过中国裁判文书网http://wenshu.court.gov.cn查询，查询结果以网站页面显示内容为准，投标时需提供查询结果并加盖投标人公章作为证明材料)。若在中标公示期间发现中标候选人在投标截止日前存在行贿犯罪记录的，招标人将依法取消其中标资格。 </w:t>
      </w:r>
    </w:p>
    <w:p>
      <w:pPr>
        <w:widowControl/>
        <w:adjustRightInd w:val="0"/>
        <w:snapToGrid w:val="0"/>
        <w:spacing w:line="276" w:lineRule="auto"/>
        <w:ind w:firstLine="440" w:firstLineChars="200"/>
        <w:rPr>
          <w:rFonts w:ascii="宋体" w:hAnsi="宋体" w:cs="Arial"/>
          <w:kern w:val="0"/>
          <w:sz w:val="22"/>
        </w:rPr>
      </w:pPr>
      <w:r>
        <w:rPr>
          <w:rFonts w:hint="eastAsia" w:ascii="宋体" w:hAnsi="宋体" w:cs="Arial"/>
          <w:kern w:val="0"/>
          <w:sz w:val="22"/>
        </w:rPr>
        <w:t>（4）投标人具有一般纳税人资格，可提供增值税专用发票（需提供税务机关出具的一般纳税人资格认定相关证明材料复印件并加盖投标人公章作为证明材料，原件备查）。</w:t>
      </w:r>
    </w:p>
    <w:p>
      <w:pPr>
        <w:widowControl/>
        <w:adjustRightInd w:val="0"/>
        <w:snapToGrid w:val="0"/>
        <w:spacing w:line="276" w:lineRule="auto"/>
        <w:ind w:firstLine="440" w:firstLineChars="200"/>
        <w:rPr>
          <w:rFonts w:ascii="宋体" w:hAnsi="宋体" w:cs="Arial"/>
          <w:color w:val="FF0000"/>
          <w:kern w:val="0"/>
          <w:sz w:val="22"/>
          <w:u w:val="single"/>
        </w:rPr>
      </w:pPr>
      <w:r>
        <w:rPr>
          <w:rFonts w:hint="eastAsia" w:ascii="宋体" w:hAnsi="宋体" w:cs="Arial"/>
          <w:kern w:val="0"/>
          <w:sz w:val="22"/>
        </w:rPr>
        <w:t>（</w:t>
      </w:r>
      <w:r>
        <w:rPr>
          <w:rFonts w:ascii="宋体" w:hAnsi="宋体" w:cs="Arial"/>
          <w:kern w:val="0"/>
          <w:sz w:val="22"/>
        </w:rPr>
        <w:t>5</w:t>
      </w:r>
      <w:r>
        <w:rPr>
          <w:rFonts w:hint="eastAsia" w:ascii="宋体" w:hAnsi="宋体" w:cs="Arial"/>
          <w:kern w:val="0"/>
          <w:sz w:val="22"/>
        </w:rPr>
        <w:t>）</w:t>
      </w:r>
      <w:r>
        <w:rPr>
          <w:rFonts w:ascii="宋体" w:hAnsi="宋体" w:cs="Arial"/>
          <w:kern w:val="0"/>
          <w:sz w:val="22"/>
        </w:rPr>
        <w:t>本项目不接受联合</w:t>
      </w:r>
      <w:r>
        <w:rPr>
          <w:rFonts w:hint="eastAsia" w:ascii="宋体" w:hAnsi="宋体" w:cs="Arial"/>
          <w:kern w:val="0"/>
          <w:sz w:val="22"/>
        </w:rPr>
        <w:t>体</w:t>
      </w:r>
      <w:r>
        <w:rPr>
          <w:rFonts w:ascii="宋体" w:hAnsi="宋体" w:cs="Arial"/>
          <w:kern w:val="0"/>
          <w:sz w:val="22"/>
        </w:rPr>
        <w:t>投标</w:t>
      </w:r>
      <w:r>
        <w:rPr>
          <w:rFonts w:hint="eastAsia" w:ascii="宋体" w:hAnsi="宋体" w:cs="Arial"/>
          <w:kern w:val="0"/>
          <w:sz w:val="22"/>
        </w:rPr>
        <w:t>。</w:t>
      </w:r>
    </w:p>
    <w:p>
      <w:pPr>
        <w:widowControl/>
        <w:snapToGrid w:val="0"/>
        <w:spacing w:line="276" w:lineRule="auto"/>
        <w:jc w:val="left"/>
        <w:rPr>
          <w:rFonts w:ascii="宋体" w:hAnsi="宋体" w:cs="Arial"/>
          <w:b/>
          <w:bCs/>
          <w:kern w:val="0"/>
          <w:sz w:val="22"/>
        </w:rPr>
      </w:pPr>
      <w:r>
        <w:rPr>
          <w:rFonts w:hint="eastAsia" w:ascii="宋体" w:hAnsi="宋体" w:cs="Arial"/>
          <w:b/>
          <w:bCs/>
          <w:kern w:val="0"/>
          <w:sz w:val="22"/>
        </w:rPr>
        <w:t>三、招标文件获取</w:t>
      </w:r>
    </w:p>
    <w:p>
      <w:pPr>
        <w:widowControl/>
        <w:adjustRightInd w:val="0"/>
        <w:snapToGrid w:val="0"/>
        <w:spacing w:line="276" w:lineRule="auto"/>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276" w:lineRule="auto"/>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276" w:lineRule="auto"/>
        <w:jc w:val="left"/>
        <w:rPr>
          <w:rFonts w:ascii="宋体" w:hAnsi="宋体" w:cs="Arial"/>
          <w:b/>
          <w:bCs/>
          <w:kern w:val="0"/>
          <w:sz w:val="22"/>
        </w:rPr>
      </w:pPr>
      <w:r>
        <w:rPr>
          <w:rFonts w:hint="eastAsia" w:ascii="宋体" w:hAnsi="宋体" w:cs="Arial"/>
          <w:b/>
          <w:bCs/>
          <w:kern w:val="0"/>
          <w:sz w:val="22"/>
        </w:rPr>
        <w:t>四、投标文件的递交</w:t>
      </w:r>
    </w:p>
    <w:p>
      <w:pPr>
        <w:widowControl/>
        <w:adjustRightInd w:val="0"/>
        <w:snapToGrid w:val="0"/>
        <w:spacing w:line="276" w:lineRule="auto"/>
        <w:ind w:firstLine="440" w:firstLineChars="200"/>
        <w:rPr>
          <w:rFonts w:ascii="宋体" w:hAnsi="宋体" w:cs="Arial"/>
          <w:kern w:val="0"/>
          <w:sz w:val="22"/>
        </w:rPr>
      </w:pPr>
      <w:r>
        <w:rPr>
          <w:rFonts w:hint="eastAsia" w:ascii="宋体" w:hAnsi="宋体" w:cs="Arial"/>
          <w:kern w:val="0"/>
          <w:sz w:val="22"/>
        </w:rPr>
        <w:t>（1）投标文件递交截止时间：</w:t>
      </w:r>
      <w:r>
        <w:rPr>
          <w:rFonts w:hint="eastAsia" w:ascii="宋体" w:hAnsi="宋体" w:cs="Arial"/>
          <w:kern w:val="0"/>
          <w:sz w:val="22"/>
          <w:lang w:eastAsia="zh-CN"/>
        </w:rPr>
        <w:t>2019年9月11日上午9时00分</w:t>
      </w:r>
      <w:r>
        <w:rPr>
          <w:rFonts w:hint="eastAsia" w:ascii="宋体" w:hAnsi="宋体" w:cs="Arial"/>
          <w:kern w:val="0"/>
          <w:sz w:val="22"/>
        </w:rPr>
        <w:t>（北京时间）。投标文件在封口处加盖公章，并派专人于</w:t>
      </w:r>
      <w:r>
        <w:rPr>
          <w:rFonts w:hint="eastAsia" w:ascii="宋体" w:hAnsi="宋体" w:cs="Arial"/>
          <w:kern w:val="0"/>
          <w:sz w:val="22"/>
          <w:lang w:eastAsia="zh-CN"/>
        </w:rPr>
        <w:t>2019年9月11日上午9时00分</w:t>
      </w:r>
      <w:r>
        <w:rPr>
          <w:rFonts w:hint="eastAsia" w:ascii="宋体" w:hAnsi="宋体" w:cs="Arial"/>
          <w:kern w:val="0"/>
          <w:sz w:val="22"/>
        </w:rPr>
        <w:t>（北京时间）前送至杭州萧山国际机场翔越路综合服务楼园区招标中心，逾期无效；若采用投递方式的，请于</w:t>
      </w:r>
      <w:r>
        <w:rPr>
          <w:rFonts w:hint="eastAsia" w:ascii="宋体" w:hAnsi="宋体" w:cs="Arial"/>
          <w:kern w:val="0"/>
          <w:sz w:val="22"/>
          <w:lang w:eastAsia="zh-CN"/>
        </w:rPr>
        <w:t>2019年9月11日上午9时00分</w:t>
      </w:r>
      <w:r>
        <w:rPr>
          <w:rFonts w:hint="eastAsia" w:ascii="宋体" w:hAnsi="宋体" w:cs="Arial"/>
          <w:kern w:val="0"/>
          <w:sz w:val="22"/>
        </w:rPr>
        <w:t>（北京时间）前投递至杭州萧山国际机场综合楼213室，逾期无效。</w:t>
      </w:r>
    </w:p>
    <w:p>
      <w:pPr>
        <w:widowControl/>
        <w:adjustRightInd w:val="0"/>
        <w:snapToGrid w:val="0"/>
        <w:spacing w:line="276" w:lineRule="auto"/>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 w:val="22"/>
        </w:rPr>
        <w:t>逾期送达或者未送达指定地点的投标文件，招标人不予受理。</w:t>
      </w:r>
    </w:p>
    <w:p>
      <w:pPr>
        <w:widowControl/>
        <w:snapToGrid w:val="0"/>
        <w:spacing w:line="276" w:lineRule="auto"/>
        <w:jc w:val="left"/>
        <w:rPr>
          <w:rFonts w:ascii="宋体" w:hAnsi="宋体" w:cs="Arial"/>
          <w:b/>
          <w:bCs/>
          <w:kern w:val="0"/>
          <w:sz w:val="22"/>
        </w:rPr>
      </w:pPr>
      <w:r>
        <w:rPr>
          <w:rFonts w:hint="eastAsia" w:ascii="宋体" w:hAnsi="宋体" w:cs="Arial"/>
          <w:b/>
          <w:bCs/>
          <w:kern w:val="0"/>
          <w:sz w:val="22"/>
        </w:rPr>
        <w:t>五、发布公告的媒介</w:t>
      </w:r>
    </w:p>
    <w:p>
      <w:pPr>
        <w:widowControl/>
        <w:adjustRightInd w:val="0"/>
        <w:snapToGrid w:val="0"/>
        <w:spacing w:line="276" w:lineRule="auto"/>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276" w:lineRule="auto"/>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276" w:lineRule="auto"/>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276" w:lineRule="auto"/>
        <w:jc w:val="left"/>
        <w:rPr>
          <w:rFonts w:ascii="宋体" w:hAnsi="宋体" w:cs="Arial"/>
          <w:b/>
          <w:bCs/>
          <w:kern w:val="0"/>
          <w:sz w:val="22"/>
        </w:rPr>
      </w:pPr>
      <w:r>
        <w:rPr>
          <w:rFonts w:hint="eastAsia" w:ascii="宋体" w:hAnsi="宋体" w:cs="Arial"/>
          <w:b/>
          <w:bCs/>
          <w:kern w:val="0"/>
          <w:sz w:val="22"/>
        </w:rPr>
        <w:t>六、联系方式</w:t>
      </w:r>
    </w:p>
    <w:p>
      <w:pPr>
        <w:widowControl/>
        <w:adjustRightInd w:val="0"/>
        <w:snapToGrid w:val="0"/>
        <w:spacing w:line="276" w:lineRule="auto"/>
        <w:ind w:firstLine="440" w:firstLineChars="200"/>
        <w:rPr>
          <w:rFonts w:hint="default" w:ascii="宋体" w:hAnsi="宋体" w:eastAsia="宋体"/>
          <w:sz w:val="22"/>
          <w:lang w:val="en-US" w:eastAsia="zh-CN"/>
        </w:rPr>
      </w:pPr>
      <w:r>
        <w:rPr>
          <w:rFonts w:hint="eastAsia" w:ascii="宋体" w:hAnsi="宋体"/>
          <w:sz w:val="22"/>
        </w:rPr>
        <w:t xml:space="preserve">投标联系人：贾工       </w:t>
      </w:r>
      <w:r>
        <w:rPr>
          <w:rFonts w:ascii="宋体" w:hAnsi="宋体"/>
          <w:sz w:val="22"/>
        </w:rPr>
        <w:t xml:space="preserve">   </w:t>
      </w:r>
      <w:r>
        <w:rPr>
          <w:rFonts w:hint="eastAsia" w:ascii="宋体" w:hAnsi="宋体"/>
          <w:sz w:val="22"/>
        </w:rPr>
        <w:t>联系电话： 0571-8</w:t>
      </w:r>
      <w:r>
        <w:rPr>
          <w:rFonts w:hint="eastAsia" w:ascii="宋体" w:hAnsi="宋体"/>
          <w:sz w:val="22"/>
          <w:lang w:val="en-US" w:eastAsia="zh-CN"/>
        </w:rPr>
        <w:t>3837612</w:t>
      </w:r>
    </w:p>
    <w:p>
      <w:pPr>
        <w:widowControl/>
        <w:adjustRightInd w:val="0"/>
        <w:snapToGrid w:val="0"/>
        <w:spacing w:line="276" w:lineRule="auto"/>
        <w:ind w:firstLine="440" w:firstLineChars="200"/>
        <w:rPr>
          <w:rFonts w:eastAsia="黑体" w:cs="Calibri"/>
          <w:kern w:val="0"/>
          <w:sz w:val="32"/>
        </w:rPr>
      </w:pPr>
      <w:r>
        <w:rPr>
          <w:rFonts w:hint="eastAsia" w:ascii="宋体" w:hAnsi="宋体"/>
          <w:bCs/>
          <w:sz w:val="22"/>
        </w:rPr>
        <w:t xml:space="preserve">招标监督人： 阮工        </w:t>
      </w:r>
      <w:r>
        <w:rPr>
          <w:rFonts w:ascii="宋体" w:hAnsi="宋体"/>
          <w:bCs/>
          <w:sz w:val="22"/>
        </w:rPr>
        <w:t xml:space="preserve"> </w:t>
      </w:r>
      <w:r>
        <w:rPr>
          <w:rFonts w:hint="eastAsia" w:ascii="宋体" w:hAnsi="宋体"/>
          <w:bCs/>
          <w:sz w:val="22"/>
        </w:rPr>
        <w:t>联系电话：0</w:t>
      </w:r>
      <w:r>
        <w:rPr>
          <w:rFonts w:ascii="宋体" w:hAnsi="宋体"/>
          <w:bCs/>
          <w:sz w:val="22"/>
        </w:rPr>
        <w:t>571-86662133</w:t>
      </w:r>
    </w:p>
    <w:p>
      <w:pPr>
        <w:pStyle w:val="2"/>
        <w:spacing w:before="0" w:after="0" w:line="360" w:lineRule="auto"/>
        <w:jc w:val="center"/>
        <w:rPr>
          <w:rFonts w:ascii="Calibri" w:hAnsi="Calibri" w:eastAsia="黑体" w:cs="Calibri"/>
          <w:kern w:val="0"/>
          <w:sz w:val="32"/>
        </w:rPr>
      </w:pPr>
      <w:bookmarkStart w:id="29" w:name="_Toc9351380"/>
      <w:r>
        <w:rPr>
          <w:rFonts w:ascii="Calibri" w:eastAsia="黑体" w:cs="Calibri"/>
          <w:kern w:val="0"/>
          <w:sz w:val="32"/>
        </w:rPr>
        <w:t>第二章</w:t>
      </w:r>
      <w:r>
        <w:rPr>
          <w:rFonts w:ascii="Calibri" w:hAnsi="Calibri" w:eastAsia="黑体" w:cs="Calibri"/>
          <w:kern w:val="0"/>
          <w:sz w:val="32"/>
        </w:rPr>
        <w:t xml:space="preserve">  </w:t>
      </w:r>
      <w:r>
        <w:rPr>
          <w:rFonts w:ascii="Calibri" w:eastAsia="黑体" w:cs="Calibri"/>
          <w:kern w:val="0"/>
          <w:sz w:val="32"/>
        </w:rPr>
        <w:t>投标人须知</w:t>
      </w:r>
      <w:bookmarkEnd w:id="0"/>
      <w:bookmarkEnd w:id="27"/>
      <w:bookmarkEnd w:id="28"/>
      <w:bookmarkEnd w:id="29"/>
      <w:bookmarkStart w:id="30" w:name="_Toc143421654"/>
    </w:p>
    <w:p>
      <w:pPr>
        <w:pStyle w:val="91"/>
        <w:jc w:val="center"/>
        <w:rPr>
          <w:rFonts w:ascii="Calibri" w:hAnsi="Calibri" w:eastAsia="黑体" w:cs="Calibri"/>
          <w:kern w:val="2"/>
          <w:sz w:val="28"/>
          <w:szCs w:val="32"/>
        </w:rPr>
      </w:pPr>
      <w:bookmarkStart w:id="31" w:name="_Toc400369185"/>
      <w:bookmarkStart w:id="32" w:name="_Toc444811409"/>
      <w:bookmarkStart w:id="33" w:name="_Toc349011858"/>
      <w:bookmarkStart w:id="34" w:name="_Toc349007688"/>
      <w:bookmarkStart w:id="35" w:name="_Toc11881"/>
      <w:bookmarkStart w:id="36" w:name="_Toc386359393"/>
      <w:bookmarkStart w:id="37" w:name="_Toc444174979"/>
      <w:bookmarkStart w:id="38" w:name="_Toc448002984"/>
      <w:bookmarkStart w:id="39" w:name="_Toc386363317"/>
      <w:bookmarkStart w:id="40" w:name="_Toc444173459"/>
      <w:bookmarkStart w:id="41" w:name="_Toc9351381"/>
      <w:r>
        <w:rPr>
          <w:rFonts w:ascii="Calibri" w:hAnsi="Arial" w:eastAsia="黑体" w:cs="Calibri"/>
          <w:kern w:val="2"/>
          <w:sz w:val="28"/>
          <w:szCs w:val="32"/>
        </w:rPr>
        <w:t>投标人须知前附表</w:t>
      </w:r>
      <w:bookmarkEnd w:id="1"/>
      <w:bookmarkEnd w:id="2"/>
      <w:bookmarkEnd w:id="30"/>
      <w:bookmarkEnd w:id="31"/>
      <w:bookmarkEnd w:id="32"/>
      <w:bookmarkEnd w:id="33"/>
      <w:bookmarkEnd w:id="34"/>
      <w:bookmarkEnd w:id="35"/>
      <w:bookmarkEnd w:id="36"/>
      <w:bookmarkEnd w:id="37"/>
      <w:bookmarkEnd w:id="38"/>
      <w:bookmarkEnd w:id="39"/>
      <w:bookmarkEnd w:id="40"/>
      <w:bookmarkEnd w:id="41"/>
      <w:bookmarkStart w:id="42" w:name="_Toc143421656"/>
      <w:bookmarkStart w:id="43" w:name="_Toc11067"/>
      <w:r>
        <w:rPr>
          <w:rFonts w:ascii="Calibri" w:hAnsi="Calibri" w:eastAsia="黑体" w:cs="Calibri"/>
          <w:kern w:val="2"/>
          <w:sz w:val="28"/>
          <w:szCs w:val="32"/>
        </w:rPr>
        <w:t xml:space="preserve"> </w:t>
      </w:r>
    </w:p>
    <w:tbl>
      <w:tblPr>
        <w:tblStyle w:val="46"/>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Arial"/>
                <w:b/>
                <w:kern w:val="0"/>
                <w:sz w:val="22"/>
              </w:rPr>
              <w:t>杭州萧山国际机场室内移动会议系统采购项目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40"/>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见招标公告，具体要求详见第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Calibri"/>
                <w:b/>
                <w:kern w:val="0"/>
                <w:sz w:val="22"/>
              </w:rPr>
              <w:t>合同签订后</w:t>
            </w:r>
            <w:r>
              <w:rPr>
                <w:rFonts w:hint="eastAsia" w:ascii="宋体" w:hAnsi="宋体"/>
                <w:b/>
                <w:sz w:val="22"/>
                <w:u w:val="single"/>
              </w:rPr>
              <w:t xml:space="preserve">  </w:t>
            </w:r>
            <w:r>
              <w:rPr>
                <w:rFonts w:ascii="宋体" w:hAnsi="宋体"/>
                <w:b/>
                <w:sz w:val="22"/>
                <w:u w:val="single"/>
              </w:rPr>
              <w:t>30</w:t>
            </w:r>
            <w:r>
              <w:rPr>
                <w:rFonts w:hint="eastAsia" w:ascii="宋体" w:hAnsi="宋体"/>
                <w:b/>
                <w:sz w:val="22"/>
                <w:u w:val="single"/>
              </w:rPr>
              <w:t xml:space="preserve"> </w:t>
            </w:r>
            <w:r>
              <w:rPr>
                <w:rFonts w:hint="eastAsia" w:ascii="宋体" w:hAnsi="宋体"/>
                <w:b/>
                <w:sz w:val="22"/>
              </w:rPr>
              <w:t>日历天</w:t>
            </w:r>
            <w:r>
              <w:rPr>
                <w:rFonts w:hint="eastAsia" w:ascii="宋体" w:hAnsi="宋体" w:cs="Calibri"/>
                <w:b/>
                <w:kern w:val="0"/>
                <w:sz w:val="22"/>
              </w:rPr>
              <w:t>内（含安装调试）。</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rPr>
                <w:rFonts w:ascii="宋体" w:hAnsi="宋体"/>
                <w:color w:val="000000"/>
                <w:sz w:val="22"/>
              </w:rPr>
            </w:pPr>
            <w:r>
              <w:rPr>
                <w:rFonts w:hint="eastAsia" w:ascii="宋体" w:hAnsi="宋体"/>
                <w:iCs/>
                <w:sz w:val="22"/>
              </w:rPr>
              <w:t>符</w:t>
            </w:r>
            <w:r>
              <w:rPr>
                <w:rFonts w:hint="eastAsia" w:ascii="宋体" w:hAnsi="宋体"/>
                <w:sz w:val="22"/>
              </w:rPr>
              <w:t>合国家现行</w:t>
            </w:r>
            <w:r>
              <w:rPr>
                <w:rFonts w:hint="eastAsia" w:ascii="宋体" w:hAnsi="宋体"/>
                <w:sz w:val="22"/>
                <w:u w:val="single"/>
              </w:rPr>
              <w:t xml:space="preserve">  行业   </w:t>
            </w:r>
            <w:r>
              <w:rPr>
                <w:rFonts w:hint="eastAsia" w:ascii="宋体" w:hAnsi="宋体"/>
                <w:sz w:val="22"/>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t>□组织，踏勘时间：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2019年</w:t>
            </w:r>
            <w:r>
              <w:rPr>
                <w:rFonts w:hint="eastAsia" w:ascii="宋体" w:hAnsi="宋体" w:cs="Calibri"/>
                <w:kern w:val="0"/>
                <w:sz w:val="22"/>
                <w:lang w:val="en-US" w:eastAsia="zh-CN"/>
              </w:rPr>
              <w:t>9</w:t>
            </w:r>
            <w:r>
              <w:rPr>
                <w:rFonts w:hint="eastAsia" w:ascii="宋体" w:hAnsi="宋体" w:cs="Calibri"/>
                <w:kern w:val="0"/>
                <w:sz w:val="22"/>
              </w:rPr>
              <w:t>月</w:t>
            </w:r>
            <w:r>
              <w:rPr>
                <w:rFonts w:hint="eastAsia" w:ascii="宋体" w:hAnsi="宋体" w:cs="Calibri"/>
                <w:kern w:val="0"/>
                <w:sz w:val="22"/>
                <w:lang w:val="en-US" w:eastAsia="zh-CN"/>
              </w:rPr>
              <w:t>3</w:t>
            </w:r>
            <w:r>
              <w:rPr>
                <w:rFonts w:hint="eastAsia" w:ascii="宋体" w:hAnsi="宋体" w:cs="Calibri"/>
                <w:kern w:val="0"/>
                <w:sz w:val="22"/>
              </w:rPr>
              <w:t>日11：30前，以书面加盖公章的形式通过E-mail或传真提交给招标人（投标联系人:贾工，电话0571-8</w:t>
            </w:r>
            <w:r>
              <w:rPr>
                <w:rFonts w:hint="eastAsia" w:ascii="宋体" w:hAnsi="宋体" w:cs="Calibri"/>
                <w:kern w:val="0"/>
                <w:sz w:val="22"/>
                <w:lang w:val="en-US" w:eastAsia="zh-CN"/>
              </w:rPr>
              <w:t>3837612</w:t>
            </w:r>
            <w:r>
              <w:rPr>
                <w:rFonts w:hint="eastAsia" w:ascii="宋体" w:hAnsi="宋体" w:cs="Calibri"/>
                <w:kern w:val="0"/>
                <w:sz w:val="22"/>
              </w:rPr>
              <w:t>；传真：0571-8</w:t>
            </w:r>
            <w:r>
              <w:rPr>
                <w:rFonts w:hint="eastAsia" w:ascii="宋体" w:hAnsi="宋体" w:cs="Calibri"/>
                <w:kern w:val="0"/>
                <w:sz w:val="22"/>
                <w:lang w:val="en-US" w:eastAsia="zh-CN"/>
              </w:rPr>
              <w:t>3837612</w:t>
            </w:r>
            <w:r>
              <w:rPr>
                <w:rFonts w:hint="eastAsia" w:ascii="宋体" w:hAnsi="宋体" w:cs="Calibri"/>
                <w:kern w:val="0"/>
                <w:sz w:val="22"/>
              </w:rPr>
              <w:t>；电子邮箱：zbzx@hzairport.com）投标人必须在规定时间前提出对招标文件的疑问，否则招标人有权拒绝接收和拒绝回答未在截止时间前提出的疑问</w:t>
            </w:r>
            <w:r>
              <w:rPr>
                <w:rFonts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hint="eastAsia" w:ascii="宋体" w:hAnsi="宋体" w:eastAsia="宋体" w:cs="Calibri"/>
                <w:b/>
                <w:kern w:val="0"/>
                <w:sz w:val="22"/>
                <w:lang w:eastAsia="zh-CN"/>
              </w:rPr>
            </w:pPr>
            <w:r>
              <w:rPr>
                <w:rFonts w:hint="eastAsia" w:ascii="宋体" w:hAnsi="宋体" w:cs="Calibri"/>
                <w:b/>
                <w:kern w:val="0"/>
                <w:sz w:val="22"/>
                <w:lang w:eastAsia="zh-CN"/>
              </w:rPr>
              <w:t>2019年9月11日上午9时00分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Calibri"/>
                <w:kern w:val="0"/>
                <w:sz w:val="22"/>
                <w:u w:val="single"/>
              </w:rPr>
              <w:t>杭州萧山国际机场＊＊＊＊采购</w:t>
            </w:r>
            <w:r>
              <w:rPr>
                <w:rFonts w:ascii="宋体" w:hAnsi="宋体" w:cs="Calibri"/>
                <w:kern w:val="0"/>
                <w:sz w:val="22"/>
                <w:u w:val="single"/>
              </w:rPr>
              <w:t>项目</w:t>
            </w:r>
            <w:r>
              <w:rPr>
                <w:rFonts w:hint="eastAsia" w:ascii="宋体" w:hAnsi="宋体" w:cs="宋体"/>
                <w:sz w:val="22"/>
              </w:rPr>
              <w:t>投标文件</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ascii="宋体" w:hAnsi="宋体" w:cs="Calibri"/>
                <w:kern w:val="0"/>
                <w:sz w:val="22"/>
                <w:u w:val="single"/>
              </w:rPr>
              <w:t xml:space="preserve">     </w:t>
            </w:r>
            <w:r>
              <w:rPr>
                <w:rFonts w:ascii="宋体" w:hAnsi="宋体" w:cs="Calibri"/>
                <w:kern w:val="0"/>
                <w:sz w:val="22"/>
              </w:rPr>
              <w:t>年</w:t>
            </w:r>
            <w:r>
              <w:rPr>
                <w:rFonts w:ascii="宋体" w:hAnsi="宋体" w:cs="Calibri"/>
                <w:kern w:val="0"/>
                <w:sz w:val="22"/>
                <w:u w:val="single"/>
              </w:rPr>
              <w:t xml:space="preserve">  </w:t>
            </w:r>
            <w:r>
              <w:rPr>
                <w:rFonts w:ascii="宋体" w:hAnsi="宋体" w:cs="Calibri"/>
                <w:kern w:val="0"/>
                <w:sz w:val="22"/>
              </w:rPr>
              <w:t>月</w:t>
            </w:r>
            <w:r>
              <w:rPr>
                <w:rFonts w:ascii="宋体" w:hAnsi="宋体" w:cs="Calibri"/>
                <w:kern w:val="0"/>
                <w:sz w:val="22"/>
                <w:u w:val="single"/>
              </w:rPr>
              <w:t xml:space="preserve">  </w:t>
            </w:r>
            <w:r>
              <w:rPr>
                <w:rFonts w:ascii="宋体" w:hAnsi="宋体" w:cs="Calibri"/>
                <w:kern w:val="0"/>
                <w:sz w:val="22"/>
              </w:rPr>
              <w:t>日</w:t>
            </w:r>
            <w:r>
              <w:rPr>
                <w:rFonts w:ascii="宋体" w:hAnsi="宋体" w:cs="Calibri"/>
                <w:kern w:val="0"/>
                <w:sz w:val="22"/>
                <w:u w:val="single"/>
              </w:rPr>
              <w:t xml:space="preserve">  </w:t>
            </w:r>
            <w:r>
              <w:rPr>
                <w:rFonts w:ascii="宋体" w:hAnsi="宋体" w:cs="Calibri"/>
                <w:kern w:val="0"/>
                <w:sz w:val="22"/>
              </w:rPr>
              <w:t>时</w:t>
            </w:r>
            <w:r>
              <w:rPr>
                <w:rFonts w:ascii="宋体" w:hAnsi="宋体" w:cs="Calibri"/>
                <w:kern w:val="0"/>
                <w:sz w:val="22"/>
                <w:u w:val="single"/>
              </w:rPr>
              <w:t xml:space="preserve">  </w:t>
            </w:r>
            <w:r>
              <w:rPr>
                <w:rFonts w:ascii="宋体" w:hAnsi="宋体" w:cs="Calibri"/>
                <w:kern w:val="0"/>
                <w:sz w:val="22"/>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b/>
                <w:bCs/>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40"/>
              <w:rPr>
                <w:rFonts w:ascii="宋体" w:hAnsi="宋体" w:cs="Calibri"/>
                <w:color w:val="auto"/>
                <w:sz w:val="22"/>
                <w:szCs w:val="22"/>
              </w:rPr>
            </w:pPr>
            <w:r>
              <w:rPr>
                <w:rFonts w:ascii="宋体" w:hAnsi="宋体" w:cs="Calibri"/>
                <w:color w:val="auto"/>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40"/>
              <w:rPr>
                <w:rFonts w:ascii="宋体" w:hAnsi="宋体"/>
                <w:color w:val="auto"/>
                <w:sz w:val="22"/>
                <w:szCs w:val="22"/>
              </w:rPr>
            </w:pPr>
            <w:r>
              <w:rPr>
                <w:rFonts w:hint="eastAsia" w:ascii="宋体" w:hAnsi="宋体"/>
                <w:color w:val="auto"/>
                <w:sz w:val="22"/>
                <w:szCs w:val="22"/>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spacing w:line="276" w:lineRule="auto"/>
        <w:rPr>
          <w:rFonts w:ascii="宋体" w:hAnsi="宋体" w:cs="Calibri"/>
          <w:b/>
          <w:bCs/>
          <w:kern w:val="0"/>
          <w:sz w:val="22"/>
        </w:rPr>
      </w:pPr>
      <w:r>
        <w:rPr>
          <w:b/>
        </w:rPr>
        <w:br w:type="page"/>
      </w:r>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1.1 项目概况</w:t>
      </w:r>
    </w:p>
    <w:p>
      <w:pPr>
        <w:adjustRightInd w:val="0"/>
        <w:snapToGrid w:val="0"/>
        <w:spacing w:line="276" w:lineRule="auto"/>
        <w:ind w:firstLine="44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276" w:lineRule="auto"/>
        <w:ind w:firstLine="440"/>
        <w:rPr>
          <w:rFonts w:ascii="宋体" w:hAnsi="宋体" w:cs="Calibri"/>
          <w:color w:val="000000"/>
          <w:sz w:val="22"/>
        </w:rPr>
      </w:pPr>
      <w:r>
        <w:rPr>
          <w:rFonts w:ascii="宋体" w:hAnsi="宋体" w:cs="Calibri"/>
          <w:color w:val="000000"/>
          <w:kern w:val="0"/>
          <w:sz w:val="22"/>
        </w:rPr>
        <w:t>1.1.2项目</w:t>
      </w:r>
      <w:r>
        <w:rPr>
          <w:rFonts w:hint="eastAsia" w:ascii="宋体" w:hAnsi="宋体" w:cs="Calibri"/>
          <w:color w:val="000000"/>
          <w:kern w:val="0"/>
          <w:sz w:val="22"/>
        </w:rPr>
        <w:t>交货</w:t>
      </w:r>
      <w:r>
        <w:rPr>
          <w:rFonts w:ascii="宋体" w:hAnsi="宋体" w:cs="Calibri"/>
          <w:color w:val="000000"/>
          <w:kern w:val="0"/>
          <w:sz w:val="22"/>
        </w:rPr>
        <w:t>地点见投标人须知前附表</w:t>
      </w:r>
      <w:r>
        <w:rPr>
          <w:rFonts w:ascii="宋体" w:hAnsi="宋体" w:cs="Calibri"/>
          <w:color w:val="000000"/>
          <w:sz w:val="22"/>
        </w:rPr>
        <w:t>。</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r>
        <w:rPr>
          <w:rFonts w:hint="eastAsia" w:ascii="宋体" w:hAnsi="宋体" w:cs="Calibri"/>
          <w:b/>
          <w:bCs/>
          <w:kern w:val="0"/>
          <w:sz w:val="22"/>
        </w:rPr>
        <w:t>内容</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w:t>
      </w:r>
      <w:r>
        <w:rPr>
          <w:rFonts w:hint="eastAsia" w:ascii="宋体" w:hAnsi="宋体" w:cs="Calibri"/>
          <w:b/>
          <w:bCs/>
          <w:kern w:val="0"/>
          <w:sz w:val="22"/>
        </w:rPr>
        <w:t>供货</w:t>
      </w:r>
      <w:r>
        <w:rPr>
          <w:rFonts w:ascii="宋体" w:hAnsi="宋体" w:cs="Calibri"/>
          <w:b/>
          <w:bCs/>
          <w:kern w:val="0"/>
          <w:sz w:val="22"/>
        </w:rPr>
        <w:t>期</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p>
    <w:p>
      <w:pPr>
        <w:adjustRightInd w:val="0"/>
        <w:snapToGrid w:val="0"/>
        <w:spacing w:line="276" w:lineRule="auto"/>
        <w:ind w:firstLine="44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本项目</w:t>
      </w:r>
      <w:r>
        <w:rPr>
          <w:rFonts w:hint="eastAsia" w:ascii="宋体" w:hAnsi="宋体" w:cs="Calibri"/>
          <w:color w:val="000000"/>
          <w:sz w:val="22"/>
        </w:rPr>
        <w:t>涉及到其它专业的部分分项工作</w:t>
      </w:r>
      <w:r>
        <w:rPr>
          <w:rFonts w:ascii="宋体" w:hAnsi="宋体" w:cs="Calibri"/>
          <w:color w:val="000000"/>
          <w:sz w:val="22"/>
        </w:rPr>
        <w:t>允许分包。</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2.招标文件</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2.1 招标文件的组成</w:t>
      </w:r>
    </w:p>
    <w:p>
      <w:pPr>
        <w:adjustRightInd w:val="0"/>
        <w:snapToGrid w:val="0"/>
        <w:spacing w:line="276" w:lineRule="auto"/>
        <w:ind w:firstLine="440"/>
        <w:rPr>
          <w:rFonts w:ascii="宋体" w:hAnsi="宋体" w:cs="Calibri"/>
          <w:kern w:val="0"/>
          <w:sz w:val="22"/>
        </w:rPr>
      </w:pPr>
      <w:r>
        <w:rPr>
          <w:rFonts w:ascii="宋体" w:hAnsi="宋体" w:cs="Calibri"/>
          <w:kern w:val="0"/>
          <w:sz w:val="22"/>
        </w:rPr>
        <w:t>本招标文件包括：</w:t>
      </w:r>
    </w:p>
    <w:p>
      <w:pPr>
        <w:adjustRightInd w:val="0"/>
        <w:snapToGrid w:val="0"/>
        <w:spacing w:line="276" w:lineRule="auto"/>
        <w:ind w:firstLine="440"/>
        <w:rPr>
          <w:rFonts w:ascii="宋体" w:hAnsi="宋体" w:cs="Calibri"/>
          <w:kern w:val="0"/>
          <w:sz w:val="22"/>
        </w:rPr>
      </w:pPr>
      <w:r>
        <w:rPr>
          <w:rFonts w:ascii="宋体" w:hAnsi="宋体" w:cs="Calibri"/>
          <w:kern w:val="0"/>
          <w:sz w:val="22"/>
        </w:rPr>
        <w:t>（1）招标公告</w:t>
      </w:r>
    </w:p>
    <w:p>
      <w:pPr>
        <w:adjustRightInd w:val="0"/>
        <w:snapToGrid w:val="0"/>
        <w:spacing w:line="276" w:lineRule="auto"/>
        <w:ind w:firstLine="440"/>
        <w:rPr>
          <w:rFonts w:ascii="宋体" w:hAnsi="宋体" w:cs="Calibri"/>
          <w:kern w:val="0"/>
          <w:sz w:val="22"/>
        </w:rPr>
      </w:pPr>
      <w:r>
        <w:rPr>
          <w:rFonts w:ascii="宋体" w:hAnsi="宋体" w:cs="Calibri"/>
          <w:kern w:val="0"/>
          <w:sz w:val="22"/>
        </w:rPr>
        <w:t>（2）投标人须知</w:t>
      </w:r>
    </w:p>
    <w:p>
      <w:pPr>
        <w:adjustRightInd w:val="0"/>
        <w:snapToGrid w:val="0"/>
        <w:spacing w:line="276" w:lineRule="auto"/>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276" w:lineRule="auto"/>
        <w:ind w:firstLine="440"/>
        <w:rPr>
          <w:rFonts w:ascii="宋体" w:hAnsi="宋体" w:cs="Calibri"/>
          <w:kern w:val="0"/>
          <w:sz w:val="22"/>
        </w:rPr>
      </w:pPr>
      <w:r>
        <w:rPr>
          <w:rFonts w:ascii="宋体" w:hAnsi="宋体" w:cs="Calibri"/>
          <w:kern w:val="0"/>
          <w:sz w:val="22"/>
        </w:rPr>
        <w:t>（4）合同条款</w:t>
      </w:r>
    </w:p>
    <w:p>
      <w:pPr>
        <w:adjustRightInd w:val="0"/>
        <w:snapToGrid w:val="0"/>
        <w:spacing w:line="276" w:lineRule="auto"/>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276" w:lineRule="auto"/>
        <w:ind w:firstLine="440"/>
        <w:rPr>
          <w:rFonts w:ascii="宋体" w:hAnsi="宋体" w:cs="Calibri"/>
          <w:kern w:val="0"/>
          <w:sz w:val="22"/>
        </w:rPr>
      </w:pPr>
      <w:r>
        <w:rPr>
          <w:rFonts w:ascii="宋体" w:hAnsi="宋体" w:cs="Calibri"/>
          <w:kern w:val="0"/>
          <w:sz w:val="22"/>
        </w:rPr>
        <w:t>（6）投标文件格式</w:t>
      </w:r>
    </w:p>
    <w:p>
      <w:pPr>
        <w:adjustRightInd w:val="0"/>
        <w:snapToGrid w:val="0"/>
        <w:spacing w:line="276" w:lineRule="auto"/>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2.2 招标文件的澄清</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2.2.2</w:t>
      </w:r>
      <w:r>
        <w:rPr>
          <w:rFonts w:hint="eastAsia" w:ascii="宋体" w:hAnsi="宋体" w:cs="Calibri"/>
          <w:color w:val="000000"/>
          <w:sz w:val="22"/>
        </w:rPr>
        <w:t>招标人将视情况采用补充公告的方式予以澄清。</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2.3 招标文件的修改</w:t>
      </w:r>
    </w:p>
    <w:p>
      <w:pPr>
        <w:adjustRightInd w:val="0"/>
        <w:snapToGrid w:val="0"/>
        <w:spacing w:line="276" w:lineRule="auto"/>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3.投标文件</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3.1 投标文件的语言和计量单位</w:t>
      </w:r>
    </w:p>
    <w:p>
      <w:pPr>
        <w:adjustRightInd w:val="0"/>
        <w:snapToGrid w:val="0"/>
        <w:spacing w:line="276" w:lineRule="auto"/>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276" w:lineRule="auto"/>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276" w:lineRule="auto"/>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276" w:lineRule="auto"/>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3.2 投标文件的组成</w:t>
      </w:r>
    </w:p>
    <w:p>
      <w:pPr>
        <w:adjustRightInd w:val="0"/>
        <w:snapToGrid w:val="0"/>
        <w:spacing w:line="276" w:lineRule="auto"/>
        <w:ind w:firstLine="440"/>
        <w:rPr>
          <w:rFonts w:ascii="宋体" w:hAnsi="宋体" w:cs="Calibri"/>
          <w:sz w:val="22"/>
        </w:rPr>
      </w:pPr>
      <w:r>
        <w:rPr>
          <w:rFonts w:ascii="宋体" w:hAnsi="宋体" w:cs="Calibri"/>
          <w:sz w:val="22"/>
        </w:rPr>
        <w:t>3.2.1投标函；</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w:t>
      </w:r>
      <w:r>
        <w:rPr>
          <w:rFonts w:ascii="宋体" w:hAnsi="宋体" w:cs="Calibri"/>
          <w:color w:val="000000"/>
          <w:sz w:val="22"/>
        </w:rPr>
        <w:t xml:space="preserve"> 投标报价表；</w:t>
      </w:r>
    </w:p>
    <w:p>
      <w:pPr>
        <w:adjustRightInd w:val="0"/>
        <w:snapToGrid w:val="0"/>
        <w:spacing w:line="276" w:lineRule="auto"/>
        <w:ind w:firstLine="440"/>
        <w:rPr>
          <w:rFonts w:ascii="宋体" w:hAnsi="宋体" w:cs="Calibri"/>
          <w:sz w:val="22"/>
        </w:rPr>
      </w:pPr>
      <w:r>
        <w:rPr>
          <w:rFonts w:ascii="宋体" w:hAnsi="宋体" w:cs="Calibri"/>
          <w:sz w:val="22"/>
        </w:rPr>
        <w:t>3.2.5投标人资格证明文件：</w:t>
      </w:r>
    </w:p>
    <w:p>
      <w:pPr>
        <w:adjustRightInd w:val="0"/>
        <w:snapToGrid w:val="0"/>
        <w:spacing w:line="276" w:lineRule="auto"/>
        <w:ind w:firstLine="440"/>
        <w:rPr>
          <w:rFonts w:ascii="宋体" w:hAnsi="宋体" w:cs="Calibri"/>
          <w:sz w:val="22"/>
        </w:rPr>
      </w:pPr>
      <w:r>
        <w:rPr>
          <w:rFonts w:ascii="宋体" w:hAnsi="宋体" w:cs="Calibri"/>
          <w:sz w:val="22"/>
        </w:rPr>
        <w:t>（1）</w:t>
      </w:r>
      <w:r>
        <w:rPr>
          <w:rFonts w:ascii="宋体" w:hAnsi="宋体" w:cs="Calibri"/>
          <w:color w:val="000000"/>
          <w:sz w:val="22"/>
        </w:rPr>
        <w:t>投标人一般情况</w:t>
      </w:r>
      <w:r>
        <w:rPr>
          <w:rFonts w:hint="eastAsia" w:ascii="宋体" w:hAnsi="宋体" w:cs="Calibri"/>
          <w:color w:val="000000"/>
          <w:sz w:val="22"/>
        </w:rPr>
        <w:t>及</w:t>
      </w:r>
      <w:r>
        <w:rPr>
          <w:rFonts w:ascii="宋体" w:hAnsi="宋体" w:cs="Calibri"/>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276" w:lineRule="auto"/>
        <w:ind w:firstLine="440"/>
        <w:rPr>
          <w:rFonts w:ascii="宋体" w:hAnsi="宋体" w:cs="Calibri"/>
          <w:sz w:val="22"/>
        </w:rPr>
      </w:pPr>
      <w:r>
        <w:rPr>
          <w:rFonts w:hint="eastAsia" w:ascii="宋体" w:hAnsi="宋体" w:cs="Calibri"/>
          <w:sz w:val="22"/>
        </w:rPr>
        <w:t>（2）投标产品近三年的销售业绩一览表（附业绩的合同）。</w:t>
      </w:r>
    </w:p>
    <w:p>
      <w:pPr>
        <w:adjustRightInd w:val="0"/>
        <w:snapToGrid w:val="0"/>
        <w:spacing w:line="276" w:lineRule="auto"/>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276" w:lineRule="auto"/>
        <w:ind w:firstLine="440"/>
        <w:rPr>
          <w:rFonts w:ascii="宋体" w:hAnsi="宋体" w:cs="Calibri"/>
          <w:sz w:val="22"/>
        </w:rPr>
      </w:pPr>
      <w:r>
        <w:rPr>
          <w:rFonts w:hint="eastAsia" w:ascii="宋体" w:hAnsi="宋体" w:cs="宋体"/>
          <w:sz w:val="22"/>
        </w:rPr>
        <w:t>3.2.7 商务条款响应偏离表；</w:t>
      </w:r>
    </w:p>
    <w:p>
      <w:pPr>
        <w:adjustRightInd w:val="0"/>
        <w:snapToGrid w:val="0"/>
        <w:spacing w:line="276" w:lineRule="auto"/>
        <w:ind w:firstLine="44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276" w:lineRule="auto"/>
        <w:ind w:firstLine="44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276" w:lineRule="auto"/>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276" w:lineRule="auto"/>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276" w:lineRule="auto"/>
        <w:ind w:firstLine="440"/>
        <w:rPr>
          <w:rFonts w:ascii="宋体" w:hAnsi="宋体" w:cs="宋体"/>
          <w:sz w:val="22"/>
        </w:rPr>
      </w:pPr>
      <w:r>
        <w:rPr>
          <w:rFonts w:hint="eastAsia" w:ascii="宋体" w:hAnsi="宋体" w:cs="宋体"/>
          <w:sz w:val="22"/>
        </w:rPr>
        <w:t>3.2.12现场指导、调试；</w:t>
      </w:r>
    </w:p>
    <w:p>
      <w:pPr>
        <w:adjustRightInd w:val="0"/>
        <w:snapToGrid w:val="0"/>
        <w:spacing w:line="276" w:lineRule="auto"/>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276" w:lineRule="auto"/>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276" w:lineRule="auto"/>
        <w:ind w:firstLine="440"/>
        <w:rPr>
          <w:rFonts w:ascii="宋体" w:hAnsi="宋体" w:cs="宋体"/>
          <w:sz w:val="22"/>
        </w:rPr>
      </w:pPr>
      <w:r>
        <w:rPr>
          <w:rFonts w:hint="eastAsia" w:ascii="宋体" w:hAnsi="宋体" w:cs="宋体"/>
          <w:sz w:val="22"/>
        </w:rPr>
        <w:t>3.2.15关于质量保证期的说明；</w:t>
      </w:r>
    </w:p>
    <w:p>
      <w:pPr>
        <w:adjustRightInd w:val="0"/>
        <w:snapToGrid w:val="0"/>
        <w:spacing w:line="276" w:lineRule="auto"/>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276" w:lineRule="auto"/>
        <w:ind w:firstLine="440"/>
        <w:rPr>
          <w:rFonts w:ascii="宋体" w:hAnsi="宋体" w:cs="宋体"/>
          <w:sz w:val="22"/>
        </w:rPr>
      </w:pPr>
      <w:r>
        <w:rPr>
          <w:rFonts w:hint="eastAsia" w:ascii="宋体" w:hAnsi="宋体" w:cs="宋体"/>
          <w:sz w:val="22"/>
        </w:rPr>
        <w:t>3.2.17</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3.3 投标报价</w:t>
      </w:r>
    </w:p>
    <w:p>
      <w:pPr>
        <w:adjustRightInd w:val="0"/>
        <w:snapToGrid w:val="0"/>
        <w:spacing w:line="276" w:lineRule="auto"/>
        <w:ind w:firstLine="440"/>
        <w:rPr>
          <w:rFonts w:ascii="宋体" w:hAnsi="宋体" w:cs="Calibri"/>
          <w:sz w:val="22"/>
        </w:rPr>
      </w:pPr>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276" w:lineRule="auto"/>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pPr>
        <w:adjustRightInd w:val="0"/>
        <w:snapToGrid w:val="0"/>
        <w:spacing w:line="276" w:lineRule="auto"/>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276" w:lineRule="auto"/>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276" w:lineRule="auto"/>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276" w:lineRule="auto"/>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276" w:lineRule="auto"/>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276" w:lineRule="auto"/>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276" w:lineRule="auto"/>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276" w:lineRule="auto"/>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276" w:lineRule="auto"/>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276" w:lineRule="auto"/>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276" w:lineRule="auto"/>
        <w:ind w:firstLine="440"/>
        <w:rPr>
          <w:rFonts w:ascii="宋体" w:hAnsi="宋体" w:cs="Calibri"/>
          <w:sz w:val="22"/>
        </w:rPr>
      </w:pPr>
      <w:r>
        <w:rPr>
          <w:rFonts w:hint="eastAsia" w:ascii="宋体" w:hAnsi="宋体" w:cs="Calibri"/>
          <w:sz w:val="22"/>
        </w:rPr>
        <w:t>3.3.10</w:t>
      </w:r>
      <w:r>
        <w:rPr>
          <w:rFonts w:hint="eastAsia" w:ascii="宋体" w:hAnsi="宋体" w:cs="Calibri"/>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ascii="宋体" w:hAnsi="宋体" w:cs="Calibri"/>
          <w:b/>
          <w:color w:val="000000"/>
          <w:kern w:val="0"/>
          <w:sz w:val="22"/>
        </w:rPr>
        <w:t>。</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3.4 投标有效期</w:t>
      </w:r>
    </w:p>
    <w:p>
      <w:pPr>
        <w:adjustRightInd w:val="0"/>
        <w:snapToGrid w:val="0"/>
        <w:spacing w:line="276" w:lineRule="auto"/>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276" w:lineRule="auto"/>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3.5 投标保证金</w:t>
      </w:r>
      <w:r>
        <w:rPr>
          <w:rFonts w:hint="eastAsia" w:ascii="宋体" w:hAnsi="宋体" w:cs="Calibri"/>
          <w:b/>
          <w:bCs/>
          <w:kern w:val="0"/>
          <w:sz w:val="22"/>
        </w:rPr>
        <w:t>（如有）</w:t>
      </w:r>
    </w:p>
    <w:p>
      <w:pPr>
        <w:adjustRightInd w:val="0"/>
        <w:snapToGrid w:val="0"/>
        <w:spacing w:line="276" w:lineRule="auto"/>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276" w:lineRule="auto"/>
        <w:ind w:firstLine="440"/>
        <w:rPr>
          <w:rFonts w:ascii="宋体" w:hAnsi="宋体" w:cs="Calibri"/>
          <w:kern w:val="0"/>
          <w:sz w:val="22"/>
        </w:rPr>
      </w:pPr>
      <w:r>
        <w:rPr>
          <w:rFonts w:ascii="宋体" w:hAnsi="宋体" w:cs="Calibri"/>
          <w:kern w:val="0"/>
          <w:sz w:val="22"/>
        </w:rPr>
        <w:t>3.5.2招标人与中标人签订合同书后5日内，应当向未中标的投标人和中标人退还投标保证金。</w:t>
      </w:r>
    </w:p>
    <w:p>
      <w:pPr>
        <w:adjustRightInd w:val="0"/>
        <w:snapToGrid w:val="0"/>
        <w:spacing w:line="276" w:lineRule="auto"/>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276" w:lineRule="auto"/>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276" w:lineRule="auto"/>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276" w:lineRule="auto"/>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3.6 投标文件的编制</w:t>
      </w:r>
    </w:p>
    <w:p>
      <w:pPr>
        <w:adjustRightInd w:val="0"/>
        <w:snapToGrid w:val="0"/>
        <w:spacing w:line="276" w:lineRule="auto"/>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276" w:lineRule="auto"/>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276" w:lineRule="auto"/>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276" w:lineRule="auto"/>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276" w:lineRule="auto"/>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4.投标</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4.1 投标文件的密封和标识</w:t>
      </w:r>
    </w:p>
    <w:p>
      <w:pPr>
        <w:adjustRightInd w:val="0"/>
        <w:snapToGrid w:val="0"/>
        <w:spacing w:line="276" w:lineRule="auto"/>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276" w:lineRule="auto"/>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276" w:lineRule="auto"/>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276" w:lineRule="auto"/>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 xml:space="preserve">4.2 投标文件的递交 </w:t>
      </w:r>
    </w:p>
    <w:p>
      <w:pPr>
        <w:autoSpaceDE w:val="0"/>
        <w:autoSpaceDN w:val="0"/>
        <w:adjustRightInd w:val="0"/>
        <w:snapToGrid w:val="0"/>
        <w:spacing w:line="276" w:lineRule="auto"/>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276" w:lineRule="auto"/>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276" w:lineRule="auto"/>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276" w:lineRule="auto"/>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4.3 投标文件的修改和撤回</w:t>
      </w:r>
    </w:p>
    <w:p>
      <w:pPr>
        <w:adjustRightInd w:val="0"/>
        <w:snapToGrid w:val="0"/>
        <w:spacing w:line="276" w:lineRule="auto"/>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276" w:lineRule="auto"/>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276" w:lineRule="auto"/>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5.开标</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5.1 开标时间和地点</w:t>
      </w:r>
    </w:p>
    <w:p>
      <w:pPr>
        <w:adjustRightInd w:val="0"/>
        <w:snapToGrid w:val="0"/>
        <w:spacing w:line="276" w:lineRule="auto"/>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276" w:lineRule="auto"/>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276" w:lineRule="auto"/>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276" w:lineRule="auto"/>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5.2 开标程序</w:t>
      </w:r>
    </w:p>
    <w:p>
      <w:pPr>
        <w:adjustRightInd w:val="0"/>
        <w:snapToGrid w:val="0"/>
        <w:spacing w:line="276" w:lineRule="auto"/>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276" w:lineRule="auto"/>
        <w:ind w:firstLine="440"/>
        <w:rPr>
          <w:rFonts w:ascii="宋体" w:hAnsi="宋体" w:cs="Calibri"/>
          <w:kern w:val="0"/>
          <w:sz w:val="22"/>
        </w:rPr>
      </w:pPr>
      <w:r>
        <w:rPr>
          <w:rFonts w:ascii="宋体" w:hAnsi="宋体" w:cs="Calibri"/>
          <w:kern w:val="0"/>
          <w:sz w:val="22"/>
        </w:rPr>
        <w:t>（1）宣布开标纪律；</w:t>
      </w:r>
    </w:p>
    <w:p>
      <w:pPr>
        <w:adjustRightInd w:val="0"/>
        <w:snapToGrid w:val="0"/>
        <w:spacing w:line="276" w:lineRule="auto"/>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276" w:lineRule="auto"/>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276" w:lineRule="auto"/>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276" w:lineRule="auto"/>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276" w:lineRule="auto"/>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276" w:lineRule="auto"/>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276" w:lineRule="auto"/>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6.评标</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6.1 评标委员会</w:t>
      </w:r>
    </w:p>
    <w:p>
      <w:pPr>
        <w:adjustRightInd w:val="0"/>
        <w:snapToGrid w:val="0"/>
        <w:spacing w:line="276" w:lineRule="auto"/>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276" w:lineRule="auto"/>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276" w:lineRule="auto"/>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276" w:lineRule="auto"/>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276" w:lineRule="auto"/>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276" w:lineRule="auto"/>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6.2 评标原则</w:t>
      </w:r>
    </w:p>
    <w:p>
      <w:pPr>
        <w:adjustRightInd w:val="0"/>
        <w:snapToGrid w:val="0"/>
        <w:spacing w:line="276" w:lineRule="auto"/>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6.3 评标</w:t>
      </w:r>
    </w:p>
    <w:p>
      <w:pPr>
        <w:adjustRightInd w:val="0"/>
        <w:snapToGrid w:val="0"/>
        <w:spacing w:line="276" w:lineRule="auto"/>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7.合同授予</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7.1 定标方式</w:t>
      </w:r>
    </w:p>
    <w:p>
      <w:pPr>
        <w:adjustRightInd w:val="0"/>
        <w:snapToGrid w:val="0"/>
        <w:spacing w:line="276" w:lineRule="auto"/>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7.2 中标通知</w:t>
      </w:r>
    </w:p>
    <w:p>
      <w:pPr>
        <w:adjustRightInd w:val="0"/>
        <w:snapToGrid w:val="0"/>
        <w:spacing w:line="276" w:lineRule="auto"/>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7.3 履约</w:t>
      </w:r>
      <w:r>
        <w:rPr>
          <w:rFonts w:hint="eastAsia" w:ascii="宋体" w:hAnsi="宋体" w:cs="Calibri"/>
          <w:b/>
          <w:bCs/>
          <w:kern w:val="0"/>
          <w:sz w:val="22"/>
        </w:rPr>
        <w:t>保证金</w:t>
      </w:r>
    </w:p>
    <w:p>
      <w:pPr>
        <w:adjustRightInd w:val="0"/>
        <w:snapToGrid w:val="0"/>
        <w:spacing w:line="276" w:lineRule="auto"/>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276" w:lineRule="auto"/>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7.4 签订合同</w:t>
      </w:r>
    </w:p>
    <w:p>
      <w:pPr>
        <w:adjustRightInd w:val="0"/>
        <w:snapToGrid w:val="0"/>
        <w:spacing w:line="276" w:lineRule="auto"/>
        <w:ind w:firstLine="440"/>
        <w:rPr>
          <w:rFonts w:ascii="宋体" w:hAnsi="宋体" w:cs="Calibri"/>
          <w:kern w:val="0"/>
          <w:sz w:val="22"/>
        </w:rPr>
      </w:pPr>
      <w:r>
        <w:rPr>
          <w:rFonts w:ascii="宋体" w:hAnsi="宋体" w:cs="Calibri"/>
          <w:sz w:val="22"/>
        </w:rPr>
        <w:t>7</w:t>
      </w:r>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276" w:lineRule="auto"/>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276" w:lineRule="auto"/>
        <w:ind w:firstLine="440" w:firstLineChars="200"/>
        <w:rPr>
          <w:rFonts w:ascii="宋体" w:hAnsi="宋体" w:cs="Calibri"/>
          <w:b/>
          <w:color w:val="000000"/>
          <w:kern w:val="0"/>
          <w:sz w:val="22"/>
        </w:rPr>
      </w:pPr>
      <w:r>
        <w:rPr>
          <w:rFonts w:hint="eastAsia" w:ascii="宋体" w:hAnsi="宋体" w:cs="Calibri"/>
          <w:color w:val="000000"/>
          <w:kern w:val="0"/>
          <w:sz w:val="22"/>
        </w:rPr>
        <w:t xml:space="preserve">7.4.3 </w:t>
      </w:r>
      <w:r>
        <w:rPr>
          <w:rFonts w:hint="eastAsia" w:ascii="宋体" w:hAnsi="宋体" w:cs="Calibri"/>
          <w:b/>
          <w:color w:val="000000"/>
          <w:kern w:val="0"/>
          <w:sz w:val="22"/>
        </w:rPr>
        <w:t>招标人在授予合同有权对本项目的服务内容等予以增加或者减少，中标人不得提出异议，否则招标人有权取消其中标资格。</w:t>
      </w:r>
    </w:p>
    <w:p>
      <w:pPr>
        <w:adjustRightInd w:val="0"/>
        <w:snapToGrid w:val="0"/>
        <w:spacing w:line="276" w:lineRule="auto"/>
        <w:ind w:firstLine="440"/>
        <w:rPr>
          <w:rFonts w:ascii="宋体" w:hAnsi="宋体" w:cs="Calibri"/>
          <w:kern w:val="0"/>
          <w:sz w:val="22"/>
        </w:rPr>
      </w:pPr>
      <w:r>
        <w:rPr>
          <w:rFonts w:hint="eastAsia" w:ascii="宋体" w:hAnsi="宋体" w:cs="Calibri"/>
          <w:color w:val="000000"/>
          <w:kern w:val="0"/>
          <w:sz w:val="22"/>
        </w:rPr>
        <w:t xml:space="preserve">7.4.4 </w:t>
      </w:r>
      <w:r>
        <w:rPr>
          <w:rFonts w:hint="eastAsia" w:ascii="宋体" w:hAnsi="宋体" w:cs="Calibri"/>
          <w:b/>
          <w:color w:val="000000"/>
          <w:kern w:val="0"/>
          <w:sz w:val="22"/>
        </w:rPr>
        <w:t>招标人在授予合同前的任何时候，仍保留接受或者拒绝任何投标和拒绝所有投标的权利。</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8.重新招标和不再招标</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8.1 重新招标</w:t>
      </w:r>
    </w:p>
    <w:p>
      <w:pPr>
        <w:adjustRightInd w:val="0"/>
        <w:snapToGrid w:val="0"/>
        <w:spacing w:line="276" w:lineRule="auto"/>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276" w:lineRule="auto"/>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276" w:lineRule="auto"/>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276" w:lineRule="auto"/>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8.2 不再招标</w:t>
      </w:r>
    </w:p>
    <w:p>
      <w:pPr>
        <w:adjustRightInd w:val="0"/>
        <w:snapToGrid w:val="0"/>
        <w:spacing w:line="276" w:lineRule="auto"/>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9.纪律和监督</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9.1 对招标人的纪律要求</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9.2 对投标人的纪律要求</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276" w:lineRule="auto"/>
        <w:ind w:firstLine="440"/>
        <w:rPr>
          <w:rFonts w:ascii="宋体" w:hAnsi="宋体" w:cs="Calibri"/>
          <w:b/>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9.3 对评标委员会成员的纪律要求</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color w:val="000000"/>
          <w:sz w:val="22"/>
        </w:rPr>
        <w:t>五</w:t>
      </w:r>
      <w:r>
        <w:rPr>
          <w:rFonts w:ascii="宋体" w:hAnsi="宋体" w:cs="Calibri"/>
          <w:color w:val="000000"/>
          <w:sz w:val="22"/>
        </w:rPr>
        <w:t>章“评标办法及标准”没有规定的评审因素和标准进行评标。</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9.4 对评标活动有关的工作人员的纪律要求</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9.5 投诉</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10. 需要补充的其他内容</w:t>
      </w:r>
    </w:p>
    <w:p>
      <w:pPr>
        <w:autoSpaceDE w:val="0"/>
        <w:autoSpaceDN w:val="0"/>
        <w:adjustRightInd w:val="0"/>
        <w:snapToGrid w:val="0"/>
        <w:spacing w:line="276" w:lineRule="auto"/>
        <w:ind w:firstLine="440"/>
        <w:jc w:val="left"/>
        <w:rPr>
          <w:rFonts w:ascii="宋体" w:hAnsi="宋体" w:cs="Calibri"/>
          <w:sz w:val="22"/>
        </w:rPr>
      </w:pPr>
      <w:r>
        <w:rPr>
          <w:rFonts w:ascii="宋体" w:hAnsi="宋体" w:cs="Calibri"/>
          <w:color w:val="000000"/>
          <w:sz w:val="22"/>
        </w:rPr>
        <w:t>需要补充的其他内容：见投标人须知前附表。</w:t>
      </w:r>
      <w:bookmarkEnd w:id="42"/>
      <w:bookmarkEnd w:id="43"/>
    </w:p>
    <w:p>
      <w:pPr>
        <w:autoSpaceDE w:val="0"/>
        <w:autoSpaceDN w:val="0"/>
        <w:adjustRightInd w:val="0"/>
        <w:snapToGrid w:val="0"/>
        <w:spacing w:line="360" w:lineRule="exact"/>
        <w:rPr>
          <w:rFonts w:ascii="宋体" w:hAnsi="宋体"/>
          <w:sz w:val="22"/>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pStyle w:val="2"/>
        <w:spacing w:before="0" w:after="0" w:line="360" w:lineRule="auto"/>
        <w:jc w:val="center"/>
        <w:rPr>
          <w:rFonts w:ascii="Calibri" w:hAnsi="Calibri" w:eastAsia="黑体" w:cs="Calibri"/>
          <w:kern w:val="0"/>
          <w:sz w:val="32"/>
        </w:rPr>
      </w:pPr>
      <w:bookmarkStart w:id="44" w:name="_Toc213036227"/>
      <w:bookmarkStart w:id="45" w:name="_Toc223327527"/>
      <w:bookmarkStart w:id="46" w:name="_Toc9351382"/>
      <w:r>
        <w:rPr>
          <w:rFonts w:ascii="Calibri" w:hAnsi="Calibri" w:eastAsia="黑体" w:cs="Calibri"/>
          <w:kern w:val="0"/>
          <w:sz w:val="32"/>
        </w:rPr>
        <w:t>第</w:t>
      </w:r>
      <w:r>
        <w:rPr>
          <w:rFonts w:hint="eastAsia" w:ascii="Calibri" w:hAnsi="Calibri" w:eastAsia="黑体" w:cs="Calibri"/>
          <w:kern w:val="0"/>
          <w:sz w:val="32"/>
        </w:rPr>
        <w:t>三</w:t>
      </w:r>
      <w:r>
        <w:rPr>
          <w:rFonts w:ascii="Calibri" w:hAnsi="Calibri" w:eastAsia="黑体" w:cs="Calibri"/>
          <w:kern w:val="0"/>
          <w:sz w:val="32"/>
        </w:rPr>
        <w:t>章</w:t>
      </w:r>
      <w:bookmarkEnd w:id="44"/>
      <w:bookmarkEnd w:id="45"/>
      <w:r>
        <w:rPr>
          <w:rFonts w:hint="eastAsia" w:ascii="Calibri" w:hAnsi="Calibri" w:eastAsia="黑体" w:cs="Calibri"/>
          <w:kern w:val="0"/>
          <w:sz w:val="32"/>
        </w:rPr>
        <w:t xml:space="preserve"> 货物需求一览表及技术规格</w:t>
      </w:r>
      <w:bookmarkEnd w:id="46"/>
    </w:p>
    <w:p>
      <w:pPr>
        <w:widowControl/>
        <w:jc w:val="left"/>
        <w:rPr>
          <w:rFonts w:ascii="宋体" w:hAnsi="宋体" w:cs="Calibri"/>
          <w:b/>
          <w:kern w:val="0"/>
          <w:sz w:val="22"/>
        </w:rPr>
      </w:pPr>
      <w:r>
        <w:rPr>
          <w:rFonts w:hint="eastAsia" w:ascii="宋体" w:hAnsi="宋体" w:cs="Calibri"/>
          <w:b/>
          <w:kern w:val="0"/>
          <w:sz w:val="22"/>
        </w:rPr>
        <w:t>一、货物需求一览表</w:t>
      </w:r>
    </w:p>
    <w:p>
      <w:pPr>
        <w:widowControl/>
        <w:jc w:val="left"/>
        <w:rPr>
          <w:rFonts w:ascii="宋体" w:hAnsi="宋体" w:cs="Calibri"/>
          <w:b/>
          <w:kern w:val="0"/>
          <w:sz w:val="22"/>
        </w:rPr>
      </w:pPr>
    </w:p>
    <w:tbl>
      <w:tblPr>
        <w:tblStyle w:val="46"/>
        <w:tblW w:w="80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050"/>
        <w:gridCol w:w="2070"/>
        <w:gridCol w:w="885"/>
        <w:gridCol w:w="795"/>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jc w:val="center"/>
        </w:trPr>
        <w:tc>
          <w:tcPr>
            <w:tcW w:w="700" w:type="dxa"/>
            <w:vAlign w:val="center"/>
          </w:tcPr>
          <w:p>
            <w:pPr>
              <w:adjustRightInd w:val="0"/>
              <w:snapToGrid w:val="0"/>
              <w:jc w:val="center"/>
              <w:rPr>
                <w:rFonts w:ascii="宋体" w:hAnsi="宋体"/>
                <w:caps/>
                <w:sz w:val="22"/>
              </w:rPr>
            </w:pPr>
            <w:r>
              <w:rPr>
                <w:rFonts w:hint="eastAsia" w:ascii="宋体" w:hAnsi="宋体"/>
                <w:caps/>
                <w:sz w:val="22"/>
              </w:rPr>
              <w:t>序号</w:t>
            </w:r>
          </w:p>
        </w:tc>
        <w:tc>
          <w:tcPr>
            <w:tcW w:w="3120" w:type="dxa"/>
            <w:gridSpan w:val="2"/>
            <w:vAlign w:val="center"/>
          </w:tcPr>
          <w:p>
            <w:pPr>
              <w:adjustRightInd w:val="0"/>
              <w:snapToGrid w:val="0"/>
              <w:jc w:val="center"/>
              <w:rPr>
                <w:rFonts w:ascii="宋体" w:hAnsi="宋体"/>
                <w:caps/>
                <w:sz w:val="22"/>
              </w:rPr>
            </w:pPr>
            <w:r>
              <w:rPr>
                <w:rFonts w:ascii="宋体" w:hAnsi="宋体"/>
                <w:caps/>
                <w:sz w:val="22"/>
              </w:rPr>
              <w:t>货物名称</w:t>
            </w:r>
          </w:p>
        </w:tc>
        <w:tc>
          <w:tcPr>
            <w:tcW w:w="885" w:type="dxa"/>
            <w:vAlign w:val="center"/>
          </w:tcPr>
          <w:p>
            <w:pPr>
              <w:adjustRightInd w:val="0"/>
              <w:snapToGrid w:val="0"/>
              <w:jc w:val="center"/>
              <w:rPr>
                <w:rFonts w:ascii="宋体" w:hAnsi="宋体"/>
                <w:caps/>
                <w:sz w:val="22"/>
              </w:rPr>
            </w:pPr>
            <w:r>
              <w:rPr>
                <w:rFonts w:ascii="宋体" w:hAnsi="宋体"/>
                <w:caps/>
                <w:sz w:val="22"/>
              </w:rPr>
              <w:t>数 量</w:t>
            </w:r>
          </w:p>
        </w:tc>
        <w:tc>
          <w:tcPr>
            <w:tcW w:w="795" w:type="dxa"/>
            <w:vAlign w:val="center"/>
          </w:tcPr>
          <w:p>
            <w:pPr>
              <w:adjustRightInd w:val="0"/>
              <w:snapToGrid w:val="0"/>
              <w:jc w:val="center"/>
              <w:rPr>
                <w:rFonts w:ascii="宋体" w:hAnsi="宋体"/>
                <w:caps/>
                <w:sz w:val="22"/>
              </w:rPr>
            </w:pPr>
            <w:r>
              <w:rPr>
                <w:rFonts w:hint="eastAsia" w:ascii="宋体" w:hAnsi="宋体"/>
                <w:caps/>
                <w:sz w:val="22"/>
              </w:rPr>
              <w:t>单位</w:t>
            </w:r>
          </w:p>
        </w:tc>
        <w:tc>
          <w:tcPr>
            <w:tcW w:w="2511" w:type="dxa"/>
            <w:vAlign w:val="center"/>
          </w:tcPr>
          <w:p>
            <w:pPr>
              <w:adjustRightInd w:val="0"/>
              <w:snapToGrid w:val="0"/>
              <w:jc w:val="center"/>
              <w:rPr>
                <w:rFonts w:ascii="宋体" w:hAnsi="宋体"/>
                <w:caps/>
                <w:sz w:val="22"/>
              </w:rPr>
            </w:pPr>
            <w:r>
              <w:rPr>
                <w:rFonts w:hint="eastAsia" w:ascii="宋体" w:hAnsi="宋体"/>
                <w:caps/>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700" w:type="dxa"/>
            <w:vAlign w:val="center"/>
          </w:tcPr>
          <w:p>
            <w:pPr>
              <w:snapToGrid w:val="0"/>
              <w:jc w:val="center"/>
              <w:rPr>
                <w:rFonts w:ascii="宋体" w:hAnsi="宋体"/>
                <w:sz w:val="22"/>
              </w:rPr>
            </w:pPr>
            <w:r>
              <w:rPr>
                <w:rFonts w:hint="eastAsia" w:ascii="宋体" w:hAnsi="宋体"/>
                <w:sz w:val="22"/>
              </w:rPr>
              <w:t>1</w:t>
            </w:r>
          </w:p>
        </w:tc>
        <w:tc>
          <w:tcPr>
            <w:tcW w:w="1050" w:type="dxa"/>
            <w:vMerge w:val="restart"/>
            <w:vAlign w:val="center"/>
          </w:tcPr>
          <w:p>
            <w:pPr>
              <w:snapToGrid w:val="0"/>
              <w:jc w:val="center"/>
              <w:rPr>
                <w:rFonts w:ascii="宋体" w:hAnsi="宋体"/>
                <w:sz w:val="22"/>
              </w:rPr>
            </w:pPr>
          </w:p>
          <w:p>
            <w:pPr>
              <w:snapToGrid w:val="0"/>
              <w:jc w:val="center"/>
              <w:rPr>
                <w:rFonts w:ascii="宋体" w:hAnsi="宋体"/>
                <w:sz w:val="22"/>
              </w:rPr>
            </w:pPr>
            <w:r>
              <w:rPr>
                <w:rFonts w:hint="eastAsia" w:ascii="宋体" w:hAnsi="宋体"/>
                <w:sz w:val="22"/>
              </w:rPr>
              <w:t>会</w:t>
            </w:r>
          </w:p>
          <w:p>
            <w:pPr>
              <w:snapToGrid w:val="0"/>
              <w:jc w:val="center"/>
              <w:rPr>
                <w:rFonts w:ascii="宋体" w:hAnsi="宋体"/>
                <w:sz w:val="22"/>
              </w:rPr>
            </w:pPr>
            <w:r>
              <w:rPr>
                <w:rFonts w:hint="eastAsia" w:ascii="宋体" w:hAnsi="宋体"/>
                <w:sz w:val="22"/>
              </w:rPr>
              <w:t>议</w:t>
            </w:r>
          </w:p>
          <w:p>
            <w:pPr>
              <w:snapToGrid w:val="0"/>
              <w:jc w:val="center"/>
              <w:rPr>
                <w:rFonts w:ascii="宋体" w:hAnsi="宋体"/>
                <w:sz w:val="22"/>
              </w:rPr>
            </w:pPr>
            <w:r>
              <w:rPr>
                <w:rFonts w:hint="eastAsia" w:ascii="宋体" w:hAnsi="宋体"/>
                <w:sz w:val="22"/>
              </w:rPr>
              <w:t>话</w:t>
            </w:r>
          </w:p>
          <w:p>
            <w:pPr>
              <w:snapToGrid w:val="0"/>
              <w:jc w:val="center"/>
              <w:rPr>
                <w:rFonts w:ascii="宋体" w:hAnsi="宋体"/>
                <w:sz w:val="22"/>
              </w:rPr>
            </w:pPr>
            <w:r>
              <w:rPr>
                <w:rFonts w:hint="eastAsia" w:ascii="宋体" w:hAnsi="宋体"/>
                <w:sz w:val="22"/>
              </w:rPr>
              <w:t>筒</w:t>
            </w:r>
          </w:p>
          <w:p>
            <w:pPr>
              <w:snapToGrid w:val="0"/>
              <w:jc w:val="center"/>
              <w:rPr>
                <w:rFonts w:ascii="宋体" w:hAnsi="宋体"/>
                <w:sz w:val="22"/>
              </w:rPr>
            </w:pPr>
            <w:r>
              <w:rPr>
                <w:rFonts w:hint="eastAsia" w:ascii="宋体" w:hAnsi="宋体"/>
                <w:sz w:val="22"/>
              </w:rPr>
              <w:t>设</w:t>
            </w:r>
          </w:p>
          <w:p>
            <w:pPr>
              <w:snapToGrid w:val="0"/>
              <w:jc w:val="center"/>
              <w:rPr>
                <w:rFonts w:ascii="宋体" w:hAnsi="宋体"/>
                <w:sz w:val="22"/>
              </w:rPr>
            </w:pPr>
            <w:r>
              <w:rPr>
                <w:rFonts w:hint="eastAsia" w:ascii="宋体" w:hAnsi="宋体"/>
                <w:sz w:val="22"/>
              </w:rPr>
              <w:t>备</w:t>
            </w:r>
          </w:p>
        </w:tc>
        <w:tc>
          <w:tcPr>
            <w:tcW w:w="2070" w:type="dxa"/>
            <w:vAlign w:val="center"/>
          </w:tcPr>
          <w:p>
            <w:pPr>
              <w:snapToGrid w:val="0"/>
              <w:jc w:val="center"/>
              <w:rPr>
                <w:rFonts w:ascii="宋体" w:hAnsi="宋体"/>
                <w:sz w:val="22"/>
              </w:rPr>
            </w:pPr>
            <w:r>
              <w:rPr>
                <w:rFonts w:hint="eastAsia" w:ascii="宋体" w:hAnsi="宋体"/>
                <w:sz w:val="22"/>
              </w:rPr>
              <w:t>数字会议主机</w:t>
            </w:r>
          </w:p>
        </w:tc>
        <w:tc>
          <w:tcPr>
            <w:tcW w:w="885" w:type="dxa"/>
            <w:vAlign w:val="center"/>
          </w:tcPr>
          <w:p>
            <w:pPr>
              <w:snapToGrid w:val="0"/>
              <w:jc w:val="center"/>
              <w:rPr>
                <w:rFonts w:ascii="宋体" w:hAnsi="宋体"/>
                <w:sz w:val="22"/>
              </w:rPr>
            </w:pPr>
            <w:r>
              <w:rPr>
                <w:rFonts w:hint="eastAsia" w:ascii="宋体" w:hAnsi="宋体"/>
                <w:sz w:val="22"/>
              </w:rPr>
              <w:t>1</w:t>
            </w:r>
          </w:p>
        </w:tc>
        <w:tc>
          <w:tcPr>
            <w:tcW w:w="795" w:type="dxa"/>
            <w:vAlign w:val="center"/>
          </w:tcPr>
          <w:p>
            <w:pPr>
              <w:snapToGrid w:val="0"/>
              <w:jc w:val="center"/>
              <w:rPr>
                <w:rFonts w:ascii="宋体" w:hAnsi="宋体"/>
                <w:sz w:val="22"/>
              </w:rPr>
            </w:pPr>
            <w:r>
              <w:rPr>
                <w:rFonts w:hint="eastAsia" w:ascii="宋体" w:hAnsi="宋体"/>
                <w:sz w:val="22"/>
              </w:rPr>
              <w:t>台</w:t>
            </w:r>
          </w:p>
        </w:tc>
        <w:tc>
          <w:tcPr>
            <w:tcW w:w="2511" w:type="dxa"/>
          </w:tcPr>
          <w:p>
            <w:pPr>
              <w:pStyle w:val="13"/>
              <w:snapToGrid w:val="0"/>
              <w:rPr>
                <w:rFonts w:ascii="宋体" w:hAnsi="宋体"/>
                <w:sz w:val="22"/>
              </w:rPr>
            </w:pPr>
            <w:r>
              <w:rPr>
                <w:rFonts w:hint="eastAsia" w:ascii="宋体" w:hAnsi="宋体"/>
                <w:sz w:val="22"/>
              </w:rPr>
              <w:t>适用于有线和无线话筒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700" w:type="dxa"/>
            <w:vAlign w:val="center"/>
          </w:tcPr>
          <w:p>
            <w:pPr>
              <w:snapToGrid w:val="0"/>
              <w:jc w:val="center"/>
              <w:rPr>
                <w:rFonts w:ascii="宋体" w:hAnsi="宋体"/>
                <w:sz w:val="22"/>
              </w:rPr>
            </w:pPr>
            <w:r>
              <w:rPr>
                <w:rFonts w:hint="eastAsia" w:ascii="宋体" w:hAnsi="宋体"/>
                <w:sz w:val="22"/>
              </w:rPr>
              <w:t>2</w:t>
            </w:r>
          </w:p>
        </w:tc>
        <w:tc>
          <w:tcPr>
            <w:tcW w:w="1050" w:type="dxa"/>
            <w:vMerge w:val="continue"/>
            <w:vAlign w:val="center"/>
          </w:tcPr>
          <w:p>
            <w:pPr>
              <w:snapToGrid w:val="0"/>
              <w:jc w:val="center"/>
              <w:rPr>
                <w:rFonts w:ascii="宋体" w:hAnsi="宋体"/>
                <w:sz w:val="22"/>
              </w:rPr>
            </w:pPr>
          </w:p>
        </w:tc>
        <w:tc>
          <w:tcPr>
            <w:tcW w:w="2070" w:type="dxa"/>
            <w:vAlign w:val="center"/>
          </w:tcPr>
          <w:p>
            <w:pPr>
              <w:snapToGrid w:val="0"/>
              <w:jc w:val="center"/>
              <w:rPr>
                <w:rFonts w:ascii="宋体" w:hAnsi="宋体"/>
                <w:sz w:val="22"/>
              </w:rPr>
            </w:pPr>
            <w:r>
              <w:rPr>
                <w:rFonts w:hint="eastAsia" w:ascii="宋体" w:hAnsi="宋体"/>
                <w:sz w:val="22"/>
              </w:rPr>
              <w:t>有线话筒</w:t>
            </w:r>
          </w:p>
        </w:tc>
        <w:tc>
          <w:tcPr>
            <w:tcW w:w="885" w:type="dxa"/>
            <w:vAlign w:val="center"/>
          </w:tcPr>
          <w:p>
            <w:pPr>
              <w:snapToGrid w:val="0"/>
              <w:jc w:val="center"/>
              <w:rPr>
                <w:rFonts w:ascii="宋体" w:hAnsi="宋体"/>
                <w:sz w:val="22"/>
              </w:rPr>
            </w:pPr>
            <w:r>
              <w:rPr>
                <w:rFonts w:hint="eastAsia" w:ascii="宋体" w:hAnsi="宋体"/>
                <w:sz w:val="22"/>
              </w:rPr>
              <w:t>4</w:t>
            </w:r>
          </w:p>
        </w:tc>
        <w:tc>
          <w:tcPr>
            <w:tcW w:w="795" w:type="dxa"/>
            <w:vAlign w:val="center"/>
          </w:tcPr>
          <w:p>
            <w:pPr>
              <w:snapToGrid w:val="0"/>
              <w:jc w:val="center"/>
              <w:rPr>
                <w:rFonts w:ascii="宋体" w:hAnsi="宋体"/>
                <w:sz w:val="22"/>
              </w:rPr>
            </w:pPr>
            <w:r>
              <w:rPr>
                <w:rFonts w:hint="eastAsia" w:ascii="宋体" w:hAnsi="宋体"/>
                <w:sz w:val="22"/>
              </w:rPr>
              <w:t>台</w:t>
            </w:r>
          </w:p>
        </w:tc>
        <w:tc>
          <w:tcPr>
            <w:tcW w:w="2511" w:type="dxa"/>
          </w:tcPr>
          <w:p>
            <w:pPr>
              <w:pStyle w:val="13"/>
              <w:snapToGrid w:val="0"/>
              <w:rPr>
                <w:rFonts w:ascii="宋体" w:hAnsi="宋体"/>
                <w:sz w:val="22"/>
              </w:rPr>
            </w:pPr>
            <w:r>
              <w:rPr>
                <w:rFonts w:hint="eastAsia" w:ascii="宋体" w:hAnsi="宋体"/>
                <w:sz w:val="22"/>
              </w:rPr>
              <w:t>与数字会议主机配套使用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700" w:type="dxa"/>
            <w:vAlign w:val="center"/>
          </w:tcPr>
          <w:p>
            <w:pPr>
              <w:snapToGrid w:val="0"/>
              <w:jc w:val="center"/>
              <w:rPr>
                <w:rFonts w:ascii="宋体" w:hAnsi="宋体"/>
                <w:sz w:val="22"/>
              </w:rPr>
            </w:pPr>
            <w:r>
              <w:rPr>
                <w:rFonts w:hint="eastAsia" w:ascii="宋体" w:hAnsi="宋体"/>
                <w:sz w:val="22"/>
              </w:rPr>
              <w:t>3</w:t>
            </w:r>
          </w:p>
        </w:tc>
        <w:tc>
          <w:tcPr>
            <w:tcW w:w="1050" w:type="dxa"/>
            <w:vMerge w:val="continue"/>
            <w:vAlign w:val="center"/>
          </w:tcPr>
          <w:p>
            <w:pPr>
              <w:snapToGrid w:val="0"/>
              <w:jc w:val="center"/>
              <w:rPr>
                <w:rFonts w:ascii="宋体" w:hAnsi="宋体"/>
                <w:sz w:val="22"/>
              </w:rPr>
            </w:pPr>
          </w:p>
        </w:tc>
        <w:tc>
          <w:tcPr>
            <w:tcW w:w="2070" w:type="dxa"/>
            <w:vAlign w:val="center"/>
          </w:tcPr>
          <w:p>
            <w:pPr>
              <w:snapToGrid w:val="0"/>
              <w:jc w:val="center"/>
              <w:rPr>
                <w:rFonts w:ascii="宋体" w:hAnsi="宋体"/>
                <w:sz w:val="22"/>
              </w:rPr>
            </w:pPr>
            <w:r>
              <w:rPr>
                <w:rFonts w:hint="eastAsia" w:ascii="宋体" w:hAnsi="宋体"/>
                <w:sz w:val="22"/>
              </w:rPr>
              <w:t>无线话筒</w:t>
            </w:r>
          </w:p>
        </w:tc>
        <w:tc>
          <w:tcPr>
            <w:tcW w:w="885" w:type="dxa"/>
            <w:vAlign w:val="center"/>
          </w:tcPr>
          <w:p>
            <w:pPr>
              <w:snapToGrid w:val="0"/>
              <w:jc w:val="center"/>
              <w:rPr>
                <w:rFonts w:ascii="宋体" w:hAnsi="宋体"/>
                <w:sz w:val="22"/>
              </w:rPr>
            </w:pPr>
            <w:r>
              <w:rPr>
                <w:rFonts w:hint="eastAsia" w:ascii="宋体" w:hAnsi="宋体"/>
                <w:sz w:val="22"/>
              </w:rPr>
              <w:t>8</w:t>
            </w:r>
          </w:p>
        </w:tc>
        <w:tc>
          <w:tcPr>
            <w:tcW w:w="795" w:type="dxa"/>
            <w:vAlign w:val="center"/>
          </w:tcPr>
          <w:p>
            <w:pPr>
              <w:snapToGrid w:val="0"/>
              <w:jc w:val="center"/>
              <w:rPr>
                <w:rFonts w:ascii="宋体" w:hAnsi="宋体"/>
                <w:sz w:val="22"/>
              </w:rPr>
            </w:pPr>
            <w:r>
              <w:rPr>
                <w:rFonts w:hint="eastAsia" w:ascii="宋体" w:hAnsi="宋体"/>
                <w:sz w:val="22"/>
              </w:rPr>
              <w:t>套</w:t>
            </w:r>
          </w:p>
        </w:tc>
        <w:tc>
          <w:tcPr>
            <w:tcW w:w="2511" w:type="dxa"/>
          </w:tcPr>
          <w:p>
            <w:pPr>
              <w:pStyle w:val="13"/>
              <w:snapToGrid w:val="0"/>
              <w:rPr>
                <w:rFonts w:ascii="宋体" w:hAnsi="宋体"/>
                <w:sz w:val="22"/>
              </w:rPr>
            </w:pPr>
            <w:r>
              <w:rPr>
                <w:rFonts w:hint="eastAsia" w:ascii="宋体" w:hAnsi="宋体"/>
                <w:sz w:val="22"/>
              </w:rPr>
              <w:t>含底座、鹅颈话筒、电池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700" w:type="dxa"/>
            <w:vAlign w:val="center"/>
          </w:tcPr>
          <w:p>
            <w:pPr>
              <w:snapToGrid w:val="0"/>
              <w:jc w:val="center"/>
              <w:rPr>
                <w:rFonts w:ascii="宋体" w:hAnsi="宋体"/>
                <w:sz w:val="22"/>
              </w:rPr>
            </w:pPr>
            <w:r>
              <w:rPr>
                <w:rFonts w:hint="eastAsia" w:ascii="宋体" w:hAnsi="宋体"/>
                <w:sz w:val="22"/>
              </w:rPr>
              <w:t>4</w:t>
            </w:r>
          </w:p>
        </w:tc>
        <w:tc>
          <w:tcPr>
            <w:tcW w:w="1050" w:type="dxa"/>
            <w:vMerge w:val="continue"/>
            <w:vAlign w:val="center"/>
          </w:tcPr>
          <w:p>
            <w:pPr>
              <w:jc w:val="center"/>
              <w:rPr>
                <w:rFonts w:ascii="宋体" w:hAnsi="宋体"/>
                <w:sz w:val="22"/>
              </w:rPr>
            </w:pPr>
          </w:p>
        </w:tc>
        <w:tc>
          <w:tcPr>
            <w:tcW w:w="2070" w:type="dxa"/>
            <w:vAlign w:val="center"/>
          </w:tcPr>
          <w:p>
            <w:pPr>
              <w:jc w:val="center"/>
              <w:rPr>
                <w:rFonts w:ascii="宋体" w:hAnsi="宋体"/>
                <w:sz w:val="22"/>
              </w:rPr>
            </w:pPr>
            <w:r>
              <w:rPr>
                <w:rFonts w:hint="eastAsia" w:ascii="宋体" w:hAnsi="宋体"/>
                <w:sz w:val="22"/>
              </w:rPr>
              <w:t>无线收发器</w:t>
            </w:r>
          </w:p>
        </w:tc>
        <w:tc>
          <w:tcPr>
            <w:tcW w:w="885" w:type="dxa"/>
            <w:vAlign w:val="center"/>
          </w:tcPr>
          <w:p>
            <w:pPr>
              <w:snapToGrid w:val="0"/>
              <w:jc w:val="center"/>
              <w:rPr>
                <w:rFonts w:ascii="宋体" w:hAnsi="宋体"/>
                <w:sz w:val="22"/>
              </w:rPr>
            </w:pPr>
            <w:r>
              <w:rPr>
                <w:rFonts w:hint="eastAsia" w:ascii="宋体" w:hAnsi="宋体"/>
                <w:sz w:val="22"/>
              </w:rPr>
              <w:t>1</w:t>
            </w:r>
          </w:p>
        </w:tc>
        <w:tc>
          <w:tcPr>
            <w:tcW w:w="795" w:type="dxa"/>
            <w:vAlign w:val="center"/>
          </w:tcPr>
          <w:p>
            <w:pPr>
              <w:snapToGrid w:val="0"/>
              <w:jc w:val="center"/>
              <w:rPr>
                <w:rFonts w:ascii="宋体" w:hAnsi="宋体"/>
                <w:sz w:val="22"/>
              </w:rPr>
            </w:pPr>
            <w:r>
              <w:rPr>
                <w:rFonts w:hint="eastAsia" w:ascii="宋体" w:hAnsi="宋体"/>
                <w:sz w:val="22"/>
              </w:rPr>
              <w:t>台</w:t>
            </w:r>
          </w:p>
        </w:tc>
        <w:tc>
          <w:tcPr>
            <w:tcW w:w="2511" w:type="dxa"/>
          </w:tcPr>
          <w:p>
            <w:pPr>
              <w:pStyle w:val="13"/>
              <w:snapToGrid w:val="0"/>
              <w:rPr>
                <w:rFonts w:ascii="宋体" w:hAnsi="宋体"/>
                <w:sz w:val="22"/>
              </w:rPr>
            </w:pPr>
            <w:r>
              <w:rPr>
                <w:rFonts w:hint="eastAsia" w:ascii="宋体" w:hAnsi="宋体"/>
                <w:sz w:val="22"/>
              </w:rPr>
              <w:t>与无线话筒配套使用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700" w:type="dxa"/>
            <w:vAlign w:val="center"/>
          </w:tcPr>
          <w:p>
            <w:pPr>
              <w:snapToGrid w:val="0"/>
              <w:jc w:val="center"/>
              <w:rPr>
                <w:rFonts w:ascii="宋体" w:hAnsi="宋体"/>
                <w:sz w:val="22"/>
              </w:rPr>
            </w:pPr>
            <w:r>
              <w:rPr>
                <w:rFonts w:hint="eastAsia" w:ascii="宋体" w:hAnsi="宋体"/>
                <w:sz w:val="22"/>
              </w:rPr>
              <w:t>5</w:t>
            </w:r>
          </w:p>
        </w:tc>
        <w:tc>
          <w:tcPr>
            <w:tcW w:w="1050" w:type="dxa"/>
            <w:vMerge w:val="continue"/>
            <w:vAlign w:val="center"/>
          </w:tcPr>
          <w:p>
            <w:pPr>
              <w:snapToGrid w:val="0"/>
              <w:jc w:val="center"/>
              <w:rPr>
                <w:rFonts w:ascii="宋体" w:hAnsi="宋体"/>
                <w:sz w:val="22"/>
              </w:rPr>
            </w:pPr>
          </w:p>
        </w:tc>
        <w:tc>
          <w:tcPr>
            <w:tcW w:w="2070" w:type="dxa"/>
            <w:vAlign w:val="center"/>
          </w:tcPr>
          <w:p>
            <w:pPr>
              <w:snapToGrid w:val="0"/>
              <w:jc w:val="center"/>
              <w:rPr>
                <w:rFonts w:ascii="宋体" w:hAnsi="宋体"/>
                <w:sz w:val="22"/>
              </w:rPr>
            </w:pPr>
            <w:r>
              <w:rPr>
                <w:rFonts w:hint="eastAsia" w:ascii="宋体" w:hAnsi="宋体"/>
                <w:sz w:val="22"/>
              </w:rPr>
              <w:t>电池充电槽</w:t>
            </w:r>
          </w:p>
        </w:tc>
        <w:tc>
          <w:tcPr>
            <w:tcW w:w="885" w:type="dxa"/>
            <w:vAlign w:val="center"/>
          </w:tcPr>
          <w:p>
            <w:pPr>
              <w:snapToGrid w:val="0"/>
              <w:jc w:val="center"/>
              <w:rPr>
                <w:rFonts w:ascii="宋体" w:hAnsi="宋体"/>
                <w:sz w:val="22"/>
              </w:rPr>
            </w:pPr>
            <w:r>
              <w:rPr>
                <w:rFonts w:hint="eastAsia" w:ascii="宋体" w:hAnsi="宋体"/>
                <w:sz w:val="22"/>
              </w:rPr>
              <w:t>2</w:t>
            </w:r>
          </w:p>
        </w:tc>
        <w:tc>
          <w:tcPr>
            <w:tcW w:w="795" w:type="dxa"/>
            <w:vAlign w:val="center"/>
          </w:tcPr>
          <w:p>
            <w:pPr>
              <w:snapToGrid w:val="0"/>
              <w:jc w:val="center"/>
              <w:rPr>
                <w:rFonts w:ascii="宋体" w:hAnsi="宋体"/>
                <w:sz w:val="22"/>
              </w:rPr>
            </w:pPr>
            <w:r>
              <w:rPr>
                <w:rFonts w:hint="eastAsia" w:ascii="宋体" w:hAnsi="宋体"/>
                <w:sz w:val="22"/>
              </w:rPr>
              <w:t>套</w:t>
            </w:r>
          </w:p>
        </w:tc>
        <w:tc>
          <w:tcPr>
            <w:tcW w:w="2511" w:type="dxa"/>
          </w:tcPr>
          <w:p>
            <w:pPr>
              <w:pStyle w:val="13"/>
              <w:snapToGrid w:val="0"/>
              <w:rPr>
                <w:rFonts w:ascii="宋体" w:hAnsi="宋体"/>
                <w:sz w:val="22"/>
              </w:rPr>
            </w:pPr>
            <w:r>
              <w:rPr>
                <w:rFonts w:hint="eastAsia" w:ascii="宋体" w:hAnsi="宋体"/>
                <w:sz w:val="22"/>
              </w:rPr>
              <w:t>与无线话筒配套使用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700" w:type="dxa"/>
            <w:vAlign w:val="center"/>
          </w:tcPr>
          <w:p>
            <w:pPr>
              <w:snapToGrid w:val="0"/>
              <w:jc w:val="center"/>
              <w:rPr>
                <w:rFonts w:ascii="宋体" w:hAnsi="宋体"/>
                <w:sz w:val="22"/>
              </w:rPr>
            </w:pPr>
            <w:r>
              <w:rPr>
                <w:rFonts w:hint="eastAsia" w:ascii="宋体" w:hAnsi="宋体"/>
                <w:sz w:val="22"/>
              </w:rPr>
              <w:t>6</w:t>
            </w:r>
          </w:p>
        </w:tc>
        <w:tc>
          <w:tcPr>
            <w:tcW w:w="1050" w:type="dxa"/>
            <w:vMerge w:val="continue"/>
            <w:vAlign w:val="center"/>
          </w:tcPr>
          <w:p>
            <w:pPr>
              <w:snapToGrid w:val="0"/>
              <w:jc w:val="center"/>
              <w:rPr>
                <w:rFonts w:ascii="宋体" w:hAnsi="宋体"/>
                <w:sz w:val="22"/>
              </w:rPr>
            </w:pPr>
          </w:p>
        </w:tc>
        <w:tc>
          <w:tcPr>
            <w:tcW w:w="2070" w:type="dxa"/>
            <w:vAlign w:val="center"/>
          </w:tcPr>
          <w:p>
            <w:pPr>
              <w:snapToGrid w:val="0"/>
              <w:jc w:val="center"/>
              <w:rPr>
                <w:rFonts w:ascii="宋体" w:hAnsi="宋体"/>
                <w:sz w:val="22"/>
              </w:rPr>
            </w:pPr>
            <w:r>
              <w:rPr>
                <w:rFonts w:hint="eastAsia" w:ascii="宋体" w:hAnsi="宋体"/>
                <w:sz w:val="22"/>
              </w:rPr>
              <w:t>话筒专用延长线</w:t>
            </w:r>
          </w:p>
        </w:tc>
        <w:tc>
          <w:tcPr>
            <w:tcW w:w="885" w:type="dxa"/>
            <w:vAlign w:val="center"/>
          </w:tcPr>
          <w:p>
            <w:pPr>
              <w:snapToGrid w:val="0"/>
              <w:jc w:val="center"/>
              <w:rPr>
                <w:rFonts w:ascii="宋体" w:hAnsi="宋体"/>
                <w:sz w:val="22"/>
              </w:rPr>
            </w:pPr>
            <w:r>
              <w:rPr>
                <w:rFonts w:hint="eastAsia" w:ascii="宋体" w:hAnsi="宋体"/>
                <w:sz w:val="22"/>
              </w:rPr>
              <w:t>2</w:t>
            </w:r>
          </w:p>
        </w:tc>
        <w:tc>
          <w:tcPr>
            <w:tcW w:w="795" w:type="dxa"/>
            <w:vAlign w:val="center"/>
          </w:tcPr>
          <w:p>
            <w:pPr>
              <w:snapToGrid w:val="0"/>
              <w:jc w:val="center"/>
              <w:rPr>
                <w:rFonts w:ascii="宋体" w:hAnsi="宋体"/>
                <w:sz w:val="22"/>
              </w:rPr>
            </w:pPr>
            <w:r>
              <w:rPr>
                <w:rFonts w:hint="eastAsia" w:ascii="宋体" w:hAnsi="宋体"/>
                <w:sz w:val="22"/>
              </w:rPr>
              <w:t>根</w:t>
            </w:r>
          </w:p>
        </w:tc>
        <w:tc>
          <w:tcPr>
            <w:tcW w:w="2511" w:type="dxa"/>
          </w:tcPr>
          <w:p>
            <w:pPr>
              <w:pStyle w:val="13"/>
              <w:snapToGrid w:val="0"/>
              <w:rPr>
                <w:rFonts w:ascii="宋体" w:hAnsi="宋体"/>
                <w:sz w:val="22"/>
              </w:rPr>
            </w:pPr>
            <w:r>
              <w:rPr>
                <w:rFonts w:hint="eastAsia" w:ascii="宋体" w:hAnsi="宋体"/>
                <w:sz w:val="22"/>
              </w:rPr>
              <w:t>与有线话筒配套使用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700" w:type="dxa"/>
            <w:vAlign w:val="center"/>
          </w:tcPr>
          <w:p>
            <w:pPr>
              <w:snapToGrid w:val="0"/>
              <w:jc w:val="center"/>
              <w:rPr>
                <w:rFonts w:ascii="宋体" w:hAnsi="宋体"/>
                <w:sz w:val="22"/>
              </w:rPr>
            </w:pPr>
            <w:r>
              <w:rPr>
                <w:rFonts w:hint="eastAsia" w:ascii="宋体" w:hAnsi="宋体"/>
                <w:sz w:val="22"/>
              </w:rPr>
              <w:t>7</w:t>
            </w:r>
          </w:p>
        </w:tc>
        <w:tc>
          <w:tcPr>
            <w:tcW w:w="3120" w:type="dxa"/>
            <w:gridSpan w:val="2"/>
            <w:vAlign w:val="center"/>
          </w:tcPr>
          <w:p>
            <w:pPr>
              <w:snapToGrid w:val="0"/>
              <w:jc w:val="center"/>
              <w:rPr>
                <w:rFonts w:ascii="宋体" w:hAnsi="宋体"/>
                <w:sz w:val="22"/>
              </w:rPr>
            </w:pPr>
            <w:r>
              <w:rPr>
                <w:rFonts w:hint="eastAsia" w:ascii="宋体" w:hAnsi="宋体"/>
                <w:sz w:val="22"/>
              </w:rPr>
              <w:t>音频处理器</w:t>
            </w:r>
          </w:p>
        </w:tc>
        <w:tc>
          <w:tcPr>
            <w:tcW w:w="885" w:type="dxa"/>
            <w:vAlign w:val="center"/>
          </w:tcPr>
          <w:p>
            <w:pPr>
              <w:snapToGrid w:val="0"/>
              <w:jc w:val="center"/>
              <w:rPr>
                <w:rFonts w:ascii="宋体" w:hAnsi="宋体"/>
                <w:sz w:val="22"/>
              </w:rPr>
            </w:pPr>
            <w:r>
              <w:rPr>
                <w:rFonts w:hint="eastAsia" w:ascii="宋体" w:hAnsi="宋体"/>
                <w:sz w:val="22"/>
              </w:rPr>
              <w:t>1</w:t>
            </w:r>
          </w:p>
        </w:tc>
        <w:tc>
          <w:tcPr>
            <w:tcW w:w="795" w:type="dxa"/>
            <w:vAlign w:val="center"/>
          </w:tcPr>
          <w:p>
            <w:pPr>
              <w:snapToGrid w:val="0"/>
              <w:jc w:val="center"/>
              <w:rPr>
                <w:rFonts w:ascii="宋体" w:hAnsi="宋体"/>
                <w:sz w:val="22"/>
              </w:rPr>
            </w:pPr>
            <w:r>
              <w:rPr>
                <w:rFonts w:hint="eastAsia" w:ascii="宋体" w:hAnsi="宋体"/>
                <w:sz w:val="22"/>
              </w:rPr>
              <w:t>台</w:t>
            </w:r>
          </w:p>
        </w:tc>
        <w:tc>
          <w:tcPr>
            <w:tcW w:w="2511" w:type="dxa"/>
          </w:tcPr>
          <w:p>
            <w:pPr>
              <w:pStyle w:val="13"/>
              <w:snapToGrid w:val="0"/>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700" w:type="dxa"/>
            <w:vAlign w:val="center"/>
          </w:tcPr>
          <w:p>
            <w:pPr>
              <w:snapToGrid w:val="0"/>
              <w:jc w:val="center"/>
              <w:rPr>
                <w:rFonts w:ascii="宋体" w:hAnsi="宋体"/>
                <w:sz w:val="22"/>
              </w:rPr>
            </w:pPr>
            <w:r>
              <w:rPr>
                <w:rFonts w:hint="eastAsia" w:ascii="宋体" w:hAnsi="宋体"/>
                <w:sz w:val="22"/>
              </w:rPr>
              <w:t>8</w:t>
            </w:r>
          </w:p>
        </w:tc>
        <w:tc>
          <w:tcPr>
            <w:tcW w:w="3120" w:type="dxa"/>
            <w:gridSpan w:val="2"/>
            <w:vAlign w:val="center"/>
          </w:tcPr>
          <w:p>
            <w:pPr>
              <w:snapToGrid w:val="0"/>
              <w:jc w:val="center"/>
              <w:rPr>
                <w:rFonts w:ascii="宋体" w:hAnsi="宋体"/>
                <w:sz w:val="22"/>
              </w:rPr>
            </w:pPr>
            <w:r>
              <w:rPr>
                <w:rFonts w:hint="eastAsia" w:ascii="宋体" w:hAnsi="宋体"/>
                <w:sz w:val="22"/>
              </w:rPr>
              <w:t>主音箱</w:t>
            </w:r>
          </w:p>
        </w:tc>
        <w:tc>
          <w:tcPr>
            <w:tcW w:w="885" w:type="dxa"/>
            <w:vAlign w:val="center"/>
          </w:tcPr>
          <w:p>
            <w:pPr>
              <w:snapToGrid w:val="0"/>
              <w:jc w:val="center"/>
              <w:rPr>
                <w:rFonts w:ascii="宋体" w:hAnsi="宋体"/>
                <w:sz w:val="22"/>
              </w:rPr>
            </w:pPr>
            <w:r>
              <w:rPr>
                <w:rFonts w:hint="eastAsia" w:ascii="宋体" w:hAnsi="宋体"/>
                <w:sz w:val="22"/>
              </w:rPr>
              <w:t>2</w:t>
            </w:r>
          </w:p>
        </w:tc>
        <w:tc>
          <w:tcPr>
            <w:tcW w:w="795" w:type="dxa"/>
            <w:vAlign w:val="center"/>
          </w:tcPr>
          <w:p>
            <w:pPr>
              <w:snapToGrid w:val="0"/>
              <w:jc w:val="center"/>
              <w:rPr>
                <w:rFonts w:ascii="宋体" w:hAnsi="宋体"/>
                <w:sz w:val="22"/>
              </w:rPr>
            </w:pPr>
            <w:r>
              <w:rPr>
                <w:rFonts w:hint="eastAsia" w:ascii="宋体" w:hAnsi="宋体"/>
                <w:sz w:val="22"/>
              </w:rPr>
              <w:t>只</w:t>
            </w:r>
          </w:p>
        </w:tc>
        <w:tc>
          <w:tcPr>
            <w:tcW w:w="2511" w:type="dxa"/>
          </w:tcPr>
          <w:p>
            <w:pPr>
              <w:pStyle w:val="13"/>
              <w:snapToGrid w:val="0"/>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700" w:type="dxa"/>
            <w:vAlign w:val="center"/>
          </w:tcPr>
          <w:p>
            <w:pPr>
              <w:snapToGrid w:val="0"/>
              <w:jc w:val="center"/>
              <w:rPr>
                <w:rFonts w:ascii="宋体" w:hAnsi="宋体"/>
                <w:sz w:val="22"/>
              </w:rPr>
            </w:pPr>
            <w:r>
              <w:rPr>
                <w:rFonts w:hint="eastAsia" w:ascii="宋体" w:hAnsi="宋体"/>
                <w:sz w:val="22"/>
              </w:rPr>
              <w:t>9</w:t>
            </w:r>
          </w:p>
        </w:tc>
        <w:tc>
          <w:tcPr>
            <w:tcW w:w="3120" w:type="dxa"/>
            <w:gridSpan w:val="2"/>
            <w:vAlign w:val="center"/>
          </w:tcPr>
          <w:p>
            <w:pPr>
              <w:snapToGrid w:val="0"/>
              <w:jc w:val="center"/>
              <w:rPr>
                <w:rFonts w:ascii="宋体" w:hAnsi="宋体"/>
                <w:sz w:val="22"/>
              </w:rPr>
            </w:pPr>
            <w:r>
              <w:rPr>
                <w:rFonts w:hint="eastAsia" w:ascii="宋体" w:hAnsi="宋体"/>
                <w:sz w:val="22"/>
              </w:rPr>
              <w:t>功放</w:t>
            </w:r>
          </w:p>
        </w:tc>
        <w:tc>
          <w:tcPr>
            <w:tcW w:w="885" w:type="dxa"/>
            <w:vAlign w:val="center"/>
          </w:tcPr>
          <w:p>
            <w:pPr>
              <w:snapToGrid w:val="0"/>
              <w:jc w:val="center"/>
              <w:rPr>
                <w:rFonts w:ascii="宋体" w:hAnsi="宋体"/>
                <w:sz w:val="22"/>
              </w:rPr>
            </w:pPr>
            <w:r>
              <w:rPr>
                <w:rFonts w:hint="eastAsia" w:ascii="宋体" w:hAnsi="宋体"/>
                <w:sz w:val="22"/>
              </w:rPr>
              <w:t>1</w:t>
            </w:r>
          </w:p>
        </w:tc>
        <w:tc>
          <w:tcPr>
            <w:tcW w:w="795" w:type="dxa"/>
            <w:vAlign w:val="center"/>
          </w:tcPr>
          <w:p>
            <w:pPr>
              <w:snapToGrid w:val="0"/>
              <w:jc w:val="center"/>
              <w:rPr>
                <w:rFonts w:ascii="宋体" w:hAnsi="宋体"/>
                <w:sz w:val="22"/>
              </w:rPr>
            </w:pPr>
            <w:r>
              <w:rPr>
                <w:rFonts w:hint="eastAsia" w:ascii="宋体" w:hAnsi="宋体"/>
                <w:sz w:val="22"/>
              </w:rPr>
              <w:t>台</w:t>
            </w:r>
          </w:p>
        </w:tc>
        <w:tc>
          <w:tcPr>
            <w:tcW w:w="2511" w:type="dxa"/>
          </w:tcPr>
          <w:p>
            <w:pPr>
              <w:pStyle w:val="13"/>
              <w:snapToGrid w:val="0"/>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700" w:type="dxa"/>
            <w:vAlign w:val="center"/>
          </w:tcPr>
          <w:p>
            <w:pPr>
              <w:snapToGrid w:val="0"/>
              <w:jc w:val="center"/>
              <w:rPr>
                <w:rFonts w:ascii="宋体" w:hAnsi="宋体"/>
                <w:sz w:val="22"/>
              </w:rPr>
            </w:pPr>
            <w:r>
              <w:rPr>
                <w:rFonts w:hint="eastAsia" w:ascii="宋体" w:hAnsi="宋体"/>
                <w:sz w:val="22"/>
              </w:rPr>
              <w:t>10</w:t>
            </w:r>
          </w:p>
        </w:tc>
        <w:tc>
          <w:tcPr>
            <w:tcW w:w="3120" w:type="dxa"/>
            <w:gridSpan w:val="2"/>
            <w:vAlign w:val="center"/>
          </w:tcPr>
          <w:p>
            <w:pPr>
              <w:snapToGrid w:val="0"/>
              <w:jc w:val="center"/>
              <w:rPr>
                <w:rFonts w:ascii="宋体" w:hAnsi="宋体"/>
                <w:sz w:val="22"/>
              </w:rPr>
            </w:pPr>
            <w:r>
              <w:rPr>
                <w:rFonts w:hint="eastAsia" w:ascii="宋体" w:hAnsi="宋体"/>
                <w:sz w:val="22"/>
              </w:rPr>
              <w:t>数字调音台</w:t>
            </w:r>
          </w:p>
        </w:tc>
        <w:tc>
          <w:tcPr>
            <w:tcW w:w="885" w:type="dxa"/>
            <w:vAlign w:val="center"/>
          </w:tcPr>
          <w:p>
            <w:pPr>
              <w:snapToGrid w:val="0"/>
              <w:jc w:val="center"/>
              <w:rPr>
                <w:rFonts w:ascii="宋体" w:hAnsi="宋体"/>
                <w:sz w:val="22"/>
              </w:rPr>
            </w:pPr>
            <w:r>
              <w:rPr>
                <w:rFonts w:hint="eastAsia" w:ascii="宋体" w:hAnsi="宋体"/>
                <w:sz w:val="22"/>
              </w:rPr>
              <w:t>1</w:t>
            </w:r>
          </w:p>
        </w:tc>
        <w:tc>
          <w:tcPr>
            <w:tcW w:w="795" w:type="dxa"/>
            <w:vAlign w:val="center"/>
          </w:tcPr>
          <w:p>
            <w:pPr>
              <w:snapToGrid w:val="0"/>
              <w:jc w:val="center"/>
              <w:rPr>
                <w:rFonts w:ascii="宋体" w:hAnsi="宋体"/>
                <w:sz w:val="22"/>
              </w:rPr>
            </w:pPr>
            <w:r>
              <w:rPr>
                <w:rFonts w:hint="eastAsia" w:ascii="宋体" w:hAnsi="宋体"/>
                <w:sz w:val="22"/>
              </w:rPr>
              <w:t>台</w:t>
            </w:r>
          </w:p>
        </w:tc>
        <w:tc>
          <w:tcPr>
            <w:tcW w:w="2511" w:type="dxa"/>
          </w:tcPr>
          <w:p>
            <w:pPr>
              <w:pStyle w:val="13"/>
              <w:snapToGrid w:val="0"/>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700" w:type="dxa"/>
            <w:vAlign w:val="center"/>
          </w:tcPr>
          <w:p>
            <w:pPr>
              <w:snapToGrid w:val="0"/>
              <w:jc w:val="center"/>
              <w:rPr>
                <w:rFonts w:ascii="宋体" w:hAnsi="宋体"/>
                <w:sz w:val="22"/>
              </w:rPr>
            </w:pPr>
            <w:r>
              <w:rPr>
                <w:rFonts w:hint="eastAsia" w:ascii="宋体" w:hAnsi="宋体"/>
                <w:sz w:val="22"/>
              </w:rPr>
              <w:t>11</w:t>
            </w:r>
          </w:p>
        </w:tc>
        <w:tc>
          <w:tcPr>
            <w:tcW w:w="3120" w:type="dxa"/>
            <w:gridSpan w:val="2"/>
            <w:vAlign w:val="center"/>
          </w:tcPr>
          <w:p>
            <w:pPr>
              <w:snapToGrid w:val="0"/>
              <w:jc w:val="center"/>
              <w:rPr>
                <w:rFonts w:ascii="宋体" w:hAnsi="宋体"/>
                <w:sz w:val="22"/>
              </w:rPr>
            </w:pPr>
            <w:r>
              <w:rPr>
                <w:rFonts w:hint="eastAsia" w:ascii="宋体" w:hAnsi="宋体"/>
                <w:sz w:val="22"/>
              </w:rPr>
              <w:t>电源时序器</w:t>
            </w:r>
          </w:p>
        </w:tc>
        <w:tc>
          <w:tcPr>
            <w:tcW w:w="885" w:type="dxa"/>
            <w:vAlign w:val="center"/>
          </w:tcPr>
          <w:p>
            <w:pPr>
              <w:snapToGrid w:val="0"/>
              <w:jc w:val="center"/>
              <w:rPr>
                <w:rFonts w:ascii="宋体" w:hAnsi="宋体"/>
                <w:sz w:val="22"/>
              </w:rPr>
            </w:pPr>
            <w:r>
              <w:rPr>
                <w:rFonts w:hint="eastAsia" w:ascii="宋体" w:hAnsi="宋体"/>
                <w:sz w:val="22"/>
              </w:rPr>
              <w:t>1</w:t>
            </w:r>
          </w:p>
        </w:tc>
        <w:tc>
          <w:tcPr>
            <w:tcW w:w="795" w:type="dxa"/>
            <w:vAlign w:val="center"/>
          </w:tcPr>
          <w:p>
            <w:pPr>
              <w:snapToGrid w:val="0"/>
              <w:jc w:val="center"/>
              <w:rPr>
                <w:rFonts w:ascii="宋体" w:hAnsi="宋体"/>
                <w:sz w:val="22"/>
              </w:rPr>
            </w:pPr>
            <w:r>
              <w:rPr>
                <w:rFonts w:hint="eastAsia" w:ascii="宋体" w:hAnsi="宋体"/>
                <w:sz w:val="22"/>
              </w:rPr>
              <w:t>台</w:t>
            </w:r>
          </w:p>
        </w:tc>
        <w:tc>
          <w:tcPr>
            <w:tcW w:w="2511" w:type="dxa"/>
          </w:tcPr>
          <w:p>
            <w:pPr>
              <w:pStyle w:val="13"/>
              <w:snapToGrid w:val="0"/>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700" w:type="dxa"/>
            <w:vAlign w:val="center"/>
          </w:tcPr>
          <w:p>
            <w:pPr>
              <w:snapToGrid w:val="0"/>
              <w:jc w:val="center"/>
              <w:rPr>
                <w:rFonts w:ascii="宋体" w:hAnsi="宋体"/>
                <w:sz w:val="22"/>
              </w:rPr>
            </w:pPr>
            <w:r>
              <w:rPr>
                <w:rFonts w:hint="eastAsia" w:ascii="宋体" w:hAnsi="宋体"/>
                <w:sz w:val="22"/>
              </w:rPr>
              <w:t>12</w:t>
            </w:r>
          </w:p>
        </w:tc>
        <w:tc>
          <w:tcPr>
            <w:tcW w:w="3120" w:type="dxa"/>
            <w:gridSpan w:val="2"/>
            <w:vAlign w:val="center"/>
          </w:tcPr>
          <w:p>
            <w:pPr>
              <w:snapToGrid w:val="0"/>
              <w:jc w:val="center"/>
              <w:rPr>
                <w:rFonts w:ascii="宋体" w:hAnsi="宋体"/>
                <w:sz w:val="22"/>
              </w:rPr>
            </w:pPr>
            <w:r>
              <w:rPr>
                <w:rFonts w:hint="eastAsia" w:ascii="宋体" w:hAnsi="宋体"/>
                <w:sz w:val="22"/>
              </w:rPr>
              <w:t>移动机柜</w:t>
            </w:r>
          </w:p>
        </w:tc>
        <w:tc>
          <w:tcPr>
            <w:tcW w:w="885" w:type="dxa"/>
            <w:vAlign w:val="center"/>
          </w:tcPr>
          <w:p>
            <w:pPr>
              <w:snapToGrid w:val="0"/>
              <w:jc w:val="center"/>
              <w:rPr>
                <w:rFonts w:ascii="宋体" w:hAnsi="宋体"/>
                <w:sz w:val="22"/>
              </w:rPr>
            </w:pPr>
            <w:r>
              <w:rPr>
                <w:rFonts w:hint="eastAsia" w:ascii="宋体" w:hAnsi="宋体"/>
                <w:sz w:val="22"/>
              </w:rPr>
              <w:t>1</w:t>
            </w:r>
          </w:p>
        </w:tc>
        <w:tc>
          <w:tcPr>
            <w:tcW w:w="795" w:type="dxa"/>
            <w:vAlign w:val="center"/>
          </w:tcPr>
          <w:p>
            <w:pPr>
              <w:snapToGrid w:val="0"/>
              <w:jc w:val="center"/>
              <w:rPr>
                <w:rFonts w:ascii="宋体" w:hAnsi="宋体"/>
                <w:sz w:val="22"/>
              </w:rPr>
            </w:pPr>
            <w:r>
              <w:rPr>
                <w:rFonts w:hint="eastAsia" w:ascii="宋体" w:hAnsi="宋体"/>
                <w:sz w:val="22"/>
              </w:rPr>
              <w:t>台</w:t>
            </w:r>
          </w:p>
        </w:tc>
        <w:tc>
          <w:tcPr>
            <w:tcW w:w="2511" w:type="dxa"/>
          </w:tcPr>
          <w:p>
            <w:pPr>
              <w:pStyle w:val="13"/>
              <w:snapToGrid w:val="0"/>
              <w:rPr>
                <w:rFonts w:ascii="宋体" w:hAnsi="宋体"/>
                <w:sz w:val="22"/>
              </w:rPr>
            </w:pPr>
            <w:r>
              <w:rPr>
                <w:rFonts w:hint="eastAsia" w:ascii="宋体" w:hAnsi="宋体"/>
                <w:sz w:val="22"/>
              </w:rPr>
              <w:t>除主音箱、话筒外，其他设备均应安装在机柜内，底座自带滚轮，方便移动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700" w:type="dxa"/>
            <w:vAlign w:val="center"/>
          </w:tcPr>
          <w:p>
            <w:pPr>
              <w:snapToGrid w:val="0"/>
              <w:jc w:val="center"/>
              <w:rPr>
                <w:rFonts w:ascii="宋体" w:hAnsi="宋体"/>
                <w:sz w:val="22"/>
              </w:rPr>
            </w:pPr>
            <w:r>
              <w:rPr>
                <w:rFonts w:hint="eastAsia" w:ascii="宋体" w:hAnsi="宋体"/>
                <w:sz w:val="22"/>
              </w:rPr>
              <w:t>13</w:t>
            </w:r>
          </w:p>
        </w:tc>
        <w:tc>
          <w:tcPr>
            <w:tcW w:w="3120" w:type="dxa"/>
            <w:gridSpan w:val="2"/>
            <w:vAlign w:val="center"/>
          </w:tcPr>
          <w:p>
            <w:pPr>
              <w:snapToGrid w:val="0"/>
              <w:jc w:val="center"/>
              <w:rPr>
                <w:rFonts w:ascii="宋体" w:hAnsi="宋体"/>
                <w:sz w:val="22"/>
              </w:rPr>
            </w:pPr>
            <w:r>
              <w:rPr>
                <w:rFonts w:hint="eastAsia" w:ascii="宋体" w:hAnsi="宋体"/>
                <w:sz w:val="22"/>
              </w:rPr>
              <w:t>线缆及辅材</w:t>
            </w:r>
          </w:p>
        </w:tc>
        <w:tc>
          <w:tcPr>
            <w:tcW w:w="885" w:type="dxa"/>
            <w:vAlign w:val="center"/>
          </w:tcPr>
          <w:p>
            <w:pPr>
              <w:snapToGrid w:val="0"/>
              <w:jc w:val="center"/>
              <w:rPr>
                <w:rFonts w:ascii="宋体" w:hAnsi="宋体"/>
                <w:sz w:val="22"/>
              </w:rPr>
            </w:pPr>
            <w:r>
              <w:rPr>
                <w:rFonts w:hint="eastAsia" w:ascii="宋体" w:hAnsi="宋体"/>
                <w:sz w:val="22"/>
              </w:rPr>
              <w:t>1</w:t>
            </w:r>
          </w:p>
        </w:tc>
        <w:tc>
          <w:tcPr>
            <w:tcW w:w="795" w:type="dxa"/>
            <w:vAlign w:val="center"/>
          </w:tcPr>
          <w:p>
            <w:pPr>
              <w:snapToGrid w:val="0"/>
              <w:jc w:val="center"/>
              <w:rPr>
                <w:rFonts w:ascii="宋体" w:hAnsi="宋体"/>
                <w:sz w:val="22"/>
              </w:rPr>
            </w:pPr>
            <w:r>
              <w:rPr>
                <w:rFonts w:hint="eastAsia" w:ascii="宋体" w:hAnsi="宋体"/>
                <w:sz w:val="22"/>
              </w:rPr>
              <w:t>批</w:t>
            </w:r>
          </w:p>
        </w:tc>
        <w:tc>
          <w:tcPr>
            <w:tcW w:w="2511" w:type="dxa"/>
          </w:tcPr>
          <w:p>
            <w:pPr>
              <w:pStyle w:val="13"/>
              <w:snapToGrid w:val="0"/>
              <w:rPr>
                <w:rFonts w:ascii="宋体" w:hAnsi="宋体"/>
                <w:sz w:val="22"/>
              </w:rPr>
            </w:pPr>
          </w:p>
        </w:tc>
      </w:tr>
    </w:tbl>
    <w:p>
      <w:pPr>
        <w:pStyle w:val="39"/>
        <w:snapToGrid w:val="0"/>
        <w:spacing w:before="0" w:beforeAutospacing="0" w:after="0" w:afterAutospacing="0" w:line="360" w:lineRule="auto"/>
        <w:ind w:firstLine="440" w:firstLineChars="200"/>
        <w:jc w:val="both"/>
        <w:rPr>
          <w:rFonts w:cs="Arial"/>
          <w:sz w:val="22"/>
          <w:szCs w:val="22"/>
        </w:rPr>
      </w:pPr>
      <w:r>
        <w:rPr>
          <w:rFonts w:hint="eastAsia" w:cs="Arial"/>
          <w:sz w:val="22"/>
          <w:szCs w:val="22"/>
        </w:rPr>
        <w:t>在会议话筒设备方面，若投标人认为要组成基本的会议发言模式必须新增其他设备，投标人可另附页列明。实现基本功能包括发言人通过话筒，声音经过调音台、音频处理器、功放等设备，扩声效果语言清晰，系统工作稳定。</w:t>
      </w:r>
    </w:p>
    <w:p>
      <w:pPr>
        <w:pStyle w:val="23"/>
        <w:spacing w:after="0" w:line="240" w:lineRule="auto"/>
        <w:ind w:left="0" w:leftChars="0"/>
        <w:jc w:val="left"/>
        <w:rPr>
          <w:rFonts w:ascii="宋体" w:hAnsi="宋体" w:cs="Arial"/>
          <w:sz w:val="22"/>
          <w:szCs w:val="22"/>
        </w:rPr>
      </w:pPr>
    </w:p>
    <w:p>
      <w:pPr>
        <w:pStyle w:val="23"/>
        <w:spacing w:after="0" w:line="240" w:lineRule="auto"/>
        <w:ind w:left="0" w:leftChars="0"/>
        <w:jc w:val="left"/>
        <w:rPr>
          <w:rFonts w:ascii="宋体" w:hAnsi="宋体" w:cs="Arial"/>
          <w:b/>
          <w:bCs/>
          <w:sz w:val="22"/>
          <w:szCs w:val="22"/>
        </w:rPr>
      </w:pPr>
      <w:r>
        <w:rPr>
          <w:rFonts w:hint="eastAsia" w:ascii="宋体" w:hAnsi="宋体" w:cs="Arial"/>
          <w:b/>
          <w:bCs/>
          <w:sz w:val="22"/>
          <w:szCs w:val="22"/>
        </w:rPr>
        <w:t>1、技术规格</w:t>
      </w:r>
    </w:p>
    <w:p>
      <w:pPr>
        <w:pStyle w:val="23"/>
        <w:spacing w:after="0" w:line="240" w:lineRule="auto"/>
        <w:ind w:left="0" w:leftChars="0"/>
        <w:jc w:val="left"/>
        <w:rPr>
          <w:rFonts w:ascii="宋体" w:hAnsi="宋体" w:cs="Arial"/>
          <w:bCs/>
          <w:sz w:val="22"/>
          <w:szCs w:val="22"/>
        </w:rPr>
      </w:pPr>
      <w:r>
        <w:rPr>
          <w:rFonts w:hint="eastAsia" w:ascii="宋体" w:hAnsi="宋体" w:cs="Arial"/>
          <w:bCs/>
          <w:sz w:val="22"/>
          <w:szCs w:val="22"/>
        </w:rPr>
        <w:t>1.1会议话筒设备</w:t>
      </w:r>
    </w:p>
    <w:p>
      <w:pPr>
        <w:pStyle w:val="23"/>
        <w:spacing w:after="0" w:line="240" w:lineRule="auto"/>
        <w:ind w:left="0" w:leftChars="0" w:firstLine="440" w:firstLineChars="200"/>
        <w:jc w:val="left"/>
        <w:rPr>
          <w:rFonts w:ascii="宋体" w:hAnsi="宋体" w:cs="Arial"/>
          <w:bCs/>
          <w:sz w:val="22"/>
          <w:szCs w:val="22"/>
        </w:rPr>
      </w:pPr>
      <w:r>
        <w:rPr>
          <w:rFonts w:hint="eastAsia" w:ascii="宋体" w:hAnsi="宋体" w:cs="Arial"/>
          <w:bCs/>
          <w:sz w:val="22"/>
          <w:szCs w:val="22"/>
        </w:rPr>
        <w:t>考虑到会议系统的使用效果，各主要设备的兼容性，数字会议主机、有线话筒、无线话筒、无线收发器等设备应保持相同品牌。</w:t>
      </w:r>
    </w:p>
    <w:p>
      <w:pPr>
        <w:pStyle w:val="23"/>
        <w:spacing w:after="0" w:line="240" w:lineRule="auto"/>
        <w:ind w:left="0" w:leftChars="0"/>
        <w:jc w:val="left"/>
        <w:rPr>
          <w:rFonts w:ascii="宋体" w:hAnsi="宋体" w:cs="Arial"/>
          <w:b/>
          <w:bCs/>
          <w:sz w:val="22"/>
          <w:szCs w:val="22"/>
        </w:rPr>
      </w:pPr>
      <w:r>
        <w:rPr>
          <w:rFonts w:hint="eastAsia" w:ascii="宋体" w:hAnsi="宋体" w:cs="Arial"/>
          <w:b/>
          <w:bCs/>
          <w:sz w:val="22"/>
          <w:szCs w:val="22"/>
        </w:rPr>
        <w:t>1.1.1 数字会议主机</w:t>
      </w:r>
    </w:p>
    <w:p>
      <w:pPr>
        <w:pStyle w:val="23"/>
        <w:spacing w:after="0" w:line="240" w:lineRule="auto"/>
        <w:ind w:left="0" w:leftChars="0"/>
        <w:jc w:val="left"/>
        <w:rPr>
          <w:rFonts w:ascii="宋体" w:hAnsi="宋体" w:cs="Arial"/>
          <w:b/>
          <w:bCs/>
          <w:sz w:val="22"/>
          <w:szCs w:val="22"/>
        </w:rPr>
      </w:pPr>
      <w:r>
        <w:rPr>
          <w:rFonts w:hint="eastAsia" w:ascii="宋体" w:hAnsi="宋体" w:cs="Arial"/>
          <w:b/>
          <w:bCs/>
          <w:sz w:val="22"/>
          <w:szCs w:val="22"/>
        </w:rPr>
        <w:t>• 可接受品牌：BOSCH、Televic、Brahler或同档次及以上。</w:t>
      </w:r>
    </w:p>
    <w:p>
      <w:pPr>
        <w:pStyle w:val="23"/>
        <w:spacing w:after="0" w:line="240" w:lineRule="auto"/>
        <w:ind w:left="0" w:leftChars="0"/>
        <w:jc w:val="left"/>
        <w:rPr>
          <w:rFonts w:ascii="宋体" w:hAnsi="宋体" w:cs="Arial"/>
          <w:sz w:val="22"/>
          <w:szCs w:val="22"/>
        </w:rPr>
      </w:pPr>
      <w:r>
        <w:rPr>
          <w:rFonts w:hint="eastAsia" w:ascii="宋体" w:hAnsi="宋体" w:cs="Arial"/>
          <w:sz w:val="22"/>
          <w:szCs w:val="22"/>
        </w:rPr>
        <w:t>• 适用于有线或无线系统或两者的组合</w:t>
      </w:r>
    </w:p>
    <w:p>
      <w:pPr>
        <w:pStyle w:val="23"/>
        <w:spacing w:after="0" w:line="240" w:lineRule="auto"/>
        <w:ind w:left="0" w:leftChars="0"/>
        <w:jc w:val="left"/>
        <w:rPr>
          <w:rFonts w:ascii="宋体" w:hAnsi="宋体" w:cs="Arial"/>
          <w:sz w:val="22"/>
          <w:szCs w:val="22"/>
        </w:rPr>
      </w:pPr>
      <w:r>
        <w:rPr>
          <w:rFonts w:hint="eastAsia" w:ascii="宋体" w:hAnsi="宋体" w:cs="Arial"/>
          <w:sz w:val="22"/>
          <w:szCs w:val="22"/>
        </w:rPr>
        <w:t>• 连接讨论单元不少于100个</w:t>
      </w:r>
    </w:p>
    <w:p>
      <w:pPr>
        <w:pStyle w:val="23"/>
        <w:spacing w:after="0" w:line="240" w:lineRule="auto"/>
        <w:ind w:left="0" w:leftChars="0"/>
        <w:jc w:val="left"/>
        <w:rPr>
          <w:rFonts w:ascii="宋体" w:hAnsi="宋体" w:cs="Arial"/>
          <w:sz w:val="22"/>
          <w:szCs w:val="22"/>
        </w:rPr>
      </w:pPr>
      <w:r>
        <w:rPr>
          <w:rFonts w:hint="eastAsia" w:ascii="宋体" w:hAnsi="宋体" w:cs="Arial"/>
          <w:sz w:val="22"/>
          <w:szCs w:val="22"/>
        </w:rPr>
        <w:t>• 可通过显示屏对系统进行配置</w:t>
      </w:r>
    </w:p>
    <w:p>
      <w:pPr>
        <w:pStyle w:val="23"/>
        <w:spacing w:after="0" w:line="240" w:lineRule="auto"/>
        <w:ind w:left="0" w:leftChars="0"/>
        <w:jc w:val="left"/>
        <w:rPr>
          <w:rFonts w:ascii="宋体" w:hAnsi="宋体" w:cs="Arial"/>
          <w:sz w:val="22"/>
          <w:szCs w:val="22"/>
        </w:rPr>
      </w:pPr>
      <w:r>
        <w:rPr>
          <w:rFonts w:hint="eastAsia" w:ascii="宋体" w:hAnsi="宋体" w:cs="Arial"/>
          <w:sz w:val="22"/>
          <w:szCs w:val="22"/>
        </w:rPr>
        <w:t>• 同声传译功能，附带不少于31 个语言通道</w:t>
      </w:r>
    </w:p>
    <w:p>
      <w:pPr>
        <w:pStyle w:val="23"/>
        <w:spacing w:after="0" w:line="240" w:lineRule="auto"/>
        <w:ind w:left="0" w:leftChars="0"/>
        <w:jc w:val="left"/>
        <w:rPr>
          <w:rFonts w:ascii="宋体" w:hAnsi="宋体" w:cs="Arial"/>
          <w:sz w:val="22"/>
          <w:szCs w:val="22"/>
        </w:rPr>
      </w:pPr>
      <w:r>
        <w:rPr>
          <w:rFonts w:hint="eastAsia" w:ascii="宋体" w:hAnsi="宋体" w:cs="Arial"/>
          <w:sz w:val="22"/>
          <w:szCs w:val="22"/>
        </w:rPr>
        <w:t>• 可向无线会议装置分配多个语言通道</w:t>
      </w:r>
    </w:p>
    <w:p>
      <w:pPr>
        <w:pStyle w:val="23"/>
        <w:spacing w:after="0" w:line="240" w:lineRule="auto"/>
        <w:ind w:left="0" w:leftChars="0"/>
        <w:jc w:val="left"/>
        <w:rPr>
          <w:rFonts w:ascii="宋体" w:hAnsi="宋体" w:cs="Arial"/>
          <w:sz w:val="22"/>
          <w:szCs w:val="22"/>
        </w:rPr>
      </w:pPr>
      <w:r>
        <w:rPr>
          <w:rFonts w:hint="eastAsia" w:ascii="宋体" w:hAnsi="宋体" w:cs="Arial"/>
          <w:sz w:val="22"/>
          <w:szCs w:val="22"/>
        </w:rPr>
        <w:t>• 向接收机、有线通道选择器分配不少于31个语言通道</w:t>
      </w:r>
    </w:p>
    <w:p>
      <w:pPr>
        <w:pStyle w:val="23"/>
        <w:spacing w:after="0" w:line="240" w:lineRule="auto"/>
        <w:ind w:left="0" w:leftChars="0"/>
        <w:jc w:val="left"/>
        <w:rPr>
          <w:rFonts w:ascii="宋体" w:hAnsi="宋体" w:cs="Arial"/>
          <w:sz w:val="22"/>
          <w:szCs w:val="22"/>
        </w:rPr>
      </w:pPr>
      <w:r>
        <w:rPr>
          <w:rFonts w:hint="eastAsia" w:ascii="宋体" w:hAnsi="宋体" w:cs="Arial"/>
          <w:sz w:val="22"/>
          <w:szCs w:val="22"/>
        </w:rPr>
        <w:t>• 基本对讲功能，可以与操作人员和主席进行通话</w:t>
      </w:r>
    </w:p>
    <w:p>
      <w:pPr>
        <w:pStyle w:val="23"/>
        <w:spacing w:after="0" w:line="240" w:lineRule="auto"/>
        <w:ind w:left="0" w:leftChars="0"/>
        <w:jc w:val="left"/>
        <w:rPr>
          <w:rFonts w:ascii="宋体" w:hAnsi="宋体" w:cs="Arial"/>
          <w:sz w:val="22"/>
          <w:szCs w:val="22"/>
        </w:rPr>
      </w:pPr>
      <w:r>
        <w:rPr>
          <w:rFonts w:hint="eastAsia" w:ascii="宋体" w:hAnsi="宋体" w:cs="Arial"/>
          <w:sz w:val="22"/>
          <w:szCs w:val="22"/>
        </w:rPr>
        <w:t>• 使用 PC 控制软件或遥控器增强会议控制能力</w:t>
      </w:r>
    </w:p>
    <w:p>
      <w:pPr>
        <w:pStyle w:val="23"/>
        <w:spacing w:after="0" w:line="240" w:lineRule="auto"/>
        <w:ind w:left="0" w:leftChars="0"/>
        <w:jc w:val="left"/>
        <w:rPr>
          <w:rFonts w:ascii="宋体" w:hAnsi="宋体" w:cs="Arial"/>
          <w:sz w:val="22"/>
          <w:szCs w:val="22"/>
        </w:rPr>
      </w:pPr>
      <w:r>
        <w:rPr>
          <w:rFonts w:hint="eastAsia" w:ascii="宋体" w:hAnsi="宋体" w:cs="Arial"/>
          <w:sz w:val="22"/>
          <w:szCs w:val="22"/>
        </w:rPr>
        <w:t>• 可调节音频输入的灵敏度</w:t>
      </w:r>
    </w:p>
    <w:p>
      <w:pPr>
        <w:pStyle w:val="23"/>
        <w:spacing w:after="0" w:line="240" w:lineRule="auto"/>
        <w:ind w:left="0" w:leftChars="0"/>
        <w:jc w:val="left"/>
        <w:rPr>
          <w:rFonts w:ascii="宋体" w:hAnsi="宋体" w:cs="Arial"/>
          <w:sz w:val="22"/>
          <w:szCs w:val="22"/>
        </w:rPr>
      </w:pPr>
      <w:r>
        <w:rPr>
          <w:rFonts w:hint="eastAsia" w:ascii="宋体" w:hAnsi="宋体" w:cs="Arial"/>
          <w:sz w:val="22"/>
          <w:szCs w:val="22"/>
        </w:rPr>
        <w:t>• 可调节音频输出的级别</w:t>
      </w:r>
    </w:p>
    <w:p>
      <w:pPr>
        <w:pStyle w:val="23"/>
        <w:spacing w:after="0" w:line="240" w:lineRule="auto"/>
        <w:ind w:left="0" w:leftChars="0"/>
        <w:jc w:val="left"/>
        <w:rPr>
          <w:rFonts w:ascii="宋体" w:hAnsi="宋体" w:cs="Arial"/>
          <w:sz w:val="22"/>
          <w:szCs w:val="22"/>
        </w:rPr>
      </w:pPr>
      <w:r>
        <w:rPr>
          <w:rFonts w:hint="eastAsia" w:ascii="宋体" w:hAnsi="宋体" w:cs="Arial"/>
          <w:sz w:val="22"/>
          <w:szCs w:val="22"/>
        </w:rPr>
        <w:t>• 音频插入功能，用于连接外部音频处理设备或电话耦合器</w:t>
      </w:r>
    </w:p>
    <w:p>
      <w:pPr>
        <w:pStyle w:val="23"/>
        <w:spacing w:after="0" w:line="240" w:lineRule="auto"/>
        <w:ind w:left="0" w:leftChars="0"/>
        <w:jc w:val="left"/>
        <w:rPr>
          <w:rFonts w:ascii="宋体" w:hAnsi="宋体" w:cs="Arial"/>
          <w:sz w:val="22"/>
          <w:szCs w:val="22"/>
        </w:rPr>
      </w:pPr>
      <w:r>
        <w:rPr>
          <w:rFonts w:hint="eastAsia" w:ascii="宋体" w:hAnsi="宋体" w:cs="Arial"/>
          <w:sz w:val="22"/>
          <w:szCs w:val="22"/>
        </w:rPr>
        <w:t>• 可以使用耳机来监控音频</w:t>
      </w:r>
    </w:p>
    <w:p>
      <w:pPr>
        <w:pStyle w:val="23"/>
        <w:spacing w:after="0" w:line="240" w:lineRule="auto"/>
        <w:ind w:left="0" w:leftChars="0"/>
        <w:jc w:val="left"/>
        <w:rPr>
          <w:rFonts w:ascii="宋体" w:hAnsi="宋体" w:cs="Arial"/>
          <w:sz w:val="22"/>
          <w:szCs w:val="22"/>
        </w:rPr>
      </w:pPr>
    </w:p>
    <w:p>
      <w:pPr>
        <w:pStyle w:val="23"/>
        <w:spacing w:after="0" w:line="240" w:lineRule="auto"/>
        <w:ind w:left="0" w:leftChars="0"/>
        <w:jc w:val="left"/>
        <w:rPr>
          <w:rFonts w:ascii="宋体" w:hAnsi="宋体" w:cs="Arial"/>
          <w:b/>
          <w:bCs/>
          <w:sz w:val="22"/>
          <w:szCs w:val="22"/>
        </w:rPr>
      </w:pPr>
      <w:r>
        <w:rPr>
          <w:rFonts w:hint="eastAsia" w:ascii="宋体" w:hAnsi="宋体" w:cs="Arial"/>
          <w:b/>
          <w:bCs/>
          <w:sz w:val="22"/>
          <w:szCs w:val="22"/>
        </w:rPr>
        <w:t>1.1.2 有线话筒</w:t>
      </w:r>
    </w:p>
    <w:p>
      <w:pPr>
        <w:pStyle w:val="23"/>
        <w:spacing w:after="0" w:line="240" w:lineRule="auto"/>
        <w:ind w:left="0" w:leftChars="0"/>
        <w:jc w:val="left"/>
        <w:rPr>
          <w:rFonts w:ascii="宋体" w:hAnsi="宋体" w:cs="Arial"/>
          <w:b/>
          <w:bCs/>
          <w:sz w:val="22"/>
          <w:szCs w:val="22"/>
        </w:rPr>
      </w:pPr>
      <w:r>
        <w:rPr>
          <w:rFonts w:hint="eastAsia" w:ascii="宋体" w:hAnsi="宋体" w:cs="Arial"/>
          <w:b/>
          <w:bCs/>
          <w:sz w:val="22"/>
          <w:szCs w:val="22"/>
        </w:rPr>
        <w:t>• 可接受品牌：和数字会议主机同品牌。</w:t>
      </w:r>
    </w:p>
    <w:p>
      <w:pPr>
        <w:pStyle w:val="23"/>
        <w:spacing w:after="0" w:line="240" w:lineRule="auto"/>
        <w:ind w:left="0" w:leftChars="0"/>
        <w:jc w:val="left"/>
        <w:rPr>
          <w:rFonts w:ascii="宋体" w:hAnsi="宋体" w:cs="Arial"/>
          <w:sz w:val="22"/>
          <w:szCs w:val="22"/>
        </w:rPr>
      </w:pPr>
      <w:r>
        <w:rPr>
          <w:rFonts w:hint="eastAsia" w:ascii="宋体" w:hAnsi="宋体" w:cs="Arial"/>
          <w:sz w:val="22"/>
          <w:szCs w:val="22"/>
        </w:rPr>
        <w:t>• 讨论代表机，带固定长话筒</w:t>
      </w:r>
    </w:p>
    <w:p>
      <w:pPr>
        <w:pStyle w:val="23"/>
        <w:spacing w:after="0" w:line="240" w:lineRule="auto"/>
        <w:ind w:left="0" w:leftChars="0"/>
        <w:jc w:val="left"/>
        <w:rPr>
          <w:rFonts w:ascii="宋体" w:hAnsi="宋体" w:cs="Arial"/>
          <w:sz w:val="22"/>
          <w:szCs w:val="22"/>
        </w:rPr>
      </w:pPr>
      <w:r>
        <w:rPr>
          <w:rFonts w:hint="eastAsia" w:ascii="宋体" w:hAnsi="宋体" w:cs="Arial"/>
          <w:sz w:val="22"/>
          <w:szCs w:val="22"/>
        </w:rPr>
        <w:t>• 固定话筒长度不小于480mm</w:t>
      </w:r>
    </w:p>
    <w:p>
      <w:pPr>
        <w:pStyle w:val="23"/>
        <w:spacing w:after="0" w:line="240" w:lineRule="auto"/>
        <w:ind w:left="0" w:leftChars="0"/>
        <w:jc w:val="left"/>
        <w:rPr>
          <w:rFonts w:ascii="宋体" w:hAnsi="宋体" w:cs="Arial"/>
          <w:sz w:val="22"/>
          <w:szCs w:val="22"/>
        </w:rPr>
      </w:pPr>
      <w:r>
        <w:rPr>
          <w:rFonts w:hint="eastAsia" w:ascii="宋体" w:hAnsi="宋体" w:cs="Arial"/>
          <w:sz w:val="22"/>
          <w:szCs w:val="22"/>
        </w:rPr>
        <w:t>• 对手机干扰的敏感度较低</w:t>
      </w:r>
    </w:p>
    <w:p>
      <w:pPr>
        <w:pStyle w:val="23"/>
        <w:spacing w:after="0" w:line="240" w:lineRule="auto"/>
        <w:ind w:left="0" w:leftChars="0"/>
        <w:jc w:val="left"/>
        <w:rPr>
          <w:rFonts w:ascii="宋体" w:hAnsi="宋体" w:cs="Arial"/>
          <w:sz w:val="22"/>
          <w:szCs w:val="22"/>
        </w:rPr>
      </w:pPr>
      <w:r>
        <w:rPr>
          <w:rFonts w:hint="eastAsia" w:ascii="宋体" w:hAnsi="宋体" w:cs="Arial"/>
          <w:sz w:val="22"/>
          <w:szCs w:val="22"/>
        </w:rPr>
        <w:t>• 固定话筒</w:t>
      </w:r>
    </w:p>
    <w:p>
      <w:pPr>
        <w:pStyle w:val="23"/>
        <w:spacing w:after="0" w:line="240" w:lineRule="auto"/>
        <w:ind w:left="0" w:leftChars="0"/>
        <w:jc w:val="left"/>
        <w:rPr>
          <w:rFonts w:ascii="宋体" w:hAnsi="宋体" w:cs="Arial"/>
          <w:sz w:val="22"/>
          <w:szCs w:val="22"/>
        </w:rPr>
      </w:pPr>
      <w:r>
        <w:rPr>
          <w:rFonts w:hint="eastAsia" w:ascii="宋体" w:hAnsi="宋体" w:cs="Arial"/>
          <w:sz w:val="22"/>
          <w:szCs w:val="22"/>
        </w:rPr>
        <w:t>• 降低耳机输出级别以防产生声学反馈</w:t>
      </w:r>
    </w:p>
    <w:p>
      <w:pPr>
        <w:pStyle w:val="23"/>
        <w:spacing w:after="0" w:line="240" w:lineRule="auto"/>
        <w:ind w:left="0" w:leftChars="0"/>
        <w:jc w:val="left"/>
        <w:rPr>
          <w:rFonts w:ascii="宋体" w:hAnsi="宋体" w:cs="Arial"/>
          <w:sz w:val="22"/>
          <w:szCs w:val="22"/>
        </w:rPr>
      </w:pPr>
      <w:r>
        <w:rPr>
          <w:rFonts w:hint="eastAsia" w:ascii="宋体" w:hAnsi="宋体" w:cs="Arial"/>
          <w:sz w:val="22"/>
          <w:szCs w:val="22"/>
        </w:rPr>
        <w:t>• 可以用作代表装置或主席装置</w:t>
      </w:r>
    </w:p>
    <w:p>
      <w:pPr>
        <w:pStyle w:val="23"/>
        <w:spacing w:after="0" w:line="240" w:lineRule="auto"/>
        <w:ind w:left="0" w:leftChars="0"/>
        <w:jc w:val="left"/>
        <w:rPr>
          <w:rFonts w:ascii="宋体" w:hAnsi="宋体" w:cs="Arial"/>
          <w:sz w:val="22"/>
          <w:szCs w:val="22"/>
        </w:rPr>
      </w:pPr>
      <w:r>
        <w:rPr>
          <w:rFonts w:hint="eastAsia" w:ascii="宋体" w:hAnsi="宋体" w:cs="Arial"/>
          <w:sz w:val="22"/>
          <w:szCs w:val="22"/>
        </w:rPr>
        <w:t>• 话筒启用时带指示灯</w:t>
      </w:r>
    </w:p>
    <w:p>
      <w:pPr>
        <w:pStyle w:val="23"/>
        <w:spacing w:after="0" w:line="240" w:lineRule="auto"/>
        <w:ind w:left="0" w:leftChars="0"/>
        <w:jc w:val="left"/>
        <w:rPr>
          <w:rFonts w:ascii="宋体" w:hAnsi="宋体" w:cs="Arial"/>
          <w:sz w:val="22"/>
          <w:szCs w:val="22"/>
        </w:rPr>
      </w:pPr>
    </w:p>
    <w:p>
      <w:pPr>
        <w:pStyle w:val="23"/>
        <w:spacing w:after="0" w:line="240" w:lineRule="auto"/>
        <w:ind w:left="0" w:leftChars="0"/>
        <w:jc w:val="left"/>
        <w:rPr>
          <w:rFonts w:ascii="宋体" w:hAnsi="宋体" w:cs="Arial"/>
          <w:b/>
          <w:bCs/>
          <w:sz w:val="22"/>
          <w:szCs w:val="22"/>
        </w:rPr>
      </w:pPr>
      <w:r>
        <w:rPr>
          <w:rFonts w:hint="eastAsia" w:ascii="宋体" w:hAnsi="宋体" w:cs="Arial"/>
          <w:b/>
          <w:bCs/>
          <w:sz w:val="22"/>
          <w:szCs w:val="22"/>
        </w:rPr>
        <w:t>1.1.3 无线话筒</w:t>
      </w:r>
    </w:p>
    <w:p>
      <w:pPr>
        <w:pStyle w:val="23"/>
        <w:spacing w:after="0" w:line="240" w:lineRule="auto"/>
        <w:ind w:left="0" w:leftChars="0"/>
        <w:jc w:val="left"/>
        <w:rPr>
          <w:rFonts w:ascii="宋体" w:hAnsi="宋体" w:cs="Arial"/>
          <w:b/>
          <w:bCs/>
          <w:sz w:val="22"/>
          <w:szCs w:val="22"/>
        </w:rPr>
      </w:pPr>
      <w:r>
        <w:rPr>
          <w:rFonts w:hint="eastAsia" w:ascii="宋体" w:hAnsi="宋体" w:cs="Arial"/>
          <w:sz w:val="22"/>
          <w:szCs w:val="22"/>
        </w:rPr>
        <w:t xml:space="preserve">• </w:t>
      </w:r>
      <w:r>
        <w:rPr>
          <w:rFonts w:hint="eastAsia" w:ascii="宋体" w:hAnsi="宋体" w:cs="Arial"/>
          <w:b/>
          <w:bCs/>
          <w:sz w:val="22"/>
          <w:szCs w:val="22"/>
        </w:rPr>
        <w:t>可接受品牌：和数字会议主机同品牌</w:t>
      </w:r>
    </w:p>
    <w:p>
      <w:pPr>
        <w:pStyle w:val="23"/>
        <w:spacing w:after="0" w:line="240" w:lineRule="auto"/>
        <w:ind w:left="0" w:leftChars="0"/>
        <w:jc w:val="left"/>
        <w:rPr>
          <w:rFonts w:ascii="宋体" w:hAnsi="宋体" w:cs="Arial"/>
          <w:sz w:val="22"/>
          <w:szCs w:val="22"/>
        </w:rPr>
      </w:pPr>
      <w:r>
        <w:rPr>
          <w:rFonts w:hint="eastAsia" w:ascii="宋体" w:hAnsi="宋体" w:cs="Arial"/>
          <w:sz w:val="22"/>
          <w:szCs w:val="22"/>
        </w:rPr>
        <w:t>无线话筒包括：鹅颈话筒、话筒底座、电池</w:t>
      </w:r>
    </w:p>
    <w:p>
      <w:pPr>
        <w:pStyle w:val="23"/>
        <w:spacing w:after="0" w:line="240" w:lineRule="auto"/>
        <w:ind w:left="0" w:leftChars="0"/>
        <w:jc w:val="left"/>
        <w:rPr>
          <w:rFonts w:ascii="宋体" w:hAnsi="宋体" w:cs="Arial"/>
          <w:b/>
          <w:bCs/>
          <w:sz w:val="22"/>
          <w:szCs w:val="22"/>
        </w:rPr>
      </w:pPr>
      <w:r>
        <w:rPr>
          <w:rFonts w:hint="eastAsia" w:ascii="宋体" w:hAnsi="宋体" w:cs="Arial"/>
          <w:b/>
          <w:bCs/>
          <w:sz w:val="22"/>
          <w:szCs w:val="22"/>
        </w:rPr>
        <w:t>鹅颈话筒</w:t>
      </w:r>
    </w:p>
    <w:p>
      <w:pPr>
        <w:pStyle w:val="23"/>
        <w:spacing w:after="0" w:line="240" w:lineRule="auto"/>
        <w:ind w:left="0" w:leftChars="0"/>
        <w:jc w:val="left"/>
        <w:rPr>
          <w:rFonts w:ascii="宋体" w:hAnsi="宋体" w:cs="Arial"/>
          <w:sz w:val="22"/>
          <w:szCs w:val="22"/>
        </w:rPr>
      </w:pPr>
      <w:r>
        <w:rPr>
          <w:rFonts w:hint="eastAsia" w:ascii="宋体" w:hAnsi="宋体" w:cs="Arial"/>
          <w:sz w:val="22"/>
          <w:szCs w:val="22"/>
        </w:rPr>
        <w:t>• 长杆话筒，长度不小于480mm</w:t>
      </w:r>
    </w:p>
    <w:p>
      <w:pPr>
        <w:pStyle w:val="23"/>
        <w:spacing w:after="0" w:line="240" w:lineRule="auto"/>
        <w:ind w:left="0" w:leftChars="0"/>
        <w:jc w:val="left"/>
        <w:rPr>
          <w:rFonts w:ascii="宋体" w:hAnsi="宋体" w:cs="Arial"/>
          <w:sz w:val="22"/>
          <w:szCs w:val="22"/>
        </w:rPr>
      </w:pPr>
      <w:r>
        <w:rPr>
          <w:rFonts w:hint="eastAsia" w:ascii="宋体" w:hAnsi="宋体" w:cs="Arial"/>
          <w:sz w:val="22"/>
          <w:szCs w:val="22"/>
        </w:rPr>
        <w:t>• 内置防喷和防风罩</w:t>
      </w:r>
    </w:p>
    <w:p>
      <w:pPr>
        <w:pStyle w:val="23"/>
        <w:spacing w:after="0" w:line="240" w:lineRule="auto"/>
        <w:ind w:left="0" w:leftChars="0"/>
        <w:jc w:val="left"/>
        <w:rPr>
          <w:rFonts w:ascii="宋体" w:hAnsi="宋体" w:cs="Arial"/>
          <w:sz w:val="22"/>
          <w:szCs w:val="22"/>
        </w:rPr>
      </w:pPr>
      <w:r>
        <w:rPr>
          <w:rFonts w:hint="eastAsia" w:ascii="宋体" w:hAnsi="宋体" w:cs="Arial"/>
          <w:sz w:val="22"/>
          <w:szCs w:val="22"/>
        </w:rPr>
        <w:t>• 动态范围&gt;90 dB</w:t>
      </w:r>
    </w:p>
    <w:p>
      <w:pPr>
        <w:pStyle w:val="23"/>
        <w:spacing w:after="0" w:line="240" w:lineRule="auto"/>
        <w:ind w:left="0" w:leftChars="0"/>
        <w:jc w:val="left"/>
        <w:rPr>
          <w:rFonts w:ascii="宋体" w:hAnsi="宋体" w:cs="Arial"/>
          <w:b/>
          <w:bCs/>
          <w:sz w:val="22"/>
          <w:szCs w:val="22"/>
        </w:rPr>
      </w:pPr>
      <w:r>
        <w:rPr>
          <w:rFonts w:hint="eastAsia" w:ascii="宋体" w:hAnsi="宋体" w:cs="Arial"/>
          <w:b/>
          <w:bCs/>
          <w:sz w:val="22"/>
          <w:szCs w:val="22"/>
        </w:rPr>
        <w:t>话筒底座</w:t>
      </w:r>
    </w:p>
    <w:p>
      <w:pPr>
        <w:pStyle w:val="23"/>
        <w:spacing w:after="0" w:line="240" w:lineRule="auto"/>
        <w:ind w:left="0" w:leftChars="0"/>
        <w:jc w:val="left"/>
        <w:rPr>
          <w:rFonts w:ascii="宋体" w:hAnsi="宋体" w:cs="Arial"/>
          <w:sz w:val="22"/>
          <w:szCs w:val="22"/>
        </w:rPr>
      </w:pPr>
      <w:r>
        <w:rPr>
          <w:rFonts w:hint="eastAsia" w:ascii="宋体" w:hAnsi="宋体" w:cs="Arial"/>
          <w:sz w:val="22"/>
          <w:szCs w:val="22"/>
        </w:rPr>
        <w:t>• 无线设备连接到无线收发器。</w:t>
      </w:r>
    </w:p>
    <w:p>
      <w:pPr>
        <w:pStyle w:val="23"/>
        <w:spacing w:after="0" w:line="240" w:lineRule="auto"/>
        <w:ind w:left="0" w:leftChars="0"/>
        <w:jc w:val="left"/>
        <w:rPr>
          <w:rFonts w:ascii="宋体" w:hAnsi="宋体" w:cs="Arial"/>
          <w:b/>
          <w:bCs/>
          <w:sz w:val="22"/>
          <w:szCs w:val="22"/>
        </w:rPr>
      </w:pPr>
      <w:r>
        <w:rPr>
          <w:rFonts w:hint="eastAsia" w:ascii="宋体" w:hAnsi="宋体" w:cs="Arial"/>
          <w:b/>
          <w:bCs/>
          <w:sz w:val="22"/>
          <w:szCs w:val="22"/>
        </w:rPr>
        <w:t>电池</w:t>
      </w:r>
    </w:p>
    <w:p>
      <w:pPr>
        <w:pStyle w:val="23"/>
        <w:spacing w:after="0" w:line="240" w:lineRule="auto"/>
        <w:ind w:left="0" w:leftChars="0"/>
        <w:jc w:val="left"/>
        <w:rPr>
          <w:rFonts w:ascii="宋体" w:hAnsi="宋体" w:cs="Arial"/>
          <w:sz w:val="22"/>
          <w:szCs w:val="22"/>
        </w:rPr>
      </w:pPr>
      <w:r>
        <w:rPr>
          <w:rFonts w:hint="eastAsia" w:ascii="宋体" w:hAnsi="宋体" w:cs="Arial"/>
          <w:sz w:val="22"/>
          <w:szCs w:val="22"/>
        </w:rPr>
        <w:t>• 完全充电后一般情况下可持续使用不少于24小时</w:t>
      </w:r>
    </w:p>
    <w:p>
      <w:pPr>
        <w:pStyle w:val="23"/>
        <w:spacing w:after="0" w:line="240" w:lineRule="auto"/>
        <w:ind w:left="0" w:leftChars="0"/>
        <w:jc w:val="left"/>
        <w:rPr>
          <w:rFonts w:ascii="宋体" w:hAnsi="宋体" w:cs="Arial"/>
          <w:sz w:val="22"/>
          <w:szCs w:val="22"/>
        </w:rPr>
      </w:pPr>
      <w:r>
        <w:rPr>
          <w:rFonts w:hint="eastAsia" w:ascii="宋体" w:hAnsi="宋体" w:cs="Arial"/>
          <w:sz w:val="22"/>
          <w:szCs w:val="22"/>
        </w:rPr>
        <w:t>• 完全充电不大于3个小时即可完成</w:t>
      </w:r>
    </w:p>
    <w:p>
      <w:pPr>
        <w:pStyle w:val="23"/>
        <w:spacing w:after="0" w:line="240" w:lineRule="auto"/>
        <w:ind w:left="0" w:leftChars="0"/>
        <w:jc w:val="left"/>
        <w:rPr>
          <w:rFonts w:ascii="宋体" w:hAnsi="宋体" w:cs="Arial"/>
          <w:sz w:val="22"/>
          <w:szCs w:val="22"/>
        </w:rPr>
      </w:pPr>
      <w:r>
        <w:rPr>
          <w:rFonts w:hint="eastAsia" w:ascii="宋体" w:hAnsi="宋体" w:cs="Arial"/>
          <w:sz w:val="22"/>
          <w:szCs w:val="22"/>
        </w:rPr>
        <w:t>• 锂电技术</w:t>
      </w:r>
    </w:p>
    <w:p>
      <w:pPr>
        <w:pStyle w:val="23"/>
        <w:spacing w:after="0" w:line="240" w:lineRule="auto"/>
        <w:ind w:left="0" w:leftChars="0"/>
        <w:jc w:val="left"/>
        <w:rPr>
          <w:rFonts w:ascii="宋体" w:hAnsi="宋体" w:cs="Arial"/>
          <w:sz w:val="22"/>
          <w:szCs w:val="22"/>
        </w:rPr>
      </w:pPr>
    </w:p>
    <w:p>
      <w:pPr>
        <w:pStyle w:val="23"/>
        <w:spacing w:after="0" w:line="240" w:lineRule="auto"/>
        <w:ind w:left="0" w:leftChars="0"/>
        <w:jc w:val="left"/>
        <w:rPr>
          <w:rFonts w:ascii="宋体" w:hAnsi="宋体" w:cs="Arial"/>
          <w:b/>
          <w:bCs/>
          <w:sz w:val="22"/>
          <w:szCs w:val="22"/>
        </w:rPr>
      </w:pPr>
      <w:r>
        <w:rPr>
          <w:rFonts w:hint="eastAsia" w:ascii="宋体" w:hAnsi="宋体" w:cs="Arial"/>
          <w:b/>
          <w:bCs/>
          <w:sz w:val="22"/>
          <w:szCs w:val="22"/>
        </w:rPr>
        <w:t>1.1.4 无线收发器</w:t>
      </w:r>
    </w:p>
    <w:p>
      <w:pPr>
        <w:pStyle w:val="23"/>
        <w:spacing w:after="0" w:line="240" w:lineRule="auto"/>
        <w:ind w:left="0" w:leftChars="0"/>
        <w:jc w:val="left"/>
        <w:rPr>
          <w:rFonts w:ascii="宋体" w:hAnsi="宋体" w:cs="Arial"/>
          <w:b/>
          <w:bCs/>
          <w:sz w:val="22"/>
          <w:szCs w:val="22"/>
        </w:rPr>
      </w:pPr>
      <w:r>
        <w:rPr>
          <w:rFonts w:hint="eastAsia" w:ascii="宋体" w:hAnsi="宋体" w:cs="Arial"/>
          <w:b/>
          <w:bCs/>
          <w:sz w:val="22"/>
          <w:szCs w:val="22"/>
        </w:rPr>
        <w:t>• 可接受品牌：和数字会议主机同品牌。</w:t>
      </w:r>
    </w:p>
    <w:p>
      <w:pPr>
        <w:pStyle w:val="23"/>
        <w:spacing w:after="0" w:line="240" w:lineRule="auto"/>
        <w:ind w:left="0" w:leftChars="0"/>
        <w:jc w:val="left"/>
        <w:rPr>
          <w:rFonts w:ascii="宋体" w:hAnsi="宋体" w:cs="Arial"/>
          <w:sz w:val="22"/>
          <w:szCs w:val="22"/>
        </w:rPr>
      </w:pPr>
      <w:r>
        <w:rPr>
          <w:rFonts w:hint="eastAsia" w:ascii="宋体" w:hAnsi="宋体" w:cs="Arial"/>
          <w:sz w:val="22"/>
          <w:szCs w:val="22"/>
        </w:rPr>
        <w:t>• 通过电源适配器、以太网供电或其他电缆供电</w:t>
      </w:r>
    </w:p>
    <w:p>
      <w:pPr>
        <w:pStyle w:val="23"/>
        <w:spacing w:after="0" w:line="240" w:lineRule="auto"/>
        <w:ind w:left="0" w:leftChars="0"/>
        <w:jc w:val="left"/>
        <w:rPr>
          <w:rFonts w:ascii="宋体" w:hAnsi="宋体" w:cs="Arial"/>
          <w:sz w:val="22"/>
          <w:szCs w:val="22"/>
        </w:rPr>
      </w:pPr>
      <w:r>
        <w:rPr>
          <w:rFonts w:hint="eastAsia" w:ascii="宋体" w:hAnsi="宋体" w:cs="Arial"/>
          <w:sz w:val="22"/>
          <w:szCs w:val="22"/>
        </w:rPr>
        <w:t>• 可进行远程连接控制话筒</w:t>
      </w:r>
    </w:p>
    <w:p>
      <w:pPr>
        <w:pStyle w:val="23"/>
        <w:spacing w:after="0" w:line="240" w:lineRule="auto"/>
        <w:ind w:left="0" w:leftChars="0"/>
        <w:jc w:val="left"/>
        <w:rPr>
          <w:rFonts w:ascii="宋体" w:hAnsi="宋体" w:cs="Arial"/>
          <w:sz w:val="22"/>
          <w:szCs w:val="22"/>
        </w:rPr>
      </w:pPr>
      <w:r>
        <w:rPr>
          <w:rFonts w:hint="eastAsia" w:ascii="宋体" w:hAnsi="宋体" w:cs="Arial"/>
          <w:sz w:val="22"/>
          <w:szCs w:val="22"/>
        </w:rPr>
        <w:t>• 无线传输距离不小于 30 米</w:t>
      </w:r>
    </w:p>
    <w:p>
      <w:pPr>
        <w:pStyle w:val="23"/>
        <w:spacing w:after="0" w:line="240" w:lineRule="auto"/>
        <w:ind w:left="0" w:leftChars="0"/>
        <w:jc w:val="left"/>
        <w:rPr>
          <w:rFonts w:ascii="宋体" w:hAnsi="宋体" w:cs="Arial"/>
          <w:sz w:val="22"/>
          <w:szCs w:val="22"/>
        </w:rPr>
      </w:pPr>
      <w:r>
        <w:rPr>
          <w:rFonts w:hint="eastAsia" w:ascii="宋体" w:hAnsi="宋体" w:cs="Arial"/>
          <w:sz w:val="22"/>
          <w:szCs w:val="22"/>
        </w:rPr>
        <w:t>• 与无线话筒配套使用，无缝接入会议主机，会议主机可通过无线收发器控制无线话筒</w:t>
      </w:r>
    </w:p>
    <w:p>
      <w:pPr>
        <w:pStyle w:val="23"/>
        <w:spacing w:after="0" w:line="240" w:lineRule="auto"/>
        <w:ind w:left="0" w:leftChars="0"/>
        <w:jc w:val="left"/>
        <w:rPr>
          <w:rFonts w:ascii="宋体" w:hAnsi="宋体" w:cs="Arial"/>
          <w:sz w:val="22"/>
          <w:szCs w:val="22"/>
        </w:rPr>
      </w:pPr>
    </w:p>
    <w:p>
      <w:pPr>
        <w:pStyle w:val="23"/>
        <w:spacing w:after="0" w:line="240" w:lineRule="auto"/>
        <w:ind w:left="0" w:leftChars="0"/>
        <w:jc w:val="left"/>
        <w:rPr>
          <w:rFonts w:ascii="宋体" w:hAnsi="宋体" w:cs="Arial"/>
          <w:b/>
          <w:bCs/>
          <w:sz w:val="22"/>
          <w:szCs w:val="22"/>
        </w:rPr>
      </w:pPr>
      <w:r>
        <w:rPr>
          <w:rFonts w:hint="eastAsia" w:ascii="宋体" w:hAnsi="宋体" w:cs="Arial"/>
          <w:b/>
          <w:bCs/>
          <w:sz w:val="22"/>
          <w:szCs w:val="22"/>
        </w:rPr>
        <w:t>1.1.5 电池充电槽</w:t>
      </w:r>
    </w:p>
    <w:p>
      <w:pPr>
        <w:pStyle w:val="23"/>
        <w:spacing w:after="0" w:line="240" w:lineRule="auto"/>
        <w:ind w:left="0" w:leftChars="0"/>
        <w:jc w:val="left"/>
        <w:rPr>
          <w:rFonts w:ascii="宋体" w:hAnsi="宋体" w:cs="Arial"/>
          <w:sz w:val="22"/>
          <w:szCs w:val="22"/>
        </w:rPr>
      </w:pPr>
      <w:r>
        <w:rPr>
          <w:rFonts w:hint="eastAsia" w:ascii="宋体" w:hAnsi="宋体" w:cs="Arial"/>
          <w:sz w:val="22"/>
          <w:szCs w:val="22"/>
        </w:rPr>
        <w:t>• 不少于5个充电槽</w:t>
      </w:r>
    </w:p>
    <w:p>
      <w:pPr>
        <w:pStyle w:val="23"/>
        <w:spacing w:after="0" w:line="240" w:lineRule="auto"/>
        <w:ind w:left="0" w:leftChars="0"/>
        <w:jc w:val="left"/>
        <w:rPr>
          <w:rFonts w:ascii="宋体" w:hAnsi="宋体" w:cs="Arial"/>
          <w:sz w:val="22"/>
          <w:szCs w:val="22"/>
        </w:rPr>
      </w:pPr>
      <w:r>
        <w:rPr>
          <w:rFonts w:hint="eastAsia" w:ascii="宋体" w:hAnsi="宋体" w:cs="Arial"/>
          <w:sz w:val="22"/>
          <w:szCs w:val="22"/>
        </w:rPr>
        <w:t>• 单独的电池组充电电量指示灯</w:t>
      </w:r>
    </w:p>
    <w:p>
      <w:pPr>
        <w:pStyle w:val="23"/>
        <w:spacing w:after="0" w:line="240" w:lineRule="auto"/>
        <w:ind w:left="0" w:leftChars="0"/>
        <w:jc w:val="left"/>
        <w:rPr>
          <w:rFonts w:ascii="宋体" w:hAnsi="宋体" w:cs="Arial"/>
          <w:sz w:val="22"/>
          <w:szCs w:val="22"/>
        </w:rPr>
      </w:pPr>
      <w:r>
        <w:rPr>
          <w:rFonts w:hint="eastAsia" w:ascii="宋体" w:hAnsi="宋体" w:cs="Arial"/>
          <w:sz w:val="22"/>
          <w:szCs w:val="22"/>
        </w:rPr>
        <w:t>• 从电量耗尽到充满电无需3个小时即可完成</w:t>
      </w:r>
    </w:p>
    <w:p>
      <w:pPr>
        <w:pStyle w:val="23"/>
        <w:spacing w:after="0" w:line="240" w:lineRule="auto"/>
        <w:ind w:left="0" w:leftChars="0"/>
        <w:jc w:val="left"/>
        <w:rPr>
          <w:rFonts w:ascii="宋体" w:hAnsi="宋体" w:cs="Arial"/>
          <w:sz w:val="22"/>
          <w:szCs w:val="22"/>
        </w:rPr>
      </w:pPr>
    </w:p>
    <w:p>
      <w:pPr>
        <w:pStyle w:val="23"/>
        <w:spacing w:after="0" w:line="240" w:lineRule="auto"/>
        <w:ind w:left="0" w:leftChars="0"/>
        <w:jc w:val="left"/>
        <w:rPr>
          <w:rFonts w:ascii="宋体" w:hAnsi="宋体" w:cs="Arial"/>
          <w:b/>
          <w:bCs/>
          <w:sz w:val="22"/>
          <w:szCs w:val="22"/>
        </w:rPr>
      </w:pPr>
      <w:r>
        <w:rPr>
          <w:rFonts w:hint="eastAsia" w:ascii="宋体" w:hAnsi="宋体" w:cs="Arial"/>
          <w:b/>
          <w:bCs/>
          <w:sz w:val="22"/>
          <w:szCs w:val="22"/>
        </w:rPr>
        <w:t>1.1.6 有线话筒专用延长线</w:t>
      </w:r>
    </w:p>
    <w:p>
      <w:pPr>
        <w:pStyle w:val="23"/>
        <w:spacing w:after="0" w:line="240" w:lineRule="auto"/>
        <w:ind w:left="0" w:leftChars="0"/>
        <w:jc w:val="left"/>
        <w:rPr>
          <w:rFonts w:ascii="宋体" w:hAnsi="宋体" w:cs="Arial"/>
          <w:sz w:val="22"/>
          <w:szCs w:val="22"/>
        </w:rPr>
      </w:pPr>
      <w:r>
        <w:rPr>
          <w:rFonts w:hint="eastAsia" w:ascii="宋体" w:hAnsi="宋体" w:cs="Arial"/>
          <w:sz w:val="22"/>
          <w:szCs w:val="22"/>
        </w:rPr>
        <w:t>• 25米有线话筒延长线缆</w:t>
      </w:r>
    </w:p>
    <w:p>
      <w:pPr>
        <w:pStyle w:val="23"/>
        <w:spacing w:after="0" w:line="240" w:lineRule="auto"/>
        <w:ind w:left="0" w:leftChars="0"/>
        <w:jc w:val="left"/>
        <w:rPr>
          <w:rFonts w:ascii="宋体" w:hAnsi="宋体" w:cs="Arial"/>
          <w:sz w:val="22"/>
          <w:szCs w:val="22"/>
        </w:rPr>
      </w:pPr>
    </w:p>
    <w:p>
      <w:pPr>
        <w:pStyle w:val="23"/>
        <w:spacing w:after="0" w:line="240" w:lineRule="auto"/>
        <w:ind w:left="0" w:leftChars="0"/>
        <w:jc w:val="left"/>
        <w:rPr>
          <w:rFonts w:ascii="宋体" w:hAnsi="宋体" w:cs="Arial"/>
          <w:b/>
          <w:bCs/>
          <w:sz w:val="22"/>
          <w:szCs w:val="22"/>
        </w:rPr>
      </w:pPr>
      <w:r>
        <w:rPr>
          <w:rFonts w:hint="eastAsia" w:ascii="宋体" w:hAnsi="宋体" w:cs="Arial"/>
          <w:b/>
          <w:bCs/>
          <w:sz w:val="22"/>
          <w:szCs w:val="22"/>
        </w:rPr>
        <w:t>1.2 音频处理器</w:t>
      </w:r>
    </w:p>
    <w:p>
      <w:pPr>
        <w:pStyle w:val="23"/>
        <w:spacing w:after="0" w:line="240" w:lineRule="auto"/>
        <w:ind w:left="0" w:leftChars="0"/>
        <w:jc w:val="left"/>
        <w:rPr>
          <w:rFonts w:ascii="宋体" w:hAnsi="宋体" w:cs="Arial"/>
          <w:b/>
          <w:bCs/>
          <w:sz w:val="22"/>
          <w:szCs w:val="22"/>
        </w:rPr>
      </w:pPr>
      <w:r>
        <w:rPr>
          <w:rFonts w:hint="eastAsia" w:ascii="宋体" w:hAnsi="宋体" w:cs="Arial"/>
          <w:b/>
          <w:bCs/>
          <w:sz w:val="22"/>
          <w:szCs w:val="22"/>
        </w:rPr>
        <w:t>• 可接受品牌：TENDZONE、QSC、BIAMP或同档次及以上。</w:t>
      </w:r>
    </w:p>
    <w:p>
      <w:pPr>
        <w:pStyle w:val="23"/>
        <w:spacing w:after="0" w:line="240" w:lineRule="auto"/>
        <w:ind w:left="0" w:leftChars="0"/>
        <w:jc w:val="left"/>
        <w:rPr>
          <w:rFonts w:ascii="宋体" w:hAnsi="宋体" w:cs="Arial"/>
          <w:sz w:val="22"/>
          <w:szCs w:val="22"/>
        </w:rPr>
      </w:pPr>
      <w:r>
        <w:rPr>
          <w:rFonts w:hint="eastAsia" w:ascii="宋体" w:hAnsi="宋体" w:cs="Arial"/>
          <w:sz w:val="22"/>
          <w:szCs w:val="22"/>
        </w:rPr>
        <w:t>• 自带操作软件，直观、图形化软件控制界面；</w:t>
      </w:r>
    </w:p>
    <w:p>
      <w:pPr>
        <w:pStyle w:val="23"/>
        <w:spacing w:after="0" w:line="240" w:lineRule="auto"/>
        <w:ind w:left="0" w:leftChars="0"/>
        <w:jc w:val="left"/>
        <w:rPr>
          <w:rFonts w:ascii="宋体" w:hAnsi="宋体" w:cs="Arial"/>
          <w:sz w:val="22"/>
          <w:szCs w:val="22"/>
        </w:rPr>
      </w:pPr>
      <w:r>
        <w:rPr>
          <w:rFonts w:hint="eastAsia" w:ascii="宋体" w:hAnsi="宋体" w:cs="Arial"/>
          <w:sz w:val="22"/>
          <w:szCs w:val="22"/>
        </w:rPr>
        <w:t>• 不小于8路平衡式话筒/线路输入，不小于8路平衡式线路输出；</w:t>
      </w:r>
    </w:p>
    <w:p>
      <w:pPr>
        <w:pStyle w:val="23"/>
        <w:spacing w:after="0" w:line="240" w:lineRule="auto"/>
        <w:ind w:left="0" w:leftChars="0"/>
        <w:jc w:val="left"/>
        <w:rPr>
          <w:rFonts w:ascii="宋体" w:hAnsi="宋体" w:cs="Arial"/>
          <w:sz w:val="22"/>
          <w:szCs w:val="22"/>
        </w:rPr>
      </w:pPr>
      <w:r>
        <w:rPr>
          <w:rFonts w:hint="eastAsia" w:ascii="宋体" w:hAnsi="宋体" w:cs="Arial"/>
          <w:sz w:val="22"/>
          <w:szCs w:val="22"/>
        </w:rPr>
        <w:t>• 采样率：≥48kHz；</w:t>
      </w:r>
    </w:p>
    <w:p>
      <w:pPr>
        <w:pStyle w:val="23"/>
        <w:spacing w:after="0" w:line="240" w:lineRule="auto"/>
        <w:ind w:left="0" w:leftChars="0"/>
        <w:jc w:val="left"/>
        <w:rPr>
          <w:rFonts w:ascii="宋体" w:hAnsi="宋体" w:cs="Arial"/>
          <w:sz w:val="22"/>
          <w:szCs w:val="22"/>
        </w:rPr>
      </w:pPr>
      <w:r>
        <w:rPr>
          <w:rFonts w:hint="eastAsia" w:ascii="宋体" w:hAnsi="宋体" w:cs="Arial"/>
          <w:sz w:val="22"/>
          <w:szCs w:val="22"/>
        </w:rPr>
        <w:t>• 自适应POE外部RC面板控制接口，支持星型连接或“手拉手”连接；</w:t>
      </w:r>
    </w:p>
    <w:p>
      <w:pPr>
        <w:pStyle w:val="23"/>
        <w:spacing w:after="0" w:line="240" w:lineRule="auto"/>
        <w:ind w:left="0" w:leftChars="0"/>
        <w:jc w:val="left"/>
        <w:rPr>
          <w:rFonts w:ascii="宋体" w:hAnsi="宋体" w:cs="Arial"/>
          <w:sz w:val="22"/>
          <w:szCs w:val="22"/>
        </w:rPr>
      </w:pPr>
      <w:r>
        <w:rPr>
          <w:rFonts w:hint="eastAsia" w:ascii="宋体" w:hAnsi="宋体" w:cs="Arial"/>
          <w:sz w:val="22"/>
          <w:szCs w:val="22"/>
        </w:rPr>
        <w:t xml:space="preserve">• 每个输入通道：前级放大、信号发生器、扩展器、压缩器、自动增益控制； </w:t>
      </w:r>
    </w:p>
    <w:p>
      <w:pPr>
        <w:pStyle w:val="23"/>
        <w:spacing w:after="0" w:line="240" w:lineRule="auto"/>
        <w:ind w:left="0" w:leftChars="0"/>
        <w:jc w:val="left"/>
        <w:rPr>
          <w:rFonts w:ascii="宋体" w:hAnsi="宋体" w:cs="Arial"/>
          <w:sz w:val="22"/>
          <w:szCs w:val="22"/>
        </w:rPr>
      </w:pPr>
      <w:r>
        <w:rPr>
          <w:rFonts w:hint="eastAsia" w:ascii="宋体" w:hAnsi="宋体" w:cs="Arial"/>
          <w:sz w:val="22"/>
          <w:szCs w:val="22"/>
        </w:rPr>
        <w:t>• 每个输出通道：延时器、分频器、高低通滤波器、限幅器；</w:t>
      </w:r>
    </w:p>
    <w:p>
      <w:pPr>
        <w:pStyle w:val="23"/>
        <w:spacing w:after="0" w:line="240" w:lineRule="auto"/>
        <w:ind w:left="0" w:leftChars="0"/>
        <w:jc w:val="left"/>
        <w:rPr>
          <w:rFonts w:ascii="宋体" w:hAnsi="宋体" w:cs="Arial"/>
          <w:sz w:val="22"/>
          <w:szCs w:val="22"/>
        </w:rPr>
      </w:pPr>
      <w:r>
        <w:rPr>
          <w:rFonts w:hint="eastAsia" w:ascii="宋体" w:hAnsi="宋体" w:cs="Arial"/>
          <w:sz w:val="22"/>
          <w:szCs w:val="22"/>
        </w:rPr>
        <w:t>• 内置自适应反馈消除，支持手动、固定、动态多种工作模式；</w:t>
      </w:r>
    </w:p>
    <w:p>
      <w:pPr>
        <w:pStyle w:val="23"/>
        <w:spacing w:after="0" w:line="240" w:lineRule="auto"/>
        <w:ind w:left="0" w:leftChars="0"/>
        <w:jc w:val="left"/>
        <w:rPr>
          <w:rFonts w:ascii="宋体" w:hAnsi="宋体" w:cs="Arial"/>
          <w:sz w:val="22"/>
          <w:szCs w:val="22"/>
        </w:rPr>
      </w:pPr>
      <w:r>
        <w:rPr>
          <w:rFonts w:hint="eastAsia" w:ascii="宋体" w:hAnsi="宋体" w:cs="Arial"/>
          <w:sz w:val="22"/>
          <w:szCs w:val="22"/>
        </w:rPr>
        <w:t>• ≥8通道增益共享型自动混音</w:t>
      </w:r>
    </w:p>
    <w:p>
      <w:pPr>
        <w:pStyle w:val="23"/>
        <w:spacing w:after="0" w:line="240" w:lineRule="auto"/>
        <w:ind w:left="0" w:leftChars="0"/>
        <w:jc w:val="left"/>
        <w:rPr>
          <w:rFonts w:ascii="宋体" w:hAnsi="宋体" w:cs="Arial"/>
          <w:sz w:val="22"/>
          <w:szCs w:val="22"/>
        </w:rPr>
      </w:pPr>
      <w:r>
        <w:rPr>
          <w:rFonts w:hint="eastAsia" w:ascii="宋体" w:hAnsi="宋体" w:cs="Arial"/>
          <w:sz w:val="22"/>
          <w:szCs w:val="22"/>
        </w:rPr>
        <w:t xml:space="preserve">• RS-232双向串行控制接口用于外部设备控制； </w:t>
      </w:r>
    </w:p>
    <w:p>
      <w:pPr>
        <w:pStyle w:val="23"/>
        <w:spacing w:after="0" w:line="240" w:lineRule="auto"/>
        <w:ind w:left="0" w:leftChars="0"/>
        <w:jc w:val="left"/>
        <w:rPr>
          <w:rFonts w:ascii="宋体" w:hAnsi="宋体" w:cs="Arial"/>
          <w:sz w:val="22"/>
          <w:szCs w:val="22"/>
        </w:rPr>
      </w:pPr>
    </w:p>
    <w:p>
      <w:pPr>
        <w:pStyle w:val="23"/>
        <w:spacing w:after="0" w:line="240" w:lineRule="auto"/>
        <w:ind w:left="0" w:leftChars="0"/>
        <w:jc w:val="left"/>
        <w:rPr>
          <w:rFonts w:ascii="宋体" w:hAnsi="宋体" w:cs="Arial"/>
          <w:b/>
          <w:bCs/>
          <w:sz w:val="22"/>
          <w:szCs w:val="22"/>
        </w:rPr>
      </w:pPr>
      <w:r>
        <w:rPr>
          <w:rFonts w:hint="eastAsia" w:ascii="宋体" w:hAnsi="宋体" w:cs="Arial"/>
          <w:b/>
          <w:bCs/>
          <w:sz w:val="22"/>
          <w:szCs w:val="22"/>
        </w:rPr>
        <w:t>1.3主音箱</w:t>
      </w:r>
    </w:p>
    <w:p>
      <w:pPr>
        <w:pStyle w:val="23"/>
        <w:spacing w:after="0" w:line="240" w:lineRule="auto"/>
        <w:ind w:left="0" w:leftChars="0"/>
        <w:jc w:val="left"/>
        <w:rPr>
          <w:rFonts w:ascii="宋体" w:hAnsi="宋体" w:cs="Arial"/>
          <w:b/>
          <w:bCs/>
          <w:sz w:val="22"/>
          <w:szCs w:val="22"/>
        </w:rPr>
      </w:pPr>
      <w:r>
        <w:rPr>
          <w:rFonts w:hint="eastAsia" w:ascii="宋体" w:hAnsi="宋体" w:cs="Arial"/>
          <w:b/>
          <w:bCs/>
          <w:sz w:val="22"/>
          <w:szCs w:val="22"/>
        </w:rPr>
        <w:t>• 可接受品牌：EAW、EV、JBL或同档次及以上。</w:t>
      </w:r>
    </w:p>
    <w:p>
      <w:pPr>
        <w:pStyle w:val="23"/>
        <w:spacing w:after="0" w:line="240" w:lineRule="auto"/>
        <w:ind w:left="0" w:leftChars="0"/>
        <w:jc w:val="left"/>
        <w:rPr>
          <w:rFonts w:ascii="宋体" w:hAnsi="宋体" w:cs="Arial"/>
          <w:sz w:val="22"/>
          <w:szCs w:val="22"/>
        </w:rPr>
      </w:pPr>
      <w:r>
        <w:rPr>
          <w:rFonts w:hint="eastAsia" w:ascii="宋体" w:hAnsi="宋体" w:cs="Arial"/>
          <w:sz w:val="22"/>
          <w:szCs w:val="22"/>
        </w:rPr>
        <w:t>• 低频单元不小于15寸；</w:t>
      </w:r>
    </w:p>
    <w:p>
      <w:pPr>
        <w:pStyle w:val="23"/>
        <w:spacing w:after="0" w:line="240" w:lineRule="auto"/>
        <w:ind w:left="0" w:leftChars="0"/>
        <w:jc w:val="left"/>
        <w:rPr>
          <w:rFonts w:ascii="宋体" w:hAnsi="宋体" w:cs="Arial"/>
          <w:sz w:val="22"/>
          <w:szCs w:val="22"/>
        </w:rPr>
      </w:pPr>
      <w:r>
        <w:rPr>
          <w:rFonts w:hint="eastAsia" w:ascii="宋体" w:hAnsi="宋体" w:cs="Arial"/>
          <w:sz w:val="22"/>
          <w:szCs w:val="22"/>
        </w:rPr>
        <w:t>• 频率响应优于或等于54Hz-20kHz；</w:t>
      </w:r>
    </w:p>
    <w:p>
      <w:pPr>
        <w:pStyle w:val="23"/>
        <w:spacing w:after="0" w:line="240" w:lineRule="auto"/>
        <w:ind w:left="0" w:leftChars="0"/>
        <w:jc w:val="left"/>
        <w:rPr>
          <w:rFonts w:ascii="宋体" w:hAnsi="宋体" w:cs="Arial"/>
          <w:sz w:val="22"/>
          <w:szCs w:val="22"/>
        </w:rPr>
      </w:pPr>
      <w:r>
        <w:rPr>
          <w:rFonts w:hint="eastAsia" w:ascii="宋体" w:hAnsi="宋体" w:cs="Arial"/>
          <w:sz w:val="22"/>
          <w:szCs w:val="22"/>
        </w:rPr>
        <w:t>• 灵敏度不小于98dB；</w:t>
      </w:r>
    </w:p>
    <w:p>
      <w:pPr>
        <w:pStyle w:val="23"/>
        <w:spacing w:after="0" w:line="240" w:lineRule="auto"/>
        <w:ind w:left="0" w:leftChars="0"/>
        <w:jc w:val="left"/>
        <w:rPr>
          <w:rFonts w:ascii="宋体" w:hAnsi="宋体" w:cs="Arial"/>
          <w:sz w:val="22"/>
          <w:szCs w:val="22"/>
        </w:rPr>
      </w:pPr>
      <w:r>
        <w:rPr>
          <w:rFonts w:hint="eastAsia" w:ascii="宋体" w:hAnsi="宋体" w:cs="Arial"/>
          <w:sz w:val="22"/>
          <w:szCs w:val="22"/>
        </w:rPr>
        <w:t>• 最大声压级不小于132dB，功率/阻抗：不小于600W@8Ω；</w:t>
      </w:r>
    </w:p>
    <w:p>
      <w:pPr>
        <w:pStyle w:val="23"/>
        <w:spacing w:after="0" w:line="240" w:lineRule="auto"/>
        <w:ind w:left="0" w:leftChars="0"/>
        <w:jc w:val="left"/>
        <w:rPr>
          <w:rFonts w:ascii="宋体" w:hAnsi="宋体" w:cs="Arial"/>
          <w:sz w:val="22"/>
          <w:szCs w:val="22"/>
        </w:rPr>
      </w:pPr>
    </w:p>
    <w:p>
      <w:pPr>
        <w:pStyle w:val="23"/>
        <w:spacing w:after="0" w:line="240" w:lineRule="auto"/>
        <w:ind w:left="0" w:leftChars="0"/>
        <w:jc w:val="left"/>
        <w:rPr>
          <w:rFonts w:ascii="宋体" w:hAnsi="宋体" w:cs="Arial"/>
          <w:b/>
          <w:bCs/>
          <w:sz w:val="22"/>
          <w:szCs w:val="22"/>
        </w:rPr>
      </w:pPr>
      <w:r>
        <w:rPr>
          <w:rFonts w:hint="eastAsia" w:ascii="宋体" w:hAnsi="宋体" w:cs="Arial"/>
          <w:b/>
          <w:bCs/>
          <w:sz w:val="22"/>
          <w:szCs w:val="22"/>
        </w:rPr>
        <w:t>1.4 功放</w:t>
      </w:r>
    </w:p>
    <w:p>
      <w:pPr>
        <w:pStyle w:val="23"/>
        <w:spacing w:after="0" w:line="240" w:lineRule="auto"/>
        <w:ind w:left="0" w:leftChars="0"/>
        <w:jc w:val="left"/>
        <w:rPr>
          <w:rFonts w:ascii="宋体" w:hAnsi="宋体" w:cs="Arial"/>
          <w:b/>
          <w:bCs/>
          <w:sz w:val="22"/>
          <w:szCs w:val="22"/>
        </w:rPr>
      </w:pPr>
      <w:r>
        <w:rPr>
          <w:rFonts w:hint="eastAsia" w:ascii="宋体" w:hAnsi="宋体" w:cs="Arial"/>
          <w:b/>
          <w:bCs/>
          <w:sz w:val="22"/>
          <w:szCs w:val="22"/>
        </w:rPr>
        <w:t>• 可接受品牌：MACKIE、Dynacord、</w:t>
      </w:r>
      <w:r>
        <w:rPr>
          <w:rFonts w:ascii="宋体" w:hAnsi="宋体" w:cs="宋体"/>
          <w:b/>
          <w:bCs/>
          <w:color w:val="000000"/>
          <w:sz w:val="24"/>
        </w:rPr>
        <w:t>RENKUS-HEINZ</w:t>
      </w:r>
      <w:r>
        <w:rPr>
          <w:rFonts w:hint="eastAsia" w:ascii="宋体" w:hAnsi="宋体" w:cs="Arial"/>
          <w:b/>
          <w:bCs/>
          <w:sz w:val="22"/>
          <w:szCs w:val="22"/>
        </w:rPr>
        <w:t>或同档次及以上。</w:t>
      </w:r>
    </w:p>
    <w:p>
      <w:pPr>
        <w:pStyle w:val="23"/>
        <w:spacing w:after="0" w:line="240" w:lineRule="auto"/>
        <w:ind w:left="0" w:leftChars="0"/>
        <w:jc w:val="left"/>
        <w:rPr>
          <w:rFonts w:ascii="宋体" w:hAnsi="宋体" w:cs="Arial"/>
          <w:sz w:val="22"/>
          <w:szCs w:val="22"/>
        </w:rPr>
      </w:pPr>
      <w:r>
        <w:rPr>
          <w:rFonts w:hint="eastAsia" w:ascii="宋体" w:hAnsi="宋体" w:cs="Arial"/>
          <w:sz w:val="22"/>
          <w:szCs w:val="22"/>
        </w:rPr>
        <w:t>• CLASS H类或者CLASS D类，功率不小于8欧姆 2通道1200W；4欧姆 2通道1800W；2欧姆 2通道2400W；8欧姆 桥接3600W；4欧姆 桥接4800W；设有压限保护、直流输出保护、输出短路保护、开机关机防冲击电流保护及温度保护等多种完善保护电路确保音响系统更加安全可靠。</w:t>
      </w:r>
    </w:p>
    <w:p>
      <w:pPr>
        <w:pStyle w:val="23"/>
        <w:spacing w:after="0" w:line="240" w:lineRule="auto"/>
        <w:ind w:left="0" w:leftChars="0"/>
        <w:jc w:val="left"/>
        <w:rPr>
          <w:rFonts w:ascii="宋体" w:hAnsi="宋体" w:cs="Arial"/>
          <w:sz w:val="22"/>
          <w:szCs w:val="22"/>
        </w:rPr>
      </w:pPr>
    </w:p>
    <w:p>
      <w:pPr>
        <w:pStyle w:val="23"/>
        <w:spacing w:after="0" w:line="240" w:lineRule="auto"/>
        <w:ind w:left="0" w:leftChars="0"/>
        <w:jc w:val="left"/>
        <w:rPr>
          <w:rFonts w:ascii="宋体" w:hAnsi="宋体" w:cs="Arial"/>
          <w:b/>
          <w:bCs/>
          <w:sz w:val="22"/>
          <w:szCs w:val="22"/>
        </w:rPr>
      </w:pPr>
      <w:r>
        <w:rPr>
          <w:rFonts w:hint="eastAsia" w:ascii="宋体" w:hAnsi="宋体" w:cs="Arial"/>
          <w:b/>
          <w:bCs/>
          <w:sz w:val="22"/>
          <w:szCs w:val="22"/>
        </w:rPr>
        <w:t>1.5 数字调音台</w:t>
      </w:r>
    </w:p>
    <w:p>
      <w:pPr>
        <w:pStyle w:val="23"/>
        <w:spacing w:after="0" w:line="240" w:lineRule="auto"/>
        <w:ind w:left="0" w:leftChars="0"/>
        <w:jc w:val="left"/>
        <w:rPr>
          <w:rFonts w:ascii="宋体" w:hAnsi="宋体" w:cs="Arial"/>
          <w:b/>
          <w:bCs/>
          <w:sz w:val="22"/>
          <w:szCs w:val="22"/>
        </w:rPr>
      </w:pPr>
      <w:r>
        <w:rPr>
          <w:rFonts w:hint="eastAsia" w:ascii="宋体" w:hAnsi="宋体" w:cs="Arial"/>
          <w:b/>
          <w:bCs/>
          <w:sz w:val="22"/>
          <w:szCs w:val="22"/>
        </w:rPr>
        <w:t>• 可接受品牌：Soundcraft、ALLEN&amp;HEATH、YAMAHA或同档次及以上。</w:t>
      </w:r>
    </w:p>
    <w:p>
      <w:pPr>
        <w:pStyle w:val="23"/>
        <w:spacing w:after="0" w:line="240" w:lineRule="auto"/>
        <w:ind w:left="0" w:leftChars="0"/>
        <w:jc w:val="left"/>
        <w:rPr>
          <w:rFonts w:ascii="宋体" w:hAnsi="宋体" w:cs="Arial"/>
          <w:sz w:val="22"/>
          <w:szCs w:val="22"/>
        </w:rPr>
      </w:pPr>
      <w:r>
        <w:rPr>
          <w:rFonts w:hint="eastAsia" w:ascii="宋体" w:hAnsi="宋体" w:cs="Arial"/>
          <w:sz w:val="22"/>
          <w:szCs w:val="22"/>
        </w:rPr>
        <w:t>•</w:t>
      </w:r>
      <w:r>
        <w:rPr>
          <w:rFonts w:ascii="宋体" w:hAnsi="宋体" w:cs="Arial"/>
          <w:sz w:val="22"/>
          <w:szCs w:val="22"/>
        </w:rPr>
        <w:t xml:space="preserve"> 不小于16路单声道麦克风输入 </w:t>
      </w:r>
    </w:p>
    <w:p>
      <w:pPr>
        <w:pStyle w:val="23"/>
        <w:spacing w:after="0" w:line="240" w:lineRule="auto"/>
        <w:ind w:left="0" w:leftChars="0"/>
        <w:jc w:val="left"/>
        <w:rPr>
          <w:rFonts w:ascii="宋体" w:hAnsi="宋体" w:cs="Arial"/>
          <w:sz w:val="22"/>
          <w:szCs w:val="22"/>
        </w:rPr>
      </w:pPr>
      <w:r>
        <w:rPr>
          <w:rFonts w:hint="eastAsia" w:ascii="宋体" w:hAnsi="宋体" w:cs="Arial"/>
          <w:sz w:val="22"/>
          <w:szCs w:val="22"/>
        </w:rPr>
        <w:t>•</w:t>
      </w:r>
      <w:r>
        <w:rPr>
          <w:rFonts w:ascii="宋体" w:hAnsi="宋体" w:cs="Arial"/>
          <w:sz w:val="22"/>
          <w:szCs w:val="22"/>
        </w:rPr>
        <w:t xml:space="preserve"> 4路线路输入，</w:t>
      </w:r>
      <w:r>
        <w:rPr>
          <w:rFonts w:ascii="宋体" w:hAnsi="宋体" w:cs="Arial"/>
          <w:bCs/>
          <w:sz w:val="22"/>
          <w:szCs w:val="22"/>
        </w:rPr>
        <w:t>16路卡农口信号输入,</w:t>
      </w:r>
      <w:r>
        <w:rPr>
          <w:rFonts w:hint="eastAsia" w:ascii="微软雅黑" w:hAnsi="微软雅黑"/>
          <w:b/>
          <w:bCs/>
          <w:sz w:val="22"/>
          <w:szCs w:val="22"/>
        </w:rPr>
        <w:t xml:space="preserve"> </w:t>
      </w:r>
      <w:r>
        <w:rPr>
          <w:rFonts w:ascii="宋体" w:hAnsi="宋体" w:cs="Arial"/>
          <w:bCs/>
          <w:sz w:val="22"/>
          <w:szCs w:val="22"/>
        </w:rPr>
        <w:t>连接扩展卡，可扩展到</w:t>
      </w:r>
      <w:r>
        <w:rPr>
          <w:rFonts w:hint="eastAsia" w:ascii="宋体" w:hAnsi="宋体" w:cs="Arial"/>
          <w:bCs/>
          <w:sz w:val="22"/>
          <w:szCs w:val="22"/>
        </w:rPr>
        <w:t>不小于</w:t>
      </w:r>
      <w:r>
        <w:rPr>
          <w:rFonts w:ascii="宋体" w:hAnsi="宋体" w:cs="Arial"/>
          <w:bCs/>
          <w:sz w:val="22"/>
          <w:szCs w:val="22"/>
        </w:rPr>
        <w:t>66路</w:t>
      </w:r>
      <w:r>
        <w:rPr>
          <w:rFonts w:hint="eastAsia" w:ascii="宋体" w:hAnsi="宋体" w:cs="Arial"/>
          <w:sz w:val="22"/>
          <w:szCs w:val="22"/>
        </w:rPr>
        <w:t>输入混音</w:t>
      </w:r>
      <w:r>
        <w:rPr>
          <w:rFonts w:ascii="宋体" w:hAnsi="宋体" w:cs="Arial"/>
          <w:sz w:val="22"/>
          <w:szCs w:val="22"/>
        </w:rPr>
        <w:t xml:space="preserve"> </w:t>
      </w:r>
    </w:p>
    <w:p>
      <w:pPr>
        <w:pStyle w:val="23"/>
        <w:spacing w:after="0" w:line="240" w:lineRule="auto"/>
        <w:ind w:left="0" w:leftChars="0"/>
        <w:jc w:val="left"/>
        <w:rPr>
          <w:rFonts w:ascii="宋体" w:hAnsi="宋体" w:cs="Arial"/>
          <w:sz w:val="22"/>
          <w:szCs w:val="22"/>
        </w:rPr>
      </w:pPr>
      <w:r>
        <w:rPr>
          <w:rFonts w:hint="eastAsia" w:ascii="宋体" w:hAnsi="宋体" w:cs="Arial"/>
          <w:sz w:val="22"/>
          <w:szCs w:val="22"/>
        </w:rPr>
        <w:t>•</w:t>
      </w:r>
      <w:r>
        <w:rPr>
          <w:rFonts w:ascii="宋体" w:hAnsi="宋体" w:cs="Arial"/>
          <w:sz w:val="22"/>
          <w:szCs w:val="22"/>
        </w:rPr>
        <w:t xml:space="preserve"> 可自由分配的推子和跳接线，每路总线的每路输入均提供前/后选择 </w:t>
      </w:r>
    </w:p>
    <w:p>
      <w:pPr>
        <w:pStyle w:val="23"/>
        <w:spacing w:after="0" w:line="240" w:lineRule="auto"/>
        <w:ind w:left="0" w:leftChars="0"/>
        <w:jc w:val="left"/>
        <w:rPr>
          <w:rFonts w:ascii="宋体" w:hAnsi="宋体" w:cs="Arial"/>
          <w:sz w:val="22"/>
          <w:szCs w:val="22"/>
        </w:rPr>
      </w:pPr>
      <w:r>
        <w:rPr>
          <w:rFonts w:hint="eastAsia" w:ascii="宋体" w:hAnsi="宋体" w:cs="Arial"/>
          <w:sz w:val="22"/>
          <w:szCs w:val="22"/>
        </w:rPr>
        <w:t>•</w:t>
      </w:r>
      <w:r>
        <w:rPr>
          <w:rFonts w:ascii="宋体" w:hAnsi="宋体" w:cs="Arial"/>
          <w:sz w:val="22"/>
          <w:szCs w:val="22"/>
        </w:rPr>
        <w:t xml:space="preserve"> 每路总线均提供GEQ </w:t>
      </w:r>
    </w:p>
    <w:p>
      <w:pPr>
        <w:pStyle w:val="23"/>
        <w:spacing w:after="0" w:line="240" w:lineRule="auto"/>
        <w:ind w:left="0" w:leftChars="0"/>
        <w:jc w:val="left"/>
        <w:rPr>
          <w:rFonts w:ascii="宋体" w:hAnsi="宋体" w:cs="Arial"/>
          <w:sz w:val="22"/>
          <w:szCs w:val="22"/>
        </w:rPr>
      </w:pPr>
      <w:r>
        <w:rPr>
          <w:rFonts w:hint="eastAsia" w:ascii="宋体" w:hAnsi="宋体" w:cs="Arial"/>
          <w:sz w:val="22"/>
          <w:szCs w:val="22"/>
        </w:rPr>
        <w:t>•</w:t>
      </w:r>
      <w:r>
        <w:rPr>
          <w:rFonts w:ascii="宋体" w:hAnsi="宋体" w:cs="Arial"/>
          <w:sz w:val="22"/>
          <w:szCs w:val="22"/>
        </w:rPr>
        <w:t xml:space="preserve"> </w:t>
      </w:r>
      <w:r>
        <w:rPr>
          <w:rFonts w:hint="eastAsia" w:ascii="宋体" w:hAnsi="宋体" w:cs="Arial"/>
          <w:sz w:val="22"/>
          <w:szCs w:val="22"/>
        </w:rPr>
        <w:t>不少于</w:t>
      </w:r>
      <w:r>
        <w:rPr>
          <w:rFonts w:ascii="宋体" w:hAnsi="宋体" w:cs="Arial"/>
          <w:sz w:val="22"/>
          <w:szCs w:val="22"/>
        </w:rPr>
        <w:t xml:space="preserve">20路子组/辅助总线 </w:t>
      </w:r>
    </w:p>
    <w:p>
      <w:pPr>
        <w:pStyle w:val="23"/>
        <w:spacing w:after="0" w:line="240" w:lineRule="auto"/>
        <w:ind w:left="0" w:leftChars="0"/>
        <w:jc w:val="left"/>
        <w:rPr>
          <w:rFonts w:ascii="宋体" w:hAnsi="宋体" w:cs="Arial"/>
          <w:sz w:val="22"/>
          <w:szCs w:val="22"/>
        </w:rPr>
      </w:pPr>
      <w:r>
        <w:rPr>
          <w:rFonts w:hint="eastAsia" w:ascii="宋体" w:hAnsi="宋体" w:cs="Arial"/>
          <w:sz w:val="22"/>
          <w:szCs w:val="22"/>
        </w:rPr>
        <w:t>•</w:t>
      </w:r>
      <w:r>
        <w:rPr>
          <w:rFonts w:ascii="宋体" w:hAnsi="宋体" w:cs="Arial"/>
          <w:sz w:val="22"/>
          <w:szCs w:val="22"/>
        </w:rPr>
        <w:t xml:space="preserve"> 4路</w:t>
      </w:r>
      <w:r>
        <w:rPr>
          <w:rFonts w:hint="eastAsia" w:ascii="宋体" w:hAnsi="宋体" w:cs="Arial"/>
          <w:sz w:val="22"/>
          <w:szCs w:val="22"/>
        </w:rPr>
        <w:t>或4路以上</w:t>
      </w:r>
      <w:r>
        <w:rPr>
          <w:rFonts w:ascii="宋体" w:hAnsi="宋体" w:cs="Arial"/>
          <w:sz w:val="22"/>
          <w:szCs w:val="22"/>
        </w:rPr>
        <w:t>FX总线</w:t>
      </w:r>
      <w:r>
        <w:rPr>
          <w:rFonts w:hint="eastAsia" w:ascii="宋体" w:hAnsi="宋体" w:cs="Arial"/>
          <w:sz w:val="22"/>
          <w:szCs w:val="22"/>
        </w:rPr>
        <w:t>、</w:t>
      </w:r>
      <w:r>
        <w:rPr>
          <w:rFonts w:ascii="宋体" w:hAnsi="宋体" w:cs="Arial"/>
          <w:sz w:val="22"/>
          <w:szCs w:val="22"/>
        </w:rPr>
        <w:t>LR和C混音总线</w:t>
      </w:r>
    </w:p>
    <w:p>
      <w:pPr>
        <w:pStyle w:val="23"/>
        <w:spacing w:after="0" w:line="240" w:lineRule="auto"/>
        <w:ind w:left="0" w:leftChars="0"/>
        <w:jc w:val="left"/>
        <w:rPr>
          <w:rFonts w:ascii="宋体" w:hAnsi="宋体" w:cs="Arial"/>
          <w:sz w:val="22"/>
          <w:szCs w:val="22"/>
        </w:rPr>
      </w:pPr>
      <w:r>
        <w:rPr>
          <w:rFonts w:hint="eastAsia" w:ascii="宋体" w:hAnsi="宋体" w:cs="Arial"/>
          <w:sz w:val="22"/>
          <w:szCs w:val="22"/>
        </w:rPr>
        <w:t>•</w:t>
      </w:r>
      <w:r>
        <w:rPr>
          <w:rFonts w:ascii="宋体" w:hAnsi="宋体" w:cs="Arial"/>
          <w:sz w:val="22"/>
          <w:szCs w:val="22"/>
        </w:rPr>
        <w:t xml:space="preserve"> </w:t>
      </w:r>
      <w:r>
        <w:rPr>
          <w:rFonts w:hint="eastAsia" w:ascii="宋体" w:hAnsi="宋体" w:cs="Arial"/>
          <w:sz w:val="22"/>
          <w:szCs w:val="22"/>
        </w:rPr>
        <w:t>不小于</w:t>
      </w:r>
      <w:r>
        <w:rPr>
          <w:rFonts w:ascii="宋体" w:hAnsi="宋体" w:cs="Arial"/>
          <w:sz w:val="22"/>
          <w:szCs w:val="22"/>
        </w:rPr>
        <w:t xml:space="preserve">4路立体声Lexicon效果引擎 </w:t>
      </w:r>
    </w:p>
    <w:p>
      <w:pPr>
        <w:pStyle w:val="23"/>
        <w:spacing w:after="0" w:line="240" w:lineRule="auto"/>
        <w:ind w:left="0" w:leftChars="0"/>
        <w:jc w:val="left"/>
        <w:rPr>
          <w:rFonts w:ascii="宋体" w:hAnsi="宋体" w:cs="Arial"/>
          <w:sz w:val="22"/>
          <w:szCs w:val="22"/>
        </w:rPr>
      </w:pPr>
      <w:r>
        <w:rPr>
          <w:rFonts w:hint="eastAsia" w:ascii="宋体" w:hAnsi="宋体" w:cs="Arial"/>
          <w:sz w:val="22"/>
          <w:szCs w:val="22"/>
        </w:rPr>
        <w:t>•</w:t>
      </w:r>
      <w:r>
        <w:rPr>
          <w:rFonts w:ascii="宋体" w:hAnsi="宋体" w:cs="Arial"/>
          <w:sz w:val="22"/>
          <w:szCs w:val="22"/>
        </w:rPr>
        <w:t xml:space="preserve"> 输入和输出均提供延时 </w:t>
      </w:r>
    </w:p>
    <w:p>
      <w:pPr>
        <w:pStyle w:val="23"/>
        <w:spacing w:after="0" w:line="240" w:lineRule="auto"/>
        <w:ind w:left="0" w:leftChars="0"/>
        <w:jc w:val="left"/>
        <w:rPr>
          <w:rFonts w:ascii="宋体" w:hAnsi="宋体" w:cs="Arial"/>
          <w:sz w:val="22"/>
          <w:szCs w:val="22"/>
        </w:rPr>
      </w:pPr>
      <w:r>
        <w:rPr>
          <w:rFonts w:hint="eastAsia" w:ascii="宋体" w:hAnsi="宋体" w:cs="Arial"/>
          <w:sz w:val="22"/>
          <w:szCs w:val="22"/>
        </w:rPr>
        <w:t>•</w:t>
      </w:r>
      <w:r>
        <w:rPr>
          <w:rFonts w:ascii="宋体" w:hAnsi="宋体" w:cs="Arial"/>
          <w:sz w:val="22"/>
          <w:szCs w:val="22"/>
        </w:rPr>
        <w:t xml:space="preserve"> 4个静音组，可自由分配的插入回路 </w:t>
      </w:r>
    </w:p>
    <w:p>
      <w:pPr>
        <w:pStyle w:val="23"/>
        <w:spacing w:after="0" w:line="240" w:lineRule="auto"/>
        <w:ind w:left="0" w:leftChars="0"/>
        <w:jc w:val="left"/>
        <w:rPr>
          <w:rFonts w:ascii="宋体" w:hAnsi="宋体" w:cs="Arial"/>
          <w:sz w:val="22"/>
          <w:szCs w:val="22"/>
        </w:rPr>
      </w:pPr>
      <w:r>
        <w:rPr>
          <w:rFonts w:hint="eastAsia" w:ascii="宋体" w:hAnsi="宋体" w:cs="Arial"/>
          <w:sz w:val="22"/>
          <w:szCs w:val="22"/>
        </w:rPr>
        <w:t xml:space="preserve">• 彩色触摸屏界面 </w:t>
      </w:r>
    </w:p>
    <w:p>
      <w:pPr>
        <w:pStyle w:val="23"/>
        <w:spacing w:after="0" w:line="240" w:lineRule="auto"/>
        <w:ind w:left="0" w:leftChars="0"/>
        <w:jc w:val="left"/>
        <w:rPr>
          <w:rFonts w:ascii="宋体" w:hAnsi="宋体" w:cs="Arial"/>
          <w:sz w:val="22"/>
          <w:szCs w:val="22"/>
        </w:rPr>
      </w:pPr>
    </w:p>
    <w:p>
      <w:pPr>
        <w:pStyle w:val="23"/>
        <w:spacing w:after="0" w:line="240" w:lineRule="auto"/>
        <w:ind w:left="0" w:leftChars="0"/>
        <w:jc w:val="left"/>
        <w:rPr>
          <w:rFonts w:ascii="宋体" w:hAnsi="宋体" w:cs="Arial"/>
          <w:b/>
          <w:bCs/>
          <w:sz w:val="22"/>
          <w:szCs w:val="22"/>
        </w:rPr>
      </w:pPr>
      <w:r>
        <w:rPr>
          <w:rFonts w:hint="eastAsia" w:ascii="宋体" w:hAnsi="宋体" w:cs="Arial"/>
          <w:b/>
          <w:bCs/>
          <w:sz w:val="22"/>
          <w:szCs w:val="22"/>
        </w:rPr>
        <w:t>1.6电源时序器</w:t>
      </w:r>
    </w:p>
    <w:p>
      <w:pPr>
        <w:pStyle w:val="23"/>
        <w:spacing w:after="0" w:line="240" w:lineRule="auto"/>
        <w:ind w:left="0" w:leftChars="0"/>
        <w:jc w:val="left"/>
        <w:rPr>
          <w:rFonts w:ascii="宋体" w:hAnsi="宋体" w:cs="Arial"/>
          <w:sz w:val="22"/>
          <w:szCs w:val="22"/>
        </w:rPr>
      </w:pPr>
      <w:r>
        <w:rPr>
          <w:rFonts w:hint="eastAsia" w:ascii="宋体" w:hAnsi="宋体" w:cs="Arial"/>
          <w:sz w:val="22"/>
          <w:szCs w:val="22"/>
        </w:rPr>
        <w:t>•彩色液晶智能显示窗，实时显示当前电压、日期时间，通道开关状态；</w:t>
      </w:r>
    </w:p>
    <w:p>
      <w:pPr>
        <w:pStyle w:val="23"/>
        <w:spacing w:after="0" w:line="240" w:lineRule="auto"/>
        <w:ind w:left="0" w:leftChars="0"/>
        <w:jc w:val="left"/>
        <w:rPr>
          <w:rFonts w:ascii="宋体" w:hAnsi="宋体" w:cs="Arial"/>
          <w:sz w:val="22"/>
          <w:szCs w:val="22"/>
        </w:rPr>
      </w:pPr>
      <w:r>
        <w:rPr>
          <w:rFonts w:hint="eastAsia" w:ascii="宋体" w:hAnsi="宋体" w:cs="Arial"/>
          <w:sz w:val="22"/>
          <w:szCs w:val="22"/>
        </w:rPr>
        <w:t>• 定时开关机功能，内置时钟芯片，可根据日期时间设定，无需人为操作，让设备管理更简单；</w:t>
      </w:r>
    </w:p>
    <w:p>
      <w:pPr>
        <w:pStyle w:val="23"/>
        <w:spacing w:after="0" w:line="240" w:lineRule="auto"/>
        <w:ind w:left="0" w:leftChars="0"/>
        <w:jc w:val="left"/>
        <w:rPr>
          <w:rFonts w:ascii="宋体" w:hAnsi="宋体" w:cs="Arial"/>
          <w:sz w:val="22"/>
          <w:szCs w:val="22"/>
        </w:rPr>
      </w:pPr>
      <w:r>
        <w:rPr>
          <w:rFonts w:hint="eastAsia" w:ascii="宋体" w:hAnsi="宋体" w:cs="Arial"/>
          <w:sz w:val="22"/>
          <w:szCs w:val="22"/>
        </w:rPr>
        <w:t>• 不少于8路通道输出，每路延时开启和关闭时间可自由设置（范围0~999S）；</w:t>
      </w:r>
    </w:p>
    <w:p>
      <w:pPr>
        <w:pStyle w:val="23"/>
        <w:spacing w:after="0" w:line="240" w:lineRule="auto"/>
        <w:ind w:left="0" w:leftChars="0"/>
        <w:jc w:val="left"/>
        <w:rPr>
          <w:rFonts w:ascii="宋体" w:hAnsi="宋体" w:cs="Arial"/>
          <w:sz w:val="22"/>
          <w:szCs w:val="22"/>
        </w:rPr>
      </w:pPr>
      <w:r>
        <w:rPr>
          <w:rFonts w:hint="eastAsia" w:ascii="宋体" w:hAnsi="宋体" w:cs="Arial"/>
          <w:sz w:val="22"/>
          <w:szCs w:val="22"/>
        </w:rPr>
        <w:t>• 不少于10组设备开关场景数据保存/调用，场景管理应用简单便捷；</w:t>
      </w:r>
    </w:p>
    <w:p>
      <w:pPr>
        <w:pStyle w:val="23"/>
        <w:spacing w:after="0" w:line="240" w:lineRule="auto"/>
        <w:ind w:left="0" w:leftChars="0"/>
        <w:jc w:val="left"/>
        <w:rPr>
          <w:rFonts w:ascii="宋体" w:hAnsi="宋体" w:cs="Arial"/>
          <w:sz w:val="22"/>
          <w:szCs w:val="22"/>
        </w:rPr>
      </w:pPr>
      <w:r>
        <w:rPr>
          <w:rFonts w:hint="eastAsia" w:ascii="宋体" w:hAnsi="宋体" w:cs="Arial"/>
          <w:sz w:val="22"/>
          <w:szCs w:val="22"/>
        </w:rPr>
        <w:t>• 支持面板Lock锁定功能，防止人为误操作；</w:t>
      </w:r>
    </w:p>
    <w:p>
      <w:pPr>
        <w:pStyle w:val="23"/>
        <w:spacing w:after="0" w:line="240" w:lineRule="auto"/>
        <w:ind w:left="0" w:leftChars="0"/>
        <w:jc w:val="left"/>
        <w:rPr>
          <w:rFonts w:ascii="宋体" w:hAnsi="宋体" w:cs="Arial"/>
          <w:sz w:val="22"/>
          <w:szCs w:val="22"/>
        </w:rPr>
      </w:pPr>
    </w:p>
    <w:p>
      <w:pPr>
        <w:pStyle w:val="23"/>
        <w:numPr>
          <w:ilvl w:val="0"/>
          <w:numId w:val="1"/>
        </w:numPr>
        <w:spacing w:after="0" w:line="240" w:lineRule="auto"/>
        <w:ind w:left="0" w:leftChars="0"/>
        <w:jc w:val="left"/>
        <w:rPr>
          <w:rFonts w:ascii="宋体" w:hAnsi="宋体" w:cs="Arial"/>
          <w:b/>
          <w:bCs/>
          <w:sz w:val="22"/>
          <w:szCs w:val="22"/>
        </w:rPr>
      </w:pPr>
      <w:r>
        <w:rPr>
          <w:rFonts w:hint="eastAsia" w:ascii="宋体" w:hAnsi="宋体" w:cs="Arial"/>
          <w:b/>
          <w:bCs/>
          <w:sz w:val="22"/>
          <w:szCs w:val="22"/>
        </w:rPr>
        <w:t>要求</w:t>
      </w:r>
    </w:p>
    <w:p>
      <w:pPr>
        <w:pStyle w:val="39"/>
        <w:snapToGrid w:val="0"/>
        <w:spacing w:before="0" w:beforeAutospacing="0" w:after="0" w:afterAutospacing="0" w:line="360" w:lineRule="auto"/>
        <w:jc w:val="both"/>
        <w:rPr>
          <w:rFonts w:cs="Arial"/>
          <w:kern w:val="2"/>
          <w:sz w:val="22"/>
          <w:szCs w:val="22"/>
        </w:rPr>
      </w:pPr>
      <w:r>
        <w:rPr>
          <w:rFonts w:cs="Arial"/>
          <w:kern w:val="2"/>
          <w:sz w:val="22"/>
          <w:szCs w:val="22"/>
        </w:rPr>
        <w:t>2.1实现基本功能包括发言人通过话筒，声音经过调音台、音频处理器、功放等设备，扩声效果语言清晰，系统工作稳定。</w:t>
      </w:r>
    </w:p>
    <w:p>
      <w:pPr>
        <w:pStyle w:val="23"/>
        <w:spacing w:after="0" w:line="240" w:lineRule="auto"/>
        <w:ind w:left="0" w:leftChars="0"/>
        <w:jc w:val="left"/>
        <w:rPr>
          <w:rFonts w:ascii="宋体" w:hAnsi="宋体" w:cs="Arial"/>
          <w:sz w:val="22"/>
          <w:szCs w:val="22"/>
        </w:rPr>
      </w:pPr>
      <w:r>
        <w:rPr>
          <w:rFonts w:ascii="宋体" w:hAnsi="宋体" w:cs="Arial"/>
          <w:sz w:val="22"/>
          <w:szCs w:val="22"/>
        </w:rPr>
        <w:t>2.2投标方负责设备的采购、运输、安装、调试与培训工作。</w:t>
      </w:r>
    </w:p>
    <w:p>
      <w:pPr>
        <w:pStyle w:val="23"/>
        <w:spacing w:after="0" w:line="240" w:lineRule="auto"/>
        <w:ind w:left="0" w:leftChars="0"/>
        <w:jc w:val="left"/>
        <w:rPr>
          <w:rFonts w:ascii="宋体" w:hAnsi="宋体" w:cs="Arial"/>
          <w:sz w:val="22"/>
          <w:szCs w:val="22"/>
        </w:rPr>
      </w:pPr>
      <w:r>
        <w:rPr>
          <w:rFonts w:hint="eastAsia" w:ascii="宋体" w:hAnsi="宋体" w:cs="Arial"/>
          <w:sz w:val="22"/>
          <w:szCs w:val="22"/>
        </w:rPr>
        <w:t>2.3中标人须在中标候选人公示结束后5个工作日内提供所投产品样品，各项功能测试合格后方可签订合同。若未按时提供或提供的样品功能、参数等不满足招标文件要求，招标人有权取消其中标资格，没收投标保证金，</w:t>
      </w:r>
      <w:r>
        <w:rPr>
          <w:rFonts w:hint="eastAsia" w:ascii="宋体" w:hAnsi="宋体" w:cs="Arial"/>
          <w:kern w:val="0"/>
          <w:sz w:val="22"/>
        </w:rPr>
        <w:t>并列入杭州萧山国际机场招标黑名单。</w:t>
      </w:r>
    </w:p>
    <w:p>
      <w:pPr>
        <w:widowControl/>
        <w:jc w:val="left"/>
        <w:rPr>
          <w:rFonts w:ascii="宋体" w:hAnsi="宋体" w:cs="Arial"/>
          <w:b/>
          <w:kern w:val="0"/>
          <w:sz w:val="22"/>
        </w:rPr>
      </w:pPr>
      <w:r>
        <w:rPr>
          <w:rFonts w:hint="eastAsia" w:ascii="宋体" w:hAnsi="宋体" w:cs="Arial"/>
          <w:b/>
          <w:kern w:val="0"/>
          <w:sz w:val="22"/>
        </w:rPr>
        <w:t>二、售后服务</w:t>
      </w:r>
    </w:p>
    <w:p>
      <w:pPr>
        <w:widowControl/>
        <w:ind w:firstLine="555"/>
        <w:jc w:val="left"/>
        <w:rPr>
          <w:rFonts w:ascii="宋体" w:hAnsi="宋体" w:cs="Arial"/>
          <w:b/>
          <w:bCs/>
          <w:kern w:val="0"/>
          <w:sz w:val="22"/>
        </w:rPr>
      </w:pPr>
      <w:r>
        <w:rPr>
          <w:rFonts w:hint="eastAsia" w:ascii="宋体" w:hAnsi="宋体" w:cs="Arial"/>
          <w:kern w:val="0"/>
          <w:sz w:val="22"/>
        </w:rPr>
        <w:t>1.</w:t>
      </w:r>
      <w:r>
        <w:rPr>
          <w:rFonts w:hint="eastAsia" w:ascii="宋体" w:hAnsi="宋体" w:cs="Arial"/>
          <w:b/>
          <w:bCs/>
          <w:kern w:val="0"/>
          <w:sz w:val="22"/>
        </w:rPr>
        <w:t>本项目产品的质量保修期默认为自验收通过之日起，所投产品原厂（整机）免费上门保修，系统整体保修一年。如果设备原厂质保时间超过一年的按原厂质保时间计算。</w:t>
      </w:r>
    </w:p>
    <w:p>
      <w:pPr>
        <w:widowControl/>
        <w:ind w:firstLine="555"/>
        <w:jc w:val="left"/>
        <w:rPr>
          <w:rFonts w:ascii="宋体" w:hAnsi="宋体" w:cs="Arial"/>
          <w:b/>
          <w:bCs/>
          <w:kern w:val="0"/>
          <w:sz w:val="22"/>
        </w:rPr>
      </w:pPr>
    </w:p>
    <w:p>
      <w:pPr>
        <w:widowControl/>
        <w:ind w:firstLine="555"/>
        <w:jc w:val="left"/>
        <w:rPr>
          <w:rFonts w:ascii="宋体" w:hAnsi="宋体" w:cs="Arial"/>
          <w:kern w:val="0"/>
          <w:sz w:val="22"/>
        </w:rPr>
      </w:pPr>
      <w:r>
        <w:rPr>
          <w:rFonts w:ascii="宋体" w:hAnsi="宋体" w:cs="Arial"/>
          <w:kern w:val="0"/>
          <w:sz w:val="22"/>
        </w:rPr>
        <w:t>2</w:t>
      </w:r>
      <w:r>
        <w:rPr>
          <w:rFonts w:hint="eastAsia" w:ascii="宋体" w:hAnsi="宋体" w:cs="Arial"/>
          <w:kern w:val="0"/>
          <w:sz w:val="22"/>
        </w:rPr>
        <w:t>.若中标人所供产品被查出全部或者部分是次品、旧品、水货、侵犯知识产权的产品的，则中标人应自发现之日起（或者故障报修之日起满三个月后）三个工作日内对产品进行更换，且更换的产品应为不低于原产品型号、质量、配置、性能和售后服务的产品。</w:t>
      </w:r>
    </w:p>
    <w:p>
      <w:pPr>
        <w:widowControl/>
        <w:ind w:firstLine="555"/>
        <w:jc w:val="left"/>
        <w:rPr>
          <w:rFonts w:ascii="宋体" w:hAnsi="宋体" w:cs="Arial"/>
          <w:kern w:val="0"/>
          <w:sz w:val="22"/>
        </w:rPr>
      </w:pPr>
      <w:r>
        <w:rPr>
          <w:rFonts w:ascii="宋体" w:hAnsi="宋体" w:cs="Arial"/>
          <w:kern w:val="0"/>
          <w:sz w:val="22"/>
        </w:rPr>
        <w:t>3</w:t>
      </w:r>
      <w:r>
        <w:rPr>
          <w:rFonts w:hint="eastAsia" w:ascii="宋体" w:hAnsi="宋体" w:cs="Arial"/>
          <w:kern w:val="0"/>
          <w:sz w:val="22"/>
        </w:rPr>
        <w:t>.中标人提供的货物在质保期内因货物本身的质量问题发生故障，中标人应负责免费更换。对达不到技术要求者，招标人有权退还投标人所供货物，投标人应退还招标人支付的合同款，同时应承担该货物的直接费用（运输、保险、检验、货款利息及银行手续费等）以及由此给招标人造成的损失。</w:t>
      </w:r>
    </w:p>
    <w:p>
      <w:pPr>
        <w:widowControl/>
        <w:ind w:firstLine="555"/>
        <w:jc w:val="left"/>
        <w:rPr>
          <w:rFonts w:ascii="宋体" w:hAnsi="宋体" w:cs="Arial"/>
          <w:kern w:val="0"/>
          <w:sz w:val="22"/>
        </w:rPr>
      </w:pPr>
      <w:r>
        <w:rPr>
          <w:rFonts w:ascii="宋体" w:hAnsi="宋体" w:cs="Arial"/>
          <w:kern w:val="0"/>
          <w:sz w:val="22"/>
        </w:rPr>
        <w:t>4</w:t>
      </w:r>
      <w:r>
        <w:rPr>
          <w:rFonts w:hint="eastAsia" w:ascii="宋体" w:hAnsi="宋体" w:cs="Arial"/>
          <w:kern w:val="0"/>
          <w:sz w:val="22"/>
        </w:rPr>
        <w:t>.在质保期内，投标人应对货物出现的质量及安全问题负责处理解决并承担一切费用。</w:t>
      </w:r>
    </w:p>
    <w:p>
      <w:pPr>
        <w:widowControl/>
        <w:ind w:firstLine="555"/>
        <w:jc w:val="left"/>
        <w:rPr>
          <w:rFonts w:ascii="宋体" w:hAnsi="宋体" w:cs="Arial"/>
          <w:kern w:val="0"/>
          <w:sz w:val="48"/>
          <w:szCs w:val="48"/>
        </w:rPr>
      </w:pPr>
      <w:r>
        <w:rPr>
          <w:rFonts w:ascii="宋体" w:hAnsi="宋体" w:cs="Arial"/>
          <w:kern w:val="0"/>
          <w:sz w:val="22"/>
        </w:rPr>
        <w:t>5.</w:t>
      </w:r>
      <w:r>
        <w:rPr>
          <w:rFonts w:hint="eastAsia" w:ascii="宋体" w:hAnsi="宋体" w:cs="Arial"/>
          <w:kern w:val="0"/>
          <w:sz w:val="22"/>
        </w:rPr>
        <w:t>产品故障报修的响应时间：应在接到产品故障报修后4小时内响应，1个工作日内到达现场，2个工作日内处理完毕。若故障检修2个工作日后仍无法排除的，中标人应在故障报修2个工作日后的一个工作日内提供不低于故障规格型号档次的替代产品供招标人使用。如对货物出现的质量及安全问题经处理仍不能解决的，则招标人有权退货或要求投标人更换货物。</w:t>
      </w:r>
      <w:r>
        <w:rPr>
          <w:rFonts w:ascii="宋体" w:hAnsi="宋体" w:cs="Calibri"/>
          <w:bCs/>
          <w:kern w:val="0"/>
          <w:sz w:val="24"/>
          <w:szCs w:val="24"/>
        </w:rPr>
        <w:t> </w:t>
      </w:r>
      <w:r>
        <w:rPr>
          <w:rFonts w:ascii="宋体" w:hAnsi="宋体" w:cs="Arial"/>
          <w:kern w:val="0"/>
          <w:sz w:val="48"/>
          <w:szCs w:val="48"/>
        </w:rPr>
        <w:br w:type="page"/>
      </w:r>
    </w:p>
    <w:p>
      <w:pPr>
        <w:pStyle w:val="2"/>
        <w:spacing w:before="0" w:after="0" w:line="360" w:lineRule="auto"/>
        <w:jc w:val="center"/>
        <w:rPr>
          <w:rFonts w:ascii="Calibri" w:hAnsi="Calibri" w:eastAsia="黑体" w:cs="Calibri"/>
          <w:kern w:val="0"/>
          <w:sz w:val="32"/>
        </w:rPr>
      </w:pPr>
      <w:bookmarkStart w:id="47" w:name="_Toc9351383"/>
      <w:r>
        <w:rPr>
          <w:rFonts w:hint="eastAsia" w:ascii="Calibri" w:hAnsi="Calibri" w:eastAsia="黑体" w:cs="Calibri"/>
          <w:kern w:val="0"/>
          <w:sz w:val="32"/>
        </w:rPr>
        <w:t xml:space="preserve">第四章  </w:t>
      </w:r>
      <w:r>
        <w:rPr>
          <w:rFonts w:ascii="Calibri" w:hAnsi="Calibri" w:eastAsia="黑体" w:cs="Calibri"/>
          <w:kern w:val="0"/>
          <w:sz w:val="32"/>
        </w:rPr>
        <w:t>合同条款</w:t>
      </w:r>
      <w:bookmarkEnd w:id="47"/>
    </w:p>
    <w:p>
      <w:pPr>
        <w:adjustRightInd w:val="0"/>
        <w:snapToGrid w:val="0"/>
        <w:spacing w:line="276" w:lineRule="auto"/>
        <w:ind w:firstLine="452"/>
        <w:jc w:val="center"/>
        <w:rPr>
          <w:rFonts w:ascii="等线" w:hAnsi="等线" w:cs="仿宋_GB2312"/>
          <w:b/>
          <w:sz w:val="22"/>
        </w:rPr>
      </w:pPr>
      <w:r>
        <w:rPr>
          <w:rFonts w:hint="eastAsia" w:ascii="等线" w:hAnsi="等线" w:cs="仿宋_GB2312"/>
          <w:b/>
          <w:sz w:val="22"/>
        </w:rPr>
        <w:t>室内移动会议系统采购合同</w:t>
      </w:r>
    </w:p>
    <w:p>
      <w:pPr>
        <w:pStyle w:val="19"/>
        <w:spacing w:line="276" w:lineRule="auto"/>
        <w:ind w:right="200" w:firstLine="420"/>
        <w:jc w:val="right"/>
        <w:rPr>
          <w:rFonts w:ascii="等线" w:hAnsi="等线" w:cs="仿宋_GB2312"/>
          <w:bCs/>
          <w:sz w:val="22"/>
          <w:szCs w:val="22"/>
        </w:rPr>
      </w:pPr>
    </w:p>
    <w:p>
      <w:pPr>
        <w:spacing w:line="276" w:lineRule="auto"/>
        <w:ind w:firstLine="422" w:firstLineChars="200"/>
        <w:jc w:val="center"/>
        <w:rPr>
          <w:rFonts w:ascii="宋体" w:hAnsi="宋体"/>
          <w:b/>
          <w:szCs w:val="21"/>
        </w:rPr>
      </w:pPr>
    </w:p>
    <w:p>
      <w:pPr>
        <w:spacing w:line="276" w:lineRule="auto"/>
        <w:ind w:firstLine="422" w:firstLineChars="200"/>
        <w:jc w:val="center"/>
        <w:rPr>
          <w:rFonts w:ascii="宋体" w:hAnsi="宋体"/>
          <w:b/>
          <w:szCs w:val="21"/>
        </w:rPr>
      </w:pPr>
    </w:p>
    <w:p>
      <w:pPr>
        <w:adjustRightInd w:val="0"/>
        <w:snapToGrid w:val="0"/>
        <w:spacing w:line="276" w:lineRule="auto"/>
        <w:ind w:firstLine="452"/>
        <w:rPr>
          <w:rFonts w:ascii="宋体" w:hAnsi="宋体"/>
          <w:b/>
          <w:szCs w:val="21"/>
        </w:rPr>
      </w:pPr>
      <w:r>
        <w:rPr>
          <w:rFonts w:hint="eastAsia" w:ascii="宋体" w:hAnsi="宋体"/>
          <w:b/>
          <w:szCs w:val="21"/>
        </w:rPr>
        <w:t>甲方：杭州萧山国际机场有限公司</w:t>
      </w:r>
    </w:p>
    <w:p>
      <w:pPr>
        <w:adjustRightInd w:val="0"/>
        <w:snapToGrid w:val="0"/>
        <w:spacing w:line="276" w:lineRule="auto"/>
        <w:ind w:firstLine="452"/>
        <w:rPr>
          <w:rFonts w:ascii="宋体" w:hAnsi="宋体"/>
          <w:b/>
          <w:szCs w:val="21"/>
        </w:rPr>
      </w:pPr>
      <w:r>
        <w:rPr>
          <w:rFonts w:hint="eastAsia" w:ascii="宋体" w:hAnsi="宋体"/>
          <w:b/>
          <w:szCs w:val="21"/>
        </w:rPr>
        <w:t>住所地：杭州萧山国际机场内</w:t>
      </w:r>
    </w:p>
    <w:p>
      <w:pPr>
        <w:adjustRightInd w:val="0"/>
        <w:snapToGrid w:val="0"/>
        <w:spacing w:line="276" w:lineRule="auto"/>
        <w:rPr>
          <w:rFonts w:ascii="宋体" w:hAnsi="宋体"/>
          <w:b/>
          <w:szCs w:val="21"/>
        </w:rPr>
      </w:pPr>
    </w:p>
    <w:p>
      <w:pPr>
        <w:adjustRightInd w:val="0"/>
        <w:snapToGrid w:val="0"/>
        <w:spacing w:line="276" w:lineRule="auto"/>
        <w:ind w:firstLine="452"/>
        <w:rPr>
          <w:rFonts w:ascii="宋体" w:hAnsi="宋体"/>
          <w:b/>
          <w:szCs w:val="21"/>
        </w:rPr>
      </w:pPr>
      <w:r>
        <w:rPr>
          <w:rFonts w:hint="eastAsia" w:ascii="宋体" w:hAnsi="宋体"/>
          <w:b/>
          <w:szCs w:val="21"/>
        </w:rPr>
        <w:t>乙方:</w:t>
      </w:r>
    </w:p>
    <w:p>
      <w:pPr>
        <w:adjustRightInd w:val="0"/>
        <w:snapToGrid w:val="0"/>
        <w:spacing w:line="276" w:lineRule="auto"/>
        <w:ind w:firstLine="452"/>
        <w:rPr>
          <w:rFonts w:ascii="宋体" w:hAnsi="宋体"/>
          <w:szCs w:val="21"/>
        </w:rPr>
      </w:pPr>
      <w:r>
        <w:rPr>
          <w:rFonts w:hint="eastAsia" w:ascii="宋体" w:hAnsi="宋体"/>
          <w:b/>
          <w:szCs w:val="21"/>
        </w:rPr>
        <w:t>住所地:</w:t>
      </w:r>
    </w:p>
    <w:p>
      <w:pPr>
        <w:adjustRightInd w:val="0"/>
        <w:snapToGrid w:val="0"/>
        <w:spacing w:line="276" w:lineRule="auto"/>
        <w:ind w:firstLine="450"/>
        <w:rPr>
          <w:rFonts w:ascii="宋体" w:hAnsi="宋体"/>
          <w:szCs w:val="21"/>
        </w:rPr>
      </w:pPr>
    </w:p>
    <w:p>
      <w:pPr>
        <w:adjustRightInd w:val="0"/>
        <w:snapToGrid w:val="0"/>
        <w:spacing w:line="276" w:lineRule="auto"/>
        <w:ind w:firstLine="420" w:firstLineChars="200"/>
        <w:rPr>
          <w:rFonts w:ascii="宋体" w:hAnsi="宋体"/>
          <w:szCs w:val="21"/>
        </w:rPr>
      </w:pPr>
      <w:r>
        <w:rPr>
          <w:rFonts w:hint="eastAsia" w:ascii="宋体" w:hAnsi="宋体"/>
          <w:szCs w:val="21"/>
        </w:rPr>
        <w:t>甲、乙双方根据《中华人民共和国合同法》等相关法律法规，就相关产品采购事宜，在互利、平等的原则基础上，经协商一致，特签订本合同，以共同遵守。</w:t>
      </w:r>
    </w:p>
    <w:p>
      <w:pPr>
        <w:spacing w:line="276" w:lineRule="auto"/>
        <w:ind w:firstLine="593"/>
        <w:rPr>
          <w:rFonts w:ascii="宋体" w:hAnsi="宋体"/>
          <w:b/>
          <w:bCs/>
          <w:szCs w:val="21"/>
        </w:rPr>
      </w:pPr>
      <w:r>
        <w:rPr>
          <w:rFonts w:hint="eastAsia" w:ascii="宋体" w:hAnsi="宋体"/>
          <w:b/>
          <w:bCs/>
          <w:szCs w:val="21"/>
        </w:rPr>
        <w:t>一、产品规格型号及参数</w:t>
      </w:r>
    </w:p>
    <w:tbl>
      <w:tblPr>
        <w:tblStyle w:val="4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1076"/>
        <w:gridCol w:w="792"/>
        <w:gridCol w:w="719"/>
        <w:gridCol w:w="515"/>
        <w:gridCol w:w="430"/>
        <w:gridCol w:w="417"/>
        <w:gridCol w:w="1054"/>
        <w:gridCol w:w="940"/>
        <w:gridCol w:w="1198"/>
        <w:gridCol w:w="819"/>
        <w:gridCol w:w="1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trPr>
        <w:tc>
          <w:tcPr>
            <w:tcW w:w="520" w:type="dxa"/>
            <w:shd w:val="clear" w:color="000000" w:fill="FFFFFF"/>
            <w:vAlign w:val="center"/>
          </w:tcPr>
          <w:p>
            <w:pPr>
              <w:jc w:val="center"/>
              <w:rPr>
                <w:rFonts w:ascii="宋体" w:hAnsi="宋体" w:cs="宋体"/>
                <w:b/>
                <w:bCs/>
                <w:sz w:val="20"/>
              </w:rPr>
            </w:pPr>
            <w:r>
              <w:rPr>
                <w:rFonts w:hint="eastAsia" w:ascii="宋体" w:hAnsi="宋体" w:cs="宋体"/>
                <w:b/>
                <w:bCs/>
                <w:sz w:val="20"/>
              </w:rPr>
              <w:t>序 号</w:t>
            </w:r>
          </w:p>
        </w:tc>
        <w:tc>
          <w:tcPr>
            <w:tcW w:w="1076" w:type="dxa"/>
            <w:shd w:val="clear" w:color="000000" w:fill="FFFFFF"/>
            <w:vAlign w:val="center"/>
          </w:tcPr>
          <w:p>
            <w:pPr>
              <w:jc w:val="center"/>
              <w:rPr>
                <w:rFonts w:ascii="宋体" w:hAnsi="宋体" w:cs="宋体"/>
                <w:b/>
                <w:bCs/>
                <w:sz w:val="20"/>
              </w:rPr>
            </w:pPr>
            <w:r>
              <w:rPr>
                <w:rFonts w:hint="eastAsia" w:ascii="宋体" w:hAnsi="宋体" w:cs="宋体"/>
                <w:b/>
                <w:bCs/>
                <w:sz w:val="20"/>
              </w:rPr>
              <w:t>设备名称</w:t>
            </w:r>
          </w:p>
        </w:tc>
        <w:tc>
          <w:tcPr>
            <w:tcW w:w="792" w:type="dxa"/>
            <w:shd w:val="clear" w:color="000000" w:fill="FFFFFF"/>
            <w:vAlign w:val="center"/>
          </w:tcPr>
          <w:p>
            <w:pPr>
              <w:jc w:val="center"/>
              <w:rPr>
                <w:rFonts w:ascii="宋体" w:hAnsi="宋体" w:cs="宋体"/>
                <w:b/>
                <w:bCs/>
                <w:sz w:val="20"/>
              </w:rPr>
            </w:pPr>
            <w:r>
              <w:rPr>
                <w:rFonts w:hint="eastAsia" w:ascii="宋体" w:hAnsi="宋体" w:cs="宋体"/>
                <w:b/>
                <w:bCs/>
                <w:sz w:val="20"/>
              </w:rPr>
              <w:t>规格型号</w:t>
            </w:r>
          </w:p>
        </w:tc>
        <w:tc>
          <w:tcPr>
            <w:tcW w:w="719" w:type="dxa"/>
            <w:shd w:val="clear" w:color="000000" w:fill="FFFFFF"/>
            <w:vAlign w:val="center"/>
          </w:tcPr>
          <w:p>
            <w:pPr>
              <w:jc w:val="center"/>
              <w:rPr>
                <w:rFonts w:ascii="宋体" w:hAnsi="宋体" w:cs="宋体"/>
                <w:b/>
                <w:bCs/>
                <w:sz w:val="20"/>
              </w:rPr>
            </w:pPr>
            <w:r>
              <w:rPr>
                <w:rFonts w:hint="eastAsia" w:ascii="宋体" w:hAnsi="宋体" w:cs="宋体"/>
                <w:b/>
                <w:bCs/>
                <w:sz w:val="20"/>
              </w:rPr>
              <w:t>品 牌</w:t>
            </w:r>
          </w:p>
        </w:tc>
        <w:tc>
          <w:tcPr>
            <w:tcW w:w="515" w:type="dxa"/>
            <w:shd w:val="clear" w:color="000000" w:fill="FFFFFF"/>
            <w:vAlign w:val="center"/>
          </w:tcPr>
          <w:p>
            <w:pPr>
              <w:jc w:val="center"/>
              <w:rPr>
                <w:rFonts w:ascii="宋体" w:hAnsi="宋体" w:cs="宋体"/>
                <w:b/>
                <w:bCs/>
                <w:sz w:val="20"/>
              </w:rPr>
            </w:pPr>
            <w:r>
              <w:rPr>
                <w:rFonts w:hint="eastAsia" w:ascii="宋体" w:hAnsi="宋体" w:cs="宋体"/>
                <w:b/>
                <w:bCs/>
                <w:sz w:val="20"/>
              </w:rPr>
              <w:t>产地</w:t>
            </w:r>
          </w:p>
        </w:tc>
        <w:tc>
          <w:tcPr>
            <w:tcW w:w="430" w:type="dxa"/>
            <w:shd w:val="clear" w:color="000000" w:fill="FFFFFF"/>
            <w:vAlign w:val="center"/>
          </w:tcPr>
          <w:p>
            <w:pPr>
              <w:jc w:val="center"/>
              <w:rPr>
                <w:rFonts w:ascii="宋体" w:hAnsi="宋体" w:cs="宋体"/>
                <w:b/>
                <w:bCs/>
                <w:sz w:val="20"/>
              </w:rPr>
            </w:pPr>
            <w:r>
              <w:rPr>
                <w:rFonts w:hint="eastAsia" w:ascii="宋体" w:hAnsi="宋体" w:cs="宋体"/>
                <w:b/>
                <w:bCs/>
                <w:sz w:val="20"/>
              </w:rPr>
              <w:t>单位</w:t>
            </w:r>
          </w:p>
        </w:tc>
        <w:tc>
          <w:tcPr>
            <w:tcW w:w="417" w:type="dxa"/>
            <w:shd w:val="clear" w:color="000000" w:fill="FFFFFF"/>
            <w:vAlign w:val="center"/>
          </w:tcPr>
          <w:p>
            <w:pPr>
              <w:jc w:val="center"/>
              <w:rPr>
                <w:rFonts w:ascii="宋体" w:hAnsi="宋体" w:cs="宋体"/>
                <w:b/>
                <w:bCs/>
                <w:sz w:val="20"/>
              </w:rPr>
            </w:pPr>
            <w:r>
              <w:rPr>
                <w:rFonts w:hint="eastAsia" w:ascii="宋体" w:hAnsi="宋体" w:cs="宋体"/>
                <w:b/>
                <w:bCs/>
                <w:sz w:val="20"/>
              </w:rPr>
              <w:t>数量</w:t>
            </w:r>
          </w:p>
        </w:tc>
        <w:tc>
          <w:tcPr>
            <w:tcW w:w="1054" w:type="dxa"/>
            <w:shd w:val="clear" w:color="000000" w:fill="FFFFFF"/>
            <w:vAlign w:val="center"/>
          </w:tcPr>
          <w:p>
            <w:pPr>
              <w:jc w:val="center"/>
              <w:rPr>
                <w:rFonts w:ascii="宋体" w:hAnsi="宋体" w:cs="宋体"/>
                <w:b/>
                <w:bCs/>
                <w:sz w:val="20"/>
              </w:rPr>
            </w:pPr>
            <w:r>
              <w:rPr>
                <w:rFonts w:hint="eastAsia" w:ascii="宋体" w:hAnsi="宋体" w:cs="宋体"/>
                <w:b/>
                <w:bCs/>
                <w:sz w:val="20"/>
              </w:rPr>
              <w:t>单  价 (元，不含税)</w:t>
            </w:r>
          </w:p>
        </w:tc>
        <w:tc>
          <w:tcPr>
            <w:tcW w:w="940" w:type="dxa"/>
            <w:shd w:val="clear" w:color="000000" w:fill="FFFFFF"/>
            <w:vAlign w:val="center"/>
          </w:tcPr>
          <w:p>
            <w:pPr>
              <w:jc w:val="center"/>
              <w:rPr>
                <w:rFonts w:ascii="宋体" w:hAnsi="宋体" w:cs="宋体"/>
                <w:b/>
                <w:bCs/>
                <w:sz w:val="20"/>
              </w:rPr>
            </w:pPr>
            <w:r>
              <w:rPr>
                <w:rFonts w:hint="eastAsia" w:ascii="宋体" w:hAnsi="宋体" w:cs="宋体"/>
                <w:b/>
                <w:bCs/>
                <w:sz w:val="20"/>
              </w:rPr>
              <w:t>合价（元，不含税）</w:t>
            </w:r>
          </w:p>
        </w:tc>
        <w:tc>
          <w:tcPr>
            <w:tcW w:w="1198" w:type="dxa"/>
            <w:shd w:val="clear" w:color="000000" w:fill="FFFFFF"/>
            <w:vAlign w:val="center"/>
          </w:tcPr>
          <w:p>
            <w:pPr>
              <w:jc w:val="center"/>
              <w:rPr>
                <w:rFonts w:ascii="宋体" w:hAnsi="宋体" w:cs="宋体"/>
                <w:b/>
                <w:bCs/>
                <w:sz w:val="20"/>
              </w:rPr>
            </w:pPr>
            <w:r>
              <w:rPr>
                <w:rFonts w:hint="eastAsia" w:ascii="宋体" w:hAnsi="宋体" w:cs="宋体"/>
                <w:b/>
                <w:bCs/>
                <w:sz w:val="20"/>
              </w:rPr>
              <w:t>增值税税率</w:t>
            </w:r>
          </w:p>
        </w:tc>
        <w:tc>
          <w:tcPr>
            <w:tcW w:w="819" w:type="dxa"/>
            <w:shd w:val="clear" w:color="000000" w:fill="FFFFFF"/>
            <w:vAlign w:val="center"/>
          </w:tcPr>
          <w:p>
            <w:pPr>
              <w:jc w:val="center"/>
              <w:rPr>
                <w:rFonts w:ascii="宋体" w:hAnsi="宋体" w:cs="宋体"/>
                <w:b/>
                <w:bCs/>
                <w:sz w:val="20"/>
              </w:rPr>
            </w:pPr>
            <w:r>
              <w:rPr>
                <w:rFonts w:hint="eastAsia" w:ascii="宋体" w:hAnsi="宋体" w:cs="宋体"/>
                <w:b/>
                <w:bCs/>
                <w:sz w:val="20"/>
              </w:rPr>
              <w:t>单价（元，含税）</w:t>
            </w:r>
          </w:p>
        </w:tc>
        <w:tc>
          <w:tcPr>
            <w:tcW w:w="1148" w:type="dxa"/>
            <w:shd w:val="clear" w:color="000000" w:fill="FFFFFF"/>
            <w:vAlign w:val="center"/>
          </w:tcPr>
          <w:p>
            <w:pPr>
              <w:jc w:val="center"/>
              <w:rPr>
                <w:rFonts w:ascii="宋体" w:hAnsi="宋体" w:cs="宋体"/>
                <w:b/>
                <w:bCs/>
                <w:sz w:val="20"/>
              </w:rPr>
            </w:pPr>
            <w:r>
              <w:rPr>
                <w:rFonts w:hint="eastAsia" w:ascii="宋体" w:hAnsi="宋体" w:cs="宋体"/>
                <w:b/>
                <w:bCs/>
                <w:sz w:val="20"/>
              </w:rPr>
              <w:t>合  价</w:t>
            </w:r>
          </w:p>
          <w:p>
            <w:pPr>
              <w:jc w:val="center"/>
              <w:rPr>
                <w:rFonts w:ascii="宋体" w:hAnsi="宋体" w:cs="宋体"/>
                <w:b/>
                <w:bCs/>
                <w:sz w:val="20"/>
              </w:rPr>
            </w:pPr>
            <w:r>
              <w:rPr>
                <w:rFonts w:hint="eastAsia" w:ascii="宋体" w:hAnsi="宋体" w:cs="宋体"/>
                <w:b/>
                <w:bCs/>
                <w:sz w:val="20"/>
              </w:rPr>
              <w:t>单位(元，含税)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r>
              <w:rPr>
                <w:rFonts w:hint="eastAsia" w:ascii="宋体" w:hAnsi="宋体" w:cs="宋体"/>
                <w:b/>
                <w:bCs/>
                <w:sz w:val="20"/>
              </w:rPr>
              <w:t>1</w:t>
            </w:r>
          </w:p>
        </w:tc>
        <w:tc>
          <w:tcPr>
            <w:tcW w:w="1076" w:type="dxa"/>
            <w:shd w:val="clear" w:color="000000" w:fill="FFFFFF"/>
            <w:vAlign w:val="center"/>
          </w:tcPr>
          <w:p>
            <w:pPr>
              <w:jc w:val="center"/>
              <w:rPr>
                <w:rFonts w:ascii="宋体" w:hAnsi="宋体" w:cs="宋体"/>
                <w:b/>
                <w:bCs/>
                <w:sz w:val="20"/>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r>
              <w:rPr>
                <w:rFonts w:hint="eastAsia" w:ascii="宋体" w:hAnsi="宋体" w:cs="宋体"/>
                <w:b/>
                <w:bCs/>
                <w:sz w:val="20"/>
              </w:rPr>
              <w:t>2</w:t>
            </w:r>
          </w:p>
        </w:tc>
        <w:tc>
          <w:tcPr>
            <w:tcW w:w="1076" w:type="dxa"/>
            <w:shd w:val="clear" w:color="000000" w:fill="FFFFFF"/>
            <w:vAlign w:val="center"/>
          </w:tcPr>
          <w:p>
            <w:pPr>
              <w:jc w:val="center"/>
              <w:rPr>
                <w:rFonts w:ascii="宋体" w:hAnsi="宋体"/>
                <w:b/>
                <w:bCs/>
                <w:szCs w:val="21"/>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r>
              <w:rPr>
                <w:rFonts w:hint="eastAsia" w:ascii="宋体" w:hAnsi="宋体" w:cs="宋体"/>
                <w:b/>
                <w:bCs/>
                <w:sz w:val="20"/>
              </w:rPr>
              <w:t>3</w:t>
            </w:r>
          </w:p>
        </w:tc>
        <w:tc>
          <w:tcPr>
            <w:tcW w:w="1076" w:type="dxa"/>
            <w:shd w:val="clear" w:color="000000" w:fill="FFFFFF"/>
            <w:vAlign w:val="center"/>
          </w:tcPr>
          <w:p>
            <w:pPr>
              <w:jc w:val="center"/>
              <w:rPr>
                <w:rFonts w:ascii="宋体" w:hAnsi="宋体"/>
                <w:b/>
                <w:bCs/>
                <w:szCs w:val="21"/>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r>
              <w:rPr>
                <w:rFonts w:hint="eastAsia" w:ascii="宋体" w:hAnsi="宋体" w:cs="宋体"/>
                <w:b/>
                <w:bCs/>
                <w:sz w:val="20"/>
              </w:rPr>
              <w:t>4</w:t>
            </w:r>
          </w:p>
        </w:tc>
        <w:tc>
          <w:tcPr>
            <w:tcW w:w="1076" w:type="dxa"/>
            <w:shd w:val="clear" w:color="000000" w:fill="FFFFFF"/>
            <w:vAlign w:val="center"/>
          </w:tcPr>
          <w:p>
            <w:pPr>
              <w:jc w:val="center"/>
              <w:rPr>
                <w:rFonts w:ascii="宋体" w:hAnsi="宋体"/>
                <w:b/>
                <w:bCs/>
                <w:szCs w:val="21"/>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r>
              <w:rPr>
                <w:rFonts w:hint="eastAsia" w:ascii="宋体" w:hAnsi="宋体" w:cs="宋体"/>
                <w:b/>
                <w:bCs/>
                <w:sz w:val="20"/>
              </w:rPr>
              <w:t>…</w:t>
            </w:r>
          </w:p>
        </w:tc>
        <w:tc>
          <w:tcPr>
            <w:tcW w:w="1076" w:type="dxa"/>
            <w:shd w:val="clear" w:color="000000" w:fill="FFFFFF"/>
            <w:vAlign w:val="center"/>
          </w:tcPr>
          <w:p>
            <w:pPr>
              <w:jc w:val="center"/>
              <w:rPr>
                <w:rFonts w:ascii="宋体" w:hAnsi="宋体"/>
                <w:b/>
                <w:bCs/>
                <w:szCs w:val="21"/>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p>
        </w:tc>
        <w:tc>
          <w:tcPr>
            <w:tcW w:w="1076" w:type="dxa"/>
            <w:shd w:val="clear" w:color="000000" w:fill="FFFFFF"/>
            <w:vAlign w:val="center"/>
          </w:tcPr>
          <w:p>
            <w:pPr>
              <w:jc w:val="center"/>
              <w:rPr>
                <w:rFonts w:ascii="宋体" w:hAnsi="宋体" w:cs="宋体"/>
                <w:b/>
                <w:bCs/>
                <w:sz w:val="20"/>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p>
        </w:tc>
        <w:tc>
          <w:tcPr>
            <w:tcW w:w="1076" w:type="dxa"/>
            <w:shd w:val="clear" w:color="000000" w:fill="FFFFFF"/>
            <w:vAlign w:val="center"/>
          </w:tcPr>
          <w:p>
            <w:pPr>
              <w:jc w:val="center"/>
              <w:rPr>
                <w:rFonts w:ascii="宋体" w:hAnsi="宋体" w:cs="宋体"/>
                <w:b/>
                <w:bCs/>
                <w:sz w:val="20"/>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p>
        </w:tc>
        <w:tc>
          <w:tcPr>
            <w:tcW w:w="1076" w:type="dxa"/>
            <w:shd w:val="clear" w:color="000000" w:fill="FFFFFF"/>
            <w:vAlign w:val="center"/>
          </w:tcPr>
          <w:p>
            <w:pPr>
              <w:jc w:val="center"/>
              <w:rPr>
                <w:rFonts w:ascii="宋体" w:hAnsi="宋体" w:cs="宋体"/>
                <w:b/>
                <w:bCs/>
                <w:sz w:val="20"/>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p>
        </w:tc>
        <w:tc>
          <w:tcPr>
            <w:tcW w:w="1076" w:type="dxa"/>
            <w:shd w:val="clear" w:color="000000" w:fill="FFFFFF"/>
            <w:vAlign w:val="center"/>
          </w:tcPr>
          <w:p>
            <w:pPr>
              <w:jc w:val="center"/>
              <w:rPr>
                <w:rFonts w:ascii="宋体" w:hAnsi="宋体" w:cs="宋体"/>
                <w:b/>
                <w:bCs/>
                <w:sz w:val="20"/>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596" w:type="dxa"/>
            <w:gridSpan w:val="2"/>
            <w:shd w:val="clear" w:color="000000" w:fill="FFFFFF"/>
            <w:vAlign w:val="center"/>
          </w:tcPr>
          <w:p>
            <w:pPr>
              <w:jc w:val="center"/>
              <w:rPr>
                <w:rFonts w:ascii="宋体" w:hAnsi="宋体" w:cs="宋体"/>
                <w:b/>
                <w:bCs/>
                <w:sz w:val="20"/>
              </w:rPr>
            </w:pPr>
            <w:r>
              <w:rPr>
                <w:rFonts w:hint="eastAsia" w:ascii="宋体" w:hAnsi="宋体" w:cs="宋体"/>
                <w:b/>
                <w:bCs/>
                <w:sz w:val="20"/>
              </w:rPr>
              <w:t>不含税价格合计（元）</w:t>
            </w:r>
          </w:p>
        </w:tc>
        <w:tc>
          <w:tcPr>
            <w:tcW w:w="8032" w:type="dxa"/>
            <w:gridSpan w:val="10"/>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596" w:type="dxa"/>
            <w:gridSpan w:val="2"/>
            <w:shd w:val="clear" w:color="000000" w:fill="FFFFFF"/>
            <w:vAlign w:val="center"/>
          </w:tcPr>
          <w:p>
            <w:pPr>
              <w:jc w:val="center"/>
              <w:rPr>
                <w:rFonts w:ascii="宋体" w:hAnsi="宋体" w:cs="宋体"/>
                <w:b/>
                <w:bCs/>
                <w:sz w:val="20"/>
              </w:rPr>
            </w:pPr>
            <w:r>
              <w:rPr>
                <w:rFonts w:hint="eastAsia" w:ascii="宋体" w:hAnsi="宋体" w:cs="宋体"/>
                <w:b/>
                <w:bCs/>
                <w:sz w:val="20"/>
              </w:rPr>
              <w:t>税金（元）</w:t>
            </w:r>
          </w:p>
        </w:tc>
        <w:tc>
          <w:tcPr>
            <w:tcW w:w="8032" w:type="dxa"/>
            <w:gridSpan w:val="10"/>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596" w:type="dxa"/>
            <w:gridSpan w:val="2"/>
            <w:shd w:val="clear" w:color="000000" w:fill="FFFFFF"/>
            <w:vAlign w:val="center"/>
          </w:tcPr>
          <w:p>
            <w:pPr>
              <w:rPr>
                <w:rFonts w:ascii="宋体" w:hAnsi="宋体" w:cs="宋体"/>
                <w:b/>
                <w:bCs/>
                <w:sz w:val="20"/>
              </w:rPr>
            </w:pPr>
            <w:r>
              <w:rPr>
                <w:rFonts w:hint="eastAsia" w:ascii="宋体" w:hAnsi="宋体" w:cs="宋体"/>
                <w:b/>
                <w:bCs/>
                <w:sz w:val="20"/>
              </w:rPr>
              <w:t>价税合计（元）</w:t>
            </w:r>
          </w:p>
        </w:tc>
        <w:tc>
          <w:tcPr>
            <w:tcW w:w="8032" w:type="dxa"/>
            <w:gridSpan w:val="10"/>
            <w:tcBorders>
              <w:bottom w:val="single" w:color="auto" w:sz="4" w:space="0"/>
            </w:tcBorders>
            <w:shd w:val="clear" w:color="000000" w:fill="FFFFFF"/>
            <w:vAlign w:val="center"/>
          </w:tcPr>
          <w:p>
            <w:pPr>
              <w:jc w:val="center"/>
              <w:rPr>
                <w:rFonts w:ascii="宋体" w:hAnsi="宋体" w:cs="宋体"/>
                <w:b/>
                <w:bCs/>
                <w:sz w:val="20"/>
              </w:rPr>
            </w:pPr>
            <w:r>
              <w:rPr>
                <w:rFonts w:hint="eastAsia" w:ascii="宋体" w:hAnsi="宋体" w:cs="宋体"/>
                <w:b/>
                <w:bCs/>
                <w:sz w:val="20"/>
              </w:rPr>
              <w:t xml:space="preserve">人民币大写 </w:t>
            </w:r>
            <w:r>
              <w:rPr>
                <w:rFonts w:ascii="宋体" w:hAnsi="宋体" w:cs="宋体"/>
                <w:b/>
                <w:bCs/>
                <w:sz w:val="20"/>
              </w:rPr>
              <w:t xml:space="preserve">    </w:t>
            </w:r>
            <w:r>
              <w:rPr>
                <w:rFonts w:hint="eastAsia" w:ascii="宋体" w:hAnsi="宋体" w:cs="宋体"/>
                <w:b/>
                <w:bCs/>
                <w:sz w:val="20"/>
              </w:rPr>
              <w:t>元，</w:t>
            </w:r>
            <w:r>
              <w:rPr>
                <w:rFonts w:ascii="宋体" w:hAnsi="宋体" w:cs="宋体"/>
                <w:b/>
                <w:bCs/>
                <w:sz w:val="20"/>
              </w:rPr>
              <w:t>¥   .00</w:t>
            </w:r>
          </w:p>
        </w:tc>
      </w:tr>
    </w:tbl>
    <w:p>
      <w:pPr>
        <w:spacing w:line="276" w:lineRule="auto"/>
        <w:ind w:firstLine="593"/>
        <w:rPr>
          <w:rFonts w:ascii="宋体" w:hAnsi="宋体"/>
          <w:b/>
          <w:szCs w:val="21"/>
        </w:rPr>
      </w:pPr>
      <w:r>
        <w:rPr>
          <w:rFonts w:hint="eastAsia" w:ascii="宋体" w:hAnsi="宋体"/>
          <w:b/>
          <w:szCs w:val="21"/>
        </w:rPr>
        <w:t>备注：1、</w:t>
      </w:r>
    </w:p>
    <w:p>
      <w:pPr>
        <w:adjustRightInd w:val="0"/>
        <w:snapToGrid w:val="0"/>
        <w:spacing w:line="276" w:lineRule="auto"/>
        <w:ind w:firstLine="602"/>
        <w:rPr>
          <w:rFonts w:ascii="宋体" w:hAnsi="宋体"/>
          <w:b/>
          <w:szCs w:val="21"/>
        </w:rPr>
      </w:pPr>
      <w:r>
        <w:rPr>
          <w:rFonts w:hint="eastAsia" w:ascii="宋体" w:hAnsi="宋体"/>
          <w:b/>
          <w:szCs w:val="21"/>
        </w:rPr>
        <w:t xml:space="preserve">      2、</w:t>
      </w:r>
    </w:p>
    <w:p>
      <w:pPr>
        <w:adjustRightInd w:val="0"/>
        <w:snapToGrid w:val="0"/>
        <w:spacing w:line="276" w:lineRule="auto"/>
        <w:ind w:firstLine="602"/>
        <w:rPr>
          <w:rFonts w:ascii="宋体" w:hAnsi="宋体"/>
          <w:b/>
          <w:szCs w:val="21"/>
        </w:rPr>
      </w:pPr>
      <w:r>
        <w:rPr>
          <w:rFonts w:hint="eastAsia" w:ascii="宋体" w:hAnsi="宋体"/>
          <w:b/>
          <w:szCs w:val="21"/>
        </w:rPr>
        <w:t>二、合同金额</w:t>
      </w:r>
    </w:p>
    <w:p>
      <w:pPr>
        <w:spacing w:line="276" w:lineRule="auto"/>
        <w:ind w:firstLine="403" w:firstLineChars="192"/>
        <w:rPr>
          <w:rFonts w:ascii="宋体" w:hAnsi="宋体"/>
          <w:szCs w:val="21"/>
        </w:rPr>
      </w:pPr>
      <w:r>
        <w:rPr>
          <w:rFonts w:hint="eastAsia" w:ascii="宋体" w:hAnsi="宋体"/>
          <w:szCs w:val="21"/>
        </w:rPr>
        <w:t>本合同金额为固定总价合同，合同金额为（大写）：人民币    ，（小写）</w:t>
      </w:r>
      <w:r>
        <w:rPr>
          <w:rFonts w:hint="eastAsia" w:ascii="宋体" w:hAnsi="宋体" w:cs="Arial"/>
          <w:szCs w:val="21"/>
        </w:rPr>
        <w:t xml:space="preserve">¥       </w:t>
      </w:r>
      <w:r>
        <w:rPr>
          <w:rFonts w:hint="eastAsia" w:ascii="宋体" w:hAnsi="宋体"/>
          <w:szCs w:val="21"/>
        </w:rPr>
        <w:t>。本合同价为杭州萧山国际机场内交货价，含产品价格、运输费、包装费、保险费、税费等所有费用。甲方不再承担其他任何费用。</w:t>
      </w:r>
    </w:p>
    <w:p>
      <w:pPr>
        <w:spacing w:line="276" w:lineRule="auto"/>
        <w:ind w:firstLine="405" w:firstLineChars="192"/>
        <w:rPr>
          <w:rFonts w:ascii="宋体" w:hAnsi="宋体"/>
          <w:b/>
          <w:szCs w:val="21"/>
          <w:u w:val="single"/>
        </w:rPr>
      </w:pPr>
      <w:r>
        <w:rPr>
          <w:rFonts w:hint="eastAsia" w:ascii="宋体" w:hAnsi="宋体"/>
          <w:b/>
          <w:szCs w:val="21"/>
          <w:u w:val="single"/>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276" w:lineRule="auto"/>
        <w:ind w:firstLine="602"/>
        <w:rPr>
          <w:rFonts w:ascii="宋体" w:hAnsi="宋体"/>
          <w:b/>
          <w:szCs w:val="21"/>
        </w:rPr>
      </w:pPr>
      <w:r>
        <w:rPr>
          <w:rFonts w:hint="eastAsia" w:ascii="宋体" w:hAnsi="宋体"/>
          <w:b/>
          <w:szCs w:val="21"/>
        </w:rPr>
        <w:t>三、技术资料</w:t>
      </w:r>
    </w:p>
    <w:p>
      <w:pPr>
        <w:adjustRightInd w:val="0"/>
        <w:snapToGrid w:val="0"/>
        <w:spacing w:line="276" w:lineRule="auto"/>
        <w:ind w:firstLine="420" w:firstLineChars="200"/>
        <w:rPr>
          <w:rFonts w:ascii="宋体" w:hAnsi="宋体"/>
          <w:szCs w:val="21"/>
        </w:rPr>
      </w:pPr>
      <w:r>
        <w:rPr>
          <w:rFonts w:hint="eastAsia" w:ascii="宋体" w:hAnsi="宋体"/>
          <w:szCs w:val="21"/>
        </w:rPr>
        <w:t>1.乙方应在交付合同产品时同时向甲方提供使用产品的有关技术资料。</w:t>
      </w:r>
    </w:p>
    <w:p>
      <w:pPr>
        <w:adjustRightInd w:val="0"/>
        <w:snapToGrid w:val="0"/>
        <w:spacing w:line="276" w:lineRule="auto"/>
        <w:ind w:firstLine="422" w:firstLineChars="200"/>
        <w:rPr>
          <w:rFonts w:ascii="宋体" w:hAnsi="宋体"/>
          <w:szCs w:val="21"/>
        </w:rPr>
      </w:pPr>
      <w:r>
        <w:rPr>
          <w:rFonts w:hint="eastAsia" w:ascii="宋体" w:hAnsi="宋体"/>
          <w:b/>
          <w:szCs w:val="21"/>
        </w:rPr>
        <w:t>2.</w:t>
      </w:r>
      <w:r>
        <w:rPr>
          <w:rFonts w:hint="eastAsia" w:ascii="宋体" w:hAnsi="宋体"/>
          <w:szCs w:val="21"/>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276" w:lineRule="auto"/>
        <w:ind w:firstLine="602"/>
        <w:rPr>
          <w:rFonts w:ascii="宋体" w:hAnsi="宋体"/>
          <w:b/>
          <w:szCs w:val="21"/>
        </w:rPr>
      </w:pPr>
      <w:r>
        <w:rPr>
          <w:rFonts w:hint="eastAsia" w:ascii="宋体" w:hAnsi="宋体"/>
          <w:b/>
          <w:szCs w:val="21"/>
        </w:rPr>
        <w:t>四、知识产权</w:t>
      </w:r>
    </w:p>
    <w:p>
      <w:pPr>
        <w:adjustRightInd w:val="0"/>
        <w:snapToGrid w:val="0"/>
        <w:spacing w:line="276" w:lineRule="auto"/>
        <w:ind w:firstLine="420" w:firstLineChars="200"/>
        <w:rPr>
          <w:rFonts w:ascii="宋体" w:hAnsi="宋体"/>
          <w:szCs w:val="21"/>
        </w:rPr>
      </w:pPr>
      <w:r>
        <w:rPr>
          <w:rFonts w:hint="eastAsia" w:ascii="宋体" w:hAnsi="宋体"/>
          <w:szCs w:val="21"/>
        </w:rPr>
        <w:t>乙方应保证所提供的产品或其任何一部分均不会侵犯任何第三方的知识产权等合法权益。如因乙方违反本条保证并导致甲方遭受损失的，甲方有权解除本合同，乙方须向甲方承担赔偿责任。</w:t>
      </w:r>
    </w:p>
    <w:p>
      <w:pPr>
        <w:adjustRightInd w:val="0"/>
        <w:snapToGrid w:val="0"/>
        <w:spacing w:line="276" w:lineRule="auto"/>
        <w:ind w:firstLine="602"/>
        <w:rPr>
          <w:rFonts w:ascii="宋体" w:hAnsi="宋体"/>
          <w:b/>
          <w:szCs w:val="21"/>
        </w:rPr>
      </w:pPr>
      <w:r>
        <w:rPr>
          <w:rFonts w:hint="eastAsia" w:ascii="宋体" w:hAnsi="宋体"/>
          <w:b/>
          <w:szCs w:val="21"/>
        </w:rPr>
        <w:t>五、产权担保</w:t>
      </w:r>
    </w:p>
    <w:p>
      <w:pPr>
        <w:adjustRightInd w:val="0"/>
        <w:snapToGrid w:val="0"/>
        <w:spacing w:line="276" w:lineRule="auto"/>
        <w:ind w:firstLine="420" w:firstLineChars="200"/>
        <w:rPr>
          <w:rFonts w:ascii="宋体" w:hAnsi="宋体"/>
          <w:szCs w:val="21"/>
        </w:rPr>
      </w:pPr>
      <w:r>
        <w:rPr>
          <w:rFonts w:hint="eastAsia" w:ascii="宋体" w:hAnsi="宋体"/>
          <w:szCs w:val="21"/>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276" w:lineRule="auto"/>
        <w:ind w:firstLine="602"/>
        <w:outlineLvl w:val="0"/>
        <w:rPr>
          <w:rFonts w:ascii="宋体" w:hAnsi="宋体"/>
          <w:b/>
          <w:szCs w:val="21"/>
        </w:rPr>
      </w:pPr>
      <w:bookmarkStart w:id="48" w:name="_Toc9351384"/>
      <w:r>
        <w:rPr>
          <w:rFonts w:hint="eastAsia" w:ascii="宋体" w:hAnsi="宋体"/>
          <w:b/>
          <w:szCs w:val="21"/>
        </w:rPr>
        <w:t>六、转包或分包</w:t>
      </w:r>
      <w:bookmarkEnd w:id="48"/>
    </w:p>
    <w:p>
      <w:pPr>
        <w:adjustRightInd w:val="0"/>
        <w:snapToGrid w:val="0"/>
        <w:spacing w:line="276" w:lineRule="auto"/>
        <w:ind w:firstLine="420" w:firstLineChars="200"/>
        <w:rPr>
          <w:rFonts w:ascii="宋体" w:hAnsi="宋体"/>
          <w:szCs w:val="21"/>
        </w:rPr>
      </w:pPr>
      <w:r>
        <w:rPr>
          <w:rFonts w:hint="eastAsia" w:ascii="宋体" w:hAnsi="宋体"/>
          <w:szCs w:val="21"/>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adjustRightInd w:val="0"/>
        <w:snapToGrid w:val="0"/>
        <w:spacing w:line="276" w:lineRule="auto"/>
        <w:ind w:firstLine="420" w:firstLineChars="200"/>
        <w:rPr>
          <w:rFonts w:ascii="宋体" w:hAnsi="宋体"/>
          <w:szCs w:val="21"/>
        </w:rPr>
      </w:pPr>
      <w:r>
        <w:rPr>
          <w:rFonts w:hint="eastAsia" w:ascii="宋体" w:hAnsi="宋体"/>
          <w:szCs w:val="21"/>
        </w:rPr>
        <w:t>2.如有未经甲方书面同意的转让和分包行为，甲方有权解除合同，并有权要求乙方承担合同总金额【5%】的违约金。</w:t>
      </w:r>
    </w:p>
    <w:p>
      <w:pPr>
        <w:adjustRightInd w:val="0"/>
        <w:snapToGrid w:val="0"/>
        <w:spacing w:line="276" w:lineRule="auto"/>
        <w:ind w:firstLine="602"/>
        <w:outlineLvl w:val="0"/>
        <w:rPr>
          <w:rFonts w:ascii="宋体" w:hAnsi="宋体"/>
          <w:b/>
          <w:szCs w:val="21"/>
        </w:rPr>
      </w:pPr>
      <w:bookmarkStart w:id="49" w:name="_Toc9351385"/>
      <w:r>
        <w:rPr>
          <w:rFonts w:hint="eastAsia" w:ascii="宋体" w:hAnsi="宋体"/>
          <w:b/>
          <w:szCs w:val="21"/>
        </w:rPr>
        <w:t>七、产品包装、发运及运输</w:t>
      </w:r>
      <w:bookmarkEnd w:id="49"/>
    </w:p>
    <w:p>
      <w:pPr>
        <w:adjustRightInd w:val="0"/>
        <w:snapToGrid w:val="0"/>
        <w:spacing w:line="276" w:lineRule="auto"/>
        <w:ind w:firstLine="420" w:firstLineChars="200"/>
        <w:rPr>
          <w:rFonts w:ascii="宋体" w:hAnsi="宋体"/>
          <w:szCs w:val="21"/>
        </w:rPr>
      </w:pPr>
      <w:r>
        <w:rPr>
          <w:rFonts w:hint="eastAsia" w:ascii="宋体" w:hAnsi="宋体"/>
          <w:szCs w:val="21"/>
        </w:rPr>
        <w:t>1. 乙方应在产品发运前对其按满足运输距离、防潮、防震、防锈和防破损装卸等要求进行包装，以保证产品安全运达甲方指定地点。</w:t>
      </w:r>
    </w:p>
    <w:p>
      <w:pPr>
        <w:adjustRightInd w:val="0"/>
        <w:snapToGrid w:val="0"/>
        <w:spacing w:line="276" w:lineRule="auto"/>
        <w:ind w:firstLine="420" w:firstLineChars="200"/>
        <w:rPr>
          <w:rFonts w:ascii="宋体" w:hAnsi="宋体"/>
          <w:szCs w:val="21"/>
        </w:rPr>
      </w:pPr>
      <w:r>
        <w:rPr>
          <w:rFonts w:hint="eastAsia" w:ascii="宋体" w:hAnsi="宋体"/>
          <w:szCs w:val="21"/>
        </w:rPr>
        <w:t>2. 使用说明书、质量检验证明书、技术资料、随配附件和工具以及清单一并附于产品内同时向甲方交付。如资料和工具、附件不全的，视为乙方未完全履行交付义务。</w:t>
      </w:r>
    </w:p>
    <w:p>
      <w:pPr>
        <w:adjustRightInd w:val="0"/>
        <w:snapToGrid w:val="0"/>
        <w:spacing w:line="276" w:lineRule="auto"/>
        <w:ind w:firstLine="420" w:firstLineChars="200"/>
        <w:rPr>
          <w:rFonts w:ascii="宋体" w:hAnsi="宋体"/>
          <w:szCs w:val="21"/>
        </w:rPr>
      </w:pPr>
      <w:r>
        <w:rPr>
          <w:rFonts w:hint="eastAsia" w:ascii="宋体" w:hAnsi="宋体"/>
          <w:szCs w:val="21"/>
        </w:rPr>
        <w:t>3. 乙方在产品发运手续办理完毕后【2</w:t>
      </w:r>
      <w:r>
        <w:rPr>
          <w:rFonts w:ascii="宋体" w:hAnsi="宋体"/>
          <w:szCs w:val="21"/>
        </w:rPr>
        <w:t>4</w:t>
      </w:r>
      <w:r>
        <w:rPr>
          <w:rFonts w:hint="eastAsia" w:ascii="宋体" w:hAnsi="宋体"/>
          <w:szCs w:val="21"/>
        </w:rPr>
        <w:t>】小时内必须书面通知甲方，以便甲方准备接货。</w:t>
      </w:r>
    </w:p>
    <w:p>
      <w:pPr>
        <w:adjustRightInd w:val="0"/>
        <w:snapToGrid w:val="0"/>
        <w:spacing w:line="276" w:lineRule="auto"/>
        <w:ind w:firstLine="420" w:firstLineChars="200"/>
        <w:rPr>
          <w:rFonts w:ascii="宋体" w:hAnsi="宋体"/>
          <w:szCs w:val="21"/>
        </w:rPr>
      </w:pPr>
      <w:r>
        <w:rPr>
          <w:rFonts w:hint="eastAsia" w:ascii="宋体" w:hAnsi="宋体"/>
          <w:szCs w:val="21"/>
        </w:rPr>
        <w:t>4. 产品在本合同规定的交货地点交付甲方前发生的一切风险包括产品运输风险均由乙方负责。</w:t>
      </w:r>
    </w:p>
    <w:p>
      <w:pPr>
        <w:adjustRightInd w:val="0"/>
        <w:snapToGrid w:val="0"/>
        <w:spacing w:line="276" w:lineRule="auto"/>
        <w:ind w:firstLine="420" w:firstLineChars="200"/>
        <w:rPr>
          <w:rFonts w:ascii="宋体" w:hAnsi="宋体"/>
          <w:szCs w:val="21"/>
        </w:rPr>
      </w:pPr>
      <w:r>
        <w:rPr>
          <w:rFonts w:hint="eastAsia" w:ascii="宋体" w:hAnsi="宋体"/>
          <w:szCs w:val="21"/>
        </w:rPr>
        <w:t>5. 产品在规定的交付期限内由乙方送达甲方指定的交货地点并经甲方签收后视为交付，乙方同时必须在产品到达的当天立即通知甲方产品已送达。</w:t>
      </w:r>
    </w:p>
    <w:p>
      <w:pPr>
        <w:adjustRightInd w:val="0"/>
        <w:snapToGrid w:val="0"/>
        <w:spacing w:line="276" w:lineRule="auto"/>
        <w:ind w:firstLine="602"/>
        <w:outlineLvl w:val="0"/>
        <w:rPr>
          <w:rFonts w:ascii="宋体" w:hAnsi="宋体"/>
          <w:b/>
          <w:szCs w:val="21"/>
        </w:rPr>
      </w:pPr>
      <w:bookmarkStart w:id="50" w:name="_Toc9351386"/>
      <w:r>
        <w:rPr>
          <w:rFonts w:hint="eastAsia" w:ascii="宋体" w:hAnsi="宋体"/>
          <w:b/>
          <w:szCs w:val="21"/>
        </w:rPr>
        <w:t>八、交货期、交货方式及交货地点</w:t>
      </w:r>
      <w:bookmarkEnd w:id="50"/>
    </w:p>
    <w:p>
      <w:pPr>
        <w:adjustRightInd w:val="0"/>
        <w:snapToGrid w:val="0"/>
        <w:spacing w:line="276" w:lineRule="auto"/>
        <w:ind w:firstLine="420" w:firstLineChars="200"/>
        <w:rPr>
          <w:rFonts w:ascii="宋体" w:hAnsi="宋体"/>
          <w:szCs w:val="21"/>
        </w:rPr>
      </w:pPr>
      <w:r>
        <w:rPr>
          <w:rFonts w:hint="eastAsia" w:ascii="宋体" w:hAnsi="宋体"/>
          <w:szCs w:val="21"/>
        </w:rPr>
        <w:t>1. 交货期：合同生效之日起【</w:t>
      </w:r>
      <w:r>
        <w:rPr>
          <w:rFonts w:ascii="宋体" w:hAnsi="宋体"/>
          <w:szCs w:val="21"/>
        </w:rPr>
        <w:t>30</w:t>
      </w:r>
      <w:r>
        <w:rPr>
          <w:rFonts w:hint="eastAsia" w:ascii="宋体" w:hAnsi="宋体"/>
          <w:szCs w:val="21"/>
        </w:rPr>
        <w:t>】个日历天</w:t>
      </w:r>
    </w:p>
    <w:p>
      <w:pPr>
        <w:adjustRightInd w:val="0"/>
        <w:snapToGrid w:val="0"/>
        <w:spacing w:line="276" w:lineRule="auto"/>
        <w:ind w:firstLine="420" w:firstLineChars="200"/>
        <w:rPr>
          <w:rFonts w:ascii="宋体" w:hAnsi="宋体"/>
          <w:szCs w:val="21"/>
        </w:rPr>
      </w:pPr>
      <w:r>
        <w:rPr>
          <w:rFonts w:hint="eastAsia" w:ascii="宋体" w:hAnsi="宋体"/>
          <w:szCs w:val="21"/>
        </w:rPr>
        <w:t>2. 交货方式：乙方送货上门</w:t>
      </w:r>
    </w:p>
    <w:p>
      <w:pPr>
        <w:adjustRightInd w:val="0"/>
        <w:snapToGrid w:val="0"/>
        <w:spacing w:line="276" w:lineRule="auto"/>
        <w:ind w:firstLine="420" w:firstLineChars="200"/>
        <w:rPr>
          <w:rFonts w:ascii="宋体" w:hAnsi="宋体"/>
          <w:szCs w:val="21"/>
        </w:rPr>
      </w:pPr>
      <w:r>
        <w:rPr>
          <w:rFonts w:hint="eastAsia" w:ascii="宋体" w:hAnsi="宋体"/>
          <w:szCs w:val="21"/>
        </w:rPr>
        <w:t>3. 交货地点：杭州萧山国际机场内</w:t>
      </w:r>
    </w:p>
    <w:p>
      <w:pPr>
        <w:adjustRightInd w:val="0"/>
        <w:snapToGrid w:val="0"/>
        <w:spacing w:line="276" w:lineRule="auto"/>
        <w:ind w:firstLine="602"/>
        <w:outlineLvl w:val="0"/>
        <w:rPr>
          <w:rFonts w:ascii="宋体" w:hAnsi="宋体"/>
          <w:b/>
          <w:szCs w:val="21"/>
        </w:rPr>
      </w:pPr>
      <w:bookmarkStart w:id="51" w:name="_Toc9351387"/>
      <w:r>
        <w:rPr>
          <w:rFonts w:hint="eastAsia" w:ascii="宋体" w:hAnsi="宋体"/>
          <w:b/>
          <w:szCs w:val="21"/>
        </w:rPr>
        <w:t>九、安装与验收</w:t>
      </w:r>
      <w:bookmarkEnd w:id="51"/>
    </w:p>
    <w:p>
      <w:pPr>
        <w:pStyle w:val="93"/>
        <w:adjustRightInd w:val="0"/>
        <w:snapToGrid w:val="0"/>
        <w:spacing w:line="276" w:lineRule="auto"/>
        <w:ind w:firstLine="422" w:firstLineChars="200"/>
        <w:rPr>
          <w:rFonts w:ascii="宋体" w:hAnsi="宋体"/>
          <w:szCs w:val="21"/>
        </w:rPr>
      </w:pPr>
      <w:r>
        <w:rPr>
          <w:rFonts w:hint="eastAsia" w:ascii="宋体" w:hAnsi="宋体"/>
          <w:b/>
          <w:szCs w:val="21"/>
        </w:rPr>
        <w:t>1.</w:t>
      </w:r>
      <w:r>
        <w:rPr>
          <w:rFonts w:hint="eastAsia" w:ascii="宋体" w:hAnsi="宋体"/>
          <w:szCs w:val="21"/>
        </w:rPr>
        <w:t>甲方对乙方交付的货物依据甲方要求和国家有关质量标准进行现场初步验收，产品外观、数量、品种、规格和说明书等资料符合甲方要求的，视为初步验收合格，给予签收，初步验收不合格的不予签收并在到货之日起【7】日内以书面或电话形式向乙方提出异议。乙方在甲方初步验收完毕后，负责在【</w:t>
      </w:r>
      <w:r>
        <w:rPr>
          <w:rFonts w:ascii="宋体" w:hAnsi="宋体"/>
          <w:szCs w:val="21"/>
        </w:rPr>
        <w:t>3</w:t>
      </w:r>
      <w:r>
        <w:rPr>
          <w:rFonts w:hint="eastAsia" w:ascii="宋体" w:hAnsi="宋体"/>
          <w:szCs w:val="21"/>
        </w:rPr>
        <w:t>】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3】日内以书面方式向乙方提出相关异议。</w:t>
      </w:r>
    </w:p>
    <w:p>
      <w:pPr>
        <w:pStyle w:val="93"/>
        <w:adjustRightInd w:val="0"/>
        <w:snapToGrid w:val="0"/>
        <w:spacing w:line="276" w:lineRule="auto"/>
        <w:ind w:firstLine="422" w:firstLineChars="200"/>
        <w:rPr>
          <w:rFonts w:ascii="宋体" w:hAnsi="宋体"/>
          <w:szCs w:val="21"/>
        </w:rPr>
      </w:pPr>
      <w:r>
        <w:rPr>
          <w:rFonts w:hint="eastAsia" w:ascii="宋体" w:hAnsi="宋体"/>
          <w:b/>
          <w:szCs w:val="21"/>
        </w:rPr>
        <w:t>2.</w:t>
      </w:r>
      <w:r>
        <w:rPr>
          <w:rFonts w:hint="eastAsia" w:ascii="宋体" w:hAnsi="宋体"/>
          <w:szCs w:val="21"/>
        </w:rPr>
        <w:t>乙方交货前应对产品作出全面检查和对验收文件进行整理，并列出清单，作为甲方收货验收和使用的技术条件依据，乙方检验的结果应随货物交甲方。</w:t>
      </w:r>
    </w:p>
    <w:p>
      <w:pPr>
        <w:pStyle w:val="93"/>
        <w:adjustRightInd w:val="0"/>
        <w:snapToGrid w:val="0"/>
        <w:spacing w:line="276" w:lineRule="auto"/>
        <w:ind w:firstLine="422" w:firstLineChars="200"/>
        <w:rPr>
          <w:rFonts w:ascii="宋体" w:hAnsi="宋体"/>
          <w:szCs w:val="21"/>
        </w:rPr>
      </w:pPr>
      <w:r>
        <w:rPr>
          <w:rFonts w:hint="eastAsia" w:ascii="宋体" w:hAnsi="宋体"/>
          <w:b/>
          <w:szCs w:val="21"/>
        </w:rPr>
        <w:t>3.</w:t>
      </w:r>
      <w:r>
        <w:rPr>
          <w:rFonts w:hint="eastAsia" w:ascii="宋体" w:hAnsi="宋体"/>
          <w:szCs w:val="21"/>
        </w:rPr>
        <w:t xml:space="preserve">乙方应当在收到甲方前述第1款异议之日起【 </w:t>
      </w:r>
      <w:r>
        <w:rPr>
          <w:rFonts w:ascii="宋体" w:hAnsi="宋体"/>
          <w:szCs w:val="21"/>
        </w:rPr>
        <w:t>3</w:t>
      </w:r>
      <w:r>
        <w:rPr>
          <w:rFonts w:hint="eastAsia" w:ascii="宋体" w:hAnsi="宋体"/>
          <w:szCs w:val="21"/>
        </w:rPr>
        <w:t>】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pStyle w:val="93"/>
        <w:adjustRightInd w:val="0"/>
        <w:snapToGrid w:val="0"/>
        <w:spacing w:line="276" w:lineRule="auto"/>
        <w:ind w:firstLine="422" w:firstLineChars="200"/>
        <w:rPr>
          <w:rFonts w:ascii="宋体" w:hAnsi="宋体"/>
          <w:szCs w:val="21"/>
        </w:rPr>
      </w:pPr>
      <w:r>
        <w:rPr>
          <w:rFonts w:ascii="宋体" w:hAnsi="宋体"/>
          <w:b/>
          <w:szCs w:val="21"/>
        </w:rPr>
        <w:t>4.</w:t>
      </w:r>
      <w:r>
        <w:rPr>
          <w:rFonts w:hint="eastAsia" w:ascii="宋体" w:hAnsi="宋体"/>
          <w:szCs w:val="21"/>
        </w:rPr>
        <w:t>验收要求：</w:t>
      </w:r>
      <w:r>
        <w:rPr>
          <w:rFonts w:hint="eastAsia" w:ascii="宋体" w:hAnsi="宋体"/>
          <w:szCs w:val="21"/>
          <w:u w:val="single"/>
        </w:rPr>
        <w:t>实现基本功能包括发言人通过话筒，声音经过调音台、音频处理器、功放等设备，扩声效果语言清晰，系统工作稳定。</w:t>
      </w:r>
    </w:p>
    <w:p>
      <w:pPr>
        <w:adjustRightInd w:val="0"/>
        <w:snapToGrid w:val="0"/>
        <w:spacing w:line="276" w:lineRule="auto"/>
        <w:ind w:firstLine="422" w:firstLineChars="200"/>
        <w:outlineLvl w:val="0"/>
        <w:rPr>
          <w:rFonts w:ascii="宋体" w:hAnsi="宋体"/>
          <w:b/>
          <w:szCs w:val="21"/>
        </w:rPr>
      </w:pPr>
      <w:bookmarkStart w:id="52" w:name="_Toc9351388"/>
      <w:r>
        <w:rPr>
          <w:rFonts w:hint="eastAsia" w:ascii="宋体" w:hAnsi="宋体"/>
          <w:b/>
          <w:szCs w:val="21"/>
        </w:rPr>
        <w:t>十、货款支付</w:t>
      </w:r>
      <w:bookmarkEnd w:id="52"/>
    </w:p>
    <w:p>
      <w:pPr>
        <w:adjustRightInd w:val="0"/>
        <w:snapToGrid w:val="0"/>
        <w:spacing w:line="276" w:lineRule="auto"/>
        <w:ind w:firstLine="420" w:firstLineChars="200"/>
        <w:rPr>
          <w:rFonts w:ascii="宋体" w:hAnsi="宋体"/>
          <w:szCs w:val="21"/>
          <w:u w:val="single"/>
        </w:rPr>
      </w:pPr>
      <w:r>
        <w:rPr>
          <w:rFonts w:hint="eastAsia" w:ascii="宋体" w:hAnsi="宋体"/>
          <w:szCs w:val="21"/>
          <w:u w:val="single"/>
        </w:rPr>
        <w:t>1</w:t>
      </w:r>
      <w:r>
        <w:rPr>
          <w:rFonts w:ascii="宋体" w:hAnsi="宋体"/>
          <w:szCs w:val="21"/>
          <w:u w:val="single"/>
        </w:rPr>
        <w:t>.</w:t>
      </w:r>
      <w:r>
        <w:rPr>
          <w:rFonts w:hint="eastAsia" w:ascii="宋体" w:hAnsi="宋体"/>
          <w:szCs w:val="21"/>
          <w:u w:val="single"/>
        </w:rPr>
        <w:t>设备在到货、安装调试完成且经甲方验收合格后1</w:t>
      </w:r>
      <w:r>
        <w:rPr>
          <w:rFonts w:ascii="宋体" w:hAnsi="宋体"/>
          <w:szCs w:val="21"/>
          <w:u w:val="single"/>
        </w:rPr>
        <w:t>5</w:t>
      </w:r>
      <w:r>
        <w:rPr>
          <w:rFonts w:hint="eastAsia" w:ascii="宋体" w:hAnsi="宋体"/>
          <w:szCs w:val="21"/>
          <w:u w:val="single"/>
        </w:rPr>
        <w:t>日内，甲方凭乙方开具的全额增值税专用发票支付乙方合同总金额的</w:t>
      </w:r>
      <w:r>
        <w:rPr>
          <w:rFonts w:ascii="宋体" w:hAnsi="宋体"/>
          <w:szCs w:val="21"/>
          <w:u w:val="single"/>
        </w:rPr>
        <w:t>95</w:t>
      </w:r>
      <w:r>
        <w:rPr>
          <w:rFonts w:hint="eastAsia" w:ascii="宋体" w:hAnsi="宋体"/>
          <w:szCs w:val="21"/>
          <w:u w:val="single"/>
        </w:rPr>
        <w:t>%。</w:t>
      </w:r>
    </w:p>
    <w:p>
      <w:pPr>
        <w:adjustRightInd w:val="0"/>
        <w:snapToGrid w:val="0"/>
        <w:spacing w:line="276" w:lineRule="auto"/>
        <w:ind w:firstLine="420" w:firstLineChars="200"/>
        <w:rPr>
          <w:rFonts w:ascii="宋体" w:hAnsi="宋体"/>
          <w:szCs w:val="21"/>
          <w:u w:val="single"/>
        </w:rPr>
      </w:pPr>
      <w:r>
        <w:rPr>
          <w:rFonts w:hint="eastAsia" w:ascii="宋体" w:hAnsi="宋体"/>
          <w:szCs w:val="21"/>
          <w:u w:val="single"/>
        </w:rPr>
        <w:t>2</w:t>
      </w:r>
      <w:r>
        <w:rPr>
          <w:rFonts w:ascii="宋体" w:hAnsi="宋体"/>
          <w:szCs w:val="21"/>
          <w:u w:val="single"/>
        </w:rPr>
        <w:t>.</w:t>
      </w:r>
      <w:r>
        <w:rPr>
          <w:rFonts w:hint="eastAsia" w:ascii="宋体" w:hAnsi="宋体"/>
          <w:szCs w:val="21"/>
          <w:u w:val="single"/>
        </w:rPr>
        <w:t>合同总金额的5</w:t>
      </w:r>
      <w:r>
        <w:rPr>
          <w:rFonts w:ascii="宋体" w:hAnsi="宋体"/>
          <w:szCs w:val="21"/>
          <w:u w:val="single"/>
        </w:rPr>
        <w:t>%</w:t>
      </w:r>
      <w:r>
        <w:rPr>
          <w:rFonts w:hint="eastAsia" w:ascii="宋体" w:hAnsi="宋体"/>
          <w:szCs w:val="21"/>
          <w:u w:val="single"/>
        </w:rPr>
        <w:t>在免费质量保证期满且经甲方确认乙方无任何违约行为后1</w:t>
      </w:r>
      <w:r>
        <w:rPr>
          <w:rFonts w:ascii="宋体" w:hAnsi="宋体"/>
          <w:szCs w:val="21"/>
          <w:u w:val="single"/>
        </w:rPr>
        <w:t>5</w:t>
      </w:r>
      <w:r>
        <w:rPr>
          <w:rFonts w:hint="eastAsia" w:ascii="宋体" w:hAnsi="宋体"/>
          <w:szCs w:val="21"/>
          <w:u w:val="single"/>
        </w:rPr>
        <w:t xml:space="preserve">日内支付。 </w:t>
      </w:r>
    </w:p>
    <w:p>
      <w:pPr>
        <w:adjustRightInd w:val="0"/>
        <w:snapToGrid w:val="0"/>
        <w:spacing w:line="276" w:lineRule="auto"/>
        <w:ind w:firstLine="420" w:firstLineChars="200"/>
        <w:rPr>
          <w:rFonts w:ascii="宋体" w:hAnsi="宋体"/>
          <w:szCs w:val="21"/>
        </w:rPr>
      </w:pPr>
    </w:p>
    <w:p>
      <w:pPr>
        <w:pStyle w:val="39"/>
        <w:spacing w:before="150" w:after="150" w:line="276" w:lineRule="auto"/>
        <w:ind w:firstLine="422" w:firstLineChars="200"/>
        <w:rPr>
          <w:b/>
          <w:color w:val="444444"/>
          <w:sz w:val="21"/>
          <w:szCs w:val="21"/>
          <w:lang w:val="zh-CN"/>
        </w:rPr>
      </w:pPr>
      <w:r>
        <w:rPr>
          <w:rFonts w:hint="eastAsia"/>
          <w:b/>
          <w:color w:val="444444"/>
          <w:sz w:val="21"/>
          <w:szCs w:val="21"/>
        </w:rPr>
        <w:t>十一、</w:t>
      </w:r>
      <w:r>
        <w:rPr>
          <w:rFonts w:hint="eastAsia"/>
          <w:b/>
          <w:color w:val="444444"/>
          <w:sz w:val="21"/>
          <w:szCs w:val="21"/>
          <w:lang w:val="zh-CN"/>
        </w:rPr>
        <w:t>履约保证金</w:t>
      </w:r>
    </w:p>
    <w:p>
      <w:pPr>
        <w:adjustRightInd w:val="0"/>
        <w:snapToGrid w:val="0"/>
        <w:spacing w:line="276" w:lineRule="auto"/>
        <w:ind w:firstLine="420" w:firstLineChars="200"/>
        <w:rPr>
          <w:rFonts w:ascii="宋体" w:hAnsi="宋体"/>
          <w:szCs w:val="21"/>
        </w:rPr>
      </w:pPr>
      <w:r>
        <w:rPr>
          <w:rFonts w:hint="eastAsia" w:ascii="宋体" w:hAnsi="宋体"/>
          <w:szCs w:val="21"/>
        </w:rPr>
        <w:t>1．乙方应在收到甲方中标通知书后【</w:t>
      </w:r>
      <w:r>
        <w:rPr>
          <w:rFonts w:ascii="宋体" w:hAnsi="宋体"/>
          <w:szCs w:val="21"/>
        </w:rPr>
        <w:t>10</w:t>
      </w:r>
      <w:r>
        <w:rPr>
          <w:rFonts w:hint="eastAsia" w:ascii="宋体" w:hAnsi="宋体"/>
          <w:szCs w:val="21"/>
        </w:rPr>
        <w:t>】日内，向甲方支付合同总价的【</w:t>
      </w:r>
      <w:r>
        <w:rPr>
          <w:rFonts w:ascii="宋体" w:hAnsi="宋体"/>
          <w:szCs w:val="21"/>
        </w:rPr>
        <w:t>10</w:t>
      </w:r>
      <w:r>
        <w:rPr>
          <w:rFonts w:hint="eastAsia" w:ascii="宋体" w:hAnsi="宋体"/>
          <w:szCs w:val="21"/>
        </w:rPr>
        <w:t>%】作为履约保证金。如果逾期未缴纳，甲方有权解除本合同，并要求乙方承担由此给甲方造成的损失。</w:t>
      </w:r>
    </w:p>
    <w:p>
      <w:pPr>
        <w:adjustRightInd w:val="0"/>
        <w:snapToGrid w:val="0"/>
        <w:spacing w:line="276" w:lineRule="auto"/>
        <w:ind w:firstLine="420" w:firstLineChars="200"/>
        <w:rPr>
          <w:rFonts w:ascii="宋体" w:hAnsi="宋体"/>
          <w:szCs w:val="21"/>
        </w:rPr>
      </w:pPr>
      <w:r>
        <w:rPr>
          <w:rFonts w:hint="eastAsia" w:ascii="宋体" w:hAnsi="宋体"/>
          <w:szCs w:val="21"/>
        </w:rPr>
        <w:t>2．在合同履行期间，如果乙方存在违约情形，甲方有权优先从履约保证金中扣除相应款项，并书面通知乙方。乙方自收到书面通知之日起【</w:t>
      </w:r>
      <w:r>
        <w:rPr>
          <w:rFonts w:ascii="宋体" w:hAnsi="宋体"/>
          <w:szCs w:val="21"/>
        </w:rPr>
        <w:t>5</w:t>
      </w:r>
      <w:r>
        <w:rPr>
          <w:rFonts w:hint="eastAsia" w:ascii="宋体" w:hAnsi="宋体"/>
          <w:szCs w:val="21"/>
        </w:rPr>
        <w:t xml:space="preserve">】日内补足履约保证金。如果乙方不及时补足履约保证金，视为乙方违约，甲方有权解除合同，并要求乙方承担相应的违约责任。待合同约定服务内容全部履行并完毕，乙方不存在任何违约情形并收到甲方书面认可后【 </w:t>
      </w:r>
      <w:r>
        <w:rPr>
          <w:rFonts w:ascii="宋体" w:hAnsi="宋体"/>
          <w:szCs w:val="21"/>
        </w:rPr>
        <w:t>3</w:t>
      </w:r>
      <w:r>
        <w:rPr>
          <w:rFonts w:hint="eastAsia" w:ascii="宋体" w:hAnsi="宋体"/>
          <w:szCs w:val="21"/>
        </w:rPr>
        <w:t>】日内，甲方无息返还履约保证金。</w:t>
      </w:r>
    </w:p>
    <w:p>
      <w:pPr>
        <w:adjustRightInd w:val="0"/>
        <w:snapToGrid w:val="0"/>
        <w:spacing w:line="276" w:lineRule="auto"/>
        <w:ind w:firstLine="602"/>
        <w:outlineLvl w:val="0"/>
        <w:rPr>
          <w:rFonts w:ascii="宋体" w:hAnsi="宋体"/>
          <w:b/>
          <w:szCs w:val="21"/>
        </w:rPr>
      </w:pPr>
      <w:bookmarkStart w:id="53" w:name="_Toc9351389"/>
      <w:r>
        <w:rPr>
          <w:rFonts w:hint="eastAsia" w:ascii="宋体" w:hAnsi="宋体"/>
          <w:b/>
          <w:szCs w:val="21"/>
        </w:rPr>
        <w:t>十二、免费质保期及服务内容</w:t>
      </w:r>
      <w:bookmarkEnd w:id="53"/>
    </w:p>
    <w:p>
      <w:pPr>
        <w:adjustRightInd w:val="0"/>
        <w:snapToGrid w:val="0"/>
        <w:spacing w:line="276" w:lineRule="auto"/>
        <w:ind w:firstLine="420" w:firstLineChars="200"/>
        <w:rPr>
          <w:rFonts w:ascii="宋体" w:hAnsi="宋体"/>
          <w:szCs w:val="21"/>
        </w:rPr>
      </w:pPr>
      <w:r>
        <w:rPr>
          <w:rFonts w:hint="eastAsia" w:ascii="宋体" w:hAnsi="宋体"/>
          <w:szCs w:val="21"/>
        </w:rPr>
        <w:t>1.乙方保证其所供应的产品符合相关产品质量标准，不存在任何质量瑕疵或因质量瑕疵而导致的安全隐患，且为未经使用的全新产品。</w:t>
      </w:r>
    </w:p>
    <w:p>
      <w:pPr>
        <w:adjustRightInd w:val="0"/>
        <w:snapToGrid w:val="0"/>
        <w:spacing w:line="276" w:lineRule="auto"/>
        <w:ind w:firstLine="420" w:firstLineChars="200"/>
        <w:rPr>
          <w:rFonts w:ascii="宋体" w:hAnsi="宋体"/>
          <w:szCs w:val="21"/>
        </w:rPr>
      </w:pPr>
      <w:r>
        <w:rPr>
          <w:rFonts w:hint="eastAsia" w:ascii="宋体" w:hAnsi="宋体"/>
          <w:szCs w:val="21"/>
        </w:rPr>
        <w:t>2.乙方应为产品提供【 12】个月的免费质保期(含工时费和零部件费)，时间自甲方最终签署安装验收合格报告之日起计算。</w:t>
      </w:r>
    </w:p>
    <w:p>
      <w:pPr>
        <w:adjustRightInd w:val="0"/>
        <w:snapToGrid w:val="0"/>
        <w:spacing w:line="276" w:lineRule="auto"/>
        <w:ind w:firstLine="420" w:firstLineChars="200"/>
        <w:rPr>
          <w:rFonts w:ascii="宋体" w:hAnsi="宋体"/>
          <w:szCs w:val="21"/>
        </w:rPr>
      </w:pPr>
      <w:r>
        <w:rPr>
          <w:rFonts w:hint="eastAsia" w:ascii="宋体" w:hAnsi="宋体"/>
          <w:szCs w:val="21"/>
        </w:rPr>
        <w:t>3.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pPr>
        <w:adjustRightInd w:val="0"/>
        <w:snapToGrid w:val="0"/>
        <w:spacing w:line="276" w:lineRule="auto"/>
        <w:ind w:firstLine="420" w:firstLineChars="200"/>
        <w:rPr>
          <w:rFonts w:ascii="宋体" w:hAnsi="宋体"/>
          <w:szCs w:val="21"/>
        </w:rPr>
      </w:pPr>
      <w:r>
        <w:rPr>
          <w:rFonts w:hint="eastAsia" w:ascii="宋体" w:hAnsi="宋体"/>
          <w:szCs w:val="21"/>
        </w:rPr>
        <w:t>4.产品故障报修的响应时间：应在接到产品故障报修后4小时内响应，1个工作日内到达现场，2个工作日内处理完毕。若故障检修2个工作日后仍无法排除的，乙方应在故障报修2个工作日后的1个工作日内提供不低于故障规格型号档次的替代产品供甲方使用。</w:t>
      </w:r>
    </w:p>
    <w:p>
      <w:pPr>
        <w:adjustRightInd w:val="0"/>
        <w:snapToGrid w:val="0"/>
        <w:spacing w:line="276" w:lineRule="auto"/>
        <w:ind w:firstLine="420" w:firstLineChars="200"/>
        <w:rPr>
          <w:rFonts w:ascii="宋体" w:hAnsi="宋体"/>
          <w:szCs w:val="21"/>
        </w:rPr>
      </w:pPr>
      <w:r>
        <w:rPr>
          <w:rFonts w:hint="eastAsia" w:ascii="宋体" w:hAnsi="宋体"/>
          <w:szCs w:val="21"/>
        </w:rPr>
        <w:t>5.免费质保期结束的【  3】天前，乙方负责对产品进行一次全面的检修和维护，并由甲方验收认可。甲方验收认可并不免除乙方对于验收认可后发生的但尚在质保期限内的产品故障或损坏的维修、退换货义务。</w:t>
      </w:r>
    </w:p>
    <w:p>
      <w:pPr>
        <w:adjustRightInd w:val="0"/>
        <w:snapToGrid w:val="0"/>
        <w:spacing w:line="276" w:lineRule="auto"/>
        <w:ind w:firstLine="420" w:firstLineChars="200"/>
        <w:rPr>
          <w:rFonts w:ascii="宋体" w:hAnsi="宋体"/>
          <w:szCs w:val="21"/>
        </w:rPr>
      </w:pPr>
      <w:r>
        <w:rPr>
          <w:rFonts w:hint="eastAsia" w:ascii="宋体" w:hAnsi="宋体"/>
          <w:szCs w:val="21"/>
        </w:rPr>
        <w:t>6.若乙方提供的产品属于伪劣产品或者假冒产品或者欺诈甲方，使得甲方遭受损失，乙方应向甲方承担违约责任，同时，甲方可依法寻求其他法律救济。</w:t>
      </w:r>
    </w:p>
    <w:p>
      <w:pPr>
        <w:adjustRightInd w:val="0"/>
        <w:snapToGrid w:val="0"/>
        <w:spacing w:line="276" w:lineRule="auto"/>
        <w:ind w:firstLine="420" w:firstLineChars="200"/>
        <w:rPr>
          <w:rFonts w:ascii="宋体" w:hAnsi="宋体"/>
          <w:szCs w:val="21"/>
        </w:rPr>
      </w:pPr>
      <w:r>
        <w:rPr>
          <w:rFonts w:hint="eastAsia" w:ascii="宋体" w:hAnsi="宋体"/>
          <w:szCs w:val="21"/>
        </w:rPr>
        <w:t>7</w:t>
      </w:r>
      <w:r>
        <w:rPr>
          <w:rFonts w:ascii="宋体" w:hAnsi="宋体"/>
          <w:szCs w:val="21"/>
        </w:rPr>
        <w:t>.</w:t>
      </w:r>
      <w:r>
        <w:rPr>
          <w:rFonts w:hint="eastAsia" w:ascii="宋体" w:hAnsi="宋体"/>
          <w:szCs w:val="21"/>
          <w:u w:val="single"/>
        </w:rPr>
        <w:t>若乙方所供产品被查出全部或者部分是次品、旧品、水货、侵犯知识产权的产品的，则乙方应自发现之日起（或者故障报修之日起满3个月后）3个工作日内对产品进行更换，且更换的产品应为不低于原产品型号、质量、配置、性能和售后服务的产品。</w:t>
      </w:r>
    </w:p>
    <w:p>
      <w:pPr>
        <w:adjustRightInd w:val="0"/>
        <w:snapToGrid w:val="0"/>
        <w:spacing w:line="276" w:lineRule="auto"/>
        <w:ind w:firstLine="602"/>
        <w:outlineLvl w:val="0"/>
        <w:rPr>
          <w:rFonts w:ascii="宋体" w:hAnsi="宋体"/>
          <w:b/>
          <w:szCs w:val="21"/>
        </w:rPr>
      </w:pPr>
      <w:bookmarkStart w:id="54" w:name="_Toc9351390"/>
      <w:r>
        <w:rPr>
          <w:rFonts w:hint="eastAsia" w:ascii="宋体" w:hAnsi="宋体"/>
          <w:b/>
          <w:szCs w:val="21"/>
        </w:rPr>
        <w:t>十三、违约责任</w:t>
      </w:r>
      <w:bookmarkEnd w:id="54"/>
    </w:p>
    <w:p>
      <w:pPr>
        <w:adjustRightInd w:val="0"/>
        <w:snapToGrid w:val="0"/>
        <w:spacing w:line="276" w:lineRule="auto"/>
        <w:ind w:firstLine="420" w:firstLineChars="200"/>
        <w:rPr>
          <w:rFonts w:ascii="宋体" w:hAnsi="宋体"/>
          <w:szCs w:val="21"/>
        </w:rPr>
      </w:pPr>
      <w:r>
        <w:rPr>
          <w:rFonts w:hint="eastAsia" w:ascii="宋体" w:hAnsi="宋体"/>
          <w:szCs w:val="21"/>
        </w:rPr>
        <w:t>1. 甲方无故逾期支付货款的,甲方应按逾期付款总额每日【0.05】%向乙方支付违约金。</w:t>
      </w:r>
    </w:p>
    <w:p>
      <w:pPr>
        <w:adjustRightInd w:val="0"/>
        <w:snapToGrid w:val="0"/>
        <w:spacing w:line="276" w:lineRule="auto"/>
        <w:ind w:firstLine="420" w:firstLineChars="200"/>
        <w:rPr>
          <w:rFonts w:ascii="宋体" w:hAnsi="宋体"/>
          <w:szCs w:val="21"/>
        </w:rPr>
      </w:pPr>
      <w:r>
        <w:rPr>
          <w:rFonts w:hint="eastAsia" w:ascii="宋体" w:hAnsi="宋体"/>
          <w:szCs w:val="21"/>
        </w:rPr>
        <w:t xml:space="preserve">2. 乙方逾期交付产品和本合同规定的文件资料的，或者未按甲方时间要求完成安装调试并通过甲方终验收的，乙方应按合同总额每日【0.05】%向甲方支付违约金，由甲方从货款中扣除。逾期超过约定日期【 10】个工作日的，甲方可解除本合同。乙方因逾期交货或因其他违约行为导致甲方解除合同的，乙方应向甲方支付合同总额【 5】%的违约金，且全额没收乙方的履约保证金，如造成甲方损失超过违约金的，超出部分由乙方继续承担赔偿责任。 </w:t>
      </w:r>
    </w:p>
    <w:p>
      <w:pPr>
        <w:adjustRightInd w:val="0"/>
        <w:snapToGrid w:val="0"/>
        <w:spacing w:line="276" w:lineRule="auto"/>
        <w:ind w:firstLine="420" w:firstLineChars="200"/>
        <w:rPr>
          <w:rFonts w:ascii="宋体" w:hAnsi="宋体"/>
          <w:szCs w:val="21"/>
        </w:rPr>
      </w:pPr>
      <w:r>
        <w:rPr>
          <w:rFonts w:hint="eastAsia" w:ascii="宋体" w:hAnsi="宋体"/>
          <w:szCs w:val="21"/>
        </w:rPr>
        <w:t>3. 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并没收全部履约保证金。</w:t>
      </w:r>
    </w:p>
    <w:p>
      <w:pPr>
        <w:adjustRightInd w:val="0"/>
        <w:snapToGrid w:val="0"/>
        <w:spacing w:line="276" w:lineRule="auto"/>
        <w:ind w:firstLine="420" w:firstLineChars="200"/>
        <w:rPr>
          <w:rFonts w:ascii="宋体" w:hAnsi="宋体"/>
          <w:szCs w:val="21"/>
        </w:rPr>
      </w:pPr>
      <w:r>
        <w:rPr>
          <w:rFonts w:hint="eastAsia" w:ascii="宋体" w:hAnsi="宋体"/>
          <w:szCs w:val="21"/>
        </w:rPr>
        <w:t>4．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276" w:lineRule="auto"/>
        <w:ind w:firstLine="420" w:firstLineChars="200"/>
        <w:rPr>
          <w:rFonts w:ascii="宋体" w:hAnsi="宋体"/>
          <w:szCs w:val="21"/>
        </w:rPr>
      </w:pPr>
      <w:r>
        <w:rPr>
          <w:rFonts w:hint="eastAsia" w:ascii="宋体" w:hAnsi="宋体"/>
          <w:szCs w:val="21"/>
        </w:rPr>
        <w:t>5. 乙方不在约定期限内派人维修或维修质量验收不合格的，甲方可以委托他人修理，费用由乙方承担，甲方与第三方确认后可直接从质保金中扣除；履约保证金不足以抵扣的，继续向乙方追偿。</w:t>
      </w:r>
    </w:p>
    <w:p>
      <w:pPr>
        <w:adjustRightInd w:val="0"/>
        <w:snapToGrid w:val="0"/>
        <w:spacing w:line="276" w:lineRule="auto"/>
        <w:ind w:firstLine="420" w:firstLineChars="200"/>
        <w:rPr>
          <w:rFonts w:ascii="宋体" w:hAnsi="宋体"/>
          <w:szCs w:val="21"/>
        </w:rPr>
      </w:pPr>
      <w:r>
        <w:rPr>
          <w:rFonts w:hint="eastAsia" w:ascii="宋体" w:hAnsi="宋体"/>
          <w:szCs w:val="21"/>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276" w:lineRule="auto"/>
        <w:ind w:firstLine="420" w:firstLineChars="200"/>
        <w:rPr>
          <w:rFonts w:ascii="宋体" w:hAnsi="宋体"/>
          <w:szCs w:val="21"/>
        </w:rPr>
      </w:pPr>
      <w:r>
        <w:rPr>
          <w:rFonts w:hint="eastAsia" w:ascii="宋体" w:hAnsi="宋体"/>
          <w:szCs w:val="21"/>
        </w:rPr>
        <w:t>7．对于本合同项下乙方应支付的赔偿款或违约金，甲方有权从应付乙方的货款及履约保证金中直接扣除，不足的部分，继续向乙方追偿。</w:t>
      </w:r>
    </w:p>
    <w:p>
      <w:pPr>
        <w:adjustRightInd w:val="0"/>
        <w:snapToGrid w:val="0"/>
        <w:spacing w:line="276" w:lineRule="auto"/>
        <w:ind w:firstLine="602"/>
        <w:outlineLvl w:val="0"/>
        <w:rPr>
          <w:rFonts w:ascii="宋体" w:hAnsi="宋体"/>
          <w:b/>
          <w:szCs w:val="21"/>
        </w:rPr>
      </w:pPr>
      <w:bookmarkStart w:id="55" w:name="_Toc9351391"/>
      <w:r>
        <w:rPr>
          <w:rFonts w:hint="eastAsia" w:ascii="宋体" w:hAnsi="宋体"/>
          <w:b/>
          <w:szCs w:val="21"/>
        </w:rPr>
        <w:t>十四、不可抗力事件处理</w:t>
      </w:r>
      <w:bookmarkEnd w:id="55"/>
    </w:p>
    <w:p>
      <w:pPr>
        <w:adjustRightInd w:val="0"/>
        <w:snapToGrid w:val="0"/>
        <w:spacing w:line="276" w:lineRule="auto"/>
        <w:ind w:firstLine="420" w:firstLineChars="200"/>
        <w:rPr>
          <w:rFonts w:ascii="宋体" w:hAnsi="宋体"/>
          <w:szCs w:val="21"/>
        </w:rPr>
      </w:pPr>
      <w:r>
        <w:rPr>
          <w:rFonts w:hint="eastAsia" w:ascii="宋体" w:hAnsi="宋体"/>
          <w:szCs w:val="21"/>
        </w:rPr>
        <w:t>1. 在合同有效期内，任何一方因不可抗力事件导致不能履行合同，则合同履行期可延长，其延长期与不可抗力影响期相同。</w:t>
      </w:r>
    </w:p>
    <w:p>
      <w:pPr>
        <w:adjustRightInd w:val="0"/>
        <w:snapToGrid w:val="0"/>
        <w:spacing w:line="276" w:lineRule="auto"/>
        <w:ind w:firstLine="420" w:firstLineChars="200"/>
        <w:rPr>
          <w:rFonts w:ascii="宋体" w:hAnsi="宋体"/>
          <w:szCs w:val="21"/>
        </w:rPr>
      </w:pPr>
      <w:r>
        <w:rPr>
          <w:rFonts w:hint="eastAsia" w:ascii="宋体" w:hAnsi="宋体"/>
          <w:szCs w:val="21"/>
        </w:rPr>
        <w:t>2. 不可抗力事件发生后，遭遇不可抗力的一方应立即通知对方，并寄送有关官方权威机构出具的证明。</w:t>
      </w:r>
    </w:p>
    <w:p>
      <w:pPr>
        <w:spacing w:line="276" w:lineRule="auto"/>
        <w:ind w:firstLine="399" w:firstLineChars="190"/>
        <w:rPr>
          <w:rFonts w:ascii="宋体" w:hAnsi="宋体"/>
          <w:szCs w:val="21"/>
        </w:rPr>
      </w:pPr>
      <w:r>
        <w:rPr>
          <w:rFonts w:hint="eastAsia" w:ascii="宋体" w:hAnsi="宋体"/>
          <w:szCs w:val="21"/>
        </w:rPr>
        <w:t>3. 不可抗力事件延续【140 】天以上，双方应通过友好协商，确定是否继续履行合同；协商无法达成一致的，本合同自动终止，双方互不承担赔偿或违约责任。</w:t>
      </w:r>
    </w:p>
    <w:p>
      <w:pPr>
        <w:adjustRightInd w:val="0"/>
        <w:snapToGrid w:val="0"/>
        <w:spacing w:line="276" w:lineRule="auto"/>
        <w:ind w:firstLine="211" w:firstLineChars="100"/>
        <w:rPr>
          <w:rFonts w:ascii="宋体" w:hAnsi="宋体"/>
          <w:b/>
          <w:szCs w:val="21"/>
        </w:rPr>
      </w:pPr>
      <w:r>
        <w:rPr>
          <w:rFonts w:hint="eastAsia" w:ascii="宋体" w:hAnsi="宋体"/>
          <w:b/>
          <w:szCs w:val="21"/>
        </w:rPr>
        <w:t>十五、争议解决</w:t>
      </w:r>
    </w:p>
    <w:p>
      <w:pPr>
        <w:adjustRightInd w:val="0"/>
        <w:snapToGrid w:val="0"/>
        <w:spacing w:line="276" w:lineRule="auto"/>
        <w:ind w:firstLine="420" w:firstLineChars="200"/>
        <w:rPr>
          <w:rFonts w:ascii="宋体" w:hAnsi="宋体"/>
          <w:szCs w:val="21"/>
        </w:rPr>
      </w:pPr>
      <w:r>
        <w:rPr>
          <w:rFonts w:hint="eastAsia" w:ascii="宋体" w:hAnsi="宋体"/>
          <w:szCs w:val="21"/>
        </w:rPr>
        <w:t>双方在执行合同中所发生的一切争议，应通过协商解决。如协商不成，由甲方所在地的人民法院管辖审理。</w:t>
      </w:r>
    </w:p>
    <w:p>
      <w:pPr>
        <w:adjustRightInd w:val="0"/>
        <w:snapToGrid w:val="0"/>
        <w:spacing w:line="276" w:lineRule="auto"/>
        <w:ind w:firstLine="422" w:firstLineChars="200"/>
        <w:rPr>
          <w:rFonts w:ascii="宋体" w:hAnsi="宋体"/>
          <w:b/>
          <w:szCs w:val="21"/>
        </w:rPr>
      </w:pPr>
      <w:r>
        <w:rPr>
          <w:rFonts w:hint="eastAsia" w:ascii="宋体" w:hAnsi="宋体"/>
          <w:b/>
          <w:szCs w:val="21"/>
        </w:rPr>
        <w:t>十六、合同组成文件包含下列内容，且解释顺序如下：</w:t>
      </w:r>
    </w:p>
    <w:p>
      <w:pPr>
        <w:adjustRightInd w:val="0"/>
        <w:snapToGrid w:val="0"/>
        <w:spacing w:line="276" w:lineRule="auto"/>
        <w:ind w:firstLine="420" w:firstLineChars="200"/>
        <w:rPr>
          <w:rFonts w:ascii="宋体" w:hAnsi="宋体"/>
          <w:szCs w:val="21"/>
        </w:rPr>
      </w:pPr>
      <w:r>
        <w:rPr>
          <w:rFonts w:hint="eastAsia" w:ascii="宋体" w:hAnsi="宋体"/>
          <w:szCs w:val="21"/>
        </w:rPr>
        <w:t>1.本合同协议书</w:t>
      </w:r>
    </w:p>
    <w:p>
      <w:pPr>
        <w:adjustRightInd w:val="0"/>
        <w:snapToGrid w:val="0"/>
        <w:spacing w:line="276" w:lineRule="auto"/>
        <w:ind w:firstLine="420" w:firstLineChars="200"/>
        <w:rPr>
          <w:rFonts w:ascii="宋体" w:hAnsi="宋体"/>
          <w:szCs w:val="21"/>
        </w:rPr>
      </w:pPr>
      <w:r>
        <w:rPr>
          <w:rFonts w:hint="eastAsia" w:ascii="宋体" w:hAnsi="宋体"/>
          <w:szCs w:val="21"/>
        </w:rPr>
        <w:t>2.中标通知书</w:t>
      </w:r>
    </w:p>
    <w:p>
      <w:pPr>
        <w:adjustRightInd w:val="0"/>
        <w:snapToGrid w:val="0"/>
        <w:spacing w:line="276" w:lineRule="auto"/>
        <w:ind w:firstLine="420" w:firstLineChars="200"/>
        <w:rPr>
          <w:rFonts w:ascii="宋体" w:hAnsi="宋体"/>
          <w:szCs w:val="21"/>
        </w:rPr>
      </w:pPr>
      <w:r>
        <w:rPr>
          <w:rFonts w:hint="eastAsia" w:ascii="宋体" w:hAnsi="宋体"/>
          <w:szCs w:val="21"/>
        </w:rPr>
        <w:t>3.投标书及其附件</w:t>
      </w:r>
    </w:p>
    <w:p>
      <w:pPr>
        <w:adjustRightInd w:val="0"/>
        <w:snapToGrid w:val="0"/>
        <w:spacing w:line="276" w:lineRule="auto"/>
        <w:ind w:firstLine="420" w:firstLineChars="200"/>
        <w:rPr>
          <w:rFonts w:ascii="宋体" w:hAnsi="宋体"/>
          <w:szCs w:val="21"/>
        </w:rPr>
      </w:pPr>
      <w:r>
        <w:rPr>
          <w:rFonts w:hint="eastAsia" w:ascii="宋体" w:hAnsi="宋体"/>
          <w:szCs w:val="21"/>
        </w:rPr>
        <w:t>4.招标文件</w:t>
      </w:r>
    </w:p>
    <w:p>
      <w:pPr>
        <w:adjustRightInd w:val="0"/>
        <w:snapToGrid w:val="0"/>
        <w:spacing w:line="276" w:lineRule="auto"/>
        <w:ind w:firstLine="420" w:firstLineChars="200"/>
        <w:rPr>
          <w:rFonts w:ascii="宋体" w:hAnsi="宋体"/>
          <w:szCs w:val="21"/>
        </w:rPr>
      </w:pPr>
      <w:r>
        <w:rPr>
          <w:rFonts w:hint="eastAsia" w:ascii="宋体" w:hAnsi="宋体"/>
          <w:szCs w:val="21"/>
        </w:rPr>
        <w:t>5.标准、规范及有关技术文件</w:t>
      </w:r>
    </w:p>
    <w:p>
      <w:pPr>
        <w:adjustRightInd w:val="0"/>
        <w:snapToGrid w:val="0"/>
        <w:spacing w:line="276" w:lineRule="auto"/>
        <w:ind w:firstLine="602"/>
        <w:outlineLvl w:val="0"/>
        <w:rPr>
          <w:rFonts w:ascii="宋体" w:hAnsi="宋体"/>
          <w:b/>
          <w:szCs w:val="21"/>
        </w:rPr>
      </w:pPr>
      <w:bookmarkStart w:id="56" w:name="_Toc9351392"/>
      <w:r>
        <w:rPr>
          <w:rFonts w:hint="eastAsia" w:ascii="宋体" w:hAnsi="宋体"/>
          <w:b/>
          <w:szCs w:val="21"/>
        </w:rPr>
        <w:t>十七、合同生效及其它</w:t>
      </w:r>
      <w:bookmarkEnd w:id="56"/>
    </w:p>
    <w:p>
      <w:pPr>
        <w:adjustRightInd w:val="0"/>
        <w:snapToGrid w:val="0"/>
        <w:spacing w:line="276" w:lineRule="auto"/>
        <w:ind w:firstLine="420" w:firstLineChars="200"/>
        <w:rPr>
          <w:rFonts w:ascii="宋体" w:hAnsi="宋体"/>
          <w:szCs w:val="21"/>
        </w:rPr>
      </w:pPr>
      <w:r>
        <w:rPr>
          <w:rFonts w:hint="eastAsia" w:ascii="宋体" w:hAnsi="宋体"/>
          <w:szCs w:val="21"/>
        </w:rPr>
        <w:t>1. 合同经双方法定代表人或授权代表签字（包含签章）并加盖单位公章或者合同章之日起生效。</w:t>
      </w:r>
    </w:p>
    <w:p>
      <w:pPr>
        <w:adjustRightInd w:val="0"/>
        <w:snapToGrid w:val="0"/>
        <w:spacing w:line="276" w:lineRule="auto"/>
        <w:ind w:firstLine="420" w:firstLineChars="200"/>
        <w:rPr>
          <w:rFonts w:ascii="宋体" w:hAnsi="宋体"/>
          <w:szCs w:val="21"/>
        </w:rPr>
      </w:pPr>
      <w:r>
        <w:rPr>
          <w:rFonts w:hint="eastAsia" w:ascii="宋体" w:hAnsi="宋体"/>
          <w:szCs w:val="21"/>
        </w:rPr>
        <w:t>2.本合同未尽事宜，双方可签订补充协议予以执行；未达成补充协议的，遵照《合同法》及有关法律法规执行。</w:t>
      </w:r>
    </w:p>
    <w:p>
      <w:pPr>
        <w:tabs>
          <w:tab w:val="right" w:pos="8306"/>
        </w:tabs>
        <w:adjustRightInd w:val="0"/>
        <w:snapToGrid w:val="0"/>
        <w:spacing w:line="276" w:lineRule="auto"/>
        <w:ind w:firstLine="420" w:firstLineChars="200"/>
        <w:rPr>
          <w:rFonts w:ascii="宋体" w:hAnsi="宋体"/>
          <w:szCs w:val="21"/>
        </w:rPr>
      </w:pPr>
      <w:r>
        <w:rPr>
          <w:rFonts w:hint="eastAsia" w:ascii="宋体" w:hAnsi="宋体"/>
          <w:szCs w:val="21"/>
        </w:rPr>
        <w:t>3.本合同一式陆份，甲执四份，乙方持二份，具有同等法律效力。</w:t>
      </w:r>
    </w:p>
    <w:p>
      <w:pPr>
        <w:adjustRightInd w:val="0"/>
        <w:snapToGrid w:val="0"/>
        <w:spacing w:line="276" w:lineRule="auto"/>
        <w:ind w:firstLine="420" w:firstLineChars="20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（1）设备参数及详细配置表；（2）廉洁自律承诺书；（</w:t>
      </w:r>
      <w:r>
        <w:rPr>
          <w:rFonts w:ascii="宋体" w:hAnsi="宋体"/>
          <w:szCs w:val="21"/>
        </w:rPr>
        <w:t>3</w:t>
      </w:r>
      <w:r>
        <w:rPr>
          <w:rFonts w:hint="eastAsia" w:ascii="宋体" w:hAnsi="宋体"/>
          <w:szCs w:val="21"/>
        </w:rPr>
        <w:t xml:space="preserve">）保密承诺书 </w:t>
      </w:r>
    </w:p>
    <w:p>
      <w:pPr>
        <w:tabs>
          <w:tab w:val="right" w:pos="8306"/>
        </w:tabs>
        <w:adjustRightInd w:val="0"/>
        <w:snapToGrid w:val="0"/>
        <w:spacing w:line="276" w:lineRule="auto"/>
        <w:ind w:firstLine="420" w:firstLineChars="200"/>
        <w:rPr>
          <w:rFonts w:ascii="宋体" w:hAnsi="宋体"/>
          <w:szCs w:val="21"/>
        </w:rPr>
      </w:pPr>
      <w:r>
        <w:rPr>
          <w:rFonts w:hint="eastAsia" w:ascii="宋体" w:hAnsi="宋体"/>
          <w:szCs w:val="21"/>
        </w:rPr>
        <w:tab/>
      </w:r>
    </w:p>
    <w:p>
      <w:pPr>
        <w:adjustRightInd w:val="0"/>
        <w:snapToGrid w:val="0"/>
        <w:spacing w:line="276" w:lineRule="auto"/>
        <w:ind w:left="3360" w:hanging="3360" w:hangingChars="1600"/>
        <w:rPr>
          <w:rFonts w:ascii="宋体" w:hAnsi="宋体"/>
          <w:szCs w:val="21"/>
        </w:rPr>
      </w:pPr>
      <w:r>
        <w:rPr>
          <w:rFonts w:hint="eastAsia" w:ascii="宋体" w:hAnsi="宋体"/>
          <w:szCs w:val="21"/>
        </w:rPr>
        <w:t>甲方：杭州萧山国际机场有限公司  乙方：</w:t>
      </w:r>
    </w:p>
    <w:p>
      <w:pPr>
        <w:adjustRightInd w:val="0"/>
        <w:snapToGrid w:val="0"/>
        <w:spacing w:line="276" w:lineRule="auto"/>
        <w:ind w:left="6750" w:hanging="6750"/>
        <w:rPr>
          <w:rFonts w:ascii="宋体" w:hAnsi="宋体"/>
          <w:szCs w:val="21"/>
        </w:rPr>
      </w:pPr>
      <w:r>
        <w:rPr>
          <w:rFonts w:hint="eastAsia" w:ascii="宋体" w:hAnsi="宋体"/>
          <w:szCs w:val="21"/>
        </w:rPr>
        <w:t>地址：杭州萧山国际机场内        地址：</w:t>
      </w:r>
    </w:p>
    <w:p>
      <w:pPr>
        <w:adjustRightInd w:val="0"/>
        <w:snapToGrid w:val="0"/>
        <w:spacing w:line="276" w:lineRule="auto"/>
        <w:ind w:left="6750" w:hanging="6750"/>
        <w:rPr>
          <w:rFonts w:ascii="宋体" w:hAnsi="宋体"/>
          <w:szCs w:val="21"/>
        </w:rPr>
      </w:pPr>
    </w:p>
    <w:p>
      <w:pPr>
        <w:adjustRightInd w:val="0"/>
        <w:snapToGrid w:val="0"/>
        <w:spacing w:line="276" w:lineRule="auto"/>
        <w:rPr>
          <w:rFonts w:ascii="宋体" w:hAnsi="宋体"/>
          <w:szCs w:val="21"/>
        </w:rPr>
      </w:pPr>
      <w:r>
        <w:rPr>
          <w:rFonts w:hint="eastAsia" w:ascii="宋体" w:hAnsi="宋体"/>
          <w:szCs w:val="21"/>
        </w:rPr>
        <w:t>法定代表人：                     法定代表人：</w:t>
      </w:r>
    </w:p>
    <w:p>
      <w:pPr>
        <w:adjustRightInd w:val="0"/>
        <w:snapToGrid w:val="0"/>
        <w:spacing w:line="276" w:lineRule="auto"/>
        <w:rPr>
          <w:rFonts w:ascii="宋体" w:hAnsi="宋体"/>
          <w:szCs w:val="21"/>
        </w:rPr>
      </w:pPr>
      <w:r>
        <w:rPr>
          <w:rFonts w:hint="eastAsia" w:ascii="宋体" w:hAnsi="宋体"/>
          <w:szCs w:val="21"/>
        </w:rPr>
        <w:t>或                               或</w:t>
      </w:r>
    </w:p>
    <w:p>
      <w:pPr>
        <w:adjustRightInd w:val="0"/>
        <w:snapToGrid w:val="0"/>
        <w:spacing w:line="276" w:lineRule="auto"/>
        <w:rPr>
          <w:rFonts w:ascii="宋体" w:hAnsi="宋体"/>
          <w:szCs w:val="21"/>
        </w:rPr>
      </w:pPr>
      <w:r>
        <w:rPr>
          <w:rFonts w:hint="eastAsia" w:ascii="宋体" w:hAnsi="宋体"/>
          <w:szCs w:val="21"/>
        </w:rPr>
        <w:t>授权代表：                       授权代表：</w:t>
      </w:r>
    </w:p>
    <w:p>
      <w:pPr>
        <w:adjustRightInd w:val="0"/>
        <w:snapToGrid w:val="0"/>
        <w:spacing w:line="276" w:lineRule="auto"/>
        <w:rPr>
          <w:rFonts w:ascii="宋体" w:hAnsi="宋体"/>
          <w:b/>
          <w:szCs w:val="21"/>
        </w:rPr>
      </w:pPr>
      <w:r>
        <w:rPr>
          <w:rFonts w:hint="eastAsia" w:ascii="宋体" w:hAnsi="宋体"/>
          <w:szCs w:val="21"/>
        </w:rPr>
        <w:t xml:space="preserve">签字日期：                       签字日期： </w:t>
      </w:r>
    </w:p>
    <w:p>
      <w:pPr>
        <w:adjustRightInd w:val="0"/>
        <w:snapToGrid w:val="0"/>
        <w:spacing w:line="276" w:lineRule="auto"/>
        <w:ind w:firstLine="420" w:firstLineChars="200"/>
        <w:rPr>
          <w:rFonts w:ascii="宋体" w:hAnsi="宋体"/>
          <w:b/>
          <w:szCs w:val="21"/>
        </w:rPr>
      </w:pPr>
      <w:r>
        <w:rPr>
          <w:rFonts w:hint="eastAsia" w:ascii="宋体" w:hAnsi="宋体"/>
          <w:szCs w:val="21"/>
        </w:rPr>
        <w:t>年  月  日                      年  月  日</w:t>
      </w:r>
    </w:p>
    <w:p>
      <w:pPr>
        <w:pStyle w:val="19"/>
        <w:spacing w:line="276" w:lineRule="auto"/>
        <w:ind w:firstLine="220" w:firstLineChars="100"/>
        <w:rPr>
          <w:rFonts w:hAnsi="宋体" w:cs="Calibri"/>
          <w:bCs/>
          <w:sz w:val="22"/>
          <w:szCs w:val="22"/>
        </w:rPr>
      </w:pPr>
      <w:r>
        <w:rPr>
          <w:rFonts w:hAnsi="宋体" w:cs="Calibri"/>
          <w:bCs/>
          <w:sz w:val="22"/>
          <w:szCs w:val="22"/>
        </w:rPr>
        <w:br w:type="page"/>
      </w:r>
      <w:r>
        <w:rPr>
          <w:rFonts w:hint="eastAsia" w:hAnsi="宋体" w:cs="Calibri"/>
          <w:bCs/>
          <w:sz w:val="22"/>
          <w:szCs w:val="22"/>
        </w:rPr>
        <w:t>附件</w:t>
      </w:r>
      <w:r>
        <w:rPr>
          <w:rFonts w:hAnsi="宋体" w:cs="Calibri"/>
          <w:bCs/>
          <w:sz w:val="22"/>
          <w:szCs w:val="22"/>
        </w:rPr>
        <w:t>2:</w:t>
      </w:r>
      <w:r>
        <w:rPr>
          <w:rFonts w:hint="eastAsia" w:hAnsi="宋体" w:cs="Calibri"/>
          <w:bCs/>
          <w:sz w:val="22"/>
          <w:szCs w:val="22"/>
        </w:rPr>
        <w:t>廉洁自律承诺书</w:t>
      </w:r>
    </w:p>
    <w:p>
      <w:pPr>
        <w:pStyle w:val="19"/>
        <w:spacing w:line="276" w:lineRule="auto"/>
        <w:ind w:firstLine="420"/>
        <w:rPr>
          <w:rFonts w:hAnsi="宋体" w:cs="Calibri"/>
          <w:bCs/>
          <w:sz w:val="22"/>
          <w:szCs w:val="22"/>
        </w:rPr>
      </w:pPr>
      <w:r>
        <w:rPr>
          <w:rFonts w:hint="eastAsia" w:hAnsi="宋体" w:cs="Calibri"/>
          <w:bCs/>
          <w:sz w:val="22"/>
          <w:szCs w:val="22"/>
        </w:rPr>
        <w:t>（内容此处略，详见第六章投标文件格式“十、廉洁自律承诺书”）</w:t>
      </w:r>
    </w:p>
    <w:p>
      <w:pPr>
        <w:pStyle w:val="19"/>
        <w:spacing w:line="276" w:lineRule="auto"/>
        <w:ind w:firstLine="420"/>
        <w:rPr>
          <w:rFonts w:hAnsi="宋体" w:cs="Calibri"/>
          <w:bCs/>
          <w:sz w:val="22"/>
          <w:szCs w:val="22"/>
        </w:rPr>
      </w:pPr>
    </w:p>
    <w:p>
      <w:pPr>
        <w:pStyle w:val="19"/>
        <w:spacing w:line="276" w:lineRule="auto"/>
        <w:ind w:firstLine="220" w:firstLineChars="100"/>
        <w:rPr>
          <w:rFonts w:hAnsi="宋体" w:cs="Calibri"/>
          <w:bCs/>
          <w:sz w:val="22"/>
          <w:szCs w:val="22"/>
        </w:rPr>
      </w:pPr>
      <w:r>
        <w:rPr>
          <w:rFonts w:hint="eastAsia" w:hAnsi="宋体" w:cs="Calibri"/>
          <w:bCs/>
          <w:sz w:val="22"/>
          <w:szCs w:val="22"/>
        </w:rPr>
        <w:t>附件</w:t>
      </w:r>
      <w:r>
        <w:rPr>
          <w:rFonts w:hAnsi="宋体" w:cs="Calibri"/>
          <w:bCs/>
          <w:sz w:val="22"/>
          <w:szCs w:val="22"/>
        </w:rPr>
        <w:t>3</w:t>
      </w:r>
      <w:r>
        <w:rPr>
          <w:rFonts w:hint="eastAsia" w:hAnsi="宋体" w:cs="Calibri"/>
          <w:bCs/>
          <w:sz w:val="22"/>
          <w:szCs w:val="22"/>
        </w:rPr>
        <w:t>：保密承诺书</w:t>
      </w:r>
    </w:p>
    <w:p>
      <w:pPr>
        <w:tabs>
          <w:tab w:val="left" w:pos="540"/>
        </w:tabs>
        <w:topLinePunct/>
        <w:spacing w:line="276" w:lineRule="auto"/>
        <w:ind w:firstLine="723"/>
        <w:jc w:val="center"/>
        <w:rPr>
          <w:rFonts w:ascii="宋体" w:hAnsi="宋体" w:cs="宋体"/>
          <w:b/>
          <w:sz w:val="22"/>
        </w:rPr>
      </w:pPr>
      <w:r>
        <w:rPr>
          <w:rFonts w:hint="eastAsia" w:ascii="宋体" w:hAnsi="宋体" w:cs="宋体"/>
          <w:b/>
          <w:sz w:val="22"/>
        </w:rPr>
        <w:t>保密承诺书</w:t>
      </w:r>
    </w:p>
    <w:p>
      <w:pPr>
        <w:pStyle w:val="19"/>
        <w:spacing w:line="276" w:lineRule="auto"/>
        <w:ind w:firstLine="420"/>
        <w:rPr>
          <w:rFonts w:hAnsi="宋体" w:cs="Calibri"/>
          <w:bCs/>
          <w:sz w:val="22"/>
          <w:szCs w:val="22"/>
        </w:rPr>
      </w:pPr>
      <w:r>
        <w:rPr>
          <w:rFonts w:hint="eastAsia" w:hAnsi="宋体" w:cs="Calibri"/>
          <w:bCs/>
          <w:sz w:val="22"/>
          <w:szCs w:val="22"/>
        </w:rPr>
        <w:t>鉴于我方愿成为杭州萧山国际机场有限公司（以下简称“机场公司”）的供应商或潜在供应商候选人，为机场公司提供【】项目的货物供应。在上述业务来往过程中，机场公司可能向我方提供经营、业务、服务等有关的文件、资料、软件等信息，为维护机场公司的利益，我方就保密事宜做出如下承诺：</w:t>
      </w:r>
    </w:p>
    <w:p>
      <w:pPr>
        <w:pStyle w:val="19"/>
        <w:spacing w:line="276" w:lineRule="auto"/>
        <w:ind w:firstLine="420"/>
        <w:rPr>
          <w:rFonts w:hAnsi="宋体" w:cs="Calibri"/>
          <w:bCs/>
          <w:sz w:val="22"/>
          <w:szCs w:val="22"/>
        </w:rPr>
      </w:pPr>
      <w:r>
        <w:rPr>
          <w:rFonts w:hint="eastAsia" w:hAnsi="宋体" w:cs="Calibri"/>
          <w:bCs/>
          <w:sz w:val="22"/>
          <w:szCs w:val="22"/>
        </w:rPr>
        <w:t>1.商业秘密</w:t>
      </w:r>
    </w:p>
    <w:p>
      <w:pPr>
        <w:pStyle w:val="19"/>
        <w:spacing w:line="276" w:lineRule="auto"/>
        <w:ind w:firstLine="420"/>
        <w:rPr>
          <w:rFonts w:hAnsi="宋体" w:cs="Calibri"/>
          <w:bCs/>
          <w:sz w:val="22"/>
          <w:szCs w:val="22"/>
        </w:rPr>
      </w:pPr>
      <w:r>
        <w:rPr>
          <w:rFonts w:hint="eastAsia" w:hAnsi="宋体" w:cs="Calibri"/>
          <w:bCs/>
          <w:sz w:val="22"/>
          <w:szCs w:val="22"/>
        </w:rPr>
        <w:t>1.1商业秘密是指机场公司（包括机场公司关联公司）一切专有、不对外公开的资料和信息。包括但不限于以下方面：</w:t>
      </w:r>
    </w:p>
    <w:p>
      <w:pPr>
        <w:pStyle w:val="19"/>
        <w:spacing w:line="276" w:lineRule="auto"/>
        <w:ind w:firstLine="420"/>
        <w:rPr>
          <w:rFonts w:hAnsi="宋体" w:cs="Calibri"/>
          <w:bCs/>
          <w:sz w:val="22"/>
          <w:szCs w:val="22"/>
        </w:rPr>
      </w:pPr>
      <w:r>
        <w:rPr>
          <w:rFonts w:hint="eastAsia" w:hAnsi="宋体" w:cs="Calibri"/>
          <w:bCs/>
          <w:sz w:val="22"/>
          <w:szCs w:val="22"/>
        </w:rPr>
        <w:t>（1）经营信息（发展规划、运营状况、客户资源、货源情报、投融资计划、开发计划、标书等）；</w:t>
      </w:r>
    </w:p>
    <w:p>
      <w:pPr>
        <w:pStyle w:val="19"/>
        <w:spacing w:line="276" w:lineRule="auto"/>
        <w:ind w:firstLine="420"/>
        <w:rPr>
          <w:rFonts w:hAnsi="宋体" w:cs="Calibri"/>
          <w:bCs/>
          <w:sz w:val="22"/>
          <w:szCs w:val="22"/>
        </w:rPr>
      </w:pPr>
      <w:r>
        <w:rPr>
          <w:rFonts w:hint="eastAsia" w:hAnsi="宋体" w:cs="Calibri"/>
          <w:bCs/>
          <w:sz w:val="22"/>
          <w:szCs w:val="22"/>
        </w:rPr>
        <w:t>（2）管理信息（管理方法、管理制度、员工管理、合同管理、纠纷管理等）；</w:t>
      </w:r>
    </w:p>
    <w:p>
      <w:pPr>
        <w:pStyle w:val="19"/>
        <w:spacing w:line="276" w:lineRule="auto"/>
        <w:ind w:firstLine="420"/>
        <w:rPr>
          <w:rFonts w:hAnsi="宋体" w:cs="Calibri"/>
          <w:bCs/>
          <w:sz w:val="22"/>
          <w:szCs w:val="22"/>
        </w:rPr>
      </w:pPr>
      <w:r>
        <w:rPr>
          <w:rFonts w:hint="eastAsia" w:hAnsi="宋体" w:cs="Calibri"/>
          <w:bCs/>
          <w:sz w:val="22"/>
          <w:szCs w:val="22"/>
        </w:rPr>
        <w:t>（3）产品及技术信息（设计及图纸、样品及服务、技术方案、质量标准、技术标准、计算机程序等）；</w:t>
      </w:r>
    </w:p>
    <w:p>
      <w:pPr>
        <w:pStyle w:val="19"/>
        <w:spacing w:line="276" w:lineRule="auto"/>
        <w:ind w:firstLine="420"/>
        <w:rPr>
          <w:rFonts w:hAnsi="宋体" w:cs="Calibri"/>
          <w:bCs/>
          <w:sz w:val="22"/>
          <w:szCs w:val="22"/>
        </w:rPr>
      </w:pPr>
      <w:r>
        <w:rPr>
          <w:rFonts w:hint="eastAsia" w:hAnsi="宋体" w:cs="Calibri"/>
          <w:bCs/>
          <w:sz w:val="22"/>
          <w:szCs w:val="22"/>
        </w:rPr>
        <w:t>（4）财务信息（财务收支、固定资产、流动资金、成本核算等）；</w:t>
      </w:r>
    </w:p>
    <w:p>
      <w:pPr>
        <w:pStyle w:val="19"/>
        <w:spacing w:line="276" w:lineRule="auto"/>
        <w:ind w:firstLine="420"/>
        <w:rPr>
          <w:rFonts w:hAnsi="宋体" w:cs="Calibri"/>
          <w:bCs/>
          <w:sz w:val="22"/>
          <w:szCs w:val="22"/>
        </w:rPr>
      </w:pPr>
      <w:r>
        <w:rPr>
          <w:rFonts w:hint="eastAsia" w:hAnsi="宋体" w:cs="Calibri"/>
          <w:bCs/>
          <w:sz w:val="22"/>
          <w:szCs w:val="22"/>
        </w:rPr>
        <w:t>（5）我方单独或机场公司（包括机场公司关联公司）和我方共同为机场公司开发、设计、生产的产品、资料及相关信息；</w:t>
      </w:r>
    </w:p>
    <w:p>
      <w:pPr>
        <w:pStyle w:val="19"/>
        <w:spacing w:line="276" w:lineRule="auto"/>
        <w:ind w:firstLine="420"/>
        <w:rPr>
          <w:rFonts w:hAnsi="宋体" w:cs="Calibri"/>
          <w:bCs/>
          <w:sz w:val="22"/>
          <w:szCs w:val="22"/>
        </w:rPr>
      </w:pPr>
      <w:r>
        <w:rPr>
          <w:rFonts w:hint="eastAsia" w:hAnsi="宋体" w:cs="Calibri"/>
          <w:bCs/>
          <w:sz w:val="22"/>
          <w:szCs w:val="22"/>
        </w:rPr>
        <w:t>（6）其他机场公司未对外公开的有关营运、计划、航班数据、标准、开发、生产、经营、质量管理控制和租赁的资料和数据等信息以及对供应商的管理文件。</w:t>
      </w:r>
    </w:p>
    <w:p>
      <w:pPr>
        <w:pStyle w:val="19"/>
        <w:spacing w:line="276" w:lineRule="auto"/>
        <w:ind w:firstLine="420"/>
        <w:rPr>
          <w:rFonts w:hAnsi="宋体" w:cs="Calibri"/>
          <w:bCs/>
          <w:sz w:val="22"/>
          <w:szCs w:val="22"/>
        </w:rPr>
      </w:pPr>
      <w:r>
        <w:rPr>
          <w:rFonts w:hint="eastAsia" w:hAnsi="宋体" w:cs="Calibri"/>
          <w:bCs/>
          <w:sz w:val="22"/>
          <w:szCs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pStyle w:val="19"/>
        <w:spacing w:line="276" w:lineRule="auto"/>
        <w:ind w:firstLine="420"/>
        <w:rPr>
          <w:rFonts w:hAnsi="宋体" w:cs="Calibri"/>
          <w:bCs/>
          <w:sz w:val="22"/>
          <w:szCs w:val="22"/>
        </w:rPr>
      </w:pPr>
      <w:r>
        <w:rPr>
          <w:rFonts w:hint="eastAsia" w:hAnsi="宋体" w:cs="Calibri"/>
          <w:bCs/>
          <w:sz w:val="22"/>
          <w:szCs w:val="22"/>
        </w:rPr>
        <w:t>1.3、对于上述提及的商业秘密，不能仅因为公开发表的文章或资讯中包含其内容，就认为是可对外公开的特殊情况。</w:t>
      </w:r>
    </w:p>
    <w:p>
      <w:pPr>
        <w:pStyle w:val="19"/>
        <w:spacing w:line="276" w:lineRule="auto"/>
        <w:ind w:firstLine="420"/>
        <w:rPr>
          <w:rFonts w:hAnsi="宋体" w:cs="Calibri"/>
          <w:bCs/>
          <w:sz w:val="22"/>
          <w:szCs w:val="22"/>
        </w:rPr>
      </w:pPr>
      <w:r>
        <w:rPr>
          <w:rFonts w:hint="eastAsia" w:hAnsi="宋体" w:cs="Calibri"/>
          <w:bCs/>
          <w:sz w:val="22"/>
          <w:szCs w:val="22"/>
        </w:rPr>
        <w:t>1.4、以下资料不属于本承诺所指的商业秘密：</w:t>
      </w:r>
    </w:p>
    <w:p>
      <w:pPr>
        <w:pStyle w:val="19"/>
        <w:spacing w:line="276" w:lineRule="auto"/>
        <w:ind w:firstLine="420"/>
        <w:rPr>
          <w:rFonts w:hAnsi="宋体" w:cs="Calibri"/>
          <w:bCs/>
          <w:sz w:val="22"/>
          <w:szCs w:val="22"/>
        </w:rPr>
      </w:pPr>
      <w:r>
        <w:rPr>
          <w:rFonts w:hint="eastAsia" w:hAnsi="宋体" w:cs="Calibri"/>
          <w:bCs/>
          <w:sz w:val="22"/>
          <w:szCs w:val="22"/>
        </w:rPr>
        <w:t>（1）我方从机场公司拟获悉之前已持有的我方无需承担保密义务的机场公司有关资料(但通过其它违约或侵权行为而获得的资料除外)；</w:t>
      </w:r>
    </w:p>
    <w:p>
      <w:pPr>
        <w:pStyle w:val="19"/>
        <w:spacing w:line="276" w:lineRule="auto"/>
        <w:ind w:firstLine="420"/>
        <w:rPr>
          <w:rFonts w:hAnsi="宋体" w:cs="Calibri"/>
          <w:bCs/>
          <w:sz w:val="22"/>
          <w:szCs w:val="22"/>
        </w:rPr>
      </w:pPr>
      <w:r>
        <w:rPr>
          <w:rFonts w:hint="eastAsia" w:hAnsi="宋体" w:cs="Calibri"/>
          <w:bCs/>
          <w:sz w:val="22"/>
          <w:szCs w:val="22"/>
        </w:rPr>
        <w:t>（2）已经公开或已成为常识性的资料，且该等公开并非因违反本承诺所致。</w:t>
      </w:r>
    </w:p>
    <w:p>
      <w:pPr>
        <w:pStyle w:val="19"/>
        <w:spacing w:line="276" w:lineRule="auto"/>
        <w:ind w:firstLine="420"/>
        <w:rPr>
          <w:rFonts w:hAnsi="宋体" w:cs="Calibri"/>
          <w:bCs/>
          <w:sz w:val="22"/>
          <w:szCs w:val="22"/>
        </w:rPr>
      </w:pPr>
    </w:p>
    <w:p>
      <w:pPr>
        <w:pStyle w:val="19"/>
        <w:spacing w:line="276" w:lineRule="auto"/>
        <w:ind w:firstLine="420"/>
        <w:rPr>
          <w:rFonts w:hAnsi="宋体" w:cs="Calibri"/>
          <w:bCs/>
          <w:sz w:val="22"/>
          <w:szCs w:val="22"/>
        </w:rPr>
      </w:pPr>
      <w:r>
        <w:rPr>
          <w:rFonts w:hint="eastAsia" w:hAnsi="宋体" w:cs="Calibri"/>
          <w:bCs/>
          <w:sz w:val="22"/>
          <w:szCs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pStyle w:val="19"/>
        <w:spacing w:line="276" w:lineRule="auto"/>
        <w:ind w:firstLine="420"/>
        <w:rPr>
          <w:rFonts w:hAnsi="宋体" w:cs="Calibri"/>
          <w:bCs/>
          <w:sz w:val="22"/>
          <w:szCs w:val="22"/>
        </w:rPr>
      </w:pPr>
    </w:p>
    <w:p>
      <w:pPr>
        <w:pStyle w:val="19"/>
        <w:spacing w:line="276" w:lineRule="auto"/>
        <w:ind w:firstLine="420"/>
        <w:rPr>
          <w:rFonts w:hAnsi="宋体" w:cs="Calibri"/>
          <w:bCs/>
          <w:sz w:val="22"/>
          <w:szCs w:val="22"/>
        </w:rPr>
      </w:pPr>
      <w:r>
        <w:rPr>
          <w:rFonts w:hint="eastAsia" w:hAnsi="宋体" w:cs="Calibri"/>
          <w:bCs/>
          <w:sz w:val="22"/>
          <w:szCs w:val="22"/>
        </w:rPr>
        <w:t>3、当合同履行完毕、合同终止或经机场公司要求，我方应立即返还或根据机场公司书面要求销毁所有含有商业秘密或我方在接触商业秘密后而产生的资料，以及由我方持有的任何复制品。</w:t>
      </w:r>
    </w:p>
    <w:p>
      <w:pPr>
        <w:pStyle w:val="19"/>
        <w:spacing w:line="276" w:lineRule="auto"/>
        <w:ind w:firstLine="420"/>
        <w:rPr>
          <w:rFonts w:hAnsi="宋体" w:cs="Calibri"/>
          <w:bCs/>
          <w:sz w:val="22"/>
          <w:szCs w:val="22"/>
        </w:rPr>
      </w:pPr>
    </w:p>
    <w:p>
      <w:pPr>
        <w:pStyle w:val="19"/>
        <w:spacing w:line="276" w:lineRule="auto"/>
        <w:ind w:firstLine="420"/>
        <w:rPr>
          <w:rFonts w:hAnsi="宋体" w:cs="Calibri"/>
          <w:bCs/>
          <w:sz w:val="22"/>
          <w:szCs w:val="22"/>
        </w:rPr>
      </w:pPr>
      <w:r>
        <w:rPr>
          <w:rFonts w:hint="eastAsia" w:hAnsi="宋体" w:cs="Calibri"/>
          <w:bCs/>
          <w:sz w:val="22"/>
          <w:szCs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pStyle w:val="19"/>
        <w:spacing w:line="276" w:lineRule="auto"/>
        <w:ind w:firstLine="420"/>
        <w:rPr>
          <w:rFonts w:hAnsi="宋体" w:cs="Calibri"/>
          <w:bCs/>
          <w:sz w:val="22"/>
          <w:szCs w:val="22"/>
        </w:rPr>
      </w:pPr>
      <w:r>
        <w:rPr>
          <w:rFonts w:hint="eastAsia" w:hAnsi="宋体" w:cs="Calibri"/>
          <w:bCs/>
          <w:sz w:val="22"/>
          <w:szCs w:val="22"/>
        </w:rPr>
        <w:t>（1）披露、使用或者允许他人以不正当手段获取的商业秘密；</w:t>
      </w:r>
    </w:p>
    <w:p>
      <w:pPr>
        <w:pStyle w:val="19"/>
        <w:spacing w:line="276" w:lineRule="auto"/>
        <w:ind w:firstLine="420"/>
        <w:rPr>
          <w:rFonts w:hAnsi="宋体" w:cs="Calibri"/>
          <w:bCs/>
          <w:sz w:val="22"/>
          <w:szCs w:val="22"/>
        </w:rPr>
      </w:pPr>
      <w:r>
        <w:rPr>
          <w:rFonts w:hint="eastAsia" w:hAnsi="宋体" w:cs="Calibri"/>
          <w:bCs/>
          <w:sz w:val="22"/>
          <w:szCs w:val="22"/>
        </w:rPr>
        <w:t>（2）为机场公司以外的第三人窃取、刺探、收买、非法提供商业秘密。</w:t>
      </w:r>
    </w:p>
    <w:p>
      <w:pPr>
        <w:pStyle w:val="19"/>
        <w:spacing w:line="276" w:lineRule="auto"/>
        <w:ind w:firstLine="420"/>
        <w:rPr>
          <w:rFonts w:hAnsi="宋体" w:cs="Calibri"/>
          <w:bCs/>
          <w:sz w:val="22"/>
          <w:szCs w:val="22"/>
        </w:rPr>
      </w:pPr>
      <w:r>
        <w:rPr>
          <w:rFonts w:hint="eastAsia" w:hAnsi="宋体" w:cs="Calibri"/>
          <w:bCs/>
          <w:sz w:val="22"/>
          <w:szCs w:val="22"/>
        </w:rPr>
        <w:t>（3）在电子公告系统、聊天系统、电子邮箱、论坛等计算机网络系统上传递、转发、抄送、发布、谈论和传播商业秘密；</w:t>
      </w:r>
    </w:p>
    <w:p>
      <w:pPr>
        <w:pStyle w:val="19"/>
        <w:spacing w:line="276" w:lineRule="auto"/>
        <w:ind w:firstLine="420"/>
        <w:rPr>
          <w:rFonts w:hAnsi="宋体" w:cs="Calibri"/>
          <w:bCs/>
          <w:sz w:val="22"/>
          <w:szCs w:val="22"/>
        </w:rPr>
      </w:pPr>
      <w:r>
        <w:rPr>
          <w:rFonts w:hint="eastAsia" w:hAnsi="宋体" w:cs="Calibri"/>
          <w:bCs/>
          <w:sz w:val="22"/>
          <w:szCs w:val="22"/>
        </w:rPr>
        <w:t xml:space="preserve">（4）在私人交往和通信中，向亲属、朋友以及与工作无关人员泄露商业秘密，或在公共场所谈论商业秘密； </w:t>
      </w:r>
    </w:p>
    <w:p>
      <w:pPr>
        <w:pStyle w:val="19"/>
        <w:spacing w:line="276" w:lineRule="auto"/>
        <w:ind w:firstLine="420"/>
        <w:rPr>
          <w:rFonts w:hAnsi="宋体" w:cs="Calibri"/>
          <w:bCs/>
          <w:sz w:val="22"/>
          <w:szCs w:val="22"/>
        </w:rPr>
      </w:pPr>
      <w:r>
        <w:rPr>
          <w:rFonts w:hint="eastAsia" w:hAnsi="宋体" w:cs="Calibri"/>
          <w:bCs/>
          <w:sz w:val="22"/>
          <w:szCs w:val="22"/>
        </w:rPr>
        <w:t>（5）擅自将属于商业秘密的文件、资料和其他物品携带、传递、寄运出机场公司办公场所或国（境）外。</w:t>
      </w:r>
    </w:p>
    <w:p>
      <w:pPr>
        <w:pStyle w:val="19"/>
        <w:spacing w:line="276" w:lineRule="auto"/>
        <w:ind w:firstLine="420"/>
        <w:rPr>
          <w:rFonts w:hAnsi="宋体" w:cs="Calibri"/>
          <w:bCs/>
          <w:sz w:val="22"/>
          <w:szCs w:val="22"/>
        </w:rPr>
      </w:pPr>
      <w:r>
        <w:rPr>
          <w:rFonts w:hint="eastAsia" w:hAnsi="宋体" w:cs="Calibri"/>
          <w:bCs/>
          <w:sz w:val="22"/>
          <w:szCs w:val="22"/>
        </w:rPr>
        <w:t>（6）未经机场公司同意就以任何方式私自保存、截留含有机场公司商业秘密的任何形式资料、文件和物品的复印件、复制品、副本。</w:t>
      </w:r>
    </w:p>
    <w:p>
      <w:pPr>
        <w:pStyle w:val="19"/>
        <w:spacing w:line="276" w:lineRule="auto"/>
        <w:ind w:firstLine="420"/>
        <w:rPr>
          <w:rFonts w:hAnsi="宋体" w:cs="Calibri"/>
          <w:bCs/>
          <w:sz w:val="22"/>
          <w:szCs w:val="22"/>
        </w:rPr>
      </w:pPr>
      <w:r>
        <w:rPr>
          <w:rFonts w:hint="eastAsia" w:hAnsi="宋体" w:cs="Calibri"/>
          <w:bCs/>
          <w:sz w:val="22"/>
          <w:szCs w:val="22"/>
        </w:rPr>
        <w:t>（7）将含有机场公司商业秘密的产品、技术或其他资料、信息向第三人销售、使用或以任何方式提供。</w:t>
      </w:r>
    </w:p>
    <w:p>
      <w:pPr>
        <w:pStyle w:val="19"/>
        <w:spacing w:line="276" w:lineRule="auto"/>
        <w:ind w:firstLine="420"/>
        <w:rPr>
          <w:rFonts w:hAnsi="宋体" w:cs="Calibri"/>
          <w:bCs/>
          <w:sz w:val="22"/>
          <w:szCs w:val="22"/>
        </w:rPr>
      </w:pPr>
    </w:p>
    <w:p>
      <w:pPr>
        <w:pStyle w:val="19"/>
        <w:spacing w:line="276" w:lineRule="auto"/>
        <w:ind w:firstLine="420"/>
        <w:rPr>
          <w:rFonts w:hAnsi="宋体" w:cs="Calibri"/>
          <w:bCs/>
          <w:sz w:val="22"/>
          <w:szCs w:val="22"/>
        </w:rPr>
      </w:pPr>
      <w:r>
        <w:rPr>
          <w:rFonts w:hint="eastAsia" w:hAnsi="宋体" w:cs="Calibri"/>
          <w:bCs/>
          <w:sz w:val="22"/>
          <w:szCs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pStyle w:val="19"/>
        <w:spacing w:line="276" w:lineRule="auto"/>
        <w:ind w:firstLine="420"/>
        <w:rPr>
          <w:rFonts w:hAnsi="宋体" w:cs="Calibri"/>
          <w:bCs/>
          <w:sz w:val="22"/>
          <w:szCs w:val="22"/>
        </w:rPr>
      </w:pPr>
    </w:p>
    <w:p>
      <w:pPr>
        <w:pStyle w:val="19"/>
        <w:spacing w:line="276" w:lineRule="auto"/>
        <w:ind w:firstLine="420"/>
        <w:rPr>
          <w:rFonts w:hAnsi="宋体" w:cs="Calibri"/>
          <w:bCs/>
          <w:sz w:val="22"/>
          <w:szCs w:val="22"/>
        </w:rPr>
      </w:pPr>
      <w:r>
        <w:rPr>
          <w:rFonts w:hint="eastAsia" w:hAnsi="宋体" w:cs="Calibri"/>
          <w:bCs/>
          <w:sz w:val="22"/>
          <w:szCs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pStyle w:val="19"/>
        <w:spacing w:line="276" w:lineRule="auto"/>
        <w:ind w:firstLine="420"/>
        <w:rPr>
          <w:rFonts w:hAnsi="宋体" w:cs="Calibri"/>
          <w:bCs/>
          <w:sz w:val="22"/>
          <w:szCs w:val="22"/>
        </w:rPr>
      </w:pPr>
    </w:p>
    <w:p>
      <w:pPr>
        <w:pStyle w:val="19"/>
        <w:spacing w:line="276" w:lineRule="auto"/>
        <w:ind w:firstLine="420"/>
        <w:rPr>
          <w:rFonts w:hAnsi="宋体" w:cs="Calibri"/>
          <w:bCs/>
          <w:sz w:val="22"/>
          <w:szCs w:val="22"/>
        </w:rPr>
      </w:pPr>
      <w:r>
        <w:rPr>
          <w:rFonts w:hint="eastAsia" w:hAnsi="宋体" w:cs="Calibri"/>
          <w:bCs/>
          <w:sz w:val="22"/>
          <w:szCs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pStyle w:val="19"/>
        <w:spacing w:line="276" w:lineRule="auto"/>
        <w:ind w:firstLine="420"/>
        <w:rPr>
          <w:rFonts w:hAnsi="宋体" w:cs="Calibri"/>
          <w:bCs/>
          <w:sz w:val="22"/>
          <w:szCs w:val="22"/>
        </w:rPr>
      </w:pPr>
    </w:p>
    <w:p>
      <w:pPr>
        <w:pStyle w:val="19"/>
        <w:spacing w:line="276" w:lineRule="auto"/>
        <w:ind w:firstLine="420"/>
        <w:rPr>
          <w:rFonts w:hAnsi="宋体" w:cs="Calibri"/>
          <w:bCs/>
          <w:sz w:val="22"/>
          <w:szCs w:val="22"/>
        </w:rPr>
      </w:pPr>
      <w:r>
        <w:rPr>
          <w:rFonts w:hint="eastAsia" w:hAnsi="宋体" w:cs="Calibri"/>
          <w:bCs/>
          <w:sz w:val="22"/>
          <w:szCs w:val="22"/>
        </w:rPr>
        <w:t>8、违约责任</w:t>
      </w:r>
    </w:p>
    <w:p>
      <w:pPr>
        <w:pStyle w:val="19"/>
        <w:spacing w:line="276" w:lineRule="auto"/>
        <w:ind w:firstLine="420"/>
        <w:rPr>
          <w:rFonts w:hAnsi="宋体" w:cs="Calibri"/>
          <w:bCs/>
          <w:sz w:val="22"/>
          <w:szCs w:val="22"/>
        </w:rPr>
      </w:pPr>
      <w:r>
        <w:rPr>
          <w:rFonts w:hint="eastAsia" w:hAnsi="宋体" w:cs="Calibri"/>
          <w:bCs/>
          <w:sz w:val="22"/>
          <w:szCs w:val="22"/>
        </w:rPr>
        <w:t>8.1因我方违反保密义务的行为造成机场公司的一切损失，我方应当全部予以赔偿。</w:t>
      </w:r>
    </w:p>
    <w:p>
      <w:pPr>
        <w:pStyle w:val="19"/>
        <w:spacing w:line="276" w:lineRule="auto"/>
        <w:ind w:firstLine="420"/>
        <w:rPr>
          <w:rFonts w:hAnsi="宋体" w:cs="Calibri"/>
          <w:bCs/>
          <w:sz w:val="22"/>
          <w:szCs w:val="22"/>
        </w:rPr>
      </w:pPr>
      <w:r>
        <w:rPr>
          <w:rFonts w:hint="eastAsia" w:hAnsi="宋体" w:cs="Calibri"/>
          <w:bCs/>
          <w:sz w:val="22"/>
          <w:szCs w:val="22"/>
        </w:rPr>
        <w:t>8.2如我方违反本承诺书下保密义务，应当承担违约责任，除赔偿损失外，还应依据合同向机场公司支付相应的违约金；</w:t>
      </w:r>
    </w:p>
    <w:p>
      <w:pPr>
        <w:pStyle w:val="19"/>
        <w:spacing w:line="276" w:lineRule="auto"/>
        <w:ind w:firstLine="420"/>
        <w:rPr>
          <w:rFonts w:hAnsi="宋体" w:cs="Calibri"/>
          <w:bCs/>
          <w:sz w:val="22"/>
          <w:szCs w:val="22"/>
        </w:rPr>
      </w:pPr>
      <w:r>
        <w:rPr>
          <w:rFonts w:hint="eastAsia" w:hAnsi="宋体" w:cs="Calibri"/>
          <w:bCs/>
          <w:sz w:val="22"/>
          <w:szCs w:val="22"/>
        </w:rPr>
        <w:t>9、本承诺书适用中华人民共和国法律，如因履行本承诺书发生争议，则双方均有权向机场公司所在地法院提起诉讼。</w:t>
      </w:r>
    </w:p>
    <w:p>
      <w:pPr>
        <w:pStyle w:val="19"/>
        <w:spacing w:line="276" w:lineRule="auto"/>
        <w:ind w:firstLine="3960" w:firstLineChars="1800"/>
        <w:rPr>
          <w:rFonts w:hAnsi="宋体" w:cs="Calibri"/>
          <w:bCs/>
          <w:sz w:val="22"/>
          <w:szCs w:val="22"/>
        </w:rPr>
      </w:pPr>
      <w:r>
        <w:rPr>
          <w:rFonts w:hint="eastAsia" w:hAnsi="宋体" w:cs="Calibri"/>
          <w:bCs/>
          <w:sz w:val="22"/>
          <w:szCs w:val="22"/>
        </w:rPr>
        <w:t>供应商(盖章):</w:t>
      </w:r>
    </w:p>
    <w:p>
      <w:pPr>
        <w:pStyle w:val="19"/>
        <w:spacing w:line="276" w:lineRule="auto"/>
        <w:ind w:firstLine="3960" w:firstLineChars="1800"/>
        <w:rPr>
          <w:rFonts w:hAnsi="宋体" w:cs="Calibri"/>
          <w:bCs/>
          <w:sz w:val="22"/>
          <w:szCs w:val="22"/>
        </w:rPr>
      </w:pPr>
      <w:r>
        <w:rPr>
          <w:rFonts w:hint="eastAsia" w:hAnsi="宋体" w:cs="Calibri"/>
          <w:bCs/>
          <w:sz w:val="22"/>
          <w:szCs w:val="22"/>
        </w:rPr>
        <w:t>法定代表人或授权代表：</w:t>
      </w:r>
    </w:p>
    <w:p>
      <w:pPr>
        <w:pStyle w:val="19"/>
        <w:spacing w:line="276" w:lineRule="auto"/>
        <w:ind w:firstLine="3960" w:firstLineChars="1800"/>
        <w:rPr>
          <w:rFonts w:hAnsi="宋体" w:cs="Calibri"/>
          <w:bCs/>
          <w:sz w:val="22"/>
          <w:szCs w:val="22"/>
        </w:rPr>
      </w:pPr>
      <w:r>
        <w:rPr>
          <w:rFonts w:hint="eastAsia" w:hAnsi="宋体" w:cs="Calibri"/>
          <w:bCs/>
          <w:sz w:val="22"/>
          <w:szCs w:val="22"/>
        </w:rPr>
        <w:t>电话/传真：</w:t>
      </w:r>
    </w:p>
    <w:p>
      <w:pPr>
        <w:pStyle w:val="19"/>
        <w:spacing w:line="276" w:lineRule="auto"/>
        <w:ind w:firstLine="3960" w:firstLineChars="1800"/>
        <w:rPr>
          <w:rFonts w:hAnsi="宋体" w:cs="Calibri"/>
          <w:bCs/>
          <w:sz w:val="22"/>
          <w:szCs w:val="22"/>
        </w:rPr>
      </w:pPr>
      <w:r>
        <w:rPr>
          <w:rFonts w:hint="eastAsia" w:hAnsi="宋体" w:cs="Calibri"/>
          <w:bCs/>
          <w:sz w:val="22"/>
          <w:szCs w:val="22"/>
        </w:rPr>
        <w:t>地址：</w:t>
      </w:r>
    </w:p>
    <w:p>
      <w:pPr>
        <w:pStyle w:val="19"/>
        <w:spacing w:line="276" w:lineRule="auto"/>
        <w:ind w:firstLine="3960" w:firstLineChars="1800"/>
        <w:rPr>
          <w:rFonts w:hAnsi="宋体"/>
          <w:sz w:val="22"/>
        </w:rPr>
      </w:pPr>
      <w:r>
        <w:rPr>
          <w:rFonts w:hint="eastAsia" w:hAnsi="宋体" w:cs="Calibri"/>
          <w:bCs/>
          <w:sz w:val="22"/>
          <w:szCs w:val="22"/>
        </w:rPr>
        <w:t>日期：     年   月   日</w:t>
      </w:r>
    </w:p>
    <w:p>
      <w:pPr>
        <w:pStyle w:val="2"/>
        <w:spacing w:before="0" w:after="0"/>
        <w:jc w:val="center"/>
        <w:rPr>
          <w:rFonts w:ascii="Calibri" w:hAnsi="Calibri" w:eastAsia="黑体" w:cs="Calibri"/>
          <w:kern w:val="0"/>
          <w:sz w:val="32"/>
        </w:rPr>
      </w:pPr>
      <w:bookmarkStart w:id="57" w:name="_Toc9351393"/>
      <w:bookmarkStart w:id="58" w:name="_Toc321925456"/>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57"/>
      <w:bookmarkEnd w:id="58"/>
    </w:p>
    <w:p>
      <w:pPr>
        <w:pStyle w:val="19"/>
        <w:spacing w:line="360" w:lineRule="exact"/>
        <w:ind w:firstLine="420"/>
        <w:rPr>
          <w:rFonts w:hAnsi="宋体" w:cs="Calibri"/>
          <w:bCs/>
          <w:sz w:val="22"/>
          <w:szCs w:val="22"/>
        </w:rPr>
      </w:pPr>
      <w:bookmarkStart w:id="59" w:name="_Toc29892"/>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bookmarkEnd w:id="59"/>
    <w:p>
      <w:pPr>
        <w:pStyle w:val="19"/>
        <w:spacing w:line="360" w:lineRule="exact"/>
        <w:rPr>
          <w:rFonts w:hAnsi="宋体" w:cs="Calibri"/>
          <w:b/>
          <w:bCs/>
          <w:sz w:val="22"/>
          <w:szCs w:val="22"/>
        </w:rPr>
      </w:pPr>
      <w:r>
        <w:rPr>
          <w:rFonts w:hAnsi="宋体" w:cs="Calibri"/>
          <w:b/>
          <w:bCs/>
          <w:sz w:val="22"/>
          <w:szCs w:val="22"/>
        </w:rPr>
        <w:t>一、评标原则</w:t>
      </w:r>
    </w:p>
    <w:p>
      <w:pPr>
        <w:pStyle w:val="19"/>
        <w:spacing w:line="360" w:lineRule="exact"/>
        <w:ind w:firstLine="420"/>
        <w:rPr>
          <w:rFonts w:hAnsi="宋体" w:cs="Calibri"/>
          <w:sz w:val="22"/>
          <w:szCs w:val="22"/>
        </w:rPr>
      </w:pPr>
      <w:r>
        <w:rPr>
          <w:rFonts w:hint="eastAsia" w:hAnsi="宋体" w:cs="Calibri"/>
          <w:bCs/>
          <w:sz w:val="22"/>
          <w:szCs w:val="22"/>
        </w:rPr>
        <w:t>本次评标采用</w:t>
      </w:r>
      <w:r>
        <w:rPr>
          <w:rFonts w:hint="eastAsia" w:hAnsi="宋体" w:cs="Calibri"/>
          <w:b/>
          <w:bCs/>
          <w:sz w:val="22"/>
          <w:szCs w:val="22"/>
        </w:rPr>
        <w:t>经评审的最低投标价法</w:t>
      </w:r>
      <w:r>
        <w:rPr>
          <w:rFonts w:hint="eastAsia" w:hAnsi="宋体" w:cs="Calibri"/>
          <w:bCs/>
          <w:sz w:val="22"/>
          <w:szCs w:val="22"/>
        </w:rPr>
        <w:t>，</w:t>
      </w:r>
      <w:r>
        <w:rPr>
          <w:rFonts w:hAnsi="宋体" w:cs="Calibri"/>
          <w:bCs/>
          <w:sz w:val="22"/>
          <w:szCs w:val="22"/>
        </w:rPr>
        <w:t>评标应遵循公平、公正、科学、择优的原则。</w:t>
      </w:r>
    </w:p>
    <w:p>
      <w:pPr>
        <w:pStyle w:val="19"/>
        <w:spacing w:line="360" w:lineRule="exact"/>
        <w:rPr>
          <w:rFonts w:hAnsi="宋体" w:cs="Calibri"/>
          <w:b/>
          <w:bCs/>
          <w:sz w:val="22"/>
          <w:szCs w:val="22"/>
        </w:rPr>
      </w:pPr>
      <w:r>
        <w:rPr>
          <w:rFonts w:hAnsi="宋体" w:cs="Calibri"/>
          <w:b/>
          <w:bCs/>
          <w:sz w:val="22"/>
          <w:szCs w:val="22"/>
        </w:rPr>
        <w:t>二、评标组织</w:t>
      </w:r>
    </w:p>
    <w:p>
      <w:pPr>
        <w:pStyle w:val="19"/>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19"/>
        <w:spacing w:line="360" w:lineRule="exact"/>
        <w:rPr>
          <w:rFonts w:hAnsi="宋体" w:cs="Calibri"/>
          <w:b/>
          <w:bCs/>
          <w:sz w:val="22"/>
          <w:szCs w:val="22"/>
        </w:rPr>
      </w:pPr>
      <w:r>
        <w:rPr>
          <w:rFonts w:hAnsi="宋体" w:cs="Calibri"/>
          <w:b/>
          <w:bCs/>
          <w:sz w:val="22"/>
          <w:szCs w:val="22"/>
        </w:rPr>
        <w:t>三、投标文件的评审</w:t>
      </w:r>
    </w:p>
    <w:p>
      <w:pPr>
        <w:pStyle w:val="19"/>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0"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0"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0"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rPr>
      </w:pPr>
      <w:r>
        <w:rPr>
          <w:rFonts w:ascii="宋体" w:hAnsi="宋体" w:cs="Calibri"/>
          <w:sz w:val="22"/>
        </w:rPr>
        <w:t>5、</w:t>
      </w:r>
      <w:r>
        <w:rPr>
          <w:rFonts w:hint="eastAsia" w:ascii="宋体" w:hAnsi="宋体" w:cs="Calibri"/>
          <w:sz w:val="22"/>
        </w:rPr>
        <w:t>供货</w:t>
      </w:r>
      <w:r>
        <w:rPr>
          <w:rFonts w:ascii="宋体" w:hAnsi="宋体" w:cs="Calibri"/>
          <w:sz w:val="22"/>
        </w:rPr>
        <w:t>期不满足招标文件要求的；</w:t>
      </w:r>
    </w:p>
    <w:p>
      <w:pPr>
        <w:spacing w:line="360" w:lineRule="exact"/>
        <w:ind w:firstLine="470"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0"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0"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0"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19"/>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19"/>
        <w:numPr>
          <w:ilvl w:val="0"/>
          <w:numId w:val="2"/>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19"/>
        <w:numPr>
          <w:ilvl w:val="0"/>
          <w:numId w:val="2"/>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19"/>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p>
    <w:p>
      <w:pPr>
        <w:pStyle w:val="19"/>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19"/>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19"/>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19"/>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19"/>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pStyle w:val="19"/>
        <w:spacing w:line="360" w:lineRule="exact"/>
        <w:rPr>
          <w:rFonts w:hAnsi="宋体" w:cs="Calibri"/>
          <w:b/>
          <w:sz w:val="22"/>
          <w:szCs w:val="22"/>
        </w:rPr>
      </w:pPr>
      <w:r>
        <w:rPr>
          <w:rFonts w:hAnsi="宋体" w:cs="Calibri"/>
          <w:b/>
          <w:sz w:val="22"/>
          <w:szCs w:val="22"/>
        </w:rPr>
        <w:t>3.</w:t>
      </w:r>
      <w:r>
        <w:rPr>
          <w:rFonts w:hint="eastAsia" w:hAnsi="宋体" w:cs="Calibri"/>
          <w:b/>
          <w:sz w:val="22"/>
          <w:szCs w:val="22"/>
        </w:rPr>
        <w:t>3</w:t>
      </w:r>
      <w:r>
        <w:rPr>
          <w:rFonts w:hAnsi="宋体" w:cs="Calibri"/>
          <w:b/>
          <w:sz w:val="22"/>
          <w:szCs w:val="22"/>
        </w:rPr>
        <w:t>推荐中标候选人</w:t>
      </w:r>
    </w:p>
    <w:p>
      <w:pPr>
        <w:pStyle w:val="19"/>
        <w:adjustRightInd w:val="0"/>
        <w:snapToGrid w:val="0"/>
        <w:spacing w:line="360" w:lineRule="exact"/>
        <w:ind w:firstLine="440" w:firstLineChars="200"/>
        <w:rPr>
          <w:rFonts w:hAnsi="宋体" w:cs="Calibri"/>
          <w:sz w:val="22"/>
          <w:szCs w:val="22"/>
        </w:rPr>
      </w:pPr>
      <w:r>
        <w:rPr>
          <w:rFonts w:hint="eastAsia" w:hAnsi="宋体" w:cs="Calibri"/>
          <w:sz w:val="22"/>
          <w:szCs w:val="22"/>
        </w:rPr>
        <w:t>3.3.1评标委员会按照经评审的价格由低到高的顺序推荐中标候选人，本项目推荐2名中标候选人。</w:t>
      </w:r>
    </w:p>
    <w:p>
      <w:pPr>
        <w:pStyle w:val="19"/>
        <w:adjustRightInd w:val="0"/>
        <w:snapToGrid w:val="0"/>
        <w:spacing w:line="360" w:lineRule="exact"/>
        <w:ind w:firstLine="440" w:firstLineChars="200"/>
        <w:rPr>
          <w:rFonts w:hAnsi="宋体" w:cs="Calibri"/>
          <w:sz w:val="22"/>
          <w:szCs w:val="22"/>
        </w:rPr>
      </w:pPr>
      <w:r>
        <w:rPr>
          <w:rFonts w:hAnsi="宋体" w:cs="Calibri"/>
          <w:sz w:val="22"/>
          <w:szCs w:val="22"/>
        </w:rPr>
        <w:t>3.3.</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19"/>
        <w:spacing w:line="360" w:lineRule="exact"/>
        <w:rPr>
          <w:rFonts w:hAnsi="宋体" w:cs="Calibri"/>
          <w:b/>
          <w:sz w:val="22"/>
          <w:szCs w:val="22"/>
        </w:rPr>
      </w:pPr>
      <w:r>
        <w:rPr>
          <w:rFonts w:hAnsi="宋体" w:cs="Calibri"/>
          <w:b/>
          <w:sz w:val="22"/>
          <w:szCs w:val="22"/>
        </w:rPr>
        <w:t>3.</w:t>
      </w:r>
      <w:r>
        <w:rPr>
          <w:rFonts w:hint="eastAsia" w:hAnsi="宋体" w:cs="Calibri"/>
          <w:b/>
          <w:sz w:val="22"/>
          <w:szCs w:val="22"/>
        </w:rPr>
        <w:t>4</w:t>
      </w:r>
      <w:r>
        <w:rPr>
          <w:rFonts w:hAnsi="宋体" w:cs="Calibri"/>
          <w:b/>
          <w:sz w:val="22"/>
          <w:szCs w:val="22"/>
        </w:rPr>
        <w:t>评标报告</w:t>
      </w:r>
    </w:p>
    <w:p>
      <w:pPr>
        <w:pStyle w:val="19"/>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19"/>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19"/>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19"/>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19"/>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19"/>
        <w:adjustRightInd w:val="0"/>
        <w:snapToGrid w:val="0"/>
        <w:spacing w:line="360" w:lineRule="exact"/>
        <w:ind w:firstLine="442" w:firstLineChars="200"/>
        <w:rPr>
          <w:rFonts w:hAnsi="宋体" w:cs="Calibri"/>
          <w:sz w:val="22"/>
          <w:szCs w:val="22"/>
        </w:rPr>
      </w:pPr>
      <w:r>
        <w:rPr>
          <w:rFonts w:hint="eastAsia" w:hAnsi="宋体" w:cs="Calibri"/>
          <w:b/>
          <w:sz w:val="22"/>
          <w:szCs w:val="22"/>
        </w:rPr>
        <w:t>4.4</w:t>
      </w:r>
      <w:r>
        <w:rPr>
          <w:rFonts w:hint="eastAsia" w:hAnsi="宋体" w:cs="Calibri"/>
          <w:b/>
          <w:color w:val="000000"/>
          <w:sz w:val="22"/>
        </w:rPr>
        <w:t>招标人对评标、定标结果不负责解释。</w:t>
      </w:r>
    </w:p>
    <w:p>
      <w:pPr>
        <w:pStyle w:val="2"/>
        <w:spacing w:before="0" w:after="0"/>
        <w:jc w:val="center"/>
        <w:rPr>
          <w:rFonts w:ascii="Cambria" w:hAnsi="Cambria" w:eastAsia="黑体"/>
          <w:b w:val="0"/>
          <w:bCs w:val="0"/>
          <w:kern w:val="0"/>
          <w:sz w:val="32"/>
          <w:szCs w:val="32"/>
        </w:rPr>
      </w:pPr>
      <w:r>
        <w:br w:type="page"/>
      </w:r>
      <w:bookmarkStart w:id="60" w:name="_Toc9351394"/>
      <w:r>
        <w:rPr>
          <w:rFonts w:ascii="Calibri" w:hAnsi="Calibri" w:eastAsia="黑体" w:cs="Calibri"/>
          <w:kern w:val="0"/>
          <w:sz w:val="32"/>
        </w:rPr>
        <w:t>第</w:t>
      </w:r>
      <w:r>
        <w:rPr>
          <w:rFonts w:hint="eastAsia" w:ascii="Calibri" w:hAnsi="Calibri" w:eastAsia="黑体" w:cs="Calibri"/>
          <w:kern w:val="0"/>
          <w:sz w:val="32"/>
        </w:rPr>
        <w:t>六</w:t>
      </w:r>
      <w:r>
        <w:rPr>
          <w:rFonts w:ascii="Calibri" w:hAnsi="Calibri" w:eastAsia="黑体" w:cs="Calibri"/>
          <w:kern w:val="0"/>
          <w:sz w:val="32"/>
        </w:rPr>
        <w:t>章  投标文件格式</w:t>
      </w:r>
      <w:bookmarkEnd w:id="60"/>
    </w:p>
    <w:p>
      <w:pPr>
        <w:spacing w:line="440" w:lineRule="exact"/>
        <w:rPr>
          <w:rFonts w:cs="Calibri"/>
          <w:sz w:val="24"/>
        </w:rPr>
      </w:pPr>
    </w:p>
    <w:p>
      <w:pPr>
        <w:spacing w:line="440" w:lineRule="exact"/>
        <w:jc w:val="center"/>
        <w:rPr>
          <w:rFonts w:cs="Calibri"/>
          <w:b/>
          <w:sz w:val="28"/>
          <w:szCs w:val="28"/>
        </w:rPr>
      </w:pPr>
      <w:r>
        <w:rPr>
          <w:rFonts w:cs="Calibri"/>
          <w:b/>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ascii="等线" w:hAnsi="等线" w:cs="Calibri"/>
          <w:color w:val="000000"/>
          <w:sz w:val="22"/>
        </w:rPr>
      </w:pPr>
      <w:r>
        <w:rPr>
          <w:rFonts w:hint="eastAsia" w:ascii="等线" w:hAnsi="等线" w:cs="Calibri"/>
          <w:color w:val="000000"/>
          <w:sz w:val="22"/>
        </w:rPr>
        <w:t>二、</w:t>
      </w:r>
      <w:r>
        <w:rPr>
          <w:rFonts w:ascii="等线" w:hAnsi="等线" w:cs="Calibri"/>
          <w:color w:val="000000"/>
          <w:sz w:val="22"/>
        </w:rPr>
        <w:t>法定代表人资格证明书；</w:t>
      </w:r>
    </w:p>
    <w:p>
      <w:pPr>
        <w:adjustRightInd w:val="0"/>
        <w:snapToGrid w:val="0"/>
        <w:spacing w:line="400" w:lineRule="exact"/>
        <w:ind w:firstLine="440" w:firstLineChars="200"/>
        <w:rPr>
          <w:rFonts w:ascii="等线" w:hAnsi="等线" w:cs="Calibri"/>
          <w:color w:val="000000"/>
          <w:sz w:val="22"/>
        </w:rPr>
      </w:pPr>
      <w:r>
        <w:rPr>
          <w:rFonts w:hint="eastAsia" w:ascii="等线" w:hAnsi="等线" w:cs="Calibri"/>
          <w:color w:val="000000"/>
          <w:sz w:val="22"/>
        </w:rPr>
        <w:t>三、</w:t>
      </w:r>
      <w:r>
        <w:rPr>
          <w:rFonts w:ascii="等线" w:hAnsi="等线" w:cs="Calibri"/>
          <w:color w:val="000000"/>
          <w:sz w:val="22"/>
        </w:rPr>
        <w:t>授权委托书；</w:t>
      </w:r>
    </w:p>
    <w:p>
      <w:pPr>
        <w:adjustRightInd w:val="0"/>
        <w:snapToGrid w:val="0"/>
        <w:spacing w:line="400" w:lineRule="exact"/>
        <w:ind w:firstLine="440" w:firstLineChars="200"/>
        <w:rPr>
          <w:rFonts w:ascii="等线" w:hAnsi="等线" w:cs="Calibri"/>
          <w:color w:val="000000"/>
          <w:sz w:val="22"/>
        </w:rPr>
      </w:pPr>
      <w:r>
        <w:rPr>
          <w:rFonts w:hint="eastAsia" w:ascii="等线" w:hAnsi="等线" w:cs="Calibri"/>
          <w:color w:val="000000"/>
          <w:sz w:val="22"/>
        </w:rPr>
        <w:t>四、</w:t>
      </w:r>
      <w:r>
        <w:rPr>
          <w:rFonts w:ascii="等线" w:hAnsi="等线" w:cs="Calibri"/>
          <w:color w:val="000000"/>
          <w:sz w:val="22"/>
        </w:rPr>
        <w:t>投标报价表；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五、</w:t>
      </w:r>
      <w:r>
        <w:rPr>
          <w:rFonts w:ascii="宋体" w:hAnsi="宋体" w:cs="Calibri"/>
          <w:sz w:val="22"/>
        </w:rPr>
        <w:t>投标人资格证明文件：</w:t>
      </w:r>
    </w:p>
    <w:p>
      <w:pPr>
        <w:adjustRightInd w:val="0"/>
        <w:snapToGrid w:val="0"/>
        <w:spacing w:line="400" w:lineRule="exact"/>
        <w:ind w:firstLine="440" w:firstLineChars="200"/>
        <w:rPr>
          <w:rFonts w:ascii="宋体" w:hAnsi="宋体" w:cs="Calibri"/>
          <w:sz w:val="22"/>
        </w:rPr>
      </w:pPr>
      <w:r>
        <w:rPr>
          <w:rFonts w:ascii="宋体" w:hAnsi="宋体" w:cs="Calibri"/>
          <w:sz w:val="22"/>
        </w:rPr>
        <w:t>（1）</w:t>
      </w:r>
      <w:r>
        <w:rPr>
          <w:rFonts w:ascii="等线" w:hAnsi="等线" w:cs="Calibri"/>
          <w:color w:val="000000"/>
          <w:sz w:val="22"/>
        </w:rPr>
        <w:t>投标人一般情况</w:t>
      </w:r>
      <w:r>
        <w:rPr>
          <w:rFonts w:hint="eastAsia" w:ascii="等线" w:hAnsi="等线" w:cs="Calibri"/>
          <w:color w:val="000000"/>
          <w:sz w:val="22"/>
        </w:rPr>
        <w:t>及</w:t>
      </w:r>
      <w:r>
        <w:rPr>
          <w:rFonts w:ascii="等线" w:hAnsi="等线" w:cs="Calibri"/>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（2）投标产品近三年的销售业绩一览表（附业绩的合同）。</w:t>
      </w:r>
    </w:p>
    <w:p>
      <w:pPr>
        <w:adjustRightInd w:val="0"/>
        <w:snapToGrid w:val="0"/>
        <w:spacing w:line="400" w:lineRule="exact"/>
        <w:ind w:firstLine="440" w:firstLineChars="200"/>
        <w:rPr>
          <w:rFonts w:ascii="宋体" w:hAnsi="宋体" w:cs="宋体"/>
          <w:sz w:val="22"/>
        </w:rPr>
      </w:pPr>
      <w:r>
        <w:rPr>
          <w:rFonts w:hint="eastAsia" w:ascii="宋体" w:hAnsi="宋体" w:cs="Calibri"/>
          <w:sz w:val="22"/>
        </w:rPr>
        <w:t>六、</w:t>
      </w:r>
      <w:r>
        <w:rPr>
          <w:rFonts w:hint="eastAsia" w:ascii="宋体" w:hAnsi="宋体" w:cs="宋体"/>
          <w:sz w:val="22"/>
        </w:rPr>
        <w:t>技术规格偏离表；</w:t>
      </w:r>
    </w:p>
    <w:p>
      <w:pPr>
        <w:adjustRightInd w:val="0"/>
        <w:snapToGrid w:val="0"/>
        <w:spacing w:line="400" w:lineRule="exact"/>
        <w:ind w:firstLine="440" w:firstLineChars="200"/>
        <w:rPr>
          <w:rFonts w:ascii="宋体" w:hAnsi="宋体" w:cs="Calibri"/>
          <w:sz w:val="22"/>
        </w:rPr>
      </w:pPr>
      <w:r>
        <w:rPr>
          <w:rFonts w:hint="eastAsia" w:ascii="宋体" w:hAnsi="宋体" w:cs="宋体"/>
          <w:sz w:val="22"/>
        </w:rPr>
        <w:t>七、商务条款响应偏离表；</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九、技术参数、结构及性能特点等产品技术规格书；</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十、主要原材料及部件性能和生产厂家；</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十一、产品制造、安装、验收标准和验收方法；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十二、现场指导、调试；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十三、</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十四、提供详细的培训计划，包括培训内容、培训时间、培训人数等；</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十五、关于质量保证期的说明；</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十七、</w:t>
      </w:r>
      <w:r>
        <w:rPr>
          <w:rFonts w:hint="eastAsia" w:ascii="等线" w:hAnsi="等线" w:cs="Arial"/>
          <w:color w:val="000000"/>
          <w:sz w:val="22"/>
        </w:rPr>
        <w:t>投标人认为</w:t>
      </w:r>
      <w:r>
        <w:rPr>
          <w:rFonts w:ascii="等线" w:hAnsi="等线" w:cs="Arial"/>
          <w:color w:val="000000"/>
          <w:sz w:val="22"/>
        </w:rPr>
        <w:t>应该提供的其他材料</w:t>
      </w:r>
      <w:r>
        <w:rPr>
          <w:rFonts w:hint="eastAsia" w:ascii="宋体" w:hAnsi="宋体" w:cs="宋体"/>
          <w:sz w:val="22"/>
        </w:rPr>
        <w:t>。</w:t>
      </w:r>
    </w:p>
    <w:p>
      <w:pPr>
        <w:adjustRightInd w:val="0"/>
        <w:snapToGrid w:val="0"/>
        <w:spacing w:line="400" w:lineRule="exact"/>
        <w:ind w:firstLine="440" w:firstLineChars="200"/>
        <w:rPr>
          <w:rFonts w:ascii="宋体" w:hAnsi="宋体" w:cs="Calibri"/>
          <w:color w:val="000000"/>
          <w:sz w:val="22"/>
        </w:rPr>
      </w:pPr>
    </w:p>
    <w:p>
      <w:pPr>
        <w:rPr>
          <w:rFonts w:ascii="宋体" w:hAnsi="宋体" w:cs="Calibri"/>
          <w:sz w:val="22"/>
        </w:rPr>
      </w:pPr>
    </w:p>
    <w:p>
      <w:pPr>
        <w:spacing w:line="440" w:lineRule="exact"/>
        <w:rPr>
          <w:rFonts w:ascii="宋体" w:hAnsi="宋体" w:cs="Calibri"/>
          <w:color w:val="000000"/>
          <w:sz w:val="22"/>
        </w:rPr>
      </w:pPr>
    </w:p>
    <w:p>
      <w:pPr>
        <w:widowControl/>
        <w:jc w:val="left"/>
        <w:rPr>
          <w:rFonts w:cs="Calibri"/>
        </w:rPr>
      </w:pPr>
      <w:r>
        <w:rPr>
          <w:rFonts w:hint="eastAsia" w:ascii="宋体" w:hAnsi="宋体" w:cs="Calibri"/>
          <w:color w:val="000000"/>
          <w:sz w:val="22"/>
        </w:rPr>
        <w:t>注：未提供格式的由投标人自行拟定格式。</w:t>
      </w:r>
      <w:r>
        <w:rPr>
          <w:rFonts w:cs="Calibri"/>
        </w:rPr>
        <w:br w:type="page"/>
      </w:r>
      <w:r>
        <w:rPr>
          <w:rFonts w:cs="Calibri"/>
        </w:rPr>
        <w:t>正本（或副本）</w:t>
      </w:r>
    </w:p>
    <w:p>
      <w:pPr>
        <w:spacing w:line="440" w:lineRule="exact"/>
        <w:rPr>
          <w:rFonts w:cs="Calibri"/>
          <w:sz w:val="24"/>
          <w:u w:val="single"/>
        </w:rPr>
      </w:pPr>
      <w:bookmarkStart w:id="61" w:name="_Toc171421958"/>
      <w:r>
        <w:rPr>
          <w:rFonts w:cs="Calibri"/>
        </w:rPr>
        <w:t>封面</w:t>
      </w:r>
      <w:bookmarkEnd w:id="61"/>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eastAsia="黑体" w:cs="Calibri"/>
          <w:b/>
          <w:sz w:val="44"/>
          <w:szCs w:val="44"/>
        </w:rPr>
        <w:t>项目</w:t>
      </w:r>
    </w:p>
    <w:p>
      <w:pPr>
        <w:spacing w:line="440" w:lineRule="exact"/>
        <w:rPr>
          <w:rFonts w:cs="Calibri"/>
          <w:sz w:val="36"/>
          <w:szCs w:val="36"/>
        </w:rPr>
      </w:pPr>
    </w:p>
    <w:p>
      <w:pPr>
        <w:spacing w:line="440" w:lineRule="exact"/>
        <w:ind w:firstLine="480" w:firstLineChars="200"/>
        <w:jc w:val="center"/>
        <w:rPr>
          <w:rFonts w:cs="Calibri"/>
          <w:sz w:val="24"/>
        </w:rPr>
      </w:pPr>
    </w:p>
    <w:p>
      <w:pPr>
        <w:spacing w:line="440" w:lineRule="exact"/>
        <w:jc w:val="center"/>
        <w:rPr>
          <w:rFonts w:cs="Calibri"/>
          <w:sz w:val="44"/>
          <w:szCs w:val="44"/>
        </w:rPr>
      </w:pPr>
    </w:p>
    <w:p>
      <w:pPr>
        <w:spacing w:before="480" w:beforeLines="200" w:after="480" w:afterLines="200" w:line="440" w:lineRule="exact"/>
        <w:jc w:val="center"/>
        <w:rPr>
          <w:rFonts w:cs="Calibri"/>
          <w:b/>
          <w:bCs/>
          <w:sz w:val="84"/>
          <w:szCs w:val="84"/>
        </w:rPr>
      </w:pPr>
      <w:r>
        <w:rPr>
          <w:rFonts w:cs="Calibri"/>
          <w:b/>
          <w:bCs/>
          <w:sz w:val="84"/>
          <w:szCs w:val="84"/>
        </w:rPr>
        <w:t>投标文件</w:t>
      </w:r>
    </w:p>
    <w:p>
      <w:pPr>
        <w:spacing w:line="440" w:lineRule="exact"/>
        <w:ind w:firstLine="480" w:firstLineChars="200"/>
        <w:jc w:val="center"/>
        <w:rPr>
          <w:rFonts w:cs="Calibri"/>
          <w:sz w:val="24"/>
        </w:rPr>
      </w:pPr>
    </w:p>
    <w:p>
      <w:pPr>
        <w:spacing w:line="440" w:lineRule="exact"/>
        <w:ind w:firstLine="480" w:firstLineChars="200"/>
        <w:rPr>
          <w:rFonts w:cs="Calibri"/>
          <w:sz w:val="24"/>
        </w:rPr>
      </w:pPr>
      <w:r>
        <w:rPr>
          <w:rFonts w:cs="Calibri"/>
          <w:sz w:val="24"/>
        </w:rPr>
        <w:t xml:space="preserve">                  </w:t>
      </w: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360" w:lineRule="auto"/>
        <w:ind w:firstLine="1400" w:firstLineChars="500"/>
        <w:rPr>
          <w:rFonts w:cs="Calibri"/>
          <w:sz w:val="28"/>
          <w:szCs w:val="28"/>
          <w:u w:val="single"/>
        </w:rPr>
      </w:pPr>
      <w:r>
        <w:rPr>
          <w:rFonts w:cs="Calibri"/>
          <w:sz w:val="28"/>
          <w:szCs w:val="28"/>
        </w:rPr>
        <w:t>投标人：</w:t>
      </w:r>
      <w:r>
        <w:rPr>
          <w:rFonts w:cs="Calibri"/>
          <w:sz w:val="28"/>
          <w:szCs w:val="28"/>
          <w:u w:val="single"/>
        </w:rPr>
        <w:t xml:space="preserve">                （盖单位章）           </w:t>
      </w:r>
    </w:p>
    <w:p>
      <w:pPr>
        <w:spacing w:line="360" w:lineRule="auto"/>
        <w:ind w:firstLine="1400" w:firstLineChars="500"/>
        <w:rPr>
          <w:rFonts w:cs="Calibri"/>
          <w:sz w:val="28"/>
          <w:szCs w:val="28"/>
        </w:rPr>
      </w:pPr>
      <w:r>
        <w:rPr>
          <w:rFonts w:cs="Calibri"/>
          <w:sz w:val="28"/>
          <w:szCs w:val="28"/>
        </w:rPr>
        <w:t>法定代表人或其委托代理人：</w:t>
      </w:r>
      <w:r>
        <w:rPr>
          <w:rFonts w:cs="Calibri"/>
          <w:sz w:val="28"/>
          <w:szCs w:val="28"/>
          <w:u w:val="single"/>
        </w:rPr>
        <w:t xml:space="preserve">   （签字或盖章）   </w:t>
      </w:r>
    </w:p>
    <w:p>
      <w:pPr>
        <w:spacing w:line="360" w:lineRule="auto"/>
        <w:ind w:firstLine="1400" w:firstLineChars="500"/>
        <w:rPr>
          <w:rFonts w:cs="Calibri"/>
          <w:sz w:val="28"/>
          <w:szCs w:val="28"/>
        </w:rPr>
      </w:pPr>
      <w:r>
        <w:rPr>
          <w:rFonts w:cs="Calibri"/>
          <w:sz w:val="28"/>
          <w:szCs w:val="28"/>
        </w:rPr>
        <w:t>日  期：</w:t>
      </w:r>
      <w:r>
        <w:rPr>
          <w:rFonts w:cs="Calibri"/>
          <w:sz w:val="28"/>
          <w:szCs w:val="28"/>
          <w:u w:val="single"/>
        </w:rPr>
        <w:t xml:space="preserve">        </w:t>
      </w:r>
      <w:r>
        <w:rPr>
          <w:rFonts w:cs="Calibri"/>
          <w:sz w:val="28"/>
          <w:szCs w:val="28"/>
        </w:rPr>
        <w:t>年</w:t>
      </w:r>
      <w:r>
        <w:rPr>
          <w:rFonts w:cs="Calibri"/>
          <w:sz w:val="28"/>
          <w:szCs w:val="28"/>
          <w:u w:val="single"/>
        </w:rPr>
        <w:t xml:space="preserve">         </w:t>
      </w:r>
      <w:r>
        <w:rPr>
          <w:rFonts w:cs="Calibri"/>
          <w:sz w:val="28"/>
          <w:szCs w:val="28"/>
        </w:rPr>
        <w:t>月</w:t>
      </w:r>
      <w:r>
        <w:rPr>
          <w:rFonts w:cs="Calibri"/>
          <w:sz w:val="28"/>
          <w:szCs w:val="28"/>
          <w:u w:val="single"/>
        </w:rPr>
        <w:t xml:space="preserve">        </w:t>
      </w:r>
      <w:r>
        <w:rPr>
          <w:rFonts w:cs="Calibri"/>
          <w:sz w:val="28"/>
          <w:szCs w:val="28"/>
        </w:rPr>
        <w:t>日</w:t>
      </w:r>
    </w:p>
    <w:p>
      <w:pPr>
        <w:spacing w:line="360" w:lineRule="auto"/>
        <w:ind w:firstLine="1400" w:firstLineChars="500"/>
        <w:rPr>
          <w:rFonts w:cs="Calibri"/>
          <w:sz w:val="28"/>
          <w:szCs w:val="28"/>
        </w:rPr>
      </w:pPr>
    </w:p>
    <w:p>
      <w:pPr>
        <w:spacing w:line="360" w:lineRule="auto"/>
        <w:jc w:val="center"/>
        <w:rPr>
          <w:rFonts w:eastAsia="黑体" w:cs="Calibri"/>
          <w:bCs/>
          <w:sz w:val="32"/>
          <w:szCs w:val="32"/>
        </w:rPr>
      </w:pPr>
      <w:r>
        <w:rPr>
          <w:rFonts w:cs="Calibri"/>
          <w:sz w:val="24"/>
        </w:rPr>
        <w:br w:type="page"/>
      </w:r>
      <w:r>
        <w:rPr>
          <w:rFonts w:eastAsia="黑体" w:cs="Calibri"/>
          <w:bCs/>
          <w:sz w:val="32"/>
          <w:szCs w:val="32"/>
        </w:rPr>
        <w:t>一、投 标 函</w:t>
      </w:r>
    </w:p>
    <w:p>
      <w:pPr>
        <w:spacing w:line="440" w:lineRule="exact"/>
        <w:jc w:val="center"/>
        <w:rPr>
          <w:rFonts w:cs="Calibri"/>
          <w:b/>
          <w:bCs/>
          <w:sz w:val="28"/>
          <w:szCs w:val="28"/>
        </w:rPr>
      </w:pPr>
    </w:p>
    <w:p>
      <w:pPr>
        <w:spacing w:line="440" w:lineRule="exact"/>
        <w:rPr>
          <w:rFonts w:ascii="宋体" w:hAnsi="宋体"/>
          <w:sz w:val="22"/>
        </w:rPr>
      </w:pPr>
      <w:r>
        <w:rPr>
          <w:rFonts w:ascii="宋体" w:hAnsi="宋体"/>
          <w:sz w:val="22"/>
        </w:rPr>
        <w:t>致：</w:t>
      </w:r>
      <w:r>
        <w:rPr>
          <w:rFonts w:hint="eastAsia" w:ascii="宋体" w:hAnsi="宋体"/>
          <w:sz w:val="22"/>
        </w:rPr>
        <w:t>杭州萧山国际机场</w:t>
      </w:r>
      <w:r>
        <w:rPr>
          <w:rFonts w:ascii="宋体" w:hAnsi="宋体"/>
          <w:sz w:val="22"/>
        </w:rPr>
        <w:t>有限公司</w:t>
      </w:r>
    </w:p>
    <w:p>
      <w:pPr>
        <w:overflowPunct w:val="0"/>
        <w:autoSpaceDE w:val="0"/>
        <w:autoSpaceDN w:val="0"/>
        <w:spacing w:line="440" w:lineRule="exact"/>
        <w:ind w:firstLine="440" w:firstLineChars="200"/>
        <w:rPr>
          <w:rFonts w:ascii="宋体" w:hAnsi="宋体"/>
          <w:sz w:val="22"/>
        </w:rPr>
      </w:pPr>
      <w:r>
        <w:rPr>
          <w:rFonts w:ascii="宋体" w:hAnsi="宋体"/>
          <w:sz w:val="22"/>
        </w:rPr>
        <w:t>根据贵方杭州萧山国际机场</w:t>
      </w:r>
      <w:r>
        <w:rPr>
          <w:rFonts w:hint="eastAsia" w:ascii="宋体" w:hAnsi="宋体"/>
          <w:sz w:val="22"/>
          <w:u w:val="single"/>
        </w:rPr>
        <w:t xml:space="preserve">             </w:t>
      </w:r>
      <w:r>
        <w:rPr>
          <w:rFonts w:ascii="宋体" w:hAnsi="宋体"/>
          <w:sz w:val="22"/>
        </w:rPr>
        <w:t>采购项</w:t>
      </w:r>
      <w:r>
        <w:rPr>
          <w:rFonts w:hint="eastAsia" w:ascii="宋体" w:hAnsi="宋体"/>
          <w:sz w:val="22"/>
        </w:rPr>
        <w:t>目</w:t>
      </w:r>
      <w:r>
        <w:rPr>
          <w:rFonts w:ascii="宋体" w:hAnsi="宋体"/>
          <w:sz w:val="22"/>
        </w:rPr>
        <w:t>的</w:t>
      </w:r>
      <w:r>
        <w:rPr>
          <w:rFonts w:hint="eastAsia" w:ascii="宋体" w:hAnsi="宋体"/>
          <w:sz w:val="22"/>
        </w:rPr>
        <w:t>招标文件</w:t>
      </w:r>
      <w:r>
        <w:rPr>
          <w:rFonts w:ascii="宋体" w:hAnsi="宋体"/>
          <w:sz w:val="22"/>
        </w:rPr>
        <w:t>，授权代表</w:t>
      </w:r>
      <w:r>
        <w:rPr>
          <w:rFonts w:ascii="宋体" w:hAnsi="宋体" w:cs="Arial"/>
          <w:sz w:val="22"/>
          <w:u w:val="single"/>
        </w:rPr>
        <w:t xml:space="preserve">        </w:t>
      </w:r>
      <w:r>
        <w:rPr>
          <w:rFonts w:ascii="宋体" w:hAnsi="宋体"/>
          <w:sz w:val="22"/>
        </w:rPr>
        <w:t>(全名、职务)经正式授权</w:t>
      </w:r>
      <w:r>
        <w:rPr>
          <w:rFonts w:hint="eastAsia" w:ascii="宋体" w:hAnsi="宋体"/>
          <w:sz w:val="22"/>
        </w:rPr>
        <w:t>，</w:t>
      </w:r>
      <w:r>
        <w:rPr>
          <w:rFonts w:ascii="宋体" w:hAnsi="宋体"/>
          <w:sz w:val="22"/>
        </w:rPr>
        <w:t>代表投标人</w:t>
      </w:r>
      <w:r>
        <w:rPr>
          <w:rFonts w:ascii="宋体" w:hAnsi="宋体" w:cs="Arial"/>
          <w:sz w:val="22"/>
          <w:u w:val="single"/>
        </w:rPr>
        <w:t xml:space="preserve">                    </w:t>
      </w:r>
      <w:r>
        <w:rPr>
          <w:rFonts w:ascii="宋体" w:hAnsi="宋体"/>
          <w:sz w:val="22"/>
        </w:rPr>
        <w:t>(投标人名称、地址)递交下述文件正本一份</w:t>
      </w:r>
      <w:r>
        <w:rPr>
          <w:rFonts w:hint="eastAsia" w:ascii="宋体" w:hAnsi="宋体"/>
          <w:sz w:val="22"/>
        </w:rPr>
        <w:t>、</w:t>
      </w:r>
      <w:r>
        <w:rPr>
          <w:rFonts w:ascii="宋体" w:hAnsi="宋体"/>
          <w:sz w:val="22"/>
        </w:rPr>
        <w:t>副本</w:t>
      </w:r>
      <w:r>
        <w:rPr>
          <w:rFonts w:hint="eastAsia" w:ascii="宋体" w:hAnsi="宋体"/>
          <w:sz w:val="22"/>
        </w:rPr>
        <w:t>二</w:t>
      </w:r>
      <w:r>
        <w:rPr>
          <w:rFonts w:ascii="宋体" w:hAnsi="宋体"/>
          <w:sz w:val="22"/>
        </w:rPr>
        <w:t>份。</w:t>
      </w:r>
    </w:p>
    <w:p>
      <w:pPr>
        <w:overflowPunct w:val="0"/>
        <w:autoSpaceDE w:val="0"/>
        <w:autoSpaceDN w:val="0"/>
        <w:spacing w:line="440" w:lineRule="exact"/>
        <w:ind w:firstLine="440" w:firstLineChars="200"/>
        <w:rPr>
          <w:rFonts w:ascii="宋体" w:hAnsi="宋体" w:cs="Arial"/>
          <w:sz w:val="22"/>
        </w:rPr>
      </w:pPr>
      <w:r>
        <w:rPr>
          <w:rFonts w:ascii="宋体" w:hAnsi="宋体" w:cs="Arial"/>
          <w:sz w:val="22"/>
        </w:rPr>
        <w:t>据此函，本授权代表宣布同意如下：</w:t>
      </w:r>
    </w:p>
    <w:p>
      <w:pPr>
        <w:numPr>
          <w:ilvl w:val="0"/>
          <w:numId w:val="3"/>
        </w:numPr>
        <w:tabs>
          <w:tab w:val="left" w:pos="840"/>
        </w:tabs>
        <w:overflowPunct w:val="0"/>
        <w:autoSpaceDE w:val="0"/>
        <w:autoSpaceDN w:val="0"/>
        <w:spacing w:line="440" w:lineRule="exact"/>
        <w:rPr>
          <w:rFonts w:ascii="宋体" w:hAnsi="宋体"/>
          <w:sz w:val="22"/>
        </w:rPr>
      </w:pPr>
      <w:r>
        <w:rPr>
          <w:rFonts w:ascii="宋体" w:hAnsi="宋体"/>
          <w:sz w:val="22"/>
        </w:rPr>
        <w:t>所投标报价汇总表中规定的应提供的货物和服务，投标总价为人民币：</w:t>
      </w:r>
    </w:p>
    <w:p>
      <w:pPr>
        <w:overflowPunct w:val="0"/>
        <w:autoSpaceDE w:val="0"/>
        <w:autoSpaceDN w:val="0"/>
        <w:spacing w:line="440" w:lineRule="exact"/>
        <w:ind w:left="416" w:leftChars="198" w:firstLine="440" w:firstLineChars="200"/>
        <w:rPr>
          <w:rFonts w:ascii="宋体" w:hAnsi="宋体"/>
          <w:sz w:val="22"/>
        </w:rPr>
      </w:pPr>
      <w:r>
        <w:rPr>
          <w:rFonts w:ascii="宋体" w:hAnsi="宋体"/>
          <w:sz w:val="22"/>
        </w:rPr>
        <w:t>(大写)</w:t>
      </w:r>
      <w:r>
        <w:rPr>
          <w:rFonts w:hint="eastAsia" w:ascii="宋体" w:hAnsi="宋体"/>
          <w:sz w:val="22"/>
          <w:u w:val="single"/>
        </w:rPr>
        <w:t xml:space="preserve">                   </w:t>
      </w:r>
      <w:r>
        <w:rPr>
          <w:rFonts w:ascii="宋体" w:hAnsi="宋体"/>
          <w:sz w:val="22"/>
        </w:rPr>
        <w:t>(小写)</w:t>
      </w:r>
      <w:r>
        <w:rPr>
          <w:rFonts w:ascii="宋体" w:hAnsi="宋体"/>
          <w:sz w:val="22"/>
          <w:u w:val="single"/>
        </w:rPr>
        <w:t xml:space="preserve">             </w:t>
      </w:r>
      <w:r>
        <w:rPr>
          <w:rFonts w:ascii="宋体" w:hAnsi="宋体"/>
          <w:sz w:val="22"/>
        </w:rPr>
        <w:t>。</w:t>
      </w:r>
    </w:p>
    <w:p>
      <w:pPr>
        <w:overflowPunct w:val="0"/>
        <w:autoSpaceDE w:val="0"/>
        <w:autoSpaceDN w:val="0"/>
        <w:spacing w:line="440" w:lineRule="exact"/>
        <w:ind w:left="416" w:leftChars="198" w:firstLine="440" w:firstLineChars="200"/>
        <w:rPr>
          <w:rFonts w:ascii="宋体" w:hAnsi="宋体"/>
          <w:sz w:val="22"/>
        </w:rPr>
      </w:pPr>
      <w:r>
        <w:rPr>
          <w:rFonts w:hint="eastAsia" w:ascii="宋体" w:hAnsi="宋体"/>
          <w:sz w:val="22"/>
        </w:rPr>
        <w:t>供货期：合同签订后</w:t>
      </w:r>
      <w:r>
        <w:rPr>
          <w:rFonts w:hint="eastAsia" w:ascii="宋体" w:hAnsi="宋体"/>
          <w:sz w:val="22"/>
          <w:u w:val="single"/>
        </w:rPr>
        <w:t xml:space="preserve">      </w:t>
      </w:r>
      <w:r>
        <w:rPr>
          <w:rFonts w:hint="eastAsia" w:ascii="宋体" w:hAnsi="宋体"/>
          <w:sz w:val="22"/>
        </w:rPr>
        <w:t>日历天、投标品牌：</w:t>
      </w:r>
      <w:r>
        <w:rPr>
          <w:rFonts w:hint="eastAsia" w:ascii="宋体" w:hAnsi="宋体"/>
          <w:sz w:val="22"/>
          <w:u w:val="single"/>
        </w:rPr>
        <w:t xml:space="preserve">        </w:t>
      </w:r>
    </w:p>
    <w:p>
      <w:pPr>
        <w:numPr>
          <w:ilvl w:val="0"/>
          <w:numId w:val="3"/>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投标人将按投标文件的规定履行合同责任和义务。</w:t>
      </w:r>
    </w:p>
    <w:p>
      <w:pPr>
        <w:numPr>
          <w:ilvl w:val="0"/>
          <w:numId w:val="3"/>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投标人已详细审查全部招标文件包括澄清函和修改文件(如果有)、所有已提供的资料以及有关附件，</w:t>
      </w:r>
      <w:r>
        <w:rPr>
          <w:rFonts w:hint="eastAsia"/>
          <w:sz w:val="22"/>
        </w:rPr>
        <w:t>投标人已完全理解上述文件的全部内容，并放弃提出任何误解或不明作为抗辩的权利</w:t>
      </w:r>
      <w:r>
        <w:rPr>
          <w:rFonts w:ascii="宋体" w:hAnsi="宋体"/>
          <w:sz w:val="22"/>
        </w:rPr>
        <w:t>。</w:t>
      </w:r>
    </w:p>
    <w:p>
      <w:pPr>
        <w:numPr>
          <w:ilvl w:val="0"/>
          <w:numId w:val="3"/>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本投标的投标有效期为自</w:t>
      </w:r>
      <w:r>
        <w:rPr>
          <w:rFonts w:hint="eastAsia" w:ascii="宋体" w:hAnsi="宋体"/>
          <w:sz w:val="22"/>
        </w:rPr>
        <w:t>投标截止</w:t>
      </w:r>
      <w:r>
        <w:rPr>
          <w:rFonts w:ascii="宋体" w:hAnsi="宋体"/>
          <w:sz w:val="22"/>
        </w:rPr>
        <w:t>之日起</w:t>
      </w:r>
      <w:r>
        <w:rPr>
          <w:rFonts w:hint="eastAsia" w:ascii="宋体" w:hAnsi="宋体"/>
          <w:sz w:val="22"/>
        </w:rPr>
        <w:t>120</w:t>
      </w:r>
      <w:r>
        <w:rPr>
          <w:rFonts w:ascii="宋体" w:hAnsi="宋体"/>
          <w:sz w:val="22"/>
        </w:rPr>
        <w:t>日</w:t>
      </w:r>
      <w:r>
        <w:rPr>
          <w:rFonts w:hint="eastAsia" w:ascii="宋体" w:hAnsi="宋体"/>
          <w:sz w:val="22"/>
        </w:rPr>
        <w:t>内</w:t>
      </w:r>
      <w:r>
        <w:rPr>
          <w:rFonts w:ascii="宋体" w:hAnsi="宋体"/>
          <w:sz w:val="22"/>
        </w:rPr>
        <w:t>。</w:t>
      </w:r>
    </w:p>
    <w:p>
      <w:pPr>
        <w:numPr>
          <w:ilvl w:val="0"/>
          <w:numId w:val="3"/>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投标人完全清楚并理解在投标有效期期满之前撤回投标，招标人有权</w:t>
      </w:r>
      <w:r>
        <w:rPr>
          <w:rFonts w:hint="eastAsia" w:ascii="宋体" w:hAnsi="宋体" w:cs="宋体"/>
          <w:sz w:val="22"/>
        </w:rPr>
        <w:t>不予退还</w:t>
      </w:r>
      <w:r>
        <w:rPr>
          <w:rFonts w:ascii="宋体" w:hAnsi="宋体"/>
          <w:sz w:val="22"/>
        </w:rPr>
        <w:t>投标人的</w:t>
      </w:r>
      <w:r>
        <w:rPr>
          <w:rFonts w:hint="eastAsia" w:ascii="宋体" w:hAnsi="宋体"/>
          <w:sz w:val="22"/>
        </w:rPr>
        <w:t>投标保证金及银行同期存款利息</w:t>
      </w:r>
      <w:r>
        <w:rPr>
          <w:rFonts w:ascii="宋体" w:hAnsi="宋体"/>
          <w:sz w:val="22"/>
        </w:rPr>
        <w:t>。</w:t>
      </w:r>
    </w:p>
    <w:p>
      <w:pPr>
        <w:numPr>
          <w:ilvl w:val="0"/>
          <w:numId w:val="3"/>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投标人同意按照贵方可能提出的要求提供与其投标有关的任何其它数字或资料，并对贵方可能不接受最低价投标及任何投标表示理解。</w:t>
      </w:r>
    </w:p>
    <w:p>
      <w:pPr>
        <w:numPr>
          <w:ilvl w:val="0"/>
          <w:numId w:val="3"/>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如果我方中标，我方将提供金额相当于合同价的10%的履约保证金，作为履行合同的担保。</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投标人：（盖单位章）</w:t>
      </w: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法定代表人或其委托代理人：（签字或盖章）</w:t>
      </w: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地    址：</w:t>
      </w: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邮政编码：</w:t>
      </w: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电    话：</w:t>
      </w: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传    真：</w:t>
      </w: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开户银行：</w:t>
      </w: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账    号：</w:t>
      </w:r>
    </w:p>
    <w:p>
      <w:pPr>
        <w:snapToGrid w:val="0"/>
        <w:spacing w:line="440" w:lineRule="exact"/>
        <w:ind w:firstLine="3300" w:firstLineChars="1500"/>
        <w:rPr>
          <w:rFonts w:cs="Calibri"/>
          <w:szCs w:val="21"/>
        </w:rPr>
      </w:pPr>
      <w:r>
        <w:rPr>
          <w:rFonts w:ascii="等线" w:hAnsi="等线" w:cs="Calibri"/>
          <w:color w:val="000000"/>
          <w:sz w:val="22"/>
        </w:rPr>
        <w:t>日    期：    年     月     日</w:t>
      </w:r>
    </w:p>
    <w:p>
      <w:pPr>
        <w:snapToGrid w:val="0"/>
        <w:spacing w:line="440" w:lineRule="exact"/>
        <w:ind w:firstLine="3150" w:firstLineChars="1500"/>
        <w:rPr>
          <w:rFonts w:cs="Calibri"/>
          <w:szCs w:val="21"/>
        </w:rPr>
      </w:pPr>
    </w:p>
    <w:p>
      <w:pPr>
        <w:adjustRightInd w:val="0"/>
        <w:snapToGrid w:val="0"/>
        <w:jc w:val="center"/>
        <w:rPr>
          <w:rFonts w:eastAsia="黑体" w:cs="Calibri"/>
          <w:color w:val="000000"/>
          <w:sz w:val="32"/>
          <w:szCs w:val="32"/>
        </w:rPr>
      </w:pPr>
      <w:r>
        <w:rPr>
          <w:rFonts w:eastAsia="黑体" w:cs="Calibri"/>
          <w:sz w:val="32"/>
          <w:szCs w:val="3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u w:val="single"/>
        </w:rPr>
      </w:pPr>
      <w:r>
        <w:rPr>
          <w:rFonts w:cs="Calibri"/>
          <w:color w:val="000000"/>
          <w:sz w:val="22"/>
        </w:rPr>
        <w:t>投标人名称：</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单位性质：</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地址：</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成立时间：</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pacing w:after="120" w:afterLines="50" w:line="440" w:lineRule="exact"/>
        <w:rPr>
          <w:rFonts w:cs="Calibri"/>
          <w:color w:val="000000"/>
          <w:sz w:val="22"/>
          <w:u w:val="single"/>
        </w:rPr>
      </w:pPr>
      <w:r>
        <w:rPr>
          <w:rFonts w:cs="Calibri"/>
          <w:color w:val="000000"/>
          <w:sz w:val="22"/>
        </w:rPr>
        <w:t>经营期限：</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姓名：</w:t>
      </w:r>
      <w:r>
        <w:rPr>
          <w:rFonts w:cs="Calibri"/>
          <w:color w:val="000000"/>
          <w:sz w:val="22"/>
          <w:u w:val="single"/>
        </w:rPr>
        <w:t xml:space="preserve">         </w:t>
      </w:r>
      <w:r>
        <w:rPr>
          <w:rFonts w:cs="Calibri"/>
          <w:color w:val="000000"/>
          <w:sz w:val="22"/>
        </w:rPr>
        <w:t xml:space="preserve">  性别：</w:t>
      </w:r>
      <w:r>
        <w:rPr>
          <w:rFonts w:cs="Calibri"/>
          <w:color w:val="000000"/>
          <w:sz w:val="22"/>
          <w:u w:val="single"/>
        </w:rPr>
        <w:t xml:space="preserve">         </w:t>
      </w:r>
      <w:r>
        <w:rPr>
          <w:rFonts w:cs="Calibri"/>
          <w:color w:val="000000"/>
          <w:sz w:val="22"/>
        </w:rPr>
        <w:t xml:space="preserve">  年龄：</w:t>
      </w:r>
      <w:r>
        <w:rPr>
          <w:rFonts w:cs="Calibri"/>
          <w:color w:val="000000"/>
          <w:sz w:val="22"/>
          <w:u w:val="single"/>
        </w:rPr>
        <w:t xml:space="preserve">         </w:t>
      </w:r>
      <w:r>
        <w:rPr>
          <w:rFonts w:cs="Calibri"/>
          <w:color w:val="000000"/>
          <w:sz w:val="22"/>
        </w:rPr>
        <w:t xml:space="preserve">  职务：</w:t>
      </w:r>
      <w:r>
        <w:rPr>
          <w:rFonts w:cs="Calibri"/>
          <w:color w:val="000000"/>
          <w:sz w:val="22"/>
          <w:u w:val="single"/>
        </w:rPr>
        <w:t xml:space="preserve">         </w:t>
      </w:r>
      <w:r>
        <w:rPr>
          <w:rFonts w:cs="Calibri"/>
          <w:color w:val="000000"/>
          <w:sz w:val="22"/>
        </w:rPr>
        <w:t xml:space="preserve">  </w:t>
      </w:r>
    </w:p>
    <w:p>
      <w:pPr>
        <w:spacing w:after="120" w:afterLines="50" w:line="440" w:lineRule="exact"/>
        <w:rPr>
          <w:rFonts w:cs="Calibri"/>
          <w:color w:val="000000"/>
          <w:sz w:val="22"/>
          <w:u w:val="single"/>
        </w:rPr>
      </w:pPr>
      <w:r>
        <w:rPr>
          <w:rFonts w:cs="Calibri"/>
          <w:color w:val="000000"/>
          <w:sz w:val="22"/>
        </w:rPr>
        <w:t>身份证号码：</w:t>
      </w:r>
      <w:r>
        <w:rPr>
          <w:rFonts w:cs="Calibri"/>
          <w:color w:val="000000"/>
          <w:sz w:val="22"/>
          <w:u w:val="single"/>
        </w:rPr>
        <w:t xml:space="preserve">                           </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 xml:space="preserve">    系</w:t>
      </w:r>
      <w:r>
        <w:rPr>
          <w:rFonts w:cs="Calibri"/>
          <w:color w:val="000000"/>
          <w:sz w:val="22"/>
          <w:u w:val="single"/>
        </w:rPr>
        <w:t xml:space="preserve">                          </w:t>
      </w:r>
      <w:r>
        <w:rPr>
          <w:rFonts w:cs="Calibri"/>
          <w:color w:val="000000"/>
          <w:sz w:val="22"/>
        </w:rPr>
        <w:t>（投标人名称）的法定代表人。</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特此证明。</w:t>
      </w:r>
    </w:p>
    <w:p>
      <w:pPr>
        <w:spacing w:line="440" w:lineRule="exact"/>
        <w:rPr>
          <w:rFonts w:cs="Calibri"/>
          <w:color w:val="000000"/>
          <w:sz w:val="22"/>
        </w:rPr>
      </w:pPr>
      <w:r>
        <w:rPr>
          <w:rFonts w:cs="Calibri"/>
          <w:color w:val="000000"/>
          <w:sz w:val="22"/>
        </w:rPr>
        <w:t>附：法定代表人身份证复印件</w:t>
      </w:r>
    </w:p>
    <w:p>
      <w:pPr>
        <w:spacing w:line="440" w:lineRule="exact"/>
        <w:rPr>
          <w:rFonts w:cs="Calibri"/>
          <w:color w:val="000000"/>
          <w:sz w:val="22"/>
        </w:rPr>
      </w:pPr>
      <w:r>
        <w:rPr>
          <w:rFonts w:cs="Calibri"/>
          <w:color w:val="000000"/>
          <w:sz w:val="22"/>
        </w:rPr>
        <w:t xml:space="preserve">投标人：（盖单位章） </w:t>
      </w:r>
    </w:p>
    <w:p>
      <w:pPr>
        <w:spacing w:line="440" w:lineRule="exact"/>
        <w:ind w:firstLine="4936" w:firstLineChars="2235"/>
        <w:rPr>
          <w:rFonts w:cs="Calibri"/>
          <w:b/>
          <w:color w:val="000000"/>
          <w:sz w:val="22"/>
        </w:rPr>
      </w:pPr>
      <w:r>
        <w:rPr>
          <w:rFonts w:cs="Calibri"/>
          <w:b/>
          <w:color w:val="000000"/>
          <w:sz w:val="22"/>
        </w:rPr>
        <w:pict>
          <v:shape id="Text Box 6" o:spid="_x0000_s1026" o:spt="202" type="#_x0000_t202" style="position:absolute;left:0pt;margin-left:0pt;margin-top:63.25pt;height:171.6pt;width:423pt;mso-wrap-distance-bottom:0pt;mso-wrap-distance-left:9pt;mso-wrap-distance-right:9pt;mso-wrap-distance-top:0pt;z-index:251658240;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40" w:firstLineChars="200"/>
        <w:rPr>
          <w:rFonts w:cs="Calibri"/>
          <w:color w:val="000000"/>
          <w:sz w:val="22"/>
        </w:rPr>
      </w:pPr>
      <w:r>
        <w:rPr>
          <w:rFonts w:cs="Calibri"/>
          <w:color w:val="000000"/>
          <w:sz w:val="22"/>
        </w:rPr>
        <w:t>本人</w:t>
      </w:r>
      <w:r>
        <w:rPr>
          <w:rFonts w:cs="Calibri"/>
          <w:color w:val="000000"/>
          <w:sz w:val="22"/>
          <w:u w:val="single"/>
        </w:rPr>
        <w:t xml:space="preserve">        </w:t>
      </w:r>
      <w:r>
        <w:rPr>
          <w:rFonts w:cs="Calibri"/>
          <w:color w:val="000000"/>
          <w:sz w:val="22"/>
        </w:rPr>
        <w:t>（姓名）系</w:t>
      </w:r>
      <w:r>
        <w:rPr>
          <w:rFonts w:cs="Calibri"/>
          <w:color w:val="000000"/>
          <w:sz w:val="22"/>
          <w:u w:val="single"/>
        </w:rPr>
        <w:t xml:space="preserve">                </w:t>
      </w:r>
      <w:r>
        <w:rPr>
          <w:rFonts w:cs="Calibri"/>
          <w:color w:val="000000"/>
          <w:sz w:val="22"/>
        </w:rPr>
        <w:t>（投标人名称）的法定代表人，现委托</w:t>
      </w:r>
      <w:r>
        <w:rPr>
          <w:rFonts w:cs="Calibri"/>
          <w:color w:val="000000"/>
          <w:sz w:val="22"/>
          <w:u w:val="single"/>
        </w:rPr>
        <w:t xml:space="preserve">      </w:t>
      </w:r>
      <w:r>
        <w:rPr>
          <w:rFonts w:cs="Calibri"/>
          <w:color w:val="000000"/>
          <w:sz w:val="22"/>
        </w:rPr>
        <w:t>（姓名）为我方代理人。代理人根据授权，以我方名义签署、澄清、说明、补正、递交、撤回、修改</w:t>
      </w:r>
      <w:r>
        <w:rPr>
          <w:rFonts w:cs="Calibri"/>
          <w:color w:val="000000"/>
          <w:sz w:val="22"/>
          <w:u w:val="single"/>
        </w:rPr>
        <w:t xml:space="preserve">              </w:t>
      </w:r>
      <w:r>
        <w:rPr>
          <w:rFonts w:cs="Calibri"/>
          <w:color w:val="000000"/>
          <w:sz w:val="22"/>
        </w:rPr>
        <w:t>（项目名称）投标文件、签订合同和处理有关事宜，其法律后果由我方承担。</w:t>
      </w:r>
    </w:p>
    <w:p>
      <w:pPr>
        <w:spacing w:line="440" w:lineRule="exact"/>
        <w:ind w:firstLine="440" w:firstLineChars="200"/>
        <w:rPr>
          <w:rFonts w:cs="Calibri"/>
          <w:color w:val="000000"/>
          <w:sz w:val="22"/>
        </w:rPr>
      </w:pPr>
      <w:r>
        <w:rPr>
          <w:rFonts w:cs="Calibri"/>
          <w:color w:val="000000"/>
          <w:sz w:val="22"/>
        </w:rPr>
        <w:t>代理人无转委托权。</w:t>
      </w:r>
    </w:p>
    <w:p>
      <w:pPr>
        <w:spacing w:line="440" w:lineRule="exact"/>
        <w:ind w:firstLine="440" w:firstLineChars="200"/>
        <w:rPr>
          <w:rFonts w:cs="Calibri"/>
          <w:color w:val="000000"/>
          <w:sz w:val="22"/>
        </w:rPr>
      </w:pPr>
      <w:r>
        <w:rPr>
          <w:rFonts w:cs="Calibri"/>
          <w:color w:val="000000"/>
          <w:sz w:val="22"/>
        </w:rPr>
        <w:t>附：委托代理人身份证复印件</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投标人：（盖单位章）</w:t>
      </w:r>
    </w:p>
    <w:p>
      <w:pPr>
        <w:spacing w:line="440" w:lineRule="exact"/>
        <w:rPr>
          <w:rFonts w:cs="Calibri"/>
          <w:color w:val="000000"/>
          <w:sz w:val="22"/>
        </w:rPr>
      </w:pPr>
      <w:r>
        <w:rPr>
          <w:rFonts w:cs="Calibri"/>
          <w:color w:val="000000"/>
          <w:sz w:val="22"/>
        </w:rPr>
        <w:t>法定代表人：（签字或盖章）</w:t>
      </w:r>
    </w:p>
    <w:p>
      <w:pPr>
        <w:spacing w:line="440" w:lineRule="exact"/>
        <w:rPr>
          <w:rFonts w:cs="Calibri"/>
          <w:color w:val="000000"/>
          <w:sz w:val="22"/>
        </w:rPr>
      </w:pPr>
      <w:r>
        <w:rPr>
          <w:rFonts w:cs="Calibri"/>
          <w:color w:val="000000"/>
          <w:sz w:val="22"/>
        </w:rPr>
        <w:t>身份证号码：</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委托的代理人：（签字或盖章）</w:t>
      </w:r>
    </w:p>
    <w:p>
      <w:pPr>
        <w:spacing w:line="440" w:lineRule="exact"/>
        <w:rPr>
          <w:rFonts w:cs="Calibri"/>
          <w:color w:val="000000"/>
          <w:sz w:val="22"/>
        </w:rPr>
      </w:pPr>
      <w:r>
        <w:rPr>
          <w:rFonts w:cs="Calibri"/>
          <w:color w:val="000000"/>
          <w:sz w:val="22"/>
        </w:rPr>
        <w:t>身份证号码：</w:t>
      </w:r>
    </w:p>
    <w:p>
      <w:pPr>
        <w:spacing w:line="440" w:lineRule="exact"/>
        <w:ind w:firstLine="4730" w:firstLineChars="2150"/>
        <w:rPr>
          <w:rFonts w:cs="Calibri"/>
          <w:color w:val="000000"/>
          <w:sz w:val="22"/>
        </w:rPr>
      </w:pPr>
      <w:r>
        <w:rPr>
          <w:rFonts w:cs="Calibri"/>
          <w:color w:val="000000"/>
          <w:sz w:val="22"/>
        </w:rPr>
        <w:t>日期：</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napToGrid w:val="0"/>
        <w:spacing w:line="440" w:lineRule="exact"/>
        <w:rPr>
          <w:rFonts w:cs="Calibri"/>
          <w:color w:val="000000"/>
          <w:szCs w:val="21"/>
        </w:rPr>
      </w:pPr>
      <w:r>
        <w:rPr>
          <w:rFonts w:cs="Calibri"/>
          <w:b/>
          <w:color w:val="000000"/>
          <w:szCs w:val="21"/>
        </w:rPr>
        <w:pict>
          <v:shape id="Text Box 7" o:spid="_x0000_s1027" o:spt="202" type="#_x0000_t202" style="position:absolute;left:0pt;margin-left:9.15pt;margin-top:20.8pt;height:171.6pt;width:423pt;mso-wrap-distance-bottom:0pt;mso-wrap-distance-left:9pt;mso-wrap-distance-right:9pt;mso-wrap-distance-top:0pt;z-index:251659264;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rPr>
      </w:pPr>
      <w:r>
        <w:rPr>
          <w:rFonts w:cs="Calibri"/>
          <w:color w:val="000000"/>
          <w:sz w:val="22"/>
        </w:rPr>
        <w:t>注：如投标文件由委托代理人签字或盖章的，投标文件必须附此授权委托书。</w:t>
      </w:r>
      <w:r>
        <w:rPr>
          <w:rFonts w:cs="Calibri"/>
          <w:b/>
          <w:bCs/>
          <w:color w:val="000000"/>
          <w:sz w:val="22"/>
        </w:rPr>
        <w:t xml:space="preserve">     </w:t>
      </w:r>
    </w:p>
    <w:p>
      <w:pPr>
        <w:spacing w:line="360" w:lineRule="auto"/>
        <w:jc w:val="left"/>
        <w:rPr>
          <w:rFonts w:ascii="宋体" w:hAnsi="宋体" w:cs="宋体"/>
          <w:sz w:val="22"/>
        </w:rPr>
      </w:pPr>
    </w:p>
    <w:p>
      <w:pPr>
        <w:pStyle w:val="19"/>
        <w:spacing w:after="120" w:afterLines="50" w:line="360" w:lineRule="auto"/>
        <w:jc w:val="left"/>
        <w:rPr>
          <w:rFonts w:hAnsi="宋体" w:cs="宋体"/>
          <w:b/>
        </w:rPr>
      </w:pPr>
      <w:r>
        <w:rPr>
          <w:rFonts w:hAnsi="宋体" w:cs="宋体"/>
          <w:b/>
        </w:rPr>
        <w:br w:type="page"/>
      </w:r>
      <w:bookmarkStart w:id="62" w:name="_Toc144265958"/>
      <w:bookmarkStart w:id="63" w:name="_Toc137373398"/>
      <w:bookmarkStart w:id="64" w:name="_Toc133214102"/>
      <w:bookmarkStart w:id="65" w:name="_Toc133214309"/>
      <w:bookmarkStart w:id="66" w:name="_Toc133470542"/>
    </w:p>
    <w:p>
      <w:pPr>
        <w:pStyle w:val="19"/>
        <w:spacing w:after="120" w:afterLines="50" w:line="360" w:lineRule="auto"/>
        <w:jc w:val="left"/>
        <w:rPr>
          <w:rFonts w:hAnsi="宋体" w:cs="宋体"/>
          <w:sz w:val="22"/>
          <w:szCs w:val="22"/>
        </w:rPr>
      </w:pPr>
    </w:p>
    <w:p>
      <w:pPr>
        <w:spacing w:line="440" w:lineRule="exact"/>
        <w:jc w:val="center"/>
        <w:rPr>
          <w:rFonts w:eastAsia="黑体" w:cs="Calibri"/>
          <w:color w:val="000000"/>
          <w:sz w:val="32"/>
          <w:szCs w:val="32"/>
        </w:rPr>
      </w:pPr>
      <w:r>
        <w:rPr>
          <w:rFonts w:hint="eastAsia" w:eastAsia="黑体" w:cs="Calibri"/>
          <w:color w:val="000000"/>
          <w:sz w:val="32"/>
          <w:szCs w:val="32"/>
        </w:rPr>
        <w:t>四、投标报价表</w:t>
      </w:r>
    </w:p>
    <w:p>
      <w:pPr>
        <w:pStyle w:val="19"/>
        <w:spacing w:after="120" w:afterLines="50" w:line="360" w:lineRule="auto"/>
        <w:jc w:val="center"/>
        <w:rPr>
          <w:rFonts w:hAnsi="宋体" w:cs="宋体"/>
        </w:rPr>
      </w:pPr>
    </w:p>
    <w:p>
      <w:pPr>
        <w:pStyle w:val="19"/>
        <w:numPr>
          <w:ilvl w:val="1"/>
          <w:numId w:val="4"/>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19"/>
        <w:numPr>
          <w:ilvl w:val="1"/>
          <w:numId w:val="5"/>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19"/>
        <w:numPr>
          <w:ilvl w:val="1"/>
          <w:numId w:val="5"/>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19"/>
        <w:numPr>
          <w:ilvl w:val="1"/>
          <w:numId w:val="5"/>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19"/>
        <w:numPr>
          <w:ilvl w:val="1"/>
          <w:numId w:val="5"/>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19"/>
        <w:numPr>
          <w:ilvl w:val="1"/>
          <w:numId w:val="5"/>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19"/>
        <w:numPr>
          <w:ilvl w:val="1"/>
          <w:numId w:val="5"/>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19"/>
        <w:numPr>
          <w:ilvl w:val="1"/>
          <w:numId w:val="4"/>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bookmarkEnd w:id="62"/>
    <w:bookmarkEnd w:id="63"/>
    <w:bookmarkEnd w:id="64"/>
    <w:bookmarkEnd w:id="65"/>
    <w:bookmarkEnd w:id="66"/>
    <w:p>
      <w:pPr>
        <w:snapToGrid w:val="0"/>
        <w:spacing w:before="120"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120" w:beforeLines="50" w:line="360" w:lineRule="exact"/>
        <w:ind w:left="1134"/>
        <w:rPr>
          <w:rFonts w:cs="Calibri"/>
          <w:b/>
          <w:bCs/>
          <w:sz w:val="32"/>
        </w:rPr>
      </w:pPr>
      <w:r>
        <w:rPr>
          <w:rFonts w:ascii="宋体" w:hAnsi="宋体" w:cs="宋体"/>
          <w:sz w:val="22"/>
        </w:rPr>
        <w:t xml:space="preserve"> </w:t>
      </w:r>
    </w:p>
    <w:p>
      <w:pPr>
        <w:spacing w:line="440" w:lineRule="exact"/>
        <w:jc w:val="center"/>
        <w:rPr>
          <w:rFonts w:eastAsia="黑体" w:cs="Calibri"/>
          <w:sz w:val="32"/>
          <w:szCs w:val="32"/>
        </w:rPr>
        <w:sectPr>
          <w:footerReference r:id="rId7" w:type="even"/>
          <w:pgSz w:w="11906" w:h="16838"/>
          <w:pgMar w:top="1134" w:right="1247" w:bottom="1134" w:left="1247" w:header="851" w:footer="992" w:gutter="0"/>
          <w:cols w:space="720" w:num="1"/>
          <w:docGrid w:linePitch="312" w:charSpace="0"/>
        </w:sectPr>
      </w:pPr>
    </w:p>
    <w:p>
      <w:pPr>
        <w:spacing w:line="440" w:lineRule="exact"/>
        <w:jc w:val="center"/>
        <w:rPr>
          <w:rFonts w:eastAsia="黑体" w:cs="Calibri"/>
          <w:sz w:val="32"/>
          <w:szCs w:val="32"/>
        </w:rPr>
      </w:pPr>
      <w:r>
        <w:rPr>
          <w:rFonts w:hint="eastAsia" w:eastAsia="黑体" w:cs="Calibri"/>
          <w:sz w:val="32"/>
          <w:szCs w:val="32"/>
        </w:rPr>
        <w:t>4</w:t>
      </w:r>
      <w:r>
        <w:rPr>
          <w:rFonts w:eastAsia="黑体" w:cs="Calibri"/>
          <w:sz w:val="32"/>
          <w:szCs w:val="32"/>
        </w:rPr>
        <w:t>.1投标报价表</w:t>
      </w:r>
    </w:p>
    <w:p>
      <w:pPr>
        <w:spacing w:line="360" w:lineRule="auto"/>
        <w:rPr>
          <w:rFonts w:ascii="宋体" w:hAnsi="宋体" w:cs="宋体"/>
          <w:bCs/>
          <w:sz w:val="22"/>
        </w:rPr>
      </w:pPr>
      <w:r>
        <w:rPr>
          <w:rFonts w:hint="eastAsia" w:cs="Calibri"/>
          <w:b/>
          <w:szCs w:val="21"/>
        </w:rPr>
        <w:t xml:space="preserve"> </w:t>
      </w:r>
    </w:p>
    <w:tbl>
      <w:tblPr>
        <w:tblStyle w:val="46"/>
        <w:tblW w:w="14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665"/>
        <w:gridCol w:w="1227"/>
        <w:gridCol w:w="1115"/>
        <w:gridCol w:w="801"/>
        <w:gridCol w:w="671"/>
        <w:gridCol w:w="642"/>
        <w:gridCol w:w="1638"/>
        <w:gridCol w:w="1455"/>
        <w:gridCol w:w="1851"/>
        <w:gridCol w:w="1136"/>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166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22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11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80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7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64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6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 (元，不含税)</w:t>
            </w:r>
          </w:p>
        </w:tc>
        <w:tc>
          <w:tcPr>
            <w:tcW w:w="1455" w:type="dxa"/>
            <w:shd w:val="clear" w:color="000000" w:fill="FFFFFF"/>
            <w:vAlign w:val="center"/>
          </w:tcPr>
          <w:p>
            <w:pPr>
              <w:jc w:val="center"/>
              <w:rPr>
                <w:rFonts w:ascii="宋体" w:hAnsi="宋体" w:cs="宋体"/>
                <w:b/>
                <w:bCs/>
                <w:kern w:val="0"/>
                <w:sz w:val="20"/>
              </w:rPr>
            </w:pPr>
            <w:r>
              <w:rPr>
                <w:rFonts w:hint="eastAsia" w:ascii="宋体" w:hAnsi="宋体" w:cs="宋体"/>
                <w:b/>
                <w:bCs/>
                <w:kern w:val="0"/>
                <w:sz w:val="20"/>
              </w:rPr>
              <w:t>合价（元，不含税）</w:t>
            </w:r>
          </w:p>
        </w:tc>
        <w:tc>
          <w:tcPr>
            <w:tcW w:w="1851" w:type="dxa"/>
            <w:shd w:val="clear" w:color="000000" w:fill="FFFFFF"/>
            <w:vAlign w:val="center"/>
          </w:tcPr>
          <w:p>
            <w:pPr>
              <w:jc w:val="center"/>
              <w:rPr>
                <w:rFonts w:ascii="宋体" w:hAnsi="宋体" w:cs="宋体"/>
                <w:b/>
                <w:bCs/>
                <w:kern w:val="0"/>
                <w:sz w:val="20"/>
              </w:rPr>
            </w:pPr>
            <w:r>
              <w:rPr>
                <w:rFonts w:hint="eastAsia" w:ascii="宋体" w:hAnsi="宋体" w:cs="宋体"/>
                <w:b/>
                <w:bCs/>
                <w:kern w:val="0"/>
                <w:sz w:val="20"/>
              </w:rPr>
              <w:t>增值税税率</w:t>
            </w:r>
          </w:p>
        </w:tc>
        <w:tc>
          <w:tcPr>
            <w:tcW w:w="1136" w:type="dxa"/>
            <w:shd w:val="clear" w:color="000000" w:fill="FFFFFF"/>
            <w:vAlign w:val="center"/>
          </w:tcPr>
          <w:p>
            <w:pPr>
              <w:jc w:val="center"/>
              <w:rPr>
                <w:rFonts w:ascii="宋体" w:hAnsi="宋体" w:cs="宋体"/>
                <w:b/>
                <w:bCs/>
                <w:kern w:val="0"/>
                <w:sz w:val="20"/>
              </w:rPr>
            </w:pPr>
            <w:r>
              <w:rPr>
                <w:rFonts w:hint="eastAsia" w:ascii="宋体" w:hAnsi="宋体" w:cs="宋体"/>
                <w:b/>
                <w:bCs/>
                <w:kern w:val="0"/>
                <w:sz w:val="20"/>
              </w:rPr>
              <w:t>单价（元，含税）</w:t>
            </w:r>
          </w:p>
        </w:tc>
        <w:tc>
          <w:tcPr>
            <w:tcW w:w="177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单位(元，含税)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1665" w:type="dxa"/>
            <w:shd w:val="clear" w:color="000000" w:fill="FFFFFF"/>
            <w:vAlign w:val="center"/>
          </w:tcPr>
          <w:p>
            <w:pPr>
              <w:widowControl/>
              <w:jc w:val="center"/>
              <w:rPr>
                <w:rFonts w:ascii="宋体" w:hAnsi="宋体" w:cs="宋体"/>
                <w:b/>
                <w:bCs/>
                <w:kern w:val="0"/>
                <w:sz w:val="20"/>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1665" w:type="dxa"/>
            <w:shd w:val="clear" w:color="000000" w:fill="FFFFFF"/>
            <w:vAlign w:val="center"/>
          </w:tcPr>
          <w:p>
            <w:pPr>
              <w:widowControl/>
              <w:jc w:val="center"/>
              <w:rPr>
                <w:rFonts w:ascii="宋体" w:hAnsi="宋体"/>
                <w:b/>
                <w:bCs/>
                <w:kern w:val="0"/>
                <w:szCs w:val="21"/>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1665" w:type="dxa"/>
            <w:shd w:val="clear" w:color="000000" w:fill="FFFFFF"/>
            <w:vAlign w:val="center"/>
          </w:tcPr>
          <w:p>
            <w:pPr>
              <w:widowControl/>
              <w:jc w:val="center"/>
              <w:rPr>
                <w:rFonts w:ascii="宋体" w:hAnsi="宋体"/>
                <w:b/>
                <w:bCs/>
                <w:kern w:val="0"/>
                <w:szCs w:val="21"/>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4</w:t>
            </w:r>
          </w:p>
        </w:tc>
        <w:tc>
          <w:tcPr>
            <w:tcW w:w="1665" w:type="dxa"/>
            <w:shd w:val="clear" w:color="000000" w:fill="FFFFFF"/>
            <w:vAlign w:val="center"/>
          </w:tcPr>
          <w:p>
            <w:pPr>
              <w:widowControl/>
              <w:jc w:val="center"/>
              <w:rPr>
                <w:rFonts w:ascii="宋体" w:hAnsi="宋体"/>
                <w:b/>
                <w:bCs/>
                <w:kern w:val="0"/>
                <w:szCs w:val="21"/>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w:t>
            </w:r>
          </w:p>
        </w:tc>
        <w:tc>
          <w:tcPr>
            <w:tcW w:w="1665" w:type="dxa"/>
            <w:shd w:val="clear" w:color="000000" w:fill="FFFFFF"/>
            <w:vAlign w:val="center"/>
          </w:tcPr>
          <w:p>
            <w:pPr>
              <w:widowControl/>
              <w:jc w:val="center"/>
              <w:rPr>
                <w:rFonts w:ascii="宋体" w:hAnsi="宋体"/>
                <w:b/>
                <w:bCs/>
                <w:kern w:val="0"/>
                <w:szCs w:val="21"/>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p>
        </w:tc>
        <w:tc>
          <w:tcPr>
            <w:tcW w:w="1665" w:type="dxa"/>
            <w:shd w:val="clear" w:color="000000" w:fill="FFFFFF"/>
            <w:vAlign w:val="center"/>
          </w:tcPr>
          <w:p>
            <w:pPr>
              <w:widowControl/>
              <w:jc w:val="center"/>
              <w:rPr>
                <w:rFonts w:ascii="宋体" w:hAnsi="宋体" w:cs="宋体"/>
                <w:b/>
                <w:bCs/>
                <w:kern w:val="0"/>
                <w:sz w:val="20"/>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p>
        </w:tc>
        <w:tc>
          <w:tcPr>
            <w:tcW w:w="1665" w:type="dxa"/>
            <w:shd w:val="clear" w:color="000000" w:fill="FFFFFF"/>
            <w:vAlign w:val="center"/>
          </w:tcPr>
          <w:p>
            <w:pPr>
              <w:widowControl/>
              <w:jc w:val="center"/>
              <w:rPr>
                <w:rFonts w:ascii="宋体" w:hAnsi="宋体" w:cs="宋体"/>
                <w:b/>
                <w:bCs/>
                <w:kern w:val="0"/>
                <w:sz w:val="20"/>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p>
        </w:tc>
        <w:tc>
          <w:tcPr>
            <w:tcW w:w="1665" w:type="dxa"/>
            <w:shd w:val="clear" w:color="000000" w:fill="FFFFFF"/>
            <w:vAlign w:val="center"/>
          </w:tcPr>
          <w:p>
            <w:pPr>
              <w:widowControl/>
              <w:jc w:val="center"/>
              <w:rPr>
                <w:rFonts w:ascii="宋体" w:hAnsi="宋体" w:cs="宋体"/>
                <w:b/>
                <w:bCs/>
                <w:kern w:val="0"/>
                <w:sz w:val="20"/>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p>
        </w:tc>
        <w:tc>
          <w:tcPr>
            <w:tcW w:w="1665" w:type="dxa"/>
            <w:shd w:val="clear" w:color="000000" w:fill="FFFFFF"/>
            <w:vAlign w:val="center"/>
          </w:tcPr>
          <w:p>
            <w:pPr>
              <w:widowControl/>
              <w:jc w:val="center"/>
              <w:rPr>
                <w:rFonts w:ascii="宋体" w:hAnsi="宋体" w:cs="宋体"/>
                <w:b/>
                <w:bCs/>
                <w:kern w:val="0"/>
                <w:sz w:val="20"/>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2476" w:type="dxa"/>
            <w:gridSpan w:val="2"/>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不含税价格合计（元）</w:t>
            </w:r>
          </w:p>
        </w:tc>
        <w:tc>
          <w:tcPr>
            <w:tcW w:w="12310" w:type="dxa"/>
            <w:gridSpan w:val="10"/>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2476" w:type="dxa"/>
            <w:gridSpan w:val="2"/>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税金（元）</w:t>
            </w:r>
          </w:p>
        </w:tc>
        <w:tc>
          <w:tcPr>
            <w:tcW w:w="12310" w:type="dxa"/>
            <w:gridSpan w:val="10"/>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2476" w:type="dxa"/>
            <w:gridSpan w:val="2"/>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价税合计（元）</w:t>
            </w:r>
          </w:p>
        </w:tc>
        <w:tc>
          <w:tcPr>
            <w:tcW w:w="12310" w:type="dxa"/>
            <w:gridSpan w:val="10"/>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人民币大写 </w:t>
            </w:r>
            <w:r>
              <w:rPr>
                <w:rFonts w:ascii="宋体" w:hAnsi="宋体" w:cs="宋体"/>
                <w:b/>
                <w:bCs/>
                <w:kern w:val="0"/>
                <w:sz w:val="20"/>
              </w:rPr>
              <w:t xml:space="preserve">    </w:t>
            </w:r>
            <w:r>
              <w:rPr>
                <w:rFonts w:hint="eastAsia" w:ascii="宋体" w:hAnsi="宋体" w:cs="宋体"/>
                <w:b/>
                <w:bCs/>
                <w:kern w:val="0"/>
                <w:sz w:val="20"/>
              </w:rPr>
              <w:t>元，</w:t>
            </w:r>
            <w:r>
              <w:rPr>
                <w:rFonts w:ascii="宋体" w:hAnsi="宋体" w:cs="宋体"/>
                <w:b/>
                <w:bCs/>
                <w:kern w:val="0"/>
                <w:sz w:val="20"/>
              </w:rPr>
              <w:t>¥   .00</w:t>
            </w: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6"/>
        </w:numPr>
        <w:tabs>
          <w:tab w:val="left" w:pos="284"/>
          <w:tab w:val="clear" w:pos="1200"/>
        </w:tabs>
        <w:adjustRightInd w:val="0"/>
        <w:snapToGrid w:val="0"/>
        <w:spacing w:line="300" w:lineRule="auto"/>
        <w:ind w:left="284" w:hanging="284"/>
        <w:jc w:val="left"/>
        <w:rPr>
          <w:rFonts w:cs="Calibri"/>
          <w:b/>
          <w:szCs w:val="21"/>
        </w:rPr>
      </w:pPr>
      <w:r>
        <w:rPr>
          <w:rFonts w:hint="eastAsia" w:ascii="宋体" w:hAnsi="宋体" w:cs="宋体"/>
          <w:sz w:val="22"/>
        </w:rPr>
        <w:t>综合单价包括但不限于产品生产、包装、运至指定地点的运输、装卸、保险、安装、调试及各种税费及所有第三章要求的伴随服务等招标文件规定的全部相关费用。</w:t>
      </w:r>
    </w:p>
    <w:p>
      <w:pPr>
        <w:spacing w:line="440" w:lineRule="exact"/>
        <w:jc w:val="center"/>
        <w:rPr>
          <w:rFonts w:eastAsia="黑体" w:cs="Calibri"/>
          <w:bCs/>
          <w:szCs w:val="21"/>
        </w:rPr>
        <w:sectPr>
          <w:pgSz w:w="16838" w:h="11906" w:orient="landscape"/>
          <w:pgMar w:top="1247" w:right="1134" w:bottom="1247" w:left="1134" w:header="851" w:footer="992" w:gutter="0"/>
          <w:cols w:space="720" w:num="1"/>
          <w:docGrid w:linePitch="312" w:charSpace="0"/>
        </w:sectPr>
      </w:pPr>
    </w:p>
    <w:p>
      <w:pPr>
        <w:spacing w:line="440" w:lineRule="exact"/>
        <w:rPr>
          <w:rFonts w:eastAsia="黑体" w:cs="Calibri"/>
          <w:sz w:val="32"/>
          <w:szCs w:val="32"/>
        </w:rPr>
      </w:pPr>
      <w:r>
        <w:rPr>
          <w:rFonts w:hint="eastAsia" w:eastAsia="黑体" w:cs="Calibri"/>
          <w:sz w:val="32"/>
          <w:szCs w:val="32"/>
        </w:rPr>
        <w:t>五、</w:t>
      </w:r>
      <w:r>
        <w:rPr>
          <w:rFonts w:eastAsia="黑体" w:cs="Calibri"/>
          <w:sz w:val="32"/>
          <w:szCs w:val="32"/>
        </w:rPr>
        <w:t>所投设备详细</w:t>
      </w:r>
      <w:r>
        <w:rPr>
          <w:rFonts w:hint="eastAsia" w:eastAsia="黑体" w:cs="Calibri"/>
          <w:sz w:val="32"/>
          <w:szCs w:val="32"/>
        </w:rPr>
        <w:t>技术</w:t>
      </w:r>
      <w:r>
        <w:rPr>
          <w:rFonts w:eastAsia="黑体" w:cs="Calibri"/>
          <w:sz w:val="32"/>
          <w:szCs w:val="32"/>
        </w:rPr>
        <w:t>参数</w:t>
      </w:r>
      <w:r>
        <w:rPr>
          <w:rFonts w:hint="eastAsia" w:eastAsia="黑体" w:cs="Calibri"/>
          <w:sz w:val="32"/>
          <w:szCs w:val="32"/>
        </w:rPr>
        <w:t>说明</w:t>
      </w:r>
    </w:p>
    <w:p>
      <w:pPr>
        <w:snapToGrid w:val="0"/>
        <w:spacing w:line="440" w:lineRule="exact"/>
        <w:rPr>
          <w:rFonts w:eastAsia="黑体" w:cs="Calibri"/>
          <w:sz w:val="32"/>
          <w:szCs w:val="32"/>
        </w:rPr>
      </w:pPr>
    </w:p>
    <w:p>
      <w:pPr>
        <w:snapToGrid w:val="0"/>
        <w:spacing w:line="440" w:lineRule="exact"/>
        <w:rPr>
          <w:rFonts w:eastAsia="黑体" w:cs="Calibri"/>
          <w:sz w:val="32"/>
          <w:szCs w:val="32"/>
        </w:rPr>
      </w:pPr>
    </w:p>
    <w:p>
      <w:pPr>
        <w:snapToGrid w:val="0"/>
        <w:spacing w:line="440" w:lineRule="exact"/>
        <w:rPr>
          <w:rFonts w:eastAsia="黑体" w:cs="Calibri"/>
          <w:sz w:val="32"/>
          <w:szCs w:val="32"/>
        </w:rPr>
      </w:pPr>
    </w:p>
    <w:p>
      <w:pPr>
        <w:snapToGrid w:val="0"/>
        <w:spacing w:line="440" w:lineRule="exact"/>
        <w:rPr>
          <w:rFonts w:eastAsia="黑体" w:cs="Calibri"/>
          <w:sz w:val="32"/>
          <w:szCs w:val="32"/>
        </w:rPr>
      </w:pPr>
    </w:p>
    <w:p>
      <w:pPr>
        <w:snapToGrid w:val="0"/>
        <w:spacing w:line="440" w:lineRule="exact"/>
        <w:rPr>
          <w:rFonts w:eastAsia="黑体" w:cs="Calibri"/>
          <w:sz w:val="32"/>
          <w:szCs w:val="32"/>
        </w:rPr>
      </w:pPr>
    </w:p>
    <w:p>
      <w:pPr>
        <w:snapToGrid w:val="0"/>
        <w:spacing w:line="440" w:lineRule="exact"/>
        <w:rPr>
          <w:rFonts w:cs="Calibri"/>
          <w:szCs w:val="21"/>
        </w:rPr>
      </w:pPr>
      <w:r>
        <w:rPr>
          <w:rFonts w:hint="eastAsia" w:cs="Calibri"/>
          <w:szCs w:val="21"/>
        </w:rPr>
        <w:t>注:需包含设备外观彩色图片</w:t>
      </w:r>
    </w:p>
    <w:p>
      <w:pPr>
        <w:spacing w:line="440" w:lineRule="exact"/>
        <w:jc w:val="center"/>
        <w:rPr>
          <w:rFonts w:cs="Calibri"/>
          <w:b/>
          <w:bCs/>
          <w:sz w:val="32"/>
        </w:rPr>
      </w:pPr>
      <w:r>
        <w:rPr>
          <w:rFonts w:ascii="宋体" w:hAnsi="宋体"/>
          <w:b/>
          <w:szCs w:val="21"/>
        </w:rPr>
        <w:br w:type="page"/>
      </w:r>
    </w:p>
    <w:p>
      <w:pPr>
        <w:spacing w:line="440" w:lineRule="exact"/>
        <w:jc w:val="center"/>
        <w:rPr>
          <w:rFonts w:eastAsia="黑体" w:cs="Calibri"/>
          <w:sz w:val="32"/>
          <w:szCs w:val="32"/>
        </w:rPr>
      </w:pPr>
      <w:r>
        <w:rPr>
          <w:rFonts w:hint="eastAsia" w:eastAsia="黑体" w:cs="Calibri"/>
          <w:sz w:val="32"/>
          <w:szCs w:val="32"/>
        </w:rPr>
        <w:t>六</w:t>
      </w:r>
      <w:r>
        <w:rPr>
          <w:rFonts w:eastAsia="黑体" w:cs="Calibri"/>
          <w:sz w:val="32"/>
          <w:szCs w:val="32"/>
        </w:rPr>
        <w:t>、投标人资格证明文件</w:t>
      </w:r>
    </w:p>
    <w:p>
      <w:pPr>
        <w:spacing w:line="360" w:lineRule="auto"/>
        <w:jc w:val="center"/>
        <w:rPr>
          <w:rFonts w:ascii="宋体" w:hAnsi="宋体" w:cs="Calibri"/>
          <w:b/>
          <w:sz w:val="32"/>
          <w:szCs w:val="32"/>
        </w:rPr>
      </w:pPr>
      <w:r>
        <w:rPr>
          <w:rFonts w:ascii="宋体" w:hAnsi="宋体" w:cs="Calibri"/>
          <w:b/>
          <w:sz w:val="32"/>
          <w:szCs w:val="32"/>
        </w:rPr>
        <w:t xml:space="preserve"> </w:t>
      </w:r>
      <w:r>
        <w:rPr>
          <w:rFonts w:hint="eastAsia" w:ascii="宋体" w:hAnsi="宋体" w:cs="Calibri"/>
          <w:b/>
          <w:sz w:val="32"/>
          <w:szCs w:val="32"/>
        </w:rPr>
        <w:t>（一）投标人一般情况</w:t>
      </w:r>
    </w:p>
    <w:tbl>
      <w:tblPr>
        <w:tblStyle w:val="46"/>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27"/>
              <w:ind w:firstLine="440"/>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360" w:lineRule="auto"/>
        <w:jc w:val="center"/>
        <w:rPr>
          <w:rFonts w:ascii="宋体" w:hAnsi="宋体" w:cs="宋体"/>
          <w:b/>
          <w:sz w:val="32"/>
          <w:szCs w:val="32"/>
        </w:rPr>
      </w:pPr>
      <w:r>
        <w:rPr>
          <w:rFonts w:ascii="宋体" w:hAnsi="宋体" w:cs="Calibri"/>
          <w:sz w:val="22"/>
        </w:rPr>
        <w:br w:type="page"/>
      </w:r>
      <w:r>
        <w:rPr>
          <w:rFonts w:hint="eastAsia" w:ascii="宋体" w:hAnsi="宋体" w:cs="Calibri"/>
          <w:b/>
          <w:sz w:val="32"/>
          <w:szCs w:val="32"/>
        </w:rPr>
        <w:t xml:space="preserve">（二）具有独立法人资格，持有有效营业执照，注册资本100万元（含）以上 (提供营业执照复印件，原件备查) </w:t>
      </w:r>
    </w:p>
    <w:p>
      <w:pPr>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Calibri"/>
          <w:b/>
          <w:sz w:val="32"/>
          <w:szCs w:val="32"/>
        </w:rPr>
        <w:t>（三）依据最高人民法院等九部门《关于在招标投标活动中对失信被执行人实施联合惩戒的通知》，投标人不得为失信被执行人。（通过信用中国网站www.creditchina.gov.cn 查询，查询结果以网站页面显示内容为准，投标时需提供查询结果并加盖投标人公章作为证明材料）。若在中标公示期间发现中标候选人在投标截止日前为失信被执行人的，招标人将依法取消其中标资格。</w:t>
      </w:r>
    </w:p>
    <w:p>
      <w:pPr>
        <w:spacing w:line="360" w:lineRule="auto"/>
        <w:jc w:val="center"/>
        <w:rPr>
          <w:rFonts w:ascii="宋体" w:hAnsi="宋体" w:cs="宋体"/>
          <w:b/>
          <w:sz w:val="32"/>
          <w:szCs w:val="32"/>
        </w:rPr>
      </w:pPr>
      <w:r>
        <w:rPr>
          <w:rFonts w:ascii="宋体" w:hAnsi="宋体" w:cs="宋体"/>
          <w:b/>
          <w:sz w:val="32"/>
          <w:szCs w:val="32"/>
        </w:rPr>
        <w:br w:type="page"/>
      </w:r>
      <w:r>
        <w:rPr>
          <w:rFonts w:hint="eastAsia" w:cs="Calibri"/>
          <w:b/>
          <w:sz w:val="32"/>
          <w:szCs w:val="32"/>
        </w:rPr>
        <w:t>（四）近三年（2016年1月1日起至投标截止日止）无行贿犯罪记录(通过中国裁判文书网http://wenshu.court.gov.cn查询，查询结果以网站页面显示内容为准，投标时需提供查询结果并加盖投标人公章作为证明材料)。若在中标公示期间发现中标候选人在投标截止日前存在行贿犯罪记录的，招标人将依法取消其中标资格。</w:t>
      </w:r>
    </w:p>
    <w:p>
      <w:pPr>
        <w:spacing w:line="360" w:lineRule="auto"/>
        <w:jc w:val="center"/>
        <w:rPr>
          <w:rFonts w:cs="Calibri"/>
          <w:b/>
          <w:sz w:val="32"/>
          <w:szCs w:val="32"/>
        </w:rPr>
      </w:pPr>
      <w:r>
        <w:rPr>
          <w:rFonts w:cs="Calibri"/>
          <w:b/>
          <w:sz w:val="36"/>
          <w:szCs w:val="36"/>
        </w:rPr>
        <w:br w:type="page"/>
      </w:r>
      <w:r>
        <w:rPr>
          <w:rFonts w:hint="eastAsia" w:cs="Calibri"/>
          <w:b/>
          <w:sz w:val="32"/>
          <w:szCs w:val="32"/>
        </w:rPr>
        <w:t>（五）投标人具有一般纳税人资格，可提供增值税专用发票（需提供税务机关出具的一般纳税人资格认定相关证明材料复印件并加盖投标人公章作为证明材料，原件备查）。</w:t>
      </w:r>
    </w:p>
    <w:p>
      <w:pPr>
        <w:spacing w:line="360" w:lineRule="auto"/>
        <w:jc w:val="center"/>
        <w:rPr>
          <w:rFonts w:cs="Calibri"/>
          <w:b/>
          <w:sz w:val="36"/>
          <w:szCs w:val="36"/>
        </w:rPr>
      </w:pPr>
      <w:r>
        <w:rPr>
          <w:rFonts w:cs="Calibri"/>
          <w:b/>
          <w:sz w:val="36"/>
          <w:szCs w:val="36"/>
        </w:rPr>
        <w:br w:type="page"/>
      </w:r>
    </w:p>
    <w:p>
      <w:pPr>
        <w:spacing w:line="360" w:lineRule="auto"/>
        <w:jc w:val="center"/>
        <w:rPr>
          <w:rFonts w:ascii="宋体" w:hAnsi="宋体" w:cs="宋体"/>
          <w:b/>
          <w:sz w:val="32"/>
          <w:szCs w:val="32"/>
        </w:rPr>
      </w:pPr>
      <w:r>
        <w:rPr>
          <w:rFonts w:hint="eastAsia" w:cs="Calibri"/>
          <w:b/>
          <w:sz w:val="36"/>
          <w:szCs w:val="36"/>
        </w:rPr>
        <w:t>（六）</w:t>
      </w:r>
      <w:r>
        <w:rPr>
          <w:rFonts w:hint="eastAsia" w:ascii="宋体" w:hAnsi="宋体" w:cs="宋体"/>
          <w:b/>
          <w:sz w:val="32"/>
          <w:szCs w:val="32"/>
        </w:rPr>
        <w:t>投标产品近三年（2</w:t>
      </w:r>
      <w:r>
        <w:rPr>
          <w:rFonts w:ascii="宋体" w:hAnsi="宋体" w:cs="宋体"/>
          <w:b/>
          <w:sz w:val="32"/>
          <w:szCs w:val="32"/>
        </w:rPr>
        <w:t>016</w:t>
      </w:r>
      <w:r>
        <w:rPr>
          <w:rFonts w:hint="eastAsia" w:ascii="宋体" w:hAnsi="宋体" w:cs="宋体"/>
          <w:b/>
          <w:sz w:val="32"/>
          <w:szCs w:val="32"/>
        </w:rPr>
        <w:t>年至今）的销售业绩一览表</w:t>
      </w:r>
    </w:p>
    <w:tbl>
      <w:tblPr>
        <w:tblStyle w:val="46"/>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bl>
    <w:p>
      <w:pPr>
        <w:spacing w:line="360" w:lineRule="auto"/>
        <w:jc w:val="left"/>
        <w:rPr>
          <w:rFonts w:ascii="ˎ̥" w:hAnsi="ˎ̥" w:cs="宋体"/>
          <w:b/>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b/>
          <w:kern w:val="0"/>
          <w:szCs w:val="21"/>
        </w:rPr>
        <w:t>附业绩的销售合同。</w:t>
      </w:r>
    </w:p>
    <w:p>
      <w:pPr>
        <w:spacing w:line="360" w:lineRule="auto"/>
        <w:jc w:val="left"/>
        <w:rPr>
          <w:rFonts w:cs="Calibri"/>
          <w:szCs w:val="21"/>
        </w:rPr>
      </w:pPr>
    </w:p>
    <w:p>
      <w:pPr>
        <w:spacing w:line="440" w:lineRule="exact"/>
        <w:jc w:val="center"/>
        <w:rPr>
          <w:rFonts w:eastAsia="黑体" w:cs="Calibri"/>
          <w:sz w:val="32"/>
          <w:szCs w:val="32"/>
        </w:rPr>
      </w:pPr>
      <w:r>
        <w:rPr>
          <w:rFonts w:eastAsia="黑体" w:cs="Calibri"/>
          <w:sz w:val="32"/>
          <w:szCs w:val="32"/>
        </w:rPr>
        <w:t xml:space="preserve"> </w:t>
      </w:r>
    </w:p>
    <w:p>
      <w:pPr>
        <w:spacing w:line="440" w:lineRule="exact"/>
        <w:jc w:val="center"/>
        <w:rPr>
          <w:rFonts w:eastAsia="黑体" w:cs="Calibri"/>
          <w:sz w:val="32"/>
          <w:szCs w:val="32"/>
        </w:rPr>
      </w:pPr>
      <w:r>
        <w:rPr>
          <w:rFonts w:eastAsia="黑体" w:cs="Calibri"/>
          <w:sz w:val="32"/>
          <w:szCs w:val="32"/>
        </w:rPr>
        <w:br w:type="page"/>
      </w:r>
      <w:r>
        <w:rPr>
          <w:rFonts w:hint="eastAsia" w:eastAsia="黑体" w:cs="Calibri"/>
          <w:sz w:val="32"/>
          <w:szCs w:val="32"/>
        </w:rPr>
        <w:t>七、服务大纲</w:t>
      </w:r>
    </w:p>
    <w:p>
      <w:pPr>
        <w:spacing w:line="440" w:lineRule="exact"/>
        <w:jc w:val="center"/>
        <w:rPr>
          <w:rFonts w:eastAsia="黑体" w:cs="Calibri"/>
          <w:sz w:val="32"/>
          <w:szCs w:val="32"/>
        </w:rPr>
      </w:pPr>
      <w:r>
        <w:rPr>
          <w:rFonts w:eastAsia="黑体" w:cs="Calibri"/>
          <w:sz w:val="32"/>
          <w:szCs w:val="32"/>
        </w:rPr>
        <w:br w:type="page"/>
      </w:r>
    </w:p>
    <w:p>
      <w:pPr>
        <w:spacing w:line="440" w:lineRule="exact"/>
        <w:jc w:val="center"/>
        <w:rPr>
          <w:rFonts w:eastAsia="黑体" w:cs="Calibri"/>
          <w:sz w:val="32"/>
          <w:szCs w:val="32"/>
        </w:rPr>
      </w:pPr>
      <w:r>
        <w:rPr>
          <w:rFonts w:hint="eastAsia" w:eastAsia="黑体" w:cs="Calibri"/>
          <w:sz w:val="32"/>
          <w:szCs w:val="32"/>
        </w:rPr>
        <w:t>八、技术规格偏离表</w:t>
      </w:r>
    </w:p>
    <w:p>
      <w:pPr>
        <w:rPr>
          <w:rFonts w:ascii="宋体" w:hAnsi="宋体"/>
          <w:szCs w:val="21"/>
        </w:rPr>
      </w:pPr>
    </w:p>
    <w:tbl>
      <w:tblPr>
        <w:tblStyle w:val="46"/>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序号</w:t>
            </w:r>
          </w:p>
        </w:tc>
        <w:tc>
          <w:tcPr>
            <w:tcW w:w="13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货物名称</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招标文件条目号</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招标规格</w:t>
            </w: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投标规格</w:t>
            </w:r>
          </w:p>
        </w:tc>
        <w:tc>
          <w:tcPr>
            <w:tcW w:w="18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偏离</w:t>
            </w:r>
          </w:p>
        </w:tc>
        <w:tc>
          <w:tcPr>
            <w:tcW w:w="14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jc w:val="center"/>
        <w:rPr>
          <w:rFonts w:ascii="宋体" w:hAnsi="宋体"/>
          <w:b/>
          <w:szCs w:val="21"/>
        </w:rPr>
      </w:pPr>
    </w:p>
    <w:p>
      <w:pPr>
        <w:spacing w:line="440" w:lineRule="exact"/>
        <w:jc w:val="center"/>
        <w:rPr>
          <w:rFonts w:eastAsia="黑体" w:cs="Calibri"/>
          <w:sz w:val="32"/>
          <w:szCs w:val="32"/>
        </w:rPr>
      </w:pPr>
      <w:r>
        <w:rPr>
          <w:rFonts w:hint="eastAsia" w:eastAsia="黑体" w:cs="Calibri"/>
          <w:sz w:val="32"/>
          <w:szCs w:val="32"/>
        </w:rPr>
        <w:t>九、商务条款响应偏离表</w:t>
      </w:r>
    </w:p>
    <w:tbl>
      <w:tblPr>
        <w:tblStyle w:val="46"/>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2511"/>
        <w:gridCol w:w="3139"/>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jc w:val="center"/>
              <w:rPr>
                <w:rFonts w:hAnsi="宋体"/>
              </w:rPr>
            </w:pPr>
            <w:r>
              <w:rPr>
                <w:rFonts w:hint="eastAsia" w:hAnsi="宋体"/>
              </w:rPr>
              <w:t>序号</w:t>
            </w:r>
          </w:p>
        </w:tc>
        <w:tc>
          <w:tcPr>
            <w:tcW w:w="1276"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jc w:val="center"/>
              <w:rPr>
                <w:rFonts w:hAnsi="宋体"/>
              </w:rPr>
            </w:pPr>
            <w:r>
              <w:rPr>
                <w:rFonts w:hint="eastAsia" w:hAnsi="宋体"/>
              </w:rPr>
              <w:t>内容</w:t>
            </w:r>
          </w:p>
        </w:tc>
        <w:tc>
          <w:tcPr>
            <w:tcW w:w="2511"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jc w:val="center"/>
              <w:rPr>
                <w:rFonts w:hAnsi="宋体"/>
              </w:rPr>
            </w:pPr>
            <w:r>
              <w:rPr>
                <w:rFonts w:hint="eastAsia" w:hAnsi="宋体"/>
              </w:rPr>
              <w:t>招标文件要求</w:t>
            </w:r>
          </w:p>
        </w:tc>
        <w:tc>
          <w:tcPr>
            <w:tcW w:w="3139"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jc w:val="center"/>
              <w:rPr>
                <w:rFonts w:hAnsi="宋体"/>
              </w:rPr>
            </w:pPr>
            <w:r>
              <w:rPr>
                <w:rFonts w:hint="eastAsia" w:hAnsi="宋体"/>
              </w:rPr>
              <w:t>投标文件对应内容</w:t>
            </w:r>
          </w:p>
        </w:tc>
        <w:tc>
          <w:tcPr>
            <w:tcW w:w="1579"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jc w:val="center"/>
              <w:rPr>
                <w:rFonts w:hAnsi="宋体"/>
              </w:rPr>
            </w:pPr>
            <w:r>
              <w:rPr>
                <w:rFonts w:hint="eastAsia"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jc w:val="center"/>
              <w:rPr>
                <w:rFonts w:hAnsi="宋体"/>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jc w:val="center"/>
              <w:rPr>
                <w:rFonts w:hAnsi="宋体"/>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jc w:val="center"/>
              <w:rPr>
                <w:rFonts w:hAnsi="宋体"/>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jc w:val="center"/>
              <w:rPr>
                <w:rFonts w:hAnsi="宋体"/>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jc w:val="center"/>
              <w:rPr>
                <w:rFonts w:hAnsi="宋体"/>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jc w:val="center"/>
              <w:rPr>
                <w:rFonts w:hAnsi="宋体"/>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jc w:val="center"/>
              <w:rPr>
                <w:rFonts w:hAnsi="宋体"/>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jc w:val="center"/>
              <w:rPr>
                <w:rFonts w:hAnsi="宋体"/>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jc w:val="center"/>
              <w:rPr>
                <w:rFonts w:hAnsi="宋体"/>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jc w:val="center"/>
              <w:rPr>
                <w:rFonts w:hAnsi="宋体"/>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jc w:val="center"/>
              <w:rPr>
                <w:rFonts w:hAnsi="宋体"/>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jc w:val="center"/>
              <w:rPr>
                <w:rFonts w:hAnsi="宋体"/>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jc w:val="center"/>
              <w:rPr>
                <w:rFonts w:hAnsi="宋体"/>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jc w:val="center"/>
              <w:rPr>
                <w:rFonts w:hAnsi="宋体"/>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jc w:val="center"/>
              <w:rPr>
                <w:rFonts w:hAnsi="宋体"/>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jc w:val="center"/>
              <w:rPr>
                <w:rFonts w:hAnsi="宋体"/>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jc w:val="center"/>
              <w:rPr>
                <w:rFonts w:hAnsi="宋体"/>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jc w:val="center"/>
              <w:rPr>
                <w:rFonts w:hAnsi="宋体"/>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jc w:val="center"/>
              <w:rPr>
                <w:rFonts w:hAnsi="宋体"/>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jc w:val="center"/>
              <w:rPr>
                <w:rFonts w:hAnsi="宋体"/>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jc w:val="center"/>
              <w:rPr>
                <w:rFonts w:hAnsi="宋体"/>
              </w:rPr>
            </w:pPr>
          </w:p>
        </w:tc>
      </w:tr>
    </w:tbl>
    <w:p>
      <w:pPr>
        <w:pStyle w:val="19"/>
        <w:adjustRightInd w:val="0"/>
        <w:snapToGrid w:val="0"/>
        <w:rPr>
          <w:rFonts w:hAnsi="宋体"/>
          <w:bCs/>
        </w:rPr>
      </w:pPr>
    </w:p>
    <w:p>
      <w:pPr>
        <w:pStyle w:val="19"/>
        <w:adjustRightInd w:val="0"/>
        <w:snapToGrid w:val="0"/>
        <w:rPr>
          <w:rFonts w:hAnsi="宋体"/>
          <w:bCs/>
        </w:rPr>
      </w:pPr>
      <w:r>
        <w:rPr>
          <w:rFonts w:hint="eastAsia" w:hAnsi="宋体"/>
          <w:bCs/>
        </w:rPr>
        <w:t>注：如不填写，则视为完全响应招标文件的商务要求。</w:t>
      </w:r>
    </w:p>
    <w:p>
      <w:pPr>
        <w:widowControl/>
        <w:jc w:val="left"/>
        <w:rPr>
          <w:rFonts w:eastAsia="黑体" w:cs="Calibri"/>
          <w:sz w:val="32"/>
          <w:szCs w:val="32"/>
        </w:rPr>
      </w:pPr>
    </w:p>
    <w:p>
      <w:pPr>
        <w:spacing w:line="440" w:lineRule="exact"/>
        <w:jc w:val="center"/>
        <w:rPr>
          <w:rFonts w:eastAsia="黑体" w:cs="Calibri"/>
          <w:sz w:val="32"/>
          <w:szCs w:val="32"/>
        </w:rPr>
      </w:pPr>
      <w:r>
        <w:rPr>
          <w:rFonts w:eastAsia="黑体" w:cs="Calibri"/>
          <w:sz w:val="32"/>
          <w:szCs w:val="32"/>
        </w:rPr>
        <w:br w:type="page"/>
      </w:r>
      <w:r>
        <w:rPr>
          <w:rFonts w:hint="eastAsia" w:eastAsia="黑体" w:cs="Calibri"/>
          <w:sz w:val="32"/>
          <w:szCs w:val="32"/>
        </w:rPr>
        <w:t>十、廉洁自律承诺书</w:t>
      </w:r>
    </w:p>
    <w:p>
      <w:pPr>
        <w:topLinePunct/>
        <w:jc w:val="center"/>
        <w:rPr>
          <w:rFonts w:ascii="宋体" w:hAnsi="宋体"/>
          <w:b/>
          <w:sz w:val="32"/>
          <w:szCs w:val="21"/>
        </w:rPr>
      </w:pPr>
    </w:p>
    <w:p>
      <w:pPr>
        <w:spacing w:line="276" w:lineRule="auto"/>
        <w:jc w:val="center"/>
        <w:rPr>
          <w:rFonts w:ascii="宋体" w:hAnsi="宋体"/>
          <w:b/>
          <w:kern w:val="0"/>
          <w:sz w:val="24"/>
          <w:szCs w:val="21"/>
        </w:rPr>
      </w:pPr>
      <w:r>
        <w:rPr>
          <w:rFonts w:hint="eastAsia" w:ascii="宋体" w:hAnsi="宋体"/>
          <w:b/>
          <w:kern w:val="0"/>
          <w:sz w:val="24"/>
          <w:szCs w:val="21"/>
        </w:rPr>
        <w:t>杭州萧山国际机场有限公司廉洁自律承诺书</w:t>
      </w:r>
    </w:p>
    <w:p>
      <w:pPr>
        <w:spacing w:line="276" w:lineRule="auto"/>
        <w:jc w:val="center"/>
        <w:rPr>
          <w:rFonts w:ascii="宋体" w:hAnsi="宋体"/>
          <w:kern w:val="0"/>
          <w:sz w:val="24"/>
          <w:szCs w:val="21"/>
        </w:rPr>
      </w:pPr>
    </w:p>
    <w:p>
      <w:pPr>
        <w:spacing w:line="276" w:lineRule="auto"/>
        <w:jc w:val="left"/>
        <w:rPr>
          <w:rFonts w:ascii="宋体" w:hAnsi="宋体"/>
          <w:szCs w:val="21"/>
        </w:rPr>
      </w:pPr>
      <w:r>
        <w:rPr>
          <w:rFonts w:hint="eastAsia" w:ascii="宋体" w:hAnsi="宋体"/>
          <w:szCs w:val="21"/>
        </w:rPr>
        <w:t>杭州萧山国际机场有限公司：</w:t>
      </w:r>
    </w:p>
    <w:p>
      <w:pPr>
        <w:spacing w:line="276" w:lineRule="auto"/>
        <w:ind w:firstLine="420" w:firstLineChars="200"/>
        <w:jc w:val="left"/>
        <w:rPr>
          <w:rFonts w:ascii="宋体" w:hAnsi="宋体"/>
          <w:szCs w:val="21"/>
        </w:rPr>
      </w:pPr>
      <w:r>
        <w:rPr>
          <w:rFonts w:hint="eastAsia" w:ascii="宋体" w:hAnsi="宋体"/>
          <w:szCs w:val="21"/>
        </w:rPr>
        <w:t>我单位响应贵公司项目招标要求，参加项目投标。在投标过程中及中标后，我们将严格遵守国家法律法规和贵司招标文件要求，并郑重作出如下承诺和保证：</w:t>
      </w:r>
    </w:p>
    <w:p>
      <w:pPr>
        <w:spacing w:line="276" w:lineRule="auto"/>
        <w:ind w:firstLine="420" w:firstLineChars="200"/>
        <w:jc w:val="left"/>
        <w:rPr>
          <w:rFonts w:ascii="宋体" w:hAnsi="宋体"/>
          <w:szCs w:val="21"/>
        </w:rPr>
      </w:pPr>
      <w:r>
        <w:rPr>
          <w:rFonts w:hint="eastAsia" w:ascii="宋体" w:hAnsi="宋体"/>
          <w:szCs w:val="21"/>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276" w:lineRule="auto"/>
        <w:ind w:firstLine="420" w:firstLineChars="200"/>
        <w:jc w:val="left"/>
        <w:rPr>
          <w:rFonts w:ascii="宋体" w:hAnsi="宋体"/>
          <w:szCs w:val="21"/>
        </w:rPr>
      </w:pPr>
      <w:r>
        <w:rPr>
          <w:rFonts w:hint="eastAsia" w:ascii="宋体" w:hAnsi="宋体"/>
          <w:szCs w:val="21"/>
        </w:rPr>
        <w:t>二、不以任何名义为贵公司有关人员或项目第三方人员报销应由贵公司或个人支付的费用；</w:t>
      </w:r>
    </w:p>
    <w:p>
      <w:pPr>
        <w:spacing w:line="276" w:lineRule="auto"/>
        <w:ind w:firstLine="420" w:firstLineChars="200"/>
        <w:jc w:val="left"/>
        <w:rPr>
          <w:rFonts w:ascii="宋体" w:hAnsi="宋体"/>
          <w:szCs w:val="21"/>
        </w:rPr>
      </w:pPr>
      <w:r>
        <w:rPr>
          <w:rFonts w:hint="eastAsia" w:ascii="宋体" w:hAnsi="宋体"/>
          <w:szCs w:val="21"/>
        </w:rPr>
        <w:t>三、不向贵公司有关人员或项目第三方人员提供宴请、旅游、和健身娱乐等活动；</w:t>
      </w:r>
    </w:p>
    <w:p>
      <w:pPr>
        <w:spacing w:line="276" w:lineRule="auto"/>
        <w:ind w:firstLine="420" w:firstLineChars="200"/>
        <w:jc w:val="left"/>
        <w:rPr>
          <w:rFonts w:ascii="宋体" w:hAnsi="宋体"/>
          <w:szCs w:val="21"/>
        </w:rPr>
      </w:pPr>
      <w:r>
        <w:rPr>
          <w:rFonts w:hint="eastAsia" w:ascii="宋体" w:hAnsi="宋体"/>
          <w:szCs w:val="21"/>
        </w:rPr>
        <w:t>四、不为贵公司有关人员或项目第三方人员出国（境）、旅游等提供方便；</w:t>
      </w:r>
    </w:p>
    <w:p>
      <w:pPr>
        <w:spacing w:line="276" w:lineRule="auto"/>
        <w:ind w:firstLine="420" w:firstLineChars="200"/>
        <w:jc w:val="left"/>
        <w:rPr>
          <w:rFonts w:ascii="宋体" w:hAnsi="宋体"/>
          <w:szCs w:val="21"/>
        </w:rPr>
      </w:pPr>
      <w:r>
        <w:rPr>
          <w:rFonts w:hint="eastAsia" w:ascii="宋体" w:hAnsi="宋体"/>
          <w:szCs w:val="21"/>
        </w:rPr>
        <w:t>五、不为贵公司有关人员或项目第三方人员个人装修住房、婚丧嫁娶、配偶子女工作安排等提供好处或便利条件；</w:t>
      </w:r>
    </w:p>
    <w:p>
      <w:pPr>
        <w:spacing w:line="276" w:lineRule="auto"/>
        <w:ind w:firstLine="420" w:firstLineChars="200"/>
        <w:jc w:val="left"/>
        <w:rPr>
          <w:rFonts w:ascii="宋体" w:hAnsi="宋体"/>
          <w:szCs w:val="21"/>
        </w:rPr>
      </w:pPr>
      <w:r>
        <w:rPr>
          <w:rFonts w:hint="eastAsia" w:ascii="宋体" w:hAnsi="宋体"/>
          <w:szCs w:val="21"/>
        </w:rPr>
        <w:t>六、严格遵守国家招标投标法、合同法等法律规定，诚实守信，合法经营，坚决杜绝各种违法违纪行为。</w:t>
      </w:r>
    </w:p>
    <w:p>
      <w:pPr>
        <w:spacing w:line="276" w:lineRule="auto"/>
        <w:ind w:firstLine="420" w:firstLineChars="200"/>
        <w:jc w:val="left"/>
        <w:rPr>
          <w:rFonts w:ascii="宋体" w:hAnsi="宋体"/>
          <w:szCs w:val="21"/>
        </w:rPr>
      </w:pPr>
      <w:r>
        <w:rPr>
          <w:rFonts w:hint="eastAsia" w:ascii="宋体" w:hAnsi="宋体"/>
          <w:szCs w:val="21"/>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276" w:lineRule="auto"/>
        <w:ind w:firstLine="420" w:firstLineChars="200"/>
        <w:jc w:val="left"/>
        <w:rPr>
          <w:rFonts w:ascii="宋体" w:hAnsi="宋体"/>
          <w:szCs w:val="21"/>
        </w:rPr>
      </w:pPr>
      <w:r>
        <w:rPr>
          <w:rFonts w:hint="eastAsia" w:ascii="宋体" w:hAnsi="宋体"/>
          <w:szCs w:val="21"/>
        </w:rPr>
        <w:t>八、如违反上述廉洁自律承诺，贵公司有权：</w:t>
      </w:r>
    </w:p>
    <w:p>
      <w:pPr>
        <w:spacing w:line="276" w:lineRule="auto"/>
        <w:ind w:firstLine="420" w:firstLineChars="200"/>
        <w:jc w:val="left"/>
        <w:rPr>
          <w:rFonts w:ascii="宋体" w:hAnsi="宋体"/>
          <w:szCs w:val="21"/>
        </w:rPr>
      </w:pPr>
      <w:r>
        <w:rPr>
          <w:rFonts w:hint="eastAsia" w:ascii="宋体" w:hAnsi="宋体"/>
          <w:szCs w:val="21"/>
        </w:rPr>
        <w:t>（1）</w:t>
      </w:r>
      <w:r>
        <w:rPr>
          <w:rFonts w:hint="eastAsia" w:ascii="宋体" w:hAnsi="宋体"/>
          <w:szCs w:val="21"/>
        </w:rPr>
        <w:tab/>
      </w:r>
      <w:r>
        <w:rPr>
          <w:rFonts w:hint="eastAsia" w:ascii="宋体" w:hAnsi="宋体"/>
          <w:szCs w:val="21"/>
        </w:rPr>
        <w:t>立即取消我单位投标、中标或在建项目的实施资格；</w:t>
      </w:r>
    </w:p>
    <w:p>
      <w:pPr>
        <w:spacing w:line="276" w:lineRule="auto"/>
        <w:ind w:firstLine="420" w:firstLineChars="200"/>
        <w:jc w:val="left"/>
        <w:rPr>
          <w:rFonts w:ascii="宋体" w:hAnsi="宋体"/>
          <w:szCs w:val="21"/>
        </w:rPr>
      </w:pPr>
      <w:r>
        <w:rPr>
          <w:rFonts w:hint="eastAsia" w:ascii="宋体" w:hAnsi="宋体"/>
          <w:szCs w:val="21"/>
        </w:rPr>
        <w:t>（2）</w:t>
      </w:r>
      <w:r>
        <w:rPr>
          <w:rFonts w:hint="eastAsia" w:ascii="宋体" w:hAnsi="宋体"/>
          <w:szCs w:val="21"/>
        </w:rPr>
        <w:tab/>
      </w:r>
      <w:r>
        <w:rPr>
          <w:rFonts w:hint="eastAsia" w:ascii="宋体" w:hAnsi="宋体"/>
          <w:szCs w:val="21"/>
        </w:rPr>
        <w:t>扣除我方向贵公司缴纳的履约保证金的10%作为违反廉洁自律承诺的违约金。如该违约金不足以弥补贵公司损失的，我单位仍将承担实际损失赔偿责任。</w:t>
      </w:r>
    </w:p>
    <w:p>
      <w:pPr>
        <w:spacing w:line="276" w:lineRule="auto"/>
        <w:ind w:firstLine="420" w:firstLineChars="200"/>
        <w:jc w:val="left"/>
        <w:rPr>
          <w:rFonts w:ascii="宋体" w:hAnsi="宋体"/>
          <w:szCs w:val="21"/>
        </w:rPr>
      </w:pPr>
      <w:r>
        <w:rPr>
          <w:rFonts w:hint="eastAsia" w:ascii="宋体" w:hAnsi="宋体"/>
          <w:szCs w:val="21"/>
        </w:rPr>
        <w:t>（3）</w:t>
      </w:r>
      <w:r>
        <w:rPr>
          <w:rFonts w:hint="eastAsia" w:ascii="宋体" w:hAnsi="宋体"/>
          <w:szCs w:val="21"/>
        </w:rPr>
        <w:tab/>
      </w:r>
      <w:r>
        <w:rPr>
          <w:rFonts w:hint="eastAsia" w:ascii="宋体" w:hAnsi="宋体"/>
          <w:szCs w:val="21"/>
        </w:rPr>
        <w:t>拒绝我单位在一定时期内进入贵公司进行项目建设或其它经营活动；</w:t>
      </w:r>
    </w:p>
    <w:p>
      <w:pPr>
        <w:spacing w:line="276" w:lineRule="auto"/>
        <w:ind w:firstLine="420" w:firstLineChars="200"/>
        <w:jc w:val="left"/>
        <w:rPr>
          <w:rFonts w:ascii="宋体" w:hAnsi="宋体"/>
          <w:szCs w:val="21"/>
        </w:rPr>
      </w:pPr>
      <w:r>
        <w:rPr>
          <w:rFonts w:hint="eastAsia" w:ascii="宋体" w:hAnsi="宋体"/>
          <w:szCs w:val="21"/>
        </w:rPr>
        <w:t>（4）</w:t>
      </w:r>
      <w:r>
        <w:rPr>
          <w:rFonts w:hint="eastAsia" w:ascii="宋体" w:hAnsi="宋体"/>
          <w:szCs w:val="21"/>
        </w:rPr>
        <w:tab/>
      </w:r>
      <w:r>
        <w:rPr>
          <w:rFonts w:hint="eastAsia" w:ascii="宋体" w:hAnsi="宋体"/>
          <w:szCs w:val="21"/>
        </w:rPr>
        <w:t>由此引起的相应损失均由我单位承担。</w:t>
      </w:r>
    </w:p>
    <w:p>
      <w:pPr>
        <w:spacing w:line="276" w:lineRule="auto"/>
        <w:ind w:firstLine="420" w:firstLineChars="200"/>
        <w:jc w:val="left"/>
        <w:rPr>
          <w:rFonts w:ascii="宋体" w:hAnsi="宋体"/>
          <w:szCs w:val="21"/>
        </w:rPr>
      </w:pPr>
    </w:p>
    <w:p>
      <w:pPr>
        <w:spacing w:line="276" w:lineRule="auto"/>
        <w:ind w:firstLine="420" w:firstLineChars="200"/>
        <w:jc w:val="left"/>
        <w:rPr>
          <w:rFonts w:ascii="宋体" w:hAnsi="宋体"/>
          <w:szCs w:val="21"/>
        </w:rPr>
      </w:pPr>
      <w:r>
        <w:rPr>
          <w:rFonts w:hint="eastAsia" w:ascii="宋体" w:hAnsi="宋体"/>
          <w:szCs w:val="21"/>
        </w:rPr>
        <w:t xml:space="preserve">承诺人单位名称（盖章）：            </w:t>
      </w:r>
    </w:p>
    <w:p>
      <w:pPr>
        <w:spacing w:line="276" w:lineRule="auto"/>
        <w:ind w:firstLine="420" w:firstLineChars="200"/>
        <w:jc w:val="left"/>
        <w:rPr>
          <w:rFonts w:ascii="宋体" w:hAnsi="宋体"/>
          <w:szCs w:val="21"/>
        </w:rPr>
      </w:pPr>
      <w:r>
        <w:rPr>
          <w:rFonts w:hint="eastAsia" w:ascii="宋体" w:hAnsi="宋体"/>
          <w:szCs w:val="21"/>
        </w:rPr>
        <w:t xml:space="preserve">法定代表人 ：                    </w:t>
      </w:r>
    </w:p>
    <w:p>
      <w:pPr>
        <w:spacing w:line="276" w:lineRule="auto"/>
        <w:ind w:firstLine="420" w:firstLineChars="200"/>
        <w:jc w:val="left"/>
        <w:rPr>
          <w:rFonts w:ascii="宋体" w:hAnsi="宋体"/>
          <w:szCs w:val="21"/>
        </w:rPr>
      </w:pPr>
      <w:r>
        <w:rPr>
          <w:rFonts w:hint="eastAsia" w:ascii="宋体" w:hAnsi="宋体"/>
          <w:szCs w:val="21"/>
        </w:rPr>
        <w:t xml:space="preserve">或                            </w:t>
      </w:r>
    </w:p>
    <w:p>
      <w:pPr>
        <w:spacing w:line="276" w:lineRule="auto"/>
        <w:ind w:firstLine="420" w:firstLineChars="200"/>
        <w:jc w:val="left"/>
        <w:rPr>
          <w:rFonts w:ascii="宋体" w:hAnsi="宋体"/>
          <w:szCs w:val="21"/>
        </w:rPr>
      </w:pPr>
      <w:r>
        <w:rPr>
          <w:rFonts w:hint="eastAsia" w:ascii="宋体" w:hAnsi="宋体"/>
          <w:szCs w:val="21"/>
        </w:rPr>
        <w:t xml:space="preserve">委托代理人：                   </w:t>
      </w:r>
    </w:p>
    <w:p>
      <w:pPr>
        <w:spacing w:line="276" w:lineRule="auto"/>
        <w:ind w:firstLine="420" w:firstLineChars="200"/>
        <w:jc w:val="left"/>
        <w:rPr>
          <w:rFonts w:ascii="宋体" w:hAnsi="宋体"/>
          <w:szCs w:val="21"/>
        </w:rPr>
      </w:pPr>
    </w:p>
    <w:p>
      <w:pPr>
        <w:spacing w:line="276" w:lineRule="auto"/>
        <w:ind w:firstLine="420" w:firstLineChars="200"/>
        <w:jc w:val="left"/>
        <w:rPr>
          <w:rFonts w:ascii="宋体" w:hAnsi="宋体"/>
          <w:szCs w:val="21"/>
        </w:rPr>
      </w:pPr>
      <w:r>
        <w:rPr>
          <w:rFonts w:hint="eastAsia" w:ascii="宋体" w:hAnsi="宋体"/>
          <w:szCs w:val="21"/>
        </w:rPr>
        <w:t xml:space="preserve">                           年     月     日</w:t>
      </w:r>
    </w:p>
    <w:p>
      <w:pPr>
        <w:spacing w:line="440" w:lineRule="exact"/>
        <w:jc w:val="center"/>
        <w:rPr>
          <w:rFonts w:ascii="宋体" w:hAnsi="宋体"/>
          <w:sz w:val="22"/>
        </w:rPr>
      </w:pPr>
      <w:r>
        <w:rPr>
          <w:rFonts w:eastAsia="黑体" w:cs="Calibri"/>
          <w:sz w:val="32"/>
          <w:szCs w:val="32"/>
        </w:rPr>
        <w:br w:type="page"/>
      </w:r>
      <w:r>
        <w:rPr>
          <w:rFonts w:hint="eastAsia" w:eastAsia="黑体" w:cs="Calibri"/>
          <w:sz w:val="32"/>
          <w:szCs w:val="32"/>
        </w:rPr>
        <w:t>十一</w:t>
      </w:r>
      <w:r>
        <w:rPr>
          <w:rFonts w:eastAsia="黑体" w:cs="Calibri"/>
          <w:sz w:val="32"/>
          <w:szCs w:val="32"/>
        </w:rPr>
        <w:t>、</w:t>
      </w:r>
      <w:r>
        <w:rPr>
          <w:rFonts w:hint="eastAsia" w:eastAsia="黑体" w:cs="Calibri"/>
          <w:sz w:val="32"/>
          <w:szCs w:val="32"/>
        </w:rPr>
        <w:t>投标人认为</w:t>
      </w:r>
      <w:r>
        <w:rPr>
          <w:rFonts w:eastAsia="黑体" w:cs="Calibri"/>
          <w:sz w:val="32"/>
          <w:szCs w:val="32"/>
        </w:rPr>
        <w:t>应该提供的其他材料</w:t>
      </w:r>
    </w:p>
    <w:p/>
    <w:p/>
    <w:p/>
    <w:sectPr>
      <w:footerReference r:id="rId8"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S?o｡ﾀ?">
    <w:altName w:val="MS PGothic"/>
    <w:panose1 w:val="00000000000000000000"/>
    <w:charset w:val="80"/>
    <w:family w:val="modern"/>
    <w:pitch w:val="default"/>
    <w:sig w:usb0="00000000" w:usb1="00000000" w:usb2="00000010" w:usb3="00000000" w:csb0="00020000" w:csb1="00000000"/>
  </w:font>
  <w:font w:name="Calibri Light">
    <w:panose1 w:val="020F0302020204030204"/>
    <w:charset w:val="00"/>
    <w:family w:val="swiss"/>
    <w:pitch w:val="default"/>
    <w:sig w:usb0="A00002EF" w:usb1="4000207B" w:usb2="00000000" w:usb3="00000000" w:csb0="2000019F" w:csb1="00000000"/>
  </w:font>
  <w:font w:name="Microsoft YaHei UI">
    <w:panose1 w:val="020B0503020204020204"/>
    <w:charset w:val="86"/>
    <w:family w:val="swiss"/>
    <w:pitch w:val="default"/>
    <w:sig w:usb0="80000287" w:usb1="28C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instrText xml:space="preserve"> PAGE   \* MERGEFORMAT </w:instrText>
    </w:r>
    <w:r>
      <w:fldChar w:fldCharType="separate"/>
    </w:r>
    <w:r>
      <w:rPr>
        <w:lang w:val="zh-CN"/>
      </w:rP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outside" w:y="1"/>
      <w:rPr>
        <w:rStyle w:val="49"/>
      </w:rPr>
    </w:pPr>
    <w:r>
      <w:fldChar w:fldCharType="begin"/>
    </w:r>
    <w:r>
      <w:rPr>
        <w:rStyle w:val="49"/>
      </w:rPr>
      <w:instrText xml:space="preserve">PAGE  </w:instrText>
    </w:r>
    <w:r>
      <w:fldChar w:fldCharType="separate"/>
    </w:r>
    <w:r>
      <w:rPr>
        <w:rStyle w:val="49"/>
      </w:rPr>
      <w:t>0</w:t>
    </w:r>
    <w:r>
      <w:fldChar w:fldCharType="end"/>
    </w:r>
  </w:p>
  <w:p>
    <w:pPr>
      <w:pStyle w:val="2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p>
  <w:p>
    <w:pPr>
      <w:pStyle w:val="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outside" w:y="1"/>
      <w:rPr>
        <w:rStyle w:val="49"/>
      </w:rPr>
    </w:pPr>
    <w:r>
      <w:fldChar w:fldCharType="begin"/>
    </w:r>
    <w:r>
      <w:rPr>
        <w:rStyle w:val="49"/>
      </w:rPr>
      <w:instrText xml:space="preserve">PAGE  </w:instrText>
    </w:r>
    <w:r>
      <w:fldChar w:fldCharType="separate"/>
    </w:r>
    <w:r>
      <w:rPr>
        <w:rStyle w:val="49"/>
      </w:rPr>
      <w:t>0</w:t>
    </w:r>
    <w:r>
      <w:fldChar w:fldCharType="end"/>
    </w:r>
  </w:p>
  <w:p>
    <w:pPr>
      <w:pStyle w:val="25"/>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outside" w:y="1"/>
      <w:rPr>
        <w:rStyle w:val="49"/>
      </w:rPr>
    </w:pPr>
    <w:r>
      <w:fldChar w:fldCharType="begin"/>
    </w:r>
    <w:r>
      <w:rPr>
        <w:rStyle w:val="49"/>
      </w:rPr>
      <w:instrText xml:space="preserve">PAGE  </w:instrText>
    </w:r>
    <w:r>
      <w:fldChar w:fldCharType="separate"/>
    </w:r>
    <w:r>
      <w:rPr>
        <w:rStyle w:val="49"/>
      </w:rPr>
      <w:t>0</w:t>
    </w:r>
    <w:r>
      <w:fldChar w:fldCharType="end"/>
    </w:r>
  </w:p>
  <w:p>
    <w:pPr>
      <w:pStyle w:val="2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djustRightInd w:val="0"/>
      <w:snapToGrid w:val="0"/>
      <w:textAlignment w:val="baseline"/>
      <w:rPr>
        <w:color w:val="000000"/>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D64C50"/>
    <w:multiLevelType w:val="singleLevel"/>
    <w:tmpl w:val="97D64C50"/>
    <w:lvl w:ilvl="0" w:tentative="0">
      <w:start w:val="2"/>
      <w:numFmt w:val="decimal"/>
      <w:suff w:val="nothing"/>
      <w:lvlText w:val="%1、"/>
      <w:lvlJc w:val="left"/>
    </w:lvl>
  </w:abstractNum>
  <w:abstractNum w:abstractNumId="1">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2">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5">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FF013D"/>
    <w:rsid w:val="780B41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qFormat="1" w:unhideWhenUsed="0" w:uiPriority="0" w:semiHidden="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0" w:name="Default Paragraph Font"/>
    <w:lsdException w:qFormat="1" w:unhideWhenUsed="0" w:uiPriority="0" w:semiHidden="0" w:name="Body Text"/>
    <w:lsdException w:qFormat="1" w:unhideWhenUsed="0" w:uiPriority="0" w:semiHidden="0" w:name="Body Text Indent"/>
    <w:lsdException w:uiPriority="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5"/>
    <w:qFormat/>
    <w:uiPriority w:val="0"/>
    <w:pPr>
      <w:keepNext/>
      <w:keepLines/>
      <w:spacing w:before="340" w:after="330" w:line="576" w:lineRule="auto"/>
      <w:outlineLvl w:val="0"/>
    </w:pPr>
    <w:rPr>
      <w:rFonts w:ascii="Times New Roman" w:hAnsi="Times New Roman"/>
      <w:b/>
      <w:bCs/>
      <w:kern w:val="44"/>
      <w:sz w:val="44"/>
      <w:szCs w:val="44"/>
    </w:rPr>
  </w:style>
  <w:style w:type="paragraph" w:styleId="3">
    <w:name w:val="heading 2"/>
    <w:basedOn w:val="1"/>
    <w:next w:val="1"/>
    <w:link w:val="103"/>
    <w:unhideWhenUsed/>
    <w:qFormat/>
    <w:uiPriority w:val="0"/>
    <w:pPr>
      <w:keepNext/>
      <w:keepLines/>
      <w:spacing w:before="260" w:after="260" w:line="413" w:lineRule="auto"/>
      <w:outlineLvl w:val="1"/>
    </w:pPr>
    <w:rPr>
      <w:rFonts w:ascii="Arial" w:hAnsi="Arial" w:eastAsia="黑体"/>
      <w:b/>
      <w:bCs/>
      <w:kern w:val="0"/>
      <w:sz w:val="32"/>
      <w:szCs w:val="32"/>
    </w:rPr>
  </w:style>
  <w:style w:type="paragraph" w:styleId="4">
    <w:name w:val="heading 3"/>
    <w:basedOn w:val="1"/>
    <w:next w:val="1"/>
    <w:link w:val="110"/>
    <w:unhideWhenUsed/>
    <w:qFormat/>
    <w:uiPriority w:val="0"/>
    <w:pPr>
      <w:spacing w:line="440" w:lineRule="atLeast"/>
      <w:outlineLvl w:val="2"/>
    </w:pPr>
    <w:rPr>
      <w:rFonts w:ascii="Times New Roman" w:hAnsi="Times New Roman" w:eastAsia="楷体_GB2312"/>
      <w:kern w:val="0"/>
      <w:sz w:val="28"/>
      <w:szCs w:val="20"/>
    </w:rPr>
  </w:style>
  <w:style w:type="paragraph" w:styleId="5">
    <w:name w:val="heading 4"/>
    <w:basedOn w:val="1"/>
    <w:next w:val="1"/>
    <w:link w:val="143"/>
    <w:unhideWhenUsed/>
    <w:qFormat/>
    <w:uiPriority w:val="0"/>
    <w:pPr>
      <w:keepNext/>
      <w:keepLines/>
      <w:spacing w:before="280" w:after="290" w:line="372" w:lineRule="auto"/>
      <w:outlineLvl w:val="3"/>
    </w:pPr>
    <w:rPr>
      <w:rFonts w:ascii="Arial" w:hAnsi="Arial" w:eastAsia="黑体"/>
      <w:b/>
      <w:bCs/>
      <w:kern w:val="0"/>
      <w:sz w:val="28"/>
      <w:szCs w:val="28"/>
    </w:rPr>
  </w:style>
  <w:style w:type="paragraph" w:styleId="6">
    <w:name w:val="heading 5"/>
    <w:basedOn w:val="1"/>
    <w:next w:val="1"/>
    <w:link w:val="124"/>
    <w:unhideWhenUsed/>
    <w:qFormat/>
    <w:uiPriority w:val="0"/>
    <w:pPr>
      <w:keepNext/>
      <w:keepLines/>
      <w:spacing w:before="280" w:after="290" w:line="372" w:lineRule="auto"/>
      <w:outlineLvl w:val="4"/>
    </w:pPr>
    <w:rPr>
      <w:rFonts w:ascii="Times New Roman" w:hAnsi="Times New Roman"/>
      <w:b/>
      <w:bCs/>
      <w:kern w:val="0"/>
      <w:sz w:val="28"/>
      <w:szCs w:val="28"/>
    </w:rPr>
  </w:style>
  <w:style w:type="character" w:default="1" w:styleId="48">
    <w:name w:val="Default Paragraph Font"/>
    <w:semiHidden/>
    <w:unhideWhenUsed/>
    <w:qFormat/>
    <w:uiPriority w:val="0"/>
  </w:style>
  <w:style w:type="table" w:default="1" w:styleId="46">
    <w:name w:val="Normal Table"/>
    <w:semiHidden/>
    <w:unhideWhenUsed/>
    <w:qFormat/>
    <w:uiPriority w:val="0"/>
    <w:tblPr>
      <w:tblLayout w:type="fixed"/>
      <w:tblCellMar>
        <w:top w:w="0" w:type="dxa"/>
        <w:left w:w="108" w:type="dxa"/>
        <w:bottom w:w="0" w:type="dxa"/>
        <w:right w:w="108" w:type="dxa"/>
      </w:tblCellMar>
    </w:tblPr>
  </w:style>
  <w:style w:type="paragraph" w:styleId="7">
    <w:name w:val="List 3"/>
    <w:basedOn w:val="1"/>
    <w:qFormat/>
    <w:uiPriority w:val="0"/>
    <w:pPr>
      <w:ind w:left="100" w:leftChars="400" w:hanging="200" w:hangingChars="200"/>
    </w:pPr>
    <w:rPr>
      <w:rFonts w:ascii="Times New Roman" w:hAnsi="Times New Roman"/>
      <w:szCs w:val="24"/>
    </w:rPr>
  </w:style>
  <w:style w:type="paragraph" w:styleId="8">
    <w:name w:val="toc 7"/>
    <w:basedOn w:val="1"/>
    <w:next w:val="1"/>
    <w:qFormat/>
    <w:uiPriority w:val="0"/>
    <w:pPr>
      <w:ind w:left="2520"/>
    </w:pPr>
    <w:rPr>
      <w:rFonts w:ascii="Times New Roman" w:hAnsi="Times New Roman"/>
      <w:szCs w:val="24"/>
    </w:rPr>
  </w:style>
  <w:style w:type="paragraph" w:styleId="9">
    <w:name w:val="Normal Indent"/>
    <w:basedOn w:val="1"/>
    <w:link w:val="123"/>
    <w:qFormat/>
    <w:uiPriority w:val="0"/>
    <w:pPr>
      <w:autoSpaceDE w:val="0"/>
      <w:autoSpaceDN w:val="0"/>
      <w:adjustRightInd w:val="0"/>
      <w:ind w:firstLine="420"/>
      <w:jc w:val="left"/>
    </w:pPr>
    <w:rPr>
      <w:rFonts w:ascii="宋体" w:hAnsi="Times New Roman"/>
      <w:sz w:val="34"/>
    </w:rPr>
  </w:style>
  <w:style w:type="paragraph" w:styleId="10">
    <w:name w:val="caption"/>
    <w:basedOn w:val="1"/>
    <w:next w:val="1"/>
    <w:unhideWhenUsed/>
    <w:qFormat/>
    <w:uiPriority w:val="0"/>
    <w:rPr>
      <w:rFonts w:ascii="Arial" w:hAnsi="Arial" w:eastAsia="黑体" w:cs="Arial"/>
      <w:sz w:val="20"/>
      <w:szCs w:val="20"/>
    </w:rPr>
  </w:style>
  <w:style w:type="paragraph" w:styleId="11">
    <w:name w:val="Document Map"/>
    <w:basedOn w:val="1"/>
    <w:link w:val="130"/>
    <w:qFormat/>
    <w:uiPriority w:val="0"/>
    <w:pPr>
      <w:shd w:val="clear" w:color="auto" w:fill="000080"/>
    </w:pPr>
    <w:rPr>
      <w:rFonts w:ascii="Times New Roman" w:hAnsi="Times New Roman"/>
      <w:szCs w:val="24"/>
    </w:rPr>
  </w:style>
  <w:style w:type="paragraph" w:styleId="12">
    <w:name w:val="toa heading"/>
    <w:basedOn w:val="1"/>
    <w:next w:val="1"/>
    <w:qFormat/>
    <w:uiPriority w:val="0"/>
    <w:pPr>
      <w:spacing w:before="120"/>
    </w:pPr>
    <w:rPr>
      <w:rFonts w:ascii="Arial" w:hAnsi="Arial" w:cs="Arial"/>
      <w:sz w:val="24"/>
      <w:szCs w:val="24"/>
    </w:rPr>
  </w:style>
  <w:style w:type="paragraph" w:styleId="13">
    <w:name w:val="annotation text"/>
    <w:basedOn w:val="1"/>
    <w:link w:val="100"/>
    <w:qFormat/>
    <w:uiPriority w:val="0"/>
    <w:pPr>
      <w:jc w:val="left"/>
    </w:pPr>
  </w:style>
  <w:style w:type="paragraph" w:styleId="14">
    <w:name w:val="Body Text"/>
    <w:basedOn w:val="1"/>
    <w:link w:val="114"/>
    <w:qFormat/>
    <w:uiPriority w:val="0"/>
    <w:pPr>
      <w:spacing w:after="120"/>
    </w:pPr>
  </w:style>
  <w:style w:type="paragraph" w:styleId="15">
    <w:name w:val="Body Text Indent"/>
    <w:basedOn w:val="1"/>
    <w:link w:val="155"/>
    <w:qFormat/>
    <w:uiPriority w:val="0"/>
    <w:pPr>
      <w:spacing w:after="120"/>
      <w:ind w:left="420" w:leftChars="200"/>
    </w:pPr>
  </w:style>
  <w:style w:type="paragraph" w:styleId="16">
    <w:name w:val="List 2"/>
    <w:basedOn w:val="1"/>
    <w:qFormat/>
    <w:uiPriority w:val="0"/>
    <w:pPr>
      <w:ind w:left="100" w:leftChars="200" w:hanging="200" w:hangingChars="200"/>
    </w:pPr>
    <w:rPr>
      <w:rFonts w:ascii="Times New Roman" w:hAnsi="Times New Roman"/>
      <w:szCs w:val="24"/>
    </w:rPr>
  </w:style>
  <w:style w:type="paragraph" w:styleId="17">
    <w:name w:val="toc 5"/>
    <w:basedOn w:val="1"/>
    <w:next w:val="1"/>
    <w:qFormat/>
    <w:uiPriority w:val="0"/>
    <w:pPr>
      <w:ind w:left="1680"/>
    </w:pPr>
    <w:rPr>
      <w:rFonts w:ascii="Times New Roman" w:hAnsi="Times New Roman"/>
      <w:szCs w:val="24"/>
    </w:rPr>
  </w:style>
  <w:style w:type="paragraph" w:styleId="18">
    <w:name w:val="toc 3"/>
    <w:basedOn w:val="1"/>
    <w:next w:val="1"/>
    <w:qFormat/>
    <w:uiPriority w:val="0"/>
    <w:pPr>
      <w:spacing w:line="360" w:lineRule="auto"/>
      <w:ind w:left="400" w:leftChars="400"/>
    </w:pPr>
    <w:rPr>
      <w:rFonts w:ascii="Times New Roman" w:hAnsi="Times New Roman"/>
      <w:szCs w:val="24"/>
    </w:rPr>
  </w:style>
  <w:style w:type="paragraph" w:styleId="19">
    <w:name w:val="Plain Text"/>
    <w:basedOn w:val="1"/>
    <w:link w:val="142"/>
    <w:qFormat/>
    <w:uiPriority w:val="0"/>
    <w:rPr>
      <w:rFonts w:ascii="宋体" w:hAnsi="Courier New"/>
      <w:szCs w:val="21"/>
    </w:rPr>
  </w:style>
  <w:style w:type="paragraph" w:styleId="20">
    <w:name w:val="toc 8"/>
    <w:basedOn w:val="1"/>
    <w:next w:val="1"/>
    <w:qFormat/>
    <w:uiPriority w:val="0"/>
    <w:pPr>
      <w:ind w:left="2940"/>
    </w:pPr>
    <w:rPr>
      <w:rFonts w:ascii="Times New Roman" w:hAnsi="Times New Roman"/>
      <w:szCs w:val="24"/>
    </w:rPr>
  </w:style>
  <w:style w:type="paragraph" w:styleId="21">
    <w:name w:val="index 3"/>
    <w:basedOn w:val="1"/>
    <w:next w:val="1"/>
    <w:qFormat/>
    <w:uiPriority w:val="0"/>
    <w:pPr>
      <w:ind w:left="400" w:leftChars="400"/>
    </w:pPr>
    <w:rPr>
      <w:rFonts w:ascii="Times New Roman" w:hAnsi="Times New Roman"/>
      <w:szCs w:val="24"/>
    </w:rPr>
  </w:style>
  <w:style w:type="paragraph" w:styleId="22">
    <w:name w:val="Date"/>
    <w:basedOn w:val="1"/>
    <w:next w:val="1"/>
    <w:link w:val="106"/>
    <w:qFormat/>
    <w:uiPriority w:val="0"/>
    <w:pPr>
      <w:ind w:left="100" w:leftChars="2500"/>
    </w:pPr>
    <w:rPr>
      <w:rFonts w:ascii="Times New Roman" w:hAnsi="Times New Roman"/>
      <w:b/>
      <w:bCs/>
      <w:sz w:val="36"/>
      <w:szCs w:val="24"/>
    </w:rPr>
  </w:style>
  <w:style w:type="paragraph" w:styleId="23">
    <w:name w:val="Body Text Indent 2"/>
    <w:basedOn w:val="1"/>
    <w:link w:val="147"/>
    <w:qFormat/>
    <w:uiPriority w:val="0"/>
    <w:pPr>
      <w:spacing w:after="120" w:line="480" w:lineRule="auto"/>
      <w:ind w:left="420" w:leftChars="200"/>
    </w:pPr>
    <w:rPr>
      <w:rFonts w:ascii="Times New Roman" w:hAnsi="Times New Roman"/>
      <w:szCs w:val="24"/>
    </w:rPr>
  </w:style>
  <w:style w:type="paragraph" w:styleId="24">
    <w:name w:val="Balloon Text"/>
    <w:basedOn w:val="1"/>
    <w:link w:val="104"/>
    <w:qFormat/>
    <w:uiPriority w:val="0"/>
    <w:rPr>
      <w:rFonts w:ascii="Times New Roman" w:hAnsi="Times New Roman"/>
      <w:sz w:val="18"/>
      <w:szCs w:val="18"/>
    </w:rPr>
  </w:style>
  <w:style w:type="paragraph" w:styleId="25">
    <w:name w:val="footer"/>
    <w:basedOn w:val="1"/>
    <w:link w:val="122"/>
    <w:qFormat/>
    <w:uiPriority w:val="0"/>
    <w:pPr>
      <w:tabs>
        <w:tab w:val="center" w:pos="4153"/>
        <w:tab w:val="right" w:pos="8306"/>
      </w:tabs>
      <w:snapToGrid w:val="0"/>
      <w:jc w:val="left"/>
    </w:pPr>
    <w:rPr>
      <w:rFonts w:ascii="Times New Roman" w:hAnsi="Times New Roman"/>
      <w:sz w:val="18"/>
      <w:szCs w:val="18"/>
    </w:rPr>
  </w:style>
  <w:style w:type="paragraph" w:styleId="26">
    <w:name w:val="header"/>
    <w:basedOn w:val="1"/>
    <w:link w:val="145"/>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27">
    <w:name w:val="toc 1"/>
    <w:basedOn w:val="2"/>
    <w:next w:val="1"/>
    <w:qFormat/>
    <w:uiPriority w:val="0"/>
    <w:pPr>
      <w:tabs>
        <w:tab w:val="right" w:leader="dot" w:pos="8659"/>
      </w:tabs>
      <w:spacing w:before="0" w:after="0" w:line="240" w:lineRule="auto"/>
      <w:jc w:val="center"/>
    </w:pPr>
    <w:rPr>
      <w:b w:val="0"/>
      <w:sz w:val="21"/>
    </w:rPr>
  </w:style>
  <w:style w:type="paragraph" w:styleId="28">
    <w:name w:val="toc 4"/>
    <w:basedOn w:val="1"/>
    <w:next w:val="1"/>
    <w:qFormat/>
    <w:uiPriority w:val="0"/>
    <w:pPr>
      <w:ind w:left="1260"/>
    </w:pPr>
    <w:rPr>
      <w:rFonts w:ascii="Times New Roman" w:hAnsi="Times New Roman"/>
      <w:szCs w:val="24"/>
    </w:rPr>
  </w:style>
  <w:style w:type="paragraph" w:styleId="29">
    <w:name w:val="List"/>
    <w:basedOn w:val="1"/>
    <w:qFormat/>
    <w:uiPriority w:val="0"/>
    <w:pPr>
      <w:ind w:left="200" w:hanging="200" w:hangingChars="200"/>
    </w:pPr>
    <w:rPr>
      <w:rFonts w:ascii="Times New Roman" w:hAnsi="Times New Roman"/>
      <w:szCs w:val="24"/>
    </w:rPr>
  </w:style>
  <w:style w:type="paragraph" w:styleId="30">
    <w:name w:val="footnote text"/>
    <w:basedOn w:val="1"/>
    <w:link w:val="109"/>
    <w:qFormat/>
    <w:uiPriority w:val="0"/>
    <w:pPr>
      <w:snapToGrid w:val="0"/>
      <w:jc w:val="left"/>
    </w:pPr>
    <w:rPr>
      <w:rFonts w:ascii="Times New Roman" w:hAnsi="Times New Roman"/>
      <w:sz w:val="18"/>
      <w:szCs w:val="18"/>
    </w:rPr>
  </w:style>
  <w:style w:type="paragraph" w:styleId="31">
    <w:name w:val="toc 6"/>
    <w:basedOn w:val="1"/>
    <w:next w:val="1"/>
    <w:qFormat/>
    <w:uiPriority w:val="0"/>
    <w:pPr>
      <w:ind w:left="2100"/>
    </w:pPr>
    <w:rPr>
      <w:rFonts w:ascii="Times New Roman" w:hAnsi="Times New Roman"/>
      <w:szCs w:val="24"/>
    </w:rPr>
  </w:style>
  <w:style w:type="paragraph" w:styleId="32">
    <w:name w:val="Body Text Indent 3"/>
    <w:basedOn w:val="1"/>
    <w:link w:val="138"/>
    <w:qFormat/>
    <w:uiPriority w:val="0"/>
    <w:pPr>
      <w:spacing w:line="540" w:lineRule="atLeast"/>
      <w:ind w:firstLine="480" w:firstLineChars="200"/>
    </w:pPr>
    <w:rPr>
      <w:rFonts w:ascii="Times New Roman" w:hAnsi="Times New Roman"/>
      <w:sz w:val="24"/>
      <w:szCs w:val="24"/>
    </w:rPr>
  </w:style>
  <w:style w:type="paragraph" w:styleId="33">
    <w:name w:val="table of figures"/>
    <w:basedOn w:val="1"/>
    <w:next w:val="1"/>
    <w:qFormat/>
    <w:uiPriority w:val="0"/>
    <w:pPr>
      <w:ind w:left="200" w:leftChars="200" w:hanging="200" w:hangingChars="200"/>
    </w:pPr>
    <w:rPr>
      <w:rFonts w:ascii="Times New Roman" w:hAnsi="Times New Roman"/>
      <w:szCs w:val="24"/>
    </w:rPr>
  </w:style>
  <w:style w:type="paragraph" w:styleId="34">
    <w:name w:val="toc 2"/>
    <w:basedOn w:val="1"/>
    <w:next w:val="1"/>
    <w:qFormat/>
    <w:uiPriority w:val="0"/>
    <w:pPr>
      <w:spacing w:line="360" w:lineRule="auto"/>
      <w:ind w:left="200" w:leftChars="200"/>
    </w:pPr>
    <w:rPr>
      <w:rFonts w:ascii="Times New Roman" w:hAnsi="Times New Roman"/>
      <w:szCs w:val="24"/>
    </w:rPr>
  </w:style>
  <w:style w:type="paragraph" w:styleId="35">
    <w:name w:val="toc 9"/>
    <w:basedOn w:val="1"/>
    <w:next w:val="1"/>
    <w:qFormat/>
    <w:uiPriority w:val="0"/>
    <w:pPr>
      <w:ind w:left="3360"/>
    </w:pPr>
    <w:rPr>
      <w:rFonts w:ascii="Times New Roman" w:hAnsi="Times New Roman"/>
      <w:szCs w:val="24"/>
    </w:rPr>
  </w:style>
  <w:style w:type="paragraph" w:styleId="36">
    <w:name w:val="Body Text 2"/>
    <w:basedOn w:val="1"/>
    <w:link w:val="113"/>
    <w:qFormat/>
    <w:uiPriority w:val="0"/>
    <w:pPr>
      <w:spacing w:after="120" w:line="480" w:lineRule="auto"/>
    </w:pPr>
    <w:rPr>
      <w:rFonts w:ascii="Times New Roman" w:hAnsi="Times New Roman"/>
      <w:szCs w:val="24"/>
    </w:rPr>
  </w:style>
  <w:style w:type="paragraph" w:styleId="37">
    <w:name w:val="List 4"/>
    <w:basedOn w:val="1"/>
    <w:qFormat/>
    <w:uiPriority w:val="0"/>
    <w:pPr>
      <w:ind w:left="100" w:leftChars="600" w:hanging="200" w:hangingChars="200"/>
    </w:pPr>
    <w:rPr>
      <w:rFonts w:ascii="Times New Roman" w:hAnsi="Times New Roman"/>
      <w:szCs w:val="24"/>
    </w:rPr>
  </w:style>
  <w:style w:type="paragraph" w:styleId="38">
    <w:name w:val="List Continue 2"/>
    <w:basedOn w:val="1"/>
    <w:qFormat/>
    <w:uiPriority w:val="0"/>
    <w:pPr>
      <w:spacing w:after="120"/>
      <w:ind w:left="840" w:leftChars="400"/>
    </w:pPr>
    <w:rPr>
      <w:rFonts w:ascii="Times New Roman" w:hAnsi="Times New Roman"/>
      <w:szCs w:val="24"/>
    </w:rPr>
  </w:style>
  <w:style w:type="paragraph" w:styleId="3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40">
    <w:name w:val="index 1"/>
    <w:basedOn w:val="1"/>
    <w:next w:val="1"/>
    <w:qFormat/>
    <w:uiPriority w:val="0"/>
    <w:pPr>
      <w:spacing w:line="320" w:lineRule="exact"/>
    </w:pPr>
    <w:rPr>
      <w:rFonts w:ascii="Times New Roman" w:hAnsi="Times New Roman"/>
      <w:snapToGrid w:val="0"/>
      <w:color w:val="FF6600"/>
      <w:kern w:val="0"/>
      <w:sz w:val="18"/>
      <w:szCs w:val="21"/>
    </w:rPr>
  </w:style>
  <w:style w:type="paragraph" w:styleId="41">
    <w:name w:val="index 2"/>
    <w:basedOn w:val="1"/>
    <w:next w:val="1"/>
    <w:qFormat/>
    <w:uiPriority w:val="0"/>
    <w:pPr>
      <w:ind w:left="200" w:leftChars="200"/>
    </w:pPr>
    <w:rPr>
      <w:rFonts w:ascii="Times New Roman" w:hAnsi="Times New Roman"/>
      <w:szCs w:val="24"/>
    </w:rPr>
  </w:style>
  <w:style w:type="paragraph" w:styleId="42">
    <w:name w:val="Title"/>
    <w:basedOn w:val="1"/>
    <w:link w:val="112"/>
    <w:qFormat/>
    <w:uiPriority w:val="0"/>
    <w:pPr>
      <w:spacing w:before="240" w:after="60"/>
      <w:jc w:val="center"/>
      <w:outlineLvl w:val="0"/>
    </w:pPr>
    <w:rPr>
      <w:rFonts w:ascii="Arial" w:hAnsi="Arial"/>
      <w:b/>
      <w:bCs/>
      <w:sz w:val="32"/>
      <w:szCs w:val="32"/>
    </w:rPr>
  </w:style>
  <w:style w:type="paragraph" w:styleId="43">
    <w:name w:val="annotation subject"/>
    <w:basedOn w:val="13"/>
    <w:next w:val="13"/>
    <w:link w:val="99"/>
    <w:qFormat/>
    <w:uiPriority w:val="0"/>
    <w:rPr>
      <w:rFonts w:ascii="Times New Roman" w:hAnsi="Times New Roman"/>
      <w:b/>
      <w:bCs/>
      <w:szCs w:val="24"/>
    </w:rPr>
  </w:style>
  <w:style w:type="paragraph" w:styleId="44">
    <w:name w:val="Body Text First Indent"/>
    <w:basedOn w:val="14"/>
    <w:link w:val="129"/>
    <w:qFormat/>
    <w:uiPriority w:val="0"/>
    <w:pPr>
      <w:ind w:firstLine="420" w:firstLineChars="100"/>
    </w:pPr>
    <w:rPr>
      <w:rFonts w:ascii="Times New Roman" w:hAnsi="Times New Roman"/>
      <w:szCs w:val="24"/>
    </w:rPr>
  </w:style>
  <w:style w:type="paragraph" w:styleId="45">
    <w:name w:val="Body Text First Indent 2"/>
    <w:basedOn w:val="15"/>
    <w:link w:val="127"/>
    <w:qFormat/>
    <w:uiPriority w:val="0"/>
    <w:pPr>
      <w:ind w:firstLine="420" w:firstLineChars="200"/>
    </w:pPr>
    <w:rPr>
      <w:rFonts w:ascii="Times New Roman" w:hAnsi="Times New Roman"/>
      <w:szCs w:val="24"/>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9">
    <w:name w:val="page number"/>
    <w:qFormat/>
    <w:uiPriority w:val="0"/>
    <w:rPr>
      <w:rFonts w:ascii="Calibri" w:hAnsi="Calibri" w:eastAsia="宋体" w:cs="Times New Roman"/>
      <w:lang w:val="en-US" w:eastAsia="zh-CN" w:bidi="ar-SA"/>
    </w:rPr>
  </w:style>
  <w:style w:type="character" w:styleId="50">
    <w:name w:val="FollowedHyperlink"/>
    <w:qFormat/>
    <w:uiPriority w:val="0"/>
    <w:rPr>
      <w:rFonts w:ascii="Calibri" w:hAnsi="Calibri" w:eastAsia="宋体" w:cs="Times New Roman"/>
      <w:color w:val="800080"/>
      <w:u w:val="single"/>
      <w:lang w:val="en-US" w:eastAsia="zh-CN" w:bidi="ar-SA"/>
    </w:rPr>
  </w:style>
  <w:style w:type="character" w:styleId="51">
    <w:name w:val="Emphasis"/>
    <w:qFormat/>
    <w:uiPriority w:val="0"/>
    <w:rPr>
      <w:rFonts w:ascii="Calibri" w:hAnsi="Calibri" w:eastAsia="宋体" w:cs="Times New Roman"/>
      <w:i/>
      <w:iCs/>
      <w:lang w:val="en-US" w:eastAsia="zh-CN" w:bidi="ar-SA"/>
    </w:rPr>
  </w:style>
  <w:style w:type="character" w:styleId="52">
    <w:name w:val="Hyperlink"/>
    <w:qFormat/>
    <w:uiPriority w:val="0"/>
    <w:rPr>
      <w:rFonts w:ascii="Calibri" w:hAnsi="Calibri" w:eastAsia="宋体" w:cs="Times New Roman"/>
      <w:color w:val="0000FF"/>
      <w:u w:val="single"/>
      <w:lang w:val="en-US" w:eastAsia="zh-CN" w:bidi="ar-SA"/>
    </w:rPr>
  </w:style>
  <w:style w:type="character" w:styleId="53">
    <w:name w:val="annotation reference"/>
    <w:qFormat/>
    <w:uiPriority w:val="0"/>
    <w:rPr>
      <w:rFonts w:ascii="Calibri" w:hAnsi="Calibri" w:eastAsia="宋体" w:cs="Times New Roman"/>
      <w:sz w:val="21"/>
      <w:szCs w:val="21"/>
      <w:lang w:val="en-US" w:eastAsia="zh-CN" w:bidi="ar-SA"/>
    </w:rPr>
  </w:style>
  <w:style w:type="character" w:styleId="54">
    <w:name w:val="footnote reference"/>
    <w:qFormat/>
    <w:uiPriority w:val="0"/>
    <w:rPr>
      <w:rFonts w:ascii="Calibri" w:hAnsi="Calibri" w:eastAsia="宋体" w:cs="Times New Roman"/>
      <w:vertAlign w:val="superscript"/>
      <w:lang w:val="en-US" w:eastAsia="zh-CN" w:bidi="ar-SA"/>
    </w:rPr>
  </w:style>
  <w:style w:type="paragraph" w:customStyle="1" w:styleId="55">
    <w:name w:val="样式1"/>
    <w:basedOn w:val="1"/>
    <w:qFormat/>
    <w:uiPriority w:val="0"/>
    <w:pPr>
      <w:spacing w:line="360" w:lineRule="auto"/>
      <w:jc w:val="center"/>
    </w:pPr>
    <w:rPr>
      <w:rFonts w:ascii="宋体" w:hAnsi="宋体"/>
      <w:sz w:val="32"/>
      <w:szCs w:val="30"/>
    </w:rPr>
  </w:style>
  <w:style w:type="paragraph" w:customStyle="1" w:styleId="56">
    <w:name w:val="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57">
    <w:name w:val="列出段落1"/>
    <w:basedOn w:val="1"/>
    <w:qFormat/>
    <w:uiPriority w:val="34"/>
    <w:pPr>
      <w:ind w:firstLine="420" w:firstLineChars="200"/>
    </w:pPr>
  </w:style>
  <w:style w:type="paragraph" w:customStyle="1" w:styleId="58">
    <w:name w:val="0"/>
    <w:basedOn w:val="1"/>
    <w:qFormat/>
    <w:uiPriority w:val="0"/>
    <w:pPr>
      <w:widowControl/>
    </w:pPr>
    <w:rPr>
      <w:rFonts w:ascii="Times New Roman" w:hAnsi="Times New Roman"/>
      <w:kern w:val="0"/>
      <w:szCs w:val="20"/>
    </w:rPr>
  </w:style>
  <w:style w:type="paragraph" w:customStyle="1" w:styleId="59">
    <w:name w:val="一、"/>
    <w:basedOn w:val="1"/>
    <w:qFormat/>
    <w:uiPriority w:val="0"/>
    <w:pPr>
      <w:widowControl/>
      <w:tabs>
        <w:tab w:val="left" w:pos="720"/>
      </w:tabs>
      <w:spacing w:line="560" w:lineRule="exact"/>
      <w:ind w:firstLine="562" w:firstLineChars="200"/>
      <w:jc w:val="left"/>
      <w:outlineLvl w:val="1"/>
    </w:pPr>
    <w:rPr>
      <w:rFonts w:ascii="仿宋_GB2312" w:hAnsi="宋体" w:eastAsia="仿宋_GB2312"/>
      <w:b/>
      <w:kern w:val="0"/>
      <w:sz w:val="28"/>
      <w:szCs w:val="28"/>
    </w:rPr>
  </w:style>
  <w:style w:type="paragraph" w:customStyle="1" w:styleId="60">
    <w:name w:val="z-窗体顶端1"/>
    <w:basedOn w:val="1"/>
    <w:next w:val="1"/>
    <w:link w:val="118"/>
    <w:qFormat/>
    <w:uiPriority w:val="0"/>
    <w:pPr>
      <w:pBdr>
        <w:bottom w:val="single" w:color="auto" w:sz="6" w:space="1"/>
      </w:pBdr>
      <w:jc w:val="center"/>
    </w:pPr>
    <w:rPr>
      <w:rFonts w:ascii="Arial" w:hAnsi="Arial"/>
      <w:vanish/>
      <w:sz w:val="16"/>
      <w:szCs w:val="16"/>
    </w:rPr>
  </w:style>
  <w:style w:type="paragraph" w:customStyle="1" w:styleId="61">
    <w:name w:val="Char Char Char Char"/>
    <w:basedOn w:val="1"/>
    <w:qFormat/>
    <w:uiPriority w:val="0"/>
    <w:rPr>
      <w:rFonts w:ascii="仿宋_GB2312" w:hAnsi="Times New Roman" w:eastAsia="仿宋_GB2312"/>
      <w:b/>
      <w:sz w:val="32"/>
      <w:szCs w:val="32"/>
    </w:rPr>
  </w:style>
  <w:style w:type="paragraph" w:customStyle="1" w:styleId="62">
    <w:name w:val="样式3"/>
    <w:basedOn w:val="4"/>
    <w:qFormat/>
    <w:uiPriority w:val="0"/>
    <w:pPr>
      <w:keepNext/>
      <w:keepLines/>
      <w:spacing w:before="120" w:after="120" w:line="360" w:lineRule="auto"/>
    </w:pPr>
    <w:rPr>
      <w:rFonts w:eastAsia="宋体"/>
      <w:sz w:val="24"/>
      <w:szCs w:val="24"/>
    </w:rPr>
  </w:style>
  <w:style w:type="paragraph" w:customStyle="1" w:styleId="63">
    <w:name w:val="z-窗体底端1"/>
    <w:basedOn w:val="1"/>
    <w:next w:val="1"/>
    <w:link w:val="116"/>
    <w:qFormat/>
    <w:uiPriority w:val="0"/>
    <w:pPr>
      <w:pBdr>
        <w:top w:val="single" w:color="auto" w:sz="6" w:space="1"/>
      </w:pBdr>
      <w:jc w:val="center"/>
    </w:pPr>
    <w:rPr>
      <w:rFonts w:ascii="Arial" w:hAnsi="Arial"/>
      <w:vanish/>
      <w:sz w:val="16"/>
      <w:szCs w:val="16"/>
    </w:rPr>
  </w:style>
  <w:style w:type="paragraph" w:customStyle="1" w:styleId="64">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5">
    <w:name w:val="末级"/>
    <w:basedOn w:val="1"/>
    <w:qFormat/>
    <w:uiPriority w:val="0"/>
    <w:pPr>
      <w:tabs>
        <w:tab w:val="left" w:pos="851"/>
      </w:tabs>
      <w:spacing w:line="360" w:lineRule="auto"/>
      <w:ind w:firstLine="510"/>
    </w:pPr>
    <w:rPr>
      <w:rFonts w:ascii="Times New Roman" w:hAnsi="Times New Roman"/>
      <w:sz w:val="24"/>
      <w:szCs w:val="24"/>
    </w:rPr>
  </w:style>
  <w:style w:type="paragraph" w:customStyle="1" w:styleId="66">
    <w:name w:val="标题4"/>
    <w:next w:val="1"/>
    <w:link w:val="121"/>
    <w:qFormat/>
    <w:uiPriority w:val="0"/>
    <w:pPr>
      <w:spacing w:line="480" w:lineRule="auto"/>
      <w:outlineLvl w:val="3"/>
    </w:pPr>
    <w:rPr>
      <w:rFonts w:ascii="Calibri" w:hAnsi="Calibri" w:eastAsia="宋体" w:cs="Times New Roman"/>
      <w:b/>
      <w:kern w:val="2"/>
      <w:sz w:val="28"/>
      <w:szCs w:val="24"/>
      <w:lang w:val="en-US" w:eastAsia="zh-CN" w:bidi="ar-SA"/>
    </w:rPr>
  </w:style>
  <w:style w:type="paragraph" w:customStyle="1" w:styleId="67">
    <w:name w:val="标题5"/>
    <w:basedOn w:val="66"/>
    <w:next w:val="1"/>
    <w:qFormat/>
    <w:uiPriority w:val="0"/>
    <w:pPr>
      <w:outlineLvl w:val="4"/>
    </w:pPr>
    <w:rPr>
      <w:b w:val="0"/>
      <w:sz w:val="24"/>
    </w:rPr>
  </w:style>
  <w:style w:type="paragraph" w:customStyle="1" w:styleId="68">
    <w:name w:val="Char Char"/>
    <w:basedOn w:val="1"/>
    <w:qFormat/>
    <w:uiPriority w:val="0"/>
    <w:rPr>
      <w:rFonts w:ascii="Tahoma" w:hAnsi="Tahoma"/>
      <w:sz w:val="24"/>
      <w:szCs w:val="20"/>
    </w:rPr>
  </w:style>
  <w:style w:type="paragraph" w:customStyle="1" w:styleId="69">
    <w:name w:val="Char"/>
    <w:basedOn w:val="1"/>
    <w:qFormat/>
    <w:uiPriority w:val="0"/>
    <w:pPr>
      <w:spacing w:line="360" w:lineRule="auto"/>
    </w:pPr>
    <w:rPr>
      <w:rFonts w:ascii="黑体" w:hAnsi="黑体"/>
      <w:sz w:val="24"/>
      <w:szCs w:val="24"/>
      <w:lang w:val="zh-CN"/>
    </w:rPr>
  </w:style>
  <w:style w:type="paragraph" w:customStyle="1" w:styleId="70">
    <w:name w:val="Char Char 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71">
    <w:name w:val="Char Char Char 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72">
    <w:name w:val="1 Char Char Char"/>
    <w:basedOn w:val="1"/>
    <w:next w:val="4"/>
    <w:qFormat/>
    <w:uiPriority w:val="0"/>
    <w:pPr>
      <w:spacing w:line="500" w:lineRule="exact"/>
      <w:ind w:firstLine="200"/>
      <w:jc w:val="center"/>
    </w:pPr>
    <w:rPr>
      <w:rFonts w:ascii="仿宋_GB2312" w:hAnsi="Arial" w:eastAsia="仿宋_GB2312" w:cs="Arial"/>
      <w:bCs/>
      <w:sz w:val="32"/>
      <w:szCs w:val="32"/>
    </w:rPr>
  </w:style>
  <w:style w:type="paragraph" w:customStyle="1" w:styleId="73">
    <w:name w:val="_Style 10"/>
    <w:basedOn w:val="1"/>
    <w:next w:val="1"/>
    <w:qFormat/>
    <w:uiPriority w:val="0"/>
    <w:rPr>
      <w:rFonts w:ascii="Times New Roman" w:hAnsi="Times New Roman"/>
      <w:szCs w:val="24"/>
    </w:rPr>
  </w:style>
  <w:style w:type="paragraph" w:customStyle="1" w:styleId="74">
    <w:name w:val="19"/>
    <w:basedOn w:val="1"/>
    <w:qFormat/>
    <w:uiPriority w:val="0"/>
    <w:pPr>
      <w:widowControl/>
      <w:snapToGrid w:val="0"/>
      <w:spacing w:before="100" w:beforeAutospacing="1" w:after="120" w:line="360" w:lineRule="atLeast"/>
      <w:jc w:val="left"/>
    </w:pPr>
    <w:rPr>
      <w:rFonts w:ascii="宋体" w:hAnsi="宋体"/>
      <w:kern w:val="0"/>
      <w:sz w:val="28"/>
      <w:szCs w:val="20"/>
    </w:rPr>
  </w:style>
  <w:style w:type="paragraph" w:customStyle="1" w:styleId="75">
    <w:name w:val="正文段"/>
    <w:basedOn w:val="1"/>
    <w:qFormat/>
    <w:uiPriority w:val="0"/>
    <w:pPr>
      <w:spacing w:line="360" w:lineRule="auto"/>
      <w:ind w:firstLine="420"/>
    </w:pPr>
    <w:rPr>
      <w:rFonts w:ascii="宋体" w:hAnsi="Times New Roman"/>
      <w:sz w:val="24"/>
      <w:szCs w:val="24"/>
    </w:rPr>
  </w:style>
  <w:style w:type="paragraph" w:customStyle="1" w:styleId="76">
    <w:name w:val="小正文"/>
    <w:basedOn w:val="69"/>
    <w:link w:val="135"/>
    <w:qFormat/>
    <w:uiPriority w:val="0"/>
    <w:pPr>
      <w:spacing w:line="560" w:lineRule="exact"/>
      <w:ind w:firstLine="560" w:firstLineChars="200"/>
      <w:jc w:val="left"/>
    </w:pPr>
    <w:rPr>
      <w:rFonts w:ascii="仿宋_GB2312" w:hAnsi="宋体" w:eastAsia="仿宋_GB2312"/>
      <w:sz w:val="28"/>
      <w:szCs w:val="28"/>
      <w:lang w:val="en-US"/>
    </w:rPr>
  </w:style>
  <w:style w:type="paragraph" w:customStyle="1" w:styleId="77">
    <w:name w:val="样式 样式1 + 首行缩进:  2 字符"/>
    <w:basedOn w:val="55"/>
    <w:link w:val="115"/>
    <w:qFormat/>
    <w:uiPriority w:val="0"/>
    <w:pPr>
      <w:spacing w:line="360" w:lineRule="exact"/>
      <w:ind w:firstLine="420" w:firstLineChars="200"/>
      <w:jc w:val="both"/>
    </w:pPr>
    <w:rPr>
      <w:rFonts w:ascii="Arial" w:hAnsi="Arial"/>
      <w:sz w:val="24"/>
      <w:szCs w:val="22"/>
    </w:rPr>
  </w:style>
  <w:style w:type="paragraph" w:customStyle="1" w:styleId="78">
    <w:name w:val="样式2"/>
    <w:basedOn w:val="33"/>
    <w:qFormat/>
    <w:uiPriority w:val="0"/>
    <w:pPr>
      <w:ind w:firstLine="2720"/>
    </w:pPr>
    <w:rPr>
      <w:bCs/>
    </w:rPr>
  </w:style>
  <w:style w:type="paragraph" w:customStyle="1" w:styleId="79">
    <w:name w:val="_Style 5"/>
    <w:basedOn w:val="1"/>
    <w:next w:val="1"/>
    <w:qFormat/>
    <w:uiPriority w:val="0"/>
    <w:rPr>
      <w:rFonts w:ascii="Times New Roman" w:hAnsi="Times New Roman"/>
      <w:szCs w:val="20"/>
    </w:rPr>
  </w:style>
  <w:style w:type="paragraph" w:customStyle="1" w:styleId="80">
    <w:name w:val="列出段落2"/>
    <w:basedOn w:val="1"/>
    <w:qFormat/>
    <w:uiPriority w:val="0"/>
    <w:pPr>
      <w:spacing w:before="100" w:beforeAutospacing="1" w:after="100" w:afterAutospacing="1" w:line="300" w:lineRule="auto"/>
      <w:ind w:firstLine="420" w:firstLineChars="200"/>
    </w:pPr>
  </w:style>
  <w:style w:type="paragraph" w:customStyle="1" w:styleId="81">
    <w:name w:val="样式 一号 加粗 居中"/>
    <w:basedOn w:val="1"/>
    <w:qFormat/>
    <w:uiPriority w:val="0"/>
    <w:pPr>
      <w:jc w:val="center"/>
    </w:pPr>
    <w:rPr>
      <w:rFonts w:ascii="Times New Roman" w:hAnsi="Times New Roman" w:cs="宋体"/>
      <w:bCs/>
      <w:sz w:val="52"/>
      <w:szCs w:val="20"/>
    </w:rPr>
  </w:style>
  <w:style w:type="paragraph" w:customStyle="1" w:styleId="82">
    <w:name w:val="!机场正文"/>
    <w:basedOn w:val="1"/>
    <w:qFormat/>
    <w:uiPriority w:val="0"/>
    <w:pPr>
      <w:spacing w:line="560" w:lineRule="exact"/>
      <w:ind w:firstLine="200" w:firstLineChars="200"/>
    </w:pPr>
    <w:rPr>
      <w:rFonts w:ascii="仿宋_GB2312" w:hAnsi="仿宋_GB2312" w:eastAsia="仿宋_GB2312"/>
      <w:sz w:val="32"/>
    </w:rPr>
  </w:style>
  <w:style w:type="paragraph" w:customStyle="1" w:styleId="83">
    <w:name w:val="无间隔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84">
    <w:name w:val="表"/>
    <w:basedOn w:val="1"/>
    <w:qFormat/>
    <w:uiPriority w:val="0"/>
    <w:pPr>
      <w:spacing w:line="360" w:lineRule="auto"/>
      <w:jc w:val="center"/>
    </w:pPr>
    <w:rPr>
      <w:rFonts w:ascii="Times New Roman" w:hAnsi="Times New Roman"/>
      <w:color w:val="000000"/>
      <w:szCs w:val="21"/>
    </w:rPr>
  </w:style>
  <w:style w:type="paragraph" w:customStyle="1" w:styleId="85">
    <w:name w:val="表格一"/>
    <w:basedOn w:val="1"/>
    <w:qFormat/>
    <w:uiPriority w:val="0"/>
    <w:pPr>
      <w:spacing w:line="240" w:lineRule="exact"/>
      <w:ind w:left="105" w:leftChars="50"/>
    </w:pPr>
    <w:rPr>
      <w:rFonts w:ascii="Times New Roman" w:hAnsi="Times New Roman"/>
      <w:sz w:val="18"/>
      <w:szCs w:val="21"/>
    </w:rPr>
  </w:style>
  <w:style w:type="paragraph" w:customStyle="1" w:styleId="86">
    <w:name w:val="表1"/>
    <w:basedOn w:val="1"/>
    <w:qFormat/>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kern w:val="0"/>
      <w:sz w:val="24"/>
      <w:szCs w:val="20"/>
    </w:rPr>
  </w:style>
  <w:style w:type="paragraph" w:customStyle="1" w:styleId="87">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8">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89">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paragraph" w:customStyle="1" w:styleId="90">
    <w:name w:val="Char1"/>
    <w:basedOn w:val="1"/>
    <w:qFormat/>
    <w:uiPriority w:val="0"/>
    <w:pPr>
      <w:widowControl/>
      <w:spacing w:after="160" w:line="240" w:lineRule="exact"/>
      <w:jc w:val="left"/>
    </w:pPr>
    <w:rPr>
      <w:rFonts w:ascii="Tahoma" w:hAnsi="Tahoma"/>
      <w:kern w:val="0"/>
      <w:sz w:val="24"/>
      <w:szCs w:val="24"/>
      <w:lang w:eastAsia="en-US"/>
    </w:rPr>
  </w:style>
  <w:style w:type="paragraph" w:customStyle="1" w:styleId="91">
    <w:name w:val="样式 标题 1 + (符号) Arial 三号"/>
    <w:basedOn w:val="2"/>
    <w:qFormat/>
    <w:uiPriority w:val="0"/>
    <w:pPr>
      <w:snapToGrid w:val="0"/>
      <w:spacing w:before="0" w:after="0" w:line="360" w:lineRule="auto"/>
    </w:pPr>
    <w:rPr>
      <w:sz w:val="32"/>
    </w:rPr>
  </w:style>
  <w:style w:type="paragraph" w:customStyle="1" w:styleId="92">
    <w:name w:val="默认段落字体 Para Char Char Char Char"/>
    <w:basedOn w:val="1"/>
    <w:qFormat/>
    <w:uiPriority w:val="0"/>
    <w:pPr>
      <w:spacing w:line="360" w:lineRule="auto"/>
      <w:ind w:firstLine="200" w:firstLineChars="200"/>
    </w:pPr>
    <w:rPr>
      <w:rFonts w:ascii="宋体" w:hAnsi="宋体" w:cs="宋体"/>
      <w:sz w:val="24"/>
      <w:szCs w:val="24"/>
    </w:rPr>
  </w:style>
  <w:style w:type="paragraph" w:customStyle="1" w:styleId="93">
    <w:name w:val="正文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94">
    <w:name w:val="标题 1 字符"/>
    <w:qFormat/>
    <w:uiPriority w:val="9"/>
    <w:rPr>
      <w:rFonts w:ascii="Calibri" w:hAnsi="Calibri" w:eastAsia="宋体" w:cs="Times New Roman"/>
      <w:b/>
      <w:bCs/>
      <w:kern w:val="44"/>
      <w:sz w:val="44"/>
      <w:szCs w:val="44"/>
      <w:lang w:val="en-US" w:eastAsia="zh-CN" w:bidi="ar-SA"/>
    </w:rPr>
  </w:style>
  <w:style w:type="character" w:customStyle="1" w:styleId="95">
    <w:name w:val="标题 2 字符"/>
    <w:semiHidden/>
    <w:qFormat/>
    <w:uiPriority w:val="9"/>
    <w:rPr>
      <w:rFonts w:ascii="Calibri Light" w:hAnsi="Calibri Light" w:eastAsia="宋体" w:cs="Times New Roman"/>
      <w:b/>
      <w:bCs/>
      <w:sz w:val="32"/>
      <w:szCs w:val="32"/>
      <w:lang w:val="en-US" w:eastAsia="zh-CN" w:bidi="ar-SA"/>
    </w:rPr>
  </w:style>
  <w:style w:type="character" w:customStyle="1" w:styleId="96">
    <w:name w:val="标题 3 字符"/>
    <w:semiHidden/>
    <w:qFormat/>
    <w:uiPriority w:val="9"/>
    <w:rPr>
      <w:rFonts w:ascii="Calibri" w:hAnsi="Calibri" w:eastAsia="宋体" w:cs="Times New Roman"/>
      <w:b/>
      <w:bCs/>
      <w:sz w:val="32"/>
      <w:szCs w:val="32"/>
      <w:lang w:val="en-US" w:eastAsia="zh-CN" w:bidi="ar-SA"/>
    </w:rPr>
  </w:style>
  <w:style w:type="character" w:customStyle="1" w:styleId="97">
    <w:name w:val="标题 4 字符"/>
    <w:semiHidden/>
    <w:qFormat/>
    <w:uiPriority w:val="9"/>
    <w:rPr>
      <w:rFonts w:ascii="Calibri Light" w:hAnsi="Calibri Light" w:eastAsia="宋体" w:cs="Times New Roman"/>
      <w:b/>
      <w:bCs/>
      <w:sz w:val="28"/>
      <w:szCs w:val="28"/>
      <w:lang w:val="en-US" w:eastAsia="zh-CN" w:bidi="ar-SA"/>
    </w:rPr>
  </w:style>
  <w:style w:type="character" w:customStyle="1" w:styleId="98">
    <w:name w:val="标题 5 字符"/>
    <w:semiHidden/>
    <w:qFormat/>
    <w:uiPriority w:val="9"/>
    <w:rPr>
      <w:rFonts w:ascii="Calibri" w:hAnsi="Calibri" w:eastAsia="宋体" w:cs="Times New Roman"/>
      <w:b/>
      <w:bCs/>
      <w:sz w:val="28"/>
      <w:szCs w:val="28"/>
      <w:lang w:val="en-US" w:eastAsia="zh-CN" w:bidi="ar-SA"/>
    </w:rPr>
  </w:style>
  <w:style w:type="character" w:customStyle="1" w:styleId="99">
    <w:name w:val="批注主题 Char"/>
    <w:link w:val="43"/>
    <w:semiHidden/>
    <w:qFormat/>
    <w:uiPriority w:val="0"/>
    <w:rPr>
      <w:rFonts w:ascii="Times New Roman" w:hAnsi="Times New Roman" w:eastAsia="宋体" w:cs="Times New Roman"/>
      <w:b/>
      <w:bCs/>
      <w:szCs w:val="24"/>
      <w:lang w:val="en-US" w:eastAsia="zh-CN" w:bidi="ar-SA"/>
    </w:rPr>
  </w:style>
  <w:style w:type="character" w:customStyle="1" w:styleId="100">
    <w:name w:val="批注文字 Char"/>
    <w:link w:val="13"/>
    <w:qFormat/>
    <w:uiPriority w:val="99"/>
    <w:rPr>
      <w:rFonts w:ascii="Calibri" w:hAnsi="Calibri" w:eastAsia="宋体" w:cs="Times New Roman"/>
      <w:lang w:val="en-US" w:eastAsia="zh-CN" w:bidi="ar-SA"/>
    </w:rPr>
  </w:style>
  <w:style w:type="character" w:customStyle="1" w:styleId="101">
    <w:name w:val="页脚 字符"/>
    <w:semiHidden/>
    <w:qFormat/>
    <w:uiPriority w:val="99"/>
    <w:rPr>
      <w:rFonts w:ascii="Calibri" w:hAnsi="Calibri" w:eastAsia="宋体" w:cs="Times New Roman"/>
      <w:sz w:val="18"/>
      <w:szCs w:val="18"/>
      <w:lang w:val="en-US" w:eastAsia="zh-CN" w:bidi="ar-SA"/>
    </w:rPr>
  </w:style>
  <w:style w:type="character" w:customStyle="1" w:styleId="102">
    <w:name w:val="文档结构图 字符"/>
    <w:semiHidden/>
    <w:qFormat/>
    <w:uiPriority w:val="99"/>
    <w:rPr>
      <w:rFonts w:ascii="Microsoft YaHei UI" w:hAnsi="Calibri" w:eastAsia="Microsoft YaHei UI" w:cs="Times New Roman"/>
      <w:sz w:val="18"/>
      <w:szCs w:val="18"/>
      <w:lang w:val="en-US" w:eastAsia="zh-CN" w:bidi="ar-SA"/>
    </w:rPr>
  </w:style>
  <w:style w:type="character" w:customStyle="1" w:styleId="103">
    <w:name w:val="标题 2 Char"/>
    <w:link w:val="3"/>
    <w:qFormat/>
    <w:uiPriority w:val="0"/>
    <w:rPr>
      <w:rFonts w:ascii="Arial" w:hAnsi="Arial" w:eastAsia="黑体" w:cs="Times New Roman"/>
      <w:b/>
      <w:bCs/>
      <w:kern w:val="0"/>
      <w:sz w:val="32"/>
      <w:szCs w:val="32"/>
      <w:lang w:val="en-US" w:eastAsia="zh-CN" w:bidi="ar-SA"/>
    </w:rPr>
  </w:style>
  <w:style w:type="character" w:customStyle="1" w:styleId="104">
    <w:name w:val="批注框文本 Char"/>
    <w:link w:val="24"/>
    <w:qFormat/>
    <w:uiPriority w:val="0"/>
    <w:rPr>
      <w:rFonts w:ascii="Times New Roman" w:hAnsi="Times New Roman" w:eastAsia="宋体" w:cs="Times New Roman"/>
      <w:sz w:val="18"/>
      <w:szCs w:val="18"/>
      <w:lang w:val="en-US" w:eastAsia="zh-CN" w:bidi="ar-SA"/>
    </w:rPr>
  </w:style>
  <w:style w:type="character" w:customStyle="1" w:styleId="105">
    <w:name w:val="日期 字符"/>
    <w:semiHidden/>
    <w:qFormat/>
    <w:uiPriority w:val="99"/>
    <w:rPr>
      <w:rFonts w:ascii="Calibri" w:hAnsi="Calibri" w:eastAsia="宋体" w:cs="Times New Roman"/>
      <w:lang w:val="en-US" w:eastAsia="zh-CN" w:bidi="ar-SA"/>
    </w:rPr>
  </w:style>
  <w:style w:type="character" w:customStyle="1" w:styleId="106">
    <w:name w:val="日期 Char"/>
    <w:link w:val="22"/>
    <w:qFormat/>
    <w:uiPriority w:val="0"/>
    <w:rPr>
      <w:rFonts w:ascii="Times New Roman" w:hAnsi="Times New Roman" w:eastAsia="宋体" w:cs="Times New Roman"/>
      <w:b/>
      <w:bCs/>
      <w:sz w:val="36"/>
      <w:szCs w:val="24"/>
      <w:lang w:val="en-US" w:eastAsia="zh-CN" w:bidi="ar-SA"/>
    </w:rPr>
  </w:style>
  <w:style w:type="character" w:customStyle="1" w:styleId="107">
    <w:name w:val="页眉 字符"/>
    <w:semiHidden/>
    <w:qFormat/>
    <w:uiPriority w:val="99"/>
    <w:rPr>
      <w:rFonts w:ascii="Calibri" w:hAnsi="Calibri" w:eastAsia="宋体" w:cs="Times New Roman"/>
      <w:sz w:val="18"/>
      <w:szCs w:val="18"/>
      <w:lang w:val="en-US" w:eastAsia="zh-CN" w:bidi="ar-SA"/>
    </w:rPr>
  </w:style>
  <w:style w:type="character" w:customStyle="1" w:styleId="108">
    <w:name w:val="纯文本 字符"/>
    <w:semiHidden/>
    <w:qFormat/>
    <w:uiPriority w:val="99"/>
    <w:rPr>
      <w:rFonts w:ascii="宋体" w:hAnsi="Courier New" w:eastAsia="宋体" w:cs="Courier New"/>
      <w:lang w:val="en-US" w:eastAsia="zh-CN" w:bidi="ar-SA"/>
    </w:rPr>
  </w:style>
  <w:style w:type="character" w:customStyle="1" w:styleId="109">
    <w:name w:val="脚注文本 Char"/>
    <w:link w:val="30"/>
    <w:qFormat/>
    <w:uiPriority w:val="0"/>
    <w:rPr>
      <w:rFonts w:ascii="Times New Roman" w:hAnsi="Times New Roman" w:eastAsia="宋体" w:cs="Times New Roman"/>
      <w:sz w:val="18"/>
      <w:szCs w:val="18"/>
      <w:lang w:val="en-US" w:eastAsia="zh-CN" w:bidi="ar-SA"/>
    </w:rPr>
  </w:style>
  <w:style w:type="character" w:customStyle="1" w:styleId="110">
    <w:name w:val="标题 3 Char"/>
    <w:link w:val="4"/>
    <w:qFormat/>
    <w:uiPriority w:val="0"/>
    <w:rPr>
      <w:rFonts w:ascii="Times New Roman" w:hAnsi="Times New Roman" w:eastAsia="楷体_GB2312" w:cs="Times New Roman"/>
      <w:kern w:val="0"/>
      <w:sz w:val="28"/>
      <w:szCs w:val="20"/>
      <w:lang w:val="en-US" w:eastAsia="zh-CN" w:bidi="ar-SA"/>
    </w:rPr>
  </w:style>
  <w:style w:type="character" w:customStyle="1" w:styleId="111">
    <w:name w:val="px1233"/>
    <w:qFormat/>
    <w:uiPriority w:val="0"/>
    <w:rPr>
      <w:rFonts w:ascii="Calibri" w:hAnsi="Calibri" w:eastAsia="宋体" w:cs="Times New Roman"/>
      <w:lang w:val="en-US" w:eastAsia="zh-CN" w:bidi="ar-SA"/>
    </w:rPr>
  </w:style>
  <w:style w:type="character" w:customStyle="1" w:styleId="112">
    <w:name w:val="标题 Char"/>
    <w:link w:val="42"/>
    <w:qFormat/>
    <w:uiPriority w:val="0"/>
    <w:rPr>
      <w:rFonts w:ascii="Arial" w:hAnsi="Arial" w:eastAsia="宋体" w:cs="Times New Roman"/>
      <w:b/>
      <w:bCs/>
      <w:sz w:val="32"/>
      <w:szCs w:val="32"/>
      <w:lang w:val="en-US" w:eastAsia="zh-CN" w:bidi="ar-SA"/>
    </w:rPr>
  </w:style>
  <w:style w:type="character" w:customStyle="1" w:styleId="113">
    <w:name w:val="正文文本 2 Char"/>
    <w:link w:val="36"/>
    <w:qFormat/>
    <w:uiPriority w:val="0"/>
    <w:rPr>
      <w:rFonts w:ascii="Times New Roman" w:hAnsi="Times New Roman" w:eastAsia="宋体" w:cs="Times New Roman"/>
      <w:szCs w:val="24"/>
      <w:lang w:val="en-US" w:eastAsia="zh-CN" w:bidi="ar-SA"/>
    </w:rPr>
  </w:style>
  <w:style w:type="character" w:customStyle="1" w:styleId="114">
    <w:name w:val="正文文本 Char"/>
    <w:link w:val="14"/>
    <w:qFormat/>
    <w:uiPriority w:val="0"/>
    <w:rPr>
      <w:rFonts w:ascii="Calibri" w:hAnsi="Calibri" w:eastAsia="宋体" w:cs="Times New Roman"/>
      <w:lang w:val="en-US" w:eastAsia="zh-CN" w:bidi="ar-SA"/>
    </w:rPr>
  </w:style>
  <w:style w:type="character" w:customStyle="1" w:styleId="115">
    <w:name w:val="样式 样式1 + 首行缩进:  2 字符 Char"/>
    <w:link w:val="77"/>
    <w:qFormat/>
    <w:uiPriority w:val="0"/>
    <w:rPr>
      <w:rFonts w:ascii="Arial" w:hAnsi="Arial" w:eastAsia="宋体" w:cs="Times New Roman"/>
      <w:sz w:val="24"/>
      <w:szCs w:val="22"/>
      <w:lang w:val="en-US" w:eastAsia="zh-CN" w:bidi="ar-SA"/>
    </w:rPr>
  </w:style>
  <w:style w:type="character" w:customStyle="1" w:styleId="116">
    <w:name w:val="z-窗体底端 Char"/>
    <w:link w:val="63"/>
    <w:qFormat/>
    <w:uiPriority w:val="0"/>
    <w:rPr>
      <w:rFonts w:ascii="Arial" w:hAnsi="Arial" w:eastAsia="宋体" w:cs="Times New Roman"/>
      <w:vanish/>
      <w:sz w:val="16"/>
      <w:szCs w:val="16"/>
      <w:lang w:val="en-US" w:eastAsia="zh-CN" w:bidi="ar-SA"/>
    </w:rPr>
  </w:style>
  <w:style w:type="character" w:customStyle="1" w:styleId="117">
    <w:name w:val="批注框文本 字符"/>
    <w:semiHidden/>
    <w:qFormat/>
    <w:uiPriority w:val="99"/>
    <w:rPr>
      <w:rFonts w:ascii="Calibri" w:hAnsi="Calibri" w:eastAsia="宋体" w:cs="Times New Roman"/>
      <w:sz w:val="18"/>
      <w:szCs w:val="18"/>
      <w:lang w:val="en-US" w:eastAsia="zh-CN" w:bidi="ar-SA"/>
    </w:rPr>
  </w:style>
  <w:style w:type="character" w:customStyle="1" w:styleId="118">
    <w:name w:val="z-窗体顶端 Char"/>
    <w:link w:val="60"/>
    <w:qFormat/>
    <w:uiPriority w:val="0"/>
    <w:rPr>
      <w:rFonts w:ascii="Arial" w:hAnsi="Arial" w:eastAsia="宋体" w:cs="Times New Roman"/>
      <w:vanish/>
      <w:sz w:val="16"/>
      <w:szCs w:val="16"/>
      <w:lang w:val="en-US" w:eastAsia="zh-CN" w:bidi="ar-SA"/>
    </w:rPr>
  </w:style>
  <w:style w:type="character" w:customStyle="1" w:styleId="119">
    <w:name w:val="正文文本缩进 2 Char1"/>
    <w:qFormat/>
    <w:uiPriority w:val="0"/>
    <w:rPr>
      <w:rFonts w:ascii="Times New Roman" w:hAnsi="Times New Roman" w:eastAsia="宋体" w:cs="Times New Roman"/>
      <w:kern w:val="0"/>
      <w:sz w:val="20"/>
      <w:szCs w:val="24"/>
      <w:lang w:val="en-US" w:eastAsia="zh-CN" w:bidi="ar-SA"/>
    </w:rPr>
  </w:style>
  <w:style w:type="character" w:customStyle="1" w:styleId="120">
    <w:name w:val="正文首行缩进 2 字符"/>
    <w:semiHidden/>
    <w:qFormat/>
    <w:uiPriority w:val="99"/>
    <w:rPr>
      <w:rFonts w:ascii="Calibri" w:hAnsi="Calibri" w:eastAsia="宋体" w:cs="Times New Roman"/>
      <w:lang w:val="en-US" w:eastAsia="zh-CN" w:bidi="ar-SA"/>
    </w:rPr>
  </w:style>
  <w:style w:type="character" w:customStyle="1" w:styleId="121">
    <w:name w:val="标题4 Char Char"/>
    <w:link w:val="66"/>
    <w:qFormat/>
    <w:uiPriority w:val="0"/>
    <w:rPr>
      <w:rFonts w:ascii="Calibri" w:hAnsi="Calibri" w:eastAsia="宋体" w:cs="Times New Roman"/>
      <w:b/>
      <w:kern w:val="2"/>
      <w:sz w:val="28"/>
      <w:szCs w:val="24"/>
      <w:lang w:val="en-US" w:eastAsia="zh-CN" w:bidi="ar-SA"/>
    </w:rPr>
  </w:style>
  <w:style w:type="character" w:customStyle="1" w:styleId="122">
    <w:name w:val="页脚 Char1"/>
    <w:link w:val="25"/>
    <w:qFormat/>
    <w:uiPriority w:val="99"/>
    <w:rPr>
      <w:rFonts w:ascii="Times New Roman" w:hAnsi="Times New Roman" w:eastAsia="宋体" w:cs="Times New Roman"/>
      <w:sz w:val="18"/>
      <w:szCs w:val="18"/>
      <w:lang w:val="en-US" w:eastAsia="zh-CN" w:bidi="ar-SA"/>
    </w:rPr>
  </w:style>
  <w:style w:type="character" w:customStyle="1" w:styleId="123">
    <w:name w:val="正文缩进 Char"/>
    <w:link w:val="9"/>
    <w:qFormat/>
    <w:uiPriority w:val="0"/>
    <w:rPr>
      <w:rFonts w:ascii="宋体" w:hAnsi="Times New Roman" w:eastAsia="宋体" w:cs="Times New Roman"/>
      <w:sz w:val="34"/>
      <w:lang w:val="en-US" w:eastAsia="zh-CN" w:bidi="ar-SA"/>
    </w:rPr>
  </w:style>
  <w:style w:type="character" w:customStyle="1" w:styleId="124">
    <w:name w:val="标题 5 Char"/>
    <w:link w:val="6"/>
    <w:qFormat/>
    <w:uiPriority w:val="0"/>
    <w:rPr>
      <w:rFonts w:ascii="Times New Roman" w:hAnsi="Times New Roman" w:eastAsia="宋体" w:cs="Times New Roman"/>
      <w:b/>
      <w:bCs/>
      <w:kern w:val="0"/>
      <w:sz w:val="28"/>
      <w:szCs w:val="28"/>
      <w:lang w:val="en-US" w:eastAsia="zh-CN" w:bidi="ar-SA"/>
    </w:rPr>
  </w:style>
  <w:style w:type="character" w:customStyle="1" w:styleId="125">
    <w:name w:val="标题 1 Char"/>
    <w:link w:val="2"/>
    <w:qFormat/>
    <w:uiPriority w:val="0"/>
    <w:rPr>
      <w:rFonts w:ascii="Times New Roman" w:hAnsi="Times New Roman" w:eastAsia="宋体" w:cs="Times New Roman"/>
      <w:b/>
      <w:bCs/>
      <w:kern w:val="44"/>
      <w:sz w:val="44"/>
      <w:szCs w:val="44"/>
      <w:lang w:val="en-US" w:eastAsia="zh-CN" w:bidi="ar-SA"/>
    </w:rPr>
  </w:style>
  <w:style w:type="character" w:customStyle="1" w:styleId="126">
    <w:name w:val="正文文本 2 字符"/>
    <w:semiHidden/>
    <w:qFormat/>
    <w:uiPriority w:val="99"/>
    <w:rPr>
      <w:rFonts w:ascii="Calibri" w:hAnsi="Calibri" w:eastAsia="宋体" w:cs="Times New Roman"/>
      <w:lang w:val="en-US" w:eastAsia="zh-CN" w:bidi="ar-SA"/>
    </w:rPr>
  </w:style>
  <w:style w:type="character" w:customStyle="1" w:styleId="127">
    <w:name w:val="正文首行缩进 2 Char"/>
    <w:link w:val="45"/>
    <w:qFormat/>
    <w:uiPriority w:val="0"/>
    <w:rPr>
      <w:rFonts w:ascii="Times New Roman" w:hAnsi="Times New Roman" w:eastAsia="宋体" w:cs="Times New Roman"/>
      <w:szCs w:val="24"/>
      <w:lang w:val="en-US" w:eastAsia="zh-CN" w:bidi="ar-SA"/>
    </w:rPr>
  </w:style>
  <w:style w:type="character" w:customStyle="1" w:styleId="128">
    <w:name w:val="正文文本缩进 字符"/>
    <w:semiHidden/>
    <w:qFormat/>
    <w:uiPriority w:val="99"/>
    <w:rPr>
      <w:rFonts w:ascii="Calibri" w:hAnsi="Calibri" w:eastAsia="宋体" w:cs="Times New Roman"/>
      <w:lang w:val="en-US" w:eastAsia="zh-CN" w:bidi="ar-SA"/>
    </w:rPr>
  </w:style>
  <w:style w:type="character" w:customStyle="1" w:styleId="129">
    <w:name w:val="正文首行缩进 Char"/>
    <w:link w:val="44"/>
    <w:qFormat/>
    <w:uiPriority w:val="0"/>
    <w:rPr>
      <w:rFonts w:ascii="Times New Roman" w:hAnsi="Times New Roman" w:eastAsia="宋体" w:cs="Times New Roman"/>
      <w:szCs w:val="24"/>
      <w:lang w:val="en-US" w:eastAsia="zh-CN" w:bidi="ar-SA"/>
    </w:rPr>
  </w:style>
  <w:style w:type="character" w:customStyle="1" w:styleId="130">
    <w:name w:val="文档结构图 Char"/>
    <w:link w:val="11"/>
    <w:qFormat/>
    <w:uiPriority w:val="0"/>
    <w:rPr>
      <w:rFonts w:ascii="Times New Roman" w:hAnsi="Times New Roman" w:eastAsia="宋体" w:cs="Times New Roman"/>
      <w:szCs w:val="24"/>
      <w:lang w:val="en-US" w:eastAsia="zh-CN" w:bidi="ar-SA"/>
    </w:rPr>
  </w:style>
  <w:style w:type="character" w:customStyle="1" w:styleId="131">
    <w:name w:val="z-窗体顶端 字符"/>
    <w:semiHidden/>
    <w:qFormat/>
    <w:uiPriority w:val="99"/>
    <w:rPr>
      <w:rFonts w:ascii="Arial" w:hAnsi="Arial" w:eastAsia="宋体" w:cs="Arial"/>
      <w:vanish/>
      <w:sz w:val="16"/>
      <w:szCs w:val="16"/>
      <w:lang w:val="en-US" w:eastAsia="zh-CN" w:bidi="ar-SA"/>
    </w:rPr>
  </w:style>
  <w:style w:type="character" w:customStyle="1" w:styleId="132">
    <w:name w:val="标题 字符"/>
    <w:qFormat/>
    <w:uiPriority w:val="10"/>
    <w:rPr>
      <w:rFonts w:ascii="Calibri Light" w:hAnsi="Calibri Light" w:eastAsia="宋体" w:cs="Times New Roman"/>
      <w:b/>
      <w:bCs/>
      <w:sz w:val="32"/>
      <w:szCs w:val="32"/>
      <w:lang w:val="en-US" w:eastAsia="zh-CN" w:bidi="ar-SA"/>
    </w:rPr>
  </w:style>
  <w:style w:type="character" w:customStyle="1" w:styleId="133">
    <w:name w:val="Char Char14"/>
    <w:qFormat/>
    <w:uiPriority w:val="0"/>
    <w:rPr>
      <w:rFonts w:ascii="宋体" w:hAnsi="Courier New" w:eastAsia="宋体" w:cs="Courier New"/>
      <w:kern w:val="2"/>
      <w:sz w:val="21"/>
      <w:szCs w:val="21"/>
      <w:lang w:val="en-US" w:eastAsia="zh-CN" w:bidi="ar-SA"/>
    </w:rPr>
  </w:style>
  <w:style w:type="character" w:customStyle="1" w:styleId="134">
    <w:name w:val="正文文本缩进 3 字符"/>
    <w:semiHidden/>
    <w:qFormat/>
    <w:uiPriority w:val="99"/>
    <w:rPr>
      <w:rFonts w:ascii="Calibri" w:hAnsi="Calibri" w:eastAsia="宋体" w:cs="Times New Roman"/>
      <w:sz w:val="16"/>
      <w:szCs w:val="16"/>
      <w:lang w:val="en-US" w:eastAsia="zh-CN" w:bidi="ar-SA"/>
    </w:rPr>
  </w:style>
  <w:style w:type="character" w:customStyle="1" w:styleId="135">
    <w:name w:val="小正文 Char"/>
    <w:link w:val="76"/>
    <w:qFormat/>
    <w:uiPriority w:val="0"/>
    <w:rPr>
      <w:rFonts w:ascii="仿宋_GB2312" w:hAnsi="宋体" w:eastAsia="仿宋_GB2312" w:cs="Times New Roman"/>
      <w:sz w:val="28"/>
      <w:szCs w:val="28"/>
      <w:lang w:val="en-US" w:eastAsia="zh-CN" w:bidi="ar-SA"/>
    </w:rPr>
  </w:style>
  <w:style w:type="character" w:customStyle="1" w:styleId="136">
    <w:name w:val="正文文本缩进 字符1"/>
    <w:qFormat/>
    <w:uiPriority w:val="0"/>
    <w:rPr>
      <w:rFonts w:ascii="Calibri" w:hAnsi="Calibri" w:eastAsia="宋体" w:cs="Times New Roman"/>
      <w:lang w:val="en-US" w:eastAsia="zh-CN" w:bidi="ar-SA"/>
    </w:rPr>
  </w:style>
  <w:style w:type="character" w:customStyle="1" w:styleId="137">
    <w:name w:val="脚注文本 字符"/>
    <w:semiHidden/>
    <w:qFormat/>
    <w:uiPriority w:val="99"/>
    <w:rPr>
      <w:rFonts w:ascii="Calibri" w:hAnsi="Calibri" w:eastAsia="宋体" w:cs="Times New Roman"/>
      <w:sz w:val="18"/>
      <w:szCs w:val="18"/>
      <w:lang w:val="en-US" w:eastAsia="zh-CN" w:bidi="ar-SA"/>
    </w:rPr>
  </w:style>
  <w:style w:type="character" w:customStyle="1" w:styleId="138">
    <w:name w:val="正文文本缩进 3 Char"/>
    <w:link w:val="32"/>
    <w:qFormat/>
    <w:uiPriority w:val="0"/>
    <w:rPr>
      <w:rFonts w:ascii="Times New Roman" w:hAnsi="Times New Roman" w:eastAsia="宋体" w:cs="Times New Roman"/>
      <w:sz w:val="24"/>
      <w:szCs w:val="24"/>
      <w:lang w:val="en-US" w:eastAsia="zh-CN" w:bidi="ar-SA"/>
    </w:rPr>
  </w:style>
  <w:style w:type="character" w:customStyle="1" w:styleId="139">
    <w:name w:val="批注主题 Char1"/>
    <w:semiHidden/>
    <w:qFormat/>
    <w:uiPriority w:val="99"/>
    <w:rPr>
      <w:rFonts w:ascii="Calibri" w:hAnsi="Calibri" w:eastAsia="宋体" w:cs="Times New Roman"/>
      <w:b/>
      <w:bCs/>
      <w:kern w:val="2"/>
      <w:sz w:val="21"/>
      <w:szCs w:val="22"/>
      <w:lang w:val="en-US" w:eastAsia="zh-CN" w:bidi="ar-SA"/>
    </w:rPr>
  </w:style>
  <w:style w:type="character" w:customStyle="1" w:styleId="140">
    <w:name w:val="zbggmain style9"/>
    <w:qFormat/>
    <w:uiPriority w:val="0"/>
    <w:rPr>
      <w:rFonts w:ascii="Calibri" w:hAnsi="Calibri" w:eastAsia="宋体" w:cs="Times New Roman"/>
      <w:lang w:val="en-US" w:eastAsia="zh-CN" w:bidi="ar-SA"/>
    </w:rPr>
  </w:style>
  <w:style w:type="character" w:customStyle="1" w:styleId="141">
    <w:name w:val="z-窗体底端 字符"/>
    <w:semiHidden/>
    <w:qFormat/>
    <w:uiPriority w:val="99"/>
    <w:rPr>
      <w:rFonts w:ascii="Arial" w:hAnsi="Arial" w:eastAsia="宋体" w:cs="Arial"/>
      <w:vanish/>
      <w:sz w:val="16"/>
      <w:szCs w:val="16"/>
      <w:lang w:val="en-US" w:eastAsia="zh-CN" w:bidi="ar-SA"/>
    </w:rPr>
  </w:style>
  <w:style w:type="character" w:customStyle="1" w:styleId="142">
    <w:name w:val="纯文本 Char1"/>
    <w:link w:val="19"/>
    <w:qFormat/>
    <w:uiPriority w:val="0"/>
    <w:rPr>
      <w:rFonts w:ascii="宋体" w:hAnsi="Courier New" w:eastAsia="宋体" w:cs="Times New Roman"/>
      <w:szCs w:val="21"/>
      <w:lang w:val="en-US" w:eastAsia="zh-CN" w:bidi="ar-SA"/>
    </w:rPr>
  </w:style>
  <w:style w:type="character" w:customStyle="1" w:styleId="143">
    <w:name w:val="标题 4 Char"/>
    <w:link w:val="5"/>
    <w:qFormat/>
    <w:uiPriority w:val="0"/>
    <w:rPr>
      <w:rFonts w:ascii="Arial" w:hAnsi="Arial" w:eastAsia="黑体" w:cs="Times New Roman"/>
      <w:b/>
      <w:bCs/>
      <w:kern w:val="0"/>
      <w:sz w:val="28"/>
      <w:szCs w:val="28"/>
      <w:lang w:val="en-US" w:eastAsia="zh-CN" w:bidi="ar-SA"/>
    </w:rPr>
  </w:style>
  <w:style w:type="character" w:customStyle="1" w:styleId="144">
    <w:name w:val="正文文本 字符"/>
    <w:semiHidden/>
    <w:qFormat/>
    <w:uiPriority w:val="99"/>
    <w:rPr>
      <w:rFonts w:ascii="Calibri" w:hAnsi="Calibri" w:eastAsia="宋体" w:cs="Times New Roman"/>
      <w:lang w:val="en-US" w:eastAsia="zh-CN" w:bidi="ar-SA"/>
    </w:rPr>
  </w:style>
  <w:style w:type="character" w:customStyle="1" w:styleId="145">
    <w:name w:val="页眉 Char"/>
    <w:link w:val="26"/>
    <w:qFormat/>
    <w:uiPriority w:val="99"/>
    <w:rPr>
      <w:rFonts w:ascii="Times New Roman" w:hAnsi="Times New Roman" w:eastAsia="宋体" w:cs="Times New Roman"/>
      <w:sz w:val="18"/>
      <w:szCs w:val="18"/>
      <w:lang w:val="en-US" w:eastAsia="zh-CN" w:bidi="ar-SA"/>
    </w:rPr>
  </w:style>
  <w:style w:type="character" w:customStyle="1" w:styleId="146">
    <w:name w:val="正文首行缩进 字符"/>
    <w:semiHidden/>
    <w:qFormat/>
    <w:uiPriority w:val="99"/>
    <w:rPr>
      <w:rFonts w:ascii="Calibri" w:hAnsi="Calibri" w:eastAsia="宋体" w:cs="Times New Roman"/>
      <w:lang w:val="en-US" w:eastAsia="zh-CN" w:bidi="ar-SA"/>
    </w:rPr>
  </w:style>
  <w:style w:type="character" w:customStyle="1" w:styleId="147">
    <w:name w:val="正文文本缩进 2 Char"/>
    <w:link w:val="23"/>
    <w:qFormat/>
    <w:uiPriority w:val="0"/>
    <w:rPr>
      <w:rFonts w:ascii="Times New Roman" w:hAnsi="Times New Roman" w:eastAsia="宋体" w:cs="Times New Roman"/>
      <w:szCs w:val="24"/>
      <w:lang w:val="en-US" w:eastAsia="zh-CN" w:bidi="ar-SA"/>
    </w:rPr>
  </w:style>
  <w:style w:type="character" w:customStyle="1" w:styleId="148">
    <w:name w:val="正文文本缩进 2 字符"/>
    <w:semiHidden/>
    <w:qFormat/>
    <w:uiPriority w:val="99"/>
    <w:rPr>
      <w:rFonts w:ascii="Calibri" w:hAnsi="Calibri" w:eastAsia="宋体" w:cs="Times New Roman"/>
      <w:lang w:val="en-US" w:eastAsia="zh-CN" w:bidi="ar-SA"/>
    </w:rPr>
  </w:style>
  <w:style w:type="character" w:customStyle="1" w:styleId="149">
    <w:name w:val="批注文字 字符1"/>
    <w:basedOn w:val="48"/>
    <w:semiHidden/>
    <w:qFormat/>
    <w:uiPriority w:val="99"/>
    <w:rPr>
      <w:rFonts w:ascii="Calibri" w:hAnsi="Calibri" w:eastAsia="宋体" w:cs="Times New Roman"/>
      <w:lang w:val="en-US" w:eastAsia="zh-CN" w:bidi="ar-SA"/>
    </w:rPr>
  </w:style>
  <w:style w:type="character" w:customStyle="1" w:styleId="150">
    <w:name w:val="日期 字符2"/>
    <w:basedOn w:val="48"/>
    <w:semiHidden/>
    <w:qFormat/>
    <w:uiPriority w:val="99"/>
    <w:rPr>
      <w:rFonts w:ascii="Calibri" w:hAnsi="Calibri" w:eastAsia="宋体" w:cs="Times New Roman"/>
      <w:lang w:val="en-US" w:eastAsia="zh-CN" w:bidi="ar-SA"/>
    </w:rPr>
  </w:style>
  <w:style w:type="character" w:customStyle="1" w:styleId="151">
    <w:name w:val="文档结构图 字符2"/>
    <w:semiHidden/>
    <w:qFormat/>
    <w:uiPriority w:val="99"/>
    <w:rPr>
      <w:rFonts w:ascii="Microsoft YaHei UI" w:hAnsi="Calibri" w:eastAsia="Microsoft YaHei UI" w:cs="Times New Roman"/>
      <w:sz w:val="18"/>
      <w:szCs w:val="18"/>
      <w:lang w:val="en-US" w:eastAsia="zh-CN" w:bidi="ar-SA"/>
    </w:rPr>
  </w:style>
  <w:style w:type="character" w:customStyle="1" w:styleId="152">
    <w:name w:val="批注主题 字符1"/>
    <w:semiHidden/>
    <w:qFormat/>
    <w:uiPriority w:val="99"/>
    <w:rPr>
      <w:rFonts w:ascii="Calibri" w:hAnsi="Calibri" w:eastAsia="宋体" w:cs="Times New Roman"/>
      <w:b/>
      <w:bCs/>
      <w:lang w:val="en-US" w:eastAsia="zh-CN" w:bidi="ar-SA"/>
    </w:rPr>
  </w:style>
  <w:style w:type="character" w:customStyle="1" w:styleId="153">
    <w:name w:val="正文文本缩进 3 字符2"/>
    <w:semiHidden/>
    <w:qFormat/>
    <w:uiPriority w:val="99"/>
    <w:rPr>
      <w:rFonts w:ascii="Calibri" w:hAnsi="Calibri" w:eastAsia="宋体" w:cs="Times New Roman"/>
      <w:sz w:val="16"/>
      <w:szCs w:val="16"/>
      <w:lang w:val="en-US" w:eastAsia="zh-CN" w:bidi="ar-SA"/>
    </w:rPr>
  </w:style>
  <w:style w:type="character" w:customStyle="1" w:styleId="154">
    <w:name w:val="脚注文本 字符2"/>
    <w:semiHidden/>
    <w:qFormat/>
    <w:uiPriority w:val="99"/>
    <w:rPr>
      <w:rFonts w:ascii="Calibri" w:hAnsi="Calibri" w:eastAsia="宋体" w:cs="Times New Roman"/>
      <w:sz w:val="18"/>
      <w:szCs w:val="18"/>
      <w:lang w:val="en-US" w:eastAsia="zh-CN" w:bidi="ar-SA"/>
    </w:rPr>
  </w:style>
  <w:style w:type="character" w:customStyle="1" w:styleId="155">
    <w:name w:val="正文文本缩进 Char"/>
    <w:basedOn w:val="48"/>
    <w:link w:val="15"/>
    <w:semiHidden/>
    <w:qFormat/>
    <w:uiPriority w:val="99"/>
    <w:rPr>
      <w:rFonts w:ascii="Calibri" w:hAnsi="Calibri" w:eastAsia="宋体" w:cs="Times New Roman"/>
      <w:lang w:val="en-US" w:eastAsia="zh-CN" w:bidi="ar-SA"/>
    </w:rPr>
  </w:style>
  <w:style w:type="character" w:customStyle="1" w:styleId="156">
    <w:name w:val="正文首行缩进 2 字符2"/>
    <w:basedOn w:val="155"/>
    <w:semiHidden/>
    <w:qFormat/>
    <w:uiPriority w:val="99"/>
    <w:rPr>
      <w:rFonts w:ascii="Calibri" w:hAnsi="Calibri" w:eastAsia="宋体" w:cs="Times New Roman"/>
    </w:rPr>
  </w:style>
  <w:style w:type="character" w:customStyle="1" w:styleId="157">
    <w:name w:val="页眉 字符2"/>
    <w:semiHidden/>
    <w:qFormat/>
    <w:uiPriority w:val="99"/>
    <w:rPr>
      <w:rFonts w:ascii="Calibri" w:hAnsi="Calibri" w:eastAsia="宋体" w:cs="Times New Roman"/>
      <w:sz w:val="18"/>
      <w:szCs w:val="18"/>
      <w:lang w:val="en-US" w:eastAsia="zh-CN" w:bidi="ar-SA"/>
    </w:rPr>
  </w:style>
  <w:style w:type="character" w:customStyle="1" w:styleId="158">
    <w:name w:val="标题 字符2"/>
    <w:qFormat/>
    <w:uiPriority w:val="10"/>
    <w:rPr>
      <w:rFonts w:ascii="Calibri Light" w:hAnsi="Calibri Light" w:eastAsia="宋体" w:cs="Times New Roman"/>
      <w:b/>
      <w:bCs/>
      <w:sz w:val="32"/>
      <w:szCs w:val="32"/>
      <w:lang w:val="en-US" w:eastAsia="zh-CN" w:bidi="ar-SA"/>
    </w:rPr>
  </w:style>
  <w:style w:type="character" w:customStyle="1" w:styleId="159">
    <w:name w:val="正文文本缩进 2 字符2"/>
    <w:basedOn w:val="48"/>
    <w:semiHidden/>
    <w:qFormat/>
    <w:uiPriority w:val="99"/>
    <w:rPr>
      <w:rFonts w:ascii="Calibri" w:hAnsi="Calibri" w:eastAsia="宋体" w:cs="Times New Roman"/>
      <w:lang w:val="en-US" w:eastAsia="zh-CN" w:bidi="ar-SA"/>
    </w:rPr>
  </w:style>
  <w:style w:type="character" w:customStyle="1" w:styleId="160">
    <w:name w:val="正文文本 字符2"/>
    <w:basedOn w:val="48"/>
    <w:semiHidden/>
    <w:qFormat/>
    <w:uiPriority w:val="99"/>
    <w:rPr>
      <w:rFonts w:ascii="Calibri" w:hAnsi="Calibri" w:eastAsia="宋体" w:cs="Times New Roman"/>
      <w:lang w:val="en-US" w:eastAsia="zh-CN" w:bidi="ar-SA"/>
    </w:rPr>
  </w:style>
  <w:style w:type="character" w:customStyle="1" w:styleId="161">
    <w:name w:val="页脚 字符2"/>
    <w:semiHidden/>
    <w:qFormat/>
    <w:uiPriority w:val="99"/>
    <w:rPr>
      <w:rFonts w:ascii="Calibri" w:hAnsi="Calibri" w:eastAsia="宋体" w:cs="Times New Roman"/>
      <w:sz w:val="18"/>
      <w:szCs w:val="18"/>
      <w:lang w:val="en-US" w:eastAsia="zh-CN" w:bidi="ar-SA"/>
    </w:rPr>
  </w:style>
  <w:style w:type="character" w:customStyle="1" w:styleId="162">
    <w:name w:val="正文首行缩进 字符2"/>
    <w:basedOn w:val="160"/>
    <w:semiHidden/>
    <w:qFormat/>
    <w:uiPriority w:val="99"/>
    <w:rPr>
      <w:rFonts w:ascii="Calibri" w:hAnsi="Calibri" w:eastAsia="宋体" w:cs="Times New Roman"/>
    </w:rPr>
  </w:style>
  <w:style w:type="character" w:customStyle="1" w:styleId="163">
    <w:name w:val="正文文本 2 字符2"/>
    <w:basedOn w:val="48"/>
    <w:semiHidden/>
    <w:qFormat/>
    <w:uiPriority w:val="99"/>
    <w:rPr>
      <w:rFonts w:ascii="Calibri" w:hAnsi="Calibri" w:eastAsia="宋体" w:cs="Times New Roman"/>
      <w:lang w:val="en-US" w:eastAsia="zh-CN" w:bidi="ar-SA"/>
    </w:rPr>
  </w:style>
  <w:style w:type="character" w:customStyle="1" w:styleId="164">
    <w:name w:val="纯文本 字符2"/>
    <w:semiHidden/>
    <w:qFormat/>
    <w:uiPriority w:val="99"/>
    <w:rPr>
      <w:rFonts w:ascii="宋体" w:hAnsi="Courier New" w:eastAsia="宋体" w:cs="Courier New"/>
      <w:lang w:val="en-US" w:eastAsia="zh-CN" w:bidi="ar-SA"/>
    </w:rPr>
  </w:style>
  <w:style w:type="character" w:customStyle="1" w:styleId="165">
    <w:name w:val="批注框文本 字符2"/>
    <w:semiHidden/>
    <w:qFormat/>
    <w:uiPriority w:val="99"/>
    <w:rPr>
      <w:rFonts w:ascii="Calibri" w:hAnsi="Calibri" w:eastAsia="宋体" w:cs="Times New Roman"/>
      <w:sz w:val="18"/>
      <w:szCs w:val="18"/>
      <w:lang w:val="en-US" w:eastAsia="zh-CN" w:bidi="ar-SA"/>
    </w:rPr>
  </w:style>
  <w:style w:type="character" w:customStyle="1" w:styleId="166">
    <w:name w:val="纯文本 Char"/>
    <w:qFormat/>
    <w:uiPriority w:val="0"/>
    <w:rPr>
      <w:rFonts w:ascii="宋体" w:hAnsi="Courier New" w:eastAsia="宋体" w:cs="Times New Roman"/>
      <w:szCs w:val="21"/>
      <w:lang w:val="en-US" w:eastAsia="zh-CN" w:bidi="ar-SA"/>
    </w:rPr>
  </w:style>
  <w:style w:type="character" w:customStyle="1" w:styleId="167">
    <w:name w:val="页脚 Char"/>
    <w:qFormat/>
    <w:uiPriority w:val="99"/>
    <w:rPr>
      <w:rFonts w:ascii="Times New Roman"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22274</Words>
  <Characters>4558</Characters>
  <Lines>37</Lines>
  <Paragraphs>53</Paragraphs>
  <TotalTime>51</TotalTime>
  <ScaleCrop>false</ScaleCrop>
  <LinksUpToDate>false</LinksUpToDate>
  <CharactersWithSpaces>26779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贾思勰</cp:lastModifiedBy>
  <dcterms:modified xsi:type="dcterms:W3CDTF">2019-08-21T07:38:10Z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