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p>
    <w:p>
      <w:pPr>
        <w:autoSpaceDE w:val="0"/>
        <w:autoSpaceDN w:val="0"/>
        <w:adjustRightInd w:val="0"/>
        <w:jc w:val="center"/>
        <w:rPr>
          <w:rFonts w:eastAsia="黑体" w:cs="Calibri"/>
          <w:b/>
          <w:sz w:val="44"/>
          <w:szCs w:val="44"/>
        </w:rPr>
      </w:pPr>
      <w:r>
        <w:rPr>
          <w:rFonts w:hint="eastAsia" w:eastAsia="黑体" w:cs="Calibri"/>
          <w:b/>
          <w:sz w:val="44"/>
          <w:szCs w:val="44"/>
        </w:rPr>
        <w:t>飞机除冰车大修项目</w:t>
      </w:r>
    </w:p>
    <w:p>
      <w:pPr>
        <w:autoSpaceDE w:val="0"/>
        <w:autoSpaceDN w:val="0"/>
        <w:adjustRightInd w:val="0"/>
        <w:jc w:val="center"/>
        <w:rPr>
          <w:rFonts w:eastAsia="黑体" w:cs="Calibri"/>
          <w:b/>
          <w:bCs/>
          <w:spacing w:val="60"/>
          <w:sz w:val="82"/>
          <w:szCs w:val="82"/>
        </w:rPr>
      </w:pPr>
    </w:p>
    <w:p>
      <w:pPr>
        <w:autoSpaceDE w:val="0"/>
        <w:autoSpaceDN w:val="0"/>
        <w:adjustRightInd w:val="0"/>
        <w:jc w:val="center"/>
        <w:rPr>
          <w:rFonts w:eastAsia="黑体" w:cs="Calibri"/>
          <w:b/>
          <w:bCs/>
          <w:spacing w:val="60"/>
          <w:sz w:val="82"/>
          <w:szCs w:val="82"/>
        </w:rPr>
      </w:pPr>
      <w:r>
        <w:rPr>
          <w:rFonts w:eastAsia="黑体" w:cs="Calibri"/>
          <w:b/>
          <w:bCs/>
          <w:spacing w:val="60"/>
          <w:sz w:val="82"/>
          <w:szCs w:val="82"/>
        </w:rPr>
        <w:t>招标文件</w:t>
      </w:r>
    </w:p>
    <w:p>
      <w:pPr>
        <w:autoSpaceDE w:val="0"/>
        <w:autoSpaceDN w:val="0"/>
        <w:adjustRightInd w:val="0"/>
        <w:jc w:val="center"/>
        <w:rPr>
          <w:rFonts w:cs="Calibri"/>
          <w:b/>
          <w:kern w:val="0"/>
          <w:sz w:val="44"/>
          <w:szCs w:val="44"/>
        </w:rPr>
      </w:pPr>
    </w:p>
    <w:p>
      <w:pPr>
        <w:autoSpaceDE w:val="0"/>
        <w:autoSpaceDN w:val="0"/>
        <w:adjustRightInd w:val="0"/>
        <w:jc w:val="center"/>
        <w:rPr>
          <w:rFonts w:cs="Calibri"/>
          <w:b/>
          <w:kern w:val="0"/>
          <w:sz w:val="44"/>
          <w:szCs w:val="44"/>
        </w:rPr>
      </w:pPr>
    </w:p>
    <w:p>
      <w:pPr>
        <w:autoSpaceDE w:val="0"/>
        <w:autoSpaceDN w:val="0"/>
        <w:adjustRightInd w:val="0"/>
        <w:jc w:val="center"/>
        <w:rPr>
          <w:rFonts w:cs="Calibri"/>
          <w:kern w:val="0"/>
          <w:sz w:val="32"/>
          <w:szCs w:val="32"/>
        </w:rPr>
      </w:pPr>
    </w:p>
    <w:p>
      <w:pPr>
        <w:pStyle w:val="19"/>
        <w:spacing w:line="480" w:lineRule="auto"/>
        <w:jc w:val="center"/>
        <w:rPr>
          <w:rFonts w:ascii="Calibri" w:hAnsi="Calibri" w:eastAsia="隶书" w:cs="Calibri"/>
          <w:sz w:val="32"/>
        </w:rPr>
      </w:pPr>
    </w:p>
    <w:p>
      <w:pPr>
        <w:pStyle w:val="19"/>
        <w:spacing w:line="480" w:lineRule="auto"/>
        <w:jc w:val="center"/>
        <w:rPr>
          <w:rFonts w:ascii="Calibri" w:hAnsi="Calibri" w:eastAsia="隶书" w:cs="Calibri"/>
          <w:sz w:val="32"/>
        </w:rPr>
      </w:pPr>
    </w:p>
    <w:p>
      <w:pPr>
        <w:pStyle w:val="19"/>
        <w:spacing w:line="480" w:lineRule="auto"/>
        <w:jc w:val="center"/>
        <w:rPr>
          <w:rFonts w:ascii="Calibri" w:hAnsi="Calibri" w:eastAsia="隶书" w:cs="Calibri"/>
          <w:sz w:val="32"/>
        </w:rPr>
      </w:pPr>
    </w:p>
    <w:p>
      <w:pPr>
        <w:pStyle w:val="19"/>
        <w:spacing w:line="480" w:lineRule="auto"/>
        <w:jc w:val="center"/>
        <w:rPr>
          <w:rFonts w:ascii="Calibri" w:hAnsi="Calibri" w:eastAsia="隶书" w:cs="Calibri"/>
          <w:sz w:val="32"/>
        </w:rPr>
      </w:pPr>
    </w:p>
    <w:p>
      <w:pPr>
        <w:pStyle w:val="19"/>
        <w:spacing w:line="480" w:lineRule="auto"/>
        <w:jc w:val="center"/>
        <w:rPr>
          <w:rFonts w:ascii="Calibri" w:hAnsi="Calibri" w:eastAsia="隶书" w:cs="Calibri"/>
          <w:sz w:val="32"/>
        </w:rPr>
      </w:pPr>
    </w:p>
    <w:p>
      <w:pPr>
        <w:pStyle w:val="19"/>
        <w:spacing w:line="480" w:lineRule="auto"/>
        <w:rPr>
          <w:rFonts w:ascii="Calibri" w:hAnsi="Calibri" w:eastAsia="隶书" w:cs="Calibri"/>
          <w:sz w:val="32"/>
        </w:rPr>
      </w:pPr>
    </w:p>
    <w:p>
      <w:pPr>
        <w:pStyle w:val="19"/>
        <w:spacing w:line="480" w:lineRule="auto"/>
        <w:jc w:val="center"/>
        <w:rPr>
          <w:rFonts w:ascii="Calibri" w:hAnsi="Calibri" w:eastAsia="隶书" w:cs="Calibri"/>
          <w:sz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19"/>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rPr>
        <w:t xml:space="preserve"> </w:t>
      </w:r>
      <w:r>
        <w:rPr>
          <w:rFonts w:hint="eastAsia" w:ascii="Calibri" w:hAnsi="Calibri" w:eastAsia="黑体" w:cs="Calibri"/>
          <w:sz w:val="32"/>
          <w:szCs w:val="32"/>
          <w:u w:val="single"/>
          <w:lang w:eastAsia="zh-CN"/>
        </w:rPr>
        <w:t>九</w:t>
      </w:r>
      <w:r>
        <w:rPr>
          <w:rFonts w:hint="eastAsia" w:ascii="Calibri" w:hAnsi="Calibri" w:eastAsia="黑体" w:cs="Calibri"/>
          <w:sz w:val="32"/>
          <w:szCs w:val="32"/>
          <w:u w:val="single"/>
        </w:rPr>
        <w:t xml:space="preserve"> </w:t>
      </w:r>
      <w:r>
        <w:rPr>
          <w:rFonts w:ascii="Calibri" w:hAnsi="Calibri" w:eastAsia="黑体" w:cs="Calibri"/>
          <w:sz w:val="32"/>
          <w:szCs w:val="32"/>
        </w:rPr>
        <w:t>月</w:t>
      </w:r>
    </w:p>
    <w:p>
      <w:pPr>
        <w:snapToGrid w:val="0"/>
        <w:spacing w:line="360" w:lineRule="auto"/>
        <w:jc w:val="center"/>
        <w:rPr>
          <w:rFonts w:cs="Calibri"/>
          <w:color w:val="000000"/>
          <w:sz w:val="32"/>
          <w:szCs w:val="32"/>
        </w:rPr>
      </w:pPr>
    </w:p>
    <w:p>
      <w:pPr>
        <w:pStyle w:val="27"/>
        <w:rPr>
          <w:rFonts w:ascii="Calibri" w:cs="Calibri"/>
          <w:b/>
          <w:color w:val="000000"/>
          <w:sz w:val="44"/>
        </w:rPr>
      </w:pPr>
      <w:bookmarkStart w:id="0" w:name="_Toc349007685"/>
      <w:bookmarkStart w:id="1" w:name="_Toc349011855"/>
      <w:bookmarkStart w:id="2" w:name="_Toc386359390"/>
      <w:bookmarkStart w:id="3" w:name="_Toc386363314"/>
      <w:r>
        <w:rPr>
          <w:rFonts w:hint="eastAsia" w:ascii="Calibri" w:cs="Calibri"/>
          <w:b/>
          <w:color w:val="000000"/>
          <w:sz w:val="44"/>
        </w:rPr>
        <w:t xml:space="preserve"> </w:t>
      </w:r>
    </w:p>
    <w:p>
      <w:pPr>
        <w:pStyle w:val="27"/>
        <w:rPr>
          <w:rFonts w:ascii="Calibri" w:hAnsi="Calibri" w:cs="Calibri"/>
          <w:b/>
          <w:color w:val="000000"/>
          <w:sz w:val="44"/>
        </w:rPr>
      </w:pPr>
      <w:bookmarkStart w:id="4" w:name="_Toc400369182"/>
      <w:bookmarkStart w:id="5" w:name="_Toc444811406"/>
      <w:bookmarkStart w:id="6" w:name="_Toc444173456"/>
      <w:bookmarkStart w:id="7" w:name="_Toc444174976"/>
      <w:bookmarkStart w:id="8" w:name="_Toc448002981"/>
      <w:r>
        <w:rPr>
          <w:rFonts w:ascii="Calibri" w:cs="Calibri"/>
          <w:b/>
          <w:color w:val="000000"/>
          <w:sz w:val="44"/>
        </w:rPr>
        <w:t>目</w:t>
      </w:r>
      <w:r>
        <w:rPr>
          <w:rFonts w:ascii="Calibri" w:hAnsi="Calibri" w:cs="Calibri"/>
          <w:b/>
          <w:color w:val="000000"/>
          <w:sz w:val="44"/>
        </w:rPr>
        <w:t xml:space="preserve">  </w:t>
      </w:r>
      <w:r>
        <w:rPr>
          <w:rFonts w:ascii="Calibri" w:cs="Calibri"/>
          <w:b/>
          <w:color w:val="000000"/>
          <w:sz w:val="44"/>
        </w:rPr>
        <w:t>录</w:t>
      </w:r>
      <w:bookmarkEnd w:id="0"/>
      <w:bookmarkEnd w:id="1"/>
      <w:bookmarkEnd w:id="2"/>
      <w:bookmarkEnd w:id="3"/>
      <w:bookmarkEnd w:id="4"/>
      <w:bookmarkEnd w:id="5"/>
      <w:bookmarkEnd w:id="6"/>
      <w:bookmarkEnd w:id="7"/>
      <w:bookmarkEnd w:id="8"/>
    </w:p>
    <w:p>
      <w:pPr>
        <w:pStyle w:val="27"/>
        <w:spacing w:line="480" w:lineRule="auto"/>
        <w:rPr>
          <w:rFonts w:ascii="黑体" w:hAnsi="黑体" w:eastAsia="黑体"/>
          <w:bCs w:val="0"/>
          <w:kern w:val="2"/>
          <w:sz w:val="22"/>
          <w:szCs w:val="22"/>
        </w:rPr>
      </w:pPr>
      <w:r>
        <w:rPr>
          <w:rFonts w:hint="eastAsia" w:ascii="黑体" w:hAnsi="黑体" w:eastAsia="黑体" w:cs="Calibri"/>
          <w:color w:val="000000"/>
          <w:sz w:val="22"/>
          <w:szCs w:val="22"/>
        </w:rPr>
        <w:fldChar w:fldCharType="begin"/>
      </w:r>
      <w:r>
        <w:rPr>
          <w:rFonts w:hint="eastAsia" w:ascii="黑体" w:hAnsi="黑体" w:eastAsia="黑体" w:cs="Calibri"/>
          <w:color w:val="000000"/>
          <w:sz w:val="22"/>
          <w:szCs w:val="22"/>
        </w:rPr>
        <w:instrText xml:space="preserve"> TOC \o "1-3" \h \z \u </w:instrText>
      </w:r>
      <w:r>
        <w:rPr>
          <w:rFonts w:hint="eastAsia" w:ascii="黑体" w:hAnsi="黑体" w:eastAsia="黑体" w:cs="Calibri"/>
          <w:color w:val="000000"/>
          <w:sz w:val="22"/>
          <w:szCs w:val="22"/>
        </w:rPr>
        <w:fldChar w:fldCharType="separate"/>
      </w:r>
    </w:p>
    <w:p>
      <w:pPr>
        <w:pStyle w:val="27"/>
        <w:spacing w:line="480" w:lineRule="auto"/>
        <w:rPr>
          <w:rFonts w:ascii="黑体" w:hAnsi="黑体" w:eastAsia="黑体"/>
          <w:bCs w:val="0"/>
          <w:kern w:val="2"/>
          <w:sz w:val="22"/>
          <w:szCs w:val="22"/>
        </w:rPr>
      </w:pPr>
      <w:r>
        <w:fldChar w:fldCharType="begin"/>
      </w:r>
      <w:r>
        <w:instrText xml:space="preserve"> HYPERLINK \l "_Toc448002982" </w:instrText>
      </w:r>
      <w:r>
        <w:fldChar w:fldCharType="separate"/>
      </w:r>
      <w:r>
        <w:rPr>
          <w:rStyle w:val="51"/>
          <w:rFonts w:hint="eastAsia" w:ascii="黑体" w:hAnsi="黑体" w:eastAsia="黑体" w:cs="Calibri"/>
          <w:kern w:val="0"/>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_Toc448002982 \h </w:instrText>
      </w:r>
      <w:r>
        <w:rPr>
          <w:rFonts w:hint="eastAsia" w:ascii="黑体" w:hAnsi="黑体" w:eastAsia="黑体"/>
          <w:sz w:val="22"/>
          <w:szCs w:val="22"/>
        </w:rPr>
        <w:fldChar w:fldCharType="separate"/>
      </w:r>
      <w:r>
        <w:rPr>
          <w:rFonts w:ascii="黑体" w:hAnsi="黑体" w:eastAsia="黑体"/>
          <w:sz w:val="22"/>
          <w:szCs w:val="22"/>
        </w:rPr>
        <w:t>- 2 -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27"/>
        <w:spacing w:line="480" w:lineRule="auto"/>
        <w:rPr>
          <w:rFonts w:ascii="黑体" w:hAnsi="黑体" w:eastAsia="黑体"/>
          <w:bCs w:val="0"/>
          <w:kern w:val="2"/>
          <w:sz w:val="22"/>
          <w:szCs w:val="22"/>
        </w:rPr>
      </w:pPr>
      <w:r>
        <w:fldChar w:fldCharType="begin"/>
      </w:r>
      <w:r>
        <w:instrText xml:space="preserve"> HYPERLINK \l "_Toc448002983" </w:instrText>
      </w:r>
      <w:r>
        <w:fldChar w:fldCharType="separate"/>
      </w:r>
      <w:r>
        <w:rPr>
          <w:rStyle w:val="51"/>
          <w:rFonts w:hint="eastAsia" w:ascii="黑体" w:hAnsi="黑体" w:eastAsia="黑体" w:cs="Calibri"/>
          <w:kern w:val="0"/>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_Toc448002983 \h </w:instrText>
      </w:r>
      <w:r>
        <w:rPr>
          <w:rFonts w:hint="eastAsia" w:ascii="黑体" w:hAnsi="黑体" w:eastAsia="黑体"/>
          <w:sz w:val="22"/>
          <w:szCs w:val="22"/>
        </w:rPr>
        <w:fldChar w:fldCharType="separate"/>
      </w:r>
      <w:r>
        <w:rPr>
          <w:rFonts w:ascii="黑体" w:hAnsi="黑体" w:eastAsia="黑体"/>
          <w:sz w:val="22"/>
          <w:szCs w:val="22"/>
        </w:rPr>
        <w:t>- 3 -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27"/>
        <w:spacing w:line="480" w:lineRule="auto"/>
        <w:rPr>
          <w:rFonts w:ascii="黑体" w:hAnsi="黑体" w:eastAsia="黑体"/>
          <w:bCs w:val="0"/>
          <w:kern w:val="2"/>
          <w:sz w:val="22"/>
          <w:szCs w:val="22"/>
        </w:rPr>
      </w:pPr>
      <w:r>
        <w:fldChar w:fldCharType="begin"/>
      </w:r>
      <w:r>
        <w:instrText xml:space="preserve"> HYPERLINK \l "_Toc448002985" </w:instrText>
      </w:r>
      <w:r>
        <w:fldChar w:fldCharType="separate"/>
      </w:r>
      <w:r>
        <w:rPr>
          <w:rStyle w:val="51"/>
          <w:rFonts w:hint="eastAsia" w:ascii="黑体" w:hAnsi="黑体" w:eastAsia="黑体" w:cs="Calibri"/>
          <w:kern w:val="0"/>
          <w:sz w:val="22"/>
          <w:szCs w:val="22"/>
        </w:rPr>
        <w:t>第三章  维修服务技术标准及要求</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_Toc448002985 \h </w:instrText>
      </w:r>
      <w:r>
        <w:rPr>
          <w:rFonts w:hint="eastAsia" w:ascii="黑体" w:hAnsi="黑体" w:eastAsia="黑体"/>
          <w:sz w:val="22"/>
          <w:szCs w:val="22"/>
        </w:rPr>
        <w:fldChar w:fldCharType="separate"/>
      </w:r>
      <w:r>
        <w:rPr>
          <w:rFonts w:ascii="黑体" w:hAnsi="黑体" w:eastAsia="黑体"/>
          <w:sz w:val="22"/>
          <w:szCs w:val="22"/>
        </w:rPr>
        <w:t>- 11 -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27"/>
        <w:spacing w:line="480" w:lineRule="auto"/>
        <w:rPr>
          <w:rFonts w:ascii="黑体" w:hAnsi="黑体" w:eastAsia="黑体"/>
          <w:bCs w:val="0"/>
          <w:kern w:val="2"/>
          <w:sz w:val="22"/>
          <w:szCs w:val="22"/>
        </w:rPr>
      </w:pPr>
      <w:r>
        <w:fldChar w:fldCharType="begin"/>
      </w:r>
      <w:r>
        <w:instrText xml:space="preserve"> HYPERLINK \l "_Toc448002986" </w:instrText>
      </w:r>
      <w:r>
        <w:fldChar w:fldCharType="separate"/>
      </w:r>
      <w:r>
        <w:rPr>
          <w:rStyle w:val="51"/>
          <w:rFonts w:hint="eastAsia" w:ascii="黑体" w:hAnsi="黑体" w:eastAsia="黑体" w:cs="Calibri"/>
          <w:kern w:val="0"/>
          <w:sz w:val="22"/>
          <w:szCs w:val="22"/>
        </w:rPr>
        <w:t>第四章  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_Toc448002986 \h </w:instrText>
      </w:r>
      <w:r>
        <w:rPr>
          <w:rFonts w:hint="eastAsia" w:ascii="黑体" w:hAnsi="黑体" w:eastAsia="黑体"/>
          <w:sz w:val="22"/>
          <w:szCs w:val="22"/>
        </w:rPr>
        <w:fldChar w:fldCharType="separate"/>
      </w:r>
      <w:r>
        <w:rPr>
          <w:rFonts w:ascii="黑体" w:hAnsi="黑体" w:eastAsia="黑体"/>
          <w:sz w:val="22"/>
          <w:szCs w:val="22"/>
        </w:rPr>
        <w:t>- 1</w:t>
      </w:r>
      <w:r>
        <w:rPr>
          <w:rFonts w:hint="eastAsia" w:ascii="黑体" w:hAnsi="黑体" w:eastAsia="黑体"/>
          <w:sz w:val="22"/>
          <w:szCs w:val="22"/>
        </w:rPr>
        <w:t>5</w:t>
      </w:r>
      <w:r>
        <w:rPr>
          <w:rFonts w:ascii="黑体" w:hAnsi="黑体" w:eastAsia="黑体"/>
          <w:sz w:val="22"/>
          <w:szCs w:val="22"/>
        </w:rPr>
        <w:t>-</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27"/>
        <w:spacing w:line="480" w:lineRule="auto"/>
        <w:rPr>
          <w:rFonts w:ascii="黑体" w:hAnsi="黑体" w:eastAsia="黑体"/>
          <w:bCs w:val="0"/>
          <w:kern w:val="2"/>
          <w:sz w:val="22"/>
          <w:szCs w:val="22"/>
        </w:rPr>
      </w:pPr>
      <w:r>
        <w:fldChar w:fldCharType="begin"/>
      </w:r>
      <w:r>
        <w:instrText xml:space="preserve"> HYPERLINK \l "_Toc448002987" </w:instrText>
      </w:r>
      <w:r>
        <w:fldChar w:fldCharType="separate"/>
      </w:r>
      <w:r>
        <w:rPr>
          <w:rStyle w:val="51"/>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_Toc448002987 \h </w:instrText>
      </w:r>
      <w:r>
        <w:rPr>
          <w:rFonts w:hint="eastAsia" w:ascii="黑体" w:hAnsi="黑体" w:eastAsia="黑体"/>
          <w:sz w:val="22"/>
          <w:szCs w:val="22"/>
        </w:rPr>
        <w:fldChar w:fldCharType="separate"/>
      </w:r>
      <w:r>
        <w:rPr>
          <w:rFonts w:ascii="黑体" w:hAnsi="黑体" w:eastAsia="黑体"/>
          <w:sz w:val="22"/>
          <w:szCs w:val="22"/>
        </w:rPr>
        <w:t>- 1</w:t>
      </w:r>
      <w:r>
        <w:rPr>
          <w:rFonts w:hint="eastAsia" w:ascii="黑体" w:hAnsi="黑体" w:eastAsia="黑体"/>
          <w:sz w:val="22"/>
          <w:szCs w:val="22"/>
        </w:rPr>
        <w:t>9</w:t>
      </w:r>
      <w:r>
        <w:rPr>
          <w:rFonts w:ascii="黑体" w:hAnsi="黑体" w:eastAsia="黑体"/>
          <w:sz w:val="22"/>
          <w:szCs w:val="22"/>
        </w:rPr>
        <w:t>-</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27"/>
        <w:spacing w:line="480" w:lineRule="auto"/>
        <w:rPr>
          <w:rFonts w:ascii="黑体" w:hAnsi="黑体" w:eastAsia="黑体"/>
          <w:bCs w:val="0"/>
          <w:kern w:val="2"/>
          <w:sz w:val="22"/>
          <w:szCs w:val="22"/>
        </w:rPr>
      </w:pPr>
      <w:r>
        <w:fldChar w:fldCharType="begin"/>
      </w:r>
      <w:r>
        <w:instrText xml:space="preserve"> HYPERLINK \l "_Toc448002988" </w:instrText>
      </w:r>
      <w:r>
        <w:fldChar w:fldCharType="separate"/>
      </w:r>
      <w:r>
        <w:rPr>
          <w:rStyle w:val="51"/>
          <w:rFonts w:hint="eastAsia" w:ascii="黑体" w:hAnsi="黑体" w:eastAsia="黑体" w:cs="Calibri"/>
          <w:kern w:val="0"/>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_Toc448002988 \h </w:instrText>
      </w:r>
      <w:r>
        <w:rPr>
          <w:rFonts w:hint="eastAsia"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rPr>
        <w:t>22</w:t>
      </w:r>
      <w:r>
        <w:rPr>
          <w:rFonts w:ascii="黑体" w:hAnsi="黑体" w:eastAsia="黑体"/>
          <w:sz w:val="22"/>
          <w:szCs w:val="22"/>
        </w:rPr>
        <w:t>-</w:t>
      </w:r>
      <w:r>
        <w:rPr>
          <w:rFonts w:hint="eastAsia" w:ascii="黑体" w:hAnsi="黑体" w:eastAsia="黑体"/>
          <w:sz w:val="22"/>
          <w:szCs w:val="22"/>
        </w:rPr>
        <w:fldChar w:fldCharType="end"/>
      </w:r>
      <w:r>
        <w:rPr>
          <w:rFonts w:hint="eastAsia" w:ascii="黑体" w:hAnsi="黑体" w:eastAsia="黑体"/>
          <w:sz w:val="22"/>
          <w:szCs w:val="22"/>
        </w:rPr>
        <w:fldChar w:fldCharType="end"/>
      </w:r>
    </w:p>
    <w:p>
      <w:pPr>
        <w:spacing w:line="480" w:lineRule="auto"/>
        <w:jc w:val="center"/>
        <w:rPr>
          <w:rFonts w:cs="Calibri"/>
          <w:color w:val="000000"/>
          <w:sz w:val="24"/>
        </w:rPr>
      </w:pPr>
      <w:r>
        <w:rPr>
          <w:rFonts w:hint="eastAsia" w:ascii="黑体" w:hAnsi="黑体" w:eastAsia="黑体" w:cs="Calibri"/>
          <w:color w:val="000000"/>
          <w:sz w:val="22"/>
        </w:rPr>
        <w:fldChar w:fldCharType="end"/>
      </w:r>
      <w:r>
        <w:rPr>
          <w:rFonts w:cs="Calibri"/>
          <w:color w:val="000000"/>
        </w:rPr>
        <w:br w:type="page"/>
      </w:r>
      <w:bookmarkStart w:id="9" w:name="_Toc24784"/>
      <w:bookmarkStart w:id="10" w:name="_Toc7641"/>
      <w:bookmarkStart w:id="11" w:name="_Toc6832"/>
      <w:bookmarkStart w:id="12" w:name="_Toc8110"/>
      <w:bookmarkStart w:id="13" w:name="_Toc6581"/>
      <w:bookmarkStart w:id="14" w:name="_Toc22293"/>
      <w:bookmarkStart w:id="15" w:name="_Toc24932"/>
      <w:bookmarkStart w:id="16" w:name="_Toc14628"/>
      <w:bookmarkStart w:id="17" w:name="_Toc18642"/>
      <w:bookmarkStart w:id="18" w:name="_Toc448002982"/>
      <w:bookmarkStart w:id="19" w:name="_Toc248766631"/>
      <w:bookmarkStart w:id="20" w:name="_Toc249322950"/>
      <w:r>
        <w:rPr>
          <w:rFonts w:eastAsia="黑体" w:cs="Calibri"/>
          <w:kern w:val="0"/>
          <w:sz w:val="32"/>
        </w:rPr>
        <w:t xml:space="preserve">第一章 </w:t>
      </w:r>
      <w:bookmarkEnd w:id="9"/>
      <w:bookmarkEnd w:id="10"/>
      <w:bookmarkEnd w:id="11"/>
      <w:bookmarkEnd w:id="12"/>
      <w:bookmarkEnd w:id="13"/>
      <w:bookmarkEnd w:id="14"/>
      <w:bookmarkEnd w:id="15"/>
      <w:bookmarkEnd w:id="16"/>
      <w:bookmarkEnd w:id="17"/>
      <w:r>
        <w:rPr>
          <w:rFonts w:hint="eastAsia" w:eastAsia="黑体" w:cs="Calibri"/>
          <w:kern w:val="0"/>
          <w:sz w:val="32"/>
        </w:rPr>
        <w:t>招标公告</w:t>
      </w:r>
      <w:bookmarkEnd w:id="18"/>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一、招标范围及内容</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（1）杭州萧山国际机场</w:t>
      </w:r>
      <w:r>
        <w:rPr>
          <w:rFonts w:hint="eastAsia" w:ascii="宋体" w:hAnsi="宋体" w:cs="Arial"/>
          <w:kern w:val="0"/>
          <w:sz w:val="22"/>
          <w:u w:val="single"/>
        </w:rPr>
        <w:t>飞机除冰车大修</w:t>
      </w:r>
      <w:r>
        <w:rPr>
          <w:rFonts w:ascii="宋体" w:hAnsi="宋体" w:cs="Arial"/>
          <w:kern w:val="0"/>
          <w:sz w:val="22"/>
        </w:rPr>
        <w:t>项目</w:t>
      </w:r>
      <w:r>
        <w:rPr>
          <w:rFonts w:hint="eastAsia" w:ascii="宋体" w:hAnsi="宋体" w:cs="Arial"/>
          <w:kern w:val="0"/>
          <w:sz w:val="22"/>
        </w:rPr>
        <w:t>已批准实施，项目业主为杭州萧山国际机场有限公司，建设资金来源为自筹。项目已具备招标条件，现对本项目进行公开招标。</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（2）项目概况：</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w:t>
      </w:r>
      <w:r>
        <w:rPr>
          <w:rFonts w:ascii="宋体" w:hAnsi="宋体" w:cs="Arial"/>
          <w:kern w:val="0"/>
          <w:sz w:val="22"/>
        </w:rPr>
        <w:t>项目</w:t>
      </w:r>
      <w:r>
        <w:rPr>
          <w:rFonts w:hint="eastAsia" w:ascii="宋体" w:hAnsi="宋体" w:cs="Arial"/>
          <w:kern w:val="0"/>
          <w:sz w:val="22"/>
          <w:u w:val="single"/>
        </w:rPr>
        <w:t>飞机除冰车大修</w:t>
      </w:r>
      <w:r>
        <w:rPr>
          <w:rFonts w:ascii="宋体" w:hAnsi="宋体" w:cs="Arial"/>
          <w:kern w:val="0"/>
          <w:sz w:val="22"/>
        </w:rPr>
        <w:t>，</w:t>
      </w:r>
      <w:r>
        <w:rPr>
          <w:rFonts w:hint="eastAsia" w:ascii="宋体" w:hAnsi="宋体" w:cs="Arial"/>
          <w:kern w:val="0"/>
          <w:sz w:val="22"/>
        </w:rPr>
        <w:t>具体要求详见第三章“服务技术标准及要求”。</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（3）招标内容：机场飞机除冰车大修，具体要求详见第三章“服务技术标准及要求”</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（4）维修工期：40日历天</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投标人资格要求</w:t>
      </w:r>
      <w:r>
        <w:rPr>
          <w:rFonts w:ascii="Arial" w:hAnsi="Arial" w:cs="Arial"/>
          <w:b/>
          <w:bCs/>
          <w:kern w:val="0"/>
          <w:sz w:val="22"/>
        </w:rPr>
        <w:t>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w:t>
      </w:r>
      <w:r>
        <w:rPr>
          <w:rFonts w:ascii="宋体" w:hAnsi="宋体" w:cs="Arial"/>
          <w:kern w:val="0"/>
          <w:sz w:val="22"/>
        </w:rPr>
        <w:t>具有</w:t>
      </w:r>
      <w:r>
        <w:rPr>
          <w:rFonts w:hint="eastAsia" w:ascii="宋体" w:hAnsi="宋体" w:cs="Arial"/>
          <w:kern w:val="0"/>
          <w:sz w:val="22"/>
        </w:rPr>
        <w:t>三年以上</w:t>
      </w:r>
      <w:r>
        <w:rPr>
          <w:rFonts w:ascii="宋体" w:hAnsi="宋体" w:cs="Arial"/>
          <w:kern w:val="0"/>
          <w:sz w:val="22"/>
        </w:rPr>
        <w:t>独立法人资格，持有有效营业执照；</w:t>
      </w:r>
      <w:r>
        <w:rPr>
          <w:rFonts w:hint="eastAsia" w:ascii="宋体" w:hAnsi="宋体" w:cs="Arial"/>
          <w:kern w:val="0"/>
          <w:sz w:val="22"/>
        </w:rPr>
        <w:t>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widowControl/>
        <w:adjustRightInd w:val="0"/>
        <w:snapToGrid w:val="0"/>
        <w:spacing w:line="340" w:lineRule="exact"/>
        <w:ind w:firstLine="440" w:firstLineChars="200"/>
        <w:rPr>
          <w:rFonts w:cs="Arial" w:asciiTheme="minorEastAsia" w:hAnsiTheme="minorEastAsia"/>
          <w:kern w:val="0"/>
          <w:sz w:val="22"/>
        </w:rPr>
      </w:pPr>
      <w:r>
        <w:rPr>
          <w:rFonts w:hint="eastAsia" w:ascii="宋体" w:hAnsi="宋体" w:cs="Arial"/>
          <w:kern w:val="0"/>
          <w:sz w:val="22"/>
        </w:rPr>
        <w:t>（2）</w:t>
      </w:r>
      <w:r>
        <w:rPr>
          <w:rFonts w:hint="eastAsia" w:cs="Arial" w:asciiTheme="minorEastAsia" w:hAnsiTheme="minorEastAsia"/>
          <w:kern w:val="0"/>
          <w:sz w:val="22"/>
        </w:rPr>
        <w:t>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（3）近年（201</w:t>
      </w:r>
      <w:r>
        <w:rPr>
          <w:rFonts w:cs="Arial" w:asciiTheme="minorEastAsia" w:hAnsiTheme="minorEastAsia"/>
          <w:kern w:val="0"/>
          <w:sz w:val="22"/>
        </w:rPr>
        <w:t>6</w:t>
      </w:r>
      <w:r>
        <w:rPr>
          <w:rFonts w:hint="eastAsia" w:cs="Arial" w:asciiTheme="minorEastAsia" w:hAnsiTheme="minorEastAsia"/>
          <w:kern w:val="0"/>
          <w:sz w:val="22"/>
        </w:rPr>
        <w:t>年1月1日起至投标截止日止）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4</w:t>
      </w:r>
      <w:r>
        <w:rPr>
          <w:rFonts w:hint="eastAsia" w:ascii="宋体" w:hAnsi="宋体" w:cs="Arial"/>
          <w:kern w:val="0"/>
          <w:sz w:val="22"/>
        </w:rPr>
        <w:t>）</w:t>
      </w:r>
      <w:r>
        <w:rPr>
          <w:rFonts w:hint="eastAsia" w:cs="Arial" w:asciiTheme="minorEastAsia" w:hAnsiTheme="minorEastAsia"/>
          <w:kern w:val="0"/>
          <w:sz w:val="22"/>
        </w:rPr>
        <w:t>具有一般纳税人资格，可提供增值税专用发票（需提供主管税务部门出具的一般纳税人资格认定《税务事项通知书》并加盖投标人公章作为证明材料或在投标函中承诺投标人具有一般纳税人资格，可提供增值税专用发票）。若在中标候选人公示期间发现中标候选人不具有一般纳税人资格，招标人将依法取消其中标候选人资格，并有权没收其投标保证金。</w:t>
      </w:r>
      <w:r>
        <w:rPr>
          <w:rFonts w:hint="eastAsia" w:ascii="宋体" w:hAnsi="宋体" w:cs="Arial"/>
          <w:kern w:val="0"/>
          <w:sz w:val="22"/>
        </w:rPr>
        <w:t>（</w:t>
      </w:r>
      <w:r>
        <w:rPr>
          <w:rFonts w:ascii="宋体" w:hAnsi="宋体" w:cs="Arial"/>
          <w:kern w:val="0"/>
          <w:sz w:val="22"/>
        </w:rPr>
        <w:t>5</w:t>
      </w:r>
      <w:r>
        <w:rPr>
          <w:rFonts w:hint="eastAsia" w:ascii="宋体" w:hAnsi="宋体" w:cs="Arial"/>
          <w:kern w:val="0"/>
          <w:sz w:val="22"/>
        </w:rPr>
        <w:t>）投标人须为专业特种车辆维修厂家或原生产厂家，近年（201</w:t>
      </w:r>
      <w:r>
        <w:rPr>
          <w:rFonts w:ascii="宋体" w:hAnsi="宋体" w:cs="Arial"/>
          <w:kern w:val="0"/>
          <w:sz w:val="22"/>
        </w:rPr>
        <w:t>6</w:t>
      </w:r>
      <w:r>
        <w:rPr>
          <w:rFonts w:hint="eastAsia" w:ascii="宋体" w:hAnsi="宋体" w:cs="Arial"/>
          <w:kern w:val="0"/>
          <w:sz w:val="22"/>
        </w:rPr>
        <w:t>年1月1日起至投标截止日）具有类似飞机除冰车大修的相关业绩，需提供中标通知书或合同复印件并加盖投标人公章作为证明材料，原件备查。（6）本次招标不接受联合体投标。</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四、投标文件的递交</w:t>
      </w:r>
    </w:p>
    <w:p>
      <w:pPr>
        <w:widowControl/>
        <w:adjustRightInd w:val="0"/>
        <w:snapToGrid w:val="0"/>
        <w:spacing w:line="340" w:lineRule="exact"/>
        <w:ind w:firstLine="440" w:firstLineChars="200"/>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（1）</w:t>
      </w:r>
      <w:r>
        <w:rPr>
          <w:rFonts w:hint="eastAsia" w:ascii="宋体" w:hAnsi="宋体" w:cs="Arial"/>
          <w:color w:val="000000" w:themeColor="text1"/>
          <w:kern w:val="0"/>
          <w:sz w:val="22"/>
          <w14:textFill>
            <w14:solidFill>
              <w14:schemeClr w14:val="tx1"/>
            </w14:solidFill>
          </w14:textFill>
        </w:rPr>
        <w:t>投标文件递交截止时间：2019年9月</w:t>
      </w:r>
      <w:r>
        <w:rPr>
          <w:rFonts w:hint="eastAsia" w:ascii="宋体" w:hAnsi="宋体" w:cs="Arial"/>
          <w:color w:val="000000" w:themeColor="text1"/>
          <w:kern w:val="0"/>
          <w:sz w:val="22"/>
          <w:lang w:val="en-US" w:eastAsia="zh-CN"/>
          <w14:textFill>
            <w14:solidFill>
              <w14:schemeClr w14:val="tx1"/>
            </w14:solidFill>
          </w14:textFill>
        </w:rPr>
        <w:t>25</w:t>
      </w:r>
      <w:r>
        <w:rPr>
          <w:rFonts w:hint="eastAsia" w:ascii="宋体" w:hAnsi="宋体" w:cs="Arial"/>
          <w:color w:val="000000" w:themeColor="text1"/>
          <w:kern w:val="0"/>
          <w:sz w:val="22"/>
          <w14:textFill>
            <w14:solidFill>
              <w14:schemeClr w14:val="tx1"/>
            </w14:solidFill>
          </w14:textFill>
        </w:rPr>
        <w:t>日上午9时00分（北京时间）。投标文件在封口处加盖公章，并派专人于</w:t>
      </w:r>
      <w:r>
        <w:rPr>
          <w:rFonts w:hint="eastAsia" w:ascii="宋体" w:hAnsi="宋体" w:cs="Arial"/>
          <w:color w:val="000000" w:themeColor="text1"/>
          <w:kern w:val="0"/>
          <w:sz w:val="22"/>
          <w14:textFill>
            <w14:solidFill>
              <w14:schemeClr w14:val="tx1"/>
            </w14:solidFill>
          </w14:textFill>
        </w:rPr>
        <w:t>2019年9月</w:t>
      </w:r>
      <w:r>
        <w:rPr>
          <w:rFonts w:hint="eastAsia" w:ascii="宋体" w:hAnsi="宋体" w:cs="Arial"/>
          <w:color w:val="000000" w:themeColor="text1"/>
          <w:kern w:val="0"/>
          <w:sz w:val="22"/>
          <w:lang w:val="en-US" w:eastAsia="zh-CN"/>
          <w14:textFill>
            <w14:solidFill>
              <w14:schemeClr w14:val="tx1"/>
            </w14:solidFill>
          </w14:textFill>
        </w:rPr>
        <w:t>25</w:t>
      </w:r>
      <w:r>
        <w:rPr>
          <w:rFonts w:hint="eastAsia" w:ascii="宋体" w:hAnsi="宋体" w:cs="Arial"/>
          <w:color w:val="000000" w:themeColor="text1"/>
          <w:kern w:val="0"/>
          <w:sz w:val="22"/>
          <w14:textFill>
            <w14:solidFill>
              <w14:schemeClr w14:val="tx1"/>
            </w14:solidFill>
          </w14:textFill>
        </w:rPr>
        <w:t>日上午9时00分</w:t>
      </w:r>
      <w:r>
        <w:rPr>
          <w:rFonts w:hint="eastAsia" w:ascii="宋体" w:hAnsi="宋体" w:cs="Arial"/>
          <w:color w:val="000000" w:themeColor="text1"/>
          <w:kern w:val="0"/>
          <w:sz w:val="22"/>
          <w14:textFill>
            <w14:solidFill>
              <w14:schemeClr w14:val="tx1"/>
            </w14:solidFill>
          </w14:textFill>
        </w:rPr>
        <w:t>（北京时间）前送至杭州萧山国际机场翔越路综合服务楼园区招标中心，逾期无效；若采用投递（邮寄）方式的，请于</w:t>
      </w:r>
      <w:r>
        <w:rPr>
          <w:rFonts w:hint="eastAsia" w:ascii="宋体" w:hAnsi="宋体" w:cs="Arial"/>
          <w:color w:val="000000" w:themeColor="text1"/>
          <w:kern w:val="0"/>
          <w:sz w:val="22"/>
          <w14:textFill>
            <w14:solidFill>
              <w14:schemeClr w14:val="tx1"/>
            </w14:solidFill>
          </w14:textFill>
        </w:rPr>
        <w:t>2019年9月</w:t>
      </w:r>
      <w:r>
        <w:rPr>
          <w:rFonts w:hint="eastAsia" w:ascii="宋体" w:hAnsi="宋体" w:cs="Arial"/>
          <w:color w:val="000000" w:themeColor="text1"/>
          <w:kern w:val="0"/>
          <w:sz w:val="22"/>
          <w:lang w:val="en-US" w:eastAsia="zh-CN"/>
          <w14:textFill>
            <w14:solidFill>
              <w14:schemeClr w14:val="tx1"/>
            </w14:solidFill>
          </w14:textFill>
        </w:rPr>
        <w:t>25</w:t>
      </w:r>
      <w:r>
        <w:rPr>
          <w:rFonts w:hint="eastAsia" w:ascii="宋体" w:hAnsi="宋体" w:cs="Arial"/>
          <w:color w:val="000000" w:themeColor="text1"/>
          <w:kern w:val="0"/>
          <w:sz w:val="22"/>
          <w14:textFill>
            <w14:solidFill>
              <w14:schemeClr w14:val="tx1"/>
            </w14:solidFill>
          </w14:textFill>
        </w:rPr>
        <w:t>日上午9时00分</w:t>
      </w:r>
      <w:r>
        <w:rPr>
          <w:rFonts w:hint="eastAsia" w:ascii="宋体" w:hAnsi="宋体" w:cs="Arial"/>
          <w:color w:val="000000" w:themeColor="text1"/>
          <w:kern w:val="0"/>
          <w:sz w:val="22"/>
          <w14:textFill>
            <w14:solidFill>
              <w14:schemeClr w14:val="tx1"/>
            </w14:solidFill>
          </w14:textFill>
        </w:rPr>
        <w:t>（北京时间）前投递至杭州萧山国际机场翔越路综合服务楼园区招标中心，逾期无效。</w:t>
      </w:r>
    </w:p>
    <w:p>
      <w:pPr>
        <w:widowControl/>
        <w:adjustRightInd w:val="0"/>
        <w:snapToGrid w:val="0"/>
        <w:spacing w:line="340" w:lineRule="exact"/>
        <w:ind w:firstLine="440" w:firstLineChars="200"/>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（2）</w:t>
      </w:r>
      <w:r>
        <w:rPr>
          <w:rFonts w:hint="eastAsia" w:asciiTheme="minorEastAsia" w:hAnsiTheme="minorEastAsia"/>
          <w:color w:val="000000" w:themeColor="text1"/>
          <w:sz w:val="22"/>
          <w14:textFill>
            <w14:solidFill>
              <w14:schemeClr w14:val="tx1"/>
            </w14:solidFill>
          </w14:textFill>
        </w:rPr>
        <w:t>逾期送达或者未送达指定地点的投标文件，招标人不予受理。</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六、联系方式</w:t>
      </w:r>
    </w:p>
    <w:p>
      <w:pPr>
        <w:widowControl/>
        <w:adjustRightInd w:val="0"/>
        <w:snapToGrid w:val="0"/>
        <w:spacing w:line="34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投标联系人：贾思勰        联系电话： 0571-</w:t>
      </w:r>
      <w:r>
        <w:rPr>
          <w:rFonts w:asciiTheme="minorEastAsia" w:hAnsiTheme="minorEastAsia"/>
          <w:color w:val="000000" w:themeColor="text1"/>
          <w:sz w:val="22"/>
          <w14:textFill>
            <w14:solidFill>
              <w14:schemeClr w14:val="tx1"/>
            </w14:solidFill>
          </w14:textFill>
        </w:rPr>
        <w:t>83837612</w:t>
      </w:r>
    </w:p>
    <w:p>
      <w:pPr>
        <w:widowControl/>
        <w:adjustRightInd w:val="0"/>
        <w:snapToGrid w:val="0"/>
        <w:spacing w:line="340" w:lineRule="exact"/>
        <w:ind w:firstLine="440" w:firstLineChars="200"/>
        <w:jc w:val="both"/>
        <w:rPr>
          <w:rFonts w:asciiTheme="minorEastAsia" w:hAnsiTheme="minorEastAsia"/>
          <w:color w:val="000000" w:themeColor="text1"/>
          <w:sz w:val="22"/>
          <w14:textFill>
            <w14:solidFill>
              <w14:schemeClr w14:val="tx1"/>
            </w14:solidFill>
          </w14:textFill>
        </w:rPr>
      </w:pPr>
      <w:r>
        <w:rPr>
          <w:rFonts w:hint="eastAsia" w:asciiTheme="minorEastAsia" w:hAnsiTheme="minorEastAsia"/>
          <w:bCs/>
          <w:color w:val="000000" w:themeColor="text1"/>
          <w:sz w:val="22"/>
          <w14:textFill>
            <w14:solidFill>
              <w14:schemeClr w14:val="tx1"/>
            </w14:solidFill>
          </w14:textFill>
        </w:rPr>
        <w:t>招标监督人：阮周长         联系电话：</w:t>
      </w:r>
      <w:r>
        <w:rPr>
          <w:rFonts w:hint="eastAsia" w:asciiTheme="minorEastAsia" w:hAnsiTheme="minorEastAsia"/>
          <w:color w:val="000000" w:themeColor="text1"/>
          <w:sz w:val="22"/>
          <w14:textFill>
            <w14:solidFill>
              <w14:schemeClr w14:val="tx1"/>
            </w14:solidFill>
          </w14:textFill>
        </w:rPr>
        <w:t xml:space="preserve"> 0571-8666213</w:t>
      </w:r>
      <w:r>
        <w:rPr>
          <w:rFonts w:asciiTheme="minorEastAsia" w:hAnsiTheme="minorEastAsia"/>
          <w:color w:val="000000" w:themeColor="text1"/>
          <w:sz w:val="22"/>
          <w14:textFill>
            <w14:solidFill>
              <w14:schemeClr w14:val="tx1"/>
            </w14:solidFill>
          </w14:textFill>
        </w:rPr>
        <w:t>3</w:t>
      </w:r>
      <w:r>
        <w:rPr>
          <w:rFonts w:ascii="宋体" w:hAnsi="宋体" w:cs="Calibri"/>
          <w:kern w:val="0"/>
          <w:highlight w:val="yellow"/>
        </w:rPr>
        <w:br w:type="page"/>
      </w:r>
      <w:bookmarkStart w:id="21" w:name="_Toc448002983"/>
      <w:r>
        <w:rPr>
          <w:rFonts w:eastAsia="黑体" w:cs="Calibri"/>
          <w:kern w:val="0"/>
          <w:sz w:val="32"/>
        </w:rPr>
        <w:t>第二章  投标人须知</w:t>
      </w:r>
      <w:bookmarkEnd w:id="19"/>
      <w:bookmarkEnd w:id="20"/>
      <w:bookmarkEnd w:id="21"/>
      <w:bookmarkStart w:id="22" w:name="_Toc143421654"/>
    </w:p>
    <w:p>
      <w:pPr>
        <w:pStyle w:val="128"/>
        <w:jc w:val="center"/>
        <w:rPr>
          <w:rFonts w:ascii="Calibri" w:hAnsi="Calibri" w:eastAsia="黑体" w:cs="Calibri"/>
          <w:kern w:val="2"/>
          <w:sz w:val="28"/>
          <w:szCs w:val="32"/>
        </w:rPr>
      </w:pPr>
      <w:bookmarkStart w:id="23" w:name="_Toc11881"/>
      <w:bookmarkStart w:id="24" w:name="_Toc349007688"/>
      <w:bookmarkStart w:id="25" w:name="_Toc349011858"/>
      <w:bookmarkStart w:id="26" w:name="_Toc386359393"/>
      <w:bookmarkStart w:id="27" w:name="_Toc386363317"/>
      <w:bookmarkStart w:id="28" w:name="_Toc444173459"/>
      <w:bookmarkStart w:id="29" w:name="_Toc444174979"/>
      <w:bookmarkStart w:id="30" w:name="_Toc444811409"/>
      <w:bookmarkStart w:id="31" w:name="_Toc448002984"/>
      <w:bookmarkStart w:id="32" w:name="_Toc400369185"/>
      <w:r>
        <w:rPr>
          <w:rFonts w:ascii="Calibri" w:hAnsi="Arial" w:eastAsia="黑体" w:cs="Calibri"/>
          <w:kern w:val="2"/>
          <w:sz w:val="28"/>
          <w:szCs w:val="32"/>
        </w:rPr>
        <w:t>投标人须知前附表</w:t>
      </w:r>
      <w:bookmarkEnd w:id="22"/>
      <w:bookmarkEnd w:id="23"/>
      <w:bookmarkEnd w:id="24"/>
      <w:bookmarkEnd w:id="25"/>
      <w:bookmarkEnd w:id="26"/>
      <w:bookmarkEnd w:id="27"/>
      <w:bookmarkEnd w:id="28"/>
      <w:bookmarkEnd w:id="29"/>
      <w:bookmarkEnd w:id="30"/>
      <w:bookmarkEnd w:id="31"/>
      <w:bookmarkEnd w:id="32"/>
    </w:p>
    <w:tbl>
      <w:tblPr>
        <w:tblStyle w:val="46"/>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Arial"/>
                <w:kern w:val="0"/>
                <w:sz w:val="22"/>
              </w:rPr>
              <w:t>杭州萧山国际机场</w:t>
            </w:r>
            <w:r>
              <w:rPr>
                <w:rFonts w:hint="eastAsia" w:ascii="宋体" w:hAnsi="宋体" w:cs="Arial"/>
                <w:kern w:val="0"/>
                <w:sz w:val="22"/>
              </w:rPr>
              <w:t>飞机除冰车大修项目</w:t>
            </w:r>
            <w:r>
              <w:rPr>
                <w:rFonts w:ascii="宋体" w:hAnsi="宋体" w:cs="Arial"/>
                <w:kern w:val="0"/>
                <w:sz w:val="22"/>
              </w:rPr>
              <w:t>项</w:t>
            </w:r>
            <w:r>
              <w:rPr>
                <w:rFonts w:hint="eastAsia" w:ascii="宋体" w:hAnsi="宋体" w:cs="Arial"/>
                <w:kern w:val="0"/>
                <w:sz w:val="22"/>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维修</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在承修方，由【承修方】负责运送，且运输费用已包含在合同总价内。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64"/>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见招标公告，具体要求详见第</w:t>
            </w:r>
            <w:r>
              <w:rPr>
                <w:rFonts w:hint="eastAsia" w:ascii="宋体" w:hAnsi="宋体" w:cs="Calibri"/>
                <w:kern w:val="0"/>
                <w:sz w:val="22"/>
              </w:rPr>
              <w:t>三</w:t>
            </w:r>
            <w:r>
              <w:rPr>
                <w:rFonts w:ascii="宋体" w:hAnsi="宋体" w:cs="Calibri"/>
                <w:kern w:val="0"/>
                <w:sz w:val="22"/>
              </w:rPr>
              <w:t>章“</w:t>
            </w:r>
            <w:r>
              <w:rPr>
                <w:rFonts w:hint="eastAsia" w:ascii="宋体" w:hAnsi="宋体" w:cs="Calibri"/>
                <w:kern w:val="0"/>
                <w:sz w:val="22"/>
              </w:rPr>
              <w:t>服务技术标准及要求</w:t>
            </w:r>
            <w:r>
              <w:rPr>
                <w:rFonts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color w:val="FF0000"/>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cs="黑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7</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维修工期</w:t>
            </w:r>
          </w:p>
        </w:tc>
        <w:tc>
          <w:tcPr>
            <w:tcW w:w="6487" w:type="dxa"/>
            <w:vAlign w:val="center"/>
          </w:tcPr>
          <w:p>
            <w:pPr>
              <w:rPr>
                <w:rFonts w:ascii="宋体" w:hAnsi="宋体"/>
                <w:color w:val="000000"/>
                <w:sz w:val="22"/>
              </w:rPr>
            </w:pPr>
            <w:r>
              <w:rPr>
                <w:rFonts w:hint="eastAsia" w:ascii="宋体" w:hAnsi="宋体"/>
                <w:color w:val="000000"/>
                <w:sz w:val="22"/>
                <w:u w:val="single"/>
              </w:rPr>
              <w:t xml:space="preserve"> 40</w:t>
            </w:r>
            <w:r>
              <w:rPr>
                <w:rFonts w:hint="eastAsia" w:ascii="宋体" w:hAnsi="宋体"/>
                <w:color w:val="000000"/>
                <w:sz w:val="22"/>
              </w:rPr>
              <w:t>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1.8</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rPr>
                <w:rFonts w:ascii="宋体" w:hAnsi="宋体"/>
                <w:color w:val="000000"/>
                <w:sz w:val="22"/>
              </w:rPr>
            </w:pPr>
            <w:r>
              <w:rPr>
                <w:rFonts w:hint="eastAsia" w:ascii="宋体" w:hAnsi="宋体"/>
                <w:iCs/>
                <w:sz w:val="22"/>
              </w:rPr>
              <w:t>符</w:t>
            </w:r>
            <w:r>
              <w:rPr>
                <w:rFonts w:hint="eastAsia" w:ascii="宋体" w:hAnsi="宋体"/>
                <w:sz w:val="22"/>
              </w:rPr>
              <w:t>合原厂</w:t>
            </w:r>
            <w:r>
              <w:rPr>
                <w:rFonts w:hint="eastAsia" w:ascii="宋体" w:hAnsi="宋体"/>
                <w:sz w:val="22"/>
                <w:u w:val="single"/>
              </w:rPr>
              <w:t xml:space="preserve"> 使用手册</w:t>
            </w:r>
            <w:r>
              <w:rPr>
                <w:rFonts w:hint="eastAsia" w:ascii="宋体" w:hAnsi="宋体"/>
                <w:sz w:val="22"/>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□不组织</w:t>
            </w:r>
          </w:p>
          <w:p>
            <w:pPr>
              <w:autoSpaceDE w:val="0"/>
              <w:autoSpaceDN w:val="0"/>
              <w:adjustRightInd w:val="0"/>
              <w:snapToGrid w:val="0"/>
              <w:rPr>
                <w:rFonts w:hint="default" w:ascii="宋体" w:hAnsi="宋体" w:eastAsia="宋体" w:cs="Calibri"/>
                <w:kern w:val="0"/>
                <w:sz w:val="22"/>
                <w:lang w:val="en-US" w:eastAsia="zh-CN"/>
              </w:rPr>
            </w:pPr>
            <w:r>
              <w:rPr>
                <w:rFonts w:ascii="宋体" w:hAnsi="宋体" w:cs="Calibri"/>
                <w:kern w:val="0"/>
                <w:sz w:val="22"/>
              </w:rPr>
              <w:sym w:font="Wingdings" w:char="F0FE"/>
            </w:r>
            <w:r>
              <w:rPr>
                <w:rFonts w:ascii="宋体" w:hAnsi="宋体" w:cs="Calibri"/>
                <w:kern w:val="0"/>
                <w:sz w:val="22"/>
              </w:rPr>
              <w:t>组织，踏勘时间：</w:t>
            </w:r>
            <w:r>
              <w:rPr>
                <w:rFonts w:hint="eastAsia" w:ascii="宋体" w:hAnsi="宋体" w:cs="Calibri"/>
                <w:kern w:val="0"/>
                <w:sz w:val="22"/>
              </w:rPr>
              <w:t>2019年9月</w:t>
            </w:r>
            <w:r>
              <w:rPr>
                <w:rFonts w:hint="eastAsia" w:ascii="宋体" w:hAnsi="宋体" w:cs="Calibri"/>
                <w:kern w:val="0"/>
                <w:sz w:val="22"/>
                <w:lang w:val="en-US" w:eastAsia="zh-CN"/>
              </w:rPr>
              <w:t>17</w:t>
            </w:r>
            <w:r>
              <w:rPr>
                <w:rFonts w:hint="eastAsia" w:ascii="宋体" w:hAnsi="宋体" w:cs="Calibri"/>
                <w:kern w:val="0"/>
                <w:sz w:val="22"/>
              </w:rPr>
              <w:t>日</w:t>
            </w:r>
            <w:r>
              <w:rPr>
                <w:rFonts w:hint="eastAsia" w:ascii="宋体" w:hAnsi="宋体" w:cs="Calibri"/>
                <w:kern w:val="0"/>
                <w:sz w:val="22"/>
                <w:lang w:val="en-US" w:eastAsia="zh-CN"/>
              </w:rPr>
              <w:t>9:00</w:t>
            </w:r>
          </w:p>
          <w:p>
            <w:pPr>
              <w:autoSpaceDE w:val="0"/>
              <w:autoSpaceDN w:val="0"/>
              <w:adjustRightInd w:val="0"/>
              <w:snapToGrid w:val="0"/>
              <w:rPr>
                <w:rFonts w:hint="eastAsia" w:ascii="宋体" w:hAnsi="宋体" w:eastAsia="宋体" w:cs="Calibri"/>
                <w:kern w:val="0"/>
                <w:sz w:val="22"/>
                <w:lang w:val="en-US" w:eastAsia="zh-CN"/>
              </w:rPr>
            </w:pPr>
            <w:r>
              <w:rPr>
                <w:rFonts w:ascii="宋体" w:hAnsi="宋体" w:cs="Calibri"/>
                <w:kern w:val="0"/>
                <w:sz w:val="22"/>
              </w:rPr>
              <w:t xml:space="preserve">踏勘集中地点： </w:t>
            </w:r>
            <w:r>
              <w:rPr>
                <w:rFonts w:hint="eastAsia" w:ascii="宋体" w:hAnsi="宋体" w:cs="Calibri"/>
                <w:kern w:val="0"/>
                <w:sz w:val="22"/>
                <w:lang w:eastAsia="zh-CN"/>
              </w:rPr>
              <w:t>杭州萧山国际机场有限公司招标中心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color w:val="000000" w:themeColor="text1"/>
                <w:kern w:val="0"/>
                <w:sz w:val="22"/>
                <w14:textFill>
                  <w14:solidFill>
                    <w14:schemeClr w14:val="tx1"/>
                  </w14:solidFill>
                </w14:textFill>
              </w:rPr>
              <w:t>2019年9月</w:t>
            </w:r>
            <w:r>
              <w:rPr>
                <w:rFonts w:hint="eastAsia" w:ascii="宋体" w:hAnsi="宋体" w:cs="Calibri"/>
                <w:color w:val="000000" w:themeColor="text1"/>
                <w:kern w:val="0"/>
                <w:sz w:val="22"/>
                <w:lang w:val="en-US" w:eastAsia="zh-CN"/>
                <w14:textFill>
                  <w14:solidFill>
                    <w14:schemeClr w14:val="tx1"/>
                  </w14:solidFill>
                </w14:textFill>
              </w:rPr>
              <w:t>17</w:t>
            </w:r>
            <w:r>
              <w:rPr>
                <w:rFonts w:hint="eastAsia" w:ascii="宋体" w:hAnsi="宋体" w:cs="Calibri"/>
                <w:color w:val="000000" w:themeColor="text1"/>
                <w:kern w:val="0"/>
                <w:sz w:val="22"/>
                <w14:textFill>
                  <w14:solidFill>
                    <w14:schemeClr w14:val="tx1"/>
                  </w14:solidFill>
                </w14:textFill>
              </w:rPr>
              <w:t>日11：30前，以书面加盖公章的形式通过E-mail或传真提交给招标人（投标联系人:贾思勰，电话0571-</w:t>
            </w:r>
            <w:r>
              <w:rPr>
                <w:rFonts w:ascii="宋体" w:hAnsi="宋体" w:cs="Calibri"/>
                <w:color w:val="000000" w:themeColor="text1"/>
                <w:kern w:val="0"/>
                <w:sz w:val="22"/>
                <w14:textFill>
                  <w14:solidFill>
                    <w14:schemeClr w14:val="tx1"/>
                  </w14:solidFill>
                </w14:textFill>
              </w:rPr>
              <w:t>83837612</w:t>
            </w:r>
            <w:r>
              <w:rPr>
                <w:rFonts w:hint="eastAsia" w:ascii="宋体" w:hAnsi="宋体" w:cs="Calibri"/>
                <w:color w:val="000000" w:themeColor="text1"/>
                <w:kern w:val="0"/>
                <w:sz w:val="22"/>
                <w14:textFill>
                  <w14:solidFill>
                    <w14:schemeClr w14:val="tx1"/>
                  </w14:solidFill>
                </w14:textFill>
              </w:rPr>
              <w:t>；传真：0571-</w:t>
            </w:r>
            <w:r>
              <w:rPr>
                <w:rFonts w:ascii="宋体" w:hAnsi="宋体" w:cs="Calibri"/>
                <w:color w:val="000000" w:themeColor="text1"/>
                <w:kern w:val="0"/>
                <w:sz w:val="22"/>
                <w14:textFill>
                  <w14:solidFill>
                    <w14:schemeClr w14:val="tx1"/>
                  </w14:solidFill>
                </w14:textFill>
              </w:rPr>
              <w:t>83837612</w:t>
            </w:r>
            <w:r>
              <w:rPr>
                <w:rFonts w:hint="eastAsia" w:ascii="宋体" w:hAnsi="宋体" w:cs="Calibri"/>
                <w:color w:val="000000" w:themeColor="text1"/>
                <w:kern w:val="0"/>
                <w:sz w:val="22"/>
                <w14:textFill>
                  <w14:solidFill>
                    <w14:schemeClr w14:val="tx1"/>
                  </w14:solidFill>
                </w14:textFill>
              </w:rPr>
              <w:t>；电子邮箱：zbzx@hzairport.com）投标人必须在规定时间前提出对招标文件的疑问，否则招标人有权拒绝接收和拒绝回答未在截止时间前提出的疑问。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ascii="宋体" w:hAnsi="宋体" w:cs="Calibri"/>
                <w:b/>
                <w:kern w:val="0"/>
                <w:sz w:val="22"/>
              </w:rPr>
            </w:pPr>
            <w:r>
              <w:rPr>
                <w:rFonts w:hint="eastAsia" w:ascii="宋体" w:hAnsi="宋体" w:cs="Arial"/>
                <w:color w:val="000000" w:themeColor="text1"/>
                <w:kern w:val="0"/>
                <w:sz w:val="22"/>
                <w14:textFill>
                  <w14:solidFill>
                    <w14:schemeClr w14:val="tx1"/>
                  </w14:solidFill>
                </w14:textFill>
              </w:rPr>
              <w:t>2019年9月</w:t>
            </w:r>
            <w:r>
              <w:rPr>
                <w:rFonts w:hint="eastAsia" w:ascii="宋体" w:hAnsi="宋体" w:cs="Arial"/>
                <w:color w:val="000000" w:themeColor="text1"/>
                <w:kern w:val="0"/>
                <w:sz w:val="22"/>
                <w:lang w:val="en-US" w:eastAsia="zh-CN"/>
                <w14:textFill>
                  <w14:solidFill>
                    <w14:schemeClr w14:val="tx1"/>
                  </w14:solidFill>
                </w14:textFill>
              </w:rPr>
              <w:t>25</w:t>
            </w:r>
            <w:r>
              <w:rPr>
                <w:rFonts w:hint="eastAsia" w:ascii="宋体" w:hAnsi="宋体" w:cs="Arial"/>
                <w:color w:val="000000" w:themeColor="text1"/>
                <w:kern w:val="0"/>
                <w:sz w:val="22"/>
                <w14:textFill>
                  <w14:solidFill>
                    <w14:schemeClr w14:val="tx1"/>
                  </w14:solidFill>
                </w14:textFill>
              </w:rPr>
              <w:t>日上午9时00分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w:t>
            </w:r>
            <w:bookmarkStart w:id="33" w:name="_Toc226175287"/>
            <w:bookmarkStart w:id="34" w:name="_Toc23658644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3"/>
            <w:bookmarkEnd w:id="3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w:t>
            </w:r>
            <w:r>
              <w:rPr>
                <w:rFonts w:ascii="宋体" w:hAnsi="宋体" w:cs="Calibri"/>
                <w:kern w:val="0"/>
                <w:sz w:val="22"/>
              </w:rPr>
              <w:t>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sz w:val="22"/>
              </w:rPr>
              <w:t>投标保证金的形式：银行转账</w:t>
            </w:r>
            <w:r>
              <w:rPr>
                <w:rFonts w:hint="eastAsia" w:ascii="宋体" w:hAnsi="宋体"/>
                <w:b/>
                <w:sz w:val="22"/>
              </w:rPr>
              <w:t>，必须在投标截止时间前通过投标人的基本账户以银行转账方式缴纳。</w:t>
            </w:r>
          </w:p>
          <w:p>
            <w:pPr>
              <w:snapToGrid w:val="0"/>
              <w:rPr>
                <w:rFonts w:ascii="宋体" w:hAnsi="宋体"/>
                <w:sz w:val="22"/>
              </w:rPr>
            </w:pPr>
            <w:r>
              <w:rPr>
                <w:rFonts w:hint="eastAsia" w:ascii="宋体" w:hAnsi="宋体"/>
                <w:sz w:val="22"/>
              </w:rPr>
              <w:t>投标保证金的金额：</w:t>
            </w:r>
            <w:r>
              <w:rPr>
                <w:rFonts w:hint="eastAsia" w:ascii="宋体" w:hAnsi="宋体"/>
                <w:b/>
                <w:sz w:val="22"/>
              </w:rPr>
              <w:t>人民币</w:t>
            </w:r>
            <w:r>
              <w:rPr>
                <w:rFonts w:hint="eastAsia" w:ascii="宋体" w:hAnsi="宋体" w:cs="Calibri"/>
                <w:kern w:val="0"/>
                <w:sz w:val="22"/>
              </w:rPr>
              <w:t>壹</w:t>
            </w:r>
            <w:r>
              <w:rPr>
                <w:rFonts w:hint="eastAsia" w:ascii="宋体" w:hAnsi="宋体"/>
                <w:b/>
                <w:sz w:val="22"/>
              </w:rPr>
              <w:t>万元整</w:t>
            </w:r>
          </w:p>
          <w:p>
            <w:pPr>
              <w:snapToGrid w:val="0"/>
              <w:rPr>
                <w:rFonts w:ascii="宋体" w:hAnsi="宋体"/>
                <w:sz w:val="22"/>
              </w:rPr>
            </w:pPr>
            <w:r>
              <w:rPr>
                <w:rFonts w:hint="eastAsia" w:ascii="宋体" w:hAnsi="宋体"/>
                <w:sz w:val="22"/>
              </w:rPr>
              <w:t>投标保证金应在投标截止时间前汇入以下帐户：</w:t>
            </w:r>
          </w:p>
          <w:p>
            <w:pPr>
              <w:snapToGrid w:val="0"/>
              <w:rPr>
                <w:rFonts w:ascii="宋体" w:hAnsi="宋体"/>
                <w:sz w:val="22"/>
              </w:rPr>
            </w:pPr>
            <w:r>
              <w:rPr>
                <w:rFonts w:hint="eastAsia" w:ascii="宋体" w:hAnsi="宋体"/>
                <w:sz w:val="22"/>
              </w:rPr>
              <w:t>开户名：杭州萧山国际机场有限公司</w:t>
            </w:r>
          </w:p>
          <w:p>
            <w:pPr>
              <w:snapToGrid w:val="0"/>
              <w:rPr>
                <w:rFonts w:ascii="宋体" w:hAnsi="宋体"/>
                <w:sz w:val="22"/>
              </w:rPr>
            </w:pPr>
            <w:r>
              <w:rPr>
                <w:rFonts w:hint="eastAsia" w:ascii="宋体" w:hAnsi="宋体"/>
                <w:sz w:val="22"/>
              </w:rPr>
              <w:t xml:space="preserve">开户银行：工行杭州市空港城支行 </w:t>
            </w:r>
          </w:p>
          <w:p>
            <w:pPr>
              <w:snapToGrid w:val="0"/>
              <w:rPr>
                <w:rFonts w:ascii="宋体" w:hAnsi="宋体"/>
                <w:sz w:val="22"/>
                <w:lang w:val="zh-CN"/>
              </w:rPr>
            </w:pPr>
            <w:r>
              <w:rPr>
                <w:rFonts w:hint="eastAsia" w:ascii="宋体" w:hAnsi="宋体"/>
                <w:sz w:val="22"/>
              </w:rPr>
              <w:t>帐号：</w:t>
            </w:r>
            <w:r>
              <w:rPr>
                <w:rFonts w:hint="eastAsia" w:ascii="宋体" w:hAnsi="宋体"/>
                <w:sz w:val="22"/>
                <w:lang w:val="zh-CN"/>
              </w:rPr>
              <w:t>1202050209904601740</w:t>
            </w:r>
          </w:p>
          <w:p>
            <w:pPr>
              <w:snapToGrid w:val="0"/>
              <w:rPr>
                <w:rFonts w:ascii="宋体" w:hAnsi="宋体"/>
                <w:sz w:val="22"/>
              </w:rPr>
            </w:pPr>
            <w:r>
              <w:rPr>
                <w:rFonts w:hint="eastAsia" w:ascii="宋体" w:hAnsi="宋体"/>
                <w:b/>
                <w:sz w:val="22"/>
                <w:highlight w:val="yellow"/>
              </w:rPr>
              <w:t>投标人提交投标保证金时需注明“＊＊项目投标保证金”，银行回单复印件注明投标人户名、开户行、账号等信息随投标函单独封装，随投标文件一同递交。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投标文件副本份数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hint="eastAsia" w:ascii="宋体" w:hAnsi="宋体" w:cs="Calibri"/>
                <w:kern w:val="0"/>
                <w:sz w:val="22"/>
                <w:u w:val="single"/>
              </w:rPr>
              <w:t>杭州萧山国际机场飞机除冰车大修</w:t>
            </w:r>
            <w:r>
              <w:rPr>
                <w:rFonts w:ascii="宋体" w:hAnsi="宋体" w:cs="Calibri"/>
                <w:kern w:val="0"/>
                <w:sz w:val="22"/>
                <w:u w:val="single"/>
              </w:rPr>
              <w:t>项目</w:t>
            </w:r>
            <w:r>
              <w:rPr>
                <w:rFonts w:hint="eastAsia" w:ascii="宋体" w:hAnsi="宋体" w:cs="宋体"/>
                <w:sz w:val="22"/>
              </w:rPr>
              <w:t>投标文件</w:t>
            </w:r>
          </w:p>
          <w:p>
            <w:pPr>
              <w:autoSpaceDE w:val="0"/>
              <w:autoSpaceDN w:val="0"/>
              <w:adjustRightInd w:val="0"/>
              <w:snapToGrid w:val="0"/>
              <w:rPr>
                <w:rFonts w:ascii="宋体" w:hAnsi="宋体" w:cs="Calibri"/>
                <w:kern w:val="0"/>
                <w:sz w:val="22"/>
              </w:rPr>
            </w:pPr>
            <w:r>
              <w:rPr>
                <w:rFonts w:ascii="宋体" w:hAnsi="宋体" w:cs="Calibri"/>
                <w:kern w:val="0"/>
                <w:sz w:val="22"/>
              </w:rPr>
              <w:t>在</w:t>
            </w:r>
            <w:r>
              <w:rPr>
                <w:rFonts w:ascii="宋体" w:hAnsi="宋体" w:cs="Calibri"/>
                <w:kern w:val="0"/>
                <w:sz w:val="22"/>
                <w:u w:val="single"/>
              </w:rPr>
              <w:t xml:space="preserve"> </w:t>
            </w:r>
            <w:r>
              <w:rPr>
                <w:rFonts w:hint="eastAsia" w:ascii="宋体" w:hAnsi="宋体" w:cs="Calibri"/>
                <w:kern w:val="0"/>
                <w:sz w:val="22"/>
                <w:u w:val="single"/>
              </w:rPr>
              <w:t>2019年9月</w:t>
            </w:r>
            <w:r>
              <w:rPr>
                <w:rFonts w:hint="eastAsia" w:ascii="宋体" w:hAnsi="宋体" w:cs="Calibri"/>
                <w:kern w:val="0"/>
                <w:sz w:val="22"/>
                <w:u w:val="single"/>
                <w:lang w:val="en-US" w:eastAsia="zh-CN"/>
              </w:rPr>
              <w:t>25</w:t>
            </w:r>
            <w:r>
              <w:rPr>
                <w:rFonts w:hint="eastAsia" w:ascii="宋体" w:hAnsi="宋体" w:cs="Calibri"/>
                <w:kern w:val="0"/>
                <w:sz w:val="22"/>
                <w:u w:val="single"/>
              </w:rPr>
              <w:t>日上午9时00分</w:t>
            </w:r>
            <w:bookmarkStart w:id="114" w:name="_GoBack"/>
            <w:bookmarkEnd w:id="114"/>
            <w:r>
              <w:rPr>
                <w:rFonts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b/>
                <w:sz w:val="22"/>
              </w:rPr>
              <w:t>杭州萧山国际机场综合楼</w:t>
            </w:r>
            <w:r>
              <w:rPr>
                <w:rFonts w:hint="eastAsia" w:ascii="宋体" w:hAnsi="宋体"/>
                <w:b/>
                <w:sz w:val="22"/>
                <w:u w:val="single"/>
              </w:rPr>
              <w:t xml:space="preserve"> 二楼</w:t>
            </w:r>
            <w:r>
              <w:rPr>
                <w:rFonts w:hint="eastAsia" w:ascii="宋体" w:hAnsi="宋体"/>
                <w:b/>
                <w:sz w:val="22"/>
              </w:rPr>
              <w:t>楼会议室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rPr>
              <w:t>1</w:t>
            </w:r>
            <w:r>
              <w:rPr>
                <w:rFonts w:ascii="宋体" w:hAnsi="宋体" w:cs="Calibri"/>
                <w:kern w:val="0"/>
                <w:sz w:val="22"/>
              </w:rPr>
              <w:t>）密封情况检查：由投标人或者其集体推选的代表检查投标文件的密封情况。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rPr>
              <w:t>2</w:t>
            </w:r>
            <w:r>
              <w:rPr>
                <w:rFonts w:ascii="宋体" w:hAnsi="宋体" w:cs="Calibri"/>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履约担保</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履约担保的形式：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履约担保的金额：</w:t>
            </w:r>
            <w:r>
              <w:rPr>
                <w:rFonts w:hint="eastAsia" w:ascii="宋体" w:hAnsi="宋体"/>
                <w:sz w:val="22"/>
              </w:rPr>
              <w:t>合同总价的</w:t>
            </w:r>
            <w:r>
              <w:rPr>
                <w:rFonts w:ascii="宋体" w:hAnsi="宋体"/>
                <w:sz w:val="22"/>
              </w:rPr>
              <w:t>10</w:t>
            </w:r>
            <w:r>
              <w:rPr>
                <w:rFonts w:hint="eastAsia" w:ascii="宋体" w:hAnsi="宋体"/>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r>
              <w:rPr>
                <w:rFonts w:hint="eastAsia" w:ascii="宋体" w:hAnsi="宋体" w:cs="Calibri"/>
                <w:kern w:val="0"/>
                <w:sz w:val="22"/>
              </w:rPr>
              <w:t>2</w:t>
            </w:r>
          </w:p>
        </w:tc>
        <w:tc>
          <w:tcPr>
            <w:tcW w:w="2004" w:type="dxa"/>
            <w:vAlign w:val="center"/>
          </w:tcPr>
          <w:p>
            <w:pPr>
              <w:pStyle w:val="40"/>
              <w:adjustRightInd w:val="0"/>
              <w:snapToGrid w:val="0"/>
              <w:spacing w:line="240" w:lineRule="auto"/>
              <w:jc w:val="center"/>
              <w:rPr>
                <w:rFonts w:ascii="宋体" w:hAnsi="宋体" w:cs="Calibri"/>
                <w:color w:val="auto"/>
                <w:sz w:val="22"/>
                <w:szCs w:val="22"/>
              </w:rPr>
            </w:pPr>
            <w:r>
              <w:rPr>
                <w:rFonts w:ascii="宋体" w:hAnsi="宋体" w:cs="Calibri"/>
                <w:color w:val="auto"/>
                <w:sz w:val="22"/>
                <w:szCs w:val="22"/>
              </w:rPr>
              <w:t>其他</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vAlign w:val="center"/>
          </w:tcPr>
          <w:p>
            <w:pPr>
              <w:pStyle w:val="40"/>
              <w:spacing w:line="240" w:lineRule="auto"/>
              <w:jc w:val="center"/>
              <w:rPr>
                <w:rFonts w:ascii="宋体" w:hAnsi="宋体" w:cs="Calibri"/>
                <w:snapToGrid/>
                <w:color w:val="auto"/>
                <w:sz w:val="22"/>
                <w:szCs w:val="22"/>
              </w:rPr>
            </w:pPr>
            <w:r>
              <w:rPr>
                <w:rFonts w:hint="eastAsia" w:ascii="宋体" w:hAnsi="宋体" w:cs="Calibri"/>
                <w:snapToGrid/>
                <w:color w:val="auto"/>
                <w:sz w:val="22"/>
                <w:szCs w:val="22"/>
              </w:rPr>
              <w:t>备注</w:t>
            </w:r>
          </w:p>
        </w:tc>
        <w:tc>
          <w:tcPr>
            <w:tcW w:w="6487" w:type="dxa"/>
            <w:shd w:val="clear" w:color="auto" w:fill="FFFFFF"/>
            <w:vAlign w:val="center"/>
          </w:tcPr>
          <w:p>
            <w:pPr>
              <w:adjustRightInd w:val="0"/>
              <w:snapToGrid w:val="0"/>
              <w:rPr>
                <w:rFonts w:ascii="宋体" w:hAnsi="宋体" w:cs="Calibri"/>
                <w:kern w:val="0"/>
                <w:sz w:val="22"/>
              </w:rPr>
            </w:pPr>
            <w:r>
              <w:rPr>
                <w:rFonts w:ascii="宋体" w:hAnsi="宋体" w:cs="Calibri"/>
                <w:kern w:val="0"/>
                <w:sz w:val="22"/>
              </w:rPr>
              <w:t>本前附表内容与招标文件其他内容不一致之处，以本前附表为准。</w:t>
            </w:r>
          </w:p>
        </w:tc>
      </w:tr>
    </w:tbl>
    <w:p>
      <w:pPr>
        <w:autoSpaceDE w:val="0"/>
        <w:autoSpaceDN w:val="0"/>
        <w:adjustRightInd w:val="0"/>
        <w:spacing w:line="360" w:lineRule="exact"/>
        <w:ind w:firstLine="422" w:firstLineChars="200"/>
        <w:rPr>
          <w:rFonts w:eastAsia="黑体" w:cs="Calibri"/>
          <w:b/>
          <w:bCs/>
          <w:kern w:val="0"/>
          <w:szCs w:val="21"/>
        </w:rPr>
      </w:pPr>
      <w:bookmarkStart w:id="35" w:name="_Toc11067"/>
      <w:bookmarkStart w:id="36" w:name="_Toc143421656"/>
    </w:p>
    <w:p>
      <w:pPr>
        <w:autoSpaceDE w:val="0"/>
        <w:autoSpaceDN w:val="0"/>
        <w:adjustRightInd w:val="0"/>
        <w:snapToGrid w:val="0"/>
        <w:spacing w:line="360" w:lineRule="exact"/>
        <w:rPr>
          <w:rFonts w:ascii="宋体" w:hAnsi="宋体" w:cs="Calibri"/>
          <w:b/>
          <w:bCs/>
          <w:kern w:val="0"/>
          <w:sz w:val="22"/>
        </w:rPr>
      </w:pPr>
      <w:r>
        <w:rPr>
          <w:rFonts w:eastAsia="黑体" w:cs="Calibri"/>
          <w:b/>
          <w:bCs/>
          <w:kern w:val="0"/>
          <w:szCs w:val="21"/>
        </w:rPr>
        <w:br w:type="page"/>
      </w:r>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bookmarkEnd w:id="35"/>
      <w:bookmarkEnd w:id="36"/>
    </w:p>
    <w:p>
      <w:pPr>
        <w:autoSpaceDE w:val="0"/>
        <w:autoSpaceDN w:val="0"/>
        <w:adjustRightInd w:val="0"/>
        <w:snapToGrid w:val="0"/>
        <w:spacing w:line="360" w:lineRule="exact"/>
        <w:rPr>
          <w:rFonts w:ascii="宋体" w:hAnsi="宋体" w:cs="Calibri"/>
          <w:b/>
          <w:bCs/>
          <w:kern w:val="0"/>
          <w:sz w:val="22"/>
        </w:rPr>
      </w:pPr>
      <w:bookmarkStart w:id="37" w:name="_Toc26216"/>
      <w:r>
        <w:rPr>
          <w:rFonts w:ascii="宋体" w:hAnsi="宋体" w:cs="Calibri"/>
          <w:b/>
          <w:bCs/>
          <w:kern w:val="0"/>
          <w:sz w:val="22"/>
        </w:rPr>
        <w:t>1.1 项目</w:t>
      </w:r>
      <w:bookmarkEnd w:id="37"/>
      <w:r>
        <w:rPr>
          <w:rFonts w:ascii="宋体" w:hAnsi="宋体" w:cs="Calibri"/>
          <w:b/>
          <w:bCs/>
          <w:kern w:val="0"/>
          <w:sz w:val="22"/>
        </w:rPr>
        <w:t>概况</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kern w:val="0"/>
          <w:sz w:val="22"/>
        </w:rPr>
        <w:t>1.1.2项目</w:t>
      </w:r>
      <w:r>
        <w:rPr>
          <w:rFonts w:hint="eastAsia" w:ascii="宋体" w:hAnsi="宋体" w:cs="Calibri"/>
          <w:color w:val="000000"/>
          <w:kern w:val="0"/>
          <w:sz w:val="22"/>
        </w:rPr>
        <w:t>实施</w:t>
      </w:r>
      <w:r>
        <w:rPr>
          <w:rFonts w:ascii="宋体" w:hAnsi="宋体" w:cs="Calibri"/>
          <w:color w:val="000000"/>
          <w:kern w:val="0"/>
          <w:sz w:val="22"/>
        </w:rPr>
        <w:t>地点见投标人须知前附表</w:t>
      </w:r>
      <w:r>
        <w:rPr>
          <w:rFonts w:ascii="宋体" w:hAnsi="宋体" w:cs="Calibri"/>
          <w:color w:val="000000"/>
          <w:sz w:val="22"/>
        </w:rPr>
        <w:t>。</w:t>
      </w:r>
    </w:p>
    <w:p>
      <w:pPr>
        <w:autoSpaceDE w:val="0"/>
        <w:autoSpaceDN w:val="0"/>
        <w:adjustRightInd w:val="0"/>
        <w:snapToGrid w:val="0"/>
        <w:spacing w:line="360" w:lineRule="exact"/>
        <w:rPr>
          <w:rFonts w:ascii="宋体" w:hAnsi="宋体" w:cs="Calibri"/>
          <w:b/>
          <w:bCs/>
          <w:kern w:val="0"/>
          <w:sz w:val="22"/>
        </w:rPr>
      </w:pPr>
      <w:bookmarkStart w:id="38"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38"/>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39"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39"/>
      <w:r>
        <w:rPr>
          <w:rFonts w:hint="eastAsia" w:ascii="宋体" w:hAnsi="宋体" w:cs="Calibri"/>
          <w:b/>
          <w:bCs/>
          <w:kern w:val="0"/>
          <w:sz w:val="22"/>
        </w:rPr>
        <w:t>内容</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0"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40"/>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1"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41"/>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2"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42"/>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3" w:name="_Toc2796"/>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w:t>
      </w:r>
      <w:r>
        <w:rPr>
          <w:rFonts w:hint="eastAsia" w:ascii="宋体" w:hAnsi="宋体" w:cs="Calibri"/>
          <w:b/>
          <w:bCs/>
          <w:kern w:val="0"/>
          <w:sz w:val="22"/>
        </w:rPr>
        <w:t>服务</w:t>
      </w:r>
      <w:r>
        <w:rPr>
          <w:rFonts w:ascii="宋体" w:hAnsi="宋体" w:cs="Calibri"/>
          <w:b/>
          <w:bCs/>
          <w:kern w:val="0"/>
          <w:sz w:val="22"/>
        </w:rPr>
        <w:t>期</w:t>
      </w:r>
      <w:bookmarkEnd w:id="43"/>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firstLineChars="200"/>
        <w:rPr>
          <w:rFonts w:ascii="宋体" w:hAnsi="宋体" w:cs="Calibri"/>
          <w:color w:val="000000"/>
          <w:sz w:val="22"/>
        </w:rPr>
      </w:pPr>
      <w:bookmarkStart w:id="44" w:name="_Toc13907"/>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44"/>
    </w:p>
    <w:p>
      <w:pPr>
        <w:adjustRightInd w:val="0"/>
        <w:snapToGrid w:val="0"/>
        <w:spacing w:line="360" w:lineRule="exact"/>
        <w:ind w:firstLine="440" w:firstLineChars="200"/>
        <w:rPr>
          <w:rFonts w:ascii="宋体" w:hAnsi="宋体" w:cs="Calibri"/>
          <w:color w:val="000000"/>
          <w:sz w:val="22"/>
        </w:rPr>
      </w:pPr>
      <w:r>
        <w:rPr>
          <w:rFonts w:ascii="宋体" w:hAnsi="宋体" w:cs="Calibri"/>
          <w:sz w:val="22"/>
        </w:rPr>
        <w:t>1.</w:t>
      </w:r>
      <w:r>
        <w:rPr>
          <w:rFonts w:hint="eastAsia" w:ascii="宋体" w:hAnsi="宋体" w:cs="Calibri"/>
          <w:sz w:val="22"/>
        </w:rPr>
        <w:t>9</w:t>
      </w:r>
      <w:r>
        <w:rPr>
          <w:rFonts w:ascii="宋体" w:hAnsi="宋体" w:cs="Calibri"/>
          <w:sz w:val="22"/>
        </w:rPr>
        <w:t>.1</w:t>
      </w:r>
      <w:r>
        <w:rPr>
          <w:rFonts w:ascii="宋体" w:hAnsi="宋体" w:cs="Calibri"/>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.2 投标人踏勘现场发生的费用自理。</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.3 投标人自行负责在踏勘现场中所发生的人员伤亡和财产损失。</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cs="Calibri"/>
          <w:b/>
          <w:bCs/>
          <w:kern w:val="0"/>
          <w:sz w:val="22"/>
        </w:rPr>
      </w:pPr>
      <w:bookmarkStart w:id="45" w:name="_Toc4199"/>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45"/>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6"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46"/>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本项目</w:t>
      </w:r>
      <w:r>
        <w:rPr>
          <w:rFonts w:hint="eastAsia" w:ascii="宋体" w:hAnsi="宋体" w:cs="Calibri"/>
          <w:color w:val="000000"/>
          <w:sz w:val="22"/>
        </w:rPr>
        <w:t>涉及到其它专业的部分分项工作</w:t>
      </w:r>
      <w:r>
        <w:rPr>
          <w:rFonts w:ascii="宋体" w:hAnsi="宋体" w:cs="Calibri"/>
          <w:color w:val="000000"/>
          <w:sz w:val="22"/>
        </w:rPr>
        <w:t>允许分包。</w:t>
      </w:r>
    </w:p>
    <w:p>
      <w:pPr>
        <w:autoSpaceDE w:val="0"/>
        <w:autoSpaceDN w:val="0"/>
        <w:adjustRightInd w:val="0"/>
        <w:snapToGrid w:val="0"/>
        <w:spacing w:line="360" w:lineRule="exact"/>
        <w:rPr>
          <w:rFonts w:ascii="宋体" w:hAnsi="宋体" w:cs="Calibri"/>
          <w:b/>
          <w:bCs/>
          <w:kern w:val="0"/>
          <w:sz w:val="22"/>
        </w:rPr>
      </w:pPr>
      <w:bookmarkStart w:id="47"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47"/>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48" w:name="_Toc15241"/>
      <w:bookmarkStart w:id="49" w:name="_Toc143421657"/>
      <w:r>
        <w:rPr>
          <w:rFonts w:ascii="宋体" w:hAnsi="宋体" w:cs="Calibri"/>
          <w:b/>
          <w:bCs/>
          <w:kern w:val="0"/>
          <w:sz w:val="22"/>
        </w:rPr>
        <w:t>2.招标文件</w:t>
      </w:r>
      <w:bookmarkEnd w:id="48"/>
      <w:bookmarkEnd w:id="49"/>
    </w:p>
    <w:p>
      <w:pPr>
        <w:autoSpaceDE w:val="0"/>
        <w:autoSpaceDN w:val="0"/>
        <w:adjustRightInd w:val="0"/>
        <w:snapToGrid w:val="0"/>
        <w:spacing w:line="360" w:lineRule="exact"/>
        <w:rPr>
          <w:rFonts w:ascii="宋体" w:hAnsi="宋体" w:cs="Calibri"/>
          <w:b/>
          <w:bCs/>
          <w:kern w:val="0"/>
          <w:sz w:val="22"/>
        </w:rPr>
      </w:pPr>
      <w:bookmarkStart w:id="50" w:name="_Toc1426"/>
      <w:r>
        <w:rPr>
          <w:rFonts w:ascii="宋体" w:hAnsi="宋体" w:cs="Calibri"/>
          <w:b/>
          <w:bCs/>
          <w:kern w:val="0"/>
          <w:sz w:val="22"/>
        </w:rPr>
        <w:t>2.1 招标文件的组成</w:t>
      </w:r>
      <w:bookmarkEnd w:id="50"/>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本招标文件包括：</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（1）招标公告</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（2）投标人须知</w:t>
      </w:r>
    </w:p>
    <w:p>
      <w:pPr>
        <w:adjustRightInd w:val="0"/>
        <w:snapToGrid w:val="0"/>
        <w:spacing w:line="360" w:lineRule="exact"/>
        <w:ind w:firstLine="440" w:firstLineChars="200"/>
        <w:rPr>
          <w:rFonts w:ascii="宋体" w:hAnsi="宋体" w:cs="Calibri"/>
          <w:kern w:val="0"/>
          <w:sz w:val="22"/>
        </w:rPr>
      </w:pPr>
      <w:r>
        <w:rPr>
          <w:rFonts w:ascii="宋体" w:hAnsi="宋体" w:cs="Calibri"/>
          <w:color w:val="000000"/>
          <w:kern w:val="0"/>
          <w:sz w:val="22"/>
        </w:rPr>
        <w:t>（3）</w:t>
      </w:r>
      <w:r>
        <w:rPr>
          <w:rFonts w:hint="eastAsia" w:ascii="宋体" w:hAnsi="宋体" w:cs="Calibri"/>
          <w:kern w:val="0"/>
          <w:sz w:val="22"/>
        </w:rPr>
        <w:t>服务技术标准及要求</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w:t>
      </w:r>
      <w:r>
        <w:rPr>
          <w:rFonts w:hint="eastAsia" w:ascii="宋体" w:hAnsi="宋体" w:cs="Calibri"/>
          <w:color w:val="000000"/>
          <w:kern w:val="0"/>
          <w:sz w:val="22"/>
        </w:rPr>
        <w:t>4</w:t>
      </w:r>
      <w:r>
        <w:rPr>
          <w:rFonts w:ascii="宋体" w:hAnsi="宋体" w:cs="Calibri"/>
          <w:color w:val="000000"/>
          <w:kern w:val="0"/>
          <w:sz w:val="22"/>
        </w:rPr>
        <w:t>）合同条款</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w:t>
      </w:r>
      <w:r>
        <w:rPr>
          <w:rFonts w:hint="eastAsia" w:ascii="宋体" w:hAnsi="宋体" w:cs="Calibri"/>
          <w:color w:val="000000"/>
          <w:kern w:val="0"/>
          <w:sz w:val="22"/>
        </w:rPr>
        <w:t>5</w:t>
      </w:r>
      <w:r>
        <w:rPr>
          <w:rFonts w:ascii="宋体" w:hAnsi="宋体" w:cs="Calibri"/>
          <w:color w:val="000000"/>
          <w:kern w:val="0"/>
          <w:sz w:val="22"/>
        </w:rPr>
        <w:t>）评标办法及标准</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w:t>
      </w:r>
      <w:r>
        <w:rPr>
          <w:rFonts w:hint="eastAsia" w:ascii="宋体" w:hAnsi="宋体" w:cs="Calibri"/>
          <w:color w:val="000000"/>
          <w:kern w:val="0"/>
          <w:sz w:val="22"/>
        </w:rPr>
        <w:t>6</w:t>
      </w:r>
      <w:r>
        <w:rPr>
          <w:rFonts w:ascii="宋体" w:hAnsi="宋体" w:cs="Calibri"/>
          <w:color w:val="000000"/>
          <w:kern w:val="0"/>
          <w:sz w:val="22"/>
        </w:rPr>
        <w:t>）投标文件格式</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51" w:name="_Toc18230"/>
      <w:r>
        <w:rPr>
          <w:rFonts w:ascii="宋体" w:hAnsi="宋体" w:cs="Calibri"/>
          <w:b/>
          <w:bCs/>
          <w:kern w:val="0"/>
          <w:sz w:val="22"/>
        </w:rPr>
        <w:t>2.2 招标文件的澄清</w:t>
      </w:r>
      <w:bookmarkEnd w:id="51"/>
    </w:p>
    <w:p>
      <w:pPr>
        <w:adjustRightInd w:val="0"/>
        <w:snapToGrid w:val="0"/>
        <w:spacing w:line="360" w:lineRule="exact"/>
        <w:ind w:firstLine="440"/>
        <w:rPr>
          <w:rFonts w:ascii="宋体" w:hAnsi="宋体" w:cs="Calibri"/>
          <w:color w:val="000000"/>
          <w:sz w:val="22"/>
        </w:rPr>
      </w:pPr>
      <w:bookmarkStart w:id="52" w:name="_Toc18303"/>
      <w:r>
        <w:rPr>
          <w:rFonts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2.2.2</w:t>
      </w:r>
      <w:r>
        <w:rPr>
          <w:rFonts w:hint="eastAsia" w:ascii="宋体" w:hAnsi="宋体" w:cs="Calibri"/>
          <w:kern w:val="0"/>
          <w:sz w:val="22"/>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2.3 招标文件的修改</w:t>
      </w:r>
      <w:bookmarkEnd w:id="52"/>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2.3.2</w:t>
      </w:r>
      <w:r>
        <w:rPr>
          <w:rFonts w:hint="eastAsia" w:ascii="宋体" w:hAnsi="宋体" w:cs="Calibri"/>
          <w:color w:val="000000"/>
          <w:sz w:val="22"/>
        </w:rPr>
        <w:t>招标文件的修改为招标文件的组成部分，对投标人有约束力。</w:t>
      </w:r>
    </w:p>
    <w:p>
      <w:pPr>
        <w:autoSpaceDE w:val="0"/>
        <w:autoSpaceDN w:val="0"/>
        <w:adjustRightInd w:val="0"/>
        <w:snapToGrid w:val="0"/>
        <w:spacing w:line="360" w:lineRule="exact"/>
        <w:rPr>
          <w:rFonts w:ascii="宋体" w:hAnsi="宋体" w:cs="Calibri"/>
          <w:b/>
          <w:bCs/>
          <w:kern w:val="0"/>
          <w:sz w:val="22"/>
        </w:rPr>
      </w:pPr>
      <w:bookmarkStart w:id="53" w:name="_Toc18870"/>
      <w:bookmarkStart w:id="54" w:name="_Toc143421658"/>
      <w:r>
        <w:rPr>
          <w:rFonts w:ascii="宋体" w:hAnsi="宋体" w:cs="Calibri"/>
          <w:b/>
          <w:bCs/>
          <w:kern w:val="0"/>
          <w:sz w:val="22"/>
        </w:rPr>
        <w:t>3.投标文件</w:t>
      </w:r>
      <w:bookmarkEnd w:id="53"/>
      <w:bookmarkEnd w:id="54"/>
    </w:p>
    <w:p>
      <w:pPr>
        <w:autoSpaceDE w:val="0"/>
        <w:autoSpaceDN w:val="0"/>
        <w:adjustRightInd w:val="0"/>
        <w:snapToGrid w:val="0"/>
        <w:spacing w:line="360" w:lineRule="exact"/>
        <w:rPr>
          <w:rFonts w:ascii="宋体" w:hAnsi="宋体" w:cs="Calibri"/>
          <w:b/>
          <w:bCs/>
          <w:kern w:val="0"/>
          <w:sz w:val="22"/>
        </w:rPr>
      </w:pPr>
      <w:bookmarkStart w:id="55" w:name="_Toc461"/>
      <w:r>
        <w:rPr>
          <w:rFonts w:ascii="宋体" w:hAnsi="宋体" w:cs="Calibri"/>
          <w:b/>
          <w:bCs/>
          <w:kern w:val="0"/>
          <w:sz w:val="22"/>
        </w:rPr>
        <w:t>3.1 投标文件的语言和计量单位</w:t>
      </w:r>
      <w:bookmarkEnd w:id="55"/>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sz w:val="22"/>
        </w:rPr>
        <w:t>3.1.1投标文件与投标有关的所有文件均应使用中文。</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3.1.2除规范另有规定外，投标文件使用的度量衡单位，均采用中华人民共和国法定计量单位。</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3.1.3招标文件中的“天”除特别说明外，均为日历天。</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3.1.4招标文件中所指的“合同”除特别说明外，指 “</w:t>
      </w:r>
      <w:r>
        <w:rPr>
          <w:rFonts w:hint="eastAsia" w:ascii="宋体" w:hAnsi="宋体" w:cs="Calibri"/>
          <w:color w:val="000000"/>
          <w:kern w:val="0"/>
          <w:sz w:val="22"/>
        </w:rPr>
        <w:t>服务</w:t>
      </w:r>
      <w:r>
        <w:rPr>
          <w:rFonts w:ascii="宋体" w:hAnsi="宋体" w:cs="Calibri"/>
          <w:color w:val="000000"/>
          <w:kern w:val="0"/>
          <w:sz w:val="22"/>
        </w:rPr>
        <w:t>合同”。</w:t>
      </w:r>
    </w:p>
    <w:p>
      <w:pPr>
        <w:autoSpaceDE w:val="0"/>
        <w:autoSpaceDN w:val="0"/>
        <w:adjustRightInd w:val="0"/>
        <w:snapToGrid w:val="0"/>
        <w:spacing w:line="360" w:lineRule="exact"/>
        <w:rPr>
          <w:rFonts w:ascii="宋体" w:hAnsi="宋体" w:cs="Calibri"/>
          <w:b/>
          <w:bCs/>
          <w:kern w:val="0"/>
          <w:sz w:val="22"/>
        </w:rPr>
      </w:pPr>
      <w:bookmarkStart w:id="56" w:name="_Toc1411"/>
      <w:r>
        <w:rPr>
          <w:rFonts w:ascii="宋体" w:hAnsi="宋体" w:cs="Calibri"/>
          <w:b/>
          <w:bCs/>
          <w:kern w:val="0"/>
          <w:sz w:val="22"/>
        </w:rPr>
        <w:t>3.2 投标文件的组成</w:t>
      </w:r>
      <w:bookmarkEnd w:id="56"/>
    </w:p>
    <w:p>
      <w:pPr>
        <w:adjustRightInd w:val="0"/>
        <w:snapToGrid w:val="0"/>
        <w:spacing w:line="360" w:lineRule="exact"/>
        <w:ind w:firstLine="440" w:firstLineChars="200"/>
        <w:rPr>
          <w:rFonts w:ascii="宋体" w:hAnsi="宋体" w:cs="Calibri"/>
          <w:color w:val="000000"/>
          <w:sz w:val="22"/>
        </w:rPr>
      </w:pPr>
      <w:bookmarkStart w:id="57" w:name="_Toc32225"/>
      <w:r>
        <w:rPr>
          <w:rFonts w:ascii="宋体" w:hAnsi="宋体" w:cs="Calibri"/>
          <w:color w:val="000000"/>
          <w:sz w:val="22"/>
        </w:rPr>
        <w:t>3.2.1投标函；</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2</w:t>
      </w:r>
      <w:r>
        <w:rPr>
          <w:rFonts w:ascii="宋体" w:hAnsi="宋体" w:cs="Calibri"/>
          <w:color w:val="000000"/>
          <w:sz w:val="22"/>
        </w:rPr>
        <w:t>法定代表人资格证明书；</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3</w:t>
      </w:r>
      <w:r>
        <w:rPr>
          <w:rFonts w:ascii="宋体" w:hAnsi="宋体" w:cs="Calibri"/>
          <w:color w:val="000000"/>
          <w:sz w:val="22"/>
        </w:rPr>
        <w:t>授权委托书；</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4</w:t>
      </w:r>
      <w:r>
        <w:rPr>
          <w:rFonts w:ascii="宋体" w:hAnsi="宋体" w:cs="Calibri"/>
          <w:color w:val="000000"/>
          <w:sz w:val="22"/>
        </w:rPr>
        <w:t xml:space="preserve"> 投标报价表；</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3.2.5投标人资格证明文件：</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（1）投标人一般情况</w:t>
      </w:r>
      <w:r>
        <w:rPr>
          <w:rFonts w:hint="eastAsia" w:ascii="宋体" w:hAnsi="宋体" w:cs="Calibri"/>
          <w:color w:val="000000"/>
          <w:sz w:val="22"/>
        </w:rPr>
        <w:t>及</w:t>
      </w:r>
      <w:r>
        <w:rPr>
          <w:rFonts w:ascii="宋体" w:hAnsi="宋体" w:cs="Calibri"/>
          <w:color w:val="000000"/>
          <w:sz w:val="22"/>
        </w:rPr>
        <w:t>有关证明投标人法律地位的文件（包括营业执照</w:t>
      </w:r>
      <w:r>
        <w:rPr>
          <w:rFonts w:hint="eastAsia" w:ascii="宋体" w:hAnsi="宋体" w:cs="Calibri"/>
          <w:color w:val="000000"/>
          <w:sz w:val="22"/>
        </w:rPr>
        <w:t>、</w:t>
      </w:r>
      <w:r>
        <w:rPr>
          <w:rFonts w:hint="eastAsia" w:ascii="宋体" w:hAnsi="宋体" w:cs="Calibri"/>
          <w:sz w:val="22"/>
        </w:rPr>
        <w:t>税务登记证</w:t>
      </w:r>
      <w:r>
        <w:rPr>
          <w:rFonts w:ascii="宋体" w:hAnsi="宋体" w:cs="Calibri"/>
          <w:color w:val="000000"/>
          <w:sz w:val="22"/>
        </w:rPr>
        <w:t>资质</w:t>
      </w:r>
      <w:r>
        <w:rPr>
          <w:rFonts w:hint="eastAsia" w:ascii="宋体" w:hAnsi="宋体" w:cs="Calibri"/>
          <w:color w:val="000000"/>
          <w:sz w:val="22"/>
        </w:rPr>
        <w:t>证书</w:t>
      </w:r>
      <w:r>
        <w:rPr>
          <w:rFonts w:ascii="宋体" w:hAnsi="宋体" w:cs="Calibri"/>
          <w:color w:val="000000"/>
          <w:sz w:val="22"/>
        </w:rPr>
        <w:t>等），说明投标人的注册地点和主要经营范围；</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（2）信用中国网站www.creditchina.gov.cn 、中国裁判文书网http://wenshu.court.gov.cn查询结果证材料以及主管税务部门出具的一般纳税人资格认定《税务事项通知书》。</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（3）有关证明投标人的企业信誉及获得各种奖励等资料；</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（4）投标人经济实力：包括企业注册资金、财务报告与报表中反映的财务状况</w:t>
      </w:r>
      <w:r>
        <w:rPr>
          <w:rFonts w:hint="eastAsia" w:ascii="宋体" w:hAnsi="宋体" w:cs="Calibri"/>
          <w:color w:val="000000"/>
          <w:sz w:val="22"/>
        </w:rPr>
        <w:t>；</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w:t>
      </w:r>
      <w:r>
        <w:rPr>
          <w:rFonts w:ascii="宋体" w:hAnsi="宋体" w:cs="Calibri"/>
          <w:color w:val="000000"/>
          <w:sz w:val="22"/>
        </w:rPr>
        <w:t>5</w:t>
      </w:r>
      <w:r>
        <w:rPr>
          <w:rFonts w:hint="eastAsia" w:ascii="宋体" w:hAnsi="宋体" w:cs="Calibri"/>
          <w:color w:val="000000"/>
          <w:sz w:val="22"/>
        </w:rPr>
        <w:t>）</w:t>
      </w:r>
      <w:r>
        <w:rPr>
          <w:rFonts w:ascii="宋体" w:hAnsi="宋体" w:cs="Calibri"/>
          <w:color w:val="000000"/>
          <w:sz w:val="22"/>
        </w:rPr>
        <w:t>近三年完成类似项目业绩情况</w:t>
      </w:r>
      <w:r>
        <w:rPr>
          <w:rFonts w:hint="eastAsia" w:ascii="宋体" w:hAnsi="宋体" w:cs="Calibri"/>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6</w:t>
      </w:r>
      <w:r>
        <w:rPr>
          <w:rFonts w:hint="eastAsia" w:cs="Calibri" w:asciiTheme="minorEastAsia" w:hAnsiTheme="minorEastAsia" w:eastAsiaTheme="minorEastAsia"/>
          <w:color w:val="000000"/>
          <w:sz w:val="22"/>
        </w:rPr>
        <w:t>）招标文件投标人资格要求中提供的相关材料。</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3.2.6</w:t>
      </w:r>
      <w:r>
        <w:rPr>
          <w:rFonts w:hint="eastAsia" w:ascii="宋体" w:hAnsi="宋体" w:cs="Calibri"/>
          <w:color w:val="000000"/>
          <w:sz w:val="22"/>
        </w:rPr>
        <w:t xml:space="preserve"> 维修</w:t>
      </w:r>
      <w:r>
        <w:rPr>
          <w:rFonts w:ascii="宋体" w:hAnsi="宋体" w:cs="Calibri"/>
          <w:color w:val="000000"/>
          <w:sz w:val="22"/>
        </w:rPr>
        <w:t>服务大纲</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（1）本项目概况；</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（2）工作内容和依据；</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w:t>
      </w:r>
      <w:r>
        <w:rPr>
          <w:rFonts w:hint="eastAsia" w:ascii="宋体" w:hAnsi="宋体" w:cs="Calibri"/>
          <w:color w:val="000000"/>
          <w:sz w:val="22"/>
        </w:rPr>
        <w:t>维修</w:t>
      </w:r>
      <w:r>
        <w:rPr>
          <w:rFonts w:ascii="宋体" w:hAnsi="宋体" w:cs="Calibri"/>
          <w:color w:val="000000"/>
          <w:sz w:val="22"/>
        </w:rPr>
        <w:t>服务管理班子的组织结构形式；</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w:t>
      </w:r>
      <w:r>
        <w:rPr>
          <w:rFonts w:hint="eastAsia" w:ascii="宋体" w:hAnsi="宋体" w:cs="Calibri"/>
          <w:color w:val="000000"/>
          <w:sz w:val="22"/>
        </w:rPr>
        <w:t>维修</w:t>
      </w:r>
      <w:r>
        <w:rPr>
          <w:rFonts w:ascii="宋体" w:hAnsi="宋体" w:cs="Calibri"/>
          <w:color w:val="000000"/>
          <w:sz w:val="22"/>
        </w:rPr>
        <w:t>服务人员的作业安排和进场计划；</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（5）</w:t>
      </w:r>
      <w:r>
        <w:rPr>
          <w:rFonts w:hint="eastAsia" w:ascii="宋体" w:hAnsi="宋体" w:cs="Calibri"/>
          <w:color w:val="000000"/>
          <w:sz w:val="22"/>
        </w:rPr>
        <w:t>维修</w:t>
      </w:r>
      <w:r>
        <w:rPr>
          <w:rFonts w:ascii="宋体" w:hAnsi="宋体" w:cs="Calibri"/>
          <w:color w:val="000000"/>
          <w:sz w:val="22"/>
        </w:rPr>
        <w:t>服务人员工作守则；</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（6）对本项目的实施意见及重点</w:t>
      </w:r>
      <w:r>
        <w:rPr>
          <w:rFonts w:hint="eastAsia" w:ascii="宋体" w:hAnsi="宋体" w:cs="Calibri"/>
          <w:color w:val="000000"/>
          <w:sz w:val="22"/>
        </w:rPr>
        <w:t>、</w:t>
      </w:r>
      <w:r>
        <w:rPr>
          <w:rFonts w:ascii="宋体" w:hAnsi="宋体" w:cs="Calibri"/>
          <w:color w:val="000000"/>
          <w:sz w:val="22"/>
        </w:rPr>
        <w:t>难点控制；</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（7）投入到本项目的项目负责人、其他人员的情况汇总表及业绩、经历、能力介绍、资格证明材料及人员到位率的承诺；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（8）投入本项目</w:t>
      </w:r>
      <w:r>
        <w:rPr>
          <w:rFonts w:hint="eastAsia" w:ascii="宋体" w:hAnsi="宋体" w:cs="Calibri"/>
          <w:color w:val="000000"/>
          <w:sz w:val="22"/>
        </w:rPr>
        <w:t>维修</w:t>
      </w:r>
      <w:r>
        <w:rPr>
          <w:rFonts w:ascii="宋体" w:hAnsi="宋体" w:cs="Calibri"/>
          <w:color w:val="000000"/>
          <w:sz w:val="22"/>
        </w:rPr>
        <w:t>服务的仪器、仪表、设备及交通工具汇总表</w:t>
      </w:r>
      <w:r>
        <w:rPr>
          <w:rFonts w:hint="eastAsia" w:ascii="宋体" w:hAnsi="宋体" w:cs="Calibri"/>
          <w:color w:val="000000"/>
          <w:sz w:val="22"/>
        </w:rPr>
        <w:t>。</w:t>
      </w:r>
    </w:p>
    <w:p>
      <w:pPr>
        <w:adjustRightInd w:val="0"/>
        <w:snapToGrid w:val="0"/>
        <w:spacing w:line="360" w:lineRule="exact"/>
        <w:ind w:firstLine="440" w:firstLineChars="200"/>
        <w:rPr>
          <w:rFonts w:ascii="宋体" w:hAnsi="宋体"/>
          <w:sz w:val="22"/>
        </w:rPr>
      </w:pPr>
      <w:r>
        <w:rPr>
          <w:rFonts w:ascii="宋体" w:hAnsi="宋体" w:cs="Calibri"/>
          <w:color w:val="000000"/>
          <w:sz w:val="22"/>
        </w:rPr>
        <w:t>3.2.7</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Arial"/>
          <w:color w:val="00000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57"/>
    </w:p>
    <w:p>
      <w:pPr>
        <w:adjustRightInd w:val="0"/>
        <w:snapToGrid w:val="0"/>
        <w:spacing w:line="360" w:lineRule="exact"/>
        <w:ind w:firstLine="440" w:firstLineChars="200"/>
        <w:rPr>
          <w:rFonts w:ascii="宋体" w:hAnsi="宋体" w:cs="Calibri"/>
          <w:color w:val="000000"/>
          <w:kern w:val="0"/>
          <w:sz w:val="22"/>
        </w:rPr>
      </w:pPr>
      <w:bookmarkStart w:id="58" w:name="_Toc13307"/>
      <w:r>
        <w:rPr>
          <w:rFonts w:ascii="宋体" w:hAnsi="宋体" w:cs="Calibri"/>
          <w:color w:val="000000"/>
          <w:kern w:val="0"/>
          <w:sz w:val="22"/>
        </w:rPr>
        <w:t>3.3.1 投标人应按本招标文件中“投标文件格式”的要求填写相应表格。</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3.3.2 投标人在投标截止时间前修改投标函中的投标总报价，应同时修改本招标文件中“投标文件格式”中的相应报价。此修改须符合本章第4.3款的有关要求。</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3.3.3招标人设有最高投标限价的，投标人的投标报价不得超过最高投标限价，最高投标限价详见投标人须知前附表。</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hint="eastAsia" w:cs="Calibri" w:asciiTheme="minorEastAsia" w:hAnsiTheme="minorEastAsia" w:eastAsiaTheme="minorEastAsia"/>
          <w:color w:val="000000"/>
          <w:kern w:val="0"/>
          <w:sz w:val="22"/>
        </w:rPr>
        <w:t>3.</w:t>
      </w:r>
      <w:r>
        <w:rPr>
          <w:rFonts w:cs="Calibri" w:asciiTheme="minorEastAsia" w:hAnsiTheme="minorEastAsia" w:eastAsiaTheme="minorEastAsia"/>
          <w:color w:val="000000"/>
          <w:kern w:val="0"/>
          <w:sz w:val="22"/>
        </w:rPr>
        <w:t>3</w:t>
      </w:r>
      <w:r>
        <w:rPr>
          <w:rFonts w:hint="eastAsia" w:cs="Calibri" w:asciiTheme="minorEastAsia" w:hAnsiTheme="minorEastAsia" w:eastAsiaTheme="minorEastAsia"/>
          <w:color w:val="000000"/>
          <w:kern w:val="0"/>
          <w:sz w:val="22"/>
        </w:rPr>
        <w:t>.4投标报价的其他要求：</w:t>
      </w:r>
      <w:r>
        <w:rPr>
          <w:rFonts w:hint="eastAsia" w:cs="Calibri" w:asciiTheme="minorEastAsia" w:hAnsiTheme="minorEastAsia" w:eastAsiaTheme="minorEastAsia"/>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hint="eastAsia" w:cs="Calibri" w:asciiTheme="minorEastAsia" w:hAnsiTheme="minorEastAsia" w:eastAsiaTheme="minorEastAsia"/>
          <w:b/>
          <w:color w:val="000000"/>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58"/>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3.4.1在投标人须知前附表规定的投标有效期内，投标人不得要求撤销和修改其投标文件。</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59" w:name="_Toc30464"/>
      <w:r>
        <w:rPr>
          <w:rFonts w:ascii="宋体" w:hAnsi="宋体" w:cs="Calibri"/>
          <w:b/>
          <w:bCs/>
          <w:kern w:val="0"/>
          <w:sz w:val="22"/>
        </w:rPr>
        <w:t>3.5 投标保证金</w:t>
      </w:r>
      <w:bookmarkEnd w:id="59"/>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bookmarkStart w:id="60" w:name="_Toc29989"/>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w:t>
      </w:r>
      <w:r>
        <w:rPr>
          <w:rFonts w:ascii="宋体" w:hAnsi="宋体" w:cs="Calibri"/>
          <w:kern w:val="0"/>
          <w:sz w:val="22"/>
        </w:rPr>
        <w:t>5</w:t>
      </w:r>
      <w:r>
        <w:rPr>
          <w:rFonts w:hint="eastAsia" w:ascii="宋体" w:hAnsi="宋体" w:cs="Calibri"/>
          <w:kern w:val="0"/>
          <w:sz w:val="22"/>
        </w:rPr>
        <w:t>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ascii="宋体" w:hAnsi="宋体" w:cs="Calibri"/>
          <w:color w:val="000000"/>
          <w:kern w:val="0"/>
          <w:sz w:val="22"/>
        </w:rPr>
        <w:t>中标人在收到中标通知书后，</w:t>
      </w:r>
      <w:r>
        <w:rPr>
          <w:rFonts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3.6 投标文件的编制</w:t>
      </w:r>
      <w:bookmarkEnd w:id="60"/>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3.6.1 投标文件应按本须知第3.2款规定的内容和第</w:t>
      </w:r>
      <w:r>
        <w:rPr>
          <w:rFonts w:hint="eastAsia" w:ascii="宋体" w:hAnsi="宋体" w:cs="Calibri"/>
          <w:color w:val="000000"/>
          <w:sz w:val="22"/>
        </w:rPr>
        <w:t>六</w:t>
      </w:r>
      <w:r>
        <w:rPr>
          <w:rFonts w:ascii="宋体" w:hAnsi="宋体" w:cs="Calibri"/>
          <w:color w:val="000000"/>
          <w:sz w:val="22"/>
        </w:rPr>
        <w:t>章“投标文件格式”进行编写，如有必要，可以增加附页，作为投标文件的组成部分，“投标文件格式”中没有规定的可自行编制格式。其中，</w:t>
      </w:r>
      <w:r>
        <w:rPr>
          <w:rFonts w:hint="eastAsia" w:ascii="宋体" w:hAnsi="宋体" w:cs="Calibri"/>
          <w:sz w:val="22"/>
        </w:rPr>
        <w:t>服务期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sz w:val="22"/>
        </w:rPr>
        <w:t xml:space="preserve">3.6.2 </w:t>
      </w:r>
      <w:r>
        <w:rPr>
          <w:rFonts w:ascii="宋体" w:hAnsi="宋体" w:cs="Calibri"/>
          <w:color w:val="000000"/>
          <w:kern w:val="0"/>
          <w:sz w:val="22"/>
        </w:rPr>
        <w:t>投标文件应对招标文件有关</w:t>
      </w:r>
      <w:r>
        <w:rPr>
          <w:rFonts w:hint="eastAsia" w:ascii="宋体" w:hAnsi="宋体" w:cs="Calibri"/>
          <w:color w:val="000000"/>
          <w:kern w:val="0"/>
          <w:sz w:val="22"/>
        </w:rPr>
        <w:t>维修工</w:t>
      </w:r>
      <w:r>
        <w:rPr>
          <w:rFonts w:ascii="宋体" w:hAnsi="宋体" w:cs="Calibri"/>
          <w:color w:val="000000"/>
          <w:kern w:val="0"/>
          <w:sz w:val="22"/>
        </w:rPr>
        <w:t>期、投标有效期、招标</w:t>
      </w:r>
      <w:r>
        <w:rPr>
          <w:rFonts w:hint="eastAsia" w:ascii="宋体" w:hAnsi="宋体" w:cs="Calibri"/>
          <w:color w:val="000000"/>
          <w:kern w:val="0"/>
          <w:sz w:val="22"/>
        </w:rPr>
        <w:t>内容</w:t>
      </w:r>
      <w:r>
        <w:rPr>
          <w:rFonts w:ascii="宋体" w:hAnsi="宋体" w:cs="Calibri"/>
          <w:color w:val="000000"/>
          <w:kern w:val="0"/>
          <w:sz w:val="22"/>
        </w:rPr>
        <w:t>等实质性内容作出响应。</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ascii="宋体" w:hAnsi="宋体" w:cs="Calibri"/>
          <w:color w:val="000000"/>
          <w:kern w:val="0"/>
          <w:sz w:val="22"/>
        </w:rPr>
        <w:t>签字或盖章的具体要求见投标人须知前附表。</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3.6.4投标文件正本一份， 副本份数见投标人须知前附表。正本、副本的封面上应清楚地标记</w:t>
      </w:r>
      <w:r>
        <w:rPr>
          <w:rFonts w:ascii="宋体" w:hAnsi="宋体" w:cs="Calibri"/>
          <w:b/>
          <w:bCs/>
          <w:color w:val="000000"/>
          <w:sz w:val="22"/>
        </w:rPr>
        <w:t>“正本</w:t>
      </w:r>
      <w:r>
        <w:rPr>
          <w:rFonts w:ascii="宋体" w:hAnsi="宋体" w:cs="Calibri"/>
          <w:color w:val="000000"/>
          <w:sz w:val="22"/>
        </w:rPr>
        <w:t>”或“</w:t>
      </w:r>
      <w:r>
        <w:rPr>
          <w:rFonts w:ascii="宋体" w:hAnsi="宋体" w:cs="Calibri"/>
          <w:b/>
          <w:bCs/>
          <w:color w:val="000000"/>
          <w:sz w:val="22"/>
        </w:rPr>
        <w:t>副本</w:t>
      </w:r>
      <w:r>
        <w:rPr>
          <w:rFonts w:ascii="宋体" w:hAnsi="宋体" w:cs="Calibri"/>
          <w:color w:val="000000"/>
          <w:sz w:val="22"/>
        </w:rPr>
        <w:t>”的字样。当副本和正本不一致时，以正本为准。</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3.6.5投标文件的正本与副本应分别按A4规格装订成册，具体装订要求见投标人须知前附表规定。</w:t>
      </w:r>
      <w:bookmarkStart w:id="61" w:name="_Toc143421659"/>
    </w:p>
    <w:p>
      <w:pPr>
        <w:autoSpaceDE w:val="0"/>
        <w:autoSpaceDN w:val="0"/>
        <w:adjustRightInd w:val="0"/>
        <w:snapToGrid w:val="0"/>
        <w:spacing w:line="360" w:lineRule="exact"/>
        <w:rPr>
          <w:rFonts w:ascii="宋体" w:hAnsi="宋体" w:cs="Calibri"/>
          <w:b/>
          <w:bCs/>
          <w:kern w:val="0"/>
          <w:sz w:val="22"/>
        </w:rPr>
      </w:pPr>
      <w:bookmarkStart w:id="62" w:name="_Toc32652"/>
      <w:r>
        <w:rPr>
          <w:rFonts w:ascii="宋体" w:hAnsi="宋体" w:cs="Calibri"/>
          <w:b/>
          <w:bCs/>
          <w:kern w:val="0"/>
          <w:sz w:val="22"/>
        </w:rPr>
        <w:t>4.投标</w:t>
      </w:r>
      <w:bookmarkEnd w:id="61"/>
      <w:bookmarkEnd w:id="62"/>
    </w:p>
    <w:p>
      <w:pPr>
        <w:autoSpaceDE w:val="0"/>
        <w:autoSpaceDN w:val="0"/>
        <w:adjustRightInd w:val="0"/>
        <w:snapToGrid w:val="0"/>
        <w:spacing w:line="360" w:lineRule="exact"/>
        <w:rPr>
          <w:rFonts w:ascii="宋体" w:hAnsi="宋体" w:cs="Calibri"/>
          <w:b/>
          <w:bCs/>
          <w:kern w:val="0"/>
          <w:sz w:val="22"/>
        </w:rPr>
      </w:pPr>
      <w:bookmarkStart w:id="63" w:name="_Toc649"/>
      <w:r>
        <w:rPr>
          <w:rFonts w:ascii="宋体" w:hAnsi="宋体" w:cs="Calibri"/>
          <w:b/>
          <w:bCs/>
          <w:kern w:val="0"/>
          <w:sz w:val="22"/>
        </w:rPr>
        <w:t>4.1 投标文件的密封和标识</w:t>
      </w:r>
      <w:bookmarkEnd w:id="63"/>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sz w:val="22"/>
        </w:rPr>
        <w:t>4.1.1</w:t>
      </w:r>
      <w:r>
        <w:rPr>
          <w:rFonts w:ascii="宋体" w:hAnsi="宋体" w:cs="Calibri"/>
          <w:color w:val="000000"/>
          <w:kern w:val="0"/>
          <w:sz w:val="22"/>
        </w:rPr>
        <w:t>投标文件的正本、副本可一同</w:t>
      </w:r>
      <w:r>
        <w:rPr>
          <w:rFonts w:hint="eastAsia" w:ascii="宋体" w:hAnsi="宋体" w:cs="Calibri"/>
          <w:color w:val="000000"/>
          <w:kern w:val="0"/>
          <w:sz w:val="22"/>
        </w:rPr>
        <w:t>密封</w:t>
      </w:r>
      <w:r>
        <w:rPr>
          <w:rFonts w:ascii="宋体" w:hAnsi="宋体" w:cs="Calibri"/>
          <w:color w:val="000000"/>
          <w:kern w:val="0"/>
          <w:sz w:val="22"/>
        </w:rPr>
        <w:t>包装，并在封口处加盖投标人单位章或法定代表人盖章（或签字）或委托代理人盖章（或签字）。</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4.1.2 投标文件的封套上应清楚地标记“投标文件”字样，封套上应写明的其他内容见投标人须知前附表。</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4.1.3 未按本章第4.1.1项或第4.1.2项要求密封和加写标记的投标文件，招标人不予受理。</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4.1.</w:t>
      </w:r>
      <w:r>
        <w:rPr>
          <w:rFonts w:hint="eastAsia" w:ascii="宋体" w:hAnsi="宋体" w:cs="Calibri"/>
          <w:color w:val="000000"/>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64" w:name="_Toc16616"/>
      <w:r>
        <w:rPr>
          <w:rFonts w:ascii="宋体" w:hAnsi="宋体" w:cs="Calibri"/>
          <w:b/>
          <w:bCs/>
          <w:kern w:val="0"/>
          <w:sz w:val="22"/>
        </w:rPr>
        <w:t xml:space="preserve">4.2 投标文件的递交 </w:t>
      </w:r>
      <w:bookmarkEnd w:id="64"/>
    </w:p>
    <w:p>
      <w:pPr>
        <w:autoSpaceDE w:val="0"/>
        <w:autoSpaceDN w:val="0"/>
        <w:adjustRightInd w:val="0"/>
        <w:snapToGrid w:val="0"/>
        <w:spacing w:line="360" w:lineRule="exact"/>
        <w:ind w:firstLine="442" w:firstLineChars="200"/>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4.2.2投标人送达投标文件的地点：见投标人须知前附表。</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4.2.3除投标人须知前附表另有规定外，投标人所递交的投标文件不予退还。</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4.2.</w:t>
      </w:r>
      <w:r>
        <w:rPr>
          <w:rFonts w:hint="eastAsia" w:ascii="宋体" w:hAnsi="宋体" w:cs="Calibri"/>
          <w:color w:val="000000"/>
          <w:sz w:val="22"/>
        </w:rPr>
        <w:t>4</w:t>
      </w:r>
      <w:r>
        <w:rPr>
          <w:rFonts w:ascii="宋体" w:hAnsi="宋体" w:cs="Calibri"/>
          <w:color w:val="000000"/>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65" w:name="_Toc26099"/>
      <w:r>
        <w:rPr>
          <w:rFonts w:ascii="宋体" w:hAnsi="宋体" w:cs="Calibri"/>
          <w:b/>
          <w:bCs/>
          <w:kern w:val="0"/>
          <w:sz w:val="22"/>
        </w:rPr>
        <w:t>4.3 投标文件的修改和撤回</w:t>
      </w:r>
      <w:bookmarkEnd w:id="65"/>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4.3.1在规定的投标截止时间前，投标人可以修改或撤回已递交的投标文件，但应以书面形式通知招标人。</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66" w:name="_Toc29641"/>
      <w:r>
        <w:rPr>
          <w:rFonts w:ascii="宋体" w:hAnsi="宋体" w:cs="Calibri"/>
          <w:b/>
          <w:bCs/>
          <w:kern w:val="0"/>
          <w:sz w:val="22"/>
        </w:rPr>
        <w:t>5.开标</w:t>
      </w:r>
      <w:bookmarkEnd w:id="66"/>
    </w:p>
    <w:p>
      <w:pPr>
        <w:autoSpaceDE w:val="0"/>
        <w:autoSpaceDN w:val="0"/>
        <w:adjustRightInd w:val="0"/>
        <w:snapToGrid w:val="0"/>
        <w:spacing w:line="360" w:lineRule="exact"/>
        <w:rPr>
          <w:rFonts w:ascii="宋体" w:hAnsi="宋体" w:cs="Calibri"/>
          <w:b/>
          <w:bCs/>
          <w:kern w:val="0"/>
          <w:sz w:val="22"/>
        </w:rPr>
      </w:pPr>
      <w:bookmarkStart w:id="67" w:name="_Toc15123"/>
      <w:r>
        <w:rPr>
          <w:rFonts w:ascii="宋体" w:hAnsi="宋体" w:cs="Calibri"/>
          <w:b/>
          <w:bCs/>
          <w:kern w:val="0"/>
          <w:sz w:val="22"/>
        </w:rPr>
        <w:t>5.1 开标时间和地点</w:t>
      </w:r>
      <w:bookmarkEnd w:id="67"/>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5.1.1</w:t>
      </w:r>
      <w:r>
        <w:rPr>
          <w:rFonts w:ascii="宋体" w:hAnsi="宋体" w:cs="Calibri"/>
          <w:sz w:val="22"/>
        </w:rPr>
        <w:t>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5.1.2投标人在投标时应随身携带下列资料提交招标人</w:t>
      </w:r>
    </w:p>
    <w:p>
      <w:pPr>
        <w:adjustRightInd w:val="0"/>
        <w:snapToGrid w:val="0"/>
        <w:spacing w:line="360" w:lineRule="exact"/>
        <w:ind w:firstLine="440" w:firstLineChars="200"/>
        <w:rPr>
          <w:rFonts w:ascii="宋体" w:hAnsi="宋体" w:cs="Calibri"/>
          <w:sz w:val="22"/>
        </w:rPr>
      </w:pPr>
      <w:bookmarkStart w:id="68" w:name="_Toc7101"/>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firstLineChars="20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5.2 开标程序</w:t>
      </w:r>
      <w:bookmarkEnd w:id="68"/>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主持人按下列程序进行开标：</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（1）宣布开标纪律；</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（2）公布在投标截止时间前递交投标文件的投标人名称，并点名确认投标人是否派人到场；</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（3）宣布开标人、唱标人、记录人、监标人等有关人员姓名；</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（4）按照投标人须知前附表规定检查投标文件的密封情况；</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（5）按照投标人须知前附表的规定确定并宣布投标文件开标顺序；</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（6）</w:t>
      </w:r>
      <w:r>
        <w:rPr>
          <w:rFonts w:ascii="宋体" w:hAnsi="宋体" w:cs="Calibri"/>
          <w:color w:val="000000"/>
          <w:sz w:val="22"/>
        </w:rPr>
        <w:t>按照宣布的开标顺序当众开标，公布投标人名称、投标保证金的递交情况、投标报价、</w:t>
      </w:r>
      <w:r>
        <w:rPr>
          <w:rFonts w:hint="eastAsia" w:ascii="宋体" w:hAnsi="宋体" w:cs="Calibri"/>
          <w:color w:val="000000"/>
          <w:sz w:val="22"/>
        </w:rPr>
        <w:t>服务期</w:t>
      </w:r>
      <w:r>
        <w:rPr>
          <w:rFonts w:ascii="宋体" w:hAnsi="宋体" w:cs="Calibri"/>
          <w:color w:val="000000"/>
          <w:sz w:val="22"/>
        </w:rPr>
        <w:t>及其他内容，并记录在案；</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（7）投标人代表、招标人代表、监标人、记录人等有关人员在开标记录上签字确认；</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69" w:name="_Toc31578"/>
      <w:r>
        <w:rPr>
          <w:rFonts w:ascii="宋体" w:hAnsi="宋体" w:cs="Calibri"/>
          <w:b/>
          <w:bCs/>
          <w:kern w:val="0"/>
          <w:sz w:val="22"/>
        </w:rPr>
        <w:t>6.评标</w:t>
      </w:r>
      <w:bookmarkEnd w:id="69"/>
    </w:p>
    <w:p>
      <w:pPr>
        <w:autoSpaceDE w:val="0"/>
        <w:autoSpaceDN w:val="0"/>
        <w:adjustRightInd w:val="0"/>
        <w:snapToGrid w:val="0"/>
        <w:spacing w:line="360" w:lineRule="exact"/>
        <w:rPr>
          <w:rFonts w:ascii="宋体" w:hAnsi="宋体" w:cs="Calibri"/>
          <w:b/>
          <w:bCs/>
          <w:kern w:val="0"/>
          <w:sz w:val="22"/>
        </w:rPr>
      </w:pPr>
      <w:bookmarkStart w:id="70" w:name="_Toc10279"/>
      <w:r>
        <w:rPr>
          <w:rFonts w:ascii="宋体" w:hAnsi="宋体" w:cs="Calibri"/>
          <w:b/>
          <w:bCs/>
          <w:kern w:val="0"/>
          <w:sz w:val="22"/>
        </w:rPr>
        <w:t>6.1 评标委员会</w:t>
      </w:r>
      <w:bookmarkEnd w:id="70"/>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6.1.1</w:t>
      </w:r>
      <w:r>
        <w:rPr>
          <w:rFonts w:ascii="宋体" w:hAnsi="宋体" w:cs="Calibri"/>
          <w:kern w:val="0"/>
          <w:sz w:val="22"/>
        </w:rPr>
        <w:t>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6.1.2评标委员会成员有下列情形之一的，应当回避：</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（1）招标人或投标人的主要负责人的近亲属；</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（2）项目主管部门或者行政监督部门的人员；</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（3）与投标人有经济利益关系，可能影响对投标公正评审的；</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71" w:name="_Toc3460"/>
      <w:r>
        <w:rPr>
          <w:rFonts w:ascii="宋体" w:hAnsi="宋体" w:cs="Calibri"/>
          <w:b/>
          <w:bCs/>
          <w:kern w:val="0"/>
          <w:sz w:val="22"/>
        </w:rPr>
        <w:t>6.2 评标原则</w:t>
      </w:r>
      <w:bookmarkEnd w:id="71"/>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72" w:name="_Toc28178"/>
      <w:r>
        <w:rPr>
          <w:rFonts w:ascii="宋体" w:hAnsi="宋体" w:cs="Calibri"/>
          <w:b/>
          <w:bCs/>
          <w:kern w:val="0"/>
          <w:sz w:val="22"/>
        </w:rPr>
        <w:t>6.3 评标</w:t>
      </w:r>
      <w:bookmarkEnd w:id="72"/>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评标委员会按照第</w:t>
      </w:r>
      <w:r>
        <w:rPr>
          <w:rFonts w:hint="eastAsia" w:ascii="宋体" w:hAnsi="宋体" w:cs="Calibri"/>
          <w:color w:val="000000"/>
          <w:kern w:val="0"/>
          <w:sz w:val="22"/>
        </w:rPr>
        <w:t>五</w:t>
      </w:r>
      <w:r>
        <w:rPr>
          <w:rFonts w:ascii="宋体" w:hAnsi="宋体" w:cs="Calibri"/>
          <w:color w:val="000000"/>
          <w:kern w:val="0"/>
          <w:sz w:val="22"/>
        </w:rPr>
        <w:t>章“评标方法及标准”对投标文件进行评审。第</w:t>
      </w:r>
      <w:r>
        <w:rPr>
          <w:rFonts w:hint="eastAsia" w:ascii="宋体" w:hAnsi="宋体" w:cs="Calibri"/>
          <w:color w:val="000000"/>
          <w:kern w:val="0"/>
          <w:sz w:val="22"/>
        </w:rPr>
        <w:t>五</w:t>
      </w:r>
      <w:r>
        <w:rPr>
          <w:rFonts w:ascii="宋体" w:hAnsi="宋体" w:cs="Calibri"/>
          <w:color w:val="000000"/>
          <w:kern w:val="0"/>
          <w:sz w:val="22"/>
        </w:rPr>
        <w:t>章“评标方法及标准”没有规定的方法、评审因素和标准，不作为评标依据。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73" w:name="_Toc24237"/>
      <w:r>
        <w:rPr>
          <w:rFonts w:ascii="宋体" w:hAnsi="宋体" w:cs="Calibri"/>
          <w:b/>
          <w:bCs/>
          <w:kern w:val="0"/>
          <w:sz w:val="22"/>
        </w:rPr>
        <w:t>7.合同授予</w:t>
      </w:r>
      <w:bookmarkEnd w:id="73"/>
    </w:p>
    <w:p>
      <w:pPr>
        <w:autoSpaceDE w:val="0"/>
        <w:autoSpaceDN w:val="0"/>
        <w:adjustRightInd w:val="0"/>
        <w:snapToGrid w:val="0"/>
        <w:spacing w:line="360" w:lineRule="exact"/>
        <w:rPr>
          <w:rFonts w:ascii="宋体" w:hAnsi="宋体" w:cs="Calibri"/>
          <w:b/>
          <w:bCs/>
          <w:kern w:val="0"/>
          <w:sz w:val="22"/>
        </w:rPr>
      </w:pPr>
      <w:bookmarkStart w:id="74" w:name="_Toc18809"/>
      <w:r>
        <w:rPr>
          <w:rFonts w:ascii="宋体" w:hAnsi="宋体" w:cs="Calibri"/>
          <w:b/>
          <w:bCs/>
          <w:kern w:val="0"/>
          <w:sz w:val="22"/>
        </w:rPr>
        <w:t>7.1 定标方式</w:t>
      </w:r>
      <w:bookmarkEnd w:id="74"/>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75" w:name="_Toc14573"/>
      <w:r>
        <w:rPr>
          <w:rFonts w:ascii="宋体" w:hAnsi="宋体" w:cs="Calibri"/>
          <w:b/>
          <w:bCs/>
          <w:kern w:val="0"/>
          <w:sz w:val="22"/>
        </w:rPr>
        <w:t>7.2 中标通知</w:t>
      </w:r>
      <w:bookmarkEnd w:id="75"/>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76" w:name="_Toc27132"/>
      <w:bookmarkStart w:id="77" w:name="_Toc27581"/>
      <w:r>
        <w:rPr>
          <w:rFonts w:ascii="宋体" w:hAnsi="宋体" w:cs="Calibri"/>
          <w:b/>
          <w:bCs/>
          <w:kern w:val="0"/>
          <w:sz w:val="22"/>
        </w:rPr>
        <w:t>7.3 履约</w:t>
      </w:r>
      <w:r>
        <w:rPr>
          <w:rFonts w:hint="eastAsia" w:ascii="宋体" w:hAnsi="宋体" w:cs="Calibri"/>
          <w:b/>
          <w:bCs/>
          <w:kern w:val="0"/>
          <w:sz w:val="22"/>
        </w:rPr>
        <w:t>保证金</w:t>
      </w:r>
      <w:bookmarkEnd w:id="76"/>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7.4 签订合同</w:t>
      </w:r>
      <w:bookmarkEnd w:id="77"/>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sz w:val="22"/>
        </w:rPr>
        <w:t>7</w:t>
      </w:r>
      <w:bookmarkStart w:id="78" w:name="_Toc219809801"/>
      <w:bookmarkStart w:id="79" w:name="_Toc220123241"/>
      <w:bookmarkStart w:id="80" w:name="_Toc11806"/>
      <w:r>
        <w:rPr>
          <w:rFonts w:ascii="宋体" w:hAnsi="宋体" w:cs="Calibri"/>
          <w:color w:val="000000"/>
          <w:kern w:val="0"/>
          <w:sz w:val="22"/>
        </w:rPr>
        <w:t>.4.1招标人和中标人应当自中标通知书发出之日起30个工作日内订立书面合同（合同条款按第</w:t>
      </w:r>
      <w:r>
        <w:rPr>
          <w:rFonts w:hint="eastAsia" w:ascii="宋体" w:hAnsi="宋体" w:cs="Calibri"/>
          <w:color w:val="000000"/>
          <w:kern w:val="0"/>
          <w:sz w:val="22"/>
        </w:rPr>
        <w:t>四</w:t>
      </w:r>
      <w:r>
        <w:rPr>
          <w:rFonts w:ascii="宋体" w:hAnsi="宋体" w:cs="Calibri"/>
          <w:color w:val="000000"/>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color w:val="000000"/>
          <w:kern w:val="0"/>
          <w:sz w:val="22"/>
        </w:rPr>
        <w:t>）。中标人无正当理由拒签协议的，招标人取消其中标资格，其投标保证金不予退还；给招标人造成的损失超过投标保证金数额的，中标人还应当对超过部分予以赔偿。</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eastAsiaTheme="minorEastAsia"/>
          <w:b/>
          <w:color w:val="000000"/>
          <w:kern w:val="0"/>
          <w:sz w:val="22"/>
        </w:rPr>
      </w:pPr>
      <w:r>
        <w:rPr>
          <w:rFonts w:hint="eastAsia" w:cs="Calibri" w:asciiTheme="minorEastAsia" w:hAnsiTheme="minorEastAsia" w:eastAsiaTheme="minorEastAsia"/>
          <w:color w:val="000000"/>
          <w:kern w:val="0"/>
          <w:sz w:val="22"/>
        </w:rPr>
        <w:t xml:space="preserve">7.4.3 </w:t>
      </w:r>
      <w:r>
        <w:rPr>
          <w:rFonts w:hint="eastAsia" w:cs="Calibri" w:asciiTheme="minorEastAsia" w:hAnsiTheme="minorEastAsia" w:eastAsiaTheme="minorEastAsia"/>
          <w:b/>
          <w:color w:val="000000"/>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hint="eastAsia" w:cs="Calibri" w:asciiTheme="minorEastAsia" w:hAnsiTheme="minorEastAsia" w:eastAsiaTheme="minorEastAsia"/>
          <w:color w:val="000000"/>
          <w:kern w:val="0"/>
          <w:sz w:val="22"/>
        </w:rPr>
        <w:t xml:space="preserve">7.4.4 </w:t>
      </w:r>
      <w:r>
        <w:rPr>
          <w:rFonts w:hint="eastAsia" w:cs="Calibri" w:asciiTheme="minorEastAsia" w:hAnsiTheme="minorEastAsia" w:eastAsia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78"/>
      <w:bookmarkEnd w:id="79"/>
      <w:bookmarkEnd w:id="80"/>
    </w:p>
    <w:p>
      <w:pPr>
        <w:autoSpaceDE w:val="0"/>
        <w:autoSpaceDN w:val="0"/>
        <w:adjustRightInd w:val="0"/>
        <w:snapToGrid w:val="0"/>
        <w:spacing w:line="360" w:lineRule="exact"/>
        <w:rPr>
          <w:rFonts w:ascii="宋体" w:hAnsi="宋体" w:cs="Calibri"/>
          <w:b/>
          <w:bCs/>
          <w:kern w:val="0"/>
          <w:sz w:val="22"/>
        </w:rPr>
      </w:pPr>
      <w:bookmarkStart w:id="81" w:name="_Toc219809802"/>
      <w:bookmarkStart w:id="82" w:name="_Toc220123242"/>
      <w:bookmarkStart w:id="83" w:name="_Toc15553"/>
      <w:r>
        <w:rPr>
          <w:rFonts w:ascii="宋体" w:hAnsi="宋体" w:cs="Calibri"/>
          <w:b/>
          <w:bCs/>
          <w:kern w:val="0"/>
          <w:sz w:val="22"/>
        </w:rPr>
        <w:t>8.1 重新招标</w:t>
      </w:r>
      <w:bookmarkEnd w:id="81"/>
      <w:bookmarkEnd w:id="82"/>
      <w:bookmarkEnd w:id="83"/>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有下列情形之一的，招标人将重新招标；</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（1）投标截止时间止，投标人少于3个的；</w:t>
      </w:r>
    </w:p>
    <w:p>
      <w:pPr>
        <w:adjustRightInd w:val="0"/>
        <w:snapToGrid w:val="0"/>
        <w:spacing w:line="360" w:lineRule="exact"/>
        <w:ind w:firstLine="440" w:firstLineChars="200"/>
        <w:rPr>
          <w:rFonts w:ascii="宋体" w:hAnsi="宋体" w:cs="Calibri"/>
          <w:color w:val="000000"/>
          <w:kern w:val="0"/>
          <w:sz w:val="22"/>
        </w:rPr>
      </w:pPr>
      <w:r>
        <w:rPr>
          <w:rFonts w:hint="eastAsia" w:ascii="宋体" w:hAnsi="宋体" w:cs="Calibri"/>
          <w:color w:val="000000"/>
          <w:kern w:val="0"/>
          <w:sz w:val="22"/>
        </w:rPr>
        <w:t>（2）</w:t>
      </w:r>
      <w:r>
        <w:rPr>
          <w:rFonts w:hint="eastAsia" w:ascii="宋体" w:hAnsi="宋体"/>
          <w:b/>
          <w:bCs/>
          <w:sz w:val="22"/>
        </w:rPr>
        <w:t>所有投标人的报价均偏高，招标人无法接受的；</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kern w:val="0"/>
          <w:sz w:val="22"/>
        </w:rPr>
        <w:t>（</w:t>
      </w:r>
      <w:r>
        <w:rPr>
          <w:rFonts w:hint="eastAsia" w:ascii="宋体" w:hAnsi="宋体" w:cs="Calibri"/>
          <w:color w:val="000000"/>
          <w:kern w:val="0"/>
          <w:sz w:val="22"/>
        </w:rPr>
        <w:t>3</w:t>
      </w:r>
      <w:r>
        <w:rPr>
          <w:rFonts w:ascii="宋体" w:hAnsi="宋体" w:cs="Calibri"/>
          <w:color w:val="000000"/>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84" w:name="_Toc219809803"/>
      <w:bookmarkStart w:id="85" w:name="_Toc220123243"/>
      <w:bookmarkStart w:id="86" w:name="_Toc18806"/>
      <w:r>
        <w:rPr>
          <w:rFonts w:ascii="宋体" w:hAnsi="宋体" w:cs="Calibri"/>
          <w:b/>
          <w:bCs/>
          <w:kern w:val="0"/>
          <w:sz w:val="22"/>
        </w:rPr>
        <w:t>8.2 不再招标</w:t>
      </w:r>
      <w:bookmarkEnd w:id="84"/>
      <w:bookmarkEnd w:id="85"/>
      <w:bookmarkEnd w:id="86"/>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87" w:name="_Toc215941254"/>
      <w:bookmarkStart w:id="88" w:name="_Toc219809804"/>
      <w:bookmarkStart w:id="89" w:name="_Toc220123244"/>
      <w:bookmarkStart w:id="90" w:name="_Toc2986"/>
      <w:r>
        <w:rPr>
          <w:rFonts w:ascii="宋体" w:hAnsi="宋体" w:cs="Calibri"/>
          <w:b/>
          <w:bCs/>
          <w:kern w:val="0"/>
          <w:sz w:val="22"/>
        </w:rPr>
        <w:t>9.纪律和监督</w:t>
      </w:r>
      <w:bookmarkEnd w:id="87"/>
      <w:bookmarkEnd w:id="88"/>
      <w:bookmarkEnd w:id="89"/>
      <w:bookmarkEnd w:id="90"/>
    </w:p>
    <w:p>
      <w:pPr>
        <w:autoSpaceDE w:val="0"/>
        <w:autoSpaceDN w:val="0"/>
        <w:adjustRightInd w:val="0"/>
        <w:snapToGrid w:val="0"/>
        <w:spacing w:line="360" w:lineRule="exact"/>
        <w:rPr>
          <w:rFonts w:ascii="宋体" w:hAnsi="宋体" w:cs="Calibri"/>
          <w:b/>
          <w:bCs/>
          <w:kern w:val="0"/>
          <w:sz w:val="22"/>
        </w:rPr>
      </w:pPr>
      <w:bookmarkStart w:id="91" w:name="_Toc219809805"/>
      <w:bookmarkStart w:id="92" w:name="_Toc220123245"/>
      <w:bookmarkStart w:id="93" w:name="_Toc5509"/>
      <w:r>
        <w:rPr>
          <w:rFonts w:ascii="宋体" w:hAnsi="宋体" w:cs="Calibri"/>
          <w:b/>
          <w:bCs/>
          <w:kern w:val="0"/>
          <w:sz w:val="22"/>
        </w:rPr>
        <w:t>9.1 对招标人的纪律要求</w:t>
      </w:r>
      <w:bookmarkEnd w:id="91"/>
      <w:bookmarkEnd w:id="92"/>
      <w:bookmarkEnd w:id="93"/>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94" w:name="_Toc219809806"/>
      <w:bookmarkStart w:id="95" w:name="_Toc220123246"/>
      <w:bookmarkStart w:id="96" w:name="_Toc10820"/>
      <w:r>
        <w:rPr>
          <w:rFonts w:ascii="宋体" w:hAnsi="宋体" w:cs="Calibri"/>
          <w:b/>
          <w:bCs/>
          <w:kern w:val="0"/>
          <w:sz w:val="22"/>
        </w:rPr>
        <w:t>9.2 对投标人的纪律要求</w:t>
      </w:r>
      <w:bookmarkEnd w:id="94"/>
      <w:bookmarkEnd w:id="95"/>
      <w:bookmarkEnd w:id="96"/>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97" w:name="_Toc219809807"/>
      <w:bookmarkStart w:id="98" w:name="_Toc220123247"/>
      <w:bookmarkStart w:id="99" w:name="_Toc10756"/>
      <w:r>
        <w:rPr>
          <w:rFonts w:ascii="宋体" w:hAnsi="宋体" w:cs="Calibri"/>
          <w:b/>
          <w:bCs/>
          <w:kern w:val="0"/>
          <w:sz w:val="22"/>
        </w:rPr>
        <w:t>9.3 对评标委员会成员的纪律要求</w:t>
      </w:r>
      <w:bookmarkEnd w:id="97"/>
      <w:bookmarkEnd w:id="98"/>
      <w:bookmarkEnd w:id="99"/>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color w:val="000000"/>
          <w:sz w:val="22"/>
        </w:rPr>
        <w:t>五</w:t>
      </w:r>
      <w:r>
        <w:rPr>
          <w:rFonts w:ascii="宋体" w:hAnsi="宋体" w:cs="Calibri"/>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100" w:name="_Toc219809808"/>
      <w:bookmarkStart w:id="101" w:name="_Toc220123248"/>
      <w:bookmarkStart w:id="102" w:name="_Toc12792"/>
      <w:r>
        <w:rPr>
          <w:rFonts w:ascii="宋体" w:hAnsi="宋体" w:cs="Calibri"/>
          <w:b/>
          <w:bCs/>
          <w:kern w:val="0"/>
          <w:sz w:val="22"/>
        </w:rPr>
        <w:t>9.4 对评标活动有关的工作人员的纪律要求</w:t>
      </w:r>
      <w:bookmarkEnd w:id="100"/>
      <w:bookmarkEnd w:id="101"/>
      <w:bookmarkEnd w:id="102"/>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103" w:name="_Toc219809809"/>
      <w:bookmarkStart w:id="104" w:name="_Toc220123249"/>
      <w:bookmarkStart w:id="105" w:name="_Toc239"/>
      <w:r>
        <w:rPr>
          <w:rFonts w:ascii="宋体" w:hAnsi="宋体" w:cs="Calibri"/>
          <w:b/>
          <w:bCs/>
          <w:kern w:val="0"/>
          <w:sz w:val="22"/>
        </w:rPr>
        <w:t>9.5 投诉</w:t>
      </w:r>
      <w:bookmarkEnd w:id="103"/>
      <w:bookmarkEnd w:id="104"/>
      <w:bookmarkEnd w:id="105"/>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106" w:name="_Toc10817"/>
      <w:r>
        <w:rPr>
          <w:rFonts w:ascii="宋体" w:hAnsi="宋体" w:cs="Calibri"/>
          <w:b/>
          <w:bCs/>
          <w:kern w:val="0"/>
          <w:sz w:val="22"/>
        </w:rPr>
        <w:t>10. 需要补充的其他内容</w:t>
      </w:r>
      <w:bookmarkEnd w:id="106"/>
    </w:p>
    <w:p>
      <w:pPr>
        <w:autoSpaceDE w:val="0"/>
        <w:autoSpaceDN w:val="0"/>
        <w:adjustRightInd w:val="0"/>
        <w:snapToGrid w:val="0"/>
        <w:spacing w:line="360" w:lineRule="exact"/>
        <w:ind w:firstLine="440" w:firstLineChars="200"/>
        <w:jc w:val="left"/>
        <w:rPr>
          <w:rFonts w:ascii="宋体" w:hAnsi="宋体" w:cs="Calibri"/>
          <w:color w:val="000000"/>
          <w:sz w:val="22"/>
        </w:rPr>
      </w:pPr>
      <w:r>
        <w:rPr>
          <w:rFonts w:ascii="宋体" w:hAnsi="宋体" w:cs="Calibri"/>
          <w:color w:val="000000"/>
          <w:sz w:val="22"/>
        </w:rPr>
        <w:t>需要补充的其他内容：见投标人须知前附表。</w:t>
      </w:r>
    </w:p>
    <w:p>
      <w:pPr>
        <w:pStyle w:val="2"/>
        <w:snapToGrid w:val="0"/>
        <w:spacing w:before="0" w:after="0" w:line="360" w:lineRule="exact"/>
        <w:jc w:val="center"/>
        <w:rPr>
          <w:rFonts w:ascii="宋体" w:hAnsi="宋体"/>
          <w:sz w:val="22"/>
          <w:szCs w:val="22"/>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p>
    <w:p>
      <w:pPr>
        <w:spacing w:line="440" w:lineRule="exact"/>
        <w:jc w:val="center"/>
        <w:rPr>
          <w:rFonts w:ascii="仿宋_GB2312" w:hAnsi="宋体" w:eastAsia="仿宋_GB2312"/>
          <w:b/>
          <w:sz w:val="28"/>
          <w:szCs w:val="28"/>
        </w:rPr>
      </w:pPr>
      <w:bookmarkStart w:id="107" w:name="_Toc223327527"/>
      <w:bookmarkStart w:id="108" w:name="_Toc213036227"/>
    </w:p>
    <w:p>
      <w:pPr>
        <w:pStyle w:val="2"/>
        <w:spacing w:before="0" w:after="0" w:line="360" w:lineRule="auto"/>
        <w:jc w:val="center"/>
        <w:rPr>
          <w:rFonts w:ascii="Calibri" w:hAnsi="Calibri" w:eastAsia="黑体" w:cs="Calibri"/>
          <w:kern w:val="0"/>
          <w:sz w:val="32"/>
        </w:rPr>
      </w:pPr>
      <w:bookmarkStart w:id="109" w:name="_Toc448002985"/>
      <w:r>
        <w:rPr>
          <w:rFonts w:ascii="Calibri" w:hAnsi="Calibri" w:eastAsia="黑体" w:cs="Calibri"/>
          <w:kern w:val="0"/>
          <w:sz w:val="32"/>
        </w:rPr>
        <w:t>第</w:t>
      </w:r>
      <w:r>
        <w:rPr>
          <w:rFonts w:hint="eastAsia" w:ascii="Calibri" w:hAnsi="Calibri" w:eastAsia="黑体" w:cs="Calibri"/>
          <w:kern w:val="0"/>
          <w:sz w:val="32"/>
        </w:rPr>
        <w:t>三</w:t>
      </w:r>
      <w:r>
        <w:rPr>
          <w:rFonts w:ascii="Calibri" w:hAnsi="Calibri" w:eastAsia="黑体" w:cs="Calibri"/>
          <w:kern w:val="0"/>
          <w:sz w:val="32"/>
        </w:rPr>
        <w:t xml:space="preserve">章  </w:t>
      </w:r>
      <w:bookmarkEnd w:id="107"/>
      <w:bookmarkEnd w:id="108"/>
      <w:r>
        <w:rPr>
          <w:rFonts w:hint="eastAsia" w:ascii="Calibri" w:hAnsi="Calibri" w:eastAsia="黑体" w:cs="Calibri"/>
          <w:kern w:val="0"/>
          <w:sz w:val="32"/>
        </w:rPr>
        <w:t>维修服务技术标准及要求</w:t>
      </w:r>
      <w:bookmarkEnd w:id="109"/>
    </w:p>
    <w:p>
      <w:pPr>
        <w:numPr>
          <w:ilvl w:val="0"/>
          <w:numId w:val="1"/>
        </w:numPr>
        <w:spacing w:line="360" w:lineRule="auto"/>
        <w:rPr>
          <w:rFonts w:ascii="宋体" w:hAnsi="宋体"/>
          <w:sz w:val="22"/>
        </w:rPr>
      </w:pPr>
      <w:r>
        <w:rPr>
          <w:rFonts w:hint="eastAsia" w:ascii="宋体" w:hAnsi="宋体"/>
          <w:sz w:val="22"/>
        </w:rPr>
        <w:t>民航浙A609（JBT-Tempest TP11012）除冰车概况</w:t>
      </w:r>
    </w:p>
    <w:p>
      <w:pPr>
        <w:spacing w:line="360" w:lineRule="auto"/>
        <w:ind w:left="1" w:firstLine="279" w:firstLineChars="127"/>
        <w:rPr>
          <w:rFonts w:ascii="宋体" w:hAnsi="宋体"/>
          <w:sz w:val="22"/>
        </w:rPr>
      </w:pPr>
      <w:r>
        <w:rPr>
          <w:rFonts w:hint="eastAsia" w:ascii="宋体" w:hAnsi="宋体"/>
          <w:sz w:val="22"/>
        </w:rPr>
        <w:t>除冰车民航浙A609,品牌：JBT（美国）,产品型号：Tempest TP11012,该型除冰车底盘、上装机组共用一个发动机，车辆底盘：自制，发动机品牌：康明斯QSB4.5C，发动机序列号：73114189。该车于2011年5月投入使用，至今尚无大修记录.由于作业环境恶劣，导致该车部件工况下降，故障出现频率上升。主要表现在以下几个方面：。</w:t>
      </w:r>
    </w:p>
    <w:p>
      <w:pPr>
        <w:pStyle w:val="123"/>
        <w:numPr>
          <w:ilvl w:val="0"/>
          <w:numId w:val="2"/>
        </w:numPr>
        <w:spacing w:before="0" w:beforeAutospacing="0" w:after="0" w:afterAutospacing="0" w:line="240" w:lineRule="auto"/>
        <w:ind w:firstLineChars="0"/>
        <w:rPr>
          <w:rFonts w:ascii="宋体" w:hAnsi="宋体"/>
          <w:sz w:val="22"/>
        </w:rPr>
      </w:pPr>
      <w:r>
        <w:rPr>
          <w:rFonts w:hint="eastAsia" w:ascii="宋体" w:hAnsi="宋体"/>
          <w:sz w:val="22"/>
        </w:rPr>
        <w:t>该型除冰车为自制底盘，底盘、上装机组共用一台发动机，除/防冰工作时发动机需求负荷较大，因长期作业工况恶劣，发动机组件磨损、锈蚀严重，油路、电路故障多，功率低，需进行发动机大修，提高发动机功率确保整车动力需求；</w:t>
      </w:r>
    </w:p>
    <w:p>
      <w:pPr>
        <w:ind w:firstLine="440" w:firstLineChars="200"/>
        <w:rPr>
          <w:rFonts w:ascii="宋体" w:hAnsi="宋体"/>
          <w:sz w:val="22"/>
        </w:rPr>
      </w:pPr>
    </w:p>
    <w:p>
      <w:pPr>
        <w:pStyle w:val="123"/>
        <w:numPr>
          <w:ilvl w:val="0"/>
          <w:numId w:val="2"/>
        </w:numPr>
        <w:spacing w:before="0" w:beforeAutospacing="0" w:after="0" w:afterAutospacing="0" w:line="240" w:lineRule="auto"/>
        <w:ind w:firstLineChars="0"/>
        <w:rPr>
          <w:rFonts w:ascii="宋体" w:hAnsi="宋体"/>
          <w:sz w:val="22"/>
        </w:rPr>
      </w:pPr>
      <w:r>
        <w:rPr>
          <w:rFonts w:hint="eastAsia" w:ascii="宋体" w:hAnsi="宋体"/>
          <w:sz w:val="22"/>
        </w:rPr>
        <w:t>液压系统整体工况降低，液压泵、阀体、管路、液压油缸等组件出现渗漏,除冰工作大臂组件锈蚀较重，工作臂时常出现卡阻，除冰工作臂应急控制总成故障频发；</w:t>
      </w:r>
    </w:p>
    <w:p>
      <w:pPr>
        <w:pStyle w:val="123"/>
        <w:numPr>
          <w:ilvl w:val="0"/>
          <w:numId w:val="2"/>
        </w:numPr>
        <w:spacing w:before="0" w:beforeAutospacing="0" w:after="0" w:afterAutospacing="0" w:line="360" w:lineRule="auto"/>
        <w:ind w:firstLineChars="0"/>
        <w:jc w:val="left"/>
        <w:rPr>
          <w:rFonts w:ascii="宋体" w:hAnsi="宋体"/>
          <w:sz w:val="22"/>
        </w:rPr>
      </w:pPr>
      <w:r>
        <w:rPr>
          <w:rFonts w:hint="eastAsia" w:ascii="宋体" w:hAnsi="宋体"/>
          <w:sz w:val="22"/>
        </w:rPr>
        <w:t xml:space="preserve">电器控制系统组件老化导致除冰液加热系统、操作组件等故障频发，除冰效率下降。加热系统重要组件加热锅炉，电极因长期工作，积碳严重，电控元件性能衰减，流量计、进气开关总成、温控系统均时常出现故障；导致安全性能降低； </w:t>
      </w:r>
    </w:p>
    <w:p>
      <w:pPr>
        <w:pStyle w:val="123"/>
        <w:numPr>
          <w:ilvl w:val="0"/>
          <w:numId w:val="2"/>
        </w:numPr>
        <w:spacing w:before="0" w:beforeAutospacing="0" w:after="0" w:afterAutospacing="0" w:line="240" w:lineRule="auto"/>
        <w:ind w:firstLineChars="0"/>
        <w:rPr>
          <w:rFonts w:ascii="宋体" w:hAnsi="宋体"/>
          <w:sz w:val="22"/>
        </w:rPr>
      </w:pPr>
      <w:r>
        <w:rPr>
          <w:rFonts w:hint="eastAsia" w:ascii="宋体" w:hAnsi="宋体"/>
          <w:sz w:val="22"/>
        </w:rPr>
        <w:t>车辆行驶系统、制动系统部件老化，安全性能降低。由于除冰车满负荷工作时，载重质量较大，作业时均为高空作业，车体距航空器距离相对较近，定点停车到位率要求高，提高转向系统、制动系统性能优良是安全作业的保障；</w:t>
      </w:r>
    </w:p>
    <w:p>
      <w:pPr>
        <w:pStyle w:val="123"/>
        <w:numPr>
          <w:ilvl w:val="0"/>
          <w:numId w:val="2"/>
        </w:numPr>
        <w:spacing w:before="0" w:beforeAutospacing="0" w:after="0" w:afterAutospacing="0" w:line="240" w:lineRule="auto"/>
        <w:ind w:firstLineChars="0"/>
        <w:rPr>
          <w:rFonts w:ascii="宋体" w:hAnsi="宋体"/>
          <w:sz w:val="22"/>
        </w:rPr>
      </w:pPr>
      <w:r>
        <w:rPr>
          <w:rFonts w:hint="eastAsia" w:ascii="宋体" w:hAnsi="宋体"/>
          <w:sz w:val="22"/>
        </w:rPr>
        <w:t>除/防冰液水路供给系统组件老化渗漏。供液泵组件老化、管路老化、渗漏导致供液压力不足，电路、电磁元件功能衰减故障频发，导致无法正常除冰作业；</w:t>
      </w:r>
    </w:p>
    <w:p>
      <w:pPr>
        <w:pStyle w:val="123"/>
        <w:numPr>
          <w:ilvl w:val="0"/>
          <w:numId w:val="2"/>
        </w:numPr>
        <w:spacing w:before="0" w:beforeAutospacing="0" w:after="0" w:afterAutospacing="0" w:line="240" w:lineRule="auto"/>
        <w:ind w:firstLineChars="0"/>
        <w:rPr>
          <w:rFonts w:ascii="宋体" w:hAnsi="宋体"/>
          <w:sz w:val="22"/>
        </w:rPr>
      </w:pPr>
      <w:r>
        <w:rPr>
          <w:rFonts w:hint="eastAsia" w:ascii="宋体" w:hAnsi="宋体"/>
          <w:sz w:val="22"/>
        </w:rPr>
        <w:t>部分仪表、传感器偏差。无法正确掌握车辆信息；</w:t>
      </w:r>
    </w:p>
    <w:p>
      <w:pPr>
        <w:pStyle w:val="123"/>
        <w:numPr>
          <w:ilvl w:val="0"/>
          <w:numId w:val="2"/>
        </w:numPr>
        <w:spacing w:before="0" w:beforeAutospacing="0" w:after="0" w:afterAutospacing="0" w:line="240" w:lineRule="auto"/>
        <w:ind w:firstLineChars="0"/>
        <w:rPr>
          <w:rFonts w:ascii="宋体" w:hAnsi="宋体"/>
          <w:sz w:val="22"/>
        </w:rPr>
      </w:pPr>
      <w:r>
        <w:rPr>
          <w:rFonts w:hint="eastAsia" w:ascii="宋体" w:hAnsi="宋体"/>
          <w:sz w:val="22"/>
        </w:rPr>
        <w:t>PIC电脑程序控制系统元件性能衰减。时常出现错误编码，导致机组无法进入正常工况；</w:t>
      </w:r>
    </w:p>
    <w:p>
      <w:pPr>
        <w:pStyle w:val="123"/>
        <w:numPr>
          <w:ilvl w:val="0"/>
          <w:numId w:val="2"/>
        </w:numPr>
        <w:spacing w:before="0" w:beforeAutospacing="0" w:after="0" w:afterAutospacing="0" w:line="360" w:lineRule="auto"/>
        <w:ind w:firstLineChars="0"/>
        <w:jc w:val="left"/>
        <w:rPr>
          <w:rFonts w:ascii="宋体" w:hAnsi="宋体"/>
          <w:sz w:val="22"/>
        </w:rPr>
      </w:pPr>
      <w:r>
        <w:rPr>
          <w:rFonts w:hint="eastAsia" w:ascii="宋体" w:hAnsi="宋体"/>
          <w:sz w:val="22"/>
        </w:rPr>
        <w:t>除冰车外观油多处漆脱、车辆外貌不良。</w:t>
      </w:r>
    </w:p>
    <w:p>
      <w:pPr>
        <w:jc w:val="left"/>
        <w:rPr>
          <w:rFonts w:ascii="宋体" w:hAnsi="宋体"/>
          <w:sz w:val="22"/>
        </w:rPr>
      </w:pPr>
      <w:r>
        <w:rPr>
          <w:rFonts w:hint="eastAsia" w:ascii="宋体" w:hAnsi="宋体"/>
          <w:sz w:val="22"/>
        </w:rPr>
        <w:t>9.除/防冰液箱因多年使用需进行维护、清洁，确保除/防冰液储存环境良好；</w:t>
      </w:r>
    </w:p>
    <w:p>
      <w:pPr>
        <w:spacing w:line="360" w:lineRule="auto"/>
        <w:ind w:firstLine="330" w:firstLineChars="150"/>
        <w:rPr>
          <w:rFonts w:ascii="宋体" w:hAnsi="宋体"/>
          <w:sz w:val="22"/>
        </w:rPr>
      </w:pPr>
      <w:r>
        <w:rPr>
          <w:rFonts w:hint="eastAsia" w:ascii="宋体" w:hAnsi="宋体"/>
          <w:sz w:val="22"/>
        </w:rPr>
        <w:t>二、维修项目及技术要求：</w:t>
      </w:r>
    </w:p>
    <w:p>
      <w:pPr>
        <w:spacing w:line="360" w:lineRule="auto"/>
        <w:jc w:val="left"/>
        <w:rPr>
          <w:rFonts w:ascii="宋体" w:hAnsi="宋体"/>
          <w:sz w:val="22"/>
        </w:rPr>
      </w:pPr>
      <w:r>
        <w:rPr>
          <w:rFonts w:hint="eastAsia" w:ascii="宋体" w:hAnsi="宋体"/>
          <w:sz w:val="22"/>
        </w:rPr>
        <w:t>（一）、刹车系统二级维护保养</w:t>
      </w:r>
    </w:p>
    <w:p>
      <w:pPr>
        <w:spacing w:line="360" w:lineRule="auto"/>
        <w:jc w:val="left"/>
        <w:rPr>
          <w:rFonts w:ascii="宋体" w:hAnsi="宋体"/>
          <w:sz w:val="22"/>
        </w:rPr>
      </w:pPr>
      <w:r>
        <w:rPr>
          <w:rFonts w:hint="eastAsia" w:ascii="宋体" w:hAnsi="宋体"/>
          <w:sz w:val="22"/>
        </w:rPr>
        <w:t xml:space="preserve">       1、检查刹车片及刹车毂；</w:t>
      </w:r>
    </w:p>
    <w:p>
      <w:pPr>
        <w:numPr>
          <w:ilvl w:val="0"/>
          <w:numId w:val="3"/>
        </w:numPr>
        <w:spacing w:line="360" w:lineRule="auto"/>
        <w:jc w:val="left"/>
        <w:rPr>
          <w:rFonts w:ascii="宋体" w:hAnsi="宋体"/>
          <w:sz w:val="22"/>
        </w:rPr>
      </w:pPr>
      <w:r>
        <w:rPr>
          <w:rFonts w:hint="eastAsia" w:ascii="宋体" w:hAnsi="宋体"/>
          <w:sz w:val="22"/>
        </w:rPr>
        <w:t>更换轴头润滑脂；</w:t>
      </w:r>
    </w:p>
    <w:p>
      <w:pPr>
        <w:numPr>
          <w:ilvl w:val="0"/>
          <w:numId w:val="3"/>
        </w:numPr>
        <w:spacing w:line="360" w:lineRule="auto"/>
        <w:jc w:val="left"/>
        <w:rPr>
          <w:rFonts w:ascii="宋体" w:hAnsi="宋体"/>
          <w:sz w:val="22"/>
        </w:rPr>
      </w:pPr>
      <w:r>
        <w:rPr>
          <w:rFonts w:hint="eastAsia" w:ascii="宋体" w:hAnsi="宋体"/>
          <w:sz w:val="22"/>
        </w:rPr>
        <w:t>更换顶窗雨刷片；</w:t>
      </w:r>
    </w:p>
    <w:p>
      <w:pPr>
        <w:numPr>
          <w:ilvl w:val="0"/>
          <w:numId w:val="3"/>
        </w:numPr>
        <w:spacing w:line="360" w:lineRule="auto"/>
        <w:jc w:val="left"/>
        <w:rPr>
          <w:rFonts w:ascii="宋体" w:hAnsi="宋体"/>
          <w:sz w:val="22"/>
        </w:rPr>
      </w:pPr>
      <w:r>
        <w:rPr>
          <w:rFonts w:hint="eastAsia" w:ascii="宋体" w:hAnsi="宋体"/>
          <w:sz w:val="22"/>
        </w:rPr>
        <w:t>检查主传动轴、前后副传动轴十字节，如有松旷更换；</w:t>
      </w:r>
    </w:p>
    <w:p>
      <w:pPr>
        <w:numPr>
          <w:ilvl w:val="0"/>
          <w:numId w:val="3"/>
        </w:numPr>
        <w:spacing w:line="360" w:lineRule="auto"/>
        <w:jc w:val="left"/>
        <w:rPr>
          <w:rFonts w:ascii="宋体" w:hAnsi="宋体"/>
          <w:sz w:val="22"/>
        </w:rPr>
      </w:pPr>
      <w:r>
        <w:rPr>
          <w:rFonts w:hint="eastAsia" w:ascii="宋体" w:hAnsi="宋体"/>
          <w:sz w:val="22"/>
        </w:rPr>
        <w:t>检查变速箱、前泵机脚螺栓并紧固；</w:t>
      </w:r>
    </w:p>
    <w:p>
      <w:pPr>
        <w:numPr>
          <w:ilvl w:val="0"/>
          <w:numId w:val="3"/>
        </w:numPr>
        <w:spacing w:line="360" w:lineRule="auto"/>
        <w:jc w:val="left"/>
        <w:rPr>
          <w:rFonts w:ascii="宋体" w:hAnsi="宋体"/>
          <w:sz w:val="22"/>
        </w:rPr>
      </w:pPr>
      <w:r>
        <w:rPr>
          <w:rFonts w:hint="eastAsia" w:ascii="宋体" w:hAnsi="宋体"/>
          <w:sz w:val="22"/>
        </w:rPr>
        <w:t>更换差速器油。</w:t>
      </w:r>
    </w:p>
    <w:p>
      <w:pPr>
        <w:spacing w:line="360" w:lineRule="auto"/>
        <w:jc w:val="left"/>
        <w:rPr>
          <w:rFonts w:ascii="宋体" w:hAnsi="宋体"/>
          <w:sz w:val="22"/>
        </w:rPr>
      </w:pPr>
      <w:r>
        <w:rPr>
          <w:rFonts w:hint="eastAsia" w:ascii="宋体" w:hAnsi="宋体"/>
          <w:sz w:val="22"/>
        </w:rPr>
        <w:t>（二）、发动机大修</w:t>
      </w:r>
    </w:p>
    <w:p>
      <w:pPr>
        <w:spacing w:line="360" w:lineRule="auto"/>
        <w:jc w:val="left"/>
        <w:rPr>
          <w:rFonts w:ascii="宋体" w:hAnsi="宋体"/>
          <w:sz w:val="22"/>
        </w:rPr>
      </w:pPr>
      <w:r>
        <w:rPr>
          <w:rFonts w:hint="eastAsia" w:ascii="宋体" w:hAnsi="宋体"/>
          <w:sz w:val="22"/>
        </w:rPr>
        <w:t xml:space="preserve">    1、发动机大修，更换严重磨损及老化部件，使发动机启动平顺，怠速和高速转速稳定，功率输出达到新发动机设计功率的 90%以上，提升发动机工作的可靠性，保障除冰作业的顺利开展</w:t>
      </w:r>
    </w:p>
    <w:p>
      <w:pPr>
        <w:spacing w:line="360" w:lineRule="auto"/>
        <w:jc w:val="left"/>
        <w:rPr>
          <w:rFonts w:ascii="宋体" w:hAnsi="宋体"/>
          <w:sz w:val="22"/>
        </w:rPr>
      </w:pPr>
      <w:r>
        <w:rPr>
          <w:rFonts w:hint="eastAsia" w:ascii="宋体" w:hAnsi="宋体"/>
          <w:sz w:val="22"/>
        </w:rPr>
        <w:t>（三）、电气系统维修</w:t>
      </w:r>
    </w:p>
    <w:p>
      <w:pPr>
        <w:spacing w:line="360" w:lineRule="auto"/>
        <w:ind w:firstLine="440" w:firstLineChars="200"/>
        <w:jc w:val="left"/>
        <w:rPr>
          <w:rFonts w:ascii="宋体" w:hAnsi="宋体"/>
          <w:sz w:val="22"/>
        </w:rPr>
      </w:pPr>
      <w:r>
        <w:rPr>
          <w:rFonts w:hint="eastAsia" w:ascii="宋体" w:hAnsi="宋体"/>
          <w:sz w:val="22"/>
        </w:rPr>
        <w:t>1、对整车电气系统清理并拆解；</w:t>
      </w:r>
    </w:p>
    <w:p>
      <w:pPr>
        <w:spacing w:line="360" w:lineRule="auto"/>
        <w:ind w:firstLine="440" w:firstLineChars="200"/>
        <w:jc w:val="left"/>
        <w:rPr>
          <w:rFonts w:ascii="宋体" w:hAnsi="宋体"/>
          <w:color w:val="000000"/>
          <w:sz w:val="22"/>
        </w:rPr>
      </w:pPr>
      <w:r>
        <w:rPr>
          <w:rFonts w:hint="eastAsia" w:ascii="宋体" w:hAnsi="宋体"/>
          <w:color w:val="000000"/>
          <w:sz w:val="22"/>
        </w:rPr>
        <w:t>2、更换损坏的接触器、继电器、仪表、开关、指示灯；</w:t>
      </w:r>
    </w:p>
    <w:p>
      <w:pPr>
        <w:spacing w:line="360" w:lineRule="auto"/>
        <w:ind w:left="864" w:leftChars="228" w:hanging="385" w:hangingChars="175"/>
        <w:jc w:val="left"/>
        <w:rPr>
          <w:rFonts w:ascii="宋体" w:hAnsi="宋体"/>
          <w:sz w:val="22"/>
        </w:rPr>
      </w:pPr>
      <w:r>
        <w:rPr>
          <w:rFonts w:hint="eastAsia" w:ascii="宋体" w:hAnsi="宋体"/>
          <w:sz w:val="22"/>
        </w:rPr>
        <w:t>3、更换的水温传感器、液位传感器、流量开关、温控开关及过热保护开关；</w:t>
      </w:r>
    </w:p>
    <w:p>
      <w:pPr>
        <w:spacing w:line="360" w:lineRule="auto"/>
        <w:ind w:firstLine="440" w:firstLineChars="200"/>
        <w:jc w:val="left"/>
        <w:rPr>
          <w:rFonts w:ascii="宋体" w:hAnsi="宋体"/>
          <w:sz w:val="22"/>
        </w:rPr>
      </w:pPr>
      <w:r>
        <w:rPr>
          <w:rFonts w:hint="eastAsia" w:ascii="宋体" w:hAnsi="宋体"/>
          <w:sz w:val="22"/>
        </w:rPr>
        <w:t>4、更换电磁阀插头及线圈；</w:t>
      </w:r>
    </w:p>
    <w:p>
      <w:pPr>
        <w:spacing w:line="360" w:lineRule="auto"/>
        <w:ind w:firstLine="440" w:firstLineChars="200"/>
        <w:jc w:val="left"/>
        <w:rPr>
          <w:rFonts w:ascii="宋体" w:hAnsi="宋体"/>
          <w:sz w:val="22"/>
        </w:rPr>
      </w:pPr>
      <w:r>
        <w:rPr>
          <w:rFonts w:hint="eastAsia" w:ascii="宋体" w:hAnsi="宋体"/>
          <w:sz w:val="22"/>
        </w:rPr>
        <w:t>5、恢复整车灯光及照明系统；</w:t>
      </w:r>
    </w:p>
    <w:p>
      <w:pPr>
        <w:spacing w:line="360" w:lineRule="auto"/>
        <w:ind w:firstLine="440" w:firstLineChars="200"/>
        <w:jc w:val="left"/>
        <w:rPr>
          <w:rFonts w:ascii="宋体" w:hAnsi="宋体"/>
          <w:sz w:val="22"/>
        </w:rPr>
      </w:pPr>
      <w:r>
        <w:rPr>
          <w:rFonts w:hint="eastAsia" w:ascii="宋体" w:hAnsi="宋体"/>
          <w:sz w:val="22"/>
        </w:rPr>
        <w:t>6、更换线路，整车重新布线；</w:t>
      </w:r>
    </w:p>
    <w:p>
      <w:pPr>
        <w:spacing w:line="360" w:lineRule="auto"/>
        <w:ind w:firstLine="440" w:firstLineChars="200"/>
        <w:jc w:val="left"/>
        <w:rPr>
          <w:rFonts w:ascii="宋体" w:hAnsi="宋体"/>
          <w:sz w:val="22"/>
        </w:rPr>
      </w:pPr>
      <w:r>
        <w:rPr>
          <w:rFonts w:hint="eastAsia" w:ascii="宋体" w:hAnsi="宋体"/>
          <w:sz w:val="22"/>
        </w:rPr>
        <w:t>7、测试通讯系统，确保对讲功能工况良好无杂音；</w:t>
      </w:r>
    </w:p>
    <w:p>
      <w:pPr>
        <w:spacing w:line="360" w:lineRule="auto"/>
        <w:jc w:val="left"/>
        <w:rPr>
          <w:rFonts w:ascii="宋体" w:hAnsi="宋体"/>
          <w:sz w:val="22"/>
        </w:rPr>
      </w:pPr>
      <w:r>
        <w:rPr>
          <w:rFonts w:hint="eastAsia" w:ascii="宋体" w:hAnsi="宋体"/>
          <w:sz w:val="22"/>
        </w:rPr>
        <w:t>（四）、液压系统维修</w:t>
      </w:r>
    </w:p>
    <w:p>
      <w:pPr>
        <w:spacing w:line="360" w:lineRule="auto"/>
        <w:ind w:firstLine="440" w:firstLineChars="200"/>
        <w:jc w:val="left"/>
        <w:rPr>
          <w:rFonts w:ascii="宋体" w:hAnsi="宋体"/>
          <w:sz w:val="22"/>
        </w:rPr>
      </w:pPr>
      <w:r>
        <w:rPr>
          <w:rFonts w:hint="eastAsia" w:ascii="宋体" w:hAnsi="宋体"/>
          <w:sz w:val="22"/>
        </w:rPr>
        <w:t>1、清理、清洗液压油箱，更换液压油及油滤；</w:t>
      </w:r>
    </w:p>
    <w:p>
      <w:pPr>
        <w:spacing w:line="360" w:lineRule="auto"/>
        <w:ind w:firstLine="440" w:firstLineChars="200"/>
        <w:jc w:val="left"/>
        <w:rPr>
          <w:rFonts w:ascii="宋体" w:hAnsi="宋体"/>
          <w:sz w:val="22"/>
        </w:rPr>
      </w:pPr>
      <w:r>
        <w:rPr>
          <w:rFonts w:hint="eastAsia" w:ascii="宋体" w:hAnsi="宋体"/>
          <w:sz w:val="22"/>
        </w:rPr>
        <w:t>2、清洗检查液压马达、液压锁、液压缸及各式液压阀，调校液压泵；</w:t>
      </w:r>
    </w:p>
    <w:p>
      <w:pPr>
        <w:spacing w:line="360" w:lineRule="auto"/>
        <w:ind w:firstLine="440" w:firstLineChars="200"/>
        <w:jc w:val="left"/>
        <w:rPr>
          <w:rFonts w:ascii="宋体" w:hAnsi="宋体"/>
          <w:sz w:val="22"/>
        </w:rPr>
      </w:pPr>
      <w:r>
        <w:rPr>
          <w:rFonts w:hint="eastAsia" w:ascii="宋体" w:hAnsi="宋体"/>
          <w:sz w:val="22"/>
        </w:rPr>
        <w:t>3、清洗各液压硬管及接头，更换损坏的硬管、接头及接头密封件，更换整车液压软管。</w:t>
      </w:r>
    </w:p>
    <w:p>
      <w:pPr>
        <w:spacing w:line="360" w:lineRule="auto"/>
        <w:jc w:val="left"/>
        <w:rPr>
          <w:rFonts w:ascii="宋体" w:hAnsi="宋体"/>
          <w:sz w:val="22"/>
        </w:rPr>
      </w:pPr>
      <w:r>
        <w:rPr>
          <w:rFonts w:hint="eastAsia" w:ascii="宋体" w:hAnsi="宋体"/>
          <w:sz w:val="22"/>
        </w:rPr>
        <w:t>（五）、锅炉与加热系统维修</w:t>
      </w:r>
    </w:p>
    <w:p>
      <w:pPr>
        <w:spacing w:line="360" w:lineRule="auto"/>
        <w:ind w:left="864" w:leftChars="228" w:hanging="385" w:hangingChars="175"/>
        <w:jc w:val="left"/>
        <w:rPr>
          <w:rFonts w:ascii="宋体" w:hAnsi="宋体"/>
          <w:sz w:val="22"/>
        </w:rPr>
      </w:pPr>
      <w:r>
        <w:rPr>
          <w:rFonts w:hint="eastAsia" w:ascii="宋体" w:hAnsi="宋体"/>
          <w:sz w:val="22"/>
        </w:rPr>
        <w:t>1、锅炉内部及盘管外壁除垢，除积炭；清除锅炉燃烧室积碳及盘管内壁的水垢；更换锅炉两侧端盖的耐高温密封件；</w:t>
      </w:r>
    </w:p>
    <w:p>
      <w:pPr>
        <w:spacing w:line="360" w:lineRule="auto"/>
        <w:ind w:left="864" w:leftChars="228" w:hanging="385" w:hangingChars="175"/>
        <w:jc w:val="left"/>
        <w:rPr>
          <w:rFonts w:ascii="宋体" w:hAnsi="宋体"/>
          <w:sz w:val="22"/>
        </w:rPr>
      </w:pPr>
      <w:r>
        <w:rPr>
          <w:rFonts w:hint="eastAsia" w:ascii="宋体" w:hAnsi="宋体"/>
          <w:sz w:val="22"/>
        </w:rPr>
        <w:t>2、检查燃油供给泵、供油电磁阀、水路电磁控制阀；检修鼓风机，更换供油软管及管路滤芯；</w:t>
      </w:r>
    </w:p>
    <w:p>
      <w:pPr>
        <w:spacing w:line="360" w:lineRule="auto"/>
        <w:ind w:left="864" w:leftChars="228" w:hanging="385" w:hangingChars="175"/>
        <w:jc w:val="left"/>
        <w:rPr>
          <w:rFonts w:ascii="宋体" w:hAnsi="宋体"/>
          <w:sz w:val="22"/>
        </w:rPr>
      </w:pPr>
      <w:r>
        <w:rPr>
          <w:rFonts w:hint="eastAsia" w:ascii="宋体" w:hAnsi="宋体"/>
          <w:sz w:val="22"/>
        </w:rPr>
        <w:t>3、更换喷油咀,更换点火电极并调整点火电极间隙，清洁扰流盘；</w:t>
      </w:r>
    </w:p>
    <w:p>
      <w:pPr>
        <w:spacing w:line="360" w:lineRule="auto"/>
        <w:ind w:left="864" w:leftChars="228" w:hanging="385" w:hangingChars="175"/>
        <w:jc w:val="left"/>
        <w:rPr>
          <w:rFonts w:ascii="宋体" w:hAnsi="宋体"/>
          <w:sz w:val="22"/>
        </w:rPr>
      </w:pPr>
      <w:r>
        <w:rPr>
          <w:rFonts w:hint="eastAsia" w:ascii="宋体" w:hAnsi="宋体"/>
          <w:sz w:val="22"/>
        </w:rPr>
        <w:t>4、更换燃油管路滤芯。</w:t>
      </w:r>
    </w:p>
    <w:p>
      <w:pPr>
        <w:spacing w:line="360" w:lineRule="auto"/>
        <w:jc w:val="left"/>
        <w:rPr>
          <w:rFonts w:ascii="宋体" w:hAnsi="宋体"/>
          <w:sz w:val="22"/>
        </w:rPr>
      </w:pPr>
      <w:r>
        <w:rPr>
          <w:rFonts w:hint="eastAsia" w:ascii="宋体" w:hAnsi="宋体"/>
          <w:sz w:val="22"/>
        </w:rPr>
        <w:t>（六）、箱体及水路系统维修</w:t>
      </w:r>
    </w:p>
    <w:p>
      <w:pPr>
        <w:spacing w:line="360" w:lineRule="auto"/>
        <w:ind w:left="864" w:leftChars="228" w:hanging="385" w:hangingChars="175"/>
        <w:jc w:val="left"/>
        <w:rPr>
          <w:rFonts w:ascii="宋体" w:hAnsi="宋体"/>
          <w:sz w:val="22"/>
        </w:rPr>
      </w:pPr>
      <w:r>
        <w:rPr>
          <w:rFonts w:hint="eastAsia" w:ascii="宋体" w:hAnsi="宋体"/>
          <w:sz w:val="22"/>
        </w:rPr>
        <w:t>1、清除防冰、除冰液箱体内部污垢，清洁管路滤网，对渗漏部位进行维修，检修箱体附件；</w:t>
      </w:r>
    </w:p>
    <w:p>
      <w:pPr>
        <w:spacing w:line="360" w:lineRule="auto"/>
        <w:ind w:left="864" w:leftChars="228" w:hanging="385" w:hangingChars="175"/>
        <w:jc w:val="left"/>
        <w:rPr>
          <w:rFonts w:ascii="宋体" w:hAnsi="宋体"/>
          <w:sz w:val="22"/>
        </w:rPr>
      </w:pPr>
      <w:r>
        <w:rPr>
          <w:rFonts w:hint="eastAsia" w:ascii="宋体" w:hAnsi="宋体"/>
          <w:sz w:val="22"/>
        </w:rPr>
        <w:t>2、清洗管路系统，更换水路软管、过滤器及损坏的密封组件；检修各式阀门及连接件；更换损坏的压力表；</w:t>
      </w:r>
    </w:p>
    <w:p>
      <w:pPr>
        <w:spacing w:line="360" w:lineRule="auto"/>
        <w:ind w:left="864" w:leftChars="228" w:hanging="385" w:hangingChars="175"/>
        <w:jc w:val="left"/>
        <w:rPr>
          <w:rFonts w:ascii="宋体" w:hAnsi="宋体"/>
          <w:sz w:val="22"/>
        </w:rPr>
      </w:pPr>
      <w:r>
        <w:rPr>
          <w:rFonts w:hint="eastAsia" w:ascii="宋体" w:hAnsi="宋体"/>
          <w:sz w:val="22"/>
        </w:rPr>
        <w:t>3、除冰泵、防冰泵保养，更换润滑脂。</w:t>
      </w:r>
    </w:p>
    <w:p>
      <w:pPr>
        <w:spacing w:line="360" w:lineRule="auto"/>
        <w:jc w:val="left"/>
        <w:rPr>
          <w:rFonts w:ascii="宋体" w:hAnsi="宋体"/>
          <w:sz w:val="22"/>
        </w:rPr>
      </w:pPr>
      <w:r>
        <w:rPr>
          <w:rFonts w:hint="eastAsia" w:ascii="宋体" w:hAnsi="宋体"/>
          <w:sz w:val="22"/>
        </w:rPr>
        <w:t>（七）、机械结构件及驾驶室</w:t>
      </w:r>
    </w:p>
    <w:p>
      <w:pPr>
        <w:spacing w:line="360" w:lineRule="auto"/>
        <w:ind w:firstLine="440" w:firstLineChars="200"/>
        <w:jc w:val="left"/>
        <w:rPr>
          <w:rFonts w:ascii="宋体" w:hAnsi="宋体"/>
          <w:sz w:val="22"/>
        </w:rPr>
      </w:pPr>
      <w:r>
        <w:rPr>
          <w:rFonts w:hint="eastAsia" w:ascii="宋体" w:hAnsi="宋体"/>
          <w:sz w:val="22"/>
        </w:rPr>
        <w:t>1、对举升机构的机械结构件作分解，对锈蚀部位除锈并作防腐处理；</w:t>
      </w:r>
    </w:p>
    <w:p>
      <w:pPr>
        <w:spacing w:line="360" w:lineRule="auto"/>
        <w:ind w:firstLine="440" w:firstLineChars="200"/>
        <w:jc w:val="left"/>
        <w:rPr>
          <w:rFonts w:ascii="宋体" w:hAnsi="宋体"/>
          <w:sz w:val="22"/>
        </w:rPr>
      </w:pPr>
      <w:r>
        <w:rPr>
          <w:rFonts w:hint="eastAsia" w:ascii="宋体" w:hAnsi="宋体"/>
          <w:sz w:val="22"/>
        </w:rPr>
        <w:t>2、检修高空作业臂各关节磨损的轴销和衬套，各活动关节加注润滑油；</w:t>
      </w:r>
    </w:p>
    <w:p>
      <w:pPr>
        <w:spacing w:line="360" w:lineRule="auto"/>
        <w:ind w:firstLine="440" w:firstLineChars="200"/>
        <w:jc w:val="left"/>
        <w:rPr>
          <w:rFonts w:ascii="宋体" w:hAnsi="宋体"/>
          <w:sz w:val="22"/>
        </w:rPr>
      </w:pPr>
      <w:r>
        <w:rPr>
          <w:rFonts w:hint="eastAsia" w:ascii="宋体" w:hAnsi="宋体"/>
          <w:sz w:val="22"/>
        </w:rPr>
        <w:t>3、更换吊篮和举升臂底座锈蚀的固定螺栓，检修吊篮；</w:t>
      </w:r>
    </w:p>
    <w:p>
      <w:pPr>
        <w:spacing w:line="360" w:lineRule="auto"/>
        <w:ind w:left="864" w:leftChars="228" w:hanging="385" w:hangingChars="175"/>
        <w:jc w:val="left"/>
        <w:rPr>
          <w:rFonts w:ascii="宋体" w:hAnsi="宋体"/>
          <w:sz w:val="22"/>
        </w:rPr>
      </w:pPr>
      <w:r>
        <w:rPr>
          <w:rFonts w:hint="eastAsia" w:ascii="宋体" w:hAnsi="宋体"/>
          <w:sz w:val="22"/>
        </w:rPr>
        <w:t>4、检修车身机械结构件，更换破损件、补齐缺失件。</w:t>
      </w:r>
    </w:p>
    <w:p>
      <w:pPr>
        <w:spacing w:line="360" w:lineRule="auto"/>
        <w:jc w:val="left"/>
        <w:rPr>
          <w:rFonts w:ascii="宋体" w:hAnsi="宋体"/>
          <w:sz w:val="22"/>
        </w:rPr>
      </w:pPr>
      <w:r>
        <w:rPr>
          <w:rFonts w:hint="eastAsia" w:ascii="宋体" w:hAnsi="宋体"/>
          <w:sz w:val="22"/>
        </w:rPr>
        <w:t>（九）、整车性能、工况调试</w:t>
      </w:r>
    </w:p>
    <w:p>
      <w:pPr>
        <w:spacing w:line="360" w:lineRule="auto"/>
        <w:jc w:val="left"/>
        <w:rPr>
          <w:rFonts w:ascii="宋体" w:hAnsi="宋体"/>
          <w:color w:val="000000"/>
          <w:sz w:val="22"/>
        </w:rPr>
      </w:pPr>
      <w:r>
        <w:rPr>
          <w:rFonts w:hint="eastAsia" w:ascii="宋体" w:hAnsi="宋体"/>
          <w:sz w:val="22"/>
        </w:rPr>
        <w:t xml:space="preserve">   </w:t>
      </w:r>
      <w:r>
        <w:rPr>
          <w:rFonts w:hint="eastAsia" w:ascii="宋体" w:hAnsi="宋体"/>
          <w:color w:val="000000"/>
          <w:sz w:val="22"/>
        </w:rPr>
        <w:t>以原车厂家使用维护手册的技术参数为准，达到安全可靠使用要求。</w:t>
      </w:r>
    </w:p>
    <w:p>
      <w:pPr>
        <w:spacing w:line="360" w:lineRule="auto"/>
        <w:jc w:val="left"/>
        <w:rPr>
          <w:rFonts w:ascii="宋体" w:hAnsi="宋体"/>
          <w:color w:val="000000"/>
          <w:sz w:val="22"/>
        </w:rPr>
      </w:pPr>
    </w:p>
    <w:p>
      <w:pPr>
        <w:spacing w:line="360" w:lineRule="auto"/>
        <w:rPr>
          <w:rFonts w:ascii="宋体" w:hAnsi="宋体"/>
          <w:color w:val="000000"/>
          <w:sz w:val="22"/>
        </w:rPr>
      </w:pPr>
      <w:r>
        <w:rPr>
          <w:rFonts w:hint="eastAsia" w:ascii="宋体" w:hAnsi="宋体"/>
          <w:color w:val="000000"/>
          <w:sz w:val="22"/>
        </w:rPr>
        <w:t>三、</w:t>
      </w:r>
      <w:r>
        <w:rPr>
          <w:rFonts w:hint="eastAsia" w:ascii="宋体" w:hAnsi="宋体"/>
          <w:sz w:val="22"/>
        </w:rPr>
        <w:t>维修质量</w:t>
      </w:r>
    </w:p>
    <w:p>
      <w:pPr>
        <w:spacing w:line="360" w:lineRule="auto"/>
        <w:ind w:left="1" w:firstLine="279" w:firstLineChars="127"/>
        <w:rPr>
          <w:rFonts w:ascii="宋体" w:hAnsi="宋体"/>
          <w:sz w:val="22"/>
        </w:rPr>
      </w:pPr>
      <w:r>
        <w:rPr>
          <w:rFonts w:hint="eastAsia" w:ascii="宋体" w:hAnsi="宋体"/>
          <w:color w:val="000000"/>
          <w:sz w:val="22"/>
        </w:rPr>
        <w:t>1、</w:t>
      </w:r>
      <w:r>
        <w:rPr>
          <w:rFonts w:hint="eastAsia" w:ascii="宋体" w:hAnsi="宋体"/>
          <w:sz w:val="22"/>
        </w:rPr>
        <w:t>所有系统更换的配件需采用与原生产厂家同等质量标准和技术要求的配件。</w:t>
      </w:r>
    </w:p>
    <w:p>
      <w:pPr>
        <w:spacing w:line="360" w:lineRule="auto"/>
        <w:ind w:left="1" w:firstLine="279" w:firstLineChars="127"/>
        <w:rPr>
          <w:rFonts w:ascii="宋体" w:hAnsi="宋体"/>
          <w:sz w:val="22"/>
        </w:rPr>
      </w:pPr>
      <w:r>
        <w:rPr>
          <w:rFonts w:hint="eastAsia" w:ascii="宋体" w:hAnsi="宋体"/>
          <w:sz w:val="22"/>
        </w:rPr>
        <w:t>2、以原车厂家使用维护手册的技术参数为准，达到安全可靠使用要求。</w:t>
      </w:r>
    </w:p>
    <w:p>
      <w:pPr>
        <w:spacing w:line="360" w:lineRule="auto"/>
        <w:ind w:left="1" w:firstLine="279" w:firstLineChars="127"/>
        <w:rPr>
          <w:rFonts w:ascii="宋体" w:hAnsi="宋体"/>
          <w:sz w:val="22"/>
        </w:rPr>
      </w:pPr>
      <w:r>
        <w:rPr>
          <w:rFonts w:hint="eastAsia" w:ascii="宋体" w:hAnsi="宋体"/>
          <w:sz w:val="22"/>
        </w:rPr>
        <w:t>4、保修期：车辆维修过的部分自检验合格日起保修一年。</w:t>
      </w:r>
    </w:p>
    <w:p>
      <w:pPr>
        <w:spacing w:line="360" w:lineRule="auto"/>
        <w:ind w:left="1" w:firstLine="279" w:firstLineChars="127"/>
        <w:rPr>
          <w:rFonts w:ascii="宋体" w:hAnsi="宋体"/>
          <w:sz w:val="22"/>
        </w:rPr>
      </w:pPr>
      <w:r>
        <w:rPr>
          <w:rFonts w:hint="eastAsia" w:ascii="宋体" w:hAnsi="宋体"/>
          <w:sz w:val="22"/>
        </w:rPr>
        <w:t>5、维修工期</w:t>
      </w:r>
    </w:p>
    <w:p>
      <w:pPr>
        <w:spacing w:line="360" w:lineRule="auto"/>
        <w:ind w:left="1" w:firstLine="279" w:firstLineChars="127"/>
        <w:rPr>
          <w:rFonts w:ascii="宋体" w:hAnsi="宋体"/>
          <w:sz w:val="22"/>
        </w:rPr>
      </w:pPr>
      <w:r>
        <w:rPr>
          <w:rFonts w:hint="eastAsia" w:ascii="宋体" w:hAnsi="宋体"/>
          <w:sz w:val="22"/>
        </w:rPr>
        <w:t>维修合同签订后40日历天内。</w:t>
      </w:r>
    </w:p>
    <w:p>
      <w:pPr>
        <w:spacing w:line="360" w:lineRule="auto"/>
        <w:ind w:left="1" w:firstLine="279" w:firstLineChars="127"/>
        <w:rPr>
          <w:rFonts w:ascii="宋体" w:hAnsi="宋体"/>
          <w:sz w:val="22"/>
        </w:rPr>
      </w:pPr>
    </w:p>
    <w:p>
      <w:pPr>
        <w:spacing w:line="360" w:lineRule="auto"/>
        <w:ind w:left="1" w:firstLine="279" w:firstLineChars="127"/>
        <w:rPr>
          <w:rFonts w:ascii="宋体" w:hAnsi="宋体"/>
          <w:sz w:val="22"/>
        </w:rPr>
      </w:pPr>
    </w:p>
    <w:p>
      <w:pPr>
        <w:spacing w:line="360" w:lineRule="auto"/>
        <w:ind w:left="1" w:firstLine="279" w:firstLineChars="127"/>
        <w:rPr>
          <w:rFonts w:ascii="宋体" w:hAnsi="宋体"/>
          <w:sz w:val="22"/>
        </w:rPr>
      </w:pPr>
    </w:p>
    <w:p>
      <w:pPr>
        <w:spacing w:line="360" w:lineRule="auto"/>
        <w:ind w:left="1" w:firstLine="279" w:firstLineChars="127"/>
        <w:rPr>
          <w:rFonts w:ascii="宋体" w:hAnsi="宋体"/>
          <w:sz w:val="22"/>
        </w:rPr>
      </w:pPr>
    </w:p>
    <w:p>
      <w:pPr>
        <w:spacing w:line="360" w:lineRule="auto"/>
        <w:ind w:left="1" w:firstLine="279" w:firstLineChars="127"/>
        <w:rPr>
          <w:rFonts w:ascii="宋体" w:hAnsi="宋体"/>
          <w:sz w:val="22"/>
        </w:rPr>
      </w:pPr>
    </w:p>
    <w:p>
      <w:pPr>
        <w:spacing w:line="360" w:lineRule="auto"/>
        <w:ind w:left="1" w:firstLine="279" w:firstLineChars="127"/>
        <w:rPr>
          <w:rFonts w:ascii="宋体" w:hAnsi="宋体"/>
          <w:sz w:val="22"/>
        </w:rPr>
      </w:pPr>
    </w:p>
    <w:p>
      <w:pPr>
        <w:spacing w:line="360" w:lineRule="auto"/>
        <w:ind w:left="1" w:firstLine="279" w:firstLineChars="127"/>
        <w:rPr>
          <w:rFonts w:ascii="宋体" w:hAnsi="宋体"/>
          <w:sz w:val="22"/>
        </w:rPr>
      </w:pPr>
    </w:p>
    <w:p>
      <w:pPr>
        <w:spacing w:line="360" w:lineRule="auto"/>
        <w:ind w:left="1" w:firstLine="279" w:firstLineChars="127"/>
        <w:rPr>
          <w:rFonts w:ascii="宋体" w:hAnsi="宋体"/>
          <w:sz w:val="22"/>
        </w:rPr>
      </w:pPr>
    </w:p>
    <w:p>
      <w:pPr>
        <w:spacing w:line="360" w:lineRule="auto"/>
        <w:ind w:left="1" w:firstLine="279" w:firstLineChars="127"/>
        <w:rPr>
          <w:rFonts w:ascii="宋体" w:hAnsi="宋体"/>
          <w:sz w:val="22"/>
        </w:rPr>
      </w:pPr>
    </w:p>
    <w:p>
      <w:pPr>
        <w:spacing w:line="360" w:lineRule="auto"/>
        <w:ind w:left="1" w:firstLine="279" w:firstLineChars="127"/>
        <w:rPr>
          <w:rFonts w:ascii="宋体" w:hAnsi="宋体"/>
          <w:sz w:val="22"/>
        </w:rPr>
      </w:pPr>
    </w:p>
    <w:p>
      <w:pPr>
        <w:spacing w:line="360" w:lineRule="auto"/>
        <w:ind w:left="1" w:firstLine="279" w:firstLineChars="127"/>
        <w:rPr>
          <w:rFonts w:ascii="宋体" w:hAnsi="宋体"/>
          <w:sz w:val="22"/>
        </w:rPr>
      </w:pPr>
    </w:p>
    <w:p>
      <w:pPr>
        <w:spacing w:line="360" w:lineRule="auto"/>
        <w:ind w:left="1" w:firstLine="279" w:firstLineChars="127"/>
        <w:rPr>
          <w:rFonts w:ascii="宋体" w:hAnsi="宋体"/>
          <w:sz w:val="22"/>
        </w:rPr>
      </w:pPr>
    </w:p>
    <w:p>
      <w:pPr>
        <w:spacing w:line="360" w:lineRule="auto"/>
        <w:ind w:left="1" w:firstLine="279" w:firstLineChars="127"/>
        <w:rPr>
          <w:rFonts w:ascii="宋体" w:hAnsi="宋体"/>
          <w:sz w:val="22"/>
        </w:rPr>
      </w:pPr>
    </w:p>
    <w:p>
      <w:pPr>
        <w:spacing w:line="360" w:lineRule="auto"/>
        <w:ind w:left="1" w:firstLine="279" w:firstLineChars="127"/>
        <w:rPr>
          <w:rFonts w:ascii="宋体" w:hAnsi="宋体"/>
          <w:sz w:val="22"/>
        </w:rPr>
      </w:pPr>
    </w:p>
    <w:p>
      <w:pPr>
        <w:spacing w:line="360" w:lineRule="auto"/>
        <w:ind w:left="1" w:firstLine="279" w:firstLineChars="127"/>
        <w:rPr>
          <w:rFonts w:ascii="宋体" w:hAnsi="宋体"/>
          <w:sz w:val="22"/>
        </w:rPr>
      </w:pPr>
    </w:p>
    <w:p>
      <w:pPr>
        <w:spacing w:line="360" w:lineRule="auto"/>
        <w:ind w:left="1" w:firstLine="279" w:firstLineChars="127"/>
        <w:rPr>
          <w:rFonts w:ascii="宋体" w:hAnsi="宋体"/>
          <w:sz w:val="22"/>
        </w:rPr>
      </w:pPr>
    </w:p>
    <w:p>
      <w:pPr>
        <w:spacing w:line="360" w:lineRule="auto"/>
        <w:ind w:left="1" w:firstLine="279" w:firstLineChars="127"/>
        <w:rPr>
          <w:rFonts w:ascii="宋体" w:hAnsi="宋体"/>
          <w:sz w:val="22"/>
        </w:rPr>
      </w:pPr>
    </w:p>
    <w:p>
      <w:pPr>
        <w:spacing w:line="360" w:lineRule="auto"/>
        <w:ind w:left="1" w:firstLine="279" w:firstLineChars="127"/>
        <w:rPr>
          <w:rFonts w:ascii="宋体" w:hAnsi="宋体"/>
          <w:sz w:val="22"/>
        </w:rPr>
      </w:pPr>
    </w:p>
    <w:p>
      <w:pPr>
        <w:spacing w:line="360" w:lineRule="auto"/>
        <w:ind w:left="1" w:firstLine="279" w:firstLineChars="127"/>
        <w:rPr>
          <w:rFonts w:ascii="宋体" w:hAnsi="宋体"/>
          <w:sz w:val="22"/>
        </w:rPr>
      </w:pPr>
    </w:p>
    <w:p>
      <w:pPr>
        <w:spacing w:line="360" w:lineRule="auto"/>
        <w:ind w:left="1" w:firstLine="279" w:firstLineChars="127"/>
        <w:rPr>
          <w:rFonts w:ascii="宋体" w:hAnsi="宋体"/>
          <w:sz w:val="22"/>
        </w:rPr>
      </w:pPr>
    </w:p>
    <w:p>
      <w:pPr>
        <w:spacing w:line="360" w:lineRule="auto"/>
        <w:ind w:left="1" w:firstLine="279" w:firstLineChars="127"/>
        <w:rPr>
          <w:rFonts w:ascii="宋体" w:hAnsi="宋体"/>
          <w:sz w:val="22"/>
        </w:rPr>
      </w:pPr>
    </w:p>
    <w:p>
      <w:pPr>
        <w:spacing w:line="360" w:lineRule="auto"/>
        <w:ind w:left="1" w:firstLine="279" w:firstLineChars="127"/>
        <w:rPr>
          <w:rFonts w:ascii="宋体" w:hAnsi="宋体"/>
          <w:sz w:val="22"/>
        </w:rPr>
      </w:pPr>
    </w:p>
    <w:p>
      <w:pPr>
        <w:spacing w:line="360" w:lineRule="auto"/>
        <w:ind w:left="1" w:firstLine="279" w:firstLineChars="127"/>
        <w:rPr>
          <w:rFonts w:ascii="宋体" w:hAnsi="宋体"/>
          <w:sz w:val="22"/>
        </w:rPr>
      </w:pPr>
    </w:p>
    <w:p>
      <w:pPr>
        <w:spacing w:line="360" w:lineRule="auto"/>
        <w:ind w:left="1" w:firstLine="279" w:firstLineChars="127"/>
        <w:rPr>
          <w:rFonts w:ascii="宋体" w:hAnsi="宋体"/>
          <w:sz w:val="22"/>
        </w:rPr>
      </w:pPr>
    </w:p>
    <w:p>
      <w:pPr>
        <w:spacing w:line="360" w:lineRule="auto"/>
        <w:ind w:left="1" w:firstLine="279" w:firstLineChars="127"/>
        <w:rPr>
          <w:rFonts w:ascii="宋体" w:hAnsi="宋体"/>
          <w:sz w:val="22"/>
        </w:rPr>
      </w:pPr>
    </w:p>
    <w:p>
      <w:pPr>
        <w:spacing w:line="360" w:lineRule="auto"/>
        <w:ind w:left="1" w:firstLine="279" w:firstLineChars="127"/>
        <w:rPr>
          <w:rFonts w:ascii="宋体" w:hAnsi="宋体"/>
          <w:sz w:val="22"/>
        </w:rPr>
      </w:pPr>
    </w:p>
    <w:p>
      <w:pPr>
        <w:spacing w:line="360" w:lineRule="auto"/>
        <w:ind w:left="1" w:firstLine="279" w:firstLineChars="127"/>
        <w:rPr>
          <w:rFonts w:ascii="宋体" w:hAnsi="宋体"/>
          <w:sz w:val="22"/>
        </w:rPr>
      </w:pPr>
    </w:p>
    <w:p>
      <w:pPr>
        <w:spacing w:line="360" w:lineRule="auto"/>
        <w:ind w:left="1" w:firstLine="279" w:firstLineChars="127"/>
        <w:rPr>
          <w:rFonts w:ascii="宋体" w:hAnsi="宋体"/>
          <w:sz w:val="22"/>
        </w:rPr>
      </w:pPr>
    </w:p>
    <w:p>
      <w:pPr>
        <w:pStyle w:val="2"/>
        <w:spacing w:before="0" w:after="0" w:line="360" w:lineRule="auto"/>
        <w:jc w:val="center"/>
        <w:rPr>
          <w:rFonts w:ascii="Calibri" w:hAnsi="Calibri" w:eastAsia="黑体" w:cs="Calibri"/>
          <w:kern w:val="0"/>
          <w:sz w:val="32"/>
        </w:rPr>
      </w:pPr>
      <w:r>
        <w:rPr>
          <w:rFonts w:hint="eastAsia" w:ascii="Calibri" w:hAnsi="Calibri" w:eastAsia="黑体" w:cs="Calibri"/>
          <w:kern w:val="0"/>
          <w:sz w:val="32"/>
        </w:rPr>
        <w:t>第四章</w:t>
      </w:r>
      <w:r>
        <w:rPr>
          <w:rFonts w:ascii="Calibri" w:hAnsi="Calibri" w:eastAsia="黑体" w:cs="Calibri"/>
          <w:kern w:val="0"/>
          <w:sz w:val="32"/>
        </w:rPr>
        <w:t>合同条款</w:t>
      </w:r>
    </w:p>
    <w:p>
      <w:pPr>
        <w:adjustRightInd w:val="0"/>
        <w:snapToGrid w:val="0"/>
        <w:spacing w:line="560" w:lineRule="exact"/>
        <w:rPr>
          <w:rFonts w:ascii="宋体" w:hAnsi="宋体"/>
          <w:sz w:val="22"/>
        </w:rPr>
      </w:pPr>
      <w:r>
        <w:rPr>
          <w:rFonts w:hint="eastAsia" w:ascii="仿宋_GB2312" w:hAnsi="仿宋" w:eastAsia="仿宋_GB2312"/>
          <w:b/>
          <w:sz w:val="28"/>
          <w:szCs w:val="28"/>
        </w:rPr>
        <w:t xml:space="preserve">   </w:t>
      </w:r>
      <w:r>
        <w:rPr>
          <w:rFonts w:hint="eastAsia" w:ascii="宋体" w:hAnsi="宋体"/>
          <w:sz w:val="22"/>
        </w:rPr>
        <w:t>甲方：杭州萧山国际机场有限公司</w:t>
      </w:r>
    </w:p>
    <w:p>
      <w:pPr>
        <w:adjustRightInd w:val="0"/>
        <w:snapToGrid w:val="0"/>
        <w:spacing w:line="560" w:lineRule="exact"/>
        <w:ind w:firstLine="452"/>
        <w:rPr>
          <w:rFonts w:ascii="宋体" w:hAnsi="宋体"/>
          <w:sz w:val="22"/>
        </w:rPr>
      </w:pPr>
      <w:r>
        <w:rPr>
          <w:rFonts w:hint="eastAsia" w:ascii="宋体" w:hAnsi="宋体"/>
          <w:sz w:val="22"/>
        </w:rPr>
        <w:t>住所地：杭州萧山国际机场内</w:t>
      </w:r>
    </w:p>
    <w:p>
      <w:pPr>
        <w:adjustRightInd w:val="0"/>
        <w:snapToGrid w:val="0"/>
        <w:spacing w:line="560" w:lineRule="exact"/>
        <w:rPr>
          <w:rFonts w:ascii="宋体" w:hAnsi="宋体"/>
          <w:sz w:val="22"/>
        </w:rPr>
      </w:pPr>
    </w:p>
    <w:p>
      <w:pPr>
        <w:adjustRightInd w:val="0"/>
        <w:snapToGrid w:val="0"/>
        <w:spacing w:line="560" w:lineRule="exact"/>
        <w:ind w:firstLine="452"/>
        <w:rPr>
          <w:rFonts w:ascii="宋体" w:hAnsi="宋体"/>
          <w:sz w:val="22"/>
        </w:rPr>
      </w:pPr>
      <w:r>
        <w:rPr>
          <w:rFonts w:hint="eastAsia" w:ascii="宋体" w:hAnsi="宋体"/>
          <w:sz w:val="22"/>
        </w:rPr>
        <w:t>乙方:</w:t>
      </w:r>
    </w:p>
    <w:p>
      <w:pPr>
        <w:adjustRightInd w:val="0"/>
        <w:snapToGrid w:val="0"/>
        <w:spacing w:line="560" w:lineRule="exact"/>
        <w:ind w:firstLine="452"/>
        <w:rPr>
          <w:rFonts w:ascii="宋体" w:hAnsi="宋体"/>
          <w:sz w:val="22"/>
        </w:rPr>
      </w:pPr>
      <w:r>
        <w:rPr>
          <w:rFonts w:hint="eastAsia" w:ascii="宋体" w:hAnsi="宋体"/>
          <w:sz w:val="22"/>
        </w:rPr>
        <w:t>住所地:</w:t>
      </w:r>
    </w:p>
    <w:p>
      <w:pPr>
        <w:adjustRightInd w:val="0"/>
        <w:snapToGrid w:val="0"/>
        <w:spacing w:line="560" w:lineRule="exact"/>
        <w:ind w:firstLine="440" w:firstLineChars="200"/>
        <w:rPr>
          <w:rFonts w:ascii="宋体" w:hAnsi="宋体"/>
          <w:sz w:val="22"/>
        </w:rPr>
      </w:pPr>
      <w:r>
        <w:rPr>
          <w:rFonts w:hint="eastAsia" w:ascii="宋体" w:hAnsi="宋体"/>
          <w:sz w:val="22"/>
        </w:rPr>
        <w:t>甲、乙双方根据《中华人民共和国合同法》等相关法律法规，就相关产品采购事宜，在互利、平等的原则基础上，经协商一致，特签订本合同，以共同遵守。</w:t>
      </w:r>
    </w:p>
    <w:p>
      <w:pPr>
        <w:snapToGrid w:val="0"/>
        <w:spacing w:line="400" w:lineRule="exact"/>
        <w:rPr>
          <w:rFonts w:ascii="宋体" w:hAnsi="宋体"/>
          <w:sz w:val="22"/>
        </w:rPr>
      </w:pPr>
      <w:r>
        <w:rPr>
          <w:rFonts w:hint="eastAsia" w:ascii="宋体" w:hAnsi="宋体"/>
          <w:sz w:val="22"/>
        </w:rPr>
        <w:t>一、维修设备名称、规格型号、数量及价款：</w:t>
      </w:r>
    </w:p>
    <w:tbl>
      <w:tblPr>
        <w:tblStyle w:val="46"/>
        <w:tblW w:w="95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1560"/>
        <w:gridCol w:w="1846"/>
        <w:gridCol w:w="1414"/>
        <w:gridCol w:w="1033"/>
        <w:gridCol w:w="906"/>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6" w:type="dxa"/>
            <w:vAlign w:val="center"/>
          </w:tcPr>
          <w:p>
            <w:pPr>
              <w:snapToGrid w:val="0"/>
              <w:jc w:val="center"/>
              <w:rPr>
                <w:rFonts w:ascii="宋体" w:hAnsi="宋体"/>
                <w:sz w:val="22"/>
              </w:rPr>
            </w:pPr>
            <w:r>
              <w:rPr>
                <w:rFonts w:hint="eastAsia" w:ascii="宋体" w:hAnsi="宋体"/>
                <w:sz w:val="22"/>
              </w:rPr>
              <w:t>序号</w:t>
            </w:r>
          </w:p>
        </w:tc>
        <w:tc>
          <w:tcPr>
            <w:tcW w:w="1560" w:type="dxa"/>
            <w:vAlign w:val="center"/>
          </w:tcPr>
          <w:p>
            <w:pPr>
              <w:snapToGrid w:val="0"/>
              <w:jc w:val="center"/>
              <w:rPr>
                <w:rFonts w:ascii="宋体" w:hAnsi="宋体"/>
                <w:sz w:val="22"/>
              </w:rPr>
            </w:pPr>
            <w:r>
              <w:rPr>
                <w:rFonts w:hint="eastAsia" w:ascii="宋体" w:hAnsi="宋体"/>
                <w:sz w:val="22"/>
              </w:rPr>
              <w:t>项目</w:t>
            </w:r>
          </w:p>
        </w:tc>
        <w:tc>
          <w:tcPr>
            <w:tcW w:w="1846" w:type="dxa"/>
            <w:vAlign w:val="center"/>
          </w:tcPr>
          <w:p>
            <w:pPr>
              <w:snapToGrid w:val="0"/>
              <w:jc w:val="center"/>
              <w:rPr>
                <w:rFonts w:ascii="宋体" w:hAnsi="宋体"/>
                <w:sz w:val="22"/>
              </w:rPr>
            </w:pPr>
            <w:r>
              <w:rPr>
                <w:rFonts w:hint="eastAsia" w:ascii="宋体" w:hAnsi="宋体"/>
                <w:sz w:val="22"/>
              </w:rPr>
              <w:t>生产商</w:t>
            </w:r>
          </w:p>
        </w:tc>
        <w:tc>
          <w:tcPr>
            <w:tcW w:w="1414" w:type="dxa"/>
            <w:vAlign w:val="center"/>
          </w:tcPr>
          <w:p>
            <w:pPr>
              <w:snapToGrid w:val="0"/>
              <w:jc w:val="center"/>
              <w:rPr>
                <w:rFonts w:ascii="宋体" w:hAnsi="宋体"/>
                <w:sz w:val="22"/>
              </w:rPr>
            </w:pPr>
            <w:r>
              <w:rPr>
                <w:rFonts w:hint="eastAsia" w:ascii="宋体" w:hAnsi="宋体"/>
                <w:sz w:val="22"/>
              </w:rPr>
              <w:t>型号</w:t>
            </w:r>
          </w:p>
        </w:tc>
        <w:tc>
          <w:tcPr>
            <w:tcW w:w="1033" w:type="dxa"/>
            <w:vAlign w:val="center"/>
          </w:tcPr>
          <w:p>
            <w:pPr>
              <w:snapToGrid w:val="0"/>
              <w:jc w:val="center"/>
              <w:rPr>
                <w:rFonts w:ascii="宋体" w:hAnsi="宋体"/>
                <w:sz w:val="22"/>
              </w:rPr>
            </w:pPr>
            <w:r>
              <w:rPr>
                <w:rFonts w:hint="eastAsia" w:ascii="宋体" w:hAnsi="宋体"/>
                <w:sz w:val="22"/>
              </w:rPr>
              <w:t>计量</w:t>
            </w:r>
          </w:p>
          <w:p>
            <w:pPr>
              <w:snapToGrid w:val="0"/>
              <w:jc w:val="center"/>
              <w:rPr>
                <w:rFonts w:ascii="宋体" w:hAnsi="宋体"/>
                <w:sz w:val="22"/>
              </w:rPr>
            </w:pPr>
            <w:r>
              <w:rPr>
                <w:rFonts w:hint="eastAsia" w:ascii="宋体" w:hAnsi="宋体"/>
                <w:sz w:val="22"/>
              </w:rPr>
              <w:t>单位</w:t>
            </w:r>
          </w:p>
        </w:tc>
        <w:tc>
          <w:tcPr>
            <w:tcW w:w="906" w:type="dxa"/>
            <w:vAlign w:val="center"/>
          </w:tcPr>
          <w:p>
            <w:pPr>
              <w:snapToGrid w:val="0"/>
              <w:jc w:val="center"/>
              <w:rPr>
                <w:rFonts w:ascii="宋体" w:hAnsi="宋体"/>
                <w:sz w:val="22"/>
              </w:rPr>
            </w:pPr>
            <w:r>
              <w:rPr>
                <w:rFonts w:hint="eastAsia" w:ascii="宋体" w:hAnsi="宋体"/>
                <w:sz w:val="22"/>
              </w:rPr>
              <w:t>数量</w:t>
            </w:r>
          </w:p>
        </w:tc>
        <w:tc>
          <w:tcPr>
            <w:tcW w:w="2145" w:type="dxa"/>
            <w:vAlign w:val="center"/>
          </w:tcPr>
          <w:p>
            <w:pPr>
              <w:snapToGrid w:val="0"/>
              <w:jc w:val="center"/>
              <w:rPr>
                <w:rFonts w:ascii="宋体" w:hAnsi="宋体"/>
                <w:sz w:val="22"/>
              </w:rPr>
            </w:pPr>
            <w:r>
              <w:rPr>
                <w:rFonts w:hint="eastAsia" w:ascii="宋体" w:hAnsi="宋体"/>
                <w:sz w:val="22"/>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0" w:hRule="atLeast"/>
          <w:jc w:val="center"/>
        </w:trPr>
        <w:tc>
          <w:tcPr>
            <w:tcW w:w="626" w:type="dxa"/>
            <w:vAlign w:val="center"/>
          </w:tcPr>
          <w:p>
            <w:pPr>
              <w:snapToGrid w:val="0"/>
              <w:jc w:val="center"/>
              <w:rPr>
                <w:rFonts w:ascii="宋体" w:hAnsi="宋体"/>
                <w:sz w:val="22"/>
              </w:rPr>
            </w:pPr>
            <w:r>
              <w:rPr>
                <w:rFonts w:hint="eastAsia" w:ascii="宋体" w:hAnsi="宋体"/>
                <w:sz w:val="22"/>
              </w:rPr>
              <w:t>1</w:t>
            </w:r>
          </w:p>
        </w:tc>
        <w:tc>
          <w:tcPr>
            <w:tcW w:w="1560" w:type="dxa"/>
            <w:vAlign w:val="center"/>
          </w:tcPr>
          <w:p>
            <w:pPr>
              <w:snapToGrid w:val="0"/>
              <w:jc w:val="center"/>
              <w:rPr>
                <w:rFonts w:ascii="宋体" w:hAnsi="宋体"/>
                <w:sz w:val="22"/>
              </w:rPr>
            </w:pPr>
            <w:r>
              <w:rPr>
                <w:rFonts w:hint="eastAsia" w:ascii="宋体" w:hAnsi="宋体"/>
                <w:sz w:val="22"/>
              </w:rPr>
              <w:t>飞机除冰车大修</w:t>
            </w:r>
          </w:p>
        </w:tc>
        <w:tc>
          <w:tcPr>
            <w:tcW w:w="1846" w:type="dxa"/>
            <w:vAlign w:val="center"/>
          </w:tcPr>
          <w:p>
            <w:pPr>
              <w:snapToGrid w:val="0"/>
              <w:jc w:val="center"/>
              <w:rPr>
                <w:rFonts w:ascii="宋体" w:hAnsi="宋体"/>
                <w:sz w:val="22"/>
              </w:rPr>
            </w:pPr>
            <w:r>
              <w:rPr>
                <w:rFonts w:hint="eastAsia" w:ascii="宋体" w:hAnsi="宋体"/>
                <w:sz w:val="22"/>
              </w:rPr>
              <w:t>美国JBT</w:t>
            </w:r>
          </w:p>
        </w:tc>
        <w:tc>
          <w:tcPr>
            <w:tcW w:w="1414" w:type="dxa"/>
            <w:vAlign w:val="center"/>
          </w:tcPr>
          <w:p>
            <w:pPr>
              <w:snapToGrid w:val="0"/>
              <w:jc w:val="center"/>
              <w:rPr>
                <w:rFonts w:ascii="宋体" w:hAnsi="宋体"/>
                <w:sz w:val="22"/>
              </w:rPr>
            </w:pPr>
            <w:r>
              <w:rPr>
                <w:rFonts w:hint="eastAsia" w:ascii="宋体" w:hAnsi="宋体"/>
                <w:sz w:val="22"/>
              </w:rPr>
              <w:t>Tempest TP11012</w:t>
            </w:r>
          </w:p>
        </w:tc>
        <w:tc>
          <w:tcPr>
            <w:tcW w:w="1033" w:type="dxa"/>
            <w:vAlign w:val="center"/>
          </w:tcPr>
          <w:p>
            <w:pPr>
              <w:snapToGrid w:val="0"/>
              <w:jc w:val="center"/>
              <w:rPr>
                <w:rFonts w:ascii="宋体" w:hAnsi="宋体"/>
                <w:sz w:val="22"/>
              </w:rPr>
            </w:pPr>
            <w:r>
              <w:rPr>
                <w:rFonts w:hint="eastAsia" w:ascii="宋体" w:hAnsi="宋体"/>
                <w:sz w:val="22"/>
              </w:rPr>
              <w:t>台</w:t>
            </w:r>
          </w:p>
        </w:tc>
        <w:tc>
          <w:tcPr>
            <w:tcW w:w="906" w:type="dxa"/>
            <w:vAlign w:val="center"/>
          </w:tcPr>
          <w:p>
            <w:pPr>
              <w:snapToGrid w:val="0"/>
              <w:jc w:val="center"/>
              <w:rPr>
                <w:rFonts w:ascii="宋体" w:hAnsi="宋体"/>
                <w:sz w:val="22"/>
              </w:rPr>
            </w:pPr>
            <w:r>
              <w:rPr>
                <w:rFonts w:hint="eastAsia" w:ascii="宋体" w:hAnsi="宋体"/>
                <w:sz w:val="22"/>
              </w:rPr>
              <w:t>1</w:t>
            </w:r>
          </w:p>
        </w:tc>
        <w:tc>
          <w:tcPr>
            <w:tcW w:w="2145" w:type="dxa"/>
            <w:vAlign w:val="center"/>
          </w:tcPr>
          <w:p>
            <w:pPr>
              <w:snapToGrid w:val="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0" w:hRule="atLeast"/>
          <w:jc w:val="center"/>
        </w:trPr>
        <w:tc>
          <w:tcPr>
            <w:tcW w:w="9530" w:type="dxa"/>
            <w:gridSpan w:val="7"/>
            <w:vAlign w:val="center"/>
          </w:tcPr>
          <w:p>
            <w:pPr>
              <w:snapToGrid w:val="0"/>
              <w:rPr>
                <w:rFonts w:ascii="宋体" w:hAnsi="宋体"/>
                <w:sz w:val="22"/>
              </w:rPr>
            </w:pPr>
            <w:r>
              <w:rPr>
                <w:rFonts w:hint="eastAsia" w:ascii="宋体" w:hAnsi="宋体"/>
                <w:sz w:val="22"/>
              </w:rPr>
              <w:t>总计（人民币大写）：　</w:t>
            </w:r>
          </w:p>
        </w:tc>
      </w:tr>
    </w:tbl>
    <w:p>
      <w:pPr>
        <w:snapToGrid w:val="0"/>
        <w:spacing w:line="400" w:lineRule="exact"/>
        <w:ind w:firstLine="440" w:firstLineChars="200"/>
        <w:rPr>
          <w:rFonts w:ascii="宋体" w:hAnsi="宋体"/>
          <w:sz w:val="22"/>
        </w:rPr>
      </w:pPr>
      <w:r>
        <w:rPr>
          <w:rFonts w:hint="eastAsia" w:ascii="宋体" w:hAnsi="宋体"/>
          <w:sz w:val="22"/>
        </w:rPr>
        <w:t>备注：1、按照招标文件维修项目，对更换的部件必须有委托方派出人员签字确认。</w:t>
      </w:r>
    </w:p>
    <w:p>
      <w:pPr>
        <w:snapToGrid w:val="0"/>
        <w:spacing w:line="400" w:lineRule="exact"/>
        <w:ind w:firstLine="440" w:firstLineChars="200"/>
        <w:rPr>
          <w:rFonts w:ascii="宋体" w:hAnsi="宋体"/>
          <w:sz w:val="22"/>
        </w:rPr>
      </w:pPr>
      <w:r>
        <w:rPr>
          <w:rFonts w:hint="eastAsia" w:ascii="宋体" w:hAnsi="宋体"/>
          <w:sz w:val="22"/>
        </w:rPr>
        <w:t xml:space="preserve">      2、质量标准依据原车用户使用手册。</w:t>
      </w:r>
    </w:p>
    <w:p>
      <w:pPr>
        <w:adjustRightInd w:val="0"/>
        <w:snapToGrid w:val="0"/>
        <w:spacing w:line="560" w:lineRule="exact"/>
        <w:ind w:firstLine="602"/>
        <w:rPr>
          <w:rFonts w:ascii="宋体" w:hAnsi="宋体"/>
          <w:sz w:val="22"/>
        </w:rPr>
      </w:pPr>
      <w:r>
        <w:rPr>
          <w:rFonts w:hint="eastAsia" w:ascii="宋体" w:hAnsi="宋体"/>
          <w:sz w:val="22"/>
        </w:rPr>
        <w:t>二、合同金额</w:t>
      </w:r>
    </w:p>
    <w:p>
      <w:pPr>
        <w:spacing w:line="560" w:lineRule="exact"/>
        <w:ind w:firstLine="422" w:firstLineChars="192"/>
        <w:rPr>
          <w:rFonts w:ascii="宋体" w:hAnsi="宋体"/>
          <w:sz w:val="22"/>
        </w:rPr>
      </w:pPr>
      <w:r>
        <w:rPr>
          <w:rFonts w:hint="eastAsia" w:ascii="宋体" w:hAnsi="宋体"/>
          <w:sz w:val="22"/>
        </w:rPr>
        <w:t>本合同金额为固定总价合同，合同金额为（大写）：人民币    ，（小写）¥       。本合同价为杭州萧山国际机场内交货价，含产品价格、运输费、包装费、保险费、税费等所有费用。甲方不再承担其他任何费用。</w:t>
      </w:r>
    </w:p>
    <w:p>
      <w:pPr>
        <w:spacing w:line="560" w:lineRule="exact"/>
        <w:ind w:firstLine="422" w:firstLineChars="192"/>
        <w:rPr>
          <w:rFonts w:ascii="宋体" w:hAnsi="宋体"/>
          <w:sz w:val="22"/>
        </w:rPr>
      </w:pPr>
      <w:r>
        <w:rPr>
          <w:rFonts w:hint="eastAsia" w:ascii="宋体" w:hAnsi="宋体"/>
          <w:sz w:val="22"/>
        </w:rPr>
        <w:t>在合同有效期限内，若因国家税收政策调整而引起的增值税税率变化的，应按照国家税收政策调整，合同总金额变更为原合同不含增值税货物或劳务价格与调整后税率计算税额的合计金额。</w:t>
      </w:r>
    </w:p>
    <w:p>
      <w:pPr>
        <w:snapToGrid w:val="0"/>
        <w:spacing w:line="400" w:lineRule="exact"/>
        <w:rPr>
          <w:rFonts w:ascii="宋体" w:hAnsi="宋体"/>
          <w:b/>
          <w:sz w:val="22"/>
        </w:rPr>
      </w:pPr>
      <w:r>
        <w:rPr>
          <w:rFonts w:hint="eastAsia" w:ascii="宋体" w:hAnsi="宋体"/>
          <w:b/>
          <w:sz w:val="22"/>
        </w:rPr>
        <w:t>三、维修地点：</w:t>
      </w:r>
    </w:p>
    <w:p>
      <w:pPr>
        <w:snapToGrid w:val="0"/>
        <w:spacing w:line="400" w:lineRule="exact"/>
        <w:ind w:firstLine="440" w:firstLineChars="200"/>
        <w:rPr>
          <w:rFonts w:ascii="宋体" w:hAnsi="宋体"/>
          <w:b/>
          <w:sz w:val="22"/>
        </w:rPr>
      </w:pPr>
      <w:r>
        <w:rPr>
          <w:rFonts w:hint="eastAsia" w:ascii="宋体" w:hAnsi="宋体"/>
          <w:sz w:val="22"/>
        </w:rPr>
        <w:t>乙方维修地。</w:t>
      </w:r>
    </w:p>
    <w:p>
      <w:pPr>
        <w:pStyle w:val="15"/>
        <w:snapToGrid w:val="0"/>
        <w:spacing w:line="400" w:lineRule="exact"/>
        <w:rPr>
          <w:b/>
          <w:sz w:val="22"/>
          <w:szCs w:val="22"/>
        </w:rPr>
      </w:pPr>
      <w:r>
        <w:rPr>
          <w:rFonts w:hint="eastAsia"/>
          <w:b/>
          <w:sz w:val="22"/>
          <w:szCs w:val="22"/>
        </w:rPr>
        <w:t>四、工期：</w:t>
      </w:r>
    </w:p>
    <w:p>
      <w:pPr>
        <w:snapToGrid w:val="0"/>
        <w:spacing w:line="400" w:lineRule="exact"/>
        <w:ind w:firstLine="440" w:firstLineChars="200"/>
        <w:rPr>
          <w:rFonts w:ascii="宋体" w:hAnsi="宋体"/>
          <w:sz w:val="22"/>
        </w:rPr>
      </w:pPr>
      <w:r>
        <w:rPr>
          <w:rFonts w:hint="eastAsia" w:ascii="宋体" w:hAnsi="宋体"/>
          <w:sz w:val="22"/>
        </w:rPr>
        <w:t xml:space="preserve">从合同签订日始计算维修工期40日历天，维修完成时间为2017年  月    日。 </w:t>
      </w:r>
    </w:p>
    <w:p>
      <w:pPr>
        <w:snapToGrid w:val="0"/>
        <w:spacing w:line="400" w:lineRule="exact"/>
        <w:ind w:firstLine="442" w:firstLineChars="200"/>
        <w:rPr>
          <w:rFonts w:ascii="宋体" w:hAnsi="宋体"/>
          <w:b/>
          <w:sz w:val="22"/>
        </w:rPr>
      </w:pPr>
      <w:r>
        <w:rPr>
          <w:rFonts w:hint="eastAsia" w:ascii="宋体" w:hAnsi="宋体"/>
          <w:b/>
          <w:sz w:val="22"/>
        </w:rPr>
        <w:t>五、验收地点：</w:t>
      </w:r>
    </w:p>
    <w:p>
      <w:pPr>
        <w:snapToGrid w:val="0"/>
        <w:spacing w:line="400" w:lineRule="exact"/>
        <w:ind w:firstLine="440" w:firstLineChars="200"/>
        <w:rPr>
          <w:rFonts w:ascii="宋体" w:hAnsi="宋体"/>
          <w:sz w:val="22"/>
        </w:rPr>
      </w:pPr>
      <w:r>
        <w:rPr>
          <w:rFonts w:hint="eastAsia" w:ascii="宋体" w:hAnsi="宋体"/>
          <w:sz w:val="22"/>
        </w:rPr>
        <w:t>设备在甲方现场交付，由乙方会同甲方有关人员共同进行验收；验收合格后双方签署产品交接单；</w:t>
      </w:r>
    </w:p>
    <w:p>
      <w:pPr>
        <w:snapToGrid w:val="0"/>
        <w:spacing w:line="400" w:lineRule="exact"/>
        <w:rPr>
          <w:rFonts w:ascii="宋体" w:hAnsi="宋体"/>
          <w:b/>
          <w:sz w:val="22"/>
        </w:rPr>
      </w:pPr>
      <w:r>
        <w:rPr>
          <w:rFonts w:hint="eastAsia" w:ascii="宋体" w:hAnsi="宋体"/>
          <w:b/>
          <w:sz w:val="22"/>
        </w:rPr>
        <w:t>六、安装、调试：</w:t>
      </w:r>
    </w:p>
    <w:p>
      <w:pPr>
        <w:snapToGrid w:val="0"/>
        <w:spacing w:line="400" w:lineRule="exact"/>
        <w:ind w:firstLine="440" w:firstLineChars="200"/>
        <w:rPr>
          <w:rFonts w:ascii="宋体" w:hAnsi="宋体"/>
          <w:sz w:val="22"/>
        </w:rPr>
      </w:pPr>
      <w:r>
        <w:rPr>
          <w:rFonts w:hint="eastAsia" w:ascii="宋体" w:hAnsi="宋体"/>
          <w:sz w:val="22"/>
        </w:rPr>
        <w:t>产品的安装、调试由乙方负责。</w:t>
      </w:r>
    </w:p>
    <w:p>
      <w:pPr>
        <w:snapToGrid w:val="0"/>
        <w:spacing w:line="400" w:lineRule="exact"/>
        <w:rPr>
          <w:rFonts w:ascii="宋体" w:hAnsi="宋体"/>
          <w:b/>
          <w:sz w:val="22"/>
        </w:rPr>
      </w:pPr>
      <w:r>
        <w:rPr>
          <w:rFonts w:hint="eastAsia" w:ascii="宋体" w:hAnsi="宋体"/>
          <w:b/>
          <w:sz w:val="22"/>
        </w:rPr>
        <w:t>七、结算方式：</w:t>
      </w:r>
    </w:p>
    <w:p>
      <w:pPr>
        <w:snapToGrid w:val="0"/>
        <w:spacing w:line="400" w:lineRule="exact"/>
        <w:ind w:firstLine="440" w:firstLineChars="200"/>
        <w:rPr>
          <w:rFonts w:ascii="宋体" w:hAnsi="宋体"/>
          <w:sz w:val="22"/>
        </w:rPr>
      </w:pPr>
      <w:r>
        <w:rPr>
          <w:rFonts w:hint="eastAsia" w:ascii="宋体" w:hAnsi="宋体"/>
          <w:sz w:val="22"/>
        </w:rPr>
        <w:t xml:space="preserve">1.设备验收合格后，收到乙方提供的13%税率增值税专用发票后，10日内支付合同总额的95％，留合同价的5%作为保修金，保修期满后30日内结清。 </w:t>
      </w:r>
    </w:p>
    <w:p>
      <w:pPr>
        <w:widowControl/>
        <w:snapToGrid w:val="0"/>
        <w:spacing w:line="360" w:lineRule="exact"/>
        <w:ind w:firstLine="440" w:firstLineChars="200"/>
        <w:rPr>
          <w:rFonts w:ascii="宋体" w:hAnsi="宋体" w:cs="宋体"/>
          <w:kern w:val="0"/>
          <w:sz w:val="22"/>
        </w:rPr>
      </w:pPr>
      <w:r>
        <w:rPr>
          <w:rFonts w:hint="eastAsia" w:ascii="宋体" w:hAnsi="宋体" w:cs="宋体"/>
          <w:kern w:val="0"/>
          <w:sz w:val="22"/>
        </w:rPr>
        <w:t>2.履约保证金</w:t>
      </w:r>
    </w:p>
    <w:p>
      <w:pPr>
        <w:widowControl/>
        <w:snapToGrid w:val="0"/>
        <w:spacing w:line="360" w:lineRule="exact"/>
        <w:ind w:firstLine="440" w:firstLineChars="200"/>
        <w:rPr>
          <w:rFonts w:ascii="宋体" w:hAnsi="宋体" w:cs="宋体"/>
          <w:kern w:val="0"/>
          <w:sz w:val="22"/>
        </w:rPr>
      </w:pPr>
      <w:r>
        <w:rPr>
          <w:rFonts w:hint="eastAsia" w:ascii="宋体" w:hAnsi="宋体" w:cs="宋体"/>
          <w:kern w:val="0"/>
          <w:sz w:val="22"/>
        </w:rPr>
        <w:t>2.1 乙方应在收到委托方中标通知书后10日内，向甲方支付合同价的10%作为履约保证金。如果逾期未缴纳，视为承修方违约，委托方有权不予签订合同，并有权追究承修方的违约责任。</w:t>
      </w:r>
    </w:p>
    <w:p>
      <w:pPr>
        <w:snapToGrid w:val="0"/>
        <w:spacing w:line="400" w:lineRule="exact"/>
        <w:ind w:firstLine="440" w:firstLineChars="200"/>
        <w:rPr>
          <w:rFonts w:ascii="宋体" w:hAnsi="宋体"/>
          <w:sz w:val="22"/>
        </w:rPr>
      </w:pPr>
      <w:r>
        <w:rPr>
          <w:rFonts w:hint="eastAsia" w:ascii="宋体" w:hAnsi="宋体"/>
          <w:sz w:val="22"/>
        </w:rPr>
        <w:t>2.2 在合同履行期间，如果乙方存在违约情形，甲方有权扣除相应款项，并书面通知承修方。乙方自收到书面通知之日起5日内提出异议并补足履约保证金，如果逾期未提出，视为同意。如果乙方不及时补足履约保证金，经甲方通知后3日内，仍未补足，视为乙方违约，甲方有权解除合同，并要求乙方承担相应的违约责任。待合同约定服务内容全部履行并取得甲方认可，乙方不存在任何违约情形，甲方在10日内无息返还履约保证金。</w:t>
      </w:r>
    </w:p>
    <w:p>
      <w:pPr>
        <w:pStyle w:val="15"/>
        <w:snapToGrid w:val="0"/>
        <w:spacing w:line="400" w:lineRule="exact"/>
        <w:rPr>
          <w:b/>
          <w:sz w:val="22"/>
          <w:szCs w:val="22"/>
        </w:rPr>
      </w:pPr>
      <w:r>
        <w:rPr>
          <w:rFonts w:hint="eastAsia"/>
          <w:b/>
          <w:sz w:val="22"/>
          <w:szCs w:val="22"/>
        </w:rPr>
        <w:t>八、保修期：</w:t>
      </w:r>
    </w:p>
    <w:p>
      <w:pPr>
        <w:snapToGrid w:val="0"/>
        <w:spacing w:line="400" w:lineRule="exact"/>
        <w:ind w:firstLine="440" w:firstLineChars="200"/>
        <w:rPr>
          <w:rFonts w:ascii="宋体" w:hAnsi="宋体"/>
          <w:sz w:val="22"/>
        </w:rPr>
      </w:pPr>
      <w:r>
        <w:rPr>
          <w:rFonts w:hint="eastAsia" w:ascii="宋体" w:hAnsi="宋体"/>
          <w:sz w:val="22"/>
        </w:rPr>
        <w:t>设备最终验收合格后，承修方对合同项下所维修项目提供为期12个月的保修期；保修期内，在接到报修通知后，服务人员在24小时内可赶到现场，对产品进行故障修复及现场维护，直到修妥后恢复正常使用，同时提供修复的书面报告并附图片，另外可根据情况对用户操作人员进行技术指导。保修期内，正常使用维护保养条件下出现的任何故障，承修方负责免费维修服务，如果发生的故障未被本合同附件一第一部分的修理范围覆盖，则材料费由委托方负担。保修期后，承修方提供终身有偿服务。</w:t>
      </w:r>
    </w:p>
    <w:p>
      <w:pPr>
        <w:pStyle w:val="15"/>
        <w:snapToGrid w:val="0"/>
        <w:spacing w:line="400" w:lineRule="exact"/>
        <w:rPr>
          <w:b/>
          <w:sz w:val="22"/>
          <w:szCs w:val="22"/>
        </w:rPr>
      </w:pPr>
      <w:r>
        <w:rPr>
          <w:rFonts w:hint="eastAsia"/>
          <w:b/>
          <w:sz w:val="22"/>
          <w:szCs w:val="22"/>
        </w:rPr>
        <w:t>九、违约责任：</w:t>
      </w:r>
    </w:p>
    <w:p>
      <w:pPr>
        <w:snapToGrid w:val="0"/>
        <w:spacing w:line="400" w:lineRule="exact"/>
        <w:ind w:firstLine="440" w:firstLineChars="200"/>
        <w:rPr>
          <w:rFonts w:ascii="宋体" w:hAnsi="宋体"/>
          <w:sz w:val="22"/>
        </w:rPr>
      </w:pPr>
      <w:r>
        <w:rPr>
          <w:rFonts w:hint="eastAsia" w:ascii="宋体" w:hAnsi="宋体"/>
          <w:sz w:val="22"/>
        </w:rPr>
        <w:t>1．乙方未能如期提供服务的，每日向甲方支付合同款项的0.5%作为违约金。乙方超过约定日期10个工作日仍不能提供服务的，甲方可解除本合同。如造成甲方损失超过违约金的，超出部分由乙方继续承担赔偿责任。</w:t>
      </w:r>
    </w:p>
    <w:p>
      <w:pPr>
        <w:snapToGrid w:val="0"/>
        <w:spacing w:line="400" w:lineRule="exact"/>
        <w:ind w:firstLine="440" w:firstLineChars="200"/>
        <w:rPr>
          <w:rFonts w:ascii="宋体" w:hAnsi="宋体"/>
          <w:sz w:val="22"/>
        </w:rPr>
      </w:pPr>
      <w:r>
        <w:rPr>
          <w:rFonts w:hint="eastAsia" w:ascii="宋体" w:hAnsi="宋体"/>
          <w:sz w:val="22"/>
        </w:rPr>
        <w:t>2．因乙方提供服务导致甲方或第三方人身、财产损害的，乙方须依法承担全部赔偿责任；如因该等损害导致甲方向第三方承担赔偿责任的，乙方须在委托方赔偿范围内全额向委托方作出赔偿。</w:t>
      </w:r>
    </w:p>
    <w:p>
      <w:pPr>
        <w:snapToGrid w:val="0"/>
        <w:spacing w:line="400" w:lineRule="exact"/>
        <w:ind w:firstLine="440" w:firstLineChars="200"/>
        <w:rPr>
          <w:rFonts w:ascii="宋体" w:hAnsi="宋体"/>
          <w:sz w:val="22"/>
        </w:rPr>
      </w:pPr>
      <w:r>
        <w:rPr>
          <w:rFonts w:hint="eastAsia" w:ascii="宋体" w:hAnsi="宋体"/>
          <w:sz w:val="22"/>
        </w:rPr>
        <w:t>3．除发生不可抗拒原因外，若甲方迟延付款，乙方有权要求委托方按每延期一天支付合同款的0.5%作为违约金。若实际付款日期超过合同约定的付款日期十五天，乙方有权解除合同，甲方应赔偿由此给承修方造成的所有损失。</w:t>
      </w:r>
    </w:p>
    <w:p>
      <w:pPr>
        <w:snapToGrid w:val="0"/>
        <w:spacing w:line="400" w:lineRule="exact"/>
        <w:ind w:firstLine="440" w:firstLineChars="200"/>
        <w:rPr>
          <w:rFonts w:ascii="宋体" w:hAnsi="宋体"/>
          <w:sz w:val="22"/>
        </w:rPr>
      </w:pPr>
      <w:r>
        <w:rPr>
          <w:rFonts w:hint="eastAsia" w:ascii="宋体" w:hAnsi="宋体"/>
          <w:sz w:val="22"/>
        </w:rPr>
        <w:t>4.除本合同另有规定外，乙方违反其在本合同项下其他义务并给委托方造成损失的，须向甲方承担全部赔偿责任。</w:t>
      </w:r>
    </w:p>
    <w:p>
      <w:pPr>
        <w:pStyle w:val="15"/>
        <w:snapToGrid w:val="0"/>
        <w:spacing w:line="400" w:lineRule="exact"/>
        <w:rPr>
          <w:b/>
          <w:sz w:val="22"/>
          <w:szCs w:val="22"/>
        </w:rPr>
      </w:pPr>
      <w:r>
        <w:rPr>
          <w:rFonts w:hint="eastAsia"/>
          <w:b/>
          <w:sz w:val="22"/>
          <w:szCs w:val="22"/>
        </w:rPr>
        <w:t>十、解决合同纠纷的方式：</w:t>
      </w:r>
    </w:p>
    <w:p>
      <w:pPr>
        <w:adjustRightInd w:val="0"/>
        <w:snapToGrid w:val="0"/>
        <w:spacing w:line="560" w:lineRule="exact"/>
        <w:ind w:firstLine="440" w:firstLineChars="200"/>
        <w:rPr>
          <w:rFonts w:ascii="宋体" w:hAnsi="宋体"/>
          <w:sz w:val="22"/>
        </w:rPr>
      </w:pPr>
      <w:r>
        <w:rPr>
          <w:rFonts w:hint="eastAsia" w:ascii="宋体" w:hAnsi="宋体"/>
          <w:sz w:val="22"/>
        </w:rPr>
        <w:t>双方在执行合同中所发生的一切争议，应通过协商解决。如协商不成，由甲方所在地的人民法院管辖审理。</w:t>
      </w:r>
    </w:p>
    <w:p>
      <w:pPr>
        <w:pStyle w:val="15"/>
        <w:snapToGrid w:val="0"/>
        <w:spacing w:line="400" w:lineRule="exact"/>
        <w:rPr>
          <w:b/>
          <w:sz w:val="22"/>
          <w:szCs w:val="22"/>
        </w:rPr>
      </w:pPr>
      <w:r>
        <w:rPr>
          <w:rFonts w:hint="eastAsia"/>
          <w:b/>
          <w:sz w:val="22"/>
          <w:szCs w:val="22"/>
        </w:rPr>
        <w:t>十一、合同组成文件包含下列内容，合同与招投标文件不一致解释顺序如下</w:t>
      </w:r>
    </w:p>
    <w:p>
      <w:pPr>
        <w:snapToGrid w:val="0"/>
        <w:spacing w:line="400" w:lineRule="exact"/>
        <w:ind w:firstLine="440" w:firstLineChars="200"/>
        <w:rPr>
          <w:rFonts w:ascii="宋体" w:hAnsi="宋体"/>
          <w:sz w:val="22"/>
        </w:rPr>
      </w:pPr>
      <w:r>
        <w:rPr>
          <w:rFonts w:hint="eastAsia" w:ascii="宋体" w:hAnsi="宋体"/>
          <w:sz w:val="22"/>
        </w:rPr>
        <w:t>1、本合同协议书</w:t>
      </w:r>
    </w:p>
    <w:p>
      <w:pPr>
        <w:snapToGrid w:val="0"/>
        <w:spacing w:line="400" w:lineRule="exact"/>
        <w:ind w:firstLine="440" w:firstLineChars="200"/>
        <w:rPr>
          <w:rFonts w:ascii="宋体" w:hAnsi="宋体"/>
          <w:sz w:val="22"/>
        </w:rPr>
      </w:pPr>
      <w:r>
        <w:rPr>
          <w:rFonts w:hint="eastAsia" w:ascii="宋体" w:hAnsi="宋体"/>
          <w:sz w:val="22"/>
        </w:rPr>
        <w:t>2、中标通知书</w:t>
      </w:r>
    </w:p>
    <w:p>
      <w:pPr>
        <w:snapToGrid w:val="0"/>
        <w:spacing w:line="400" w:lineRule="exact"/>
        <w:ind w:firstLine="440" w:firstLineChars="200"/>
        <w:rPr>
          <w:rFonts w:ascii="宋体" w:hAnsi="宋体"/>
          <w:sz w:val="22"/>
        </w:rPr>
      </w:pPr>
      <w:r>
        <w:rPr>
          <w:rFonts w:hint="eastAsia" w:ascii="宋体" w:hAnsi="宋体"/>
          <w:sz w:val="22"/>
        </w:rPr>
        <w:t>3、招标文件</w:t>
      </w:r>
    </w:p>
    <w:p>
      <w:pPr>
        <w:snapToGrid w:val="0"/>
        <w:spacing w:line="400" w:lineRule="exact"/>
        <w:ind w:firstLine="440" w:firstLineChars="200"/>
        <w:rPr>
          <w:rFonts w:ascii="宋体" w:hAnsi="宋体"/>
          <w:sz w:val="22"/>
        </w:rPr>
      </w:pPr>
      <w:r>
        <w:rPr>
          <w:rFonts w:hint="eastAsia" w:ascii="宋体" w:hAnsi="宋体"/>
          <w:sz w:val="22"/>
        </w:rPr>
        <w:t>4、投标书及其附件</w:t>
      </w:r>
    </w:p>
    <w:p>
      <w:pPr>
        <w:snapToGrid w:val="0"/>
        <w:spacing w:line="400" w:lineRule="exact"/>
        <w:ind w:firstLine="440" w:firstLineChars="200"/>
        <w:rPr>
          <w:rFonts w:ascii="宋体" w:hAnsi="宋体"/>
          <w:sz w:val="22"/>
        </w:rPr>
      </w:pPr>
      <w:r>
        <w:rPr>
          <w:rFonts w:hint="eastAsia" w:ascii="宋体" w:hAnsi="宋体"/>
          <w:sz w:val="22"/>
        </w:rPr>
        <w:t xml:space="preserve">5、标准、规范及有关技术文件  </w:t>
      </w:r>
    </w:p>
    <w:p>
      <w:pPr>
        <w:pStyle w:val="15"/>
        <w:snapToGrid w:val="0"/>
        <w:spacing w:line="400" w:lineRule="exact"/>
        <w:rPr>
          <w:b/>
          <w:sz w:val="22"/>
          <w:szCs w:val="22"/>
        </w:rPr>
      </w:pPr>
      <w:r>
        <w:rPr>
          <w:rFonts w:hint="eastAsia"/>
          <w:b/>
          <w:sz w:val="22"/>
          <w:szCs w:val="22"/>
        </w:rPr>
        <w:t>十二、合同生效及其它</w:t>
      </w:r>
    </w:p>
    <w:p>
      <w:pPr>
        <w:snapToGrid w:val="0"/>
        <w:spacing w:line="400" w:lineRule="exact"/>
        <w:ind w:firstLine="440" w:firstLineChars="200"/>
        <w:rPr>
          <w:rFonts w:ascii="宋体" w:hAnsi="宋体"/>
          <w:sz w:val="22"/>
        </w:rPr>
      </w:pPr>
      <w:r>
        <w:rPr>
          <w:rFonts w:hint="eastAsia" w:ascii="宋体" w:hAnsi="宋体"/>
          <w:sz w:val="22"/>
        </w:rPr>
        <w:t>1．合同经双方法定代表人或授权代表签字并加盖单位公章后之日起生效。</w:t>
      </w:r>
    </w:p>
    <w:p>
      <w:pPr>
        <w:snapToGrid w:val="0"/>
        <w:spacing w:line="400" w:lineRule="exact"/>
        <w:ind w:firstLine="440" w:firstLineChars="200"/>
        <w:rPr>
          <w:rFonts w:ascii="宋体" w:hAnsi="宋体"/>
          <w:sz w:val="22"/>
        </w:rPr>
      </w:pPr>
      <w:r>
        <w:rPr>
          <w:rFonts w:hint="eastAsia" w:ascii="宋体" w:hAnsi="宋体"/>
          <w:sz w:val="22"/>
        </w:rPr>
        <w:t>2.本合同未尽事宜，双方可签订补充协议予以执行；未达成补充协议的，遵照《合同法》及有关法律法规执行。</w:t>
      </w:r>
    </w:p>
    <w:p>
      <w:pPr>
        <w:snapToGrid w:val="0"/>
        <w:spacing w:line="400" w:lineRule="exact"/>
        <w:ind w:firstLine="440" w:firstLineChars="200"/>
        <w:rPr>
          <w:rFonts w:ascii="宋体" w:hAnsi="宋体"/>
          <w:sz w:val="22"/>
        </w:rPr>
      </w:pPr>
      <w:r>
        <w:rPr>
          <w:rFonts w:hint="eastAsia" w:ascii="宋体" w:hAnsi="宋体"/>
          <w:sz w:val="22"/>
        </w:rPr>
        <w:t>3. 本合同一式陆份，甲执四份，乙方持二份，具有同等法律效力</w:t>
      </w:r>
      <w:r>
        <w:rPr>
          <w:rFonts w:hint="eastAsia" w:ascii="仿宋_GB2312" w:hAnsi="仿宋" w:eastAsia="仿宋_GB2312"/>
          <w:sz w:val="28"/>
          <w:szCs w:val="28"/>
        </w:rPr>
        <w:t>。</w:t>
      </w:r>
    </w:p>
    <w:p>
      <w:pPr>
        <w:tabs>
          <w:tab w:val="right" w:pos="8306"/>
        </w:tabs>
        <w:adjustRightInd w:val="0"/>
        <w:snapToGrid w:val="0"/>
        <w:spacing w:line="560" w:lineRule="exact"/>
        <w:rPr>
          <w:rFonts w:ascii="宋体" w:hAnsi="宋体"/>
          <w:sz w:val="22"/>
        </w:rPr>
      </w:pPr>
    </w:p>
    <w:p>
      <w:pPr>
        <w:tabs>
          <w:tab w:val="right" w:pos="8306"/>
        </w:tabs>
        <w:adjustRightInd w:val="0"/>
        <w:snapToGrid w:val="0"/>
        <w:spacing w:line="560" w:lineRule="exact"/>
        <w:ind w:firstLine="440" w:firstLineChars="200"/>
        <w:rPr>
          <w:rFonts w:ascii="宋体" w:hAnsi="宋体"/>
          <w:sz w:val="22"/>
        </w:rPr>
      </w:pPr>
      <w:r>
        <w:rPr>
          <w:rFonts w:hint="eastAsia" w:ascii="宋体" w:hAnsi="宋体"/>
          <w:sz w:val="22"/>
        </w:rPr>
        <w:tab/>
      </w:r>
    </w:p>
    <w:p>
      <w:pPr>
        <w:adjustRightInd w:val="0"/>
        <w:snapToGrid w:val="0"/>
        <w:spacing w:line="560" w:lineRule="exact"/>
        <w:ind w:left="3520" w:hanging="3520" w:hangingChars="1600"/>
        <w:rPr>
          <w:rFonts w:ascii="宋体" w:hAnsi="宋体"/>
          <w:sz w:val="22"/>
        </w:rPr>
      </w:pPr>
      <w:r>
        <w:rPr>
          <w:rFonts w:hint="eastAsia" w:ascii="宋体" w:hAnsi="宋体"/>
          <w:sz w:val="22"/>
        </w:rPr>
        <w:t>甲方：杭州萧山国际机场有限公司  乙方：</w:t>
      </w:r>
    </w:p>
    <w:p>
      <w:pPr>
        <w:adjustRightInd w:val="0"/>
        <w:snapToGrid w:val="0"/>
        <w:spacing w:line="560" w:lineRule="exact"/>
        <w:ind w:left="6750" w:hanging="6750"/>
        <w:rPr>
          <w:rFonts w:ascii="宋体" w:hAnsi="宋体"/>
          <w:sz w:val="22"/>
        </w:rPr>
      </w:pPr>
      <w:r>
        <w:rPr>
          <w:rFonts w:hint="eastAsia" w:ascii="宋体" w:hAnsi="宋体"/>
          <w:sz w:val="22"/>
        </w:rPr>
        <w:t>地址：杭州萧山国际机场内        地址：</w:t>
      </w:r>
    </w:p>
    <w:p>
      <w:pPr>
        <w:adjustRightInd w:val="0"/>
        <w:snapToGrid w:val="0"/>
        <w:spacing w:line="560" w:lineRule="exact"/>
        <w:ind w:left="6750" w:hanging="6750"/>
        <w:rPr>
          <w:rFonts w:ascii="宋体" w:hAnsi="宋体"/>
          <w:sz w:val="22"/>
        </w:rPr>
      </w:pPr>
    </w:p>
    <w:p>
      <w:pPr>
        <w:adjustRightInd w:val="0"/>
        <w:snapToGrid w:val="0"/>
        <w:spacing w:line="560" w:lineRule="exact"/>
        <w:rPr>
          <w:rFonts w:ascii="宋体" w:hAnsi="宋体"/>
          <w:sz w:val="22"/>
        </w:rPr>
      </w:pPr>
      <w:r>
        <w:rPr>
          <w:rFonts w:hint="eastAsia" w:ascii="宋体" w:hAnsi="宋体"/>
          <w:sz w:val="22"/>
        </w:rPr>
        <w:t>法定代表人：                     法定代表人：</w:t>
      </w:r>
    </w:p>
    <w:p>
      <w:pPr>
        <w:adjustRightInd w:val="0"/>
        <w:snapToGrid w:val="0"/>
        <w:spacing w:line="560" w:lineRule="exact"/>
        <w:rPr>
          <w:rFonts w:ascii="宋体" w:hAnsi="宋体"/>
          <w:sz w:val="22"/>
        </w:rPr>
      </w:pPr>
      <w:r>
        <w:rPr>
          <w:rFonts w:hint="eastAsia" w:ascii="宋体" w:hAnsi="宋体"/>
          <w:sz w:val="22"/>
        </w:rPr>
        <w:t>或                               或</w:t>
      </w:r>
    </w:p>
    <w:p>
      <w:pPr>
        <w:adjustRightInd w:val="0"/>
        <w:snapToGrid w:val="0"/>
        <w:spacing w:line="560" w:lineRule="exact"/>
        <w:rPr>
          <w:rFonts w:ascii="宋体" w:hAnsi="宋体"/>
          <w:sz w:val="22"/>
        </w:rPr>
      </w:pPr>
      <w:r>
        <w:rPr>
          <w:rFonts w:hint="eastAsia" w:ascii="宋体" w:hAnsi="宋体"/>
          <w:sz w:val="22"/>
        </w:rPr>
        <w:t>授权代表：                       授权代表：</w:t>
      </w:r>
    </w:p>
    <w:p>
      <w:pPr>
        <w:adjustRightInd w:val="0"/>
        <w:snapToGrid w:val="0"/>
        <w:spacing w:line="560" w:lineRule="exact"/>
        <w:rPr>
          <w:rFonts w:ascii="宋体" w:hAnsi="宋体"/>
          <w:sz w:val="22"/>
        </w:rPr>
      </w:pPr>
      <w:r>
        <w:rPr>
          <w:rFonts w:hint="eastAsia" w:ascii="宋体" w:hAnsi="宋体"/>
          <w:sz w:val="22"/>
        </w:rPr>
        <w:t xml:space="preserve">签字日期：                       签字日期： </w:t>
      </w:r>
    </w:p>
    <w:p>
      <w:pPr>
        <w:adjustRightInd w:val="0"/>
        <w:snapToGrid w:val="0"/>
        <w:spacing w:line="560" w:lineRule="exact"/>
        <w:ind w:firstLine="440" w:firstLineChars="200"/>
        <w:rPr>
          <w:rFonts w:ascii="宋体" w:hAnsi="宋体"/>
          <w:sz w:val="22"/>
        </w:rPr>
      </w:pPr>
      <w:r>
        <w:rPr>
          <w:rFonts w:hint="eastAsia" w:ascii="宋体" w:hAnsi="宋体"/>
          <w:sz w:val="22"/>
        </w:rPr>
        <w:t>年  月  日                      年  月  日</w:t>
      </w:r>
    </w:p>
    <w:p>
      <w:pPr>
        <w:spacing w:line="560" w:lineRule="exact"/>
        <w:ind w:firstLine="440" w:firstLineChars="200"/>
        <w:rPr>
          <w:rFonts w:ascii="宋体" w:hAnsi="宋体"/>
          <w:sz w:val="22"/>
        </w:rPr>
      </w:pPr>
    </w:p>
    <w:p>
      <w:pPr>
        <w:spacing w:line="560" w:lineRule="exact"/>
        <w:rPr>
          <w:rFonts w:ascii="宋体" w:hAnsi="宋体"/>
          <w:sz w:val="22"/>
        </w:rPr>
      </w:pPr>
    </w:p>
    <w:p>
      <w:pPr>
        <w:spacing w:line="560" w:lineRule="exact"/>
        <w:rPr>
          <w:rFonts w:ascii="宋体" w:hAnsi="宋体"/>
          <w:sz w:val="22"/>
        </w:rPr>
      </w:pPr>
    </w:p>
    <w:p>
      <w:pPr>
        <w:spacing w:line="560" w:lineRule="exact"/>
        <w:rPr>
          <w:rFonts w:ascii="宋体" w:hAnsi="宋体"/>
          <w:sz w:val="22"/>
        </w:rPr>
      </w:pPr>
    </w:p>
    <w:p>
      <w:pPr>
        <w:spacing w:line="560" w:lineRule="exact"/>
        <w:rPr>
          <w:rFonts w:ascii="宋体" w:hAnsi="宋体"/>
          <w:sz w:val="22"/>
        </w:rPr>
      </w:pPr>
    </w:p>
    <w:p>
      <w:pPr>
        <w:rPr>
          <w:rFonts w:ascii="宋体" w:hAnsi="宋体"/>
          <w:sz w:val="22"/>
        </w:rPr>
      </w:pPr>
    </w:p>
    <w:p>
      <w:pPr>
        <w:rPr>
          <w:rFonts w:ascii="宋体" w:hAnsi="宋体"/>
          <w:sz w:val="22"/>
        </w:rPr>
      </w:pPr>
    </w:p>
    <w:p>
      <w:pPr>
        <w:rPr>
          <w:rFonts w:ascii="宋体" w:hAnsi="宋体"/>
          <w:sz w:val="22"/>
        </w:rPr>
      </w:pPr>
    </w:p>
    <w:p>
      <w:pPr>
        <w:rPr>
          <w:rFonts w:ascii="宋体" w:hAnsi="宋体"/>
          <w:sz w:val="22"/>
        </w:rPr>
      </w:pPr>
      <w:r>
        <w:rPr>
          <w:rFonts w:hint="eastAsia" w:ascii="宋体" w:hAnsi="宋体"/>
          <w:sz w:val="22"/>
        </w:rPr>
        <w:t>附件1：</w:t>
      </w:r>
    </w:p>
    <w:p>
      <w:pPr>
        <w:pStyle w:val="125"/>
        <w:spacing w:line="360" w:lineRule="exact"/>
        <w:ind w:firstLine="440"/>
        <w:jc w:val="center"/>
        <w:rPr>
          <w:rFonts w:ascii="宋体" w:hAnsi="宋体"/>
          <w:color w:val="auto"/>
          <w:sz w:val="22"/>
          <w:szCs w:val="22"/>
        </w:rPr>
      </w:pPr>
      <w:r>
        <w:rPr>
          <w:rFonts w:hint="eastAsia" w:ascii="宋体" w:hAnsi="宋体"/>
          <w:color w:val="auto"/>
          <w:sz w:val="22"/>
          <w:szCs w:val="22"/>
        </w:rPr>
        <w:t>杭州萧山国际机场有限公司廉洁自律承诺书</w:t>
      </w:r>
    </w:p>
    <w:p>
      <w:pPr>
        <w:pStyle w:val="125"/>
        <w:spacing w:line="360" w:lineRule="exact"/>
        <w:ind w:firstLine="440"/>
        <w:rPr>
          <w:rFonts w:ascii="宋体" w:hAnsi="宋体"/>
          <w:color w:val="auto"/>
          <w:sz w:val="22"/>
          <w:szCs w:val="22"/>
        </w:rPr>
      </w:pPr>
    </w:p>
    <w:p>
      <w:pPr>
        <w:pStyle w:val="125"/>
        <w:spacing w:line="360" w:lineRule="exact"/>
        <w:ind w:firstLine="440"/>
        <w:rPr>
          <w:rFonts w:ascii="宋体" w:hAnsi="宋体"/>
          <w:color w:val="auto"/>
          <w:sz w:val="22"/>
          <w:szCs w:val="22"/>
        </w:rPr>
      </w:pPr>
      <w:r>
        <w:rPr>
          <w:rFonts w:hint="eastAsia" w:ascii="宋体" w:hAnsi="宋体"/>
          <w:color w:val="auto"/>
          <w:sz w:val="22"/>
          <w:szCs w:val="22"/>
        </w:rPr>
        <w:t>杭州萧山国际机场有限公司：</w:t>
      </w:r>
    </w:p>
    <w:p>
      <w:pPr>
        <w:pStyle w:val="125"/>
        <w:spacing w:line="360" w:lineRule="exact"/>
        <w:ind w:firstLine="440"/>
        <w:rPr>
          <w:rFonts w:ascii="宋体" w:hAnsi="宋体"/>
          <w:color w:val="auto"/>
          <w:sz w:val="22"/>
          <w:szCs w:val="22"/>
        </w:rPr>
      </w:pPr>
      <w:r>
        <w:rPr>
          <w:rFonts w:hint="eastAsia" w:ascii="宋体" w:hAnsi="宋体"/>
          <w:color w:val="auto"/>
          <w:sz w:val="22"/>
          <w:szCs w:val="22"/>
        </w:rPr>
        <w:t>我单位响应贵公司项目招标要求，参加项目投标。在投标过程中及中标后，我们将严格遵守国家法律法规和贵司招标文件要求，并郑重作出如下承诺和保证：</w:t>
      </w:r>
    </w:p>
    <w:p>
      <w:pPr>
        <w:pStyle w:val="125"/>
        <w:spacing w:line="360" w:lineRule="exact"/>
        <w:ind w:firstLine="440"/>
        <w:rPr>
          <w:rFonts w:ascii="宋体" w:hAnsi="宋体"/>
          <w:color w:val="auto"/>
          <w:sz w:val="22"/>
          <w:szCs w:val="22"/>
        </w:rPr>
      </w:pPr>
      <w:r>
        <w:rPr>
          <w:rFonts w:hint="eastAsia" w:ascii="宋体" w:hAnsi="宋体"/>
          <w:color w:val="auto"/>
          <w:sz w:val="22"/>
          <w:szCs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25"/>
        <w:spacing w:line="360" w:lineRule="exact"/>
        <w:ind w:firstLine="440"/>
        <w:rPr>
          <w:rFonts w:ascii="宋体" w:hAnsi="宋体"/>
          <w:color w:val="auto"/>
          <w:sz w:val="22"/>
          <w:szCs w:val="22"/>
        </w:rPr>
      </w:pPr>
      <w:r>
        <w:rPr>
          <w:rFonts w:hint="eastAsia" w:ascii="宋体" w:hAnsi="宋体"/>
          <w:color w:val="auto"/>
          <w:sz w:val="22"/>
          <w:szCs w:val="22"/>
        </w:rPr>
        <w:t>二、不以任何名义为贵公司有关人员或项目第三方人员报销应由贵公司或个人支付的费用；</w:t>
      </w:r>
    </w:p>
    <w:p>
      <w:pPr>
        <w:pStyle w:val="125"/>
        <w:spacing w:line="360" w:lineRule="exact"/>
        <w:ind w:firstLine="440"/>
        <w:rPr>
          <w:rFonts w:ascii="宋体" w:hAnsi="宋体"/>
          <w:color w:val="auto"/>
          <w:sz w:val="22"/>
          <w:szCs w:val="22"/>
        </w:rPr>
      </w:pPr>
      <w:r>
        <w:rPr>
          <w:rFonts w:hint="eastAsia" w:ascii="宋体" w:hAnsi="宋体"/>
          <w:color w:val="auto"/>
          <w:sz w:val="22"/>
          <w:szCs w:val="22"/>
        </w:rPr>
        <w:t>三、不向贵公司有关人员或项目第三方人员提供宴请、旅游、和健身娱乐等活动；</w:t>
      </w:r>
    </w:p>
    <w:p>
      <w:pPr>
        <w:pStyle w:val="125"/>
        <w:spacing w:line="360" w:lineRule="exact"/>
        <w:ind w:firstLine="440"/>
        <w:rPr>
          <w:rFonts w:ascii="宋体" w:hAnsi="宋体"/>
          <w:color w:val="auto"/>
          <w:sz w:val="22"/>
          <w:szCs w:val="22"/>
        </w:rPr>
      </w:pPr>
      <w:r>
        <w:rPr>
          <w:rFonts w:hint="eastAsia" w:ascii="宋体" w:hAnsi="宋体"/>
          <w:color w:val="auto"/>
          <w:sz w:val="22"/>
          <w:szCs w:val="22"/>
        </w:rPr>
        <w:t>四、不为贵公司有关人员或项目第三方人员出国（境）、旅游等提供方便；</w:t>
      </w:r>
    </w:p>
    <w:p>
      <w:pPr>
        <w:pStyle w:val="125"/>
        <w:spacing w:line="360" w:lineRule="exact"/>
        <w:ind w:firstLine="440"/>
        <w:rPr>
          <w:rFonts w:ascii="宋体" w:hAnsi="宋体"/>
          <w:color w:val="auto"/>
          <w:sz w:val="22"/>
          <w:szCs w:val="22"/>
        </w:rPr>
      </w:pPr>
      <w:r>
        <w:rPr>
          <w:rFonts w:hint="eastAsia" w:ascii="宋体" w:hAnsi="宋体"/>
          <w:color w:val="auto"/>
          <w:sz w:val="22"/>
          <w:szCs w:val="22"/>
        </w:rPr>
        <w:t>五、不为贵公司有关人员或项目第三方人员个人装修住房、婚丧嫁娶、配偶子女工作安排等提供好处或便利条件；</w:t>
      </w:r>
    </w:p>
    <w:p>
      <w:pPr>
        <w:pStyle w:val="125"/>
        <w:spacing w:line="360" w:lineRule="exact"/>
        <w:ind w:firstLine="440"/>
        <w:rPr>
          <w:rFonts w:ascii="宋体" w:hAnsi="宋体"/>
          <w:color w:val="auto"/>
          <w:sz w:val="22"/>
          <w:szCs w:val="22"/>
        </w:rPr>
      </w:pPr>
      <w:r>
        <w:rPr>
          <w:rFonts w:hint="eastAsia" w:ascii="宋体" w:hAnsi="宋体"/>
          <w:color w:val="auto"/>
          <w:sz w:val="22"/>
          <w:szCs w:val="22"/>
        </w:rPr>
        <w:t>六、严格遵守国家招标投标法、合同法等法律规定，诚实守信，合法经营，坚决杜绝各种违法违纪行为。</w:t>
      </w:r>
    </w:p>
    <w:p>
      <w:pPr>
        <w:pStyle w:val="125"/>
        <w:spacing w:line="360" w:lineRule="exact"/>
        <w:ind w:firstLine="440"/>
        <w:rPr>
          <w:rFonts w:ascii="宋体" w:hAnsi="宋体"/>
          <w:color w:val="auto"/>
          <w:sz w:val="22"/>
          <w:szCs w:val="22"/>
        </w:rPr>
      </w:pPr>
      <w:r>
        <w:rPr>
          <w:rFonts w:hint="eastAsia" w:ascii="宋体" w:hAnsi="宋体"/>
          <w:color w:val="auto"/>
          <w:sz w:val="22"/>
          <w:szCs w:val="22"/>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125"/>
        <w:spacing w:line="360" w:lineRule="exact"/>
        <w:ind w:firstLine="440"/>
        <w:rPr>
          <w:rFonts w:ascii="宋体" w:hAnsi="宋体"/>
          <w:color w:val="auto"/>
          <w:sz w:val="22"/>
          <w:szCs w:val="22"/>
        </w:rPr>
      </w:pPr>
      <w:r>
        <w:rPr>
          <w:rFonts w:hint="eastAsia" w:ascii="宋体" w:hAnsi="宋体"/>
          <w:color w:val="auto"/>
          <w:sz w:val="22"/>
          <w:szCs w:val="22"/>
        </w:rPr>
        <w:t>八、如违反上述廉洁自律承诺，贵公司有权：</w:t>
      </w:r>
    </w:p>
    <w:p>
      <w:pPr>
        <w:pStyle w:val="125"/>
        <w:spacing w:line="360" w:lineRule="exact"/>
        <w:ind w:firstLine="440"/>
        <w:rPr>
          <w:rFonts w:ascii="宋体" w:hAnsi="宋体"/>
          <w:color w:val="auto"/>
          <w:sz w:val="22"/>
          <w:szCs w:val="22"/>
        </w:rPr>
      </w:pPr>
      <w:r>
        <w:rPr>
          <w:rFonts w:hint="eastAsia" w:ascii="宋体" w:hAnsi="宋体"/>
          <w:color w:val="auto"/>
          <w:sz w:val="22"/>
          <w:szCs w:val="22"/>
        </w:rPr>
        <w:t>（1）立即取消我单位投标、中标或在建项目的实施资格；</w:t>
      </w:r>
    </w:p>
    <w:p>
      <w:pPr>
        <w:pStyle w:val="125"/>
        <w:spacing w:line="360" w:lineRule="exact"/>
        <w:ind w:firstLine="440"/>
        <w:rPr>
          <w:rFonts w:ascii="宋体" w:hAnsi="宋体"/>
          <w:color w:val="auto"/>
          <w:sz w:val="22"/>
          <w:szCs w:val="22"/>
        </w:rPr>
      </w:pPr>
      <w:r>
        <w:rPr>
          <w:rFonts w:hint="eastAsia" w:ascii="宋体" w:hAnsi="宋体"/>
          <w:color w:val="auto"/>
          <w:sz w:val="22"/>
          <w:szCs w:val="22"/>
        </w:rPr>
        <w:t>（2）扣除我方向贵公司缴纳的履约保证金的10%作为违反廉洁自律承诺的违约金。如该违约金不足以弥补贵公司损失的，我单位仍将承担实际损失赔偿责任。</w:t>
      </w:r>
    </w:p>
    <w:p>
      <w:pPr>
        <w:pStyle w:val="125"/>
        <w:spacing w:line="360" w:lineRule="exact"/>
        <w:ind w:firstLine="440"/>
        <w:rPr>
          <w:rFonts w:ascii="宋体" w:hAnsi="宋体"/>
          <w:color w:val="auto"/>
          <w:sz w:val="22"/>
          <w:szCs w:val="22"/>
        </w:rPr>
      </w:pPr>
      <w:r>
        <w:rPr>
          <w:rFonts w:hint="eastAsia" w:ascii="宋体" w:hAnsi="宋体"/>
          <w:color w:val="auto"/>
          <w:sz w:val="22"/>
          <w:szCs w:val="22"/>
        </w:rPr>
        <w:t>（3）拒绝我单位在一定时期内进入贵公司进行项目建设或其它经营活动；</w:t>
      </w:r>
    </w:p>
    <w:p>
      <w:pPr>
        <w:pStyle w:val="125"/>
        <w:spacing w:line="360" w:lineRule="exact"/>
        <w:ind w:firstLine="440"/>
        <w:rPr>
          <w:rFonts w:ascii="宋体" w:hAnsi="宋体"/>
          <w:color w:val="auto"/>
          <w:sz w:val="22"/>
          <w:szCs w:val="22"/>
        </w:rPr>
      </w:pPr>
      <w:r>
        <w:rPr>
          <w:rFonts w:hint="eastAsia" w:ascii="宋体" w:hAnsi="宋体"/>
          <w:color w:val="auto"/>
          <w:sz w:val="22"/>
          <w:szCs w:val="22"/>
        </w:rPr>
        <w:t>（4）由此引起的相应损失均由我单位承担。</w:t>
      </w:r>
    </w:p>
    <w:p>
      <w:pPr>
        <w:pStyle w:val="125"/>
        <w:spacing w:line="360" w:lineRule="exact"/>
        <w:ind w:firstLine="440"/>
        <w:rPr>
          <w:rFonts w:ascii="宋体" w:hAnsi="宋体"/>
          <w:color w:val="auto"/>
          <w:sz w:val="22"/>
          <w:szCs w:val="22"/>
        </w:rPr>
      </w:pPr>
    </w:p>
    <w:p>
      <w:pPr>
        <w:pStyle w:val="125"/>
        <w:spacing w:line="360" w:lineRule="exact"/>
        <w:ind w:firstLine="440"/>
        <w:rPr>
          <w:rFonts w:ascii="宋体" w:hAnsi="宋体"/>
          <w:color w:val="auto"/>
          <w:sz w:val="22"/>
          <w:szCs w:val="22"/>
        </w:rPr>
      </w:pPr>
    </w:p>
    <w:p>
      <w:pPr>
        <w:pStyle w:val="125"/>
        <w:spacing w:line="360" w:lineRule="exact"/>
        <w:ind w:firstLine="440"/>
        <w:rPr>
          <w:rFonts w:ascii="宋体" w:hAnsi="宋体"/>
          <w:color w:val="auto"/>
          <w:sz w:val="22"/>
          <w:szCs w:val="22"/>
        </w:rPr>
      </w:pPr>
    </w:p>
    <w:p>
      <w:pPr>
        <w:pStyle w:val="125"/>
        <w:spacing w:line="360" w:lineRule="exact"/>
        <w:ind w:firstLine="440"/>
        <w:rPr>
          <w:rFonts w:ascii="宋体" w:hAnsi="宋体"/>
          <w:color w:val="auto"/>
          <w:sz w:val="22"/>
          <w:szCs w:val="22"/>
        </w:rPr>
      </w:pPr>
    </w:p>
    <w:p>
      <w:pPr>
        <w:pStyle w:val="125"/>
        <w:spacing w:line="360" w:lineRule="exact"/>
        <w:ind w:firstLine="440"/>
        <w:rPr>
          <w:rFonts w:ascii="宋体" w:hAnsi="宋体"/>
          <w:color w:val="auto"/>
          <w:sz w:val="22"/>
          <w:szCs w:val="22"/>
        </w:rPr>
      </w:pPr>
    </w:p>
    <w:p>
      <w:pPr>
        <w:pStyle w:val="125"/>
        <w:spacing w:line="360" w:lineRule="exact"/>
        <w:ind w:firstLine="440"/>
        <w:rPr>
          <w:rFonts w:ascii="宋体" w:hAnsi="宋体"/>
          <w:color w:val="auto"/>
          <w:sz w:val="22"/>
          <w:szCs w:val="22"/>
        </w:rPr>
      </w:pPr>
      <w:r>
        <w:rPr>
          <w:rFonts w:hint="eastAsia" w:ascii="宋体" w:hAnsi="宋体"/>
          <w:color w:val="auto"/>
          <w:sz w:val="22"/>
          <w:szCs w:val="22"/>
        </w:rPr>
        <w:t xml:space="preserve">承诺人单位名称（盖章）：            </w:t>
      </w:r>
    </w:p>
    <w:p>
      <w:pPr>
        <w:pStyle w:val="125"/>
        <w:spacing w:line="360" w:lineRule="exact"/>
        <w:ind w:firstLine="440"/>
        <w:rPr>
          <w:rFonts w:ascii="宋体" w:hAnsi="宋体"/>
          <w:color w:val="auto"/>
          <w:sz w:val="22"/>
          <w:szCs w:val="22"/>
        </w:rPr>
      </w:pPr>
      <w:r>
        <w:rPr>
          <w:rFonts w:hint="eastAsia" w:ascii="宋体" w:hAnsi="宋体"/>
          <w:color w:val="auto"/>
          <w:sz w:val="22"/>
          <w:szCs w:val="22"/>
        </w:rPr>
        <w:t xml:space="preserve">法定代表人 ：                    </w:t>
      </w:r>
    </w:p>
    <w:p>
      <w:pPr>
        <w:pStyle w:val="125"/>
        <w:spacing w:line="360" w:lineRule="exact"/>
        <w:ind w:firstLine="440"/>
        <w:rPr>
          <w:rFonts w:ascii="宋体" w:hAnsi="宋体"/>
          <w:color w:val="auto"/>
          <w:sz w:val="22"/>
          <w:szCs w:val="22"/>
        </w:rPr>
      </w:pPr>
      <w:r>
        <w:rPr>
          <w:rFonts w:hint="eastAsia" w:ascii="宋体" w:hAnsi="宋体"/>
          <w:color w:val="auto"/>
          <w:sz w:val="22"/>
          <w:szCs w:val="22"/>
        </w:rPr>
        <w:t xml:space="preserve">或                            </w:t>
      </w:r>
    </w:p>
    <w:p>
      <w:pPr>
        <w:pStyle w:val="125"/>
        <w:spacing w:line="360" w:lineRule="exact"/>
        <w:ind w:firstLine="440"/>
        <w:rPr>
          <w:rFonts w:ascii="宋体" w:hAnsi="宋体"/>
          <w:color w:val="auto"/>
          <w:sz w:val="22"/>
          <w:szCs w:val="22"/>
        </w:rPr>
      </w:pPr>
      <w:r>
        <w:rPr>
          <w:rFonts w:hint="eastAsia" w:ascii="宋体" w:hAnsi="宋体"/>
          <w:color w:val="auto"/>
          <w:sz w:val="22"/>
          <w:szCs w:val="22"/>
        </w:rPr>
        <w:t xml:space="preserve">委托代理人：                   </w:t>
      </w:r>
    </w:p>
    <w:p>
      <w:pPr>
        <w:pStyle w:val="125"/>
        <w:spacing w:line="360" w:lineRule="exact"/>
        <w:ind w:firstLine="440"/>
        <w:rPr>
          <w:rFonts w:ascii="宋体" w:hAnsi="宋体"/>
          <w:color w:val="auto"/>
          <w:sz w:val="22"/>
          <w:szCs w:val="22"/>
        </w:rPr>
      </w:pPr>
    </w:p>
    <w:p>
      <w:pPr>
        <w:pStyle w:val="125"/>
        <w:spacing w:line="360" w:lineRule="exact"/>
        <w:ind w:firstLine="440"/>
        <w:rPr>
          <w:rFonts w:ascii="宋体" w:hAnsi="宋体"/>
          <w:color w:val="auto"/>
          <w:sz w:val="22"/>
          <w:szCs w:val="22"/>
        </w:rPr>
      </w:pPr>
      <w:r>
        <w:rPr>
          <w:rFonts w:hint="eastAsia" w:ascii="宋体" w:hAnsi="宋体"/>
          <w:color w:val="auto"/>
          <w:sz w:val="22"/>
          <w:szCs w:val="22"/>
        </w:rPr>
        <w:t xml:space="preserve">                           年     月     日</w:t>
      </w:r>
    </w:p>
    <w:p>
      <w:pPr>
        <w:spacing w:line="560" w:lineRule="exact"/>
        <w:rPr>
          <w:rFonts w:ascii="宋体" w:hAnsi="宋体"/>
          <w:sz w:val="22"/>
        </w:rPr>
      </w:pPr>
    </w:p>
    <w:p>
      <w:pPr>
        <w:spacing w:line="560" w:lineRule="exact"/>
        <w:rPr>
          <w:rFonts w:ascii="宋体" w:hAnsi="宋体"/>
          <w:sz w:val="22"/>
        </w:rPr>
      </w:pPr>
      <w:r>
        <w:rPr>
          <w:rFonts w:hint="eastAsia" w:ascii="宋体" w:hAnsi="宋体"/>
          <w:sz w:val="22"/>
        </w:rPr>
        <w:t xml:space="preserve">附件2： </w:t>
      </w:r>
    </w:p>
    <w:p>
      <w:pPr>
        <w:spacing w:line="560" w:lineRule="exact"/>
        <w:jc w:val="center"/>
        <w:rPr>
          <w:rFonts w:ascii="宋体" w:hAnsi="宋体"/>
          <w:sz w:val="22"/>
        </w:rPr>
      </w:pPr>
      <w:r>
        <w:rPr>
          <w:rFonts w:hint="eastAsia" w:ascii="宋体" w:hAnsi="宋体"/>
          <w:sz w:val="22"/>
        </w:rPr>
        <w:t>保密承诺书</w:t>
      </w:r>
    </w:p>
    <w:p>
      <w:pPr>
        <w:snapToGrid w:val="0"/>
        <w:spacing w:line="560" w:lineRule="exact"/>
        <w:ind w:firstLine="440" w:firstLineChars="200"/>
        <w:rPr>
          <w:rFonts w:ascii="宋体" w:hAnsi="宋体"/>
          <w:sz w:val="22"/>
        </w:rPr>
      </w:pPr>
      <w:r>
        <w:rPr>
          <w:rFonts w:hint="eastAsia" w:ascii="宋体" w:hAnsi="宋体"/>
          <w:sz w:val="22"/>
        </w:rPr>
        <w:t>鉴于我方愿成为杭州萧山国际机场有限公司（以下简称“机场公司”）的供应商或潜在供应商候选人，为机场公司提供【飞机除冰车大修】项目的服务。在上述业务来往过程中，机场公司可能向我方提供经营、业务、服务等有关的文件、资料、软件等信息，为维护机场公司的利益，我方就保密事宜做出如下承诺：</w:t>
      </w:r>
    </w:p>
    <w:p>
      <w:pPr>
        <w:spacing w:line="560" w:lineRule="exact"/>
        <w:rPr>
          <w:rFonts w:ascii="宋体" w:hAnsi="宋体"/>
          <w:sz w:val="22"/>
        </w:rPr>
      </w:pPr>
      <w:r>
        <w:rPr>
          <w:rFonts w:hint="eastAsia" w:ascii="宋体" w:hAnsi="宋体"/>
          <w:sz w:val="22"/>
        </w:rPr>
        <w:t>1.商业秘密</w:t>
      </w:r>
    </w:p>
    <w:p>
      <w:pPr>
        <w:adjustRightInd w:val="0"/>
        <w:snapToGrid w:val="0"/>
        <w:spacing w:line="560" w:lineRule="exact"/>
        <w:rPr>
          <w:rFonts w:ascii="宋体" w:hAnsi="宋体"/>
          <w:sz w:val="22"/>
        </w:rPr>
      </w:pPr>
      <w:r>
        <w:rPr>
          <w:rFonts w:hint="eastAsia" w:ascii="宋体" w:hAnsi="宋体"/>
          <w:sz w:val="22"/>
        </w:rPr>
        <w:t>1.1商业秘密是指机场公司（包括机场公司关联公司）一切专有、不对外公开的资料和信息。包括但不限于以下方面：</w:t>
      </w:r>
    </w:p>
    <w:p>
      <w:pPr>
        <w:adjustRightInd w:val="0"/>
        <w:snapToGrid w:val="0"/>
        <w:spacing w:line="560" w:lineRule="exact"/>
        <w:rPr>
          <w:rFonts w:ascii="宋体" w:hAnsi="宋体"/>
          <w:sz w:val="22"/>
        </w:rPr>
      </w:pPr>
      <w:r>
        <w:rPr>
          <w:rFonts w:hint="eastAsia" w:ascii="宋体" w:hAnsi="宋体"/>
          <w:sz w:val="22"/>
        </w:rPr>
        <w:t>（1）经营信息（发展规划、运营状况、客户资源、货源情报、投融资计划、开发计划、标书等）；</w:t>
      </w:r>
    </w:p>
    <w:p>
      <w:pPr>
        <w:adjustRightInd w:val="0"/>
        <w:snapToGrid w:val="0"/>
        <w:spacing w:line="560" w:lineRule="exact"/>
        <w:rPr>
          <w:rFonts w:ascii="宋体" w:hAnsi="宋体"/>
          <w:sz w:val="22"/>
        </w:rPr>
      </w:pPr>
      <w:r>
        <w:rPr>
          <w:rFonts w:hint="eastAsia" w:ascii="宋体" w:hAnsi="宋体"/>
          <w:sz w:val="22"/>
        </w:rPr>
        <w:t>（2）管理信息（管理方法、管理制度、员工管理、合同管理、纠纷管理等）；</w:t>
      </w:r>
    </w:p>
    <w:p>
      <w:pPr>
        <w:adjustRightInd w:val="0"/>
        <w:snapToGrid w:val="0"/>
        <w:spacing w:line="560" w:lineRule="exact"/>
        <w:rPr>
          <w:rFonts w:ascii="宋体" w:hAnsi="宋体"/>
          <w:sz w:val="22"/>
        </w:rPr>
      </w:pPr>
      <w:r>
        <w:rPr>
          <w:rFonts w:hint="eastAsia" w:ascii="宋体" w:hAnsi="宋体"/>
          <w:sz w:val="22"/>
        </w:rPr>
        <w:t>（3）产品及技术信息（设计及图纸、样品及服务、技术方案、质量标准、技术标准、计算机程序等）；</w:t>
      </w:r>
    </w:p>
    <w:p>
      <w:pPr>
        <w:adjustRightInd w:val="0"/>
        <w:snapToGrid w:val="0"/>
        <w:spacing w:line="560" w:lineRule="exact"/>
        <w:rPr>
          <w:rFonts w:ascii="宋体" w:hAnsi="宋体"/>
          <w:sz w:val="22"/>
        </w:rPr>
      </w:pPr>
      <w:r>
        <w:rPr>
          <w:rFonts w:hint="eastAsia" w:ascii="宋体" w:hAnsi="宋体"/>
          <w:sz w:val="22"/>
        </w:rPr>
        <w:t>（4）财务信息（财务收支、固定资产、流动资金、成本核算等）；</w:t>
      </w:r>
    </w:p>
    <w:p>
      <w:pPr>
        <w:adjustRightInd w:val="0"/>
        <w:snapToGrid w:val="0"/>
        <w:spacing w:line="560" w:lineRule="exact"/>
        <w:rPr>
          <w:rFonts w:ascii="宋体" w:hAnsi="宋体"/>
          <w:sz w:val="22"/>
        </w:rPr>
      </w:pPr>
      <w:r>
        <w:rPr>
          <w:rFonts w:hint="eastAsia" w:ascii="宋体" w:hAnsi="宋体"/>
          <w:sz w:val="22"/>
        </w:rPr>
        <w:t>（5）我方单独或机场公司（包括机场公司关联公司）和我方共同为机场公司开发、设计、生产的产品、资料及相关信息；</w:t>
      </w:r>
    </w:p>
    <w:p>
      <w:pPr>
        <w:adjustRightInd w:val="0"/>
        <w:snapToGrid w:val="0"/>
        <w:spacing w:line="560" w:lineRule="exact"/>
        <w:rPr>
          <w:rFonts w:ascii="宋体" w:hAnsi="宋体"/>
          <w:sz w:val="22"/>
        </w:rPr>
      </w:pPr>
      <w:r>
        <w:rPr>
          <w:rFonts w:hint="eastAsia" w:ascii="宋体" w:hAnsi="宋体"/>
          <w:sz w:val="22"/>
        </w:rPr>
        <w:t>（6）其他机场公司未对外公开的有关营运、计划、航班数据、标准、开发、生产、经营、质量管理控制和租赁的资料和数据等信息以及对供应商的管理文件。</w:t>
      </w:r>
    </w:p>
    <w:p>
      <w:pPr>
        <w:spacing w:line="560" w:lineRule="exact"/>
        <w:rPr>
          <w:rFonts w:ascii="宋体" w:hAnsi="宋体"/>
          <w:sz w:val="22"/>
        </w:rPr>
      </w:pPr>
      <w:r>
        <w:rPr>
          <w:rFonts w:hint="eastAsia" w:ascii="宋体" w:hAnsi="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宋体" w:hAnsi="宋体"/>
          <w:sz w:val="22"/>
        </w:rPr>
      </w:pPr>
      <w:r>
        <w:rPr>
          <w:rFonts w:hint="eastAsia" w:ascii="宋体" w:hAnsi="宋体"/>
          <w:sz w:val="22"/>
        </w:rPr>
        <w:t>1.3、对于上述提及的商业秘密，不能仅因为公开发表的文章或资讯中包含其内容，就认为是可对外公开的特殊情况。</w:t>
      </w:r>
    </w:p>
    <w:p>
      <w:pPr>
        <w:spacing w:line="560" w:lineRule="exact"/>
        <w:rPr>
          <w:rFonts w:ascii="宋体" w:hAnsi="宋体"/>
          <w:sz w:val="22"/>
        </w:rPr>
      </w:pPr>
      <w:r>
        <w:rPr>
          <w:rFonts w:hint="eastAsia" w:ascii="宋体" w:hAnsi="宋体"/>
          <w:sz w:val="22"/>
        </w:rPr>
        <w:t>1.4、以下资料不属于本承诺所指的商业秘密：</w:t>
      </w:r>
    </w:p>
    <w:p>
      <w:pPr>
        <w:spacing w:line="560" w:lineRule="exact"/>
        <w:rPr>
          <w:rFonts w:ascii="宋体" w:hAnsi="宋体"/>
          <w:sz w:val="22"/>
        </w:rPr>
      </w:pPr>
      <w:r>
        <w:rPr>
          <w:rFonts w:hint="eastAsia" w:ascii="宋体" w:hAnsi="宋体"/>
          <w:sz w:val="22"/>
        </w:rPr>
        <w:t>（1）我方从机场公司拟获悉之前已持有的我方无需承担保密义务的机场公司有关资料(但通过其它违约或侵权行为而获得的资料除外)；</w:t>
      </w:r>
    </w:p>
    <w:p>
      <w:pPr>
        <w:spacing w:line="560" w:lineRule="exact"/>
        <w:rPr>
          <w:rFonts w:ascii="宋体" w:hAnsi="宋体"/>
          <w:sz w:val="22"/>
        </w:rPr>
      </w:pPr>
      <w:r>
        <w:rPr>
          <w:rFonts w:hint="eastAsia" w:ascii="宋体" w:hAnsi="宋体"/>
          <w:sz w:val="22"/>
        </w:rPr>
        <w:t>（2）已经公开或已成为常识性的资料，且该等公开并非因违反本承诺所致。</w:t>
      </w:r>
    </w:p>
    <w:p>
      <w:pPr>
        <w:spacing w:line="560" w:lineRule="exact"/>
        <w:rPr>
          <w:rFonts w:ascii="宋体" w:hAnsi="宋体"/>
          <w:sz w:val="22"/>
        </w:rPr>
      </w:pPr>
      <w:r>
        <w:rPr>
          <w:rFonts w:hint="eastAsia" w:ascii="宋体" w:hAnsi="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宋体" w:hAnsi="宋体"/>
          <w:sz w:val="22"/>
        </w:rPr>
      </w:pPr>
      <w:r>
        <w:rPr>
          <w:rFonts w:hint="eastAsia" w:ascii="宋体" w:hAnsi="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560" w:lineRule="exact"/>
        <w:rPr>
          <w:rFonts w:ascii="宋体" w:hAnsi="宋体"/>
          <w:sz w:val="22"/>
        </w:rPr>
      </w:pPr>
      <w:r>
        <w:rPr>
          <w:rFonts w:hint="eastAsia" w:ascii="宋体" w:hAnsi="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宋体" w:hAnsi="宋体"/>
          <w:sz w:val="22"/>
        </w:rPr>
      </w:pPr>
      <w:r>
        <w:rPr>
          <w:rFonts w:hint="eastAsia" w:ascii="宋体" w:hAnsi="宋体"/>
          <w:sz w:val="22"/>
        </w:rPr>
        <w:t>（1）披露、使用或者允许他人以不正当手段获取的商业秘密；</w:t>
      </w:r>
    </w:p>
    <w:p>
      <w:pPr>
        <w:adjustRightInd w:val="0"/>
        <w:snapToGrid w:val="0"/>
        <w:spacing w:line="560" w:lineRule="exact"/>
        <w:rPr>
          <w:rFonts w:ascii="宋体" w:hAnsi="宋体"/>
          <w:sz w:val="22"/>
        </w:rPr>
      </w:pPr>
      <w:r>
        <w:rPr>
          <w:rFonts w:hint="eastAsia" w:ascii="宋体" w:hAnsi="宋体"/>
          <w:sz w:val="22"/>
        </w:rPr>
        <w:t>（2）为机场公司以外的第三人窃取、刺探、收买、非法提供商业秘密。</w:t>
      </w:r>
    </w:p>
    <w:p>
      <w:pPr>
        <w:adjustRightInd w:val="0"/>
        <w:snapToGrid w:val="0"/>
        <w:spacing w:line="560" w:lineRule="exact"/>
        <w:rPr>
          <w:rFonts w:ascii="宋体" w:hAnsi="宋体"/>
          <w:sz w:val="22"/>
        </w:rPr>
      </w:pPr>
      <w:r>
        <w:rPr>
          <w:rFonts w:hint="eastAsia" w:ascii="宋体" w:hAnsi="宋体"/>
          <w:sz w:val="22"/>
        </w:rPr>
        <w:t>（3）在电子公告系统、聊天系统、电子邮箱、论坛等计算机网络系统上传递、转发、抄送、发布、谈论和传播商业秘密；</w:t>
      </w:r>
    </w:p>
    <w:p>
      <w:pPr>
        <w:adjustRightInd w:val="0"/>
        <w:snapToGrid w:val="0"/>
        <w:spacing w:line="560" w:lineRule="exact"/>
        <w:rPr>
          <w:rFonts w:ascii="宋体" w:hAnsi="宋体"/>
          <w:sz w:val="22"/>
        </w:rPr>
      </w:pPr>
      <w:r>
        <w:rPr>
          <w:rFonts w:hint="eastAsia" w:ascii="宋体" w:hAnsi="宋体"/>
          <w:sz w:val="22"/>
        </w:rPr>
        <w:t xml:space="preserve">（4）在私人交往和通信中，向亲属、朋友以及与工作无关人员泄露商业秘密，或在公共场所谈论商业秘密； </w:t>
      </w:r>
    </w:p>
    <w:p>
      <w:pPr>
        <w:adjustRightInd w:val="0"/>
        <w:snapToGrid w:val="0"/>
        <w:spacing w:line="560" w:lineRule="exact"/>
        <w:rPr>
          <w:rFonts w:ascii="宋体" w:hAnsi="宋体"/>
          <w:sz w:val="22"/>
        </w:rPr>
      </w:pPr>
      <w:r>
        <w:rPr>
          <w:rFonts w:hint="eastAsia" w:ascii="宋体" w:hAnsi="宋体"/>
          <w:sz w:val="22"/>
        </w:rPr>
        <w:t>（5）擅自将属于商业秘密的文件、资料和其他物品携带、传递、寄运出机场公司办公场所或国（境）外。</w:t>
      </w:r>
    </w:p>
    <w:p>
      <w:pPr>
        <w:adjustRightInd w:val="0"/>
        <w:snapToGrid w:val="0"/>
        <w:spacing w:line="560" w:lineRule="exact"/>
        <w:rPr>
          <w:rFonts w:ascii="宋体" w:hAnsi="宋体"/>
          <w:sz w:val="22"/>
        </w:rPr>
      </w:pPr>
      <w:r>
        <w:rPr>
          <w:rFonts w:hint="eastAsia" w:ascii="宋体" w:hAnsi="宋体"/>
          <w:sz w:val="22"/>
        </w:rPr>
        <w:t>（6）未经机场公司同意就以任何方式私自保存、截留含有机场公司商业秘密的任何形式资料、文件和物品的复印件、复制品、副本。</w:t>
      </w:r>
    </w:p>
    <w:p>
      <w:pPr>
        <w:adjustRightInd w:val="0"/>
        <w:snapToGrid w:val="0"/>
        <w:spacing w:line="560" w:lineRule="exact"/>
        <w:rPr>
          <w:rFonts w:ascii="宋体" w:hAnsi="宋体"/>
          <w:sz w:val="22"/>
        </w:rPr>
      </w:pPr>
      <w:r>
        <w:rPr>
          <w:rFonts w:hint="eastAsia" w:ascii="宋体" w:hAnsi="宋体"/>
          <w:sz w:val="22"/>
        </w:rPr>
        <w:t>（7）将含有机场公司商业秘密的产品、技术或其他资料、信息向第三人销售、使用或以任何方式提供。</w:t>
      </w:r>
    </w:p>
    <w:p>
      <w:pPr>
        <w:spacing w:line="560" w:lineRule="exact"/>
        <w:rPr>
          <w:rFonts w:ascii="宋体" w:hAnsi="宋体"/>
          <w:sz w:val="22"/>
        </w:rPr>
      </w:pPr>
      <w:r>
        <w:rPr>
          <w:rFonts w:hint="eastAsia" w:ascii="宋体" w:hAnsi="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宋体" w:hAnsi="宋体"/>
          <w:sz w:val="22"/>
        </w:rPr>
      </w:pPr>
    </w:p>
    <w:p>
      <w:pPr>
        <w:spacing w:line="560" w:lineRule="exact"/>
        <w:rPr>
          <w:rFonts w:ascii="宋体" w:hAnsi="宋体"/>
          <w:sz w:val="22"/>
        </w:rPr>
      </w:pPr>
      <w:r>
        <w:rPr>
          <w:rFonts w:hint="eastAsia" w:ascii="宋体" w:hAnsi="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宋体" w:hAnsi="宋体"/>
          <w:sz w:val="22"/>
        </w:rPr>
      </w:pPr>
    </w:p>
    <w:p>
      <w:pPr>
        <w:spacing w:line="560" w:lineRule="exact"/>
        <w:rPr>
          <w:rFonts w:ascii="宋体" w:hAnsi="宋体"/>
          <w:sz w:val="22"/>
        </w:rPr>
      </w:pPr>
      <w:r>
        <w:rPr>
          <w:rFonts w:hint="eastAsia" w:ascii="宋体" w:hAnsi="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560" w:lineRule="exact"/>
        <w:rPr>
          <w:rFonts w:ascii="宋体" w:hAnsi="宋体"/>
          <w:sz w:val="22"/>
        </w:rPr>
      </w:pPr>
      <w:r>
        <w:rPr>
          <w:rFonts w:hint="eastAsia" w:ascii="宋体" w:hAnsi="宋体"/>
          <w:sz w:val="22"/>
        </w:rPr>
        <w:t>8、违约责任</w:t>
      </w:r>
    </w:p>
    <w:p>
      <w:pPr>
        <w:adjustRightInd w:val="0"/>
        <w:snapToGrid w:val="0"/>
        <w:spacing w:line="560" w:lineRule="exact"/>
        <w:rPr>
          <w:rFonts w:ascii="宋体" w:hAnsi="宋体"/>
          <w:sz w:val="22"/>
        </w:rPr>
      </w:pPr>
      <w:r>
        <w:rPr>
          <w:rFonts w:hint="eastAsia" w:ascii="宋体" w:hAnsi="宋体"/>
          <w:sz w:val="22"/>
        </w:rPr>
        <w:t>8.1因我方违反保密义务的行为造成机场公司的一切损失，我方应当全部予以赔偿。</w:t>
      </w:r>
    </w:p>
    <w:p>
      <w:pPr>
        <w:adjustRightInd w:val="0"/>
        <w:snapToGrid w:val="0"/>
        <w:spacing w:line="560" w:lineRule="exact"/>
        <w:rPr>
          <w:rFonts w:ascii="宋体" w:hAnsi="宋体"/>
          <w:sz w:val="22"/>
        </w:rPr>
      </w:pPr>
      <w:r>
        <w:rPr>
          <w:rFonts w:hint="eastAsia" w:ascii="宋体" w:hAnsi="宋体"/>
          <w:sz w:val="22"/>
        </w:rPr>
        <w:t>8.2如我方违反本承诺书下保密义务，应当承担违约责任，除赔偿损失外，还应依据合同向机场公司支付相应的违约金；</w:t>
      </w:r>
    </w:p>
    <w:p>
      <w:pPr>
        <w:adjustRightInd w:val="0"/>
        <w:snapToGrid w:val="0"/>
        <w:spacing w:line="560" w:lineRule="exact"/>
        <w:rPr>
          <w:rFonts w:ascii="宋体" w:hAnsi="宋体"/>
          <w:sz w:val="22"/>
        </w:rPr>
      </w:pPr>
      <w:r>
        <w:rPr>
          <w:rFonts w:hint="eastAsia" w:ascii="宋体" w:hAnsi="宋体"/>
          <w:sz w:val="22"/>
        </w:rPr>
        <w:t>9、本承诺书适用中华人民共和国法律，如因履行本承诺书发生争议，则双方均有权向机场公司所在地法院提起诉讼。</w:t>
      </w:r>
    </w:p>
    <w:p>
      <w:pPr>
        <w:adjustRightInd w:val="0"/>
        <w:snapToGrid w:val="0"/>
        <w:spacing w:line="560" w:lineRule="exact"/>
        <w:rPr>
          <w:rFonts w:ascii="宋体" w:hAnsi="宋体"/>
          <w:sz w:val="22"/>
        </w:rPr>
      </w:pPr>
    </w:p>
    <w:p>
      <w:pPr>
        <w:spacing w:line="560" w:lineRule="exact"/>
        <w:rPr>
          <w:rFonts w:ascii="宋体" w:hAnsi="宋体"/>
          <w:sz w:val="22"/>
        </w:rPr>
      </w:pPr>
    </w:p>
    <w:p>
      <w:pPr>
        <w:spacing w:line="560" w:lineRule="exact"/>
        <w:rPr>
          <w:rFonts w:ascii="宋体" w:hAnsi="宋体"/>
          <w:sz w:val="22"/>
        </w:rPr>
      </w:pPr>
    </w:p>
    <w:p>
      <w:pPr>
        <w:spacing w:line="560" w:lineRule="exact"/>
        <w:rPr>
          <w:rFonts w:ascii="宋体" w:hAnsi="宋体"/>
          <w:sz w:val="22"/>
        </w:rPr>
      </w:pPr>
    </w:p>
    <w:p>
      <w:pPr>
        <w:spacing w:line="560" w:lineRule="exact"/>
        <w:rPr>
          <w:rFonts w:ascii="宋体" w:hAnsi="宋体"/>
          <w:sz w:val="22"/>
        </w:rPr>
      </w:pPr>
      <w:r>
        <w:rPr>
          <w:rFonts w:hint="eastAsia" w:ascii="宋体" w:hAnsi="宋体"/>
          <w:sz w:val="22"/>
        </w:rPr>
        <w:t xml:space="preserve">                   供应商(盖章):</w:t>
      </w:r>
    </w:p>
    <w:p>
      <w:pPr>
        <w:spacing w:line="560" w:lineRule="exact"/>
        <w:jc w:val="center"/>
        <w:rPr>
          <w:rFonts w:ascii="宋体" w:hAnsi="宋体"/>
          <w:sz w:val="22"/>
        </w:rPr>
      </w:pPr>
      <w:r>
        <w:rPr>
          <w:rFonts w:hint="eastAsia" w:ascii="宋体" w:hAnsi="宋体"/>
          <w:sz w:val="22"/>
        </w:rPr>
        <w:t>法定代表人或授权代表：</w:t>
      </w:r>
    </w:p>
    <w:p>
      <w:pPr>
        <w:spacing w:line="560" w:lineRule="exact"/>
        <w:jc w:val="center"/>
        <w:rPr>
          <w:rFonts w:ascii="宋体" w:hAnsi="宋体"/>
          <w:sz w:val="22"/>
        </w:rPr>
      </w:pPr>
    </w:p>
    <w:p>
      <w:pPr>
        <w:spacing w:line="560" w:lineRule="exact"/>
        <w:jc w:val="center"/>
        <w:rPr>
          <w:rFonts w:ascii="宋体" w:hAnsi="宋体"/>
          <w:sz w:val="22"/>
        </w:rPr>
      </w:pPr>
    </w:p>
    <w:p>
      <w:pPr>
        <w:spacing w:line="560" w:lineRule="exact"/>
        <w:jc w:val="center"/>
        <w:rPr>
          <w:rFonts w:ascii="宋体" w:hAnsi="宋体"/>
          <w:sz w:val="22"/>
        </w:rPr>
      </w:pPr>
    </w:p>
    <w:p>
      <w:pPr>
        <w:spacing w:line="560" w:lineRule="exact"/>
        <w:rPr>
          <w:rFonts w:ascii="宋体" w:hAnsi="宋体"/>
          <w:sz w:val="22"/>
        </w:rPr>
      </w:pPr>
      <w:r>
        <w:rPr>
          <w:rFonts w:hint="eastAsia" w:ascii="宋体" w:hAnsi="宋体"/>
          <w:sz w:val="22"/>
        </w:rPr>
        <w:t xml:space="preserve">                       电话/传真：</w:t>
      </w:r>
    </w:p>
    <w:p>
      <w:pPr>
        <w:spacing w:line="560" w:lineRule="exact"/>
        <w:jc w:val="center"/>
        <w:rPr>
          <w:rFonts w:ascii="宋体" w:hAnsi="宋体"/>
          <w:sz w:val="22"/>
        </w:rPr>
      </w:pPr>
    </w:p>
    <w:p>
      <w:pPr>
        <w:spacing w:line="560" w:lineRule="exact"/>
        <w:rPr>
          <w:rFonts w:ascii="宋体" w:hAnsi="宋体"/>
          <w:sz w:val="22"/>
        </w:rPr>
      </w:pPr>
      <w:r>
        <w:rPr>
          <w:rFonts w:hint="eastAsia" w:ascii="宋体" w:hAnsi="宋体"/>
          <w:sz w:val="22"/>
        </w:rPr>
        <w:t xml:space="preserve">                       地址：</w:t>
      </w:r>
    </w:p>
    <w:p>
      <w:pPr>
        <w:spacing w:line="560" w:lineRule="exact"/>
        <w:rPr>
          <w:rFonts w:ascii="宋体" w:hAnsi="宋体"/>
          <w:sz w:val="22"/>
        </w:rPr>
      </w:pPr>
    </w:p>
    <w:p>
      <w:pPr>
        <w:spacing w:line="560" w:lineRule="exact"/>
        <w:rPr>
          <w:rFonts w:ascii="宋体" w:hAnsi="宋体"/>
          <w:sz w:val="22"/>
        </w:rPr>
      </w:pPr>
    </w:p>
    <w:p>
      <w:pPr>
        <w:snapToGrid w:val="0"/>
        <w:spacing w:line="560" w:lineRule="exact"/>
        <w:jc w:val="center"/>
        <w:rPr>
          <w:rFonts w:ascii="宋体" w:hAnsi="宋体"/>
          <w:sz w:val="22"/>
        </w:rPr>
      </w:pPr>
      <w:r>
        <w:rPr>
          <w:rFonts w:hint="eastAsia" w:ascii="宋体" w:hAnsi="宋体"/>
          <w:sz w:val="22"/>
        </w:rPr>
        <w:t>日期：     年   月   日</w:t>
      </w:r>
    </w:p>
    <w:p>
      <w:pPr>
        <w:rPr>
          <w:rFonts w:ascii="宋体" w:hAnsi="宋体"/>
          <w:sz w:val="22"/>
        </w:rPr>
      </w:pPr>
    </w:p>
    <w:p>
      <w:pPr>
        <w:spacing w:line="360" w:lineRule="auto"/>
        <w:ind w:left="1" w:firstLine="279" w:firstLineChars="127"/>
        <w:rPr>
          <w:rFonts w:ascii="宋体" w:hAnsi="宋体"/>
          <w:sz w:val="22"/>
        </w:rPr>
      </w:pPr>
    </w:p>
    <w:p>
      <w:pPr>
        <w:rPr>
          <w:rFonts w:ascii="宋体" w:hAnsi="宋体"/>
          <w:sz w:val="22"/>
        </w:rPr>
      </w:pPr>
    </w:p>
    <w:p>
      <w:pPr>
        <w:widowControl/>
        <w:jc w:val="left"/>
        <w:rPr>
          <w:rFonts w:ascii="宋体" w:hAnsi="宋体"/>
          <w:sz w:val="22"/>
        </w:rPr>
      </w:pPr>
      <w:r>
        <w:rPr>
          <w:rFonts w:ascii="宋体" w:hAnsi="宋体"/>
          <w:sz w:val="22"/>
        </w:rPr>
        <w:br w:type="page"/>
      </w:r>
    </w:p>
    <w:p>
      <w:pPr>
        <w:pStyle w:val="2"/>
        <w:spacing w:before="0" w:after="0" w:line="360" w:lineRule="auto"/>
        <w:jc w:val="center"/>
        <w:rPr>
          <w:rFonts w:ascii="Calibri" w:hAnsi="Calibri" w:eastAsia="黑体" w:cs="Calibri"/>
          <w:kern w:val="0"/>
          <w:sz w:val="32"/>
        </w:rPr>
      </w:pPr>
      <w:bookmarkStart w:id="110" w:name="_Toc448002987"/>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110"/>
    </w:p>
    <w:p>
      <w:pPr>
        <w:pStyle w:val="19"/>
        <w:spacing w:line="360" w:lineRule="exact"/>
        <w:ind w:firstLine="420"/>
        <w:rPr>
          <w:rFonts w:hAnsi="宋体" w:cs="Calibri"/>
          <w:bCs/>
          <w:sz w:val="22"/>
          <w:szCs w:val="22"/>
        </w:rPr>
      </w:pPr>
      <w:bookmarkStart w:id="111" w:name="_Toc29892"/>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19"/>
        <w:spacing w:line="360" w:lineRule="exact"/>
        <w:rPr>
          <w:rFonts w:hAnsi="宋体" w:cs="Calibri"/>
          <w:b/>
          <w:bCs/>
          <w:sz w:val="22"/>
          <w:szCs w:val="22"/>
        </w:rPr>
      </w:pPr>
      <w:r>
        <w:rPr>
          <w:rFonts w:hAnsi="宋体" w:cs="Calibri"/>
          <w:b/>
          <w:bCs/>
          <w:sz w:val="22"/>
          <w:szCs w:val="22"/>
        </w:rPr>
        <w:t>一、评标原则</w:t>
      </w:r>
    </w:p>
    <w:p>
      <w:pPr>
        <w:pStyle w:val="19"/>
        <w:spacing w:line="360" w:lineRule="exact"/>
        <w:ind w:firstLine="420"/>
        <w:rPr>
          <w:rFonts w:hAnsi="宋体" w:cs="Calibri"/>
          <w:sz w:val="22"/>
          <w:szCs w:val="22"/>
        </w:rPr>
      </w:pPr>
      <w:r>
        <w:rPr>
          <w:rFonts w:hAnsi="宋体" w:cs="Calibri"/>
          <w:bCs/>
          <w:sz w:val="22"/>
          <w:szCs w:val="22"/>
        </w:rPr>
        <w:t>评标应遵循公平、公正、科学、择优的原则。</w:t>
      </w:r>
    </w:p>
    <w:p>
      <w:pPr>
        <w:pStyle w:val="19"/>
        <w:spacing w:line="360" w:lineRule="exact"/>
        <w:rPr>
          <w:rFonts w:hAnsi="宋体" w:cs="Calibri"/>
          <w:b/>
          <w:bCs/>
          <w:sz w:val="22"/>
          <w:szCs w:val="22"/>
        </w:rPr>
      </w:pPr>
      <w:r>
        <w:rPr>
          <w:rFonts w:hAnsi="宋体" w:cs="Calibri"/>
          <w:b/>
          <w:bCs/>
          <w:sz w:val="22"/>
          <w:szCs w:val="22"/>
        </w:rPr>
        <w:t>二、评标组织</w:t>
      </w:r>
    </w:p>
    <w:p>
      <w:pPr>
        <w:pStyle w:val="19"/>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19"/>
        <w:spacing w:line="360" w:lineRule="exact"/>
        <w:rPr>
          <w:rFonts w:hAnsi="宋体" w:cs="Calibri"/>
          <w:b/>
          <w:bCs/>
          <w:sz w:val="22"/>
          <w:szCs w:val="22"/>
        </w:rPr>
      </w:pPr>
      <w:r>
        <w:rPr>
          <w:rFonts w:hAnsi="宋体" w:cs="Calibri"/>
          <w:b/>
          <w:bCs/>
          <w:sz w:val="22"/>
          <w:szCs w:val="22"/>
        </w:rPr>
        <w:t>三、投标文件的评审</w:t>
      </w:r>
    </w:p>
    <w:p>
      <w:pPr>
        <w:pStyle w:val="19"/>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w:t>
      </w:r>
      <w:r>
        <w:rPr>
          <w:rFonts w:hint="eastAsia" w:ascii="宋体" w:hAnsi="宋体" w:cs="Calibri"/>
          <w:b/>
          <w:bCs/>
          <w:kern w:val="0"/>
          <w:sz w:val="22"/>
        </w:rPr>
        <w:t>否决投标</w:t>
      </w:r>
      <w:r>
        <w:rPr>
          <w:rFonts w:ascii="宋体" w:hAnsi="宋体" w:cs="Calibri"/>
          <w:b/>
          <w:bCs/>
          <w:kern w:val="0"/>
          <w:sz w:val="22"/>
        </w:rPr>
        <w:t>处理，</w:t>
      </w:r>
      <w:r>
        <w:rPr>
          <w:rFonts w:ascii="宋体" w:hAnsi="宋体" w:cs="Calibri"/>
          <w:bCs/>
          <w:kern w:val="0"/>
          <w:sz w:val="22"/>
        </w:rPr>
        <w:t>不再进行详细评审：</w:t>
      </w:r>
    </w:p>
    <w:p>
      <w:pPr>
        <w:spacing w:line="360" w:lineRule="exact"/>
        <w:ind w:firstLine="470"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0"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0"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0"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cs="Calibri"/>
          <w:sz w:val="22"/>
        </w:rPr>
      </w:pPr>
      <w:r>
        <w:rPr>
          <w:rFonts w:ascii="宋体" w:hAnsi="宋体" w:cs="Calibri"/>
          <w:sz w:val="22"/>
        </w:rPr>
        <w:t>5、</w:t>
      </w:r>
      <w:r>
        <w:rPr>
          <w:rFonts w:hint="eastAsia" w:ascii="宋体" w:hAnsi="宋体" w:cs="Calibri"/>
          <w:sz w:val="22"/>
        </w:rPr>
        <w:t>服务</w:t>
      </w:r>
      <w:r>
        <w:rPr>
          <w:rFonts w:ascii="宋体" w:hAnsi="宋体" w:cs="Calibri"/>
          <w:sz w:val="22"/>
        </w:rPr>
        <w:t>期不满足招标文件要求的；</w:t>
      </w:r>
    </w:p>
    <w:p>
      <w:pPr>
        <w:spacing w:line="360" w:lineRule="exact"/>
        <w:ind w:firstLine="470" w:firstLineChars="214"/>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360" w:lineRule="exact"/>
        <w:ind w:firstLine="470" w:firstLineChars="214"/>
        <w:rPr>
          <w:rFonts w:ascii="宋体" w:hAnsi="宋体" w:cs="Calibri"/>
          <w:sz w:val="22"/>
        </w:rPr>
      </w:pPr>
      <w:r>
        <w:rPr>
          <w:rFonts w:ascii="宋体" w:hAnsi="宋体" w:cs="Calibri"/>
          <w:sz w:val="22"/>
        </w:rPr>
        <w:t>7、投标人不以自己的名义或未按招标文件的要求提供投标保证金或提供的保证金有缺陷而不能接受的；</w:t>
      </w:r>
    </w:p>
    <w:p>
      <w:pPr>
        <w:spacing w:line="360" w:lineRule="exact"/>
        <w:ind w:firstLine="470" w:firstLineChars="214"/>
        <w:rPr>
          <w:rFonts w:ascii="宋体" w:hAnsi="宋体" w:cs="Calibri"/>
          <w:sz w:val="22"/>
        </w:rPr>
      </w:pPr>
      <w:r>
        <w:rPr>
          <w:rFonts w:ascii="宋体" w:hAnsi="宋体" w:cs="Calibri"/>
          <w:sz w:val="22"/>
        </w:rPr>
        <w:t>8、投标人以他人名义投标、或与他人串通投标、或以行贿手段谋取中标，或弄虚作假的；</w:t>
      </w:r>
    </w:p>
    <w:p>
      <w:pPr>
        <w:spacing w:line="360" w:lineRule="exact"/>
        <w:ind w:firstLine="470"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spacing w:line="360" w:lineRule="exact"/>
        <w:ind w:firstLine="470" w:firstLineChars="214"/>
        <w:rPr>
          <w:rFonts w:ascii="宋体" w:hAnsi="宋体" w:cs="Calibri"/>
          <w:sz w:val="22"/>
        </w:rPr>
      </w:pPr>
      <w:r>
        <w:rPr>
          <w:rFonts w:hint="eastAsia" w:ascii="宋体" w:hAnsi="宋体" w:cs="Calibri"/>
          <w:sz w:val="22"/>
        </w:rPr>
        <w:t>涉及本文件投标人资格条件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widowControl/>
        <w:tabs>
          <w:tab w:val="left" w:pos="709"/>
        </w:tabs>
        <w:snapToGrid w:val="0"/>
        <w:spacing w:line="360" w:lineRule="exact"/>
        <w:ind w:firstLine="446" w:firstLineChars="202"/>
        <w:rPr>
          <w:rFonts w:ascii="宋体" w:hAnsi="宋体" w:cs="Calibri"/>
          <w:b/>
          <w:sz w:val="22"/>
        </w:rPr>
      </w:pPr>
      <w:r>
        <w:rPr>
          <w:rFonts w:ascii="宋体" w:hAnsi="宋体" w:cs="Calibri"/>
          <w:b/>
          <w:sz w:val="22"/>
        </w:rPr>
        <w:t>3.1.2 报价算术性修正</w:t>
      </w:r>
    </w:p>
    <w:p>
      <w:pPr>
        <w:pStyle w:val="19"/>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19"/>
        <w:numPr>
          <w:ilvl w:val="0"/>
          <w:numId w:val="4"/>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19"/>
        <w:numPr>
          <w:ilvl w:val="0"/>
          <w:numId w:val="4"/>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19"/>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int="eastAsia" w:hAnsi="宋体" w:cs="Calibri"/>
          <w:b/>
          <w:bCs/>
          <w:sz w:val="22"/>
        </w:rPr>
        <w:t>否决投标</w:t>
      </w:r>
      <w:r>
        <w:rPr>
          <w:rFonts w:hAnsi="宋体" w:cs="Calibri"/>
          <w:b/>
          <w:sz w:val="22"/>
          <w:szCs w:val="22"/>
        </w:rPr>
        <w:t>处理</w:t>
      </w:r>
      <w:r>
        <w:rPr>
          <w:rFonts w:hAnsi="宋体" w:cs="Calibri"/>
          <w:sz w:val="22"/>
          <w:szCs w:val="22"/>
        </w:rPr>
        <w:t>。</w:t>
      </w:r>
    </w:p>
    <w:p>
      <w:pPr>
        <w:pStyle w:val="19"/>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19"/>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19"/>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19"/>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19"/>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rPr>
      </w:pPr>
      <w:r>
        <w:rPr>
          <w:rFonts w:ascii="宋体" w:hAnsi="宋体" w:cs="Calibri"/>
          <w:b/>
          <w:sz w:val="22"/>
        </w:rPr>
        <w:t>3.3</w:t>
      </w:r>
      <w:r>
        <w:rPr>
          <w:rFonts w:hint="eastAsia" w:ascii="宋体" w:hAnsi="宋体"/>
          <w:b/>
          <w:color w:val="000000"/>
          <w:sz w:val="22"/>
        </w:rPr>
        <w:t>评标细则</w:t>
      </w:r>
    </w:p>
    <w:p>
      <w:pPr>
        <w:pStyle w:val="19"/>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19"/>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每个投标人最终得分=商务报价分+资信及技术分</w:t>
      </w:r>
    </w:p>
    <w:p>
      <w:pPr>
        <w:pStyle w:val="19"/>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3.3.1商务报价分70分</w:t>
      </w:r>
    </w:p>
    <w:p>
      <w:pPr>
        <w:pStyle w:val="19"/>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w:t>
      </w:r>
    </w:p>
    <w:p>
      <w:pPr>
        <w:pStyle w:val="19"/>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投标人的投标价等于评标基准价的得70分，每高于评标基准价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19"/>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19"/>
        <w:adjustRightInd w:val="0"/>
        <w:snapToGrid w:val="0"/>
        <w:spacing w:line="360" w:lineRule="exact"/>
        <w:ind w:firstLine="440" w:firstLineChars="200"/>
        <w:rPr>
          <w:rFonts w:hAnsi="宋体" w:cs="Calibri"/>
          <w:sz w:val="22"/>
          <w:szCs w:val="22"/>
        </w:rPr>
      </w:pPr>
      <w:r>
        <w:rPr>
          <w:rFonts w:hint="eastAsia" w:hAnsi="宋体" w:cs="Calibri"/>
          <w:sz w:val="22"/>
          <w:szCs w:val="22"/>
        </w:rPr>
        <w:t>2、资信及技术评分   5-30分</w:t>
      </w:r>
    </w:p>
    <w:p>
      <w:pPr>
        <w:pStyle w:val="19"/>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19"/>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tbl>
      <w:tblPr>
        <w:tblStyle w:val="46"/>
        <w:tblW w:w="9244"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494"/>
        <w:gridCol w:w="1275"/>
        <w:gridCol w:w="4395"/>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rPr>
        <w:tc>
          <w:tcPr>
            <w:tcW w:w="66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2"/>
              </w:rPr>
            </w:pPr>
            <w:r>
              <w:rPr>
                <w:rFonts w:hint="eastAsia" w:ascii="宋体" w:hAnsi="宋体"/>
                <w:sz w:val="22"/>
              </w:rPr>
              <w:t>序号</w:t>
            </w:r>
          </w:p>
        </w:tc>
        <w:tc>
          <w:tcPr>
            <w:tcW w:w="7164"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2"/>
              </w:rPr>
            </w:pPr>
            <w:r>
              <w:rPr>
                <w:rFonts w:hint="eastAsia" w:ascii="宋体" w:hAnsi="宋体"/>
                <w:sz w:val="22"/>
              </w:rPr>
              <w:t>评分因素及分值权重</w:t>
            </w: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2"/>
              </w:rPr>
            </w:pPr>
            <w:r>
              <w:rPr>
                <w:rFonts w:hint="eastAsia" w:ascii="宋体" w:hAnsi="宋体"/>
                <w:sz w:val="2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rPr>
        <w:tc>
          <w:tcPr>
            <w:tcW w:w="663" w:type="dxa"/>
            <w:vMerge w:val="restart"/>
            <w:vAlign w:val="center"/>
          </w:tcPr>
          <w:p>
            <w:pPr>
              <w:snapToGrid w:val="0"/>
              <w:jc w:val="center"/>
              <w:rPr>
                <w:rFonts w:ascii="宋体" w:hAnsi="宋体"/>
                <w:color w:val="000000"/>
                <w:sz w:val="22"/>
              </w:rPr>
            </w:pPr>
            <w:r>
              <w:rPr>
                <w:rFonts w:hint="eastAsia" w:ascii="宋体" w:hAnsi="宋体"/>
                <w:color w:val="000000"/>
                <w:sz w:val="22"/>
              </w:rPr>
              <w:t>1</w:t>
            </w:r>
          </w:p>
        </w:tc>
        <w:tc>
          <w:tcPr>
            <w:tcW w:w="1494" w:type="dxa"/>
            <w:vMerge w:val="restart"/>
            <w:vAlign w:val="center"/>
          </w:tcPr>
          <w:p>
            <w:pPr>
              <w:snapToGrid w:val="0"/>
              <w:jc w:val="center"/>
              <w:rPr>
                <w:rFonts w:ascii="宋体" w:hAnsi="宋体"/>
                <w:color w:val="000000"/>
                <w:sz w:val="22"/>
              </w:rPr>
            </w:pPr>
            <w:r>
              <w:rPr>
                <w:rFonts w:hint="eastAsia" w:ascii="宋体" w:hAnsi="宋体"/>
                <w:color w:val="000000"/>
                <w:sz w:val="22"/>
              </w:rPr>
              <w:t>资信及技术标评分（</w:t>
            </w:r>
            <w:r>
              <w:rPr>
                <w:rFonts w:hint="eastAsia" w:ascii="宋体" w:hAnsi="宋体"/>
                <w:bCs/>
                <w:color w:val="000000"/>
                <w:sz w:val="22"/>
              </w:rPr>
              <w:t>满分30分）</w:t>
            </w:r>
          </w:p>
        </w:tc>
        <w:tc>
          <w:tcPr>
            <w:tcW w:w="1275" w:type="dxa"/>
            <w:vMerge w:val="restart"/>
            <w:vAlign w:val="center"/>
          </w:tcPr>
          <w:p>
            <w:pPr>
              <w:snapToGrid w:val="0"/>
              <w:jc w:val="center"/>
              <w:rPr>
                <w:rFonts w:ascii="宋体" w:hAnsi="宋体"/>
                <w:sz w:val="22"/>
              </w:rPr>
            </w:pPr>
            <w:r>
              <w:rPr>
                <w:rFonts w:hint="eastAsia" w:ascii="宋体" w:hAnsi="宋体"/>
                <w:sz w:val="22"/>
              </w:rPr>
              <w:t>维修方案</w:t>
            </w:r>
          </w:p>
        </w:tc>
        <w:tc>
          <w:tcPr>
            <w:tcW w:w="4395" w:type="dxa"/>
            <w:tcBorders>
              <w:bottom w:val="single" w:color="auto" w:sz="4" w:space="0"/>
            </w:tcBorders>
          </w:tcPr>
          <w:p>
            <w:pPr>
              <w:snapToGrid w:val="0"/>
              <w:jc w:val="left"/>
              <w:rPr>
                <w:rFonts w:ascii="宋体" w:hAnsi="宋体"/>
                <w:sz w:val="22"/>
              </w:rPr>
            </w:pPr>
            <w:r>
              <w:rPr>
                <w:rFonts w:hint="eastAsia" w:ascii="宋体" w:hAnsi="宋体"/>
                <w:sz w:val="22"/>
              </w:rPr>
              <w:t>维修方法是否先进、合理;进度计划及措施是否科学、合理、可靠；质量保证是否可靠；维修组织设计是否完整；采用的维修配件品牌质量比较情况</w:t>
            </w:r>
          </w:p>
        </w:tc>
        <w:tc>
          <w:tcPr>
            <w:tcW w:w="1417" w:type="dxa"/>
            <w:tcBorders>
              <w:bottom w:val="single" w:color="auto" w:sz="4" w:space="0"/>
            </w:tcBorders>
            <w:vAlign w:val="center"/>
          </w:tcPr>
          <w:p>
            <w:pPr>
              <w:snapToGrid w:val="0"/>
              <w:ind w:firstLine="330" w:firstLineChars="150"/>
              <w:rPr>
                <w:rFonts w:ascii="宋体" w:hAnsi="宋体"/>
                <w:sz w:val="22"/>
              </w:rPr>
            </w:pPr>
            <w:r>
              <w:rPr>
                <w:rFonts w:hint="eastAsia" w:ascii="宋体" w:hAnsi="宋体"/>
                <w:sz w:val="22"/>
              </w:rPr>
              <w:t>3-12分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rPr>
        <w:tc>
          <w:tcPr>
            <w:tcW w:w="663" w:type="dxa"/>
            <w:vMerge w:val="continue"/>
            <w:vAlign w:val="center"/>
          </w:tcPr>
          <w:p>
            <w:pPr>
              <w:snapToGrid w:val="0"/>
              <w:jc w:val="center"/>
              <w:rPr>
                <w:rFonts w:ascii="宋体" w:hAnsi="宋体"/>
                <w:color w:val="000000"/>
                <w:sz w:val="22"/>
              </w:rPr>
            </w:pPr>
          </w:p>
        </w:tc>
        <w:tc>
          <w:tcPr>
            <w:tcW w:w="1494" w:type="dxa"/>
            <w:vMerge w:val="continue"/>
            <w:vAlign w:val="center"/>
          </w:tcPr>
          <w:p>
            <w:pPr>
              <w:snapToGrid w:val="0"/>
              <w:rPr>
                <w:rFonts w:ascii="宋体" w:hAnsi="宋体"/>
                <w:color w:val="000000"/>
                <w:sz w:val="22"/>
              </w:rPr>
            </w:pPr>
          </w:p>
        </w:tc>
        <w:tc>
          <w:tcPr>
            <w:tcW w:w="1275" w:type="dxa"/>
            <w:vMerge w:val="continue"/>
            <w:vAlign w:val="center"/>
          </w:tcPr>
          <w:p>
            <w:pPr>
              <w:snapToGrid w:val="0"/>
              <w:jc w:val="center"/>
              <w:rPr>
                <w:rFonts w:ascii="宋体" w:hAnsi="宋体"/>
                <w:sz w:val="22"/>
              </w:rPr>
            </w:pPr>
          </w:p>
        </w:tc>
        <w:tc>
          <w:tcPr>
            <w:tcW w:w="4395" w:type="dxa"/>
            <w:tcBorders>
              <w:bottom w:val="single" w:color="auto" w:sz="4" w:space="0"/>
            </w:tcBorders>
          </w:tcPr>
          <w:p>
            <w:pPr>
              <w:snapToGrid w:val="0"/>
              <w:jc w:val="left"/>
              <w:rPr>
                <w:rFonts w:ascii="宋体" w:hAnsi="宋体"/>
                <w:sz w:val="22"/>
              </w:rPr>
            </w:pPr>
            <w:r>
              <w:rPr>
                <w:rFonts w:hint="eastAsia" w:ascii="宋体" w:hAnsi="宋体"/>
                <w:sz w:val="22"/>
              </w:rPr>
              <w:t>项目主要管理人员及工程技术人员的数量及资历</w:t>
            </w:r>
          </w:p>
        </w:tc>
        <w:tc>
          <w:tcPr>
            <w:tcW w:w="1417" w:type="dxa"/>
            <w:tcBorders>
              <w:bottom w:val="single" w:color="auto" w:sz="4" w:space="0"/>
            </w:tcBorders>
            <w:vAlign w:val="center"/>
          </w:tcPr>
          <w:p>
            <w:pPr>
              <w:snapToGrid w:val="0"/>
              <w:ind w:firstLine="330" w:firstLineChars="150"/>
              <w:rPr>
                <w:rFonts w:ascii="宋体" w:hAnsi="宋体"/>
                <w:sz w:val="22"/>
              </w:rPr>
            </w:pPr>
            <w:r>
              <w:rPr>
                <w:rFonts w:hint="eastAsia" w:ascii="宋体" w:hAnsi="宋体"/>
                <w:sz w:val="22"/>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rPr>
        <w:tc>
          <w:tcPr>
            <w:tcW w:w="663" w:type="dxa"/>
            <w:vMerge w:val="continue"/>
            <w:vAlign w:val="center"/>
          </w:tcPr>
          <w:p>
            <w:pPr>
              <w:snapToGrid w:val="0"/>
              <w:jc w:val="center"/>
              <w:rPr>
                <w:rFonts w:ascii="宋体" w:hAnsi="宋体"/>
                <w:color w:val="000000"/>
                <w:sz w:val="22"/>
              </w:rPr>
            </w:pPr>
          </w:p>
        </w:tc>
        <w:tc>
          <w:tcPr>
            <w:tcW w:w="1494" w:type="dxa"/>
            <w:vMerge w:val="continue"/>
            <w:vAlign w:val="center"/>
          </w:tcPr>
          <w:p>
            <w:pPr>
              <w:snapToGrid w:val="0"/>
              <w:rPr>
                <w:rFonts w:ascii="宋体" w:hAnsi="宋体"/>
                <w:color w:val="000000"/>
                <w:sz w:val="22"/>
              </w:rPr>
            </w:pPr>
          </w:p>
        </w:tc>
        <w:tc>
          <w:tcPr>
            <w:tcW w:w="1275" w:type="dxa"/>
            <w:vMerge w:val="continue"/>
            <w:tcBorders>
              <w:bottom w:val="single" w:color="auto" w:sz="4" w:space="0"/>
            </w:tcBorders>
            <w:vAlign w:val="center"/>
          </w:tcPr>
          <w:p>
            <w:pPr>
              <w:snapToGrid w:val="0"/>
              <w:jc w:val="center"/>
              <w:rPr>
                <w:rFonts w:ascii="宋体" w:hAnsi="宋体"/>
                <w:sz w:val="22"/>
              </w:rPr>
            </w:pPr>
          </w:p>
        </w:tc>
        <w:tc>
          <w:tcPr>
            <w:tcW w:w="4395" w:type="dxa"/>
            <w:tcBorders>
              <w:bottom w:val="single" w:color="auto" w:sz="4" w:space="0"/>
            </w:tcBorders>
          </w:tcPr>
          <w:p>
            <w:pPr>
              <w:snapToGrid w:val="0"/>
              <w:jc w:val="left"/>
              <w:rPr>
                <w:rFonts w:ascii="宋体" w:hAnsi="宋体"/>
                <w:sz w:val="22"/>
              </w:rPr>
            </w:pPr>
            <w:r>
              <w:rPr>
                <w:rFonts w:hint="eastAsia" w:ascii="宋体" w:hAnsi="宋体"/>
                <w:sz w:val="22"/>
              </w:rPr>
              <w:t>是否有突出关键部位的维修方法或特殊技术措施及保证维修质量、工期的措施</w:t>
            </w:r>
          </w:p>
        </w:tc>
        <w:tc>
          <w:tcPr>
            <w:tcW w:w="1417" w:type="dxa"/>
            <w:tcBorders>
              <w:bottom w:val="single" w:color="auto" w:sz="4" w:space="0"/>
            </w:tcBorders>
            <w:vAlign w:val="center"/>
          </w:tcPr>
          <w:p>
            <w:pPr>
              <w:snapToGrid w:val="0"/>
              <w:jc w:val="center"/>
              <w:rPr>
                <w:rFonts w:ascii="宋体" w:hAnsi="宋体"/>
                <w:sz w:val="22"/>
              </w:rPr>
            </w:pPr>
            <w:r>
              <w:rPr>
                <w:rFonts w:hint="eastAsia" w:ascii="宋体" w:hAnsi="宋体"/>
                <w:sz w:val="22"/>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rPr>
        <w:tc>
          <w:tcPr>
            <w:tcW w:w="663" w:type="dxa"/>
            <w:vMerge w:val="continue"/>
            <w:vAlign w:val="center"/>
          </w:tcPr>
          <w:p>
            <w:pPr>
              <w:snapToGrid w:val="0"/>
              <w:jc w:val="center"/>
              <w:rPr>
                <w:rFonts w:ascii="宋体" w:hAnsi="宋体"/>
                <w:color w:val="000000"/>
                <w:sz w:val="22"/>
              </w:rPr>
            </w:pPr>
          </w:p>
        </w:tc>
        <w:tc>
          <w:tcPr>
            <w:tcW w:w="1494" w:type="dxa"/>
            <w:vMerge w:val="continue"/>
            <w:vAlign w:val="center"/>
          </w:tcPr>
          <w:p>
            <w:pPr>
              <w:snapToGrid w:val="0"/>
              <w:rPr>
                <w:rFonts w:ascii="宋体" w:hAnsi="宋体"/>
                <w:color w:val="000000"/>
                <w:sz w:val="22"/>
              </w:rPr>
            </w:pPr>
          </w:p>
        </w:tc>
        <w:tc>
          <w:tcPr>
            <w:tcW w:w="1275" w:type="dxa"/>
            <w:vMerge w:val="restart"/>
            <w:vAlign w:val="center"/>
          </w:tcPr>
          <w:p>
            <w:pPr>
              <w:snapToGrid w:val="0"/>
              <w:jc w:val="center"/>
              <w:rPr>
                <w:rFonts w:ascii="宋体" w:hAnsi="宋体"/>
                <w:sz w:val="22"/>
              </w:rPr>
            </w:pPr>
            <w:r>
              <w:rPr>
                <w:rFonts w:hint="eastAsia" w:ascii="宋体" w:hAnsi="宋体"/>
                <w:sz w:val="22"/>
              </w:rPr>
              <w:t>工期、质保期及售后服务</w:t>
            </w:r>
          </w:p>
        </w:tc>
        <w:tc>
          <w:tcPr>
            <w:tcW w:w="4395" w:type="dxa"/>
            <w:tcBorders>
              <w:bottom w:val="single" w:color="auto" w:sz="4" w:space="0"/>
            </w:tcBorders>
          </w:tcPr>
          <w:p>
            <w:pPr>
              <w:snapToGrid w:val="0"/>
              <w:jc w:val="left"/>
              <w:rPr>
                <w:rFonts w:ascii="宋体" w:hAnsi="宋体"/>
                <w:sz w:val="22"/>
              </w:rPr>
            </w:pPr>
            <w:r>
              <w:rPr>
                <w:rFonts w:hint="eastAsia" w:ascii="宋体" w:hAnsi="宋体"/>
                <w:sz w:val="22"/>
              </w:rPr>
              <w:t>工期是否满足招标文件的要求</w:t>
            </w:r>
          </w:p>
        </w:tc>
        <w:tc>
          <w:tcPr>
            <w:tcW w:w="1417" w:type="dxa"/>
            <w:tcBorders>
              <w:bottom w:val="single" w:color="auto" w:sz="4" w:space="0"/>
            </w:tcBorders>
            <w:vAlign w:val="center"/>
          </w:tcPr>
          <w:p>
            <w:pPr>
              <w:snapToGrid w:val="0"/>
              <w:jc w:val="center"/>
              <w:rPr>
                <w:rFonts w:ascii="宋体" w:hAnsi="宋体"/>
                <w:sz w:val="22"/>
              </w:rPr>
            </w:pPr>
            <w:r>
              <w:rPr>
                <w:rFonts w:hint="eastAsia" w:ascii="宋体" w:hAnsi="宋体"/>
                <w:sz w:val="22"/>
              </w:rPr>
              <w:t>0-1</w:t>
            </w:r>
            <w:r>
              <w:rPr>
                <w:rFonts w:ascii="宋体" w:hAnsi="宋体"/>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rPr>
        <w:tc>
          <w:tcPr>
            <w:tcW w:w="663" w:type="dxa"/>
            <w:vMerge w:val="continue"/>
            <w:vAlign w:val="center"/>
          </w:tcPr>
          <w:p>
            <w:pPr>
              <w:snapToGrid w:val="0"/>
              <w:jc w:val="center"/>
              <w:rPr>
                <w:rFonts w:ascii="宋体" w:hAnsi="宋体"/>
                <w:color w:val="000000"/>
                <w:sz w:val="22"/>
              </w:rPr>
            </w:pPr>
          </w:p>
        </w:tc>
        <w:tc>
          <w:tcPr>
            <w:tcW w:w="1494" w:type="dxa"/>
            <w:vMerge w:val="continue"/>
            <w:vAlign w:val="center"/>
          </w:tcPr>
          <w:p>
            <w:pPr>
              <w:snapToGrid w:val="0"/>
              <w:rPr>
                <w:rFonts w:ascii="宋体" w:hAnsi="宋体"/>
                <w:color w:val="000000"/>
                <w:sz w:val="22"/>
              </w:rPr>
            </w:pPr>
          </w:p>
        </w:tc>
        <w:tc>
          <w:tcPr>
            <w:tcW w:w="1275" w:type="dxa"/>
            <w:vMerge w:val="continue"/>
            <w:vAlign w:val="center"/>
          </w:tcPr>
          <w:p>
            <w:pPr>
              <w:snapToGrid w:val="0"/>
              <w:jc w:val="center"/>
              <w:rPr>
                <w:rFonts w:ascii="宋体" w:hAnsi="宋体"/>
                <w:sz w:val="22"/>
              </w:rPr>
            </w:pPr>
          </w:p>
        </w:tc>
        <w:tc>
          <w:tcPr>
            <w:tcW w:w="4395" w:type="dxa"/>
            <w:tcBorders>
              <w:bottom w:val="single" w:color="auto" w:sz="4" w:space="0"/>
            </w:tcBorders>
          </w:tcPr>
          <w:p>
            <w:pPr>
              <w:snapToGrid w:val="0"/>
              <w:jc w:val="left"/>
              <w:rPr>
                <w:rFonts w:ascii="宋体" w:hAnsi="宋体"/>
                <w:sz w:val="22"/>
              </w:rPr>
            </w:pPr>
            <w:r>
              <w:rPr>
                <w:rFonts w:hint="eastAsia" w:ascii="宋体" w:hAnsi="宋体"/>
                <w:sz w:val="22"/>
              </w:rPr>
              <w:t>是否接报修后24小时到达维修现场</w:t>
            </w:r>
          </w:p>
        </w:tc>
        <w:tc>
          <w:tcPr>
            <w:tcW w:w="1417" w:type="dxa"/>
            <w:tcBorders>
              <w:bottom w:val="single" w:color="auto" w:sz="4" w:space="0"/>
            </w:tcBorders>
            <w:vAlign w:val="center"/>
          </w:tcPr>
          <w:p>
            <w:pPr>
              <w:snapToGrid w:val="0"/>
              <w:jc w:val="center"/>
              <w:rPr>
                <w:rFonts w:ascii="宋体" w:hAnsi="宋体"/>
                <w:sz w:val="22"/>
              </w:rPr>
            </w:pPr>
            <w:r>
              <w:rPr>
                <w:rFonts w:hint="eastAsia" w:ascii="宋体" w:hAnsi="宋体"/>
                <w:sz w:val="22"/>
              </w:rPr>
              <w:t>0-1</w:t>
            </w:r>
            <w:r>
              <w:rPr>
                <w:rFonts w:ascii="宋体" w:hAnsi="宋体"/>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rPr>
        <w:tc>
          <w:tcPr>
            <w:tcW w:w="663" w:type="dxa"/>
            <w:vMerge w:val="continue"/>
            <w:vAlign w:val="center"/>
          </w:tcPr>
          <w:p>
            <w:pPr>
              <w:snapToGrid w:val="0"/>
              <w:jc w:val="center"/>
              <w:rPr>
                <w:rFonts w:ascii="宋体" w:hAnsi="宋体"/>
                <w:color w:val="000000"/>
                <w:sz w:val="22"/>
              </w:rPr>
            </w:pPr>
          </w:p>
        </w:tc>
        <w:tc>
          <w:tcPr>
            <w:tcW w:w="1494" w:type="dxa"/>
            <w:vMerge w:val="continue"/>
            <w:vAlign w:val="center"/>
          </w:tcPr>
          <w:p>
            <w:pPr>
              <w:snapToGrid w:val="0"/>
              <w:rPr>
                <w:rFonts w:ascii="宋体" w:hAnsi="宋体"/>
                <w:color w:val="000000"/>
                <w:sz w:val="22"/>
              </w:rPr>
            </w:pPr>
          </w:p>
        </w:tc>
        <w:tc>
          <w:tcPr>
            <w:tcW w:w="1275" w:type="dxa"/>
            <w:vMerge w:val="continue"/>
            <w:vAlign w:val="center"/>
          </w:tcPr>
          <w:p>
            <w:pPr>
              <w:snapToGrid w:val="0"/>
              <w:jc w:val="center"/>
              <w:rPr>
                <w:rFonts w:ascii="宋体" w:hAnsi="宋体"/>
                <w:sz w:val="22"/>
              </w:rPr>
            </w:pPr>
          </w:p>
        </w:tc>
        <w:tc>
          <w:tcPr>
            <w:tcW w:w="4395" w:type="dxa"/>
            <w:tcBorders>
              <w:bottom w:val="single" w:color="auto" w:sz="4" w:space="0"/>
            </w:tcBorders>
          </w:tcPr>
          <w:p>
            <w:pPr>
              <w:snapToGrid w:val="0"/>
              <w:jc w:val="left"/>
              <w:rPr>
                <w:rFonts w:ascii="宋体" w:hAnsi="宋体"/>
                <w:sz w:val="22"/>
              </w:rPr>
            </w:pPr>
            <w:r>
              <w:rPr>
                <w:rFonts w:hint="eastAsia" w:ascii="宋体" w:hAnsi="宋体"/>
                <w:sz w:val="22"/>
              </w:rPr>
              <w:t>质保期是否符合或优于标书要求</w:t>
            </w:r>
          </w:p>
        </w:tc>
        <w:tc>
          <w:tcPr>
            <w:tcW w:w="1417" w:type="dxa"/>
            <w:tcBorders>
              <w:bottom w:val="single" w:color="auto" w:sz="4" w:space="0"/>
            </w:tcBorders>
            <w:vAlign w:val="center"/>
          </w:tcPr>
          <w:p>
            <w:pPr>
              <w:snapToGrid w:val="0"/>
              <w:jc w:val="center"/>
              <w:rPr>
                <w:rFonts w:ascii="宋体" w:hAnsi="宋体"/>
                <w:sz w:val="22"/>
              </w:rPr>
            </w:pPr>
            <w:r>
              <w:rPr>
                <w:rFonts w:hint="eastAsia" w:ascii="宋体" w:hAnsi="宋体"/>
                <w:sz w:val="22"/>
              </w:rPr>
              <w:t>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rPr>
        <w:tc>
          <w:tcPr>
            <w:tcW w:w="663" w:type="dxa"/>
            <w:vMerge w:val="continue"/>
            <w:vAlign w:val="center"/>
          </w:tcPr>
          <w:p>
            <w:pPr>
              <w:snapToGrid w:val="0"/>
              <w:jc w:val="center"/>
              <w:rPr>
                <w:rFonts w:ascii="宋体" w:hAnsi="宋体"/>
                <w:color w:val="000000"/>
                <w:sz w:val="22"/>
              </w:rPr>
            </w:pPr>
          </w:p>
        </w:tc>
        <w:tc>
          <w:tcPr>
            <w:tcW w:w="1494" w:type="dxa"/>
            <w:vMerge w:val="continue"/>
            <w:vAlign w:val="center"/>
          </w:tcPr>
          <w:p>
            <w:pPr>
              <w:snapToGrid w:val="0"/>
              <w:rPr>
                <w:rFonts w:ascii="宋体" w:hAnsi="宋体"/>
                <w:color w:val="000000"/>
                <w:sz w:val="22"/>
              </w:rPr>
            </w:pPr>
          </w:p>
        </w:tc>
        <w:tc>
          <w:tcPr>
            <w:tcW w:w="1275" w:type="dxa"/>
            <w:vMerge w:val="continue"/>
            <w:tcBorders>
              <w:bottom w:val="single" w:color="auto" w:sz="4" w:space="0"/>
            </w:tcBorders>
            <w:vAlign w:val="center"/>
          </w:tcPr>
          <w:p>
            <w:pPr>
              <w:snapToGrid w:val="0"/>
              <w:jc w:val="center"/>
              <w:rPr>
                <w:rFonts w:ascii="宋体" w:hAnsi="宋体"/>
                <w:sz w:val="22"/>
              </w:rPr>
            </w:pPr>
          </w:p>
        </w:tc>
        <w:tc>
          <w:tcPr>
            <w:tcW w:w="4395" w:type="dxa"/>
            <w:tcBorders>
              <w:bottom w:val="single" w:color="auto" w:sz="4" w:space="0"/>
            </w:tcBorders>
          </w:tcPr>
          <w:p>
            <w:pPr>
              <w:snapToGrid w:val="0"/>
              <w:jc w:val="left"/>
              <w:rPr>
                <w:rFonts w:ascii="宋体" w:hAnsi="宋体"/>
                <w:sz w:val="22"/>
              </w:rPr>
            </w:pPr>
            <w:r>
              <w:rPr>
                <w:rFonts w:hint="eastAsia" w:ascii="宋体" w:hAnsi="宋体"/>
                <w:sz w:val="22"/>
              </w:rPr>
              <w:t>售后服务计划是否完善</w:t>
            </w:r>
          </w:p>
        </w:tc>
        <w:tc>
          <w:tcPr>
            <w:tcW w:w="1417" w:type="dxa"/>
            <w:tcBorders>
              <w:bottom w:val="single" w:color="auto" w:sz="4" w:space="0"/>
            </w:tcBorders>
            <w:vAlign w:val="center"/>
          </w:tcPr>
          <w:p>
            <w:pPr>
              <w:snapToGrid w:val="0"/>
              <w:jc w:val="center"/>
              <w:rPr>
                <w:rFonts w:ascii="宋体" w:hAnsi="宋体"/>
                <w:sz w:val="22"/>
              </w:rPr>
            </w:pPr>
            <w:r>
              <w:rPr>
                <w:rFonts w:hint="eastAsia" w:ascii="宋体" w:hAnsi="宋体"/>
                <w:sz w:val="22"/>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rPr>
        <w:tc>
          <w:tcPr>
            <w:tcW w:w="663" w:type="dxa"/>
            <w:vMerge w:val="continue"/>
            <w:vAlign w:val="center"/>
          </w:tcPr>
          <w:p>
            <w:pPr>
              <w:snapToGrid w:val="0"/>
              <w:jc w:val="center"/>
              <w:rPr>
                <w:rFonts w:ascii="宋体" w:hAnsi="宋体"/>
                <w:color w:val="000000"/>
                <w:sz w:val="22"/>
              </w:rPr>
            </w:pPr>
          </w:p>
        </w:tc>
        <w:tc>
          <w:tcPr>
            <w:tcW w:w="1494" w:type="dxa"/>
            <w:vMerge w:val="continue"/>
            <w:vAlign w:val="center"/>
          </w:tcPr>
          <w:p>
            <w:pPr>
              <w:snapToGrid w:val="0"/>
              <w:rPr>
                <w:rFonts w:ascii="宋体" w:hAnsi="宋体"/>
                <w:color w:val="000000"/>
                <w:sz w:val="22"/>
              </w:rPr>
            </w:pPr>
          </w:p>
        </w:tc>
        <w:tc>
          <w:tcPr>
            <w:tcW w:w="1275" w:type="dxa"/>
            <w:vAlign w:val="center"/>
          </w:tcPr>
          <w:p>
            <w:pPr>
              <w:snapToGrid w:val="0"/>
              <w:jc w:val="center"/>
              <w:rPr>
                <w:rFonts w:ascii="宋体" w:hAnsi="宋体"/>
                <w:sz w:val="22"/>
              </w:rPr>
            </w:pPr>
            <w:r>
              <w:rPr>
                <w:rFonts w:hint="eastAsia" w:ascii="宋体" w:hAnsi="宋体"/>
                <w:sz w:val="22"/>
              </w:rPr>
              <w:t>投标人业绩</w:t>
            </w:r>
          </w:p>
        </w:tc>
        <w:tc>
          <w:tcPr>
            <w:tcW w:w="4395" w:type="dxa"/>
          </w:tcPr>
          <w:p>
            <w:pPr>
              <w:snapToGrid w:val="0"/>
              <w:jc w:val="left"/>
              <w:rPr>
                <w:rFonts w:ascii="宋体" w:hAnsi="宋体"/>
                <w:sz w:val="22"/>
              </w:rPr>
            </w:pPr>
            <w:r>
              <w:rPr>
                <w:rFonts w:hint="eastAsia" w:ascii="宋体" w:hAnsi="宋体"/>
                <w:sz w:val="22"/>
              </w:rPr>
              <w:t>1、近3年</w:t>
            </w:r>
            <w:r>
              <w:rPr>
                <w:rFonts w:hint="eastAsia" w:ascii="宋体" w:hAnsi="宋体" w:cs="Arial"/>
                <w:kern w:val="0"/>
                <w:sz w:val="22"/>
              </w:rPr>
              <w:t>（201</w:t>
            </w:r>
            <w:r>
              <w:rPr>
                <w:rFonts w:ascii="宋体" w:hAnsi="宋体" w:cs="Arial"/>
                <w:kern w:val="0"/>
                <w:sz w:val="22"/>
              </w:rPr>
              <w:t>6</w:t>
            </w:r>
            <w:r>
              <w:rPr>
                <w:rFonts w:hint="eastAsia" w:ascii="宋体" w:hAnsi="宋体" w:cs="Arial"/>
                <w:kern w:val="0"/>
                <w:sz w:val="22"/>
              </w:rPr>
              <w:t>年1月1日起至投标截止日）</w:t>
            </w:r>
            <w:r>
              <w:rPr>
                <w:rFonts w:hint="eastAsia" w:ascii="宋体" w:hAnsi="宋体"/>
                <w:sz w:val="22"/>
              </w:rPr>
              <w:t>在国内类似飞机除冰车大修的相关业绩，需提供中标通知书或合同复印件并加盖投标人公章作为证明材料，原件备查。。每个</w:t>
            </w:r>
            <w:r>
              <w:rPr>
                <w:rFonts w:ascii="宋体" w:hAnsi="宋体"/>
                <w:sz w:val="22"/>
              </w:rPr>
              <w:t>业绩得</w:t>
            </w:r>
            <w:r>
              <w:rPr>
                <w:rFonts w:hint="eastAsia" w:ascii="宋体" w:hAnsi="宋体"/>
                <w:sz w:val="22"/>
              </w:rPr>
              <w:t>1分</w:t>
            </w:r>
            <w:r>
              <w:rPr>
                <w:rFonts w:ascii="宋体" w:hAnsi="宋体"/>
                <w:sz w:val="22"/>
              </w:rPr>
              <w:t>，最高不超过</w:t>
            </w:r>
            <w:r>
              <w:rPr>
                <w:rFonts w:hint="eastAsia" w:ascii="宋体" w:hAnsi="宋体"/>
                <w:sz w:val="22"/>
              </w:rPr>
              <w:t>5分；</w:t>
            </w:r>
          </w:p>
          <w:p>
            <w:pPr>
              <w:snapToGrid w:val="0"/>
              <w:jc w:val="left"/>
              <w:rPr>
                <w:rFonts w:ascii="宋体" w:hAnsi="宋体"/>
                <w:sz w:val="22"/>
              </w:rPr>
            </w:pPr>
            <w:r>
              <w:rPr>
                <w:rFonts w:hint="eastAsia" w:ascii="宋体" w:hAnsi="宋体"/>
                <w:sz w:val="22"/>
              </w:rPr>
              <w:t>2、用户评价度。0～2分。</w:t>
            </w:r>
          </w:p>
        </w:tc>
        <w:tc>
          <w:tcPr>
            <w:tcW w:w="1417" w:type="dxa"/>
            <w:vAlign w:val="center"/>
          </w:tcPr>
          <w:p>
            <w:pPr>
              <w:snapToGrid w:val="0"/>
              <w:jc w:val="center"/>
              <w:rPr>
                <w:rFonts w:ascii="宋体" w:hAnsi="宋体"/>
                <w:sz w:val="22"/>
              </w:rPr>
            </w:pPr>
            <w:r>
              <w:rPr>
                <w:rFonts w:hint="eastAsia" w:ascii="宋体" w:hAnsi="宋体"/>
                <w:sz w:val="22"/>
              </w:rPr>
              <w:t>0-7分</w:t>
            </w:r>
          </w:p>
        </w:tc>
      </w:tr>
    </w:tbl>
    <w:p>
      <w:pPr>
        <w:pStyle w:val="19"/>
        <w:adjustRightInd w:val="0"/>
        <w:snapToGrid w:val="0"/>
        <w:spacing w:line="360" w:lineRule="exact"/>
        <w:ind w:firstLine="440" w:firstLineChars="200"/>
        <w:rPr>
          <w:rFonts w:hAnsi="宋体" w:cs="Calibri"/>
          <w:sz w:val="22"/>
          <w:szCs w:val="22"/>
        </w:rPr>
      </w:pPr>
    </w:p>
    <w:p>
      <w:pPr>
        <w:pStyle w:val="19"/>
        <w:spacing w:line="360" w:lineRule="exact"/>
        <w:rPr>
          <w:rFonts w:hAnsi="宋体" w:cs="Calibri"/>
          <w:b/>
          <w:sz w:val="22"/>
          <w:szCs w:val="22"/>
        </w:rPr>
      </w:pPr>
      <w:r>
        <w:rPr>
          <w:rFonts w:hAnsi="宋体" w:cs="Calibri"/>
          <w:b/>
          <w:sz w:val="22"/>
          <w:szCs w:val="22"/>
        </w:rPr>
        <w:t>3.4推荐中标候选人</w:t>
      </w:r>
    </w:p>
    <w:p>
      <w:pPr>
        <w:pStyle w:val="19"/>
        <w:adjustRightInd w:val="0"/>
        <w:snapToGrid w:val="0"/>
        <w:spacing w:line="360" w:lineRule="exact"/>
        <w:ind w:firstLine="440" w:firstLineChars="200"/>
        <w:rPr>
          <w:rFonts w:hAnsi="宋体" w:cs="Calibri"/>
          <w:sz w:val="22"/>
          <w:szCs w:val="22"/>
        </w:rPr>
      </w:pPr>
      <w:r>
        <w:rPr>
          <w:rFonts w:hAnsi="宋体" w:cs="Calibri"/>
          <w:sz w:val="22"/>
          <w:szCs w:val="22"/>
        </w:rPr>
        <w:t>3.4.1当有效投标文件大于等于二名时，评标委员会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19"/>
        <w:adjustRightInd w:val="0"/>
        <w:snapToGrid w:val="0"/>
        <w:spacing w:line="360" w:lineRule="exact"/>
        <w:ind w:firstLine="440" w:firstLineChars="200"/>
        <w:rPr>
          <w:rFonts w:hAnsi="宋体" w:cs="Calibri"/>
          <w:sz w:val="22"/>
          <w:szCs w:val="22"/>
        </w:rPr>
      </w:pPr>
      <w:r>
        <w:rPr>
          <w:rFonts w:hAnsi="宋体" w:cs="Calibri"/>
          <w:sz w:val="22"/>
          <w:szCs w:val="22"/>
        </w:rPr>
        <w:t>3.4.3当有效投标文件只有一名时，则由评标委员会确定是否推荐为中标候选人。</w:t>
      </w:r>
    </w:p>
    <w:p>
      <w:pPr>
        <w:pStyle w:val="19"/>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19"/>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19"/>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19"/>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19"/>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19"/>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19"/>
        <w:adjustRightInd w:val="0"/>
        <w:snapToGrid w:val="0"/>
        <w:spacing w:line="360" w:lineRule="exact"/>
        <w:ind w:firstLine="442" w:firstLineChars="200"/>
        <w:rPr>
          <w:rFonts w:hAnsi="宋体" w:cs="Calibri"/>
          <w:b/>
          <w:sz w:val="22"/>
          <w:szCs w:val="22"/>
        </w:rPr>
      </w:pPr>
      <w:r>
        <w:rPr>
          <w:rFonts w:hint="eastAsia" w:hAnsi="宋体" w:cs="Calibri"/>
          <w:b/>
          <w:sz w:val="22"/>
          <w:szCs w:val="22"/>
        </w:rPr>
        <w:t>4.4</w:t>
      </w:r>
      <w:r>
        <w:rPr>
          <w:rFonts w:hint="eastAsia" w:cs="Calibri" w:asciiTheme="minorEastAsia" w:hAnsiTheme="minorEastAsia" w:eastAsiaTheme="minorEastAsia"/>
          <w:b/>
          <w:color w:val="000000"/>
          <w:sz w:val="22"/>
        </w:rPr>
        <w:t>招标人对评标、定标结果不负责解释。</w:t>
      </w:r>
    </w:p>
    <w:p>
      <w:pPr>
        <w:pStyle w:val="19"/>
        <w:adjustRightInd w:val="0"/>
        <w:snapToGrid w:val="0"/>
        <w:spacing w:line="360" w:lineRule="exact"/>
        <w:ind w:firstLine="440" w:firstLineChars="200"/>
        <w:rPr>
          <w:rFonts w:hAnsi="宋体" w:cs="Calibri"/>
          <w:sz w:val="22"/>
          <w:szCs w:val="22"/>
        </w:rPr>
      </w:pPr>
    </w:p>
    <w:bookmarkEnd w:id="111"/>
    <w:p>
      <w:pPr>
        <w:spacing w:line="360" w:lineRule="exact"/>
        <w:rPr>
          <w:rFonts w:ascii="宋体" w:hAnsi="宋体"/>
          <w:szCs w:val="21"/>
        </w:rPr>
      </w:pPr>
    </w:p>
    <w:p>
      <w:pPr>
        <w:pStyle w:val="2"/>
        <w:spacing w:before="0" w:after="0" w:line="360" w:lineRule="auto"/>
        <w:jc w:val="center"/>
        <w:rPr>
          <w:rFonts w:ascii="Calibri" w:hAnsi="Calibri" w:eastAsia="黑体" w:cs="Calibri"/>
          <w:kern w:val="0"/>
          <w:sz w:val="32"/>
        </w:rPr>
      </w:pPr>
      <w:r>
        <w:br w:type="page"/>
      </w:r>
      <w:bookmarkStart w:id="112" w:name="_Toc448002988"/>
      <w:r>
        <w:rPr>
          <w:rFonts w:ascii="Calibri" w:hAnsi="Calibri" w:eastAsia="黑体" w:cs="Calibri"/>
          <w:kern w:val="0"/>
          <w:sz w:val="32"/>
        </w:rPr>
        <w:t>第</w:t>
      </w:r>
      <w:r>
        <w:rPr>
          <w:rFonts w:hint="eastAsia" w:ascii="Calibri" w:hAnsi="Calibri" w:eastAsia="黑体" w:cs="Calibri"/>
          <w:kern w:val="0"/>
          <w:sz w:val="32"/>
        </w:rPr>
        <w:t>六</w:t>
      </w:r>
      <w:r>
        <w:rPr>
          <w:rFonts w:ascii="Calibri" w:hAnsi="Calibri" w:eastAsia="黑体" w:cs="Calibri"/>
          <w:kern w:val="0"/>
          <w:sz w:val="32"/>
        </w:rPr>
        <w:t>章  投标文件格式</w:t>
      </w:r>
      <w:bookmarkEnd w:id="112"/>
    </w:p>
    <w:p>
      <w:pPr>
        <w:spacing w:line="440" w:lineRule="exact"/>
        <w:rPr>
          <w:rFonts w:cs="Calibri"/>
          <w:color w:val="000000"/>
          <w:sz w:val="24"/>
        </w:rPr>
      </w:pPr>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一、</w:t>
      </w:r>
      <w:r>
        <w:rPr>
          <w:rFonts w:ascii="宋体" w:hAnsi="宋体" w:cs="Calibri"/>
          <w:color w:val="000000"/>
          <w:sz w:val="22"/>
        </w:rPr>
        <w:t>投标函；</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二、</w:t>
      </w:r>
      <w:r>
        <w:rPr>
          <w:rFonts w:ascii="宋体" w:hAnsi="宋体" w:cs="Calibri"/>
          <w:color w:val="000000"/>
          <w:sz w:val="22"/>
        </w:rPr>
        <w:t>投标报价表；</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三、</w:t>
      </w:r>
      <w:r>
        <w:rPr>
          <w:rFonts w:ascii="宋体" w:hAnsi="宋体" w:cs="Calibri"/>
          <w:color w:val="000000"/>
          <w:sz w:val="22"/>
        </w:rPr>
        <w:t>法定代表人资格证明书；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四、</w:t>
      </w:r>
      <w:r>
        <w:rPr>
          <w:rFonts w:ascii="宋体" w:hAnsi="宋体" w:cs="Calibri"/>
          <w:color w:val="000000"/>
          <w:sz w:val="22"/>
        </w:rPr>
        <w:t>授权委托书；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五、</w:t>
      </w:r>
      <w:r>
        <w:rPr>
          <w:rFonts w:ascii="宋体" w:hAnsi="宋体" w:cs="Calibri"/>
          <w:color w:val="000000"/>
          <w:sz w:val="22"/>
        </w:rPr>
        <w:t>投标人资格证明文件：</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（1）投标人一般情况</w:t>
      </w:r>
      <w:r>
        <w:rPr>
          <w:rFonts w:hint="eastAsia" w:ascii="宋体" w:hAnsi="宋体" w:cs="Calibri"/>
          <w:color w:val="000000"/>
          <w:sz w:val="22"/>
        </w:rPr>
        <w:t>及</w:t>
      </w:r>
      <w:r>
        <w:rPr>
          <w:rFonts w:ascii="宋体" w:hAnsi="宋体" w:cs="Calibri"/>
          <w:color w:val="000000"/>
          <w:sz w:val="22"/>
        </w:rPr>
        <w:t>有关证明投标人法律地位的文件（包括营业执照</w:t>
      </w:r>
      <w:r>
        <w:rPr>
          <w:rFonts w:hint="eastAsia" w:ascii="宋体" w:hAnsi="宋体" w:cs="Calibri"/>
          <w:color w:val="000000"/>
          <w:sz w:val="22"/>
        </w:rPr>
        <w:t>、</w:t>
      </w:r>
      <w:r>
        <w:rPr>
          <w:rFonts w:hint="eastAsia" w:ascii="宋体" w:hAnsi="宋体" w:cs="Calibri"/>
          <w:sz w:val="22"/>
        </w:rPr>
        <w:t>税务登记证、</w:t>
      </w:r>
      <w:r>
        <w:rPr>
          <w:rFonts w:ascii="宋体" w:hAnsi="宋体" w:cs="Calibri"/>
          <w:sz w:val="22"/>
        </w:rPr>
        <w:t>一般纳税人证明材料</w:t>
      </w:r>
      <w:r>
        <w:rPr>
          <w:rFonts w:hint="eastAsia" w:ascii="宋体" w:hAnsi="宋体" w:cs="Calibri"/>
          <w:sz w:val="22"/>
        </w:rPr>
        <w:t>、</w:t>
      </w:r>
      <w:r>
        <w:rPr>
          <w:rFonts w:ascii="宋体" w:hAnsi="宋体" w:cs="Calibri"/>
          <w:color w:val="000000"/>
          <w:sz w:val="22"/>
        </w:rPr>
        <w:t>资质</w:t>
      </w:r>
      <w:r>
        <w:rPr>
          <w:rFonts w:hint="eastAsia" w:ascii="宋体" w:hAnsi="宋体" w:cs="Calibri"/>
          <w:color w:val="000000"/>
          <w:sz w:val="22"/>
        </w:rPr>
        <w:t>证书</w:t>
      </w:r>
      <w:r>
        <w:rPr>
          <w:rFonts w:ascii="宋体" w:hAnsi="宋体" w:cs="Calibri"/>
          <w:color w:val="000000"/>
          <w:sz w:val="22"/>
        </w:rPr>
        <w:t>等），说明投标人的注册地点和主要经营范围；</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（2）信用中国网站www.creditchina.gov.cn 、中国裁判文书网http://wenshu.court.gov.cn查询结果证材料。</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（3）有关证明投标人的企业信誉及获得各种奖励等资料；</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（4）投标人经济实力：包括企业注册资金、财务报告与报表中反映的财务状况</w:t>
      </w:r>
      <w:r>
        <w:rPr>
          <w:rFonts w:hint="eastAsia" w:ascii="宋体" w:hAnsi="宋体" w:cs="Calibri"/>
          <w:color w:val="000000"/>
          <w:sz w:val="22"/>
        </w:rPr>
        <w:t>；</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w:t>
      </w:r>
      <w:r>
        <w:rPr>
          <w:rFonts w:ascii="宋体" w:hAnsi="宋体" w:cs="Calibri"/>
          <w:color w:val="000000"/>
          <w:sz w:val="22"/>
        </w:rPr>
        <w:t>5</w:t>
      </w:r>
      <w:r>
        <w:rPr>
          <w:rFonts w:hint="eastAsia" w:ascii="宋体" w:hAnsi="宋体" w:cs="Calibri"/>
          <w:color w:val="000000"/>
          <w:sz w:val="22"/>
        </w:rPr>
        <w:t>）</w:t>
      </w:r>
      <w:r>
        <w:rPr>
          <w:rFonts w:ascii="宋体" w:hAnsi="宋体" w:cs="Calibri"/>
          <w:color w:val="000000"/>
          <w:sz w:val="22"/>
        </w:rPr>
        <w:t>近三年完成类似项目业绩情况</w:t>
      </w:r>
      <w:r>
        <w:rPr>
          <w:rFonts w:hint="eastAsia" w:ascii="宋体" w:hAnsi="宋体" w:cs="Calibri"/>
          <w:color w:val="000000"/>
          <w:sz w:val="22"/>
        </w:rPr>
        <w:t>。</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六、维修</w:t>
      </w:r>
      <w:r>
        <w:rPr>
          <w:rFonts w:ascii="宋体" w:hAnsi="宋体" w:cs="Calibri"/>
          <w:color w:val="000000"/>
          <w:sz w:val="22"/>
        </w:rPr>
        <w:t>服务大纲</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（1）本项目概况；</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（2）工作内容和依据；</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（3）</w:t>
      </w:r>
      <w:r>
        <w:rPr>
          <w:rFonts w:hint="eastAsia" w:ascii="宋体" w:hAnsi="宋体" w:cs="Calibri"/>
          <w:color w:val="000000"/>
          <w:sz w:val="22"/>
        </w:rPr>
        <w:t>维修</w:t>
      </w:r>
      <w:r>
        <w:rPr>
          <w:rFonts w:ascii="宋体" w:hAnsi="宋体" w:cs="Calibri"/>
          <w:color w:val="000000"/>
          <w:sz w:val="22"/>
        </w:rPr>
        <w:t>服务管理班子的组织结构形式；</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（4）</w:t>
      </w:r>
      <w:r>
        <w:rPr>
          <w:rFonts w:hint="eastAsia" w:ascii="宋体" w:hAnsi="宋体" w:cs="Calibri"/>
          <w:color w:val="000000"/>
          <w:sz w:val="22"/>
        </w:rPr>
        <w:t>维修</w:t>
      </w:r>
      <w:r>
        <w:rPr>
          <w:rFonts w:ascii="宋体" w:hAnsi="宋体" w:cs="Calibri"/>
          <w:color w:val="000000"/>
          <w:sz w:val="22"/>
        </w:rPr>
        <w:t>服务人员的作业安排和进场计划；</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（5）</w:t>
      </w:r>
      <w:r>
        <w:rPr>
          <w:rFonts w:hint="eastAsia" w:ascii="宋体" w:hAnsi="宋体" w:cs="Calibri"/>
          <w:color w:val="000000"/>
          <w:sz w:val="22"/>
        </w:rPr>
        <w:t>维修</w:t>
      </w:r>
      <w:r>
        <w:rPr>
          <w:rFonts w:ascii="宋体" w:hAnsi="宋体" w:cs="Calibri"/>
          <w:color w:val="000000"/>
          <w:sz w:val="22"/>
        </w:rPr>
        <w:t>服务人员工作守则；</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（6）对本项目的实施意见及重点</w:t>
      </w:r>
      <w:r>
        <w:rPr>
          <w:rFonts w:hint="eastAsia" w:ascii="宋体" w:hAnsi="宋体" w:cs="Calibri"/>
          <w:color w:val="000000"/>
          <w:sz w:val="22"/>
        </w:rPr>
        <w:t>、</w:t>
      </w:r>
      <w:r>
        <w:rPr>
          <w:rFonts w:ascii="宋体" w:hAnsi="宋体" w:cs="Calibri"/>
          <w:color w:val="000000"/>
          <w:sz w:val="22"/>
        </w:rPr>
        <w:t>难点控制；</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（7）投入到本项目的项目负责人、其他人员的情况汇总表及业绩、经历、能力介绍、资格证明材料及人员到位率的承诺；</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（8）投入本项目服务的仪器、仪表、设备及交通工具汇总表</w:t>
      </w:r>
      <w:r>
        <w:rPr>
          <w:rFonts w:hint="eastAsia" w:ascii="宋体" w:hAnsi="宋体" w:cs="Calibri"/>
          <w:color w:val="000000"/>
          <w:sz w:val="22"/>
        </w:rPr>
        <w:t>。</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七、</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Arial"/>
          <w:color w:val="000000"/>
          <w:sz w:val="22"/>
        </w:rPr>
        <w:t>。</w:t>
      </w:r>
    </w:p>
    <w:p>
      <w:pPr>
        <w:rPr>
          <w:rFonts w:ascii="宋体" w:hAnsi="宋体" w:cs="Calibri"/>
          <w:sz w:val="22"/>
        </w:rPr>
      </w:pPr>
    </w:p>
    <w:p>
      <w:pPr>
        <w:spacing w:line="440" w:lineRule="exact"/>
        <w:rPr>
          <w:rFonts w:ascii="宋体" w:hAnsi="宋体" w:cs="Calibri"/>
          <w:color w:val="000000"/>
          <w:sz w:val="22"/>
        </w:rPr>
      </w:pPr>
    </w:p>
    <w:p>
      <w:pPr>
        <w:spacing w:line="440" w:lineRule="exact"/>
        <w:ind w:right="420"/>
        <w:rPr>
          <w:rFonts w:ascii="宋体" w:hAnsi="宋体" w:cs="Calibri"/>
          <w:color w:val="000000"/>
          <w:sz w:val="22"/>
        </w:rPr>
      </w:pPr>
      <w:r>
        <w:rPr>
          <w:rFonts w:hint="eastAsia" w:ascii="宋体" w:hAnsi="宋体" w:cs="Calibri"/>
          <w:color w:val="000000"/>
          <w:sz w:val="22"/>
        </w:rPr>
        <w:t>注：未提供格式的由投标人自行拟定格式。</w:t>
      </w:r>
    </w:p>
    <w:p>
      <w:pPr>
        <w:spacing w:line="440" w:lineRule="exact"/>
        <w:ind w:right="420"/>
        <w:rPr>
          <w:rFonts w:ascii="宋体" w:hAnsi="宋体" w:cs="Calibri"/>
          <w:color w:val="000000"/>
        </w:rPr>
      </w:pPr>
    </w:p>
    <w:p>
      <w:pPr>
        <w:spacing w:line="440" w:lineRule="exact"/>
        <w:ind w:right="420"/>
        <w:rPr>
          <w:rFonts w:cs="Calibri"/>
          <w:color w:val="000000"/>
        </w:rPr>
      </w:pPr>
    </w:p>
    <w:p>
      <w:pPr>
        <w:spacing w:line="440" w:lineRule="exact"/>
        <w:ind w:right="420"/>
        <w:jc w:val="right"/>
        <w:rPr>
          <w:rFonts w:cs="Calibri"/>
          <w:color w:val="000000"/>
        </w:rPr>
      </w:pPr>
      <w:r>
        <w:rPr>
          <w:rFonts w:cs="Calibri"/>
          <w:color w:val="000000"/>
        </w:rPr>
        <w:br w:type="page"/>
      </w:r>
      <w:r>
        <w:rPr>
          <w:rFonts w:cs="Calibri"/>
          <w:color w:val="000000"/>
        </w:rPr>
        <w:t>正本（或副本）</w:t>
      </w:r>
    </w:p>
    <w:p>
      <w:pPr>
        <w:spacing w:line="440" w:lineRule="exact"/>
        <w:rPr>
          <w:rFonts w:cs="Calibri"/>
          <w:color w:val="000000"/>
          <w:sz w:val="24"/>
          <w:u w:val="single"/>
        </w:rPr>
      </w:pPr>
      <w:bookmarkStart w:id="113" w:name="_Toc171421958"/>
      <w:r>
        <w:rPr>
          <w:rFonts w:cs="Calibri"/>
          <w:color w:val="000000"/>
        </w:rPr>
        <w:t>封面</w:t>
      </w:r>
      <w:bookmarkEnd w:id="113"/>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飞机除冰车大修</w:t>
      </w:r>
      <w:r>
        <w:rPr>
          <w:rFonts w:eastAsia="黑体" w:cs="Calibri"/>
          <w:b/>
          <w:sz w:val="44"/>
          <w:szCs w:val="44"/>
        </w:rPr>
        <w:t>项目</w:t>
      </w:r>
    </w:p>
    <w:p>
      <w:pPr>
        <w:spacing w:line="440" w:lineRule="exact"/>
        <w:rPr>
          <w:rFonts w:cs="Calibri"/>
          <w:color w:val="000000"/>
          <w:sz w:val="36"/>
          <w:szCs w:val="36"/>
        </w:rPr>
      </w:pPr>
    </w:p>
    <w:p>
      <w:pPr>
        <w:spacing w:line="440" w:lineRule="exact"/>
        <w:ind w:firstLine="480" w:firstLineChars="200"/>
        <w:jc w:val="center"/>
        <w:rPr>
          <w:rFonts w:cs="Calibri"/>
          <w:color w:val="000000"/>
          <w:sz w:val="24"/>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sz w:val="24"/>
        </w:rPr>
      </w:pPr>
    </w:p>
    <w:p>
      <w:pPr>
        <w:spacing w:line="440" w:lineRule="exact"/>
        <w:ind w:firstLine="480" w:firstLineChars="200"/>
        <w:rPr>
          <w:rFonts w:cs="Calibri"/>
          <w:color w:val="000000"/>
          <w:sz w:val="24"/>
        </w:rPr>
      </w:pPr>
      <w:r>
        <w:rPr>
          <w:rFonts w:cs="Calibri"/>
          <w:color w:val="000000"/>
          <w:sz w:val="24"/>
        </w:rPr>
        <w:t xml:space="preserve">                  </w:t>
      </w: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spacing w:line="360" w:lineRule="auto"/>
        <w:ind w:firstLine="1400" w:firstLineChars="500"/>
        <w:rPr>
          <w:rFonts w:cs="Calibri"/>
          <w:color w:val="000000"/>
          <w:sz w:val="28"/>
          <w:szCs w:val="28"/>
        </w:rPr>
      </w:pPr>
    </w:p>
    <w:p>
      <w:pPr>
        <w:spacing w:line="360" w:lineRule="auto"/>
        <w:jc w:val="center"/>
        <w:rPr>
          <w:rFonts w:eastAsia="黑体" w:cs="Calibri"/>
          <w:bCs/>
          <w:color w:val="000000"/>
          <w:sz w:val="32"/>
          <w:szCs w:val="32"/>
        </w:rPr>
      </w:pPr>
      <w:r>
        <w:rPr>
          <w:rFonts w:cs="Calibri"/>
          <w:color w:val="000000"/>
          <w:sz w:val="24"/>
        </w:rPr>
        <w:br w:type="page"/>
      </w:r>
      <w:r>
        <w:rPr>
          <w:rFonts w:eastAsia="黑体" w:cs="Calibri"/>
          <w:bCs/>
          <w:color w:val="000000"/>
          <w:sz w:val="32"/>
          <w:szCs w:val="32"/>
        </w:rPr>
        <w:t>一、投 标 函</w:t>
      </w:r>
    </w:p>
    <w:p>
      <w:pPr>
        <w:spacing w:line="440" w:lineRule="exact"/>
        <w:jc w:val="center"/>
        <w:rPr>
          <w:rFonts w:cs="Calibri"/>
          <w:b/>
          <w:bCs/>
          <w:color w:val="000000"/>
          <w:sz w:val="28"/>
          <w:szCs w:val="28"/>
        </w:rPr>
      </w:pPr>
    </w:p>
    <w:p>
      <w:pPr>
        <w:snapToGrid w:val="0"/>
        <w:spacing w:line="360" w:lineRule="auto"/>
        <w:rPr>
          <w:rFonts w:cs="Calibri" w:asciiTheme="minorEastAsia" w:hAnsiTheme="minorEastAsia" w:eastAsiaTheme="minorEastAsia"/>
          <w:b/>
          <w:bCs/>
          <w:sz w:val="24"/>
          <w:szCs w:val="24"/>
        </w:rPr>
      </w:pPr>
      <w:r>
        <w:rPr>
          <w:rFonts w:hint="eastAsia" w:ascii="宋体" w:hAnsi="宋体"/>
          <w:sz w:val="24"/>
          <w:szCs w:val="24"/>
        </w:rPr>
        <w:t>致：杭州萧山国际机场有限公司</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1、根据已收到的</w:t>
      </w:r>
      <w:r>
        <w:rPr>
          <w:rFonts w:hint="eastAsia" w:cs="Calibri" w:asciiTheme="minorEastAsia" w:hAnsiTheme="minorEastAsia" w:eastAsiaTheme="minorEastAsia"/>
          <w:sz w:val="24"/>
          <w:u w:val="single"/>
        </w:rPr>
        <w:t xml:space="preserve">                           </w:t>
      </w:r>
      <w:r>
        <w:rPr>
          <w:rFonts w:hint="eastAsia" w:cs="Calibri" w:asciiTheme="minorEastAsia" w:hAnsiTheme="minorEastAsia" w:eastAsiaTheme="minorEastAsia"/>
          <w:sz w:val="24"/>
        </w:rPr>
        <w:t>招标文件，遵照《中华人民共和国招标投标法》等有关规定，经考察现场和研究上述招标文件后，我方愿以投标总价为人民币 (大写)：</w:t>
      </w:r>
      <w:r>
        <w:rPr>
          <w:rFonts w:hint="eastAsia" w:cs="Calibri" w:asciiTheme="minorEastAsia" w:hAnsiTheme="minorEastAsia" w:eastAsiaTheme="minorEastAsia"/>
          <w:sz w:val="24"/>
          <w:u w:val="single"/>
        </w:rPr>
        <w:t xml:space="preserve">               </w:t>
      </w:r>
      <w:r>
        <w:rPr>
          <w:rFonts w:hint="eastAsia" w:cs="Calibri" w:asciiTheme="minorEastAsia" w:hAnsiTheme="minorEastAsia" w:eastAsiaTheme="minorEastAsia"/>
          <w:sz w:val="24"/>
        </w:rPr>
        <w:t>元（RMB</w:t>
      </w:r>
      <w:r>
        <w:rPr>
          <w:rFonts w:hint="eastAsia" w:cs="Calibri" w:asciiTheme="minorEastAsia" w:hAnsiTheme="minorEastAsia" w:eastAsiaTheme="minorEastAsia"/>
          <w:sz w:val="24"/>
          <w:u w:val="single"/>
        </w:rPr>
        <w:t xml:space="preserve">         </w:t>
      </w:r>
      <w:r>
        <w:rPr>
          <w:rFonts w:hint="eastAsia" w:cs="Calibri" w:asciiTheme="minorEastAsia" w:hAnsiTheme="minorEastAsia" w:eastAsiaTheme="minorEastAsia"/>
          <w:sz w:val="24"/>
        </w:rPr>
        <w:t>元）报价并按上述招标文件要求承揽上述项目</w:t>
      </w:r>
      <w:r>
        <w:rPr>
          <w:rFonts w:hint="eastAsia" w:cs="Calibri" w:asciiTheme="minorEastAsia" w:hAnsiTheme="minorEastAsia" w:eastAsiaTheme="minorEastAsia"/>
          <w:bCs/>
          <w:sz w:val="24"/>
        </w:rPr>
        <w:t>所有等工作</w:t>
      </w:r>
      <w:r>
        <w:rPr>
          <w:rFonts w:hint="eastAsia" w:cs="Calibri" w:asciiTheme="minorEastAsia" w:hAnsiTheme="minorEastAsia" w:eastAsiaTheme="minorEastAsia"/>
          <w:sz w:val="24"/>
          <w:szCs w:val="21"/>
        </w:rPr>
        <w:t>。</w:t>
      </w:r>
      <w:r>
        <w:rPr>
          <w:rFonts w:hint="eastAsia" w:cs="Calibri" w:asciiTheme="minorEastAsia" w:hAnsiTheme="minorEastAsia" w:eastAsiaTheme="minorEastAsia"/>
          <w:sz w:val="24"/>
        </w:rPr>
        <w:t xml:space="preserve"> </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2. 我方承诺：</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（1）我方不是失信被执行人；</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（2）我方在规定期限内无行贿犯罪记录；</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（3）我方具有一般纳税人资格，可提供增值税专用发票。</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3．如我方中标，我方承诺：</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(1)在收到中标通知书后，在中标通知书规定的期限内与你方签订合同；</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(2)在签订合同时不向你方提出附加条件；</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(3)按照招标文件要求提交履约保证金；</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(4)在合同约定的期限内完成合同规定的全部义务。</w:t>
      </w:r>
    </w:p>
    <w:p>
      <w:pPr>
        <w:snapToGrid w:val="0"/>
        <w:spacing w:line="360" w:lineRule="auto"/>
        <w:rPr>
          <w:rFonts w:cs="Calibri" w:asciiTheme="minorEastAsia" w:hAnsiTheme="minorEastAsia" w:eastAsiaTheme="minorEastAsia"/>
          <w:sz w:val="24"/>
          <w:szCs w:val="20"/>
        </w:rPr>
      </w:pPr>
      <w:r>
        <w:rPr>
          <w:rFonts w:hint="eastAsia" w:cs="Calibri" w:asciiTheme="minorEastAsia" w:hAnsiTheme="minorEastAsia" w:eastAsiaTheme="minorEastAsia"/>
          <w:sz w:val="24"/>
        </w:rPr>
        <w:t>　　 4、我方同意所递交的投标文件在“前附表”规定的投标有效期内有效，在此期间内我方的投标有可能中标，我方将受此约束。</w:t>
      </w:r>
    </w:p>
    <w:p>
      <w:pPr>
        <w:snapToGrid w:val="0"/>
        <w:spacing w:line="360" w:lineRule="auto"/>
        <w:rPr>
          <w:rFonts w:cs="Calibri" w:asciiTheme="minorEastAsia" w:hAnsiTheme="minorEastAsia" w:eastAsiaTheme="minorEastAsia"/>
          <w:sz w:val="24"/>
          <w:szCs w:val="20"/>
        </w:rPr>
      </w:pPr>
      <w:r>
        <w:rPr>
          <w:rFonts w:hint="eastAsia" w:cs="Calibri" w:asciiTheme="minorEastAsia" w:hAnsiTheme="minorEastAsia" w:eastAsiaTheme="minorEastAsia"/>
          <w:sz w:val="24"/>
        </w:rPr>
        <w:t xml:space="preserve">     5、除非另外达成协议并生效，你方的中标通知书和本投标文件将构成约束我们双方的合同。</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6、我方已详细审查招标文件包括澄清函和修改文件(若有)、所有已提供的资料以及有关附件，我司已完全理解上述文件的全部内容，并放弃提出任何误解或不明作为抗辩的权利。</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7、我方同意按照你方可能提出的要求，提供有关的任何其它数字或资料，并对贵方可能不接受最低报价及任何报价表示理解。</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投标人：（盖单位章）</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法定代表人或其委托代理人：（签字或盖章）</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地    址：</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邮政编码：</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电    话：</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传    真：</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开户银行：</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账    号：</w:t>
      </w:r>
    </w:p>
    <w:p>
      <w:pPr>
        <w:snapToGrid w:val="0"/>
        <w:spacing w:line="360" w:lineRule="auto"/>
        <w:ind w:firstLine="3600" w:firstLineChars="1500"/>
        <w:rPr>
          <w:rFonts w:hint="eastAsia" w:cs="Calibri" w:asciiTheme="minorEastAsia" w:hAnsiTheme="minorEastAsia" w:eastAsiaTheme="minorEastAsia"/>
          <w:sz w:val="24"/>
        </w:rPr>
      </w:pPr>
      <w:r>
        <w:rPr>
          <w:rFonts w:cs="Calibri" w:asciiTheme="minorEastAsia" w:hAnsiTheme="minorEastAsia" w:eastAsiaTheme="minorEastAsia"/>
          <w:color w:val="000000"/>
          <w:sz w:val="24"/>
        </w:rPr>
        <w:t>日    期：    年     月     日</w:t>
      </w:r>
    </w:p>
    <w:p>
      <w:pPr>
        <w:adjustRightInd w:val="0"/>
        <w:snapToGrid w:val="0"/>
        <w:jc w:val="center"/>
        <w:rPr>
          <w:rFonts w:eastAsia="黑体" w:cs="Calibri"/>
          <w:color w:val="000000"/>
          <w:sz w:val="32"/>
          <w:szCs w:val="32"/>
        </w:rPr>
      </w:pP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sz w:val="24"/>
        </w:rPr>
      </w:pPr>
    </w:p>
    <w:p>
      <w:pPr>
        <w:spacing w:after="120" w:afterLines="50" w:line="440" w:lineRule="exact"/>
        <w:rPr>
          <w:rFonts w:cs="Calibri"/>
          <w:color w:val="000000"/>
          <w:szCs w:val="21"/>
          <w:u w:val="single"/>
        </w:rPr>
      </w:pPr>
      <w:r>
        <w:rPr>
          <w:rFonts w:cs="Calibri"/>
          <w:color w:val="000000"/>
          <w:szCs w:val="21"/>
        </w:rPr>
        <w:t>投标人名称：</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单位性质：</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地址：</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成立时间：</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pacing w:after="120" w:afterLines="50" w:line="440" w:lineRule="exact"/>
        <w:rPr>
          <w:rFonts w:cs="Calibri"/>
          <w:color w:val="000000"/>
          <w:szCs w:val="21"/>
          <w:u w:val="single"/>
        </w:rPr>
      </w:pPr>
      <w:r>
        <w:rPr>
          <w:rFonts w:cs="Calibri"/>
          <w:color w:val="000000"/>
          <w:szCs w:val="21"/>
        </w:rPr>
        <w:t>经营期限：</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姓名：</w:t>
      </w:r>
      <w:r>
        <w:rPr>
          <w:rFonts w:cs="Calibri"/>
          <w:color w:val="000000"/>
          <w:szCs w:val="21"/>
          <w:u w:val="single"/>
        </w:rPr>
        <w:t xml:space="preserve">         </w:t>
      </w:r>
      <w:r>
        <w:rPr>
          <w:rFonts w:cs="Calibri"/>
          <w:color w:val="000000"/>
          <w:szCs w:val="21"/>
        </w:rPr>
        <w:t xml:space="preserve">  性别：</w:t>
      </w:r>
      <w:r>
        <w:rPr>
          <w:rFonts w:cs="Calibri"/>
          <w:color w:val="000000"/>
          <w:szCs w:val="21"/>
          <w:u w:val="single"/>
        </w:rPr>
        <w:t xml:space="preserve">         </w:t>
      </w:r>
      <w:r>
        <w:rPr>
          <w:rFonts w:cs="Calibri"/>
          <w:color w:val="000000"/>
          <w:szCs w:val="21"/>
        </w:rPr>
        <w:t xml:space="preserve">  年龄：</w:t>
      </w:r>
      <w:r>
        <w:rPr>
          <w:rFonts w:cs="Calibri"/>
          <w:color w:val="000000"/>
          <w:szCs w:val="21"/>
          <w:u w:val="single"/>
        </w:rPr>
        <w:t xml:space="preserve">         </w:t>
      </w:r>
      <w:r>
        <w:rPr>
          <w:rFonts w:cs="Calibri"/>
          <w:color w:val="000000"/>
          <w:szCs w:val="21"/>
        </w:rPr>
        <w:t xml:space="preserve">  职务：</w:t>
      </w:r>
      <w:r>
        <w:rPr>
          <w:rFonts w:cs="Calibri"/>
          <w:color w:val="000000"/>
          <w:szCs w:val="21"/>
          <w:u w:val="single"/>
        </w:rPr>
        <w:t xml:space="preserve">         </w:t>
      </w:r>
      <w:r>
        <w:rPr>
          <w:rFonts w:cs="Calibri"/>
          <w:color w:val="000000"/>
          <w:szCs w:val="21"/>
        </w:rPr>
        <w:t xml:space="preserve">  </w:t>
      </w:r>
    </w:p>
    <w:p>
      <w:pPr>
        <w:spacing w:after="120" w:afterLines="50" w:line="440" w:lineRule="exact"/>
        <w:rPr>
          <w:rFonts w:cs="Calibri"/>
          <w:color w:val="000000"/>
          <w:szCs w:val="21"/>
          <w:u w:val="single"/>
        </w:rPr>
      </w:pPr>
      <w:r>
        <w:rPr>
          <w:rFonts w:cs="Calibri"/>
          <w:color w:val="000000"/>
          <w:szCs w:val="21"/>
        </w:rPr>
        <w:t>身份证号码：</w:t>
      </w:r>
      <w:r>
        <w:rPr>
          <w:rFonts w:cs="Calibri"/>
          <w:color w:val="000000"/>
          <w:szCs w:val="21"/>
          <w:u w:val="single"/>
        </w:rPr>
        <w:t xml:space="preserve">                           </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 xml:space="preserve">    系</w:t>
      </w:r>
      <w:r>
        <w:rPr>
          <w:rFonts w:cs="Calibri"/>
          <w:color w:val="000000"/>
          <w:szCs w:val="21"/>
          <w:u w:val="single"/>
        </w:rPr>
        <w:t xml:space="preserve">                          </w:t>
      </w:r>
      <w:r>
        <w:rPr>
          <w:rFonts w:cs="Calibri"/>
          <w:color w:val="000000"/>
          <w:szCs w:val="21"/>
        </w:rPr>
        <w:t>（投标人名称）的法定代表人。</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特此证明。</w:t>
      </w:r>
    </w:p>
    <w:p>
      <w:pPr>
        <w:spacing w:line="440" w:lineRule="exact"/>
        <w:rPr>
          <w:rFonts w:cs="Calibri"/>
          <w:color w:val="000000"/>
          <w:szCs w:val="21"/>
        </w:rPr>
      </w:pPr>
      <w:r>
        <w:rPr>
          <w:rFonts w:cs="Calibri"/>
          <w:color w:val="000000"/>
          <w:szCs w:val="21"/>
        </w:rPr>
        <w:t>附：法定代表人身份证复印件</w:t>
      </w:r>
    </w:p>
    <w:p>
      <w:pPr>
        <w:spacing w:line="440" w:lineRule="exact"/>
        <w:rPr>
          <w:rFonts w:cs="Calibri"/>
          <w:color w:val="000000"/>
          <w:szCs w:val="21"/>
        </w:rPr>
      </w:pPr>
      <w:r>
        <w:rPr>
          <w:rFonts w:cs="Calibri"/>
          <w:color w:val="000000"/>
          <w:szCs w:val="21"/>
        </w:rPr>
        <w:t xml:space="preserve">投标人：（盖单位章） </w:t>
      </w:r>
    </w:p>
    <w:p>
      <w:pPr>
        <w:spacing w:line="440" w:lineRule="exact"/>
        <w:ind w:firstLine="6240" w:firstLineChars="2960"/>
        <w:rPr>
          <w:rFonts w:cs="Calibri"/>
          <w:b/>
          <w:color w:val="000000"/>
          <w:szCs w:val="21"/>
        </w:rPr>
      </w:pPr>
      <w:r>
        <w:rPr>
          <w:rFonts w:cs="Calibri"/>
          <w:b/>
          <w:color w:val="000000"/>
          <w:szCs w:val="21"/>
        </w:rPr>
        <w:pict>
          <v:shape id="Text Box 6" o:spid="_x0000_s1026" o:spt="202" type="#_x0000_t202" style="position:absolute;left:0pt;margin-left:0pt;margin-top:31.2pt;height:171.6pt;width:423pt;mso-wrap-distance-bottom:0pt;mso-wrap-distance-left:9pt;mso-wrap-distance-right:9pt;mso-wrap-distance-top:0pt;z-index:251660288;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szCs w:val="21"/>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20" w:firstLineChars="200"/>
        <w:rPr>
          <w:rFonts w:cs="Calibri"/>
          <w:color w:val="000000"/>
          <w:szCs w:val="21"/>
        </w:rPr>
      </w:pPr>
      <w:r>
        <w:rPr>
          <w:rFonts w:cs="Calibri"/>
          <w:color w:val="000000"/>
          <w:szCs w:val="21"/>
        </w:rPr>
        <w:t>本人</w:t>
      </w:r>
      <w:r>
        <w:rPr>
          <w:rFonts w:cs="Calibri"/>
          <w:color w:val="000000"/>
          <w:szCs w:val="21"/>
          <w:u w:val="single"/>
        </w:rPr>
        <w:t xml:space="preserve">        </w:t>
      </w:r>
      <w:r>
        <w:rPr>
          <w:rFonts w:cs="Calibri"/>
          <w:color w:val="000000"/>
          <w:szCs w:val="21"/>
        </w:rPr>
        <w:t>（姓名）系</w:t>
      </w:r>
      <w:r>
        <w:rPr>
          <w:rFonts w:cs="Calibri"/>
          <w:color w:val="000000"/>
          <w:szCs w:val="21"/>
          <w:u w:val="single"/>
        </w:rPr>
        <w:t xml:space="preserve">                </w:t>
      </w:r>
      <w:r>
        <w:rPr>
          <w:rFonts w:cs="Calibri"/>
          <w:color w:val="000000"/>
          <w:szCs w:val="21"/>
        </w:rPr>
        <w:t>（投标人名称）的法定代表人，现委托</w:t>
      </w:r>
      <w:r>
        <w:rPr>
          <w:rFonts w:cs="Calibri"/>
          <w:color w:val="000000"/>
          <w:szCs w:val="21"/>
          <w:u w:val="single"/>
        </w:rPr>
        <w:t xml:space="preserve">      </w:t>
      </w:r>
      <w:r>
        <w:rPr>
          <w:rFonts w:cs="Calibri"/>
          <w:color w:val="000000"/>
          <w:szCs w:val="21"/>
        </w:rPr>
        <w:t>（姓名）为我方代理人。代理人根据授权，以我方名义签署、澄清、说明、补正、递交、撤回、修改</w:t>
      </w:r>
      <w:r>
        <w:rPr>
          <w:rFonts w:cs="Calibri"/>
          <w:color w:val="000000"/>
          <w:szCs w:val="21"/>
          <w:u w:val="single"/>
        </w:rPr>
        <w:t xml:space="preserve">              </w:t>
      </w:r>
      <w:r>
        <w:rPr>
          <w:rFonts w:cs="Calibri"/>
          <w:color w:val="000000"/>
          <w:szCs w:val="21"/>
        </w:rPr>
        <w:t>（项目名称）投标文件、签订合同和处理有关事宜，其法律后果由我方承担。</w:t>
      </w:r>
    </w:p>
    <w:p>
      <w:pPr>
        <w:spacing w:line="440" w:lineRule="exact"/>
        <w:ind w:firstLine="420" w:firstLineChars="200"/>
        <w:rPr>
          <w:rFonts w:cs="Calibri"/>
          <w:color w:val="000000"/>
          <w:szCs w:val="21"/>
        </w:rPr>
      </w:pPr>
      <w:r>
        <w:rPr>
          <w:rFonts w:cs="Calibri"/>
          <w:color w:val="000000"/>
          <w:szCs w:val="21"/>
        </w:rPr>
        <w:t>代理人无转委托权。</w:t>
      </w:r>
    </w:p>
    <w:p>
      <w:pPr>
        <w:spacing w:line="440" w:lineRule="exact"/>
        <w:ind w:firstLine="420" w:firstLineChars="200"/>
        <w:rPr>
          <w:rFonts w:cs="Calibri"/>
          <w:color w:val="000000"/>
          <w:szCs w:val="21"/>
        </w:rPr>
      </w:pPr>
      <w:r>
        <w:rPr>
          <w:rFonts w:cs="Calibri"/>
          <w:color w:val="000000"/>
          <w:szCs w:val="21"/>
        </w:rPr>
        <w:t>附：委托代理人身份证复印件</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投标人：（盖单位章）</w:t>
      </w:r>
    </w:p>
    <w:p>
      <w:pPr>
        <w:spacing w:line="440" w:lineRule="exact"/>
        <w:rPr>
          <w:rFonts w:cs="Calibri"/>
          <w:color w:val="000000"/>
          <w:szCs w:val="21"/>
        </w:rPr>
      </w:pPr>
      <w:r>
        <w:rPr>
          <w:rFonts w:cs="Calibri"/>
          <w:color w:val="000000"/>
          <w:szCs w:val="21"/>
        </w:rPr>
        <w:t>法定代表人：（签字或盖章）</w:t>
      </w:r>
    </w:p>
    <w:p>
      <w:pPr>
        <w:spacing w:line="440" w:lineRule="exact"/>
        <w:rPr>
          <w:rFonts w:cs="Calibri"/>
          <w:color w:val="000000"/>
          <w:szCs w:val="21"/>
        </w:rPr>
      </w:pPr>
      <w:r>
        <w:rPr>
          <w:rFonts w:cs="Calibri"/>
          <w:color w:val="000000"/>
          <w:szCs w:val="21"/>
        </w:rPr>
        <w:t>身份证号码：</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委托的代理人：（签字或盖章）</w:t>
      </w:r>
    </w:p>
    <w:p>
      <w:pPr>
        <w:spacing w:line="440" w:lineRule="exact"/>
        <w:rPr>
          <w:rFonts w:cs="Calibri"/>
          <w:color w:val="000000"/>
          <w:szCs w:val="21"/>
        </w:rPr>
      </w:pPr>
      <w:r>
        <w:rPr>
          <w:rFonts w:cs="Calibri"/>
          <w:color w:val="000000"/>
          <w:szCs w:val="21"/>
        </w:rPr>
        <w:t>身份证号码：</w:t>
      </w:r>
    </w:p>
    <w:p>
      <w:pPr>
        <w:spacing w:line="440" w:lineRule="exact"/>
        <w:ind w:firstLine="4515" w:firstLineChars="2150"/>
        <w:rPr>
          <w:rFonts w:cs="Calibri"/>
          <w:color w:val="000000"/>
          <w:szCs w:val="21"/>
        </w:rPr>
      </w:pPr>
      <w:r>
        <w:rPr>
          <w:rFonts w:cs="Calibri"/>
          <w:color w:val="000000"/>
          <w:szCs w:val="21"/>
        </w:rPr>
        <w:t>日期：</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napToGrid w:val="0"/>
        <w:spacing w:line="440" w:lineRule="exact"/>
        <w:rPr>
          <w:rFonts w:cs="Calibri"/>
          <w:color w:val="000000"/>
          <w:szCs w:val="21"/>
        </w:rPr>
      </w:pPr>
      <w:r>
        <w:rPr>
          <w:rFonts w:cs="Calibri"/>
          <w:b/>
          <w:color w:val="000000"/>
          <w:szCs w:val="21"/>
        </w:rPr>
        <w:pict>
          <v:shape id="Text Box 7" o:spid="_x0000_s1027" o:spt="202" type="#_x0000_t202" style="position:absolute;left:0pt;margin-left:9.15pt;margin-top:20.8pt;height:171.6pt;width:423pt;mso-wrap-distance-bottom:0pt;mso-wrap-distance-left:9pt;mso-wrap-distance-right:9pt;mso-wrap-distance-top:0pt;z-index:251661312;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Cs w:val="21"/>
        </w:rPr>
      </w:pPr>
      <w:r>
        <w:rPr>
          <w:rFonts w:cs="Calibri"/>
          <w:color w:val="000000"/>
          <w:szCs w:val="21"/>
        </w:rPr>
        <w:t>注：如投标文件由委托代理人签字或盖章的，投标文件必须附此授权委托书。</w:t>
      </w: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b/>
          <w:bCs/>
          <w:color w:val="000000"/>
          <w:sz w:val="32"/>
        </w:rPr>
      </w:pPr>
    </w:p>
    <w:p>
      <w:pPr>
        <w:widowControl/>
        <w:jc w:val="left"/>
        <w:rPr>
          <w:rFonts w:cs="Calibri"/>
          <w:b/>
          <w:bCs/>
          <w:color w:val="000000"/>
          <w:sz w:val="32"/>
        </w:rPr>
      </w:pPr>
      <w:r>
        <w:rPr>
          <w:rFonts w:cs="Calibri"/>
          <w:b/>
          <w:bCs/>
          <w:color w:val="000000"/>
          <w:sz w:val="32"/>
        </w:rPr>
        <w:br w:type="page"/>
      </w:r>
    </w:p>
    <w:p>
      <w:pPr>
        <w:spacing w:line="440" w:lineRule="exact"/>
        <w:jc w:val="center"/>
        <w:rPr>
          <w:rFonts w:eastAsia="黑体" w:cs="Calibri"/>
          <w:color w:val="000000"/>
          <w:sz w:val="32"/>
          <w:szCs w:val="32"/>
        </w:rPr>
      </w:pPr>
      <w:r>
        <w:rPr>
          <w:rFonts w:hint="eastAsia" w:eastAsia="黑体" w:cs="Calibri"/>
          <w:color w:val="000000"/>
          <w:sz w:val="32"/>
          <w:szCs w:val="32"/>
        </w:rPr>
        <w:t>四</w:t>
      </w:r>
      <w:r>
        <w:rPr>
          <w:rFonts w:eastAsia="黑体" w:cs="Calibri"/>
          <w:color w:val="000000"/>
          <w:sz w:val="32"/>
          <w:szCs w:val="32"/>
        </w:rPr>
        <w:t>、投标报价表</w:t>
      </w:r>
    </w:p>
    <w:p>
      <w:pPr>
        <w:rPr>
          <w:rFonts w:cs="Calibri"/>
          <w:sz w:val="24"/>
        </w:rPr>
      </w:pPr>
    </w:p>
    <w:p>
      <w:pPr>
        <w:jc w:val="right"/>
        <w:rPr>
          <w:rFonts w:cs="Calibri"/>
          <w:bCs/>
          <w:sz w:val="24"/>
        </w:rPr>
      </w:pPr>
      <w:r>
        <w:rPr>
          <w:rFonts w:hint="eastAsia" w:cs="Calibri"/>
          <w:bCs/>
          <w:sz w:val="24"/>
        </w:rPr>
        <w:t>单位：万元</w:t>
      </w:r>
    </w:p>
    <w:tbl>
      <w:tblPr>
        <w:tblStyle w:val="46"/>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szCs w:val="21"/>
              </w:rPr>
            </w:pPr>
            <w:r>
              <w:rPr>
                <w:rFonts w:cs="Calibri"/>
                <w:szCs w:val="21"/>
              </w:rPr>
              <w:t>序号</w:t>
            </w:r>
          </w:p>
        </w:tc>
        <w:tc>
          <w:tcPr>
            <w:tcW w:w="3155" w:type="dxa"/>
            <w:vAlign w:val="center"/>
          </w:tcPr>
          <w:p>
            <w:pPr>
              <w:jc w:val="center"/>
              <w:rPr>
                <w:rFonts w:cs="Calibri"/>
                <w:szCs w:val="21"/>
              </w:rPr>
            </w:pPr>
            <w:r>
              <w:rPr>
                <w:rFonts w:cs="Calibri"/>
                <w:szCs w:val="21"/>
              </w:rPr>
              <w:t>费用名称</w:t>
            </w:r>
          </w:p>
        </w:tc>
        <w:tc>
          <w:tcPr>
            <w:tcW w:w="4536" w:type="dxa"/>
            <w:tcBorders>
              <w:left w:val="single" w:color="auto" w:sz="4" w:space="0"/>
            </w:tcBorders>
            <w:vAlign w:val="center"/>
          </w:tcPr>
          <w:p>
            <w:pPr>
              <w:jc w:val="center"/>
              <w:rPr>
                <w:rFonts w:cs="Calibri"/>
                <w:szCs w:val="21"/>
              </w:rPr>
            </w:pPr>
            <w:r>
              <w:rPr>
                <w:rFonts w:cs="Calibri"/>
                <w:szCs w:val="21"/>
              </w:rPr>
              <w:t>投标</w:t>
            </w:r>
            <w:r>
              <w:rPr>
                <w:rFonts w:hint="eastAsia" w:cs="Calibri"/>
                <w:szCs w:val="21"/>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
                <w:bCs/>
                <w:szCs w:val="21"/>
              </w:rPr>
            </w:pPr>
            <w:r>
              <w:rPr>
                <w:rFonts w:cs="Calibri"/>
                <w:bCs/>
                <w:szCs w:val="21"/>
              </w:rPr>
              <w:t>1</w:t>
            </w:r>
          </w:p>
        </w:tc>
        <w:tc>
          <w:tcPr>
            <w:tcW w:w="3155" w:type="dxa"/>
            <w:vAlign w:val="center"/>
          </w:tcPr>
          <w:p>
            <w:pPr>
              <w:jc w:val="center"/>
              <w:rPr>
                <w:rFonts w:cs="Calibri"/>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2</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3</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4</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合  计</w:t>
            </w:r>
          </w:p>
        </w:tc>
        <w:tc>
          <w:tcPr>
            <w:tcW w:w="4536" w:type="dxa"/>
            <w:tcBorders>
              <w:left w:val="single" w:color="auto" w:sz="4" w:space="0"/>
            </w:tcBorders>
            <w:vAlign w:val="center"/>
          </w:tcPr>
          <w:p>
            <w:pPr>
              <w:jc w:val="right"/>
              <w:rPr>
                <w:rFonts w:cs="Calibri"/>
                <w:bCs/>
                <w:szCs w:val="21"/>
              </w:rPr>
            </w:pPr>
          </w:p>
        </w:tc>
      </w:tr>
    </w:tbl>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snapToGrid w:val="0"/>
        <w:spacing w:line="440" w:lineRule="exact"/>
        <w:ind w:firstLine="3968" w:firstLineChars="1890"/>
        <w:rPr>
          <w:rFonts w:cs="Calibri"/>
          <w:color w:val="000000"/>
          <w:szCs w:val="21"/>
        </w:rPr>
      </w:pPr>
      <w:r>
        <w:rPr>
          <w:rFonts w:cs="Calibri"/>
          <w:color w:val="000000"/>
          <w:szCs w:val="21"/>
        </w:rPr>
        <w:t>投标人：（盖单位章）</w:t>
      </w:r>
    </w:p>
    <w:p>
      <w:pPr>
        <w:snapToGrid w:val="0"/>
        <w:spacing w:line="440" w:lineRule="exact"/>
        <w:ind w:firstLine="3968"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8" w:firstLineChars="1890"/>
        <w:rPr>
          <w:rFonts w:cs="Calibri"/>
          <w:color w:val="000000"/>
          <w:szCs w:val="21"/>
        </w:rPr>
      </w:pPr>
      <w:r>
        <w:rPr>
          <w:rFonts w:cs="Calibri"/>
          <w:color w:val="000000"/>
          <w:szCs w:val="21"/>
        </w:rPr>
        <w:t>日期：    年     月     日</w:t>
      </w:r>
    </w:p>
    <w:p>
      <w:pPr>
        <w:adjustRightInd w:val="0"/>
        <w:snapToGrid w:val="0"/>
        <w:jc w:val="left"/>
        <w:rPr>
          <w:rFonts w:cs="Calibri"/>
          <w:b/>
          <w:szCs w:val="21"/>
        </w:rPr>
      </w:pPr>
    </w:p>
    <w:p>
      <w:pPr>
        <w:spacing w:line="440" w:lineRule="exact"/>
        <w:rPr>
          <w:rFonts w:cs="Calibri"/>
          <w:b/>
          <w:bCs/>
          <w:color w:val="000000"/>
          <w:sz w:val="32"/>
        </w:rPr>
      </w:pPr>
      <w:r>
        <w:rPr>
          <w:rFonts w:eastAsia="黑体" w:cs="Calibri"/>
          <w:bCs/>
          <w:color w:val="000000"/>
          <w:szCs w:val="21"/>
        </w:rPr>
        <w:br w:type="page"/>
      </w:r>
    </w:p>
    <w:p>
      <w:pPr>
        <w:spacing w:line="440" w:lineRule="exact"/>
        <w:jc w:val="center"/>
        <w:rPr>
          <w:rFonts w:eastAsia="黑体" w:cs="Calibri"/>
          <w:color w:val="000000"/>
          <w:sz w:val="32"/>
          <w:szCs w:val="32"/>
        </w:rPr>
      </w:pPr>
      <w:r>
        <w:rPr>
          <w:rFonts w:eastAsia="黑体" w:cs="Calibri"/>
          <w:color w:val="000000"/>
          <w:sz w:val="32"/>
          <w:szCs w:val="32"/>
        </w:rPr>
        <w:t>五、投标人资格证明文件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r>
        <w:rPr>
          <w:rFonts w:eastAsia="黑体" w:cs="Calibri"/>
          <w:color w:val="000000"/>
          <w:sz w:val="32"/>
          <w:szCs w:val="32"/>
        </w:rPr>
        <w:t>（一）投标人一般情况</w:t>
      </w:r>
    </w:p>
    <w:tbl>
      <w:tblPr>
        <w:tblStyle w:val="46"/>
        <w:tblW w:w="93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企业名称</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企业地址</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传真</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企业成立年份</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上级主管部门</w:t>
            </w:r>
          </w:p>
        </w:tc>
        <w:tc>
          <w:tcPr>
            <w:tcW w:w="312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企业技术</w:t>
            </w:r>
          </w:p>
          <w:p>
            <w:pPr>
              <w:snapToGrid w:val="0"/>
              <w:jc w:val="center"/>
              <w:rPr>
                <w:rFonts w:cs="Calibri"/>
                <w:szCs w:val="21"/>
              </w:rPr>
            </w:pPr>
            <w:r>
              <w:rPr>
                <w:rFonts w:cs="Calibri"/>
                <w:szCs w:val="21"/>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p>
            <w:pPr>
              <w:snapToGrid w:val="0"/>
              <w:ind w:firstLine="210" w:firstLineChars="100"/>
              <w:jc w:val="center"/>
              <w:rPr>
                <w:rFonts w:cs="Calibri"/>
                <w:szCs w:val="21"/>
              </w:rPr>
            </w:pPr>
            <w:r>
              <w:rPr>
                <w:rFonts w:cs="Calibri"/>
                <w:szCs w:val="21"/>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在册人数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高级职称（其中注册人员）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中级职称（其中注册人员）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初级职称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ind w:firstLine="210" w:firstLineChars="100"/>
              <w:jc w:val="center"/>
              <w:rPr>
                <w:rFonts w:cs="Calibri"/>
                <w:szCs w:val="21"/>
              </w:rPr>
            </w:pPr>
            <w:r>
              <w:rPr>
                <w:rFonts w:cs="Calibri"/>
                <w:szCs w:val="21"/>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工商营业执照及营业范围</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注册资金</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开户银行及帐号</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联系人姓名</w:t>
            </w:r>
          </w:p>
          <w:p>
            <w:pPr>
              <w:snapToGrid w:val="0"/>
              <w:jc w:val="center"/>
              <w:rPr>
                <w:rFonts w:cs="Calibri"/>
                <w:szCs w:val="21"/>
              </w:rPr>
            </w:pPr>
            <w:r>
              <w:rPr>
                <w:rFonts w:cs="Calibri"/>
                <w:szCs w:val="21"/>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过去3年完成</w:t>
            </w:r>
          </w:p>
          <w:p>
            <w:pPr>
              <w:snapToGrid w:val="0"/>
              <w:jc w:val="center"/>
              <w:rPr>
                <w:rFonts w:cs="Calibri"/>
                <w:szCs w:val="21"/>
              </w:rPr>
            </w:pPr>
            <w:r>
              <w:rPr>
                <w:rFonts w:cs="Calibri"/>
                <w:szCs w:val="21"/>
              </w:rPr>
              <w:t>产值/人均产值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35"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c>
          <w:tcPr>
            <w:tcW w:w="1190" w:type="dxa"/>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r>
    </w:tbl>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widowControl/>
        <w:jc w:val="left"/>
        <w:rPr>
          <w:rFonts w:cs="Calibri"/>
          <w:b/>
          <w:sz w:val="36"/>
          <w:szCs w:val="36"/>
        </w:rPr>
      </w:pPr>
      <w:r>
        <w:rPr>
          <w:rFonts w:cs="Calibri"/>
          <w:b/>
          <w:sz w:val="36"/>
          <w:szCs w:val="36"/>
        </w:rPr>
        <w:br w:type="page"/>
      </w:r>
    </w:p>
    <w:p>
      <w:pPr>
        <w:spacing w:line="440" w:lineRule="exact"/>
        <w:jc w:val="center"/>
        <w:rPr>
          <w:rFonts w:eastAsia="黑体" w:cs="Calibri"/>
          <w:color w:val="000000"/>
          <w:sz w:val="32"/>
          <w:szCs w:val="32"/>
        </w:rPr>
      </w:pPr>
      <w:r>
        <w:rPr>
          <w:rFonts w:eastAsia="黑体" w:cs="Calibri"/>
          <w:color w:val="000000"/>
          <w:sz w:val="32"/>
          <w:szCs w:val="32"/>
        </w:rPr>
        <w:t>（二）近三年完成类似</w:t>
      </w:r>
      <w:r>
        <w:rPr>
          <w:rFonts w:hint="eastAsia" w:eastAsia="黑体" w:cs="Calibri"/>
          <w:color w:val="000000"/>
          <w:sz w:val="32"/>
          <w:szCs w:val="32"/>
        </w:rPr>
        <w:t>项目业绩</w:t>
      </w:r>
      <w:r>
        <w:rPr>
          <w:rFonts w:eastAsia="黑体" w:cs="Calibri"/>
          <w:color w:val="000000"/>
          <w:sz w:val="32"/>
          <w:szCs w:val="32"/>
        </w:rPr>
        <w:t>情况</w:t>
      </w:r>
    </w:p>
    <w:tbl>
      <w:tblPr>
        <w:tblStyle w:val="46"/>
        <w:tblpPr w:leftFromText="180" w:rightFromText="180" w:vertAnchor="text" w:horzAnchor="margin" w:tblpXSpec="center" w:tblpY="317"/>
        <w:tblW w:w="829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68"/>
        <w:gridCol w:w="1984"/>
        <w:gridCol w:w="1559"/>
        <w:gridCol w:w="1418"/>
        <w:gridCol w:w="166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项目业主</w:t>
            </w:r>
          </w:p>
        </w:tc>
        <w:tc>
          <w:tcPr>
            <w:tcW w:w="1984"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维修</w:t>
            </w:r>
            <w:r>
              <w:rPr>
                <w:rFonts w:cs="Calibri"/>
                <w:szCs w:val="21"/>
              </w:rPr>
              <w:t>项目名称</w:t>
            </w:r>
          </w:p>
        </w:tc>
        <w:tc>
          <w:tcPr>
            <w:tcW w:w="15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合同签订日期</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维修工</w:t>
            </w:r>
            <w:r>
              <w:rPr>
                <w:rFonts w:cs="Calibri"/>
                <w:szCs w:val="21"/>
              </w:rPr>
              <w:t>期</w:t>
            </w:r>
          </w:p>
        </w:tc>
        <w:tc>
          <w:tcPr>
            <w:tcW w:w="1663"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业主联系方式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984"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59"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41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66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984"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59"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41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66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984"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59"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41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66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984"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59"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41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66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984"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59"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41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66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984"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59"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41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66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984"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59"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41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66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984"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59"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41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66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984"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59"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41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66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984"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59"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41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66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984"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59"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41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66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984"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59"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41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66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bl>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b/>
          <w:sz w:val="36"/>
          <w:szCs w:val="36"/>
        </w:rPr>
      </w:pPr>
      <w:r>
        <w:rPr>
          <w:rFonts w:cs="Calibri"/>
          <w:szCs w:val="21"/>
        </w:rPr>
        <w:t>注：附</w:t>
      </w:r>
      <w:r>
        <w:rPr>
          <w:rFonts w:hint="eastAsia" w:cs="Calibri"/>
          <w:szCs w:val="21"/>
        </w:rPr>
        <w:t>维修服务</w:t>
      </w:r>
      <w:r>
        <w:rPr>
          <w:rFonts w:cs="Calibri"/>
          <w:szCs w:val="21"/>
        </w:rPr>
        <w:t>合同等相应证明文件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widowControl/>
        <w:jc w:val="left"/>
        <w:rPr>
          <w:rFonts w:eastAsia="黑体" w:cs="Calibri"/>
          <w:color w:val="000000"/>
          <w:sz w:val="32"/>
          <w:szCs w:val="32"/>
        </w:rPr>
      </w:pPr>
      <w:r>
        <w:rPr>
          <w:rFonts w:eastAsia="黑体" w:cs="Calibri"/>
          <w:color w:val="000000"/>
          <w:sz w:val="32"/>
          <w:szCs w:val="32"/>
        </w:rPr>
        <w:br w:type="page"/>
      </w:r>
    </w:p>
    <w:p>
      <w:pPr>
        <w:spacing w:line="440" w:lineRule="exact"/>
        <w:jc w:val="center"/>
        <w:rPr>
          <w:rFonts w:eastAsia="黑体" w:cs="Calibri"/>
          <w:color w:val="000000"/>
          <w:sz w:val="32"/>
          <w:szCs w:val="32"/>
        </w:rPr>
      </w:pPr>
      <w:r>
        <w:rPr>
          <w:rFonts w:eastAsia="黑体" w:cs="Calibri"/>
          <w:color w:val="000000"/>
          <w:sz w:val="32"/>
          <w:szCs w:val="32"/>
        </w:rPr>
        <w:t>六、</w:t>
      </w:r>
      <w:r>
        <w:rPr>
          <w:rFonts w:hint="eastAsia" w:eastAsia="黑体" w:cs="Calibri"/>
          <w:color w:val="000000"/>
          <w:sz w:val="32"/>
          <w:szCs w:val="32"/>
        </w:rPr>
        <w:t>维修服务大纲</w:t>
      </w:r>
    </w:p>
    <w:p>
      <w:pPr>
        <w:spacing w:line="440" w:lineRule="exact"/>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rPr>
        <w:t>一</w:t>
      </w:r>
      <w:r>
        <w:rPr>
          <w:rFonts w:eastAsia="黑体" w:cs="Calibri"/>
          <w:color w:val="000000"/>
          <w:sz w:val="32"/>
          <w:szCs w:val="32"/>
        </w:rPr>
        <w:t>）项目负责人简介</w:t>
      </w:r>
    </w:p>
    <w:tbl>
      <w:tblPr>
        <w:tblStyle w:val="46"/>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hint="eastAsia" w:cs="Calibri"/>
                <w:szCs w:val="21"/>
              </w:rPr>
              <w:t>项目业主</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hint="eastAsia" w:cs="Calibri"/>
                <w:szCs w:val="21"/>
              </w:rPr>
              <w:t>维修工</w:t>
            </w:r>
            <w:r>
              <w:rPr>
                <w:rFonts w:cs="Calibri"/>
                <w:szCs w:val="21"/>
              </w:rPr>
              <w:t>期</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22"/>
              <w:snapToGrid w:val="0"/>
              <w:ind w:left="5250"/>
              <w:rPr>
                <w:rFonts w:ascii="Calibri" w:hAnsi="Calibri" w:cs="Calibri"/>
                <w:kern w:val="2"/>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22"/>
              <w:snapToGrid w:val="0"/>
              <w:ind w:left="5250"/>
              <w:rPr>
                <w:rFonts w:ascii="Calibri" w:hAnsi="Calibri" w:cs="Calibri"/>
                <w:kern w:val="2"/>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360" w:lineRule="auto"/>
        <w:rPr>
          <w:rFonts w:cs="Calibri"/>
          <w:sz w:val="24"/>
        </w:rPr>
      </w:pPr>
    </w:p>
    <w:p>
      <w:pPr>
        <w:spacing w:line="360" w:lineRule="auto"/>
        <w:rPr>
          <w:rFonts w:cs="Calibri"/>
          <w:sz w:val="24"/>
        </w:rPr>
      </w:pPr>
    </w:p>
    <w:p>
      <w:pPr>
        <w:spacing w:line="440" w:lineRule="exact"/>
        <w:jc w:val="center"/>
        <w:rPr>
          <w:rFonts w:eastAsia="黑体" w:cs="Calibri"/>
          <w:color w:val="000000"/>
          <w:sz w:val="32"/>
          <w:szCs w:val="32"/>
        </w:rPr>
      </w:pPr>
      <w:r>
        <w:rPr>
          <w:rFonts w:eastAsia="黑体" w:cs="Calibri"/>
          <w:color w:val="000000"/>
          <w:sz w:val="32"/>
          <w:szCs w:val="32"/>
        </w:rPr>
        <w:t>（五）主要参与</w:t>
      </w:r>
      <w:r>
        <w:rPr>
          <w:rFonts w:hint="eastAsia" w:eastAsia="黑体" w:cs="Calibri"/>
          <w:color w:val="000000"/>
          <w:sz w:val="32"/>
          <w:szCs w:val="32"/>
        </w:rPr>
        <w:t>服务</w:t>
      </w:r>
      <w:r>
        <w:rPr>
          <w:rFonts w:eastAsia="黑体" w:cs="Calibri"/>
          <w:color w:val="000000"/>
          <w:sz w:val="32"/>
          <w:szCs w:val="32"/>
        </w:rPr>
        <w:t>人员简介</w:t>
      </w:r>
    </w:p>
    <w:tbl>
      <w:tblPr>
        <w:tblStyle w:val="46"/>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center"/>
          </w:tcPr>
          <w:p>
            <w:pPr>
              <w:pStyle w:val="9"/>
              <w:snapToGrid w:val="0"/>
              <w:ind w:firstLine="241"/>
              <w:jc w:val="center"/>
              <w:rPr>
                <w:rFonts w:ascii="Calibri" w:hAnsi="Calibri" w:cs="Calibri"/>
                <w:bCs/>
                <w:sz w:val="21"/>
                <w:szCs w:val="21"/>
              </w:rPr>
            </w:pPr>
            <w:r>
              <w:rPr>
                <w:rFonts w:ascii="Calibri" w:hAnsi="Calibri" w:cs="Calibri"/>
                <w:bCs/>
                <w:sz w:val="21"/>
                <w:szCs w:val="21"/>
              </w:rPr>
              <w:t>岗位名称</w:t>
            </w:r>
          </w:p>
        </w:tc>
        <w:tc>
          <w:tcPr>
            <w:tcW w:w="1540" w:type="dxa"/>
            <w:vAlign w:val="center"/>
          </w:tcPr>
          <w:p>
            <w:pPr>
              <w:pStyle w:val="9"/>
              <w:snapToGrid w:val="0"/>
              <w:ind w:firstLine="241"/>
              <w:jc w:val="center"/>
              <w:rPr>
                <w:rFonts w:ascii="Calibri" w:hAnsi="Calibri" w:cs="Calibri"/>
                <w:bCs/>
                <w:sz w:val="21"/>
                <w:szCs w:val="21"/>
              </w:rPr>
            </w:pPr>
            <w:r>
              <w:rPr>
                <w:rFonts w:ascii="Calibri" w:hAnsi="Calibri" w:cs="Calibri"/>
                <w:bCs/>
                <w:sz w:val="21"/>
                <w:szCs w:val="21"/>
              </w:rPr>
              <w:t>姓名</w:t>
            </w:r>
          </w:p>
        </w:tc>
        <w:tc>
          <w:tcPr>
            <w:tcW w:w="1520" w:type="dxa"/>
            <w:vAlign w:val="center"/>
          </w:tcPr>
          <w:p>
            <w:pPr>
              <w:pStyle w:val="9"/>
              <w:snapToGrid w:val="0"/>
              <w:ind w:firstLine="241"/>
              <w:jc w:val="center"/>
              <w:rPr>
                <w:rFonts w:ascii="Calibri" w:hAnsi="Calibri" w:cs="Calibri"/>
                <w:bCs/>
                <w:sz w:val="21"/>
                <w:szCs w:val="21"/>
              </w:rPr>
            </w:pPr>
            <w:r>
              <w:rPr>
                <w:rFonts w:ascii="Calibri" w:hAnsi="Calibri" w:cs="Calibri"/>
                <w:bCs/>
                <w:sz w:val="21"/>
                <w:szCs w:val="21"/>
              </w:rPr>
              <w:t>执业资格/职称</w:t>
            </w:r>
          </w:p>
        </w:tc>
        <w:tc>
          <w:tcPr>
            <w:tcW w:w="1620" w:type="dxa"/>
            <w:vAlign w:val="center"/>
          </w:tcPr>
          <w:p>
            <w:pPr>
              <w:snapToGrid w:val="0"/>
              <w:jc w:val="center"/>
              <w:rPr>
                <w:rFonts w:cs="Calibri"/>
                <w:bCs/>
                <w:szCs w:val="21"/>
              </w:rPr>
            </w:pPr>
            <w:r>
              <w:rPr>
                <w:rFonts w:cs="Calibri"/>
                <w:bCs/>
                <w:szCs w:val="21"/>
              </w:rPr>
              <w:t>本项目</w:t>
            </w:r>
          </w:p>
          <w:p>
            <w:pPr>
              <w:snapToGrid w:val="0"/>
              <w:jc w:val="center"/>
              <w:rPr>
                <w:rFonts w:cs="Calibri"/>
                <w:bCs/>
                <w:szCs w:val="21"/>
              </w:rPr>
            </w:pPr>
            <w:r>
              <w:rPr>
                <w:rFonts w:cs="Calibri"/>
                <w:bCs/>
                <w:szCs w:val="21"/>
              </w:rPr>
              <w:t>拟任职务</w:t>
            </w:r>
          </w:p>
        </w:tc>
        <w:tc>
          <w:tcPr>
            <w:tcW w:w="2880" w:type="dxa"/>
            <w:vAlign w:val="center"/>
          </w:tcPr>
          <w:p>
            <w:pPr>
              <w:snapToGrid w:val="0"/>
              <w:jc w:val="center"/>
              <w:rPr>
                <w:rFonts w:cs="Calibri"/>
                <w:bCs/>
                <w:szCs w:val="21"/>
              </w:rPr>
            </w:pPr>
            <w:r>
              <w:rPr>
                <w:rFonts w:cs="Calibri"/>
                <w:bCs/>
                <w:szCs w:val="21"/>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9"/>
              <w:snapToGrid w:val="0"/>
              <w:ind w:firstLine="241"/>
              <w:jc w:val="center"/>
              <w:rPr>
                <w:rFonts w:ascii="Calibri" w:hAnsi="Calibri" w:cs="Calibri"/>
                <w:sz w:val="21"/>
                <w:szCs w:val="21"/>
              </w:rPr>
            </w:pPr>
          </w:p>
        </w:tc>
        <w:tc>
          <w:tcPr>
            <w:tcW w:w="1540" w:type="dxa"/>
          </w:tcPr>
          <w:p>
            <w:pPr>
              <w:pStyle w:val="9"/>
              <w:snapToGrid w:val="0"/>
              <w:ind w:firstLine="241"/>
              <w:jc w:val="center"/>
              <w:rPr>
                <w:rFonts w:ascii="Calibri" w:hAnsi="Calibri" w:cs="Calibri"/>
                <w:sz w:val="21"/>
                <w:szCs w:val="21"/>
              </w:rPr>
            </w:pPr>
          </w:p>
        </w:tc>
        <w:tc>
          <w:tcPr>
            <w:tcW w:w="1520" w:type="dxa"/>
          </w:tcPr>
          <w:p>
            <w:pPr>
              <w:pStyle w:val="9"/>
              <w:snapToGrid w:val="0"/>
              <w:ind w:firstLine="241"/>
              <w:jc w:val="center"/>
              <w:rPr>
                <w:rFonts w:ascii="Calibri" w:hAnsi="Calibri" w:cs="Calibri"/>
                <w:sz w:val="21"/>
                <w:szCs w:val="21"/>
              </w:rPr>
            </w:pPr>
          </w:p>
        </w:tc>
        <w:tc>
          <w:tcPr>
            <w:tcW w:w="1620" w:type="dxa"/>
          </w:tcPr>
          <w:p>
            <w:pPr>
              <w:pStyle w:val="9"/>
              <w:snapToGrid w:val="0"/>
              <w:ind w:firstLine="241"/>
              <w:jc w:val="center"/>
              <w:rPr>
                <w:rFonts w:ascii="Calibri" w:hAnsi="Calibri" w:cs="Calibri"/>
                <w:sz w:val="21"/>
                <w:szCs w:val="21"/>
              </w:rPr>
            </w:pPr>
          </w:p>
        </w:tc>
        <w:tc>
          <w:tcPr>
            <w:tcW w:w="2880" w:type="dxa"/>
          </w:tcPr>
          <w:p>
            <w:pPr>
              <w:pStyle w:val="9"/>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9"/>
              <w:snapToGrid w:val="0"/>
              <w:ind w:firstLine="0"/>
              <w:rPr>
                <w:rFonts w:ascii="Calibri" w:hAnsi="Calibri" w:cs="Calibri"/>
                <w:sz w:val="21"/>
                <w:szCs w:val="21"/>
              </w:rPr>
            </w:pPr>
          </w:p>
        </w:tc>
        <w:tc>
          <w:tcPr>
            <w:tcW w:w="1540" w:type="dxa"/>
          </w:tcPr>
          <w:p>
            <w:pPr>
              <w:pStyle w:val="9"/>
              <w:snapToGrid w:val="0"/>
              <w:ind w:firstLine="241"/>
              <w:jc w:val="center"/>
              <w:rPr>
                <w:rFonts w:ascii="Calibri" w:hAnsi="Calibri" w:cs="Calibri"/>
                <w:sz w:val="21"/>
                <w:szCs w:val="21"/>
              </w:rPr>
            </w:pPr>
          </w:p>
        </w:tc>
        <w:tc>
          <w:tcPr>
            <w:tcW w:w="1520" w:type="dxa"/>
          </w:tcPr>
          <w:p>
            <w:pPr>
              <w:pStyle w:val="9"/>
              <w:snapToGrid w:val="0"/>
              <w:ind w:firstLine="241"/>
              <w:jc w:val="center"/>
              <w:rPr>
                <w:rFonts w:ascii="Calibri" w:hAnsi="Calibri" w:cs="Calibri"/>
                <w:sz w:val="21"/>
                <w:szCs w:val="21"/>
              </w:rPr>
            </w:pPr>
          </w:p>
        </w:tc>
        <w:tc>
          <w:tcPr>
            <w:tcW w:w="1620" w:type="dxa"/>
          </w:tcPr>
          <w:p>
            <w:pPr>
              <w:pStyle w:val="9"/>
              <w:snapToGrid w:val="0"/>
              <w:ind w:firstLine="241"/>
              <w:jc w:val="center"/>
              <w:rPr>
                <w:rFonts w:ascii="Calibri" w:hAnsi="Calibri" w:cs="Calibri"/>
                <w:sz w:val="21"/>
                <w:szCs w:val="21"/>
              </w:rPr>
            </w:pPr>
          </w:p>
        </w:tc>
        <w:tc>
          <w:tcPr>
            <w:tcW w:w="2880" w:type="dxa"/>
          </w:tcPr>
          <w:p>
            <w:pPr>
              <w:pStyle w:val="9"/>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9"/>
              <w:snapToGrid w:val="0"/>
              <w:ind w:firstLine="0"/>
              <w:rPr>
                <w:rFonts w:ascii="Calibri" w:hAnsi="Calibri" w:cs="Calibri"/>
                <w:sz w:val="21"/>
                <w:szCs w:val="21"/>
              </w:rPr>
            </w:pPr>
          </w:p>
        </w:tc>
        <w:tc>
          <w:tcPr>
            <w:tcW w:w="1540" w:type="dxa"/>
          </w:tcPr>
          <w:p>
            <w:pPr>
              <w:pStyle w:val="9"/>
              <w:snapToGrid w:val="0"/>
              <w:ind w:firstLine="241"/>
              <w:jc w:val="center"/>
              <w:rPr>
                <w:rFonts w:ascii="Calibri" w:hAnsi="Calibri" w:cs="Calibri"/>
                <w:sz w:val="21"/>
                <w:szCs w:val="21"/>
              </w:rPr>
            </w:pPr>
          </w:p>
        </w:tc>
        <w:tc>
          <w:tcPr>
            <w:tcW w:w="1520" w:type="dxa"/>
          </w:tcPr>
          <w:p>
            <w:pPr>
              <w:pStyle w:val="9"/>
              <w:snapToGrid w:val="0"/>
              <w:ind w:firstLine="241"/>
              <w:jc w:val="center"/>
              <w:rPr>
                <w:rFonts w:ascii="Calibri" w:hAnsi="Calibri" w:cs="Calibri"/>
                <w:sz w:val="21"/>
                <w:szCs w:val="21"/>
              </w:rPr>
            </w:pPr>
          </w:p>
        </w:tc>
        <w:tc>
          <w:tcPr>
            <w:tcW w:w="1620" w:type="dxa"/>
          </w:tcPr>
          <w:p>
            <w:pPr>
              <w:pStyle w:val="9"/>
              <w:snapToGrid w:val="0"/>
              <w:ind w:firstLine="241"/>
              <w:jc w:val="center"/>
              <w:rPr>
                <w:rFonts w:ascii="Calibri" w:hAnsi="Calibri" w:cs="Calibri"/>
                <w:sz w:val="21"/>
                <w:szCs w:val="21"/>
              </w:rPr>
            </w:pPr>
          </w:p>
        </w:tc>
        <w:tc>
          <w:tcPr>
            <w:tcW w:w="2880" w:type="dxa"/>
          </w:tcPr>
          <w:p>
            <w:pPr>
              <w:pStyle w:val="9"/>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9"/>
              <w:snapToGrid w:val="0"/>
              <w:ind w:firstLine="0"/>
              <w:rPr>
                <w:rFonts w:ascii="Calibri" w:hAnsi="Calibri" w:cs="Calibri"/>
                <w:sz w:val="21"/>
                <w:szCs w:val="21"/>
              </w:rPr>
            </w:pPr>
          </w:p>
        </w:tc>
        <w:tc>
          <w:tcPr>
            <w:tcW w:w="1540" w:type="dxa"/>
          </w:tcPr>
          <w:p>
            <w:pPr>
              <w:pStyle w:val="9"/>
              <w:snapToGrid w:val="0"/>
              <w:ind w:firstLine="241"/>
              <w:jc w:val="center"/>
              <w:rPr>
                <w:rFonts w:ascii="Calibri" w:hAnsi="Calibri" w:cs="Calibri"/>
                <w:sz w:val="21"/>
                <w:szCs w:val="21"/>
              </w:rPr>
            </w:pPr>
          </w:p>
        </w:tc>
        <w:tc>
          <w:tcPr>
            <w:tcW w:w="1520" w:type="dxa"/>
          </w:tcPr>
          <w:p>
            <w:pPr>
              <w:pStyle w:val="9"/>
              <w:snapToGrid w:val="0"/>
              <w:ind w:firstLine="241"/>
              <w:jc w:val="center"/>
              <w:rPr>
                <w:rFonts w:ascii="Calibri" w:hAnsi="Calibri" w:cs="Calibri"/>
                <w:sz w:val="21"/>
                <w:szCs w:val="21"/>
              </w:rPr>
            </w:pPr>
          </w:p>
        </w:tc>
        <w:tc>
          <w:tcPr>
            <w:tcW w:w="1620" w:type="dxa"/>
          </w:tcPr>
          <w:p>
            <w:pPr>
              <w:pStyle w:val="9"/>
              <w:snapToGrid w:val="0"/>
              <w:ind w:firstLine="241"/>
              <w:jc w:val="center"/>
              <w:rPr>
                <w:rFonts w:ascii="Calibri" w:hAnsi="Calibri" w:cs="Calibri"/>
                <w:sz w:val="21"/>
                <w:szCs w:val="21"/>
              </w:rPr>
            </w:pPr>
          </w:p>
        </w:tc>
        <w:tc>
          <w:tcPr>
            <w:tcW w:w="2880" w:type="dxa"/>
          </w:tcPr>
          <w:p>
            <w:pPr>
              <w:pStyle w:val="9"/>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9"/>
              <w:snapToGrid w:val="0"/>
              <w:ind w:firstLine="0"/>
              <w:rPr>
                <w:rFonts w:ascii="Calibri" w:hAnsi="Calibri" w:cs="Calibri"/>
                <w:sz w:val="21"/>
                <w:szCs w:val="21"/>
              </w:rPr>
            </w:pPr>
          </w:p>
        </w:tc>
        <w:tc>
          <w:tcPr>
            <w:tcW w:w="1540" w:type="dxa"/>
          </w:tcPr>
          <w:p>
            <w:pPr>
              <w:pStyle w:val="9"/>
              <w:snapToGrid w:val="0"/>
              <w:ind w:firstLine="241"/>
              <w:jc w:val="center"/>
              <w:rPr>
                <w:rFonts w:ascii="Calibri" w:hAnsi="Calibri" w:cs="Calibri"/>
                <w:sz w:val="21"/>
                <w:szCs w:val="21"/>
              </w:rPr>
            </w:pPr>
          </w:p>
        </w:tc>
        <w:tc>
          <w:tcPr>
            <w:tcW w:w="1520" w:type="dxa"/>
          </w:tcPr>
          <w:p>
            <w:pPr>
              <w:pStyle w:val="9"/>
              <w:snapToGrid w:val="0"/>
              <w:ind w:firstLine="241"/>
              <w:jc w:val="center"/>
              <w:rPr>
                <w:rFonts w:ascii="Calibri" w:hAnsi="Calibri" w:cs="Calibri"/>
                <w:sz w:val="21"/>
                <w:szCs w:val="21"/>
              </w:rPr>
            </w:pPr>
          </w:p>
        </w:tc>
        <w:tc>
          <w:tcPr>
            <w:tcW w:w="1620" w:type="dxa"/>
          </w:tcPr>
          <w:p>
            <w:pPr>
              <w:pStyle w:val="9"/>
              <w:snapToGrid w:val="0"/>
              <w:ind w:firstLine="241"/>
              <w:jc w:val="center"/>
              <w:rPr>
                <w:rFonts w:ascii="Calibri" w:hAnsi="Calibri" w:cs="Calibri"/>
                <w:sz w:val="21"/>
                <w:szCs w:val="21"/>
              </w:rPr>
            </w:pPr>
          </w:p>
        </w:tc>
        <w:tc>
          <w:tcPr>
            <w:tcW w:w="2880" w:type="dxa"/>
          </w:tcPr>
          <w:p>
            <w:pPr>
              <w:pStyle w:val="9"/>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9"/>
              <w:snapToGrid w:val="0"/>
              <w:ind w:firstLine="0"/>
              <w:rPr>
                <w:rFonts w:ascii="Calibri" w:hAnsi="Calibri" w:cs="Calibri"/>
                <w:sz w:val="21"/>
                <w:szCs w:val="21"/>
              </w:rPr>
            </w:pPr>
          </w:p>
        </w:tc>
        <w:tc>
          <w:tcPr>
            <w:tcW w:w="1540" w:type="dxa"/>
          </w:tcPr>
          <w:p>
            <w:pPr>
              <w:pStyle w:val="9"/>
              <w:snapToGrid w:val="0"/>
              <w:ind w:firstLine="241"/>
              <w:jc w:val="center"/>
              <w:rPr>
                <w:rFonts w:ascii="Calibri" w:hAnsi="Calibri" w:cs="Calibri"/>
                <w:sz w:val="21"/>
                <w:szCs w:val="21"/>
              </w:rPr>
            </w:pPr>
          </w:p>
        </w:tc>
        <w:tc>
          <w:tcPr>
            <w:tcW w:w="1520" w:type="dxa"/>
          </w:tcPr>
          <w:p>
            <w:pPr>
              <w:pStyle w:val="9"/>
              <w:snapToGrid w:val="0"/>
              <w:ind w:firstLine="241"/>
              <w:jc w:val="center"/>
              <w:rPr>
                <w:rFonts w:ascii="Calibri" w:hAnsi="Calibri" w:cs="Calibri"/>
                <w:sz w:val="21"/>
                <w:szCs w:val="21"/>
              </w:rPr>
            </w:pPr>
          </w:p>
        </w:tc>
        <w:tc>
          <w:tcPr>
            <w:tcW w:w="1620" w:type="dxa"/>
          </w:tcPr>
          <w:p>
            <w:pPr>
              <w:pStyle w:val="9"/>
              <w:snapToGrid w:val="0"/>
              <w:ind w:firstLine="241"/>
              <w:jc w:val="center"/>
              <w:rPr>
                <w:rFonts w:ascii="Calibri" w:hAnsi="Calibri" w:cs="Calibri"/>
                <w:sz w:val="21"/>
                <w:szCs w:val="21"/>
              </w:rPr>
            </w:pPr>
          </w:p>
        </w:tc>
        <w:tc>
          <w:tcPr>
            <w:tcW w:w="2880" w:type="dxa"/>
          </w:tcPr>
          <w:p>
            <w:pPr>
              <w:pStyle w:val="9"/>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9"/>
              <w:snapToGrid w:val="0"/>
              <w:ind w:firstLine="0"/>
              <w:rPr>
                <w:rFonts w:ascii="Calibri" w:hAnsi="Calibri" w:cs="Calibri"/>
                <w:sz w:val="21"/>
                <w:szCs w:val="21"/>
              </w:rPr>
            </w:pPr>
          </w:p>
        </w:tc>
        <w:tc>
          <w:tcPr>
            <w:tcW w:w="1540" w:type="dxa"/>
          </w:tcPr>
          <w:p>
            <w:pPr>
              <w:pStyle w:val="9"/>
              <w:snapToGrid w:val="0"/>
              <w:ind w:firstLine="241"/>
              <w:jc w:val="center"/>
              <w:rPr>
                <w:rFonts w:ascii="Calibri" w:hAnsi="Calibri" w:cs="Calibri"/>
                <w:sz w:val="21"/>
                <w:szCs w:val="21"/>
              </w:rPr>
            </w:pPr>
          </w:p>
        </w:tc>
        <w:tc>
          <w:tcPr>
            <w:tcW w:w="1520" w:type="dxa"/>
          </w:tcPr>
          <w:p>
            <w:pPr>
              <w:pStyle w:val="9"/>
              <w:snapToGrid w:val="0"/>
              <w:ind w:firstLine="241"/>
              <w:jc w:val="center"/>
              <w:rPr>
                <w:rFonts w:ascii="Calibri" w:hAnsi="Calibri" w:cs="Calibri"/>
                <w:sz w:val="21"/>
                <w:szCs w:val="21"/>
              </w:rPr>
            </w:pPr>
          </w:p>
        </w:tc>
        <w:tc>
          <w:tcPr>
            <w:tcW w:w="1620" w:type="dxa"/>
          </w:tcPr>
          <w:p>
            <w:pPr>
              <w:pStyle w:val="9"/>
              <w:snapToGrid w:val="0"/>
              <w:ind w:firstLine="241"/>
              <w:jc w:val="center"/>
              <w:rPr>
                <w:rFonts w:ascii="Calibri" w:hAnsi="Calibri" w:cs="Calibri"/>
                <w:sz w:val="21"/>
                <w:szCs w:val="21"/>
              </w:rPr>
            </w:pPr>
          </w:p>
        </w:tc>
        <w:tc>
          <w:tcPr>
            <w:tcW w:w="2880" w:type="dxa"/>
          </w:tcPr>
          <w:p>
            <w:pPr>
              <w:pStyle w:val="9"/>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9"/>
              <w:snapToGrid w:val="0"/>
              <w:ind w:firstLine="0"/>
              <w:rPr>
                <w:rFonts w:ascii="Calibri" w:hAnsi="Calibri" w:cs="Calibri"/>
                <w:sz w:val="21"/>
                <w:szCs w:val="21"/>
              </w:rPr>
            </w:pPr>
          </w:p>
        </w:tc>
        <w:tc>
          <w:tcPr>
            <w:tcW w:w="1540" w:type="dxa"/>
          </w:tcPr>
          <w:p>
            <w:pPr>
              <w:pStyle w:val="9"/>
              <w:snapToGrid w:val="0"/>
              <w:ind w:firstLine="241"/>
              <w:jc w:val="center"/>
              <w:rPr>
                <w:rFonts w:ascii="Calibri" w:hAnsi="Calibri" w:cs="Calibri"/>
                <w:sz w:val="21"/>
                <w:szCs w:val="21"/>
              </w:rPr>
            </w:pPr>
          </w:p>
        </w:tc>
        <w:tc>
          <w:tcPr>
            <w:tcW w:w="1520" w:type="dxa"/>
          </w:tcPr>
          <w:p>
            <w:pPr>
              <w:pStyle w:val="9"/>
              <w:snapToGrid w:val="0"/>
              <w:ind w:firstLine="241"/>
              <w:jc w:val="center"/>
              <w:rPr>
                <w:rFonts w:ascii="Calibri" w:hAnsi="Calibri" w:cs="Calibri"/>
                <w:sz w:val="21"/>
                <w:szCs w:val="21"/>
              </w:rPr>
            </w:pPr>
          </w:p>
        </w:tc>
        <w:tc>
          <w:tcPr>
            <w:tcW w:w="1620" w:type="dxa"/>
          </w:tcPr>
          <w:p>
            <w:pPr>
              <w:pStyle w:val="9"/>
              <w:snapToGrid w:val="0"/>
              <w:ind w:firstLine="241"/>
              <w:jc w:val="center"/>
              <w:rPr>
                <w:rFonts w:ascii="Calibri" w:hAnsi="Calibri" w:cs="Calibri"/>
                <w:sz w:val="21"/>
                <w:szCs w:val="21"/>
              </w:rPr>
            </w:pPr>
          </w:p>
        </w:tc>
        <w:tc>
          <w:tcPr>
            <w:tcW w:w="2880" w:type="dxa"/>
          </w:tcPr>
          <w:p>
            <w:pPr>
              <w:pStyle w:val="9"/>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9"/>
              <w:snapToGrid w:val="0"/>
              <w:ind w:firstLine="0"/>
              <w:rPr>
                <w:rFonts w:ascii="Calibri" w:hAnsi="Calibri" w:cs="Calibri"/>
                <w:sz w:val="21"/>
                <w:szCs w:val="21"/>
              </w:rPr>
            </w:pPr>
          </w:p>
        </w:tc>
        <w:tc>
          <w:tcPr>
            <w:tcW w:w="1540" w:type="dxa"/>
          </w:tcPr>
          <w:p>
            <w:pPr>
              <w:pStyle w:val="9"/>
              <w:snapToGrid w:val="0"/>
              <w:ind w:firstLine="241"/>
              <w:jc w:val="center"/>
              <w:rPr>
                <w:rFonts w:ascii="Calibri" w:hAnsi="Calibri" w:cs="Calibri"/>
                <w:sz w:val="21"/>
                <w:szCs w:val="21"/>
              </w:rPr>
            </w:pPr>
          </w:p>
        </w:tc>
        <w:tc>
          <w:tcPr>
            <w:tcW w:w="1520" w:type="dxa"/>
          </w:tcPr>
          <w:p>
            <w:pPr>
              <w:pStyle w:val="9"/>
              <w:snapToGrid w:val="0"/>
              <w:ind w:firstLine="241"/>
              <w:jc w:val="center"/>
              <w:rPr>
                <w:rFonts w:ascii="Calibri" w:hAnsi="Calibri" w:cs="Calibri"/>
                <w:sz w:val="21"/>
                <w:szCs w:val="21"/>
              </w:rPr>
            </w:pPr>
          </w:p>
        </w:tc>
        <w:tc>
          <w:tcPr>
            <w:tcW w:w="1620" w:type="dxa"/>
          </w:tcPr>
          <w:p>
            <w:pPr>
              <w:pStyle w:val="9"/>
              <w:snapToGrid w:val="0"/>
              <w:ind w:firstLine="241"/>
              <w:jc w:val="center"/>
              <w:rPr>
                <w:rFonts w:ascii="Calibri" w:hAnsi="Calibri" w:cs="Calibri"/>
                <w:sz w:val="21"/>
                <w:szCs w:val="21"/>
              </w:rPr>
            </w:pPr>
          </w:p>
        </w:tc>
        <w:tc>
          <w:tcPr>
            <w:tcW w:w="2880" w:type="dxa"/>
          </w:tcPr>
          <w:p>
            <w:pPr>
              <w:pStyle w:val="9"/>
              <w:snapToGrid w:val="0"/>
              <w:ind w:firstLine="241"/>
              <w:jc w:val="center"/>
              <w:rPr>
                <w:rFonts w:ascii="Calibri" w:hAnsi="Calibri" w:cs="Calibri"/>
                <w:sz w:val="21"/>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r>
        <w:rPr>
          <w:rFonts w:eastAsia="黑体" w:cs="Calibri"/>
          <w:color w:val="000000"/>
          <w:sz w:val="32"/>
          <w:szCs w:val="32"/>
        </w:rPr>
        <w:t>七、</w:t>
      </w:r>
      <w:r>
        <w:rPr>
          <w:rFonts w:hint="eastAsia" w:eastAsia="黑体" w:cs="Calibri"/>
          <w:color w:val="000000"/>
          <w:sz w:val="32"/>
          <w:szCs w:val="32"/>
        </w:rPr>
        <w:t>投标人认为</w:t>
      </w:r>
      <w:r>
        <w:rPr>
          <w:rFonts w:eastAsia="黑体" w:cs="Calibri"/>
          <w:color w:val="000000"/>
          <w:sz w:val="32"/>
          <w:szCs w:val="32"/>
        </w:rPr>
        <w:t>应该提供的其他材料</w:t>
      </w: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p>
    <w:p/>
    <w:p/>
    <w:sectPr>
      <w:footerReference r:id="rId7" w:type="even"/>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Microsoft YaHei UI">
    <w:panose1 w:val="020B0503020204020204"/>
    <w:charset w:val="86"/>
    <w:family w:val="swiss"/>
    <w:pitch w:val="default"/>
    <w:sig w:usb0="80000287" w:usb1="28C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CS?o｡ﾀ?">
    <w:altName w:val="MS PGothic"/>
    <w:panose1 w:val="00000000000000000000"/>
    <w:charset w:val="80"/>
    <w:family w:val="modern"/>
    <w:pitch w:val="default"/>
    <w:sig w:usb0="00000000" w:usb1="00000000" w:usb2="00000010" w:usb3="00000000" w:csb0="00020000"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fldChar w:fldCharType="begin"/>
    </w:r>
    <w:r>
      <w:instrText xml:space="preserve"> PAGE   \* MERGEFORMAT </w:instrText>
    </w:r>
    <w:r>
      <w:fldChar w:fldCharType="separate"/>
    </w:r>
    <w:r>
      <w:rPr>
        <w:lang w:val="zh-CN"/>
      </w:rPr>
      <w:t>-</w:t>
    </w:r>
    <w:r>
      <w:t xml:space="preserve"> 29 -</w:t>
    </w:r>
    <w:r>
      <w:fldChar w:fldCharType="end"/>
    </w:r>
  </w:p>
  <w:p>
    <w:pPr>
      <w:pStyle w:val="25"/>
      <w:wordWrap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outside" w:y="1"/>
      <w:rPr>
        <w:rStyle w:val="48"/>
      </w:rPr>
    </w:pPr>
    <w:r>
      <w:fldChar w:fldCharType="begin"/>
    </w:r>
    <w:r>
      <w:rPr>
        <w:rStyle w:val="48"/>
      </w:rPr>
      <w:instrText xml:space="preserve">PAGE  </w:instrText>
    </w:r>
    <w:r>
      <w:fldChar w:fldCharType="separate"/>
    </w:r>
    <w:r>
      <w:rPr>
        <w:rStyle w:val="48"/>
      </w:rPr>
      <w:t>0</w:t>
    </w:r>
    <w:r>
      <w:fldChar w:fldCharType="end"/>
    </w:r>
  </w:p>
  <w:p>
    <w:pPr>
      <w:pStyle w:val="2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p>
  <w:p>
    <w:pPr>
      <w:pStyle w:val="2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outside" w:y="1"/>
      <w:rPr>
        <w:rStyle w:val="48"/>
      </w:rPr>
    </w:pPr>
    <w:r>
      <w:fldChar w:fldCharType="begin"/>
    </w:r>
    <w:r>
      <w:rPr>
        <w:rStyle w:val="48"/>
      </w:rPr>
      <w:instrText xml:space="preserve">PAGE  </w:instrText>
    </w:r>
    <w:r>
      <w:fldChar w:fldCharType="separate"/>
    </w:r>
    <w:r>
      <w:rPr>
        <w:rStyle w:val="48"/>
      </w:rPr>
      <w:t>0</w:t>
    </w:r>
    <w:r>
      <w:fldChar w:fldCharType="end"/>
    </w:r>
  </w:p>
  <w:p>
    <w:pPr>
      <w:pStyle w:val="2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left"/>
    </w:pPr>
    <w:r>
      <w:rPr>
        <w:rFonts w:hint="eastAsia"/>
      </w:rPr>
      <w:t>杭州萧山国际机场飞机除冰车大修</w:t>
    </w:r>
    <w:r>
      <w:t>项目</w:t>
    </w:r>
    <w:r>
      <w:rPr>
        <w:rFonts w:hint="eastAsia"/>
      </w:rPr>
      <w:t>招标文件</w:t>
    </w:r>
  </w:p>
  <w:p>
    <w:pPr>
      <w:widowControl/>
      <w:adjustRightInd w:val="0"/>
      <w:snapToGrid w:val="0"/>
      <w:textAlignment w:val="baseline"/>
      <w:rPr>
        <w:color w:val="000000"/>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
    <w:nsid w:val="0C0C5995"/>
    <w:multiLevelType w:val="multilevel"/>
    <w:tmpl w:val="0C0C5995"/>
    <w:lvl w:ilvl="0" w:tentative="0">
      <w:start w:val="1"/>
      <w:numFmt w:val="japaneseCounting"/>
      <w:lvlText w:val="%1、"/>
      <w:lvlJc w:val="left"/>
      <w:pPr>
        <w:ind w:left="1077" w:hanging="720"/>
      </w:pPr>
      <w:rPr>
        <w:rFonts w:hint="default"/>
      </w:rPr>
    </w:lvl>
    <w:lvl w:ilvl="1" w:tentative="0">
      <w:start w:val="1"/>
      <w:numFmt w:val="lowerLetter"/>
      <w:lvlText w:val="%2)"/>
      <w:lvlJc w:val="left"/>
      <w:pPr>
        <w:ind w:left="1197" w:hanging="420"/>
      </w:pPr>
    </w:lvl>
    <w:lvl w:ilvl="2" w:tentative="0">
      <w:start w:val="1"/>
      <w:numFmt w:val="lowerRoman"/>
      <w:lvlText w:val="%3."/>
      <w:lvlJc w:val="right"/>
      <w:pPr>
        <w:ind w:left="1617" w:hanging="420"/>
      </w:pPr>
    </w:lvl>
    <w:lvl w:ilvl="3" w:tentative="0">
      <w:start w:val="1"/>
      <w:numFmt w:val="decimal"/>
      <w:lvlText w:val="%4."/>
      <w:lvlJc w:val="left"/>
      <w:pPr>
        <w:ind w:left="2037" w:hanging="420"/>
      </w:pPr>
    </w:lvl>
    <w:lvl w:ilvl="4" w:tentative="0">
      <w:start w:val="1"/>
      <w:numFmt w:val="lowerLetter"/>
      <w:lvlText w:val="%5)"/>
      <w:lvlJc w:val="left"/>
      <w:pPr>
        <w:ind w:left="2457" w:hanging="420"/>
      </w:pPr>
    </w:lvl>
    <w:lvl w:ilvl="5" w:tentative="0">
      <w:start w:val="1"/>
      <w:numFmt w:val="lowerRoman"/>
      <w:lvlText w:val="%6."/>
      <w:lvlJc w:val="right"/>
      <w:pPr>
        <w:ind w:left="2877" w:hanging="420"/>
      </w:pPr>
    </w:lvl>
    <w:lvl w:ilvl="6" w:tentative="0">
      <w:start w:val="1"/>
      <w:numFmt w:val="decimal"/>
      <w:lvlText w:val="%7."/>
      <w:lvlJc w:val="left"/>
      <w:pPr>
        <w:ind w:left="3297" w:hanging="420"/>
      </w:pPr>
    </w:lvl>
    <w:lvl w:ilvl="7" w:tentative="0">
      <w:start w:val="1"/>
      <w:numFmt w:val="lowerLetter"/>
      <w:lvlText w:val="%8)"/>
      <w:lvlJc w:val="left"/>
      <w:pPr>
        <w:ind w:left="3717" w:hanging="420"/>
      </w:pPr>
    </w:lvl>
    <w:lvl w:ilvl="8" w:tentative="0">
      <w:start w:val="1"/>
      <w:numFmt w:val="lowerRoman"/>
      <w:lvlText w:val="%9."/>
      <w:lvlJc w:val="right"/>
      <w:pPr>
        <w:ind w:left="4137" w:hanging="420"/>
      </w:pPr>
    </w:lvl>
  </w:abstractNum>
  <w:abstractNum w:abstractNumId="2">
    <w:nsid w:val="2E9F3D08"/>
    <w:multiLevelType w:val="multilevel"/>
    <w:tmpl w:val="2E9F3D0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CF57925"/>
    <w:multiLevelType w:val="multilevel"/>
    <w:tmpl w:val="5CF57925"/>
    <w:lvl w:ilvl="0" w:tentative="0">
      <w:start w:val="1"/>
      <w:numFmt w:val="decimal"/>
      <w:lvlText w:val="%1、"/>
      <w:lvlJc w:val="left"/>
      <w:pPr>
        <w:ind w:left="1080" w:hanging="36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1"/>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480D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nhideWhenUsed="0" w:uiPriority="0" w:semiHidden="0" w:name="caption"/>
    <w:lsdException w:unhideWhenUsed="0" w:uiPriority="0" w:semiHidden="0" w:name="table of figures"/>
    <w:lsdException w:uiPriority="99" w:name="envelope address"/>
    <w:lsdException w:uiPriority="99" w:name="envelope return"/>
    <w:lsdException w:qFormat="1" w:unhideWhenUsed="0" w:uiPriority="0" w:semiHidden="0" w:name="footnote reference"/>
    <w:lsdException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nhideWhenUsed="0" w:uiPriority="0" w:semiHidden="0" w:name="toa heading"/>
    <w:lsdException w:unhideWhenUsed="0" w:uiPriority="0" w:semiHidden="0" w:name="List"/>
    <w:lsdException w:uiPriority="99" w:name="List Bullet"/>
    <w:lsdException w:uiPriority="99" w:name="List Number"/>
    <w:lsdException w:unhideWhenUsed="0" w:uiPriority="0" w:semiHidden="0" w:name="List 2"/>
    <w:lsdException w:unhideWhenUsed="0" w:uiPriority="0" w:semiHidden="0" w:name="List 3"/>
    <w:lsdException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0" w:semiHidden="0" w:name="Body Text"/>
    <w:lsdException w:uiPriority="0" w:semiHidden="0" w:name="Body Text Indent"/>
    <w:lsdException w:uiPriority="99" w:name="List Continue"/>
    <w:lsdException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iPriority="99" w:name="Body Text 3"/>
    <w:lsdException w:unhideWhenUsed="0" w:uiPriority="0" w:semiHidden="0" w:name="Body Text Indent 2"/>
    <w:lsdException w:unhideWhenUsed="0" w:uiPriority="0" w:semiHidden="0" w:name="Body Text Indent 3"/>
    <w:lsdException w:uiPriority="99"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4"/>
    <w:qFormat/>
    <w:uiPriority w:val="0"/>
    <w:pPr>
      <w:keepNext/>
      <w:keepLines/>
      <w:spacing w:before="340" w:after="330" w:line="576" w:lineRule="auto"/>
      <w:outlineLvl w:val="0"/>
    </w:pPr>
    <w:rPr>
      <w:rFonts w:ascii="Times New Roman" w:hAnsi="Times New Roman"/>
      <w:b/>
      <w:bCs/>
      <w:kern w:val="44"/>
      <w:sz w:val="44"/>
      <w:szCs w:val="44"/>
    </w:rPr>
  </w:style>
  <w:style w:type="paragraph" w:styleId="3">
    <w:name w:val="heading 2"/>
    <w:basedOn w:val="1"/>
    <w:next w:val="1"/>
    <w:link w:val="55"/>
    <w:qFormat/>
    <w:uiPriority w:val="0"/>
    <w:pPr>
      <w:keepNext/>
      <w:keepLines/>
      <w:spacing w:before="260" w:after="260" w:line="413" w:lineRule="auto"/>
      <w:outlineLvl w:val="1"/>
    </w:pPr>
    <w:rPr>
      <w:rFonts w:ascii="Arial" w:hAnsi="Arial" w:eastAsia="黑体"/>
      <w:b/>
      <w:bCs/>
      <w:kern w:val="0"/>
      <w:sz w:val="32"/>
      <w:szCs w:val="32"/>
    </w:rPr>
  </w:style>
  <w:style w:type="paragraph" w:styleId="4">
    <w:name w:val="heading 3"/>
    <w:basedOn w:val="1"/>
    <w:next w:val="1"/>
    <w:link w:val="56"/>
    <w:qFormat/>
    <w:uiPriority w:val="0"/>
    <w:pPr>
      <w:spacing w:line="440" w:lineRule="atLeast"/>
      <w:outlineLvl w:val="2"/>
    </w:pPr>
    <w:rPr>
      <w:rFonts w:ascii="Times New Roman" w:hAnsi="Times New Roman" w:eastAsia="楷体_GB2312"/>
      <w:kern w:val="0"/>
      <w:sz w:val="28"/>
      <w:szCs w:val="20"/>
    </w:rPr>
  </w:style>
  <w:style w:type="paragraph" w:styleId="5">
    <w:name w:val="heading 4"/>
    <w:basedOn w:val="1"/>
    <w:next w:val="1"/>
    <w:link w:val="57"/>
    <w:qFormat/>
    <w:uiPriority w:val="0"/>
    <w:pPr>
      <w:keepNext/>
      <w:keepLines/>
      <w:spacing w:before="280" w:after="290" w:line="372" w:lineRule="auto"/>
      <w:outlineLvl w:val="3"/>
    </w:pPr>
    <w:rPr>
      <w:rFonts w:ascii="Arial" w:hAnsi="Arial" w:eastAsia="黑体"/>
      <w:b/>
      <w:bCs/>
      <w:kern w:val="0"/>
      <w:sz w:val="28"/>
      <w:szCs w:val="28"/>
    </w:rPr>
  </w:style>
  <w:style w:type="paragraph" w:styleId="6">
    <w:name w:val="heading 5"/>
    <w:basedOn w:val="1"/>
    <w:next w:val="1"/>
    <w:link w:val="58"/>
    <w:qFormat/>
    <w:uiPriority w:val="0"/>
    <w:pPr>
      <w:keepNext/>
      <w:keepLines/>
      <w:spacing w:before="280" w:after="290" w:line="372" w:lineRule="auto"/>
      <w:outlineLvl w:val="4"/>
    </w:pPr>
    <w:rPr>
      <w:rFonts w:ascii="Times New Roman" w:hAnsi="Times New Roman"/>
      <w:b/>
      <w:bCs/>
      <w:kern w:val="0"/>
      <w:sz w:val="28"/>
      <w:szCs w:val="28"/>
    </w:rPr>
  </w:style>
  <w:style w:type="character" w:default="1" w:styleId="47">
    <w:name w:val="Default Paragraph Font"/>
    <w:semiHidden/>
    <w:unhideWhenUsed/>
    <w:uiPriority w:val="1"/>
  </w:style>
  <w:style w:type="table" w:default="1" w:styleId="46">
    <w:name w:val="Normal Table"/>
    <w:semiHidden/>
    <w:unhideWhenUsed/>
    <w:uiPriority w:val="99"/>
    <w:tblPr>
      <w:tblLayout w:type="fixed"/>
      <w:tblCellMar>
        <w:top w:w="0" w:type="dxa"/>
        <w:left w:w="108" w:type="dxa"/>
        <w:bottom w:w="0" w:type="dxa"/>
        <w:right w:w="108" w:type="dxa"/>
      </w:tblCellMar>
    </w:tblPr>
  </w:style>
  <w:style w:type="paragraph" w:styleId="7">
    <w:name w:val="List 3"/>
    <w:basedOn w:val="1"/>
    <w:uiPriority w:val="0"/>
    <w:pPr>
      <w:ind w:left="100" w:leftChars="400" w:hanging="200" w:hangingChars="200"/>
    </w:pPr>
    <w:rPr>
      <w:rFonts w:ascii="Times New Roman" w:hAnsi="Times New Roman"/>
      <w:szCs w:val="24"/>
    </w:rPr>
  </w:style>
  <w:style w:type="paragraph" w:styleId="8">
    <w:name w:val="toc 7"/>
    <w:basedOn w:val="1"/>
    <w:next w:val="1"/>
    <w:uiPriority w:val="0"/>
    <w:pPr>
      <w:ind w:left="2520"/>
    </w:pPr>
    <w:rPr>
      <w:rFonts w:ascii="Times New Roman" w:hAnsi="Times New Roman"/>
      <w:szCs w:val="24"/>
    </w:rPr>
  </w:style>
  <w:style w:type="paragraph" w:styleId="9">
    <w:name w:val="Normal Indent"/>
    <w:basedOn w:val="1"/>
    <w:link w:val="134"/>
    <w:uiPriority w:val="0"/>
    <w:pPr>
      <w:autoSpaceDE w:val="0"/>
      <w:autoSpaceDN w:val="0"/>
      <w:adjustRightInd w:val="0"/>
      <w:ind w:firstLine="420"/>
      <w:jc w:val="left"/>
    </w:pPr>
    <w:rPr>
      <w:rFonts w:ascii="宋体" w:hAnsi="Times New Roman"/>
      <w:kern w:val="0"/>
      <w:sz w:val="34"/>
      <w:szCs w:val="20"/>
    </w:rPr>
  </w:style>
  <w:style w:type="paragraph" w:styleId="10">
    <w:name w:val="caption"/>
    <w:basedOn w:val="1"/>
    <w:next w:val="1"/>
    <w:qFormat/>
    <w:uiPriority w:val="0"/>
    <w:rPr>
      <w:rFonts w:ascii="Arial" w:hAnsi="Arial" w:eastAsia="黑体" w:cs="Arial"/>
      <w:sz w:val="20"/>
      <w:szCs w:val="20"/>
    </w:rPr>
  </w:style>
  <w:style w:type="paragraph" w:styleId="11">
    <w:name w:val="Document Map"/>
    <w:basedOn w:val="1"/>
    <w:link w:val="73"/>
    <w:uiPriority w:val="0"/>
    <w:pPr>
      <w:shd w:val="clear" w:color="auto" w:fill="000080"/>
    </w:pPr>
    <w:rPr>
      <w:rFonts w:ascii="Times New Roman" w:hAnsi="Times New Roman"/>
      <w:kern w:val="0"/>
      <w:sz w:val="20"/>
      <w:szCs w:val="24"/>
    </w:rPr>
  </w:style>
  <w:style w:type="paragraph" w:styleId="12">
    <w:name w:val="toa heading"/>
    <w:basedOn w:val="1"/>
    <w:next w:val="1"/>
    <w:uiPriority w:val="0"/>
    <w:pPr>
      <w:spacing w:before="120"/>
    </w:pPr>
    <w:rPr>
      <w:rFonts w:ascii="Arial" w:hAnsi="Arial" w:cs="Arial"/>
      <w:sz w:val="24"/>
      <w:szCs w:val="24"/>
    </w:rPr>
  </w:style>
  <w:style w:type="paragraph" w:styleId="13">
    <w:name w:val="annotation text"/>
    <w:basedOn w:val="1"/>
    <w:link w:val="136"/>
    <w:semiHidden/>
    <w:unhideWhenUsed/>
    <w:uiPriority w:val="99"/>
    <w:pPr>
      <w:jc w:val="left"/>
    </w:pPr>
  </w:style>
  <w:style w:type="paragraph" w:styleId="14">
    <w:name w:val="Body Text"/>
    <w:basedOn w:val="1"/>
    <w:link w:val="104"/>
    <w:unhideWhenUsed/>
    <w:uiPriority w:val="0"/>
    <w:pPr>
      <w:spacing w:after="120"/>
    </w:pPr>
    <w:rPr>
      <w:kern w:val="0"/>
      <w:sz w:val="20"/>
      <w:szCs w:val="20"/>
    </w:rPr>
  </w:style>
  <w:style w:type="paragraph" w:styleId="15">
    <w:name w:val="Body Text Indent"/>
    <w:basedOn w:val="1"/>
    <w:link w:val="67"/>
    <w:unhideWhenUsed/>
    <w:uiPriority w:val="0"/>
    <w:pPr>
      <w:spacing w:after="120"/>
      <w:ind w:left="420" w:leftChars="200"/>
    </w:pPr>
    <w:rPr>
      <w:kern w:val="0"/>
      <w:sz w:val="20"/>
      <w:szCs w:val="20"/>
    </w:rPr>
  </w:style>
  <w:style w:type="paragraph" w:styleId="16">
    <w:name w:val="List 2"/>
    <w:basedOn w:val="1"/>
    <w:uiPriority w:val="0"/>
    <w:pPr>
      <w:ind w:left="100" w:leftChars="200" w:hanging="200" w:hangingChars="200"/>
    </w:pPr>
    <w:rPr>
      <w:rFonts w:ascii="Times New Roman" w:hAnsi="Times New Roman"/>
      <w:szCs w:val="24"/>
    </w:rPr>
  </w:style>
  <w:style w:type="paragraph" w:styleId="17">
    <w:name w:val="toc 5"/>
    <w:basedOn w:val="1"/>
    <w:next w:val="1"/>
    <w:uiPriority w:val="0"/>
    <w:pPr>
      <w:ind w:left="1680"/>
    </w:pPr>
    <w:rPr>
      <w:rFonts w:ascii="Times New Roman" w:hAnsi="Times New Roman"/>
      <w:szCs w:val="24"/>
    </w:rPr>
  </w:style>
  <w:style w:type="paragraph" w:styleId="18">
    <w:name w:val="toc 3"/>
    <w:basedOn w:val="1"/>
    <w:next w:val="1"/>
    <w:uiPriority w:val="39"/>
    <w:pPr>
      <w:spacing w:line="360" w:lineRule="auto"/>
      <w:ind w:left="400" w:leftChars="400"/>
    </w:pPr>
    <w:rPr>
      <w:rFonts w:ascii="Times New Roman" w:hAnsi="Times New Roman"/>
      <w:szCs w:val="24"/>
    </w:rPr>
  </w:style>
  <w:style w:type="paragraph" w:styleId="19">
    <w:name w:val="Plain Text"/>
    <w:basedOn w:val="1"/>
    <w:link w:val="112"/>
    <w:uiPriority w:val="0"/>
    <w:rPr>
      <w:rFonts w:ascii="宋体" w:hAnsi="Courier New"/>
      <w:kern w:val="0"/>
      <w:sz w:val="20"/>
      <w:szCs w:val="21"/>
    </w:rPr>
  </w:style>
  <w:style w:type="paragraph" w:styleId="20">
    <w:name w:val="toc 8"/>
    <w:basedOn w:val="1"/>
    <w:next w:val="1"/>
    <w:uiPriority w:val="0"/>
    <w:pPr>
      <w:ind w:left="2940"/>
    </w:pPr>
    <w:rPr>
      <w:rFonts w:ascii="Times New Roman" w:hAnsi="Times New Roman"/>
      <w:szCs w:val="24"/>
    </w:rPr>
  </w:style>
  <w:style w:type="paragraph" w:styleId="21">
    <w:name w:val="index 3"/>
    <w:basedOn w:val="1"/>
    <w:next w:val="1"/>
    <w:uiPriority w:val="0"/>
    <w:pPr>
      <w:ind w:left="400" w:leftChars="400"/>
    </w:pPr>
    <w:rPr>
      <w:rFonts w:ascii="Times New Roman" w:hAnsi="Times New Roman"/>
      <w:szCs w:val="24"/>
    </w:rPr>
  </w:style>
  <w:style w:type="paragraph" w:styleId="22">
    <w:name w:val="Date"/>
    <w:basedOn w:val="1"/>
    <w:next w:val="1"/>
    <w:link w:val="75"/>
    <w:uiPriority w:val="0"/>
    <w:pPr>
      <w:ind w:left="100" w:leftChars="2500"/>
    </w:pPr>
    <w:rPr>
      <w:rFonts w:ascii="Times New Roman" w:hAnsi="Times New Roman"/>
      <w:b/>
      <w:bCs/>
      <w:kern w:val="0"/>
      <w:sz w:val="36"/>
      <w:szCs w:val="24"/>
    </w:rPr>
  </w:style>
  <w:style w:type="paragraph" w:styleId="23">
    <w:name w:val="Body Text Indent 2"/>
    <w:basedOn w:val="1"/>
    <w:link w:val="119"/>
    <w:uiPriority w:val="0"/>
    <w:pPr>
      <w:spacing w:after="120" w:line="480" w:lineRule="auto"/>
      <w:ind w:left="420" w:leftChars="200"/>
    </w:pPr>
    <w:rPr>
      <w:rFonts w:ascii="Times New Roman" w:hAnsi="Times New Roman"/>
      <w:kern w:val="0"/>
      <w:sz w:val="20"/>
      <w:szCs w:val="24"/>
    </w:rPr>
  </w:style>
  <w:style w:type="paragraph" w:styleId="24">
    <w:name w:val="Balloon Text"/>
    <w:basedOn w:val="1"/>
    <w:link w:val="108"/>
    <w:uiPriority w:val="0"/>
    <w:rPr>
      <w:rFonts w:ascii="Times New Roman" w:hAnsi="Times New Roman"/>
      <w:kern w:val="0"/>
      <w:sz w:val="18"/>
      <w:szCs w:val="18"/>
    </w:rPr>
  </w:style>
  <w:style w:type="paragraph" w:styleId="25">
    <w:name w:val="footer"/>
    <w:basedOn w:val="1"/>
    <w:link w:val="121"/>
    <w:uiPriority w:val="99"/>
    <w:pPr>
      <w:tabs>
        <w:tab w:val="center" w:pos="4153"/>
        <w:tab w:val="right" w:pos="8306"/>
      </w:tabs>
      <w:snapToGrid w:val="0"/>
      <w:jc w:val="left"/>
    </w:pPr>
    <w:rPr>
      <w:rFonts w:ascii="Times New Roman" w:hAnsi="Times New Roman"/>
      <w:kern w:val="0"/>
      <w:sz w:val="18"/>
      <w:szCs w:val="18"/>
    </w:rPr>
  </w:style>
  <w:style w:type="paragraph" w:styleId="26">
    <w:name w:val="header"/>
    <w:basedOn w:val="1"/>
    <w:link w:val="71"/>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27">
    <w:name w:val="toc 1"/>
    <w:basedOn w:val="2"/>
    <w:next w:val="1"/>
    <w:uiPriority w:val="39"/>
    <w:pPr>
      <w:tabs>
        <w:tab w:val="right" w:leader="dot" w:pos="8659"/>
      </w:tabs>
      <w:spacing w:before="0" w:after="0" w:line="240" w:lineRule="auto"/>
      <w:jc w:val="center"/>
    </w:pPr>
    <w:rPr>
      <w:b w:val="0"/>
      <w:sz w:val="21"/>
    </w:rPr>
  </w:style>
  <w:style w:type="paragraph" w:styleId="28">
    <w:name w:val="toc 4"/>
    <w:basedOn w:val="1"/>
    <w:next w:val="1"/>
    <w:uiPriority w:val="0"/>
    <w:pPr>
      <w:ind w:left="1260"/>
    </w:pPr>
    <w:rPr>
      <w:rFonts w:ascii="Times New Roman" w:hAnsi="Times New Roman"/>
      <w:szCs w:val="24"/>
    </w:rPr>
  </w:style>
  <w:style w:type="paragraph" w:styleId="29">
    <w:name w:val="List"/>
    <w:basedOn w:val="1"/>
    <w:uiPriority w:val="0"/>
    <w:pPr>
      <w:ind w:left="200" w:hanging="200" w:hangingChars="200"/>
    </w:pPr>
    <w:rPr>
      <w:rFonts w:ascii="Times New Roman" w:hAnsi="Times New Roman"/>
      <w:szCs w:val="24"/>
    </w:rPr>
  </w:style>
  <w:style w:type="paragraph" w:styleId="30">
    <w:name w:val="footnote text"/>
    <w:basedOn w:val="1"/>
    <w:link w:val="110"/>
    <w:uiPriority w:val="0"/>
    <w:pPr>
      <w:snapToGrid w:val="0"/>
      <w:jc w:val="left"/>
    </w:pPr>
    <w:rPr>
      <w:rFonts w:ascii="Times New Roman" w:hAnsi="Times New Roman"/>
      <w:kern w:val="0"/>
      <w:sz w:val="18"/>
      <w:szCs w:val="18"/>
    </w:rPr>
  </w:style>
  <w:style w:type="paragraph" w:styleId="31">
    <w:name w:val="toc 6"/>
    <w:basedOn w:val="1"/>
    <w:next w:val="1"/>
    <w:uiPriority w:val="0"/>
    <w:pPr>
      <w:ind w:left="2100"/>
    </w:pPr>
    <w:rPr>
      <w:rFonts w:ascii="Times New Roman" w:hAnsi="Times New Roman"/>
      <w:szCs w:val="24"/>
    </w:rPr>
  </w:style>
  <w:style w:type="paragraph" w:styleId="32">
    <w:name w:val="Body Text Indent 3"/>
    <w:basedOn w:val="1"/>
    <w:link w:val="65"/>
    <w:uiPriority w:val="0"/>
    <w:pPr>
      <w:spacing w:line="540" w:lineRule="atLeast"/>
      <w:ind w:firstLine="480" w:firstLineChars="200"/>
    </w:pPr>
    <w:rPr>
      <w:rFonts w:ascii="Times New Roman" w:hAnsi="Times New Roman"/>
      <w:kern w:val="0"/>
      <w:sz w:val="24"/>
      <w:szCs w:val="24"/>
    </w:rPr>
  </w:style>
  <w:style w:type="paragraph" w:styleId="33">
    <w:name w:val="table of figures"/>
    <w:basedOn w:val="1"/>
    <w:next w:val="1"/>
    <w:uiPriority w:val="0"/>
    <w:pPr>
      <w:ind w:left="200" w:leftChars="200" w:hanging="200" w:hangingChars="200"/>
    </w:pPr>
    <w:rPr>
      <w:rFonts w:ascii="Times New Roman" w:hAnsi="Times New Roman"/>
      <w:szCs w:val="24"/>
    </w:rPr>
  </w:style>
  <w:style w:type="paragraph" w:styleId="34">
    <w:name w:val="toc 2"/>
    <w:basedOn w:val="1"/>
    <w:next w:val="1"/>
    <w:uiPriority w:val="39"/>
    <w:pPr>
      <w:spacing w:line="360" w:lineRule="auto"/>
      <w:ind w:left="200" w:leftChars="200"/>
    </w:pPr>
    <w:rPr>
      <w:rFonts w:ascii="Times New Roman" w:hAnsi="Times New Roman"/>
      <w:szCs w:val="24"/>
    </w:rPr>
  </w:style>
  <w:style w:type="paragraph" w:styleId="35">
    <w:name w:val="toc 9"/>
    <w:basedOn w:val="1"/>
    <w:next w:val="1"/>
    <w:uiPriority w:val="0"/>
    <w:pPr>
      <w:ind w:left="3360"/>
    </w:pPr>
    <w:rPr>
      <w:rFonts w:ascii="Times New Roman" w:hAnsi="Times New Roman"/>
      <w:szCs w:val="24"/>
    </w:rPr>
  </w:style>
  <w:style w:type="paragraph" w:styleId="36">
    <w:name w:val="Body Text 2"/>
    <w:basedOn w:val="1"/>
    <w:link w:val="117"/>
    <w:uiPriority w:val="0"/>
    <w:pPr>
      <w:spacing w:after="120" w:line="480" w:lineRule="auto"/>
    </w:pPr>
    <w:rPr>
      <w:rFonts w:ascii="Times New Roman" w:hAnsi="Times New Roman"/>
      <w:kern w:val="0"/>
      <w:sz w:val="20"/>
      <w:szCs w:val="24"/>
    </w:rPr>
  </w:style>
  <w:style w:type="paragraph" w:styleId="37">
    <w:name w:val="List 4"/>
    <w:basedOn w:val="1"/>
    <w:uiPriority w:val="0"/>
    <w:pPr>
      <w:ind w:left="100" w:leftChars="600" w:hanging="200" w:hangingChars="200"/>
    </w:pPr>
    <w:rPr>
      <w:rFonts w:ascii="Times New Roman" w:hAnsi="Times New Roman"/>
      <w:szCs w:val="24"/>
    </w:rPr>
  </w:style>
  <w:style w:type="paragraph" w:styleId="38">
    <w:name w:val="List Continue 2"/>
    <w:basedOn w:val="1"/>
    <w:uiPriority w:val="0"/>
    <w:pPr>
      <w:spacing w:after="120"/>
      <w:ind w:left="840" w:leftChars="400"/>
    </w:pPr>
    <w:rPr>
      <w:rFonts w:ascii="Times New Roman" w:hAnsi="Times New Roman"/>
      <w:szCs w:val="24"/>
    </w:rPr>
  </w:style>
  <w:style w:type="paragraph" w:styleId="39">
    <w:name w:val="Normal (Web)"/>
    <w:basedOn w:val="1"/>
    <w:uiPriority w:val="99"/>
    <w:pPr>
      <w:widowControl/>
      <w:spacing w:before="100" w:beforeAutospacing="1" w:after="100" w:afterAutospacing="1"/>
      <w:jc w:val="left"/>
    </w:pPr>
    <w:rPr>
      <w:rFonts w:ascii="宋体" w:hAnsi="宋体" w:cs="宋体"/>
      <w:kern w:val="0"/>
      <w:sz w:val="24"/>
      <w:szCs w:val="24"/>
    </w:rPr>
  </w:style>
  <w:style w:type="paragraph" w:styleId="40">
    <w:name w:val="index 1"/>
    <w:basedOn w:val="1"/>
    <w:next w:val="1"/>
    <w:uiPriority w:val="0"/>
    <w:pPr>
      <w:spacing w:line="320" w:lineRule="exact"/>
    </w:pPr>
    <w:rPr>
      <w:rFonts w:ascii="Times New Roman" w:hAnsi="Times New Roman"/>
      <w:snapToGrid w:val="0"/>
      <w:color w:val="FF6600"/>
      <w:kern w:val="0"/>
      <w:sz w:val="18"/>
      <w:szCs w:val="21"/>
    </w:rPr>
  </w:style>
  <w:style w:type="paragraph" w:styleId="41">
    <w:name w:val="index 2"/>
    <w:basedOn w:val="1"/>
    <w:next w:val="1"/>
    <w:uiPriority w:val="0"/>
    <w:pPr>
      <w:ind w:left="200" w:leftChars="200"/>
    </w:pPr>
    <w:rPr>
      <w:rFonts w:ascii="Times New Roman" w:hAnsi="Times New Roman"/>
      <w:szCs w:val="24"/>
    </w:rPr>
  </w:style>
  <w:style w:type="paragraph" w:styleId="42">
    <w:name w:val="Title"/>
    <w:basedOn w:val="1"/>
    <w:link w:val="77"/>
    <w:qFormat/>
    <w:uiPriority w:val="0"/>
    <w:pPr>
      <w:spacing w:before="240" w:after="60"/>
      <w:jc w:val="center"/>
      <w:outlineLvl w:val="0"/>
    </w:pPr>
    <w:rPr>
      <w:rFonts w:ascii="Arial" w:hAnsi="Arial"/>
      <w:b/>
      <w:bCs/>
      <w:kern w:val="0"/>
      <w:sz w:val="32"/>
      <w:szCs w:val="32"/>
    </w:rPr>
  </w:style>
  <w:style w:type="paragraph" w:styleId="43">
    <w:name w:val="annotation subject"/>
    <w:basedOn w:val="13"/>
    <w:next w:val="13"/>
    <w:link w:val="135"/>
    <w:semiHidden/>
    <w:uiPriority w:val="0"/>
  </w:style>
  <w:style w:type="paragraph" w:styleId="44">
    <w:name w:val="Body Text First Indent"/>
    <w:basedOn w:val="14"/>
    <w:link w:val="106"/>
    <w:uiPriority w:val="0"/>
    <w:pPr>
      <w:ind w:firstLine="420" w:firstLineChars="100"/>
    </w:pPr>
    <w:rPr>
      <w:rFonts w:ascii="Times New Roman" w:hAnsi="Times New Roman"/>
      <w:szCs w:val="24"/>
    </w:rPr>
  </w:style>
  <w:style w:type="paragraph" w:styleId="45">
    <w:name w:val="Body Text First Indent 2"/>
    <w:basedOn w:val="15"/>
    <w:link w:val="69"/>
    <w:uiPriority w:val="0"/>
    <w:pPr>
      <w:ind w:firstLine="420" w:firstLineChars="200"/>
    </w:pPr>
    <w:rPr>
      <w:rFonts w:ascii="Times New Roman" w:hAnsi="Times New Roman"/>
      <w:szCs w:val="24"/>
    </w:rPr>
  </w:style>
  <w:style w:type="character" w:styleId="48">
    <w:name w:val="page number"/>
    <w:qFormat/>
    <w:uiPriority w:val="0"/>
    <w:rPr>
      <w:rFonts w:asciiTheme="minorHAnsi" w:hAnsiTheme="minorHAnsi" w:eastAsiaTheme="minorEastAsia" w:cstheme="minorBidi"/>
      <w:kern w:val="2"/>
      <w:sz w:val="21"/>
      <w:szCs w:val="22"/>
      <w:lang w:val="en-US" w:eastAsia="zh-CN" w:bidi="ar-SA"/>
    </w:rPr>
  </w:style>
  <w:style w:type="character" w:styleId="49">
    <w:name w:val="FollowedHyperlink"/>
    <w:uiPriority w:val="0"/>
    <w:rPr>
      <w:rFonts w:asciiTheme="minorHAnsi" w:hAnsiTheme="minorHAnsi" w:eastAsiaTheme="minorEastAsia" w:cstheme="minorBidi"/>
      <w:color w:val="800080"/>
      <w:kern w:val="2"/>
      <w:sz w:val="21"/>
      <w:szCs w:val="22"/>
      <w:u w:val="single"/>
      <w:lang w:val="en-US" w:eastAsia="zh-CN" w:bidi="ar-SA"/>
    </w:rPr>
  </w:style>
  <w:style w:type="character" w:styleId="50">
    <w:name w:val="Emphasis"/>
    <w:qFormat/>
    <w:uiPriority w:val="20"/>
    <w:rPr>
      <w:rFonts w:asciiTheme="minorHAnsi" w:hAnsiTheme="minorHAnsi" w:eastAsiaTheme="minorEastAsia" w:cstheme="minorBidi"/>
      <w:i/>
      <w:iCs/>
      <w:kern w:val="2"/>
      <w:sz w:val="21"/>
      <w:szCs w:val="22"/>
      <w:lang w:val="en-US" w:eastAsia="zh-CN" w:bidi="ar-SA"/>
    </w:rPr>
  </w:style>
  <w:style w:type="character" w:styleId="51">
    <w:name w:val="Hyperlink"/>
    <w:qFormat/>
    <w:uiPriority w:val="99"/>
    <w:rPr>
      <w:rFonts w:asciiTheme="minorHAnsi" w:hAnsiTheme="minorHAnsi" w:eastAsiaTheme="minorEastAsia" w:cstheme="minorBidi"/>
      <w:color w:val="0000FF"/>
      <w:kern w:val="2"/>
      <w:sz w:val="21"/>
      <w:szCs w:val="22"/>
      <w:u w:val="single"/>
      <w:lang w:val="en-US" w:eastAsia="zh-CN" w:bidi="ar-SA"/>
    </w:rPr>
  </w:style>
  <w:style w:type="character" w:styleId="52">
    <w:name w:val="annotation reference"/>
    <w:uiPriority w:val="0"/>
    <w:rPr>
      <w:rFonts w:asciiTheme="minorHAnsi" w:hAnsiTheme="minorHAnsi" w:eastAsiaTheme="minorEastAsia" w:cstheme="minorBidi"/>
      <w:kern w:val="2"/>
      <w:sz w:val="21"/>
      <w:szCs w:val="21"/>
      <w:lang w:val="en-US" w:eastAsia="zh-CN" w:bidi="ar-SA"/>
    </w:rPr>
  </w:style>
  <w:style w:type="character" w:styleId="53">
    <w:name w:val="footnote reference"/>
    <w:qFormat/>
    <w:uiPriority w:val="0"/>
    <w:rPr>
      <w:rFonts w:asciiTheme="minorHAnsi" w:hAnsiTheme="minorHAnsi" w:eastAsiaTheme="minorEastAsia" w:cstheme="minorBidi"/>
      <w:kern w:val="2"/>
      <w:sz w:val="21"/>
      <w:szCs w:val="22"/>
      <w:vertAlign w:val="superscript"/>
      <w:lang w:val="en-US" w:eastAsia="zh-CN" w:bidi="ar-SA"/>
    </w:rPr>
  </w:style>
  <w:style w:type="character" w:customStyle="1" w:styleId="54">
    <w:name w:val="标题 1 字符1"/>
    <w:basedOn w:val="47"/>
    <w:link w:val="2"/>
    <w:uiPriority w:val="0"/>
    <w:rPr>
      <w:rFonts w:ascii="Times New Roman" w:hAnsi="Times New Roman" w:eastAsiaTheme="minorEastAsia" w:cstheme="minorBidi"/>
      <w:b/>
      <w:bCs/>
      <w:kern w:val="44"/>
      <w:sz w:val="44"/>
      <w:szCs w:val="44"/>
      <w:lang w:val="en-US" w:eastAsia="zh-CN" w:bidi="ar-SA"/>
    </w:rPr>
  </w:style>
  <w:style w:type="character" w:customStyle="1" w:styleId="55">
    <w:name w:val="标题 2 字符1"/>
    <w:basedOn w:val="47"/>
    <w:link w:val="3"/>
    <w:uiPriority w:val="0"/>
    <w:rPr>
      <w:rFonts w:ascii="Arial" w:hAnsi="Arial" w:eastAsia="黑体" w:cstheme="minorBidi"/>
      <w:b/>
      <w:bCs/>
      <w:kern w:val="0"/>
      <w:sz w:val="32"/>
      <w:szCs w:val="32"/>
      <w:lang w:val="en-US" w:eastAsia="zh-CN" w:bidi="ar-SA"/>
    </w:rPr>
  </w:style>
  <w:style w:type="character" w:customStyle="1" w:styleId="56">
    <w:name w:val="标题 3 字符1"/>
    <w:basedOn w:val="47"/>
    <w:link w:val="4"/>
    <w:uiPriority w:val="0"/>
    <w:rPr>
      <w:rFonts w:ascii="Times New Roman" w:hAnsi="Times New Roman" w:eastAsia="楷体_GB2312" w:cstheme="minorBidi"/>
      <w:kern w:val="0"/>
      <w:sz w:val="28"/>
      <w:szCs w:val="20"/>
      <w:lang w:val="en-US" w:eastAsia="zh-CN" w:bidi="ar-SA"/>
    </w:rPr>
  </w:style>
  <w:style w:type="character" w:customStyle="1" w:styleId="57">
    <w:name w:val="标题 4 字符1"/>
    <w:basedOn w:val="47"/>
    <w:link w:val="5"/>
    <w:uiPriority w:val="0"/>
    <w:rPr>
      <w:rFonts w:ascii="Arial" w:hAnsi="Arial" w:eastAsia="黑体" w:cstheme="minorBidi"/>
      <w:b/>
      <w:bCs/>
      <w:kern w:val="0"/>
      <w:sz w:val="28"/>
      <w:szCs w:val="28"/>
      <w:lang w:val="en-US" w:eastAsia="zh-CN" w:bidi="ar-SA"/>
    </w:rPr>
  </w:style>
  <w:style w:type="character" w:customStyle="1" w:styleId="58">
    <w:name w:val="标题 5 字符1"/>
    <w:basedOn w:val="47"/>
    <w:link w:val="6"/>
    <w:qFormat/>
    <w:uiPriority w:val="0"/>
    <w:rPr>
      <w:rFonts w:ascii="Times New Roman" w:hAnsi="Times New Roman" w:eastAsiaTheme="minorEastAsia" w:cstheme="minorBidi"/>
      <w:b/>
      <w:bCs/>
      <w:kern w:val="0"/>
      <w:sz w:val="28"/>
      <w:szCs w:val="28"/>
      <w:lang w:val="en-US" w:eastAsia="zh-CN" w:bidi="ar-SA"/>
    </w:rPr>
  </w:style>
  <w:style w:type="character" w:customStyle="1" w:styleId="59">
    <w:name w:val="标题 1 字符"/>
    <w:qFormat/>
    <w:uiPriority w:val="9"/>
    <w:rPr>
      <w:rFonts w:asciiTheme="minorHAnsi" w:hAnsiTheme="minorHAnsi" w:eastAsiaTheme="minorEastAsia" w:cstheme="minorBidi"/>
      <w:b/>
      <w:bCs/>
      <w:kern w:val="44"/>
      <w:sz w:val="44"/>
      <w:szCs w:val="44"/>
      <w:lang w:val="en-US" w:eastAsia="zh-CN" w:bidi="ar-SA"/>
    </w:rPr>
  </w:style>
  <w:style w:type="character" w:customStyle="1" w:styleId="60">
    <w:name w:val="标题 2 字符"/>
    <w:semiHidden/>
    <w:qFormat/>
    <w:uiPriority w:val="9"/>
    <w:rPr>
      <w:rFonts w:ascii="Calibri Light" w:hAnsi="Calibri Light" w:eastAsia="宋体" w:cs="Times New Roman"/>
      <w:b/>
      <w:bCs/>
      <w:kern w:val="2"/>
      <w:sz w:val="32"/>
      <w:szCs w:val="32"/>
      <w:lang w:val="en-US" w:eastAsia="zh-CN" w:bidi="ar-SA"/>
    </w:rPr>
  </w:style>
  <w:style w:type="character" w:customStyle="1" w:styleId="61">
    <w:name w:val="标题 3 字符"/>
    <w:semiHidden/>
    <w:qFormat/>
    <w:uiPriority w:val="9"/>
    <w:rPr>
      <w:rFonts w:asciiTheme="minorHAnsi" w:hAnsiTheme="minorHAnsi" w:eastAsiaTheme="minorEastAsia" w:cstheme="minorBidi"/>
      <w:b/>
      <w:bCs/>
      <w:kern w:val="2"/>
      <w:sz w:val="32"/>
      <w:szCs w:val="32"/>
      <w:lang w:val="en-US" w:eastAsia="zh-CN" w:bidi="ar-SA"/>
    </w:rPr>
  </w:style>
  <w:style w:type="character" w:customStyle="1" w:styleId="62">
    <w:name w:val="标题 4 字符"/>
    <w:semiHidden/>
    <w:qFormat/>
    <w:uiPriority w:val="9"/>
    <w:rPr>
      <w:rFonts w:ascii="Calibri Light" w:hAnsi="Calibri Light" w:eastAsia="宋体" w:cs="Times New Roman"/>
      <w:b/>
      <w:bCs/>
      <w:kern w:val="2"/>
      <w:sz w:val="28"/>
      <w:szCs w:val="28"/>
      <w:lang w:val="en-US" w:eastAsia="zh-CN" w:bidi="ar-SA"/>
    </w:rPr>
  </w:style>
  <w:style w:type="character" w:customStyle="1" w:styleId="63">
    <w:name w:val="标题 5 字符"/>
    <w:semiHidden/>
    <w:qFormat/>
    <w:uiPriority w:val="9"/>
    <w:rPr>
      <w:rFonts w:asciiTheme="minorHAnsi" w:hAnsiTheme="minorHAnsi" w:eastAsiaTheme="minorEastAsia" w:cstheme="minorBidi"/>
      <w:b/>
      <w:bCs/>
      <w:kern w:val="2"/>
      <w:sz w:val="28"/>
      <w:szCs w:val="28"/>
      <w:lang w:val="en-US" w:eastAsia="zh-CN" w:bidi="ar-SA"/>
    </w:rPr>
  </w:style>
  <w:style w:type="character" w:customStyle="1" w:styleId="64">
    <w:name w:val="zbggmain style9"/>
    <w:qFormat/>
    <w:uiPriority w:val="0"/>
    <w:rPr>
      <w:rFonts w:asciiTheme="minorHAnsi" w:hAnsiTheme="minorHAnsi" w:eastAsiaTheme="minorEastAsia" w:cstheme="minorBidi"/>
      <w:kern w:val="2"/>
      <w:sz w:val="21"/>
      <w:szCs w:val="22"/>
      <w:lang w:val="en-US" w:eastAsia="zh-CN" w:bidi="ar-SA"/>
    </w:rPr>
  </w:style>
  <w:style w:type="character" w:customStyle="1" w:styleId="65">
    <w:name w:val="正文文本缩进 3 字符1"/>
    <w:basedOn w:val="47"/>
    <w:link w:val="32"/>
    <w:uiPriority w:val="0"/>
    <w:rPr>
      <w:rFonts w:ascii="Times New Roman" w:hAnsi="Times New Roman" w:eastAsiaTheme="minorEastAsia" w:cstheme="minorBidi"/>
      <w:kern w:val="0"/>
      <w:sz w:val="24"/>
      <w:szCs w:val="24"/>
      <w:lang w:val="en-US" w:eastAsia="zh-CN" w:bidi="ar-SA"/>
    </w:rPr>
  </w:style>
  <w:style w:type="character" w:customStyle="1" w:styleId="66">
    <w:name w:val="正文文本缩进 3 字符"/>
    <w:semiHidden/>
    <w:uiPriority w:val="99"/>
    <w:rPr>
      <w:rFonts w:asciiTheme="minorHAnsi" w:hAnsiTheme="minorHAnsi" w:eastAsiaTheme="minorEastAsia" w:cstheme="minorBidi"/>
      <w:kern w:val="2"/>
      <w:sz w:val="16"/>
      <w:szCs w:val="16"/>
      <w:lang w:val="en-US" w:eastAsia="zh-CN" w:bidi="ar-SA"/>
    </w:rPr>
  </w:style>
  <w:style w:type="character" w:customStyle="1" w:styleId="67">
    <w:name w:val="正文文本缩进 字符1"/>
    <w:basedOn w:val="47"/>
    <w:link w:val="15"/>
    <w:uiPriority w:val="0"/>
    <w:rPr>
      <w:rFonts w:asciiTheme="minorHAnsi" w:hAnsiTheme="minorHAnsi" w:eastAsiaTheme="minorEastAsia" w:cstheme="minorBidi"/>
      <w:kern w:val="0"/>
      <w:sz w:val="20"/>
      <w:szCs w:val="20"/>
      <w:lang w:val="en-US" w:eastAsia="zh-CN" w:bidi="ar-SA"/>
    </w:rPr>
  </w:style>
  <w:style w:type="character" w:customStyle="1" w:styleId="68">
    <w:name w:val="正文文本缩进 字符"/>
    <w:basedOn w:val="47"/>
    <w:semiHidden/>
    <w:uiPriority w:val="99"/>
    <w:rPr>
      <w:rFonts w:asciiTheme="minorHAnsi" w:hAnsiTheme="minorHAnsi" w:eastAsiaTheme="minorEastAsia" w:cstheme="minorBidi"/>
      <w:kern w:val="2"/>
      <w:sz w:val="21"/>
      <w:szCs w:val="22"/>
      <w:lang w:val="en-US" w:eastAsia="zh-CN" w:bidi="ar-SA"/>
    </w:rPr>
  </w:style>
  <w:style w:type="character" w:customStyle="1" w:styleId="69">
    <w:name w:val="正文首行缩进 2 字符1"/>
    <w:basedOn w:val="67"/>
    <w:link w:val="45"/>
    <w:uiPriority w:val="0"/>
    <w:rPr>
      <w:rFonts w:ascii="Times New Roman" w:hAnsi="Times New Roman"/>
      <w:szCs w:val="24"/>
    </w:rPr>
  </w:style>
  <w:style w:type="character" w:customStyle="1" w:styleId="70">
    <w:name w:val="正文首行缩进 2 字符"/>
    <w:basedOn w:val="68"/>
    <w:semiHidden/>
    <w:uiPriority w:val="99"/>
  </w:style>
  <w:style w:type="character" w:customStyle="1" w:styleId="71">
    <w:name w:val="页眉 字符1"/>
    <w:basedOn w:val="47"/>
    <w:link w:val="26"/>
    <w:uiPriority w:val="0"/>
    <w:rPr>
      <w:rFonts w:ascii="Times New Roman" w:hAnsi="Times New Roman" w:eastAsiaTheme="minorEastAsia" w:cstheme="minorBidi"/>
      <w:kern w:val="0"/>
      <w:sz w:val="18"/>
      <w:szCs w:val="18"/>
      <w:lang w:val="en-US" w:eastAsia="zh-CN" w:bidi="ar-SA"/>
    </w:rPr>
  </w:style>
  <w:style w:type="character" w:customStyle="1" w:styleId="72">
    <w:name w:val="页眉 字符"/>
    <w:semiHidden/>
    <w:uiPriority w:val="99"/>
    <w:rPr>
      <w:rFonts w:asciiTheme="minorHAnsi" w:hAnsiTheme="minorHAnsi" w:eastAsiaTheme="minorEastAsia" w:cstheme="minorBidi"/>
      <w:kern w:val="2"/>
      <w:sz w:val="18"/>
      <w:szCs w:val="18"/>
      <w:lang w:val="en-US" w:eastAsia="zh-CN" w:bidi="ar-SA"/>
    </w:rPr>
  </w:style>
  <w:style w:type="character" w:customStyle="1" w:styleId="73">
    <w:name w:val="文档结构图 字符1"/>
    <w:basedOn w:val="47"/>
    <w:link w:val="11"/>
    <w:uiPriority w:val="0"/>
    <w:rPr>
      <w:rFonts w:ascii="Times New Roman" w:hAnsi="Times New Roman" w:eastAsiaTheme="minorEastAsia" w:cstheme="minorBidi"/>
      <w:kern w:val="0"/>
      <w:sz w:val="20"/>
      <w:szCs w:val="24"/>
      <w:lang w:val="en-US" w:eastAsia="zh-CN" w:bidi="ar-SA"/>
    </w:rPr>
  </w:style>
  <w:style w:type="character" w:customStyle="1" w:styleId="74">
    <w:name w:val="文档结构图 字符"/>
    <w:semiHidden/>
    <w:uiPriority w:val="99"/>
    <w:rPr>
      <w:rFonts w:ascii="Microsoft YaHei UI" w:eastAsia="Microsoft YaHei UI" w:hAnsiTheme="minorHAnsi" w:cstheme="minorBidi"/>
      <w:kern w:val="2"/>
      <w:sz w:val="18"/>
      <w:szCs w:val="18"/>
      <w:lang w:val="en-US" w:eastAsia="zh-CN" w:bidi="ar-SA"/>
    </w:rPr>
  </w:style>
  <w:style w:type="character" w:customStyle="1" w:styleId="75">
    <w:name w:val="日期 字符1"/>
    <w:basedOn w:val="47"/>
    <w:link w:val="22"/>
    <w:uiPriority w:val="0"/>
    <w:rPr>
      <w:rFonts w:ascii="Times New Roman" w:hAnsi="Times New Roman" w:eastAsiaTheme="minorEastAsia" w:cstheme="minorBidi"/>
      <w:b/>
      <w:bCs/>
      <w:kern w:val="0"/>
      <w:sz w:val="36"/>
      <w:szCs w:val="24"/>
      <w:lang w:val="en-US" w:eastAsia="zh-CN" w:bidi="ar-SA"/>
    </w:rPr>
  </w:style>
  <w:style w:type="character" w:customStyle="1" w:styleId="76">
    <w:name w:val="日期 字符"/>
    <w:basedOn w:val="47"/>
    <w:semiHidden/>
    <w:uiPriority w:val="99"/>
    <w:rPr>
      <w:rFonts w:asciiTheme="minorHAnsi" w:hAnsiTheme="minorHAnsi" w:eastAsiaTheme="minorEastAsia" w:cstheme="minorBidi"/>
      <w:kern w:val="2"/>
      <w:sz w:val="21"/>
      <w:szCs w:val="22"/>
      <w:lang w:val="en-US" w:eastAsia="zh-CN" w:bidi="ar-SA"/>
    </w:rPr>
  </w:style>
  <w:style w:type="character" w:customStyle="1" w:styleId="77">
    <w:name w:val="标题 字符1"/>
    <w:basedOn w:val="47"/>
    <w:link w:val="42"/>
    <w:uiPriority w:val="0"/>
    <w:rPr>
      <w:rFonts w:ascii="Arial" w:hAnsi="Arial" w:eastAsiaTheme="minorEastAsia" w:cstheme="minorBidi"/>
      <w:b/>
      <w:bCs/>
      <w:kern w:val="0"/>
      <w:sz w:val="32"/>
      <w:szCs w:val="32"/>
      <w:lang w:val="en-US" w:eastAsia="zh-CN" w:bidi="ar-SA"/>
    </w:rPr>
  </w:style>
  <w:style w:type="character" w:customStyle="1" w:styleId="78">
    <w:name w:val="标题 字符"/>
    <w:uiPriority w:val="10"/>
    <w:rPr>
      <w:rFonts w:ascii="Calibri Light" w:hAnsi="Calibri Light" w:eastAsia="宋体" w:cs="Times New Roman"/>
      <w:b/>
      <w:bCs/>
      <w:kern w:val="2"/>
      <w:sz w:val="32"/>
      <w:szCs w:val="32"/>
      <w:lang w:val="en-US" w:eastAsia="zh-CN" w:bidi="ar-SA"/>
    </w:rPr>
  </w:style>
  <w:style w:type="paragraph" w:customStyle="1" w:styleId="79">
    <w:name w:val="样式2"/>
    <w:basedOn w:val="33"/>
    <w:uiPriority w:val="0"/>
    <w:pPr>
      <w:ind w:firstLine="2720"/>
    </w:pPr>
    <w:rPr>
      <w:bCs/>
    </w:rPr>
  </w:style>
  <w:style w:type="paragraph" w:customStyle="1" w:styleId="80">
    <w:name w:val="0"/>
    <w:basedOn w:val="1"/>
    <w:uiPriority w:val="0"/>
    <w:pPr>
      <w:widowControl/>
    </w:pPr>
    <w:rPr>
      <w:rFonts w:ascii="Times New Roman" w:hAnsi="Times New Roman"/>
      <w:kern w:val="0"/>
      <w:szCs w:val="20"/>
    </w:rPr>
  </w:style>
  <w:style w:type="paragraph" w:customStyle="1" w:styleId="81">
    <w:name w:val="Char Char Char Char Char Char Char"/>
    <w:basedOn w:val="1"/>
    <w:uiPriority w:val="0"/>
    <w:pPr>
      <w:widowControl/>
      <w:spacing w:after="160" w:line="240" w:lineRule="exact"/>
      <w:jc w:val="left"/>
    </w:pPr>
    <w:rPr>
      <w:rFonts w:ascii="Times New Roman" w:hAnsi="Times New Roman"/>
      <w:szCs w:val="20"/>
    </w:rPr>
  </w:style>
  <w:style w:type="paragraph" w:customStyle="1" w:styleId="82">
    <w:name w:val="Blockquote"/>
    <w:basedOn w:val="1"/>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3">
    <w:name w:val="表1"/>
    <w:basedOn w:val="1"/>
    <w:uiPriority w:val="0"/>
    <w:pPr>
      <w:tabs>
        <w:tab w:val="left" w:pos="720"/>
        <w:tab w:val="left" w:pos="851"/>
      </w:tabs>
      <w:overflowPunct w:val="0"/>
      <w:autoSpaceDE w:val="0"/>
      <w:autoSpaceDN w:val="0"/>
      <w:adjustRightInd w:val="0"/>
      <w:spacing w:before="200" w:line="320" w:lineRule="atLeast"/>
      <w:ind w:firstLine="624"/>
      <w:textAlignment w:val="baseline"/>
    </w:pPr>
    <w:rPr>
      <w:rFonts w:ascii="Times New Roman" w:hAnsi="Times New Roman"/>
      <w:kern w:val="0"/>
      <w:sz w:val="24"/>
      <w:szCs w:val="20"/>
    </w:rPr>
  </w:style>
  <w:style w:type="paragraph" w:customStyle="1" w:styleId="84">
    <w:name w:val="Char"/>
    <w:basedOn w:val="1"/>
    <w:uiPriority w:val="0"/>
    <w:pPr>
      <w:spacing w:line="360" w:lineRule="auto"/>
    </w:pPr>
    <w:rPr>
      <w:rFonts w:ascii="黑体" w:hAnsi="黑体"/>
      <w:sz w:val="24"/>
      <w:szCs w:val="24"/>
      <w:lang w:val="zh-CN"/>
    </w:rPr>
  </w:style>
  <w:style w:type="paragraph" w:customStyle="1" w:styleId="85">
    <w:name w:val="1 Char Char Char"/>
    <w:basedOn w:val="1"/>
    <w:next w:val="4"/>
    <w:uiPriority w:val="0"/>
    <w:pPr>
      <w:spacing w:line="500" w:lineRule="exact"/>
      <w:ind w:firstLine="200"/>
      <w:jc w:val="center"/>
    </w:pPr>
    <w:rPr>
      <w:rFonts w:ascii="仿宋_GB2312" w:hAnsi="Arial" w:eastAsia="仿宋_GB2312" w:cs="Arial"/>
      <w:bCs/>
      <w:sz w:val="32"/>
      <w:szCs w:val="32"/>
    </w:rPr>
  </w:style>
  <w:style w:type="paragraph" w:customStyle="1" w:styleId="86">
    <w:name w:val="HTML Top of Form"/>
    <w:basedOn w:val="1"/>
    <w:next w:val="1"/>
    <w:link w:val="87"/>
    <w:uiPriority w:val="0"/>
    <w:pPr>
      <w:pBdr>
        <w:bottom w:val="single" w:color="auto" w:sz="6" w:space="1"/>
      </w:pBdr>
      <w:jc w:val="center"/>
    </w:pPr>
    <w:rPr>
      <w:rFonts w:ascii="Arial" w:hAnsi="Arial"/>
      <w:vanish/>
      <w:kern w:val="0"/>
      <w:sz w:val="16"/>
      <w:szCs w:val="16"/>
    </w:rPr>
  </w:style>
  <w:style w:type="character" w:customStyle="1" w:styleId="87">
    <w:name w:val="z-窗体顶端 字符1"/>
    <w:basedOn w:val="47"/>
    <w:link w:val="86"/>
    <w:uiPriority w:val="0"/>
    <w:rPr>
      <w:rFonts w:ascii="Arial" w:hAnsi="Arial" w:eastAsiaTheme="minorEastAsia" w:cstheme="minorBidi"/>
      <w:vanish/>
      <w:kern w:val="0"/>
      <w:sz w:val="16"/>
      <w:szCs w:val="16"/>
      <w:lang w:val="en-US" w:eastAsia="zh-CN" w:bidi="ar-SA"/>
    </w:rPr>
  </w:style>
  <w:style w:type="character" w:customStyle="1" w:styleId="88">
    <w:name w:val="z-窗体顶端 字符"/>
    <w:semiHidden/>
    <w:uiPriority w:val="99"/>
    <w:rPr>
      <w:rFonts w:ascii="Arial" w:hAnsi="Arial" w:cs="Arial" w:eastAsiaTheme="minorEastAsia"/>
      <w:vanish/>
      <w:kern w:val="2"/>
      <w:sz w:val="16"/>
      <w:szCs w:val="16"/>
      <w:lang w:val="en-US" w:eastAsia="zh-CN" w:bidi="ar-SA"/>
    </w:rPr>
  </w:style>
  <w:style w:type="paragraph" w:customStyle="1" w:styleId="89">
    <w:name w:val="_Style 10"/>
    <w:basedOn w:val="1"/>
    <w:next w:val="1"/>
    <w:uiPriority w:val="0"/>
    <w:rPr>
      <w:rFonts w:ascii="Times New Roman" w:hAnsi="Times New Roman"/>
      <w:szCs w:val="24"/>
    </w:rPr>
  </w:style>
  <w:style w:type="paragraph" w:customStyle="1" w:styleId="90">
    <w:name w:val="Char Char"/>
    <w:basedOn w:val="1"/>
    <w:uiPriority w:val="0"/>
    <w:rPr>
      <w:rFonts w:ascii="Tahoma" w:hAnsi="Tahoma"/>
      <w:sz w:val="24"/>
      <w:szCs w:val="20"/>
    </w:rPr>
  </w:style>
  <w:style w:type="paragraph" w:customStyle="1" w:styleId="91">
    <w:name w:val="默认段落字体 Para Char Char Char Char"/>
    <w:basedOn w:val="1"/>
    <w:uiPriority w:val="0"/>
    <w:pPr>
      <w:spacing w:line="360" w:lineRule="auto"/>
      <w:ind w:firstLine="200" w:firstLineChars="200"/>
    </w:pPr>
    <w:rPr>
      <w:rFonts w:ascii="宋体" w:hAnsi="宋体" w:cs="宋体"/>
      <w:sz w:val="24"/>
      <w:szCs w:val="24"/>
    </w:rPr>
  </w:style>
  <w:style w:type="paragraph" w:customStyle="1" w:styleId="92">
    <w:name w:val="Char Char Char Char"/>
    <w:basedOn w:val="1"/>
    <w:uiPriority w:val="0"/>
    <w:rPr>
      <w:rFonts w:ascii="仿宋_GB2312" w:hAnsi="Times New Roman" w:eastAsia="仿宋_GB2312"/>
      <w:b/>
      <w:sz w:val="32"/>
      <w:szCs w:val="32"/>
    </w:rPr>
  </w:style>
  <w:style w:type="paragraph" w:customStyle="1" w:styleId="93">
    <w:name w:val="末级"/>
    <w:basedOn w:val="1"/>
    <w:uiPriority w:val="0"/>
    <w:pPr>
      <w:tabs>
        <w:tab w:val="left" w:pos="851"/>
      </w:tabs>
      <w:spacing w:line="360" w:lineRule="auto"/>
      <w:ind w:firstLine="510"/>
    </w:pPr>
    <w:rPr>
      <w:rFonts w:ascii="Times New Roman" w:hAnsi="Times New Roman"/>
      <w:sz w:val="24"/>
      <w:szCs w:val="24"/>
    </w:rPr>
  </w:style>
  <w:style w:type="paragraph" w:customStyle="1" w:styleId="94">
    <w:name w:val="样式1"/>
    <w:basedOn w:val="1"/>
    <w:uiPriority w:val="0"/>
    <w:pPr>
      <w:spacing w:line="360" w:lineRule="auto"/>
      <w:jc w:val="center"/>
    </w:pPr>
    <w:rPr>
      <w:rFonts w:ascii="宋体" w:hAnsi="宋体"/>
      <w:sz w:val="32"/>
      <w:szCs w:val="30"/>
    </w:rPr>
  </w:style>
  <w:style w:type="paragraph" w:customStyle="1" w:styleId="95">
    <w:name w:val="Char Char Char Char Char Char Char Char Char"/>
    <w:basedOn w:val="1"/>
    <w:uiPriority w:val="0"/>
    <w:pPr>
      <w:widowControl/>
      <w:spacing w:after="160" w:line="240" w:lineRule="exact"/>
      <w:jc w:val="left"/>
    </w:pPr>
    <w:rPr>
      <w:rFonts w:ascii="Times New Roman" w:hAnsi="Times New Roman"/>
      <w:szCs w:val="20"/>
    </w:rPr>
  </w:style>
  <w:style w:type="paragraph" w:customStyle="1" w:styleId="96">
    <w:name w:val="19"/>
    <w:basedOn w:val="1"/>
    <w:uiPriority w:val="0"/>
    <w:pPr>
      <w:widowControl/>
      <w:snapToGrid w:val="0"/>
      <w:spacing w:before="100" w:beforeAutospacing="1" w:after="120" w:line="360" w:lineRule="atLeast"/>
      <w:jc w:val="left"/>
    </w:pPr>
    <w:rPr>
      <w:rFonts w:ascii="宋体" w:hAnsi="宋体"/>
      <w:kern w:val="0"/>
      <w:sz w:val="28"/>
      <w:szCs w:val="20"/>
    </w:rPr>
  </w:style>
  <w:style w:type="paragraph" w:customStyle="1" w:styleId="97">
    <w:name w:val="正文段"/>
    <w:basedOn w:val="1"/>
    <w:uiPriority w:val="0"/>
    <w:pPr>
      <w:spacing w:line="360" w:lineRule="auto"/>
      <w:ind w:firstLine="420"/>
    </w:pPr>
    <w:rPr>
      <w:rFonts w:ascii="宋体" w:hAnsi="Times New Roman"/>
      <w:sz w:val="24"/>
      <w:szCs w:val="24"/>
    </w:rPr>
  </w:style>
  <w:style w:type="paragraph" w:customStyle="1" w:styleId="98">
    <w:name w:val="表格一"/>
    <w:basedOn w:val="1"/>
    <w:uiPriority w:val="0"/>
    <w:pPr>
      <w:spacing w:line="240" w:lineRule="exact"/>
      <w:ind w:left="105" w:leftChars="50"/>
    </w:pPr>
    <w:rPr>
      <w:rFonts w:ascii="Times New Roman" w:hAnsi="Times New Roman"/>
      <w:sz w:val="18"/>
      <w:szCs w:val="21"/>
    </w:rPr>
  </w:style>
  <w:style w:type="paragraph" w:customStyle="1" w:styleId="99">
    <w:name w:val="样式 一号 加粗 居中"/>
    <w:basedOn w:val="1"/>
    <w:uiPriority w:val="0"/>
    <w:pPr>
      <w:jc w:val="center"/>
    </w:pPr>
    <w:rPr>
      <w:rFonts w:ascii="Times New Roman" w:hAnsi="Times New Roman" w:cs="宋体"/>
      <w:bCs/>
      <w:sz w:val="52"/>
      <w:szCs w:val="20"/>
    </w:rPr>
  </w:style>
  <w:style w:type="paragraph" w:customStyle="1" w:styleId="100">
    <w:name w:val="Char Char Char Char Char Char Char Char Char Char"/>
    <w:basedOn w:val="1"/>
    <w:uiPriority w:val="0"/>
    <w:pPr>
      <w:widowControl/>
      <w:spacing w:after="160" w:line="240" w:lineRule="exact"/>
      <w:jc w:val="left"/>
    </w:pPr>
    <w:rPr>
      <w:rFonts w:ascii="Times New Roman" w:hAnsi="Times New Roman"/>
      <w:szCs w:val="20"/>
    </w:rPr>
  </w:style>
  <w:style w:type="paragraph" w:customStyle="1" w:styleId="101">
    <w:name w:val="HTML Bottom of Form"/>
    <w:basedOn w:val="1"/>
    <w:next w:val="1"/>
    <w:link w:val="102"/>
    <w:uiPriority w:val="0"/>
    <w:pPr>
      <w:pBdr>
        <w:top w:val="single" w:color="auto" w:sz="6" w:space="1"/>
      </w:pBdr>
      <w:jc w:val="center"/>
    </w:pPr>
    <w:rPr>
      <w:rFonts w:ascii="Arial" w:hAnsi="Arial"/>
      <w:vanish/>
      <w:kern w:val="0"/>
      <w:sz w:val="16"/>
      <w:szCs w:val="16"/>
    </w:rPr>
  </w:style>
  <w:style w:type="character" w:customStyle="1" w:styleId="102">
    <w:name w:val="z-窗体底端 字符1"/>
    <w:basedOn w:val="47"/>
    <w:link w:val="101"/>
    <w:uiPriority w:val="0"/>
    <w:rPr>
      <w:rFonts w:ascii="Arial" w:hAnsi="Arial" w:eastAsiaTheme="minorEastAsia" w:cstheme="minorBidi"/>
      <w:vanish/>
      <w:kern w:val="0"/>
      <w:sz w:val="16"/>
      <w:szCs w:val="16"/>
      <w:lang w:val="en-US" w:eastAsia="zh-CN" w:bidi="ar-SA"/>
    </w:rPr>
  </w:style>
  <w:style w:type="character" w:customStyle="1" w:styleId="103">
    <w:name w:val="z-窗体底端 字符"/>
    <w:semiHidden/>
    <w:uiPriority w:val="99"/>
    <w:rPr>
      <w:rFonts w:ascii="Arial" w:hAnsi="Arial" w:cs="Arial" w:eastAsiaTheme="minorEastAsia"/>
      <w:vanish/>
      <w:kern w:val="2"/>
      <w:sz w:val="16"/>
      <w:szCs w:val="16"/>
      <w:lang w:val="en-US" w:eastAsia="zh-CN" w:bidi="ar-SA"/>
    </w:rPr>
  </w:style>
  <w:style w:type="character" w:customStyle="1" w:styleId="104">
    <w:name w:val="正文文本 字符1"/>
    <w:basedOn w:val="47"/>
    <w:link w:val="14"/>
    <w:uiPriority w:val="0"/>
    <w:rPr>
      <w:rFonts w:asciiTheme="minorHAnsi" w:hAnsiTheme="minorHAnsi" w:eastAsiaTheme="minorEastAsia" w:cstheme="minorBidi"/>
      <w:kern w:val="0"/>
      <w:sz w:val="20"/>
      <w:szCs w:val="20"/>
      <w:lang w:val="en-US" w:eastAsia="zh-CN" w:bidi="ar-SA"/>
    </w:rPr>
  </w:style>
  <w:style w:type="character" w:customStyle="1" w:styleId="105">
    <w:name w:val="正文文本 字符"/>
    <w:basedOn w:val="47"/>
    <w:semiHidden/>
    <w:uiPriority w:val="99"/>
    <w:rPr>
      <w:rFonts w:asciiTheme="minorHAnsi" w:hAnsiTheme="minorHAnsi" w:eastAsiaTheme="minorEastAsia" w:cstheme="minorBidi"/>
      <w:kern w:val="2"/>
      <w:sz w:val="21"/>
      <w:szCs w:val="22"/>
      <w:lang w:val="en-US" w:eastAsia="zh-CN" w:bidi="ar-SA"/>
    </w:rPr>
  </w:style>
  <w:style w:type="character" w:customStyle="1" w:styleId="106">
    <w:name w:val="正文首行缩进 字符1"/>
    <w:basedOn w:val="104"/>
    <w:link w:val="44"/>
    <w:uiPriority w:val="0"/>
    <w:rPr>
      <w:rFonts w:ascii="Times New Roman" w:hAnsi="Times New Roman"/>
      <w:szCs w:val="24"/>
    </w:rPr>
  </w:style>
  <w:style w:type="character" w:customStyle="1" w:styleId="107">
    <w:name w:val="正文首行缩进 字符"/>
    <w:basedOn w:val="105"/>
    <w:semiHidden/>
    <w:uiPriority w:val="99"/>
  </w:style>
  <w:style w:type="character" w:customStyle="1" w:styleId="108">
    <w:name w:val="批注框文本 字符1"/>
    <w:basedOn w:val="47"/>
    <w:link w:val="24"/>
    <w:uiPriority w:val="0"/>
    <w:rPr>
      <w:rFonts w:ascii="Times New Roman" w:hAnsi="Times New Roman" w:eastAsiaTheme="minorEastAsia" w:cstheme="minorBidi"/>
      <w:kern w:val="0"/>
      <w:sz w:val="18"/>
      <w:szCs w:val="18"/>
      <w:lang w:val="en-US" w:eastAsia="zh-CN" w:bidi="ar-SA"/>
    </w:rPr>
  </w:style>
  <w:style w:type="character" w:customStyle="1" w:styleId="109">
    <w:name w:val="批注框文本 字符"/>
    <w:semiHidden/>
    <w:uiPriority w:val="99"/>
    <w:rPr>
      <w:rFonts w:asciiTheme="minorHAnsi" w:hAnsiTheme="minorHAnsi" w:eastAsiaTheme="minorEastAsia" w:cstheme="minorBidi"/>
      <w:kern w:val="2"/>
      <w:sz w:val="18"/>
      <w:szCs w:val="18"/>
      <w:lang w:val="en-US" w:eastAsia="zh-CN" w:bidi="ar-SA"/>
    </w:rPr>
  </w:style>
  <w:style w:type="character" w:customStyle="1" w:styleId="110">
    <w:name w:val="脚注文本 字符1"/>
    <w:basedOn w:val="47"/>
    <w:link w:val="30"/>
    <w:uiPriority w:val="0"/>
    <w:rPr>
      <w:rFonts w:ascii="Times New Roman" w:hAnsi="Times New Roman" w:eastAsiaTheme="minorEastAsia" w:cstheme="minorBidi"/>
      <w:kern w:val="0"/>
      <w:sz w:val="18"/>
      <w:szCs w:val="18"/>
      <w:lang w:val="en-US" w:eastAsia="zh-CN" w:bidi="ar-SA"/>
    </w:rPr>
  </w:style>
  <w:style w:type="character" w:customStyle="1" w:styleId="111">
    <w:name w:val="脚注文本 字符"/>
    <w:semiHidden/>
    <w:uiPriority w:val="99"/>
    <w:rPr>
      <w:rFonts w:asciiTheme="minorHAnsi" w:hAnsiTheme="minorHAnsi" w:eastAsiaTheme="minorEastAsia" w:cstheme="minorBidi"/>
      <w:kern w:val="2"/>
      <w:sz w:val="18"/>
      <w:szCs w:val="18"/>
      <w:lang w:val="en-US" w:eastAsia="zh-CN" w:bidi="ar-SA"/>
    </w:rPr>
  </w:style>
  <w:style w:type="character" w:customStyle="1" w:styleId="112">
    <w:name w:val="纯文本 字符1"/>
    <w:basedOn w:val="47"/>
    <w:link w:val="19"/>
    <w:uiPriority w:val="0"/>
    <w:rPr>
      <w:rFonts w:ascii="宋体" w:hAnsi="Courier New" w:eastAsiaTheme="minorEastAsia" w:cstheme="minorBidi"/>
      <w:kern w:val="0"/>
      <w:sz w:val="20"/>
      <w:szCs w:val="21"/>
      <w:lang w:val="en-US" w:eastAsia="zh-CN" w:bidi="ar-SA"/>
    </w:rPr>
  </w:style>
  <w:style w:type="character" w:customStyle="1" w:styleId="113">
    <w:name w:val="纯文本 字符"/>
    <w:semiHidden/>
    <w:uiPriority w:val="99"/>
    <w:rPr>
      <w:rFonts w:ascii="宋体" w:hAnsi="Courier New" w:cs="Courier New" w:eastAsiaTheme="minorEastAsia"/>
      <w:kern w:val="2"/>
      <w:sz w:val="21"/>
      <w:szCs w:val="22"/>
      <w:lang w:val="en-US" w:eastAsia="zh-CN" w:bidi="ar-SA"/>
    </w:rPr>
  </w:style>
  <w:style w:type="paragraph" w:customStyle="1" w:styleId="114">
    <w:name w:val="Char1"/>
    <w:basedOn w:val="1"/>
    <w:uiPriority w:val="0"/>
    <w:pPr>
      <w:widowControl/>
      <w:spacing w:after="160" w:line="240" w:lineRule="exact"/>
      <w:jc w:val="left"/>
    </w:pPr>
    <w:rPr>
      <w:rFonts w:ascii="Tahoma" w:hAnsi="Tahoma"/>
      <w:kern w:val="0"/>
      <w:sz w:val="24"/>
      <w:szCs w:val="24"/>
      <w:lang w:eastAsia="en-US"/>
    </w:rPr>
  </w:style>
  <w:style w:type="paragraph" w:customStyle="1" w:styleId="115">
    <w:name w:val="样式3"/>
    <w:basedOn w:val="4"/>
    <w:uiPriority w:val="0"/>
    <w:pPr>
      <w:keepNext/>
      <w:keepLines/>
      <w:spacing w:before="120" w:after="120" w:line="360" w:lineRule="auto"/>
    </w:pPr>
    <w:rPr>
      <w:rFonts w:eastAsia="宋体"/>
      <w:sz w:val="24"/>
      <w:szCs w:val="24"/>
    </w:rPr>
  </w:style>
  <w:style w:type="paragraph" w:customStyle="1" w:styleId="116">
    <w:name w:val="表"/>
    <w:basedOn w:val="1"/>
    <w:uiPriority w:val="0"/>
    <w:pPr>
      <w:spacing w:line="360" w:lineRule="auto"/>
      <w:jc w:val="center"/>
    </w:pPr>
    <w:rPr>
      <w:rFonts w:ascii="Times New Roman" w:hAnsi="Times New Roman"/>
      <w:color w:val="000000"/>
      <w:szCs w:val="21"/>
    </w:rPr>
  </w:style>
  <w:style w:type="character" w:customStyle="1" w:styleId="117">
    <w:name w:val="正文文本 2 字符1"/>
    <w:basedOn w:val="47"/>
    <w:link w:val="36"/>
    <w:uiPriority w:val="0"/>
    <w:rPr>
      <w:rFonts w:ascii="Times New Roman" w:hAnsi="Times New Roman" w:eastAsiaTheme="minorEastAsia" w:cstheme="minorBidi"/>
      <w:kern w:val="0"/>
      <w:sz w:val="20"/>
      <w:szCs w:val="24"/>
      <w:lang w:val="en-US" w:eastAsia="zh-CN" w:bidi="ar-SA"/>
    </w:rPr>
  </w:style>
  <w:style w:type="character" w:customStyle="1" w:styleId="118">
    <w:name w:val="正文文本 2 字符"/>
    <w:basedOn w:val="47"/>
    <w:semiHidden/>
    <w:uiPriority w:val="99"/>
    <w:rPr>
      <w:rFonts w:asciiTheme="minorHAnsi" w:hAnsiTheme="minorHAnsi" w:eastAsiaTheme="minorEastAsia" w:cstheme="minorBidi"/>
      <w:kern w:val="2"/>
      <w:sz w:val="21"/>
      <w:szCs w:val="22"/>
      <w:lang w:val="en-US" w:eastAsia="zh-CN" w:bidi="ar-SA"/>
    </w:rPr>
  </w:style>
  <w:style w:type="character" w:customStyle="1" w:styleId="119">
    <w:name w:val="正文文本缩进 2 字符1"/>
    <w:basedOn w:val="47"/>
    <w:link w:val="23"/>
    <w:uiPriority w:val="0"/>
    <w:rPr>
      <w:rFonts w:ascii="Times New Roman" w:hAnsi="Times New Roman" w:eastAsiaTheme="minorEastAsia" w:cstheme="minorBidi"/>
      <w:kern w:val="0"/>
      <w:sz w:val="20"/>
      <w:szCs w:val="24"/>
      <w:lang w:val="en-US" w:eastAsia="zh-CN" w:bidi="ar-SA"/>
    </w:rPr>
  </w:style>
  <w:style w:type="character" w:customStyle="1" w:styleId="120">
    <w:name w:val="正文文本缩进 2 字符"/>
    <w:basedOn w:val="47"/>
    <w:semiHidden/>
    <w:uiPriority w:val="99"/>
    <w:rPr>
      <w:rFonts w:asciiTheme="minorHAnsi" w:hAnsiTheme="minorHAnsi" w:eastAsiaTheme="minorEastAsia" w:cstheme="minorBidi"/>
      <w:kern w:val="2"/>
      <w:sz w:val="21"/>
      <w:szCs w:val="22"/>
      <w:lang w:val="en-US" w:eastAsia="zh-CN" w:bidi="ar-SA"/>
    </w:rPr>
  </w:style>
  <w:style w:type="character" w:customStyle="1" w:styleId="121">
    <w:name w:val="页脚 字符1"/>
    <w:basedOn w:val="47"/>
    <w:link w:val="25"/>
    <w:uiPriority w:val="99"/>
    <w:rPr>
      <w:rFonts w:ascii="Times New Roman" w:hAnsi="Times New Roman" w:eastAsiaTheme="minorEastAsia" w:cstheme="minorBidi"/>
      <w:kern w:val="0"/>
      <w:sz w:val="18"/>
      <w:szCs w:val="18"/>
      <w:lang w:val="en-US" w:eastAsia="zh-CN" w:bidi="ar-SA"/>
    </w:rPr>
  </w:style>
  <w:style w:type="character" w:customStyle="1" w:styleId="122">
    <w:name w:val="页脚 字符"/>
    <w:semiHidden/>
    <w:uiPriority w:val="99"/>
    <w:rPr>
      <w:rFonts w:asciiTheme="minorHAnsi" w:hAnsiTheme="minorHAnsi" w:eastAsiaTheme="minorEastAsia" w:cstheme="minorBidi"/>
      <w:kern w:val="2"/>
      <w:sz w:val="18"/>
      <w:szCs w:val="18"/>
      <w:lang w:val="en-US" w:eastAsia="zh-CN" w:bidi="ar-SA"/>
    </w:rPr>
  </w:style>
  <w:style w:type="paragraph" w:styleId="123">
    <w:name w:val="List Paragraph"/>
    <w:basedOn w:val="1"/>
    <w:qFormat/>
    <w:uiPriority w:val="34"/>
    <w:pPr>
      <w:spacing w:before="100" w:beforeAutospacing="1" w:after="100" w:afterAutospacing="1" w:line="300" w:lineRule="auto"/>
      <w:ind w:firstLine="420" w:firstLineChars="200"/>
    </w:pPr>
  </w:style>
  <w:style w:type="paragraph" w:customStyle="1" w:styleId="124">
    <w:name w:val="内文正文"/>
    <w:uiPriority w:val="0"/>
    <w:pPr>
      <w:autoSpaceDE w:val="0"/>
      <w:autoSpaceDN w:val="0"/>
      <w:spacing w:line="400" w:lineRule="exact"/>
      <w:ind w:firstLine="200" w:firstLineChars="200"/>
      <w:jc w:val="both"/>
      <w:textAlignment w:val="bottom"/>
    </w:pPr>
    <w:rPr>
      <w:rFonts w:ascii="宋体" w:hAnsi="???|CS?o｡ﾀ?" w:eastAsia="宋体" w:cs="Times New Roman"/>
      <w:kern w:val="0"/>
      <w:sz w:val="21"/>
      <w:szCs w:val="20"/>
      <w:lang w:val="en-US" w:eastAsia="zh-CN" w:bidi="ar-SA"/>
    </w:rPr>
  </w:style>
  <w:style w:type="paragraph" w:customStyle="1" w:styleId="125">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character" w:customStyle="1" w:styleId="126">
    <w:name w:val="样式 样式1 + 首行缩进:  2 字符 Char"/>
    <w:link w:val="127"/>
    <w:uiPriority w:val="0"/>
    <w:rPr>
      <w:rFonts w:ascii="Arial" w:hAnsi="Arial" w:eastAsiaTheme="minorEastAsia" w:cstheme="minorBidi"/>
      <w:kern w:val="2"/>
      <w:sz w:val="24"/>
      <w:szCs w:val="22"/>
      <w:lang w:val="en-US" w:eastAsia="zh-CN" w:bidi="ar-SA"/>
    </w:rPr>
  </w:style>
  <w:style w:type="paragraph" w:customStyle="1" w:styleId="127">
    <w:name w:val="样式 样式1 + 首行缩进:  2 字符"/>
    <w:basedOn w:val="94"/>
    <w:link w:val="126"/>
    <w:uiPriority w:val="0"/>
    <w:pPr>
      <w:spacing w:line="360" w:lineRule="exact"/>
      <w:ind w:firstLine="420" w:firstLineChars="200"/>
      <w:jc w:val="both"/>
    </w:pPr>
    <w:rPr>
      <w:rFonts w:ascii="Arial" w:hAnsi="Arial" w:eastAsiaTheme="minorEastAsia" w:cstheme="minorBidi"/>
      <w:sz w:val="24"/>
      <w:szCs w:val="22"/>
    </w:rPr>
  </w:style>
  <w:style w:type="paragraph" w:customStyle="1" w:styleId="128">
    <w:name w:val="样式 标题 1 + (符号) Arial 三号"/>
    <w:basedOn w:val="2"/>
    <w:uiPriority w:val="0"/>
    <w:pPr>
      <w:snapToGrid w:val="0"/>
      <w:spacing w:before="0" w:after="0" w:line="360" w:lineRule="auto"/>
    </w:pPr>
    <w:rPr>
      <w:sz w:val="32"/>
    </w:rPr>
  </w:style>
  <w:style w:type="paragraph" w:customStyle="1" w:styleId="129">
    <w:name w:val="列出段落1"/>
    <w:basedOn w:val="1"/>
    <w:uiPriority w:val="0"/>
    <w:pPr>
      <w:ind w:firstLine="420" w:firstLineChars="200"/>
    </w:pPr>
  </w:style>
  <w:style w:type="character" w:customStyle="1" w:styleId="130">
    <w:name w:val="Char Char14"/>
    <w:uiPriority w:val="0"/>
    <w:rPr>
      <w:rFonts w:ascii="宋体" w:hAnsi="Courier New" w:eastAsia="宋体" w:cs="Courier New"/>
      <w:kern w:val="2"/>
      <w:sz w:val="21"/>
      <w:szCs w:val="21"/>
      <w:lang w:val="en-US" w:eastAsia="zh-CN" w:bidi="ar-SA"/>
    </w:rPr>
  </w:style>
  <w:style w:type="paragraph" w:customStyle="1" w:styleId="131">
    <w:name w:val="_Style 5"/>
    <w:basedOn w:val="1"/>
    <w:next w:val="1"/>
    <w:uiPriority w:val="0"/>
    <w:rPr>
      <w:rFonts w:ascii="Times New Roman" w:hAnsi="Times New Roman"/>
      <w:szCs w:val="20"/>
    </w:rPr>
  </w:style>
  <w:style w:type="paragraph" w:customStyle="1" w:styleId="132">
    <w:name w:val="reader-word-layer"/>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33">
    <w:name w:val="!机场正文"/>
    <w:basedOn w:val="1"/>
    <w:qFormat/>
    <w:uiPriority w:val="0"/>
    <w:pPr>
      <w:spacing w:line="560" w:lineRule="exact"/>
      <w:ind w:firstLine="200" w:firstLineChars="200"/>
    </w:pPr>
    <w:rPr>
      <w:rFonts w:ascii="仿宋_GB2312" w:hAnsi="仿宋_GB2312" w:eastAsia="仿宋_GB2312"/>
      <w:sz w:val="32"/>
    </w:rPr>
  </w:style>
  <w:style w:type="character" w:customStyle="1" w:styleId="134">
    <w:name w:val="正文缩进 字符"/>
    <w:link w:val="9"/>
    <w:uiPriority w:val="0"/>
    <w:rPr>
      <w:rFonts w:ascii="宋体" w:hAnsi="Times New Roman" w:eastAsiaTheme="minorEastAsia" w:cstheme="minorBidi"/>
      <w:kern w:val="0"/>
      <w:sz w:val="34"/>
      <w:szCs w:val="20"/>
      <w:lang w:val="en-US" w:eastAsia="zh-CN" w:bidi="ar-SA"/>
    </w:rPr>
  </w:style>
  <w:style w:type="character" w:customStyle="1" w:styleId="135">
    <w:name w:val="批注主题 字符"/>
    <w:basedOn w:val="136"/>
    <w:link w:val="43"/>
    <w:semiHidden/>
    <w:qFormat/>
    <w:uiPriority w:val="0"/>
  </w:style>
  <w:style w:type="character" w:customStyle="1" w:styleId="136">
    <w:name w:val="批注文字 字符"/>
    <w:basedOn w:val="47"/>
    <w:link w:val="13"/>
    <w:semiHidden/>
    <w:qFormat/>
    <w:uiPriority w:val="99"/>
    <w:rPr>
      <w:rFonts w:asciiTheme="minorHAnsi" w:hAnsiTheme="minorHAnsi" w:eastAsiaTheme="minorEastAsia" w:cstheme="minorBidi"/>
      <w:kern w:val="2"/>
      <w:sz w:val="21"/>
      <w:szCs w:val="22"/>
      <w:lang w:val="en-US" w:eastAsia="zh-CN" w:bidi="ar-SA"/>
    </w:rPr>
  </w:style>
  <w:style w:type="character" w:customStyle="1" w:styleId="137">
    <w:name w:val="批注主题 Char1"/>
    <w:basedOn w:val="136"/>
    <w:semiHidden/>
    <w:uiPriority w:val="99"/>
    <w:rPr>
      <w:rFonts w:ascii="Calibri" w:hAnsi="Calibri" w:eastAsia="宋体" w:cs="Times New Roman"/>
      <w:b/>
      <w:bCs/>
    </w:rPr>
  </w:style>
  <w:style w:type="paragraph" w:customStyle="1" w:styleId="138">
    <w:name w:val="无间隔1"/>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39">
    <w:name w:val="正文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37</Pages>
  <Words>3624</Words>
  <Characters>20657</Characters>
  <Lines>172</Lines>
  <Paragraphs>48</Paragraphs>
  <TotalTime>0</TotalTime>
  <ScaleCrop>false</ScaleCrop>
  <LinksUpToDate>false</LinksUpToDate>
  <CharactersWithSpaces>24233</CharactersWithSpaces>
  <Application>WPS Office_11.8.2.8576_F1E327BC-269C-435d-A152-05C5408002CA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2019-08-24T01:36:00Z</dcterms:created>
  <dc:creator>周锦逸</dc:creator>
  <cp:lastModifiedBy>贾思勰</cp:lastModifiedBy>
  <dcterms:modified xsi:type="dcterms:W3CDTF">2019-09-04T13:33:11Z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2052-11.8.2.8576</vt:lpwstr>
  </property>
</Properties>
</file>