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eastAsia="黑体" w:cs="Calibri"/>
          <w:b/>
          <w:sz w:val="44"/>
          <w:szCs w:val="44"/>
        </w:rPr>
      </w:pPr>
      <w:bookmarkStart w:id="0" w:name="OLE_LINK1"/>
      <w:r>
        <w:rPr>
          <w:rFonts w:hint="eastAsia" w:ascii="黑体" w:hAnsi="黑体" w:eastAsia="黑体"/>
          <w:b/>
          <w:color w:val="000000" w:themeColor="text1"/>
          <w:sz w:val="44"/>
          <w:szCs w:val="44"/>
          <w14:textFill>
            <w14:solidFill>
              <w14:schemeClr w14:val="tx1"/>
            </w14:solidFill>
          </w14:textFill>
        </w:rPr>
        <w:t>浙江省机场集团有限公司</w:t>
      </w:r>
      <w:r>
        <w:rPr>
          <w:rFonts w:hint="eastAsia" w:ascii="黑体" w:hAnsi="黑体" w:eastAsia="黑体"/>
          <w:b/>
          <w:sz w:val="44"/>
          <w:szCs w:val="44"/>
        </w:rPr>
        <w:t>安检X射线机</w:t>
      </w:r>
      <w:r>
        <w:rPr>
          <w:rFonts w:hint="eastAsia" w:eastAsia="黑体" w:cs="Calibri"/>
          <w:b/>
          <w:sz w:val="44"/>
          <w:szCs w:val="44"/>
        </w:rPr>
        <w:t>采购项目</w:t>
      </w:r>
    </w:p>
    <w:bookmarkEnd w:id="0"/>
    <w:p>
      <w:pPr>
        <w:widowControl/>
        <w:autoSpaceDE w:val="0"/>
        <w:autoSpaceDN w:val="0"/>
        <w:jc w:val="center"/>
        <w:textAlignment w:val="bottom"/>
        <w:rPr>
          <w:rFonts w:hint="eastAsia" w:eastAsia="黑体" w:cs="Calibri"/>
          <w:b/>
          <w:sz w:val="44"/>
          <w:szCs w:val="44"/>
          <w:lang w:eastAsia="zh-CN"/>
        </w:rPr>
      </w:pPr>
      <w:r>
        <w:rPr>
          <w:rFonts w:hint="eastAsia" w:eastAsia="黑体" w:cs="Calibri"/>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color w:val="000000" w:themeColor="text1"/>
          <w:sz w:val="32"/>
          <w:szCs w:val="32"/>
          <w14:textFill>
            <w14:solidFill>
              <w14:schemeClr w14:val="tx1"/>
            </w14:solidFill>
          </w14:textFill>
        </w:rPr>
        <w:t>浙江省机场集团有限公司</w:t>
      </w: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tabs>
          <w:tab w:val="center" w:pos="4150"/>
          <w:tab w:val="left" w:pos="7575"/>
        </w:tabs>
        <w:spacing w:line="560" w:lineRule="exact"/>
        <w:jc w:val="left"/>
        <w:rPr>
          <w:b/>
          <w:bCs/>
          <w:sz w:val="44"/>
          <w:szCs w:val="44"/>
        </w:rPr>
      </w:pPr>
      <w:r>
        <w:rPr>
          <w:b/>
          <w:bCs/>
          <w:sz w:val="44"/>
          <w:szCs w:val="44"/>
        </w:rPr>
        <w:br w:type="page"/>
      </w:r>
      <w:r>
        <w:rPr>
          <w:b/>
          <w:bCs/>
          <w:sz w:val="44"/>
          <w:szCs w:val="44"/>
        </w:rPr>
        <w:tab/>
      </w:r>
      <w:r>
        <w:rPr>
          <w:rFonts w:hint="eastAsia"/>
          <w:b/>
          <w:bCs/>
          <w:sz w:val="44"/>
          <w:szCs w:val="44"/>
        </w:rPr>
        <w:t>目录</w:t>
      </w:r>
      <w:r>
        <w:rPr>
          <w:b/>
          <w:bCs/>
          <w:sz w:val="44"/>
          <w:szCs w:val="44"/>
        </w:rPr>
        <w:tab/>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5</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31</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47</w:t>
      </w:r>
      <w:r>
        <w:rPr>
          <w:rFonts w:ascii="黑体" w:hAnsi="黑体" w:eastAsia="黑体"/>
          <w:sz w:val="22"/>
          <w:szCs w:val="22"/>
        </w:rPr>
        <w:t xml:space="preserve">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50</w:t>
      </w:r>
      <w:r>
        <w:rPr>
          <w:rFonts w:ascii="黑体" w:hAnsi="黑体" w:eastAsia="黑体"/>
          <w:sz w:val="22"/>
          <w:szCs w:val="22"/>
        </w:rPr>
        <w:t xml:space="preserve">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51"/>
      </w:pPr>
      <w:bookmarkStart w:id="1" w:name="_Toc321925451"/>
      <w:r>
        <w:rPr>
          <w:rFonts w:hint="eastAsia"/>
        </w:rPr>
        <w:t>第一章招标公告</w:t>
      </w:r>
      <w:bookmarkEnd w:id="1"/>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429" w:name="_GoBack"/>
      <w:bookmarkStart w:id="2" w:name="OLE_LINK2"/>
      <w:r>
        <w:rPr>
          <w:rFonts w:hint="eastAsia" w:cs="Arial" w:asciiTheme="minorEastAsia" w:hAnsiTheme="minorEastAsia"/>
          <w:b/>
          <w:bCs/>
          <w:kern w:val="0"/>
          <w:sz w:val="22"/>
          <w:szCs w:val="22"/>
        </w:rPr>
        <w:t>一、招标内容</w:t>
      </w:r>
    </w:p>
    <w:p>
      <w:pPr>
        <w:widowControl/>
        <w:adjustRightInd/>
        <w:snapToGrid w:val="0"/>
        <w:spacing w:line="340" w:lineRule="exact"/>
        <w:ind w:firstLine="440" w:firstLineChars="200"/>
        <w:jc w:val="left"/>
        <w:rPr>
          <w:rFonts w:hint="eastAsia" w:cs="Calibri" w:asciiTheme="minorEastAsia" w:hAnsiTheme="minorEastAsia"/>
          <w:snapToGrid w:val="0"/>
          <w:kern w:val="0"/>
          <w:sz w:val="22"/>
        </w:rPr>
      </w:pPr>
      <w:r>
        <w:rPr>
          <w:rFonts w:hint="eastAsia" w:cs="Arial" w:asciiTheme="minorEastAsia" w:hAnsiTheme="minorEastAsia"/>
          <w:kern w:val="0"/>
          <w:sz w:val="22"/>
          <w:szCs w:val="22"/>
        </w:rPr>
        <w:t>浙江省机场集团有限公司受</w:t>
      </w:r>
      <w:r>
        <w:rPr>
          <w:rFonts w:hint="eastAsia" w:asciiTheme="minorEastAsia" w:hAnsiTheme="minorEastAsia"/>
          <w:sz w:val="22"/>
          <w:szCs w:val="22"/>
        </w:rPr>
        <w:t>杭州萧山国际机场有限公司、</w:t>
      </w:r>
      <w:bookmarkStart w:id="3" w:name="_Hlk10540504"/>
      <w:r>
        <w:rPr>
          <w:rFonts w:hint="eastAsia" w:asciiTheme="minorEastAsia" w:hAnsiTheme="minorEastAsia"/>
          <w:sz w:val="22"/>
          <w:szCs w:val="22"/>
        </w:rPr>
        <w:t>义乌</w:t>
      </w:r>
      <w:bookmarkEnd w:id="3"/>
      <w:r>
        <w:rPr>
          <w:rFonts w:hint="eastAsia" w:asciiTheme="minorEastAsia" w:hAnsiTheme="minorEastAsia"/>
          <w:sz w:val="22"/>
          <w:szCs w:val="22"/>
        </w:rPr>
        <w:t>民用航空站的委托，</w:t>
      </w:r>
      <w:r>
        <w:rPr>
          <w:rFonts w:hint="eastAsia" w:cs="Arial" w:asciiTheme="minorEastAsia" w:hAnsiTheme="minorEastAsia"/>
          <w:kern w:val="0"/>
          <w:sz w:val="22"/>
          <w:szCs w:val="22"/>
        </w:rPr>
        <w:t>就安检X射线机</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bookmarkStart w:id="4" w:name="_Hlk10540538"/>
      <w:r>
        <w:rPr>
          <w:rFonts w:hint="eastAsia" w:cs="Calibri" w:asciiTheme="minorEastAsia" w:hAnsiTheme="minorEastAsia"/>
          <w:snapToGrid w:val="0"/>
          <w:kern w:val="0"/>
          <w:sz w:val="22"/>
        </w:rPr>
        <w:t>确定中标人后，各个机场分别与中标人签署合同，并分别组织供货、安装、验收。</w:t>
      </w:r>
      <w:bookmarkEnd w:id="4"/>
    </w:p>
    <w:p>
      <w:pPr>
        <w:widowControl/>
        <w:adjustRightInd/>
        <w:snapToGrid w:val="0"/>
        <w:spacing w:line="340" w:lineRule="exact"/>
        <w:ind w:firstLine="442" w:firstLineChars="200"/>
        <w:jc w:val="left"/>
        <w:rPr>
          <w:rFonts w:ascii="Arial" w:hAnsi="Arial" w:cs="Arial"/>
          <w:bCs/>
          <w:kern w:val="0"/>
          <w:sz w:val="22"/>
          <w:szCs w:val="24"/>
        </w:rPr>
      </w:pPr>
      <w:r>
        <w:rPr>
          <w:rFonts w:hint="eastAsia"/>
          <w:b/>
          <w:sz w:val="22"/>
        </w:rPr>
        <w:t>每个标项独立封套，不可多个标项混装。</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10028" w:type="dxa"/>
        <w:jc w:val="center"/>
        <w:tblInd w:w="20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92"/>
        <w:gridCol w:w="992"/>
        <w:gridCol w:w="1716"/>
        <w:gridCol w:w="2442"/>
        <w:gridCol w:w="134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6" w:type="dxa"/>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标项</w:t>
            </w:r>
          </w:p>
        </w:tc>
        <w:tc>
          <w:tcPr>
            <w:tcW w:w="12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1716"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c>
          <w:tcPr>
            <w:tcW w:w="1340" w:type="dxa"/>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采购主体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6" w:type="dxa"/>
            <w:vMerge w:val="restart"/>
            <w:vAlign w:val="center"/>
          </w:tcPr>
          <w:p>
            <w:pPr>
              <w:snapToGrid w:val="0"/>
              <w:jc w:val="center"/>
              <w:rPr>
                <w:color w:val="000000"/>
              </w:rPr>
            </w:pPr>
            <w:r>
              <w:rPr>
                <w:rFonts w:hint="eastAsia"/>
                <w:color w:val="000000"/>
              </w:rPr>
              <w:t>标项1</w:t>
            </w:r>
          </w:p>
        </w:tc>
        <w:tc>
          <w:tcPr>
            <w:tcW w:w="1292" w:type="dxa"/>
            <w:vAlign w:val="center"/>
          </w:tcPr>
          <w:p>
            <w:pPr>
              <w:snapToGrid w:val="0"/>
              <w:jc w:val="center"/>
              <w:rPr>
                <w:rFonts w:asciiTheme="minorEastAsia" w:hAnsiTheme="minorEastAsia"/>
                <w:sz w:val="22"/>
                <w:szCs w:val="22"/>
              </w:rPr>
            </w:pPr>
            <w:r>
              <w:rPr>
                <w:rFonts w:hint="eastAsia"/>
                <w:color w:val="000000"/>
              </w:rPr>
              <w:t>双视角手提行李X射线机</w:t>
            </w:r>
          </w:p>
        </w:tc>
        <w:tc>
          <w:tcPr>
            <w:tcW w:w="992" w:type="dxa"/>
            <w:vAlign w:val="center"/>
          </w:tcPr>
          <w:p>
            <w:pPr>
              <w:snapToGrid w:val="0"/>
              <w:jc w:val="center"/>
              <w:rPr>
                <w:rFonts w:asciiTheme="minorEastAsia" w:hAnsiTheme="minorEastAsia"/>
                <w:sz w:val="22"/>
                <w:szCs w:val="22"/>
              </w:rPr>
            </w:pPr>
            <w:r>
              <w:rPr>
                <w:rFonts w:hint="eastAsia"/>
                <w:bCs/>
                <w:color w:val="000000"/>
              </w:rPr>
              <w:t>6台</w:t>
            </w:r>
          </w:p>
        </w:tc>
        <w:tc>
          <w:tcPr>
            <w:tcW w:w="1716" w:type="dxa"/>
            <w:vAlign w:val="center"/>
          </w:tcPr>
          <w:p>
            <w:pPr>
              <w:pStyle w:val="13"/>
              <w:snapToGrid w:val="0"/>
              <w:jc w:val="center"/>
              <w:rPr>
                <w:rFonts w:asciiTheme="minorEastAsia" w:hAnsiTheme="minorEastAsia"/>
                <w:sz w:val="22"/>
                <w:szCs w:val="22"/>
              </w:rPr>
            </w:pPr>
            <w:r>
              <w:rPr>
                <w:rFonts w:hint="eastAsia" w:ascii="Arial" w:hAnsi="Arial" w:cs="Arial"/>
                <w:color w:val="000000"/>
                <w:kern w:val="0"/>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6" w:type="dxa"/>
            <w:vMerge w:val="continue"/>
          </w:tcPr>
          <w:p>
            <w:pPr>
              <w:snapToGrid w:val="0"/>
              <w:jc w:val="center"/>
              <w:rPr>
                <w:sz w:val="22"/>
              </w:rPr>
            </w:pPr>
          </w:p>
        </w:tc>
        <w:tc>
          <w:tcPr>
            <w:tcW w:w="1292" w:type="dxa"/>
            <w:vAlign w:val="center"/>
          </w:tcPr>
          <w:p>
            <w:pPr>
              <w:snapToGrid w:val="0"/>
              <w:jc w:val="center"/>
              <w:rPr>
                <w:color w:val="000000"/>
              </w:rPr>
            </w:pPr>
            <w:r>
              <w:rPr>
                <w:rFonts w:hint="eastAsia"/>
                <w:sz w:val="22"/>
              </w:rPr>
              <w:t>旅客行李</w:t>
            </w:r>
            <w:r>
              <w:rPr>
                <w:sz w:val="22"/>
              </w:rPr>
              <w:t>X</w:t>
            </w:r>
            <w:r>
              <w:rPr>
                <w:rFonts w:hint="eastAsia"/>
                <w:sz w:val="22"/>
              </w:rPr>
              <w:t>射线机验收测试箱</w:t>
            </w:r>
          </w:p>
        </w:tc>
        <w:tc>
          <w:tcPr>
            <w:tcW w:w="992" w:type="dxa"/>
            <w:vAlign w:val="center"/>
          </w:tcPr>
          <w:p>
            <w:pPr>
              <w:snapToGrid w:val="0"/>
              <w:jc w:val="center"/>
              <w:rPr>
                <w:bCs/>
                <w:color w:val="000000"/>
              </w:rPr>
            </w:pPr>
            <w:r>
              <w:rPr>
                <w:rFonts w:hint="eastAsia"/>
                <w:bCs/>
                <w:color w:val="000000"/>
              </w:rPr>
              <w:t>1套</w:t>
            </w:r>
          </w:p>
        </w:tc>
        <w:tc>
          <w:tcPr>
            <w:tcW w:w="1716" w:type="dxa"/>
            <w:vAlign w:val="center"/>
          </w:tcPr>
          <w:p>
            <w:pPr>
              <w:pStyle w:val="13"/>
              <w:snapToGrid w:val="0"/>
              <w:jc w:val="center"/>
              <w:rPr>
                <w:rFonts w:ascii="Arial" w:hAnsi="Arial" w:cs="Arial"/>
                <w:color w:val="000000"/>
                <w:kern w:val="0"/>
              </w:rPr>
            </w:pP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6" w:type="dxa"/>
            <w:vMerge w:val="continue"/>
          </w:tcPr>
          <w:p>
            <w:pPr>
              <w:snapToGrid w:val="0"/>
              <w:jc w:val="center"/>
              <w:rPr>
                <w:color w:val="000000"/>
              </w:rPr>
            </w:pPr>
          </w:p>
        </w:tc>
        <w:tc>
          <w:tcPr>
            <w:tcW w:w="1292" w:type="dxa"/>
            <w:vAlign w:val="center"/>
          </w:tcPr>
          <w:p>
            <w:pPr>
              <w:snapToGrid w:val="0"/>
              <w:jc w:val="center"/>
              <w:rPr>
                <w:color w:val="000000"/>
              </w:rPr>
            </w:pPr>
            <w:r>
              <w:rPr>
                <w:rFonts w:hint="eastAsia"/>
                <w:color w:val="000000"/>
              </w:rPr>
              <w:t>双视角手提行李X射线机</w:t>
            </w:r>
          </w:p>
        </w:tc>
        <w:tc>
          <w:tcPr>
            <w:tcW w:w="992" w:type="dxa"/>
            <w:vAlign w:val="center"/>
          </w:tcPr>
          <w:p>
            <w:pPr>
              <w:snapToGrid w:val="0"/>
              <w:jc w:val="center"/>
              <w:rPr>
                <w:bCs/>
                <w:color w:val="000000"/>
              </w:rPr>
            </w:pPr>
            <w:r>
              <w:rPr>
                <w:rFonts w:hint="eastAsia"/>
                <w:bCs/>
                <w:color w:val="000000"/>
              </w:rPr>
              <w:t>3台</w:t>
            </w:r>
          </w:p>
        </w:tc>
        <w:tc>
          <w:tcPr>
            <w:tcW w:w="1716" w:type="dxa"/>
            <w:vAlign w:val="center"/>
          </w:tcPr>
          <w:p>
            <w:pPr>
              <w:pStyle w:val="13"/>
              <w:snapToGrid w:val="0"/>
              <w:jc w:val="center"/>
              <w:rPr>
                <w:rFonts w:ascii="Arial" w:hAnsi="Arial" w:cs="Arial"/>
                <w:color w:val="000000"/>
                <w:kern w:val="0"/>
              </w:rPr>
            </w:pPr>
            <w:r>
              <w:rPr>
                <w:rFonts w:hint="eastAsia" w:ascii="Arial" w:hAnsi="Arial" w:cs="Arial"/>
                <w:color w:val="000000"/>
                <w:kern w:val="0"/>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义乌机场</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义乌民用航空站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6" w:type="dxa"/>
            <w:vMerge w:val="continue"/>
          </w:tcPr>
          <w:p>
            <w:pPr>
              <w:snapToGrid w:val="0"/>
              <w:jc w:val="center"/>
              <w:rPr>
                <w:color w:val="000000"/>
              </w:rPr>
            </w:pPr>
          </w:p>
        </w:tc>
        <w:tc>
          <w:tcPr>
            <w:tcW w:w="1292" w:type="dxa"/>
            <w:vAlign w:val="center"/>
          </w:tcPr>
          <w:p>
            <w:pPr>
              <w:snapToGrid w:val="0"/>
              <w:jc w:val="center"/>
              <w:rPr>
                <w:color w:val="000000"/>
              </w:rPr>
            </w:pPr>
            <w:r>
              <w:rPr>
                <w:rFonts w:hint="eastAsia"/>
                <w:color w:val="000000"/>
              </w:rPr>
              <w:t>双视角超规行李X射线机</w:t>
            </w:r>
          </w:p>
        </w:tc>
        <w:tc>
          <w:tcPr>
            <w:tcW w:w="992" w:type="dxa"/>
            <w:vAlign w:val="center"/>
          </w:tcPr>
          <w:p>
            <w:pPr>
              <w:snapToGrid w:val="0"/>
              <w:jc w:val="center"/>
              <w:rPr>
                <w:bCs/>
                <w:color w:val="000000"/>
              </w:rPr>
            </w:pPr>
            <w:r>
              <w:rPr>
                <w:rFonts w:hint="eastAsia"/>
                <w:bCs/>
                <w:color w:val="000000"/>
              </w:rPr>
              <w:t>1台</w:t>
            </w:r>
          </w:p>
        </w:tc>
        <w:tc>
          <w:tcPr>
            <w:tcW w:w="1716" w:type="dxa"/>
            <w:vAlign w:val="center"/>
          </w:tcPr>
          <w:p>
            <w:pPr>
              <w:pStyle w:val="13"/>
              <w:snapToGrid w:val="0"/>
              <w:jc w:val="center"/>
              <w:rPr>
                <w:rFonts w:ascii="Arial" w:hAnsi="Arial" w:cs="Arial"/>
                <w:color w:val="000000"/>
                <w:kern w:val="0"/>
              </w:rPr>
            </w:pPr>
            <w:r>
              <w:rPr>
                <w:rFonts w:hint="eastAsia" w:ascii="Arial" w:hAnsi="Arial" w:cs="Arial"/>
                <w:color w:val="000000"/>
                <w:kern w:val="0"/>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义乌机场</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义乌民用航空站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6" w:type="dxa"/>
            <w:vMerge w:val="continue"/>
          </w:tcPr>
          <w:p>
            <w:pPr>
              <w:snapToGrid w:val="0"/>
              <w:jc w:val="center"/>
              <w:rPr>
                <w:color w:val="000000"/>
              </w:rPr>
            </w:pPr>
          </w:p>
        </w:tc>
        <w:tc>
          <w:tcPr>
            <w:tcW w:w="1292" w:type="dxa"/>
            <w:vAlign w:val="center"/>
          </w:tcPr>
          <w:p>
            <w:pPr>
              <w:snapToGrid w:val="0"/>
              <w:jc w:val="center"/>
              <w:rPr>
                <w:color w:val="000000"/>
              </w:rPr>
            </w:pPr>
            <w:r>
              <w:rPr>
                <w:rFonts w:hint="eastAsia"/>
                <w:color w:val="000000"/>
              </w:rPr>
              <w:t>端接平台</w:t>
            </w:r>
          </w:p>
        </w:tc>
        <w:tc>
          <w:tcPr>
            <w:tcW w:w="992" w:type="dxa"/>
            <w:vAlign w:val="center"/>
          </w:tcPr>
          <w:p>
            <w:pPr>
              <w:snapToGrid w:val="0"/>
              <w:jc w:val="center"/>
              <w:rPr>
                <w:bCs/>
                <w:color w:val="000000"/>
              </w:rPr>
            </w:pPr>
            <w:r>
              <w:rPr>
                <w:rFonts w:hint="eastAsia"/>
                <w:bCs/>
                <w:color w:val="000000"/>
              </w:rPr>
              <w:t>8套</w:t>
            </w:r>
          </w:p>
        </w:tc>
        <w:tc>
          <w:tcPr>
            <w:tcW w:w="1716" w:type="dxa"/>
            <w:vAlign w:val="center"/>
          </w:tcPr>
          <w:p>
            <w:pPr>
              <w:pStyle w:val="13"/>
              <w:snapToGrid w:val="0"/>
              <w:jc w:val="center"/>
              <w:rPr>
                <w:rFonts w:ascii="Arial" w:hAnsi="Arial" w:cs="Arial"/>
                <w:color w:val="000000"/>
                <w:kern w:val="0"/>
              </w:rPr>
            </w:pPr>
            <w:r>
              <w:rPr>
                <w:rFonts w:hint="eastAsia" w:ascii="Arial" w:hAnsi="Arial" w:cs="Arial"/>
                <w:color w:val="000000"/>
                <w:kern w:val="0"/>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义乌机场</w:t>
            </w:r>
          </w:p>
        </w:tc>
        <w:tc>
          <w:tcPr>
            <w:tcW w:w="1340" w:type="dxa"/>
          </w:tcPr>
          <w:p>
            <w:pPr>
              <w:adjustRightInd w:val="0"/>
              <w:snapToGrid w:val="0"/>
              <w:jc w:val="center"/>
              <w:rPr>
                <w:rFonts w:asciiTheme="minorEastAsia" w:hAnsiTheme="minorEastAsia"/>
                <w:sz w:val="22"/>
                <w:szCs w:val="22"/>
              </w:rPr>
            </w:pPr>
            <w:r>
              <w:rPr>
                <w:rFonts w:hint="eastAsia" w:asciiTheme="minorEastAsia" w:hAnsiTheme="minorEastAsia"/>
                <w:sz w:val="22"/>
                <w:szCs w:val="22"/>
              </w:rPr>
              <w:t>义乌民用航空站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6" w:type="dxa"/>
            <w:vMerge w:val="continue"/>
          </w:tcPr>
          <w:p>
            <w:pPr>
              <w:snapToGrid w:val="0"/>
              <w:jc w:val="center"/>
              <w:rPr>
                <w:color w:val="000000"/>
              </w:rPr>
            </w:pPr>
          </w:p>
        </w:tc>
        <w:tc>
          <w:tcPr>
            <w:tcW w:w="1292" w:type="dxa"/>
            <w:vAlign w:val="center"/>
          </w:tcPr>
          <w:p>
            <w:pPr>
              <w:snapToGrid w:val="0"/>
              <w:jc w:val="center"/>
              <w:rPr>
                <w:color w:val="000000"/>
              </w:rPr>
            </w:pPr>
            <w:r>
              <w:rPr>
                <w:rFonts w:hint="eastAsia"/>
                <w:color w:val="000000"/>
              </w:rPr>
              <w:t>北京工厂培训</w:t>
            </w:r>
          </w:p>
        </w:tc>
        <w:tc>
          <w:tcPr>
            <w:tcW w:w="992" w:type="dxa"/>
            <w:vAlign w:val="center"/>
          </w:tcPr>
          <w:p>
            <w:pPr>
              <w:snapToGrid w:val="0"/>
              <w:jc w:val="center"/>
              <w:rPr>
                <w:bCs/>
                <w:color w:val="000000"/>
              </w:rPr>
            </w:pPr>
            <w:r>
              <w:rPr>
                <w:rFonts w:hint="eastAsia"/>
                <w:bCs/>
                <w:color w:val="000000"/>
              </w:rPr>
              <w:t>2人</w:t>
            </w:r>
          </w:p>
        </w:tc>
        <w:tc>
          <w:tcPr>
            <w:tcW w:w="1716" w:type="dxa"/>
            <w:vAlign w:val="center"/>
          </w:tcPr>
          <w:p>
            <w:pPr>
              <w:pStyle w:val="13"/>
              <w:snapToGrid w:val="0"/>
              <w:jc w:val="center"/>
              <w:rPr>
                <w:rFonts w:ascii="Arial" w:hAnsi="Arial" w:cs="Arial"/>
                <w:color w:val="000000"/>
                <w:kern w:val="0"/>
              </w:rPr>
            </w:pPr>
          </w:p>
        </w:tc>
        <w:tc>
          <w:tcPr>
            <w:tcW w:w="2442" w:type="dxa"/>
            <w:vAlign w:val="center"/>
          </w:tcPr>
          <w:p>
            <w:pPr>
              <w:adjustRightInd w:val="0"/>
              <w:snapToGrid w:val="0"/>
              <w:jc w:val="center"/>
              <w:rPr>
                <w:rFonts w:asciiTheme="minorEastAsia" w:hAnsiTheme="minorEastAsia"/>
                <w:sz w:val="22"/>
                <w:szCs w:val="22"/>
              </w:rPr>
            </w:pP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义乌机场</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义乌民用航空站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6" w:type="dxa"/>
            <w:vMerge w:val="restart"/>
            <w:vAlign w:val="center"/>
          </w:tcPr>
          <w:p>
            <w:pPr>
              <w:snapToGrid w:val="0"/>
              <w:jc w:val="center"/>
              <w:rPr>
                <w:color w:val="000000"/>
              </w:rPr>
            </w:pPr>
            <w:r>
              <w:rPr>
                <w:rFonts w:hint="eastAsia"/>
                <w:color w:val="000000"/>
              </w:rPr>
              <w:t>标项2</w:t>
            </w:r>
          </w:p>
        </w:tc>
        <w:tc>
          <w:tcPr>
            <w:tcW w:w="1292" w:type="dxa"/>
            <w:vAlign w:val="center"/>
          </w:tcPr>
          <w:p>
            <w:pPr>
              <w:snapToGrid w:val="0"/>
              <w:jc w:val="center"/>
              <w:rPr>
                <w:color w:val="000000"/>
              </w:rPr>
            </w:pPr>
            <w:r>
              <w:rPr>
                <w:rFonts w:hint="eastAsia"/>
                <w:color w:val="000000"/>
              </w:rPr>
              <w:t>货运双视角X射线机</w:t>
            </w:r>
          </w:p>
        </w:tc>
        <w:tc>
          <w:tcPr>
            <w:tcW w:w="992" w:type="dxa"/>
            <w:vAlign w:val="center"/>
          </w:tcPr>
          <w:p>
            <w:pPr>
              <w:snapToGrid w:val="0"/>
              <w:jc w:val="center"/>
              <w:rPr>
                <w:bCs/>
                <w:color w:val="000000"/>
              </w:rPr>
            </w:pPr>
            <w:r>
              <w:rPr>
                <w:rFonts w:hint="eastAsia"/>
                <w:bCs/>
                <w:color w:val="000000"/>
              </w:rPr>
              <w:t>2</w:t>
            </w:r>
          </w:p>
        </w:tc>
        <w:tc>
          <w:tcPr>
            <w:tcW w:w="1716" w:type="dxa"/>
            <w:vAlign w:val="center"/>
          </w:tcPr>
          <w:p>
            <w:pPr>
              <w:pStyle w:val="13"/>
              <w:snapToGrid w:val="0"/>
              <w:jc w:val="center"/>
              <w:rPr>
                <w:rFonts w:ascii="Arial" w:hAnsi="Arial" w:cs="Arial"/>
                <w:color w:val="000000"/>
                <w:kern w:val="0"/>
              </w:rPr>
            </w:pPr>
            <w:r>
              <w:rPr>
                <w:rFonts w:hint="eastAsia" w:ascii="Arial" w:hAnsi="Arial" w:cs="Arial"/>
                <w:color w:val="000000"/>
                <w:kern w:val="0"/>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杭州萧山国际机场</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杭州萧山国际机场有限公司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06" w:type="dxa"/>
            <w:vMerge w:val="continue"/>
          </w:tcPr>
          <w:p>
            <w:pPr>
              <w:snapToGrid w:val="0"/>
              <w:jc w:val="center"/>
              <w:rPr>
                <w:color w:val="000000"/>
              </w:rPr>
            </w:pPr>
          </w:p>
        </w:tc>
        <w:tc>
          <w:tcPr>
            <w:tcW w:w="1292" w:type="dxa"/>
            <w:vAlign w:val="center"/>
          </w:tcPr>
          <w:p>
            <w:pPr>
              <w:snapToGrid w:val="0"/>
              <w:jc w:val="center"/>
              <w:rPr>
                <w:color w:val="000000"/>
              </w:rPr>
            </w:pPr>
            <w:r>
              <w:rPr>
                <w:rFonts w:hint="eastAsia"/>
                <w:color w:val="000000"/>
              </w:rPr>
              <w:t>前端动力平台</w:t>
            </w:r>
          </w:p>
        </w:tc>
        <w:tc>
          <w:tcPr>
            <w:tcW w:w="992" w:type="dxa"/>
            <w:vAlign w:val="center"/>
          </w:tcPr>
          <w:p>
            <w:pPr>
              <w:snapToGrid w:val="0"/>
              <w:jc w:val="center"/>
              <w:rPr>
                <w:bCs/>
                <w:color w:val="000000"/>
              </w:rPr>
            </w:pPr>
            <w:r>
              <w:rPr>
                <w:rFonts w:hint="eastAsia"/>
                <w:bCs/>
                <w:color w:val="000000"/>
              </w:rPr>
              <w:t>2</w:t>
            </w:r>
          </w:p>
        </w:tc>
        <w:tc>
          <w:tcPr>
            <w:tcW w:w="1716" w:type="dxa"/>
            <w:vAlign w:val="center"/>
          </w:tcPr>
          <w:p>
            <w:pPr>
              <w:pStyle w:val="13"/>
              <w:snapToGrid w:val="0"/>
              <w:jc w:val="center"/>
              <w:rPr>
                <w:rFonts w:ascii="Arial" w:hAnsi="Arial" w:cs="Arial"/>
                <w:color w:val="000000"/>
                <w:kern w:val="0"/>
              </w:rPr>
            </w:pPr>
            <w:r>
              <w:rPr>
                <w:rFonts w:hint="eastAsia" w:ascii="Arial" w:hAnsi="Arial" w:cs="Arial"/>
                <w:color w:val="000000"/>
                <w:kern w:val="0"/>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杭州萧山国际机场</w:t>
            </w:r>
          </w:p>
        </w:tc>
        <w:tc>
          <w:tcPr>
            <w:tcW w:w="1340"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杭州萧山国际机场有限公司</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1、具有独立法人资格的制造商或代理商，注册资金不少于人民币500万元或等值外币(按投标截止日中国人民银行公布的汇率中间价换算)，需提供营业执照复印件并加盖投标人公章作为证明材料，原件备查。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6、近三年（2016年1月1日起至投标截止日止）具有投标产品的供货业绩，需提供中标通知书或合同复印件并加盖投标人公章作为证明材料，原件备查。</w:t>
      </w:r>
    </w:p>
    <w:p>
      <w:pPr>
        <w:widowControl/>
        <w:snapToGrid w:val="0"/>
        <w:spacing w:line="340" w:lineRule="exact"/>
        <w:jc w:val="left"/>
        <w:rPr>
          <w:rFonts w:cs="Arial" w:asciiTheme="minorEastAsia" w:hAnsiTheme="minorEastAsia"/>
          <w:kern w:val="0"/>
          <w:sz w:val="22"/>
          <w:szCs w:val="22"/>
        </w:rPr>
      </w:pPr>
      <w:r>
        <w:rPr>
          <w:rFonts w:hint="eastAsia" w:cs="Arial" w:asciiTheme="minorEastAsia" w:hAnsiTheme="minorEastAsia"/>
          <w:kern w:val="0"/>
          <w:sz w:val="22"/>
          <w:szCs w:val="22"/>
        </w:rPr>
        <w:t>7、本项目不接受联合体投标。</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凡符合资格条件并有投标意向的潜在投标人，请通过浙江省机场集团有限公司主页http://www.zjsairport.com/notice.html自行下载招标文件。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w:t>
      </w:r>
      <w:r>
        <w:rPr>
          <w:rFonts w:hint="eastAsia" w:ascii="宋体" w:hAnsi="宋体" w:cs="Arial"/>
          <w:kern w:val="0"/>
          <w:sz w:val="22"/>
          <w:lang w:eastAsia="zh-CN"/>
        </w:rPr>
        <w:t>2019年9月26日下午14时00分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2019年9月26日下午14时00分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2019年9月26日下午14时00分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color w:val="000000" w:themeColor="text1"/>
          <w:kern w:val="0"/>
          <w:sz w:val="22"/>
          <w14:textFill>
            <w14:solidFill>
              <w14:schemeClr w14:val="tx1"/>
            </w14:solidFill>
          </w14:textFill>
        </w:rPr>
        <w:t>中国采购与招标网和浙江省机场集团有限公司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浙江省机场集团有限公司主页http://www.zjszairport.com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0571-83837612</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 xml:space="preserve">招标监督人：刘闻捷          联系电话： </w:t>
      </w:r>
      <w:r>
        <w:rPr>
          <w:rFonts w:asciiTheme="minorEastAsia" w:hAnsiTheme="minorEastAsia"/>
          <w:bCs/>
          <w:sz w:val="22"/>
          <w:szCs w:val="22"/>
        </w:rPr>
        <w:t>0571-8666</w:t>
      </w:r>
      <w:r>
        <w:rPr>
          <w:rFonts w:hint="eastAsia" w:asciiTheme="minorEastAsia" w:hAnsiTheme="minorEastAsia"/>
          <w:bCs/>
          <w:sz w:val="22"/>
          <w:szCs w:val="22"/>
        </w:rPr>
        <w:t>2134</w:t>
      </w:r>
      <w:bookmarkEnd w:id="429"/>
    </w:p>
    <w:bookmarkEnd w:id="2"/>
    <w:p>
      <w:pPr>
        <w:pStyle w:val="51"/>
        <w:rPr>
          <w:rFonts w:asciiTheme="minorEastAsia" w:hAnsiTheme="minorEastAsia"/>
          <w:bCs w:val="0"/>
          <w:sz w:val="22"/>
          <w:szCs w:val="22"/>
        </w:rPr>
      </w:pPr>
      <w:bookmarkStart w:id="5" w:name="_Toc321925452"/>
    </w:p>
    <w:p>
      <w:pPr>
        <w:pStyle w:val="51"/>
        <w:jc w:val="both"/>
        <w:rPr>
          <w:rFonts w:asciiTheme="minorEastAsia" w:hAnsiTheme="minorEastAsia"/>
          <w:bCs w:val="0"/>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sectPr>
          <w:footerReference r:id="rId7" w:type="first"/>
          <w:pgSz w:w="11906" w:h="16838"/>
          <w:pgMar w:top="1134" w:right="1247" w:bottom="1134" w:left="1247" w:header="851" w:footer="992" w:gutter="0"/>
          <w:pgNumType w:fmt="numberInDash"/>
          <w:cols w:space="720" w:num="1"/>
          <w:docGrid w:linePitch="312" w:charSpace="0"/>
        </w:sectPr>
      </w:pPr>
    </w:p>
    <w:p>
      <w:pPr>
        <w:rPr>
          <w:rFonts w:asciiTheme="minorEastAsia" w:hAnsiTheme="minorEastAsia"/>
          <w:sz w:val="22"/>
          <w:szCs w:val="22"/>
        </w:rPr>
      </w:pPr>
    </w:p>
    <w:p>
      <w:pPr>
        <w:pStyle w:val="51"/>
      </w:pPr>
      <w:r>
        <w:t>第</w:t>
      </w:r>
      <w:r>
        <w:rPr>
          <w:rFonts w:hint="eastAsia"/>
        </w:rPr>
        <w:t>二</w:t>
      </w:r>
      <w:r>
        <w:t>章投标</w:t>
      </w:r>
      <w:r>
        <w:rPr>
          <w:rFonts w:hint="eastAsia"/>
        </w:rPr>
        <w:t>人须知</w:t>
      </w:r>
      <w:bookmarkEnd w:id="5"/>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cs="Arial" w:asciiTheme="minorEastAsia" w:hAnsiTheme="minorEastAsia"/>
                <w:color w:val="000000" w:themeColor="text1"/>
                <w:kern w:val="0"/>
                <w:sz w:val="22"/>
                <w14:textFill>
                  <w14:solidFill>
                    <w14:schemeClr w14:val="tx1"/>
                  </w14:solidFill>
                </w14:textFill>
              </w:rPr>
              <w:t>浙江省机场集团有限公司</w:t>
            </w:r>
            <w:r>
              <w:rPr>
                <w:rFonts w:hint="eastAsia" w:ascii="宋体" w:hAnsi="宋体" w:cs="Arial"/>
                <w:kern w:val="0"/>
                <w:sz w:val="22"/>
              </w:rPr>
              <w:t>安检X射线机</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sz w:val="22"/>
              </w:rPr>
            </w:pPr>
            <w:r>
              <w:rPr>
                <w:rFonts w:ascii="宋体" w:hAnsi="宋体" w:cs="Calibri"/>
                <w:kern w:val="0"/>
                <w:sz w:val="22"/>
              </w:rPr>
              <w:t>杭州萧山国际机场</w:t>
            </w:r>
            <w:r>
              <w:rPr>
                <w:rFonts w:ascii="宋体" w:hAnsi="宋体" w:cs="Calibri"/>
                <w:sz w:val="22"/>
              </w:rPr>
              <w:t>内</w:t>
            </w:r>
          </w:p>
          <w:p>
            <w:pPr>
              <w:autoSpaceDE w:val="0"/>
              <w:autoSpaceDN w:val="0"/>
              <w:adjustRightInd w:val="0"/>
              <w:snapToGrid w:val="0"/>
              <w:rPr>
                <w:rFonts w:ascii="宋体" w:hAnsi="宋体" w:cs="Calibri"/>
                <w:sz w:val="22"/>
              </w:rPr>
            </w:pPr>
            <w:r>
              <w:rPr>
                <w:rFonts w:hint="eastAsia" w:ascii="宋体" w:hAnsi="宋体" w:cs="Calibri"/>
                <w:sz w:val="22"/>
              </w:rPr>
              <w:t>义乌机场内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合同签订后</w:t>
            </w:r>
            <w:r>
              <w:rPr>
                <w:rFonts w:hint="eastAsia" w:ascii="宋体" w:hAnsi="宋体"/>
                <w:sz w:val="22"/>
                <w:u w:val="single"/>
              </w:rPr>
              <w:t>3</w:t>
            </w:r>
            <w:r>
              <w:rPr>
                <w:rFonts w:hint="eastAsia" w:ascii="宋体"/>
                <w:sz w:val="22"/>
                <w:u w:val="single"/>
              </w:rPr>
              <w:t>0</w:t>
            </w:r>
            <w:r>
              <w:rPr>
                <w:rFonts w:hint="eastAsia" w:ascii="宋体" w:hAnsi="宋体"/>
                <w:sz w:val="22"/>
              </w:rPr>
              <w:t>日历天内,</w:t>
            </w:r>
            <w:r>
              <w:t xml:space="preserve"> </w:t>
            </w:r>
            <w:r>
              <w:rPr>
                <w:rFonts w:hint="eastAsia" w:ascii="宋体" w:hAnsi="宋体"/>
                <w:sz w:val="22"/>
              </w:rPr>
              <w:t>中标人必须在2019年10月31日前完成所有设备的安装、调试、试运行，验收交付最终用户使用，具体工期根据需要确定，应在标书中给予明确生产、安装、调试周期。具体时间无条件地服从业主安排。中途一切设备保管、运输、保险等全部工作由中标人负责。</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9</w:t>
            </w:r>
            <w:r>
              <w:rPr>
                <w:rFonts w:cs="Calibri" w:asciiTheme="minorEastAsia" w:hAnsiTheme="minorEastAsia"/>
                <w:kern w:val="0"/>
                <w:sz w:val="22"/>
              </w:rPr>
              <w:t>月</w:t>
            </w:r>
            <w:r>
              <w:rPr>
                <w:rFonts w:hint="eastAsia" w:cs="Calibri" w:asciiTheme="minorEastAsia" w:hAnsiTheme="minorEastAsia"/>
                <w:kern w:val="0"/>
                <w:sz w:val="22"/>
                <w:lang w:val="en-US" w:eastAsia="zh-CN"/>
              </w:rPr>
              <w:t>19</w:t>
            </w:r>
            <w:r>
              <w:rPr>
                <w:rFonts w:cs="Calibri" w:asciiTheme="minorEastAsia" w:hAnsiTheme="minorEastAsia"/>
                <w:kern w:val="0"/>
                <w:sz w:val="22"/>
              </w:rPr>
              <w:t>日11：30前，</w:t>
            </w:r>
            <w:r>
              <w:rPr>
                <w:rFonts w:hint="eastAsia" w:ascii="宋体" w:hAnsi="宋体" w:cs="Calibri"/>
                <w:color w:val="000000" w:themeColor="text1"/>
                <w:kern w:val="0"/>
                <w:sz w:val="22"/>
                <w14:textFill>
                  <w14:solidFill>
                    <w14:schemeClr w14:val="tx1"/>
                  </w14:solidFill>
                </w14:textFill>
              </w:rPr>
              <w:t>以书面加盖公章的形式通过E-mail或传真提交给招标人（投标联系人:贾思勰，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lang w:eastAsia="zh-CN"/>
              </w:rPr>
              <w:t>2019年9月26日下午14时00分</w:t>
            </w:r>
            <w:r>
              <w:rPr>
                <w:rFonts w:hint="eastAsia" w:cs="Calibri" w:asciiTheme="minorEastAsia" w:hAnsiTheme="minorEastAsia"/>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hint="eastAsia" w:cs="Arial" w:asciiTheme="minorEastAsia" w:hAnsiTheme="minorEastAsia"/>
                <w:color w:val="000000" w:themeColor="text1"/>
                <w:kern w:val="0"/>
                <w:sz w:val="22"/>
                <w14:textFill>
                  <w14:solidFill>
                    <w14:schemeClr w14:val="tx1"/>
                  </w14:solidFill>
                </w14:textFill>
              </w:rPr>
            </w:pPr>
            <w:r>
              <w:rPr>
                <w:rFonts w:cs="Calibri" w:asciiTheme="minorEastAsia" w:hAnsiTheme="minorEastAsia"/>
                <w:kern w:val="0"/>
                <w:sz w:val="22"/>
              </w:rPr>
              <w:t>招标人名称：</w:t>
            </w:r>
            <w:r>
              <w:rPr>
                <w:rFonts w:hint="eastAsia" w:cs="Arial" w:asciiTheme="minorEastAsia" w:hAnsiTheme="minorEastAsia"/>
                <w:color w:val="000000" w:themeColor="text1"/>
                <w:kern w:val="0"/>
                <w:sz w:val="22"/>
                <w14:textFill>
                  <w14:solidFill>
                    <w14:schemeClr w14:val="tx1"/>
                  </w14:solidFill>
                </w14:textFill>
              </w:rPr>
              <w:t>浙江省机场集团有限公司</w:t>
            </w:r>
          </w:p>
          <w:p>
            <w:pPr>
              <w:widowControl/>
              <w:autoSpaceDE/>
              <w:autoSpaceDN/>
              <w:adjustRightInd/>
              <w:snapToGrid w:val="0"/>
              <w:spacing w:line="340" w:lineRule="exact"/>
              <w:jc w:val="left"/>
              <w:rPr>
                <w:rFonts w:ascii="Arial" w:hAnsi="Arial" w:cs="Arial"/>
                <w:bCs/>
                <w:kern w:val="0"/>
                <w:sz w:val="22"/>
              </w:rPr>
            </w:pPr>
            <w:r>
              <w:rPr>
                <w:rFonts w:hint="eastAsia"/>
                <w:b/>
                <w:sz w:val="22"/>
              </w:rPr>
              <w:t>每个标项独立封套，不可多个标项混装。</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Arial" w:asciiTheme="minorEastAsia" w:hAnsiTheme="minorEastAsia"/>
                <w:color w:val="000000" w:themeColor="text1"/>
                <w:kern w:val="0"/>
                <w:sz w:val="22"/>
                <w:u w:val="single"/>
                <w14:textFill>
                  <w14:solidFill>
                    <w14:schemeClr w14:val="tx1"/>
                  </w14:solidFill>
                </w14:textFill>
              </w:rPr>
              <w:t>浙江省机场集团有限公司</w:t>
            </w:r>
            <w:r>
              <w:rPr>
                <w:rFonts w:hint="eastAsia" w:cs="Calibri" w:asciiTheme="minorEastAsia" w:hAnsiTheme="minorEastAsia"/>
                <w:kern w:val="0"/>
                <w:sz w:val="22"/>
                <w:u w:val="single"/>
              </w:rPr>
              <w:t>安检X射线机采购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ascii="宋体" w:hAnsi="宋体" w:cs="Arial"/>
                <w:kern w:val="0"/>
                <w:sz w:val="22"/>
                <w:lang w:eastAsia="zh-CN"/>
              </w:rPr>
              <w:t>2019年9月26日下午14时00分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7供货</w:t>
      </w:r>
      <w:r>
        <w:rPr>
          <w:rFonts w:cs="Calibri" w:asciiTheme="minorEastAsia" w:hAnsiTheme="minorEastAsia"/>
          <w:b/>
          <w:bCs/>
          <w:kern w:val="0"/>
          <w:sz w:val="22"/>
        </w:rPr>
        <w:t>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hint="eastAsia" w:cs="Calibri" w:asciiTheme="minorEastAsia" w:hAnsiTheme="minorEastAsia"/>
          <w:sz w:val="22"/>
        </w:rPr>
        <w:t xml:space="preserve"> </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5"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43421657"/>
      <w:bookmarkStart w:id="17" w:name="_Toc15241"/>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spacing w:line="440" w:lineRule="exact"/>
        <w:ind w:firstLine="440" w:firstLineChars="200"/>
        <w:rPr>
          <w:rFonts w:ascii="宋体" w:hAnsi="宋体" w:cs="Calibri"/>
          <w:color w:val="000000"/>
          <w:sz w:val="22"/>
          <w:szCs w:val="22"/>
        </w:rPr>
      </w:pPr>
      <w:bookmarkStart w:id="25" w:name="_Toc32225"/>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3.2.1</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3.2.2</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3.2.3</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3.2.4</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3.2.5</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3.2.5.1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3.2.5.2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3.2.5.3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3.2.5.4投标产品近三年的销售业绩一览表（附业绩的合同）。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3.2.6、</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3.2.7、商务条款响应偏离表；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3.2.8、系统设备供货范围（包括设备数量、型号规格、产地、品牌），进口零部件详细清单（需说明产地、品牌）；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3.2.9、技术参数、结构及性能特点等产品技术规格书；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3.2.10、主要原材料及部件性能和生产厂家；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3.2.11、产品制造、安装、验收标准和验收方法；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3.2.12、现场指导、调试；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3.2.13、</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3.2.14、提供详细的培训计划，包括培训内容、培训时间、培训人数等；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3.2.15、关于质量保证期的说明；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3.2.16、优惠条件：投标人承诺给予用户的其他优惠条款，包括付款条件、培训服务、质量保证期等方面的优惠；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3.2.17、</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Calibri"/>
          <w:sz w:val="22"/>
        </w:rPr>
      </w:pPr>
      <w:bookmarkStart w:id="26"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19809801"/>
      <w:bookmarkStart w:id="47" w:name="_Toc220123241"/>
      <w:bookmarkStart w:id="48" w:name="_Toc11806"/>
      <w:r>
        <w:rPr>
          <w:rFonts w:ascii="宋体" w:hAnsi="宋体" w:cs="Calibri"/>
          <w:kern w:val="0"/>
          <w:sz w:val="22"/>
        </w:rPr>
        <w:t>.4.1中标人应当自中标通知书发出之日起30个工作日内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hint="eastAsia" w:asciiTheme="minorEastAsia" w:hAnsiTheme="minorEastAsia"/>
          <w:color w:val="000000" w:themeColor="text1"/>
          <w:kern w:val="0"/>
          <w:sz w:val="22"/>
          <w14:textFill>
            <w14:solidFill>
              <w14:schemeClr w14:val="tx1"/>
            </w14:solidFill>
          </w14:textFill>
        </w:rPr>
        <w:t>杭州萧山国际机场、宁波机场与物流发展集团有限公司和温州机场集团有限公司</w:t>
      </w:r>
      <w:r>
        <w:rPr>
          <w:rFonts w:ascii="宋体" w:hAnsi="宋体" w:cs="Calibri"/>
          <w:kern w:val="0"/>
          <w:sz w:val="22"/>
        </w:rPr>
        <w:t>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15553"/>
      <w:bookmarkStart w:id="51" w:name="_Toc22012324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18806"/>
      <w:bookmarkStart w:id="53" w:name="_Toc220123243"/>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5941254"/>
      <w:bookmarkStart w:id="56" w:name="_Toc219809804"/>
      <w:bookmarkStart w:id="57" w:name="_Toc220123244"/>
      <w:bookmarkStart w:id="58" w:name="_Toc2986"/>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22012324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19809806"/>
      <w:bookmarkStart w:id="63" w:name="_Toc22012324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10756"/>
      <w:bookmarkStart w:id="66" w:name="_Toc220123247"/>
      <w:bookmarkStart w:id="67" w:name="_Toc21980980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12792"/>
      <w:bookmarkStart w:id="69" w:name="_Toc220123248"/>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rPr>
          <w:sz w:val="22"/>
        </w:rPr>
      </w:pPr>
      <w:r>
        <w:rPr>
          <w:sz w:val="24"/>
        </w:rPr>
        <w:br w:type="page"/>
      </w:r>
      <w:r>
        <w:rPr>
          <w:sz w:val="22"/>
        </w:rPr>
        <w:t xml:space="preserve"> </w:t>
      </w:r>
    </w:p>
    <w:p>
      <w:pPr>
        <w:pStyle w:val="51"/>
      </w:pPr>
      <w:bookmarkStart w:id="75" w:name="_Toc321925453"/>
      <w:r>
        <w:rPr>
          <w:rFonts w:hint="eastAsia"/>
        </w:rPr>
        <w:t>第三章</w:t>
      </w:r>
      <w:r>
        <w:t xml:space="preserve">  </w:t>
      </w:r>
      <w:r>
        <w:rPr>
          <w:rFonts w:hint="eastAsia"/>
        </w:rPr>
        <w:t>货物需求一览表及技术规格</w:t>
      </w:r>
      <w:bookmarkEnd w:id="75"/>
    </w:p>
    <w:p>
      <w:pPr>
        <w:pStyle w:val="3"/>
        <w:snapToGrid w:val="0"/>
        <w:spacing w:before="0" w:after="0"/>
        <w:rPr>
          <w:rFonts w:ascii="等线" w:hAnsi="等线" w:eastAsia="等线"/>
          <w:sz w:val="32"/>
        </w:rPr>
      </w:pPr>
      <w:bookmarkStart w:id="76" w:name="_Toc6028351"/>
      <w:bookmarkStart w:id="77" w:name="_Toc507820962"/>
      <w:bookmarkStart w:id="78" w:name="_Toc6026273"/>
      <w:bookmarkStart w:id="79" w:name="_Toc6028441"/>
      <w:bookmarkStart w:id="80" w:name="_Toc6109313"/>
      <w:bookmarkStart w:id="81" w:name="_Toc416254176"/>
      <w:r>
        <w:rPr>
          <w:rFonts w:hint="eastAsia" w:ascii="等线" w:hAnsi="等线" w:eastAsia="等线"/>
          <w:sz w:val="32"/>
        </w:rPr>
        <w:t>一、总</w:t>
      </w:r>
      <w:bookmarkStart w:id="82" w:name="_Ref497571437"/>
      <w:bookmarkEnd w:id="82"/>
      <w:r>
        <w:rPr>
          <w:rFonts w:hint="eastAsia" w:ascii="等线" w:hAnsi="等线" w:eastAsia="等线"/>
          <w:sz w:val="32"/>
        </w:rPr>
        <w:t>说明</w:t>
      </w:r>
      <w:bookmarkEnd w:id="76"/>
      <w:bookmarkEnd w:id="77"/>
      <w:bookmarkEnd w:id="78"/>
      <w:bookmarkEnd w:id="79"/>
      <w:bookmarkEnd w:id="80"/>
      <w:bookmarkEnd w:id="81"/>
    </w:p>
    <w:p>
      <w:pPr>
        <w:snapToGrid w:val="0"/>
        <w:spacing w:line="360" w:lineRule="auto"/>
        <w:ind w:firstLine="440" w:firstLineChars="200"/>
        <w:rPr>
          <w:rFonts w:ascii="Cambria" w:hAnsi="Cambria" w:eastAsia="宋体" w:cs="宋体"/>
          <w:sz w:val="22"/>
        </w:rPr>
      </w:pPr>
      <w:r>
        <w:rPr>
          <w:rFonts w:hint="eastAsia" w:cs="宋体"/>
          <w:sz w:val="22"/>
        </w:rPr>
        <w:t>本货物需求及技术规格书（以下简称为“技术标书”）是招标文件的组成部分，内容包括采购设备的详细规格、条款、资料及有关文件。</w:t>
      </w:r>
    </w:p>
    <w:p>
      <w:pPr>
        <w:snapToGrid w:val="0"/>
        <w:spacing w:line="360" w:lineRule="auto"/>
        <w:ind w:firstLine="440" w:firstLineChars="200"/>
        <w:rPr>
          <w:rFonts w:cs="宋体"/>
          <w:sz w:val="22"/>
        </w:rPr>
      </w:pPr>
      <w:r>
        <w:rPr>
          <w:rFonts w:hint="eastAsia" w:cs="宋体"/>
          <w:sz w:val="22"/>
        </w:rPr>
        <w:t>本技术规格书各条款的编写采用了多层项目编号，任何被标注“（</w:t>
      </w:r>
      <w:r>
        <w:rPr>
          <w:rFonts w:cs="宋体"/>
          <w:sz w:val="22"/>
        </w:rPr>
        <w:t>*</w:t>
      </w:r>
      <w:r>
        <w:rPr>
          <w:rFonts w:hint="eastAsia" w:cs="宋体"/>
          <w:sz w:val="22"/>
        </w:rPr>
        <w:t>）”且加注下划线的内容或条款表明为重要强制性条款，其中</w:t>
      </w:r>
      <w:r>
        <w:rPr>
          <w:rFonts w:cs="宋体"/>
          <w:sz w:val="22"/>
        </w:rPr>
        <w:t>1</w:t>
      </w:r>
      <w:r>
        <w:rPr>
          <w:rFonts w:hint="eastAsia" w:cs="宋体"/>
          <w:sz w:val="22"/>
        </w:rPr>
        <w:t>条不满足将导致投标无效</w:t>
      </w:r>
      <w:r>
        <w:rPr>
          <w:rFonts w:cs="宋体"/>
          <w:sz w:val="22"/>
        </w:rPr>
        <w:t>,</w:t>
      </w:r>
      <w:r>
        <w:rPr>
          <w:rFonts w:hint="eastAsia" w:cs="宋体"/>
          <w:sz w:val="22"/>
        </w:rPr>
        <w:t>其它本技术标书中的一般条款如超出</w:t>
      </w:r>
      <w:r>
        <w:rPr>
          <w:rFonts w:cs="宋体"/>
          <w:sz w:val="22"/>
        </w:rPr>
        <w:t>5</w:t>
      </w:r>
      <w:r>
        <w:rPr>
          <w:rFonts w:hint="eastAsia" w:cs="宋体"/>
          <w:sz w:val="22"/>
        </w:rPr>
        <w:t>项不满足（以“技术规格偏离表”为准，内容重复的条款按</w:t>
      </w:r>
      <w:r>
        <w:rPr>
          <w:rFonts w:cs="宋体"/>
          <w:sz w:val="22"/>
        </w:rPr>
        <w:t>1</w:t>
      </w:r>
      <w:r>
        <w:rPr>
          <w:rFonts w:hint="eastAsia" w:cs="宋体"/>
          <w:sz w:val="22"/>
        </w:rPr>
        <w:t>条计），将被认为不满足招标要求并承担不经澄清就被判定为无效标的风险。</w:t>
      </w:r>
    </w:p>
    <w:p>
      <w:pPr>
        <w:pStyle w:val="34"/>
        <w:snapToGrid w:val="0"/>
        <w:spacing w:after="0" w:line="360" w:lineRule="auto"/>
        <w:ind w:left="0" w:leftChars="0" w:firstLine="440" w:firstLineChars="200"/>
        <w:rPr>
          <w:rFonts w:ascii="等线" w:hAnsi="等线" w:eastAsia="等线"/>
          <w:sz w:val="22"/>
          <w:szCs w:val="22"/>
          <w:u w:val="single"/>
        </w:rPr>
      </w:pPr>
      <w:r>
        <w:rPr>
          <w:rFonts w:hint="eastAsia" w:ascii="等线" w:hAnsi="等线" w:eastAsia="等线"/>
          <w:sz w:val="22"/>
          <w:szCs w:val="22"/>
          <w:u w:val="single"/>
        </w:rPr>
        <w:t>投标人必须对本技术标书各项要求，按顺序逐项做出实质性回答，主要性能指标必须在投标产品技术规格书中体现，否则评标委员会有权作否决投标处理。</w:t>
      </w:r>
      <w:bookmarkStart w:id="83" w:name="_Toc498228778"/>
      <w:bookmarkStart w:id="84" w:name="_Toc507820963"/>
      <w:bookmarkStart w:id="85" w:name="_Toc6026274"/>
      <w:bookmarkStart w:id="86" w:name="_Toc6028352"/>
      <w:bookmarkStart w:id="87" w:name="_Toc6028442"/>
      <w:bookmarkStart w:id="88" w:name="_Toc6109314"/>
      <w:bookmarkStart w:id="89" w:name="_Toc416254177"/>
      <w:bookmarkStart w:id="90" w:name="_Toc498227176"/>
      <w:bookmarkStart w:id="91" w:name="_Toc498227703"/>
    </w:p>
    <w:p>
      <w:pPr>
        <w:pStyle w:val="34"/>
        <w:snapToGrid w:val="0"/>
        <w:spacing w:after="0" w:line="360" w:lineRule="auto"/>
        <w:ind w:left="0" w:leftChars="0"/>
        <w:jc w:val="left"/>
        <w:rPr>
          <w:rFonts w:ascii="等线" w:hAnsi="等线" w:eastAsia="等线"/>
          <w:b/>
          <w:sz w:val="22"/>
          <w:szCs w:val="22"/>
          <w:u w:val="single"/>
        </w:rPr>
      </w:pPr>
      <w:r>
        <w:rPr>
          <w:rFonts w:hint="eastAsia" w:ascii="等线" w:hAnsi="等线" w:eastAsia="等线"/>
          <w:b/>
          <w:sz w:val="22"/>
          <w:szCs w:val="22"/>
        </w:rPr>
        <w:t>1、招标要求</w:t>
      </w:r>
      <w:bookmarkEnd w:id="83"/>
      <w:bookmarkEnd w:id="84"/>
      <w:bookmarkEnd w:id="85"/>
      <w:bookmarkEnd w:id="86"/>
      <w:bookmarkEnd w:id="87"/>
      <w:bookmarkEnd w:id="88"/>
      <w:bookmarkEnd w:id="89"/>
      <w:bookmarkEnd w:id="90"/>
      <w:bookmarkEnd w:id="91"/>
    </w:p>
    <w:p>
      <w:pPr>
        <w:pStyle w:val="100"/>
        <w:keepNext w:val="0"/>
        <w:keepLines w:val="0"/>
        <w:numPr>
          <w:ilvl w:val="0"/>
          <w:numId w:val="5"/>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投标人(与投标方为同一含义)必须提供但不限于本技术标书中，所有设备的设计、制造、装配、运输、仓储、安装、调试、试运行和售后服务，以及上述设备所需的附件、工具、配备件的提供等。</w:t>
      </w:r>
    </w:p>
    <w:p>
      <w:pPr>
        <w:pStyle w:val="100"/>
        <w:keepNext w:val="0"/>
        <w:keepLines w:val="0"/>
        <w:numPr>
          <w:ilvl w:val="0"/>
          <w:numId w:val="5"/>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本技术标书仅指主要要求，不应作为完整的详细要求，投标人应负责向招标人移交各子项系统，并保证符合技术标书的要求。同时,投标人应满足本技术标书中未描述的、为保证设备能正常有效运行所需要的其它要求。投标人只有在得到招标人的书面验收证明后，才能算完成。</w:t>
      </w:r>
    </w:p>
    <w:p>
      <w:pPr>
        <w:pStyle w:val="100"/>
        <w:keepNext w:val="0"/>
        <w:keepLines w:val="0"/>
        <w:numPr>
          <w:ilvl w:val="0"/>
          <w:numId w:val="5"/>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投标人在中标且合同生效后，在执行合同过程中，应承担与土建、系统集成的接口标准及其它设备配合等方面的技术协调，并对工作做适当安排。所有安排必须取得招标人的书面同意。</w:t>
      </w:r>
    </w:p>
    <w:p>
      <w:pPr>
        <w:pStyle w:val="100"/>
        <w:keepNext w:val="0"/>
        <w:keepLines w:val="0"/>
        <w:numPr>
          <w:ilvl w:val="0"/>
          <w:numId w:val="5"/>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投标人必须对所提供产品的一切专利费、执照费和软件用户许可证及其它由此引起的费用承担责任，并负责保护招标人的利益不受任何损害。一切由于文字、商标和技术专利侵权引起的法律裁决、诉讼和费用均与招标人无关。所涉及的有关专利费、执照费和其它这方面的费用纳入总报价。</w:t>
      </w:r>
    </w:p>
    <w:p>
      <w:pPr>
        <w:pStyle w:val="100"/>
        <w:keepNext w:val="0"/>
        <w:keepLines w:val="0"/>
        <w:numPr>
          <w:ilvl w:val="0"/>
          <w:numId w:val="5"/>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招标人和中标人在签订合同时，在不改变招标文件实质性要求，不改变招标设备单价的前提下，招标人有对所购设备数量调整的权利。</w:t>
      </w:r>
    </w:p>
    <w:p>
      <w:pPr>
        <w:pStyle w:val="100"/>
        <w:keepNext w:val="0"/>
        <w:keepLines w:val="0"/>
        <w:numPr>
          <w:ilvl w:val="0"/>
          <w:numId w:val="5"/>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投标书中必须有整套设备和主要部件的生产产地（生产国、生产厂家）的详细说明。</w:t>
      </w:r>
    </w:p>
    <w:p>
      <w:pPr>
        <w:pStyle w:val="100"/>
        <w:keepNext w:val="0"/>
        <w:keepLines w:val="0"/>
        <w:numPr>
          <w:ilvl w:val="0"/>
          <w:numId w:val="5"/>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对进口设备，投标人需协助招标代理机构及招标人申报海关及商检手续，并办理招标人有关人员境外验收的有关事宜。</w:t>
      </w:r>
    </w:p>
    <w:p>
      <w:pPr>
        <w:pStyle w:val="100"/>
        <w:keepNext w:val="0"/>
        <w:keepLines w:val="0"/>
        <w:numPr>
          <w:ilvl w:val="0"/>
          <w:numId w:val="5"/>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投标人需按照标书要求提供中英文投标书的文件、图纸及相应光盘。</w:t>
      </w:r>
    </w:p>
    <w:p>
      <w:pPr>
        <w:pStyle w:val="4"/>
        <w:numPr>
          <w:ilvl w:val="0"/>
          <w:numId w:val="0"/>
        </w:numPr>
        <w:tabs>
          <w:tab w:val="left" w:pos="420"/>
        </w:tabs>
        <w:snapToGrid w:val="0"/>
        <w:spacing w:line="360" w:lineRule="auto"/>
        <w:rPr>
          <w:rFonts w:ascii="等线" w:hAnsi="等线" w:eastAsia="等线"/>
          <w:sz w:val="22"/>
          <w:szCs w:val="22"/>
        </w:rPr>
      </w:pPr>
      <w:bookmarkStart w:id="92" w:name="_Toc416254178"/>
      <w:bookmarkStart w:id="93" w:name="_Toc498228779"/>
      <w:bookmarkStart w:id="94" w:name="_Toc498227704"/>
      <w:bookmarkStart w:id="95" w:name="_Toc498227177"/>
      <w:r>
        <w:rPr>
          <w:rFonts w:hint="eastAsia" w:ascii="等线" w:hAnsi="等线" w:eastAsia="等线"/>
          <w:b w:val="0"/>
          <w:sz w:val="22"/>
          <w:szCs w:val="22"/>
        </w:rPr>
        <w:t>2、招标范围</w:t>
      </w:r>
      <w:bookmarkEnd w:id="92"/>
    </w:p>
    <w:tbl>
      <w:tblPr>
        <w:tblStyle w:val="58"/>
        <w:tblW w:w="10405" w:type="dxa"/>
        <w:tblInd w:w="0" w:type="dxa"/>
        <w:tblLayout w:type="fixed"/>
        <w:tblCellMar>
          <w:top w:w="0" w:type="dxa"/>
          <w:left w:w="108" w:type="dxa"/>
          <w:bottom w:w="0" w:type="dxa"/>
          <w:right w:w="108" w:type="dxa"/>
        </w:tblCellMar>
      </w:tblPr>
      <w:tblGrid>
        <w:gridCol w:w="724"/>
        <w:gridCol w:w="1618"/>
        <w:gridCol w:w="1027"/>
        <w:gridCol w:w="3118"/>
        <w:gridCol w:w="2410"/>
        <w:gridCol w:w="1508"/>
      </w:tblGrid>
      <w:tr>
        <w:tblPrEx>
          <w:tblLayout w:type="fixed"/>
          <w:tblCellMar>
            <w:top w:w="0" w:type="dxa"/>
            <w:left w:w="108" w:type="dxa"/>
            <w:bottom w:w="0" w:type="dxa"/>
            <w:right w:w="108" w:type="dxa"/>
          </w:tblCellMar>
        </w:tblPrEx>
        <w:trPr>
          <w:trHeight w:val="750" w:hRule="atLeast"/>
        </w:trPr>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序号</w:t>
            </w:r>
          </w:p>
        </w:tc>
        <w:tc>
          <w:tcPr>
            <w:tcW w:w="16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设备名称</w:t>
            </w:r>
          </w:p>
        </w:tc>
        <w:tc>
          <w:tcPr>
            <w:tcW w:w="1027"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数量</w:t>
            </w:r>
          </w:p>
        </w:tc>
        <w:tc>
          <w:tcPr>
            <w:tcW w:w="31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任务</w:t>
            </w:r>
          </w:p>
        </w:tc>
        <w:tc>
          <w:tcPr>
            <w:tcW w:w="2410"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备注</w:t>
            </w:r>
          </w:p>
        </w:tc>
        <w:tc>
          <w:tcPr>
            <w:tcW w:w="1508" w:type="dxa"/>
            <w:tcBorders>
              <w:top w:val="single" w:color="auto" w:sz="4" w:space="0"/>
              <w:left w:val="nil"/>
              <w:bottom w:val="single" w:color="auto" w:sz="4" w:space="0"/>
              <w:right w:val="single" w:color="auto" w:sz="4" w:space="0"/>
            </w:tcBorders>
          </w:tcPr>
          <w:p>
            <w:pPr>
              <w:adjustRightInd w:val="0"/>
              <w:snapToGrid w:val="0"/>
              <w:spacing w:line="440" w:lineRule="exact"/>
              <w:jc w:val="center"/>
              <w:rPr>
                <w:sz w:val="22"/>
              </w:rPr>
            </w:pPr>
            <w:r>
              <w:rPr>
                <w:rFonts w:hint="eastAsia"/>
                <w:sz w:val="22"/>
              </w:rPr>
              <w:t>交货地点</w:t>
            </w:r>
          </w:p>
        </w:tc>
      </w:tr>
      <w:tr>
        <w:tblPrEx>
          <w:tblLayout w:type="fixed"/>
          <w:tblCellMar>
            <w:top w:w="0" w:type="dxa"/>
            <w:left w:w="108" w:type="dxa"/>
            <w:bottom w:w="0" w:type="dxa"/>
            <w:right w:w="108" w:type="dxa"/>
          </w:tblCellMar>
        </w:tblPrEx>
        <w:trPr>
          <w:trHeight w:val="1249" w:hRule="atLeast"/>
        </w:trPr>
        <w:tc>
          <w:tcPr>
            <w:tcW w:w="724" w:type="dxa"/>
            <w:tcBorders>
              <w:top w:val="nil"/>
              <w:left w:val="single" w:color="auto" w:sz="4" w:space="0"/>
              <w:bottom w:val="single" w:color="auto" w:sz="4" w:space="0"/>
              <w:right w:val="single" w:color="auto" w:sz="4" w:space="0"/>
            </w:tcBorders>
            <w:vAlign w:val="center"/>
          </w:tcPr>
          <w:p>
            <w:pPr>
              <w:adjustRightInd w:val="0"/>
              <w:snapToGrid w:val="0"/>
              <w:spacing w:line="440" w:lineRule="exact"/>
              <w:jc w:val="center"/>
              <w:rPr>
                <w:sz w:val="22"/>
              </w:rPr>
            </w:pPr>
            <w:r>
              <w:rPr>
                <w:sz w:val="22"/>
              </w:rPr>
              <w:t>1</w:t>
            </w:r>
          </w:p>
        </w:tc>
        <w:tc>
          <w:tcPr>
            <w:tcW w:w="1618" w:type="dxa"/>
            <w:tcBorders>
              <w:top w:val="nil"/>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双视角手提行李</w:t>
            </w:r>
            <w:r>
              <w:rPr>
                <w:sz w:val="22"/>
              </w:rPr>
              <w:t>X</w:t>
            </w:r>
            <w:r>
              <w:rPr>
                <w:rFonts w:hint="eastAsia"/>
                <w:sz w:val="22"/>
              </w:rPr>
              <w:t>射线机</w:t>
            </w:r>
          </w:p>
        </w:tc>
        <w:tc>
          <w:tcPr>
            <w:tcW w:w="1027" w:type="dxa"/>
            <w:tcBorders>
              <w:top w:val="nil"/>
              <w:left w:val="nil"/>
              <w:bottom w:val="single" w:color="auto" w:sz="4" w:space="0"/>
              <w:right w:val="single" w:color="auto" w:sz="4" w:space="0"/>
            </w:tcBorders>
            <w:vAlign w:val="center"/>
          </w:tcPr>
          <w:p>
            <w:pPr>
              <w:adjustRightInd w:val="0"/>
              <w:snapToGrid w:val="0"/>
              <w:spacing w:line="440" w:lineRule="exact"/>
              <w:jc w:val="center"/>
              <w:rPr>
                <w:sz w:val="22"/>
              </w:rPr>
            </w:pPr>
            <w:r>
              <w:rPr>
                <w:sz w:val="22"/>
              </w:rPr>
              <w:t>6</w:t>
            </w:r>
            <w:r>
              <w:rPr>
                <w:rFonts w:hint="eastAsia"/>
                <w:sz w:val="22"/>
              </w:rPr>
              <w:t>台</w:t>
            </w:r>
          </w:p>
        </w:tc>
        <w:tc>
          <w:tcPr>
            <w:tcW w:w="3118" w:type="dxa"/>
            <w:tcBorders>
              <w:top w:val="nil"/>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旅客、工作人员携带的行李物品进行安全检查</w:t>
            </w:r>
          </w:p>
        </w:tc>
        <w:tc>
          <w:tcPr>
            <w:tcW w:w="2410" w:type="dxa"/>
            <w:tcBorders>
              <w:top w:val="nil"/>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设备验收由航科院安技中心实施，费用由投标人承担</w:t>
            </w:r>
          </w:p>
        </w:tc>
        <w:tc>
          <w:tcPr>
            <w:tcW w:w="1508" w:type="dxa"/>
            <w:tcBorders>
              <w:top w:val="nil"/>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杭州萧山国际机场</w:t>
            </w:r>
          </w:p>
        </w:tc>
      </w:tr>
      <w:tr>
        <w:tblPrEx>
          <w:tblLayout w:type="fixed"/>
          <w:tblCellMar>
            <w:top w:w="0" w:type="dxa"/>
            <w:left w:w="108" w:type="dxa"/>
            <w:bottom w:w="0" w:type="dxa"/>
            <w:right w:w="108" w:type="dxa"/>
          </w:tblCellMar>
        </w:tblPrEx>
        <w:trPr>
          <w:trHeight w:val="1125" w:hRule="atLeast"/>
        </w:trPr>
        <w:tc>
          <w:tcPr>
            <w:tcW w:w="724" w:type="dxa"/>
            <w:tcBorders>
              <w:top w:val="nil"/>
              <w:left w:val="single" w:color="auto" w:sz="4" w:space="0"/>
              <w:bottom w:val="single" w:color="auto" w:sz="4" w:space="0"/>
              <w:right w:val="single" w:color="auto" w:sz="4" w:space="0"/>
            </w:tcBorders>
            <w:vAlign w:val="center"/>
          </w:tcPr>
          <w:p>
            <w:pPr>
              <w:adjustRightInd w:val="0"/>
              <w:snapToGrid w:val="0"/>
              <w:spacing w:line="440" w:lineRule="exact"/>
              <w:jc w:val="center"/>
              <w:rPr>
                <w:sz w:val="22"/>
              </w:rPr>
            </w:pPr>
            <w:r>
              <w:rPr>
                <w:sz w:val="22"/>
              </w:rPr>
              <w:t>2</w:t>
            </w:r>
          </w:p>
        </w:tc>
        <w:tc>
          <w:tcPr>
            <w:tcW w:w="1618" w:type="dxa"/>
            <w:tcBorders>
              <w:top w:val="nil"/>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旅客行李</w:t>
            </w:r>
            <w:r>
              <w:rPr>
                <w:sz w:val="22"/>
              </w:rPr>
              <w:t>X</w:t>
            </w:r>
            <w:r>
              <w:rPr>
                <w:rFonts w:hint="eastAsia"/>
                <w:sz w:val="22"/>
              </w:rPr>
              <w:t>射线机验收测试箱</w:t>
            </w:r>
          </w:p>
        </w:tc>
        <w:tc>
          <w:tcPr>
            <w:tcW w:w="1027" w:type="dxa"/>
            <w:tcBorders>
              <w:top w:val="nil"/>
              <w:left w:val="nil"/>
              <w:bottom w:val="single" w:color="auto" w:sz="4" w:space="0"/>
              <w:right w:val="single" w:color="auto" w:sz="4" w:space="0"/>
            </w:tcBorders>
            <w:vAlign w:val="center"/>
          </w:tcPr>
          <w:p>
            <w:pPr>
              <w:adjustRightInd w:val="0"/>
              <w:snapToGrid w:val="0"/>
              <w:spacing w:line="440" w:lineRule="exact"/>
              <w:jc w:val="center"/>
              <w:rPr>
                <w:sz w:val="22"/>
              </w:rPr>
            </w:pPr>
            <w:r>
              <w:rPr>
                <w:sz w:val="22"/>
              </w:rPr>
              <w:t>1</w:t>
            </w:r>
            <w:r>
              <w:rPr>
                <w:rFonts w:hint="eastAsia"/>
                <w:sz w:val="22"/>
              </w:rPr>
              <w:t>套</w:t>
            </w:r>
          </w:p>
        </w:tc>
        <w:tc>
          <w:tcPr>
            <w:tcW w:w="3118" w:type="dxa"/>
            <w:tcBorders>
              <w:top w:val="nil"/>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用于对新安装设备的验收</w:t>
            </w:r>
          </w:p>
        </w:tc>
        <w:tc>
          <w:tcPr>
            <w:tcW w:w="2410" w:type="dxa"/>
            <w:tcBorders>
              <w:top w:val="nil"/>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最新民航局验收标准测试箱</w:t>
            </w:r>
          </w:p>
        </w:tc>
        <w:tc>
          <w:tcPr>
            <w:tcW w:w="1508" w:type="dxa"/>
            <w:tcBorders>
              <w:top w:val="nil"/>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杭州萧山国际机场</w:t>
            </w:r>
          </w:p>
        </w:tc>
      </w:tr>
      <w:tr>
        <w:tblPrEx>
          <w:tblLayout w:type="fixed"/>
          <w:tblCellMar>
            <w:top w:w="0" w:type="dxa"/>
            <w:left w:w="108" w:type="dxa"/>
            <w:bottom w:w="0" w:type="dxa"/>
            <w:right w:w="108" w:type="dxa"/>
          </w:tblCellMar>
        </w:tblPrEx>
        <w:trPr>
          <w:trHeight w:val="1125" w:hRule="atLeast"/>
        </w:trPr>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3</w:t>
            </w:r>
          </w:p>
        </w:tc>
        <w:tc>
          <w:tcPr>
            <w:tcW w:w="16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双视角手提行李</w:t>
            </w:r>
            <w:r>
              <w:rPr>
                <w:sz w:val="22"/>
              </w:rPr>
              <w:t>X</w:t>
            </w:r>
            <w:r>
              <w:rPr>
                <w:rFonts w:hint="eastAsia"/>
                <w:sz w:val="22"/>
              </w:rPr>
              <w:t>射线机</w:t>
            </w:r>
          </w:p>
        </w:tc>
        <w:tc>
          <w:tcPr>
            <w:tcW w:w="1027"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3台</w:t>
            </w:r>
          </w:p>
        </w:tc>
        <w:tc>
          <w:tcPr>
            <w:tcW w:w="31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旅客、工作人员随带的行李物品进行安全检查</w:t>
            </w:r>
          </w:p>
        </w:tc>
        <w:tc>
          <w:tcPr>
            <w:tcW w:w="2410"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设备验收由航科院安技中心实施，费用由投标人承担</w:t>
            </w:r>
          </w:p>
        </w:tc>
        <w:tc>
          <w:tcPr>
            <w:tcW w:w="150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义乌机场</w:t>
            </w:r>
          </w:p>
        </w:tc>
      </w:tr>
      <w:tr>
        <w:tblPrEx>
          <w:tblLayout w:type="fixed"/>
          <w:tblCellMar>
            <w:top w:w="0" w:type="dxa"/>
            <w:left w:w="108" w:type="dxa"/>
            <w:bottom w:w="0" w:type="dxa"/>
            <w:right w:w="108" w:type="dxa"/>
          </w:tblCellMar>
        </w:tblPrEx>
        <w:trPr>
          <w:trHeight w:val="1125" w:hRule="atLeast"/>
        </w:trPr>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4</w:t>
            </w:r>
          </w:p>
        </w:tc>
        <w:tc>
          <w:tcPr>
            <w:tcW w:w="16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端接平台</w:t>
            </w:r>
          </w:p>
        </w:tc>
        <w:tc>
          <w:tcPr>
            <w:tcW w:w="1027"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8套</w:t>
            </w:r>
          </w:p>
        </w:tc>
        <w:tc>
          <w:tcPr>
            <w:tcW w:w="31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连接X射线机前后端，以方便旅客拖动行李</w:t>
            </w:r>
          </w:p>
        </w:tc>
        <w:tc>
          <w:tcPr>
            <w:tcW w:w="2410"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符合MH/T7003-2017要求，至少3.5米</w:t>
            </w:r>
          </w:p>
        </w:tc>
        <w:tc>
          <w:tcPr>
            <w:tcW w:w="150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义乌机场</w:t>
            </w:r>
          </w:p>
        </w:tc>
      </w:tr>
      <w:tr>
        <w:tblPrEx>
          <w:tblLayout w:type="fixed"/>
          <w:tblCellMar>
            <w:top w:w="0" w:type="dxa"/>
            <w:left w:w="108" w:type="dxa"/>
            <w:bottom w:w="0" w:type="dxa"/>
            <w:right w:w="108" w:type="dxa"/>
          </w:tblCellMar>
        </w:tblPrEx>
        <w:trPr>
          <w:trHeight w:val="1125" w:hRule="atLeast"/>
        </w:trPr>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5</w:t>
            </w:r>
          </w:p>
        </w:tc>
        <w:tc>
          <w:tcPr>
            <w:tcW w:w="16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超规行李双视角X射线机</w:t>
            </w:r>
          </w:p>
        </w:tc>
        <w:tc>
          <w:tcPr>
            <w:tcW w:w="1027"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1台</w:t>
            </w:r>
          </w:p>
        </w:tc>
        <w:tc>
          <w:tcPr>
            <w:tcW w:w="31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旅客携带的超规行李物品进行安全检查</w:t>
            </w:r>
          </w:p>
        </w:tc>
        <w:tc>
          <w:tcPr>
            <w:tcW w:w="2410"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设备验收由航科院安技中心实施，费用由投标人承担</w:t>
            </w:r>
          </w:p>
        </w:tc>
        <w:tc>
          <w:tcPr>
            <w:tcW w:w="150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义乌机场</w:t>
            </w:r>
          </w:p>
        </w:tc>
      </w:tr>
      <w:tr>
        <w:tblPrEx>
          <w:tblLayout w:type="fixed"/>
          <w:tblCellMar>
            <w:top w:w="0" w:type="dxa"/>
            <w:left w:w="108" w:type="dxa"/>
            <w:bottom w:w="0" w:type="dxa"/>
            <w:right w:w="108" w:type="dxa"/>
          </w:tblCellMar>
        </w:tblPrEx>
        <w:trPr>
          <w:trHeight w:val="1125" w:hRule="atLeast"/>
        </w:trPr>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6</w:t>
            </w:r>
          </w:p>
        </w:tc>
        <w:tc>
          <w:tcPr>
            <w:tcW w:w="16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北京工厂培训</w:t>
            </w:r>
          </w:p>
        </w:tc>
        <w:tc>
          <w:tcPr>
            <w:tcW w:w="1027"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2人</w:t>
            </w:r>
          </w:p>
        </w:tc>
        <w:tc>
          <w:tcPr>
            <w:tcW w:w="31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厂家对维修人员进行维修培训</w:t>
            </w:r>
          </w:p>
        </w:tc>
        <w:tc>
          <w:tcPr>
            <w:tcW w:w="2410"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包含培训费用</w:t>
            </w:r>
          </w:p>
        </w:tc>
        <w:tc>
          <w:tcPr>
            <w:tcW w:w="150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义乌机场</w:t>
            </w:r>
          </w:p>
        </w:tc>
      </w:tr>
      <w:tr>
        <w:tblPrEx>
          <w:tblLayout w:type="fixed"/>
          <w:tblCellMar>
            <w:top w:w="0" w:type="dxa"/>
            <w:left w:w="108" w:type="dxa"/>
            <w:bottom w:w="0" w:type="dxa"/>
            <w:right w:w="108" w:type="dxa"/>
          </w:tblCellMar>
        </w:tblPrEx>
        <w:trPr>
          <w:trHeight w:val="1125" w:hRule="atLeast"/>
        </w:trPr>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7</w:t>
            </w:r>
          </w:p>
        </w:tc>
        <w:tc>
          <w:tcPr>
            <w:tcW w:w="16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货运双视角X射线机</w:t>
            </w:r>
          </w:p>
        </w:tc>
        <w:tc>
          <w:tcPr>
            <w:tcW w:w="1027"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2台</w:t>
            </w:r>
          </w:p>
        </w:tc>
        <w:tc>
          <w:tcPr>
            <w:tcW w:w="31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对进入隔离区的货物进行安全检查</w:t>
            </w:r>
          </w:p>
        </w:tc>
        <w:tc>
          <w:tcPr>
            <w:tcW w:w="2410"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设备验收由航科院安技中心实施，费用由投标人承担</w:t>
            </w:r>
          </w:p>
        </w:tc>
        <w:tc>
          <w:tcPr>
            <w:tcW w:w="150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杭州萧山国际机场</w:t>
            </w:r>
          </w:p>
        </w:tc>
      </w:tr>
      <w:tr>
        <w:tblPrEx>
          <w:tblLayout w:type="fixed"/>
          <w:tblCellMar>
            <w:top w:w="0" w:type="dxa"/>
            <w:left w:w="108" w:type="dxa"/>
            <w:bottom w:w="0" w:type="dxa"/>
            <w:right w:w="108" w:type="dxa"/>
          </w:tblCellMar>
        </w:tblPrEx>
        <w:trPr>
          <w:trHeight w:val="1125" w:hRule="atLeast"/>
        </w:trPr>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8</w:t>
            </w:r>
          </w:p>
        </w:tc>
        <w:tc>
          <w:tcPr>
            <w:tcW w:w="16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前端动力平台</w:t>
            </w:r>
          </w:p>
        </w:tc>
        <w:tc>
          <w:tcPr>
            <w:tcW w:w="1027"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2台</w:t>
            </w:r>
          </w:p>
        </w:tc>
        <w:tc>
          <w:tcPr>
            <w:tcW w:w="3118"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r>
              <w:rPr>
                <w:rFonts w:hint="eastAsia"/>
                <w:sz w:val="22"/>
              </w:rPr>
              <w:t>将货物先放在动力平台上，对</w:t>
            </w:r>
            <w:r>
              <w:rPr>
                <w:sz w:val="22"/>
              </w:rPr>
              <w:t>X</w:t>
            </w:r>
            <w:r>
              <w:rPr>
                <w:rFonts w:hint="eastAsia"/>
                <w:sz w:val="22"/>
              </w:rPr>
              <w:t>光机入口输送部分进行保护，并减小货运人员工作强度</w:t>
            </w:r>
          </w:p>
        </w:tc>
        <w:tc>
          <w:tcPr>
            <w:tcW w:w="2410" w:type="dxa"/>
            <w:tcBorders>
              <w:top w:val="single" w:color="auto" w:sz="4" w:space="0"/>
              <w:left w:val="nil"/>
              <w:bottom w:val="single" w:color="auto" w:sz="4" w:space="0"/>
              <w:right w:val="single" w:color="auto" w:sz="4" w:space="0"/>
            </w:tcBorders>
            <w:vAlign w:val="center"/>
          </w:tcPr>
          <w:p>
            <w:pPr>
              <w:adjustRightInd w:val="0"/>
              <w:snapToGrid w:val="0"/>
              <w:spacing w:line="440" w:lineRule="exact"/>
              <w:rPr>
                <w:sz w:val="22"/>
              </w:rPr>
            </w:pPr>
          </w:p>
        </w:tc>
        <w:tc>
          <w:tcPr>
            <w:tcW w:w="1508" w:type="dxa"/>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sz w:val="22"/>
              </w:rPr>
            </w:pPr>
            <w:r>
              <w:rPr>
                <w:rFonts w:hint="eastAsia"/>
                <w:sz w:val="22"/>
              </w:rPr>
              <w:t>杭州萧山国际机场</w:t>
            </w:r>
          </w:p>
        </w:tc>
      </w:tr>
    </w:tbl>
    <w:p>
      <w:pPr>
        <w:pStyle w:val="144"/>
        <w:autoSpaceDE w:val="0"/>
        <w:autoSpaceDN w:val="0"/>
        <w:snapToGrid w:val="0"/>
        <w:spacing w:line="360" w:lineRule="auto"/>
        <w:ind w:right="-468" w:rightChars="-195"/>
        <w:textAlignment w:val="bottom"/>
        <w:rPr>
          <w:rFonts w:ascii="等线" w:hAnsi="等线" w:eastAsia="等线"/>
          <w:sz w:val="22"/>
          <w:szCs w:val="22"/>
        </w:rPr>
      </w:pPr>
      <w:r>
        <w:rPr>
          <w:rFonts w:hint="eastAsia" w:ascii="等线" w:hAnsi="等线" w:eastAsia="等线"/>
          <w:b/>
          <w:sz w:val="22"/>
          <w:szCs w:val="22"/>
        </w:rPr>
        <w:t>注：买方保留在签约时对货物规格及数量作适当调整的权利。</w:t>
      </w:r>
    </w:p>
    <w:bookmarkEnd w:id="93"/>
    <w:bookmarkEnd w:id="94"/>
    <w:bookmarkEnd w:id="95"/>
    <w:p>
      <w:pPr>
        <w:pStyle w:val="4"/>
        <w:numPr>
          <w:ilvl w:val="0"/>
          <w:numId w:val="6"/>
        </w:numPr>
        <w:snapToGrid w:val="0"/>
        <w:spacing w:line="360" w:lineRule="auto"/>
        <w:rPr>
          <w:rFonts w:ascii="等线" w:hAnsi="等线" w:eastAsia="等线"/>
          <w:sz w:val="22"/>
          <w:szCs w:val="22"/>
        </w:rPr>
      </w:pPr>
      <w:bookmarkStart w:id="96" w:name="_Toc6028445"/>
      <w:bookmarkStart w:id="97" w:name="_Toc6028355"/>
      <w:bookmarkStart w:id="98" w:name="_Toc416254180"/>
      <w:bookmarkStart w:id="99" w:name="_Toc6026277"/>
      <w:bookmarkStart w:id="100" w:name="_Toc507820966"/>
      <w:bookmarkStart w:id="101" w:name="_Toc6109317"/>
      <w:r>
        <w:rPr>
          <w:rFonts w:hint="eastAsia" w:ascii="等线" w:hAnsi="等线" w:eastAsia="等线"/>
          <w:b w:val="0"/>
          <w:sz w:val="22"/>
          <w:szCs w:val="22"/>
        </w:rPr>
        <w:t>完成期限</w:t>
      </w:r>
      <w:bookmarkEnd w:id="96"/>
      <w:bookmarkEnd w:id="97"/>
      <w:bookmarkEnd w:id="98"/>
      <w:bookmarkEnd w:id="99"/>
      <w:bookmarkEnd w:id="100"/>
      <w:bookmarkEnd w:id="101"/>
    </w:p>
    <w:p>
      <w:pPr>
        <w:pStyle w:val="100"/>
        <w:keepNext w:val="0"/>
        <w:keepLines w:val="0"/>
        <w:numPr>
          <w:ilvl w:val="0"/>
          <w:numId w:val="7"/>
        </w:numPr>
        <w:tabs>
          <w:tab w:val="left" w:pos="624"/>
          <w:tab w:val="left" w:pos="1021"/>
          <w:tab w:val="clear" w:pos="864"/>
        </w:tabs>
        <w:adjustRightInd w:val="0"/>
        <w:snapToGrid w:val="0"/>
        <w:spacing w:before="0" w:after="0"/>
        <w:ind w:left="898" w:leftChars="14"/>
        <w:jc w:val="left"/>
        <w:textAlignment w:val="baseline"/>
        <w:outlineLvl w:val="9"/>
        <w:rPr>
          <w:rFonts w:ascii="等线" w:hAnsi="等线" w:eastAsia="等线"/>
          <w:sz w:val="22"/>
          <w:szCs w:val="22"/>
        </w:rPr>
      </w:pPr>
      <w:r>
        <w:rPr>
          <w:rFonts w:hint="eastAsia" w:ascii="等线" w:hAnsi="等线" w:eastAsia="等线"/>
          <w:sz w:val="22"/>
          <w:szCs w:val="22"/>
        </w:rPr>
        <w:t>合同生效后1个月内完成技术联络审定，并提出设备安装图、工程进度表。其中，需要预埋的预埋件和管线，应在20天内提交预埋图纸，否则，由中标人自行解决。</w:t>
      </w:r>
    </w:p>
    <w:p>
      <w:pPr>
        <w:pStyle w:val="100"/>
        <w:keepNext w:val="0"/>
        <w:keepLines w:val="0"/>
        <w:numPr>
          <w:ilvl w:val="0"/>
          <w:numId w:val="7"/>
        </w:numPr>
        <w:tabs>
          <w:tab w:val="left" w:pos="624"/>
          <w:tab w:val="left" w:pos="1021"/>
          <w:tab w:val="clear" w:pos="864"/>
        </w:tabs>
        <w:adjustRightInd w:val="0"/>
        <w:snapToGrid w:val="0"/>
        <w:spacing w:before="0" w:after="0"/>
        <w:ind w:left="898" w:leftChars="14"/>
        <w:jc w:val="left"/>
        <w:textAlignment w:val="baseline"/>
        <w:outlineLvl w:val="9"/>
        <w:rPr>
          <w:rFonts w:ascii="等线" w:hAnsi="等线" w:eastAsia="等线"/>
          <w:sz w:val="22"/>
          <w:szCs w:val="22"/>
        </w:rPr>
      </w:pPr>
      <w:r>
        <w:rPr>
          <w:rFonts w:hint="eastAsia" w:ascii="等线" w:hAnsi="等线" w:eastAsia="等线"/>
          <w:sz w:val="22"/>
          <w:szCs w:val="22"/>
        </w:rPr>
        <w:t>交货地点：进口、国产设备均运至杭州萧山国际机场内指定地点交货。</w:t>
      </w:r>
    </w:p>
    <w:p>
      <w:pPr>
        <w:pStyle w:val="100"/>
        <w:keepNext w:val="0"/>
        <w:keepLines w:val="0"/>
        <w:numPr>
          <w:ilvl w:val="0"/>
          <w:numId w:val="7"/>
        </w:numPr>
        <w:tabs>
          <w:tab w:val="left" w:pos="624"/>
          <w:tab w:val="left" w:pos="1021"/>
          <w:tab w:val="clear" w:pos="864"/>
        </w:tabs>
        <w:adjustRightInd w:val="0"/>
        <w:snapToGrid w:val="0"/>
        <w:spacing w:before="0" w:after="0"/>
        <w:ind w:left="898" w:leftChars="14"/>
        <w:jc w:val="left"/>
        <w:textAlignment w:val="baseline"/>
        <w:outlineLvl w:val="9"/>
        <w:rPr>
          <w:rFonts w:ascii="等线" w:hAnsi="等线" w:eastAsia="等线"/>
          <w:sz w:val="22"/>
          <w:szCs w:val="22"/>
        </w:rPr>
      </w:pPr>
      <w:r>
        <w:rPr>
          <w:rFonts w:hint="eastAsia" w:ascii="等线" w:hAnsi="等线" w:eastAsia="等线"/>
          <w:sz w:val="22"/>
          <w:szCs w:val="22"/>
        </w:rPr>
        <w:t>交货期：合同签订之日起30日历天内。中标人必须在</w:t>
      </w:r>
      <w:r>
        <w:rPr>
          <w:rFonts w:hint="eastAsia" w:ascii="等线" w:hAnsi="等线" w:eastAsia="等线"/>
          <w:color w:val="FF0000"/>
          <w:sz w:val="22"/>
          <w:szCs w:val="22"/>
        </w:rPr>
        <w:t>2019年10月31日</w:t>
      </w:r>
      <w:r>
        <w:rPr>
          <w:rFonts w:hint="eastAsia" w:ascii="等线" w:hAnsi="等线" w:eastAsia="等线"/>
          <w:sz w:val="22"/>
          <w:szCs w:val="22"/>
        </w:rPr>
        <w:t>前完成所有设备的安装、调试、试运行，验收交付最终用户使用，具体工期根据需要确定，应在标书中给予明确生产、安装、调试周期。具体时间无条件地服从业主安排。中途一切设备保管、运输、保险等全部工作由中标人负责。</w:t>
      </w:r>
    </w:p>
    <w:p>
      <w:pPr>
        <w:pStyle w:val="4"/>
        <w:numPr>
          <w:ilvl w:val="0"/>
          <w:numId w:val="6"/>
        </w:numPr>
        <w:snapToGrid w:val="0"/>
        <w:spacing w:line="360" w:lineRule="auto"/>
        <w:rPr>
          <w:rFonts w:ascii="等线" w:hAnsi="等线" w:eastAsia="等线"/>
          <w:sz w:val="22"/>
          <w:szCs w:val="22"/>
        </w:rPr>
      </w:pPr>
      <w:bookmarkStart w:id="102" w:name="_Toc498227180"/>
      <w:bookmarkStart w:id="103" w:name="_Toc498227707"/>
      <w:bookmarkStart w:id="104" w:name="_Toc498228782"/>
      <w:bookmarkStart w:id="105" w:name="_Toc507820967"/>
      <w:bookmarkStart w:id="106" w:name="_Toc6026278"/>
      <w:bookmarkStart w:id="107" w:name="_Toc6028356"/>
      <w:bookmarkStart w:id="108" w:name="_Toc6028446"/>
      <w:bookmarkStart w:id="109" w:name="_Toc6109318"/>
      <w:bookmarkStart w:id="110" w:name="_Toc416254181"/>
      <w:r>
        <w:rPr>
          <w:rFonts w:hint="eastAsia" w:ascii="等线" w:hAnsi="等线" w:eastAsia="等线"/>
          <w:b w:val="0"/>
          <w:sz w:val="22"/>
          <w:szCs w:val="22"/>
        </w:rPr>
        <w:t>偏离申明与建议</w:t>
      </w:r>
      <w:bookmarkEnd w:id="102"/>
      <w:bookmarkEnd w:id="103"/>
      <w:bookmarkEnd w:id="104"/>
      <w:bookmarkEnd w:id="105"/>
      <w:bookmarkEnd w:id="106"/>
      <w:bookmarkEnd w:id="107"/>
      <w:bookmarkEnd w:id="108"/>
      <w:bookmarkEnd w:id="109"/>
      <w:bookmarkEnd w:id="110"/>
      <w:bookmarkStart w:id="111" w:name="_Toc6028357"/>
      <w:bookmarkStart w:id="112" w:name="_Toc6028447"/>
      <w:bookmarkStart w:id="113" w:name="_Toc6109319"/>
      <w:bookmarkStart w:id="114" w:name="_Toc507820968"/>
      <w:bookmarkStart w:id="115" w:name="_Toc498227181"/>
      <w:bookmarkStart w:id="116" w:name="_Toc498228783"/>
      <w:bookmarkStart w:id="117" w:name="_Toc6026279"/>
    </w:p>
    <w:p>
      <w:pPr>
        <w:pStyle w:val="4"/>
        <w:numPr>
          <w:ilvl w:val="0"/>
          <w:numId w:val="8"/>
        </w:numPr>
        <w:snapToGrid w:val="0"/>
        <w:spacing w:line="360" w:lineRule="auto"/>
        <w:rPr>
          <w:rFonts w:ascii="等线" w:hAnsi="等线" w:eastAsia="等线"/>
          <w:b w:val="0"/>
          <w:sz w:val="22"/>
          <w:szCs w:val="22"/>
        </w:rPr>
      </w:pPr>
      <w:r>
        <w:rPr>
          <w:rFonts w:hint="eastAsia" w:ascii="等线" w:hAnsi="等线" w:eastAsia="等线"/>
          <w:b w:val="0"/>
          <w:sz w:val="22"/>
          <w:szCs w:val="22"/>
        </w:rPr>
        <w:t>偏离申明</w:t>
      </w:r>
      <w:bookmarkEnd w:id="111"/>
      <w:bookmarkEnd w:id="112"/>
      <w:bookmarkEnd w:id="113"/>
      <w:bookmarkEnd w:id="114"/>
      <w:bookmarkEnd w:id="115"/>
      <w:bookmarkEnd w:id="116"/>
      <w:bookmarkEnd w:id="117"/>
    </w:p>
    <w:p>
      <w:pPr>
        <w:pStyle w:val="34"/>
        <w:snapToGrid w:val="0"/>
        <w:spacing w:after="0" w:line="360" w:lineRule="auto"/>
        <w:ind w:left="0" w:leftChars="0" w:firstLine="440" w:firstLineChars="200"/>
        <w:rPr>
          <w:rFonts w:ascii="等线" w:hAnsi="等线" w:eastAsia="等线"/>
          <w:sz w:val="22"/>
          <w:szCs w:val="22"/>
        </w:rPr>
      </w:pPr>
      <w:r>
        <w:rPr>
          <w:rFonts w:hint="eastAsia" w:ascii="等线" w:hAnsi="等线" w:eastAsia="等线"/>
          <w:sz w:val="22"/>
          <w:szCs w:val="22"/>
        </w:rPr>
        <w:t>投标人所提供的的设备参数，必须满足本技术标书中各章所提出的各项技术数据和技术要求，并在规定的时间内完成各项工作。任何偏差都必须列入“</w:t>
      </w:r>
      <w:r>
        <w:rPr>
          <w:rFonts w:hint="eastAsia" w:ascii="等线" w:hAnsi="等线" w:eastAsia="等线" w:cs="宋体"/>
          <w:sz w:val="22"/>
          <w:szCs w:val="22"/>
        </w:rPr>
        <w:t>技术规格偏离表</w:t>
      </w:r>
      <w:r>
        <w:rPr>
          <w:rFonts w:hint="eastAsia" w:ascii="等线" w:hAnsi="等线" w:eastAsia="等线"/>
          <w:sz w:val="22"/>
          <w:szCs w:val="22"/>
        </w:rPr>
        <w:t>”中，中标后，投标人在合同谈判中的任何偏差都不得超越已被招标人确认的条款。</w:t>
      </w:r>
    </w:p>
    <w:p>
      <w:pPr>
        <w:pStyle w:val="5"/>
        <w:snapToGrid w:val="0"/>
        <w:spacing w:before="0" w:after="0" w:line="360" w:lineRule="auto"/>
        <w:ind w:firstLine="440" w:firstLineChars="200"/>
        <w:rPr>
          <w:rFonts w:ascii="等线" w:hAnsi="等线" w:eastAsia="等线"/>
          <w:sz w:val="22"/>
          <w:szCs w:val="22"/>
        </w:rPr>
      </w:pPr>
      <w:bookmarkStart w:id="118" w:name="_Toc6109320"/>
      <w:bookmarkStart w:id="119" w:name="_Toc6028448"/>
      <w:bookmarkStart w:id="120" w:name="_Toc6028358"/>
      <w:bookmarkStart w:id="121" w:name="_Toc6026280"/>
      <w:bookmarkStart w:id="122" w:name="_Toc507820969"/>
      <w:bookmarkStart w:id="123" w:name="_Toc498228784"/>
      <w:bookmarkStart w:id="124" w:name="_Toc498227182"/>
      <w:r>
        <w:rPr>
          <w:rFonts w:hint="eastAsia" w:ascii="等线" w:hAnsi="等线" w:eastAsia="等线"/>
          <w:sz w:val="22"/>
          <w:szCs w:val="22"/>
        </w:rPr>
        <w:t>2）建议</w:t>
      </w:r>
      <w:bookmarkEnd w:id="118"/>
      <w:bookmarkEnd w:id="119"/>
      <w:bookmarkEnd w:id="120"/>
      <w:bookmarkEnd w:id="121"/>
      <w:bookmarkEnd w:id="122"/>
      <w:bookmarkEnd w:id="123"/>
      <w:bookmarkEnd w:id="124"/>
    </w:p>
    <w:p>
      <w:pPr>
        <w:pStyle w:val="34"/>
        <w:snapToGrid w:val="0"/>
        <w:spacing w:after="0" w:line="360" w:lineRule="auto"/>
        <w:ind w:left="0" w:leftChars="0" w:firstLine="440" w:firstLineChars="200"/>
        <w:rPr>
          <w:rFonts w:ascii="等线" w:hAnsi="等线" w:eastAsia="等线"/>
          <w:sz w:val="22"/>
          <w:szCs w:val="22"/>
        </w:rPr>
      </w:pPr>
      <w:r>
        <w:rPr>
          <w:rFonts w:hint="eastAsia" w:ascii="等线" w:hAnsi="等线" w:eastAsia="等线"/>
          <w:sz w:val="22"/>
          <w:szCs w:val="22"/>
        </w:rPr>
        <w:t>投标人若对系统布置或设备选用有新的建议，可在投标书中提出，评标按本标书的要求进行, 投标人的建议方案不作为评标时的评判依据。若中标后，招标人有权选择投标人的建议方案，但功能和技术要求必须优于原方案，且建议方案的总报价必须小于或等于原方案的总报价。</w:t>
      </w:r>
    </w:p>
    <w:p>
      <w:pPr>
        <w:pStyle w:val="3"/>
        <w:numPr>
          <w:ilvl w:val="0"/>
          <w:numId w:val="9"/>
        </w:numPr>
        <w:snapToGrid w:val="0"/>
        <w:spacing w:before="0" w:after="0"/>
        <w:rPr>
          <w:rFonts w:ascii="等线" w:hAnsi="等线" w:eastAsia="等线"/>
          <w:sz w:val="32"/>
        </w:rPr>
      </w:pPr>
      <w:bookmarkStart w:id="125" w:name="_Toc498228785"/>
      <w:bookmarkStart w:id="126" w:name="_Toc498227708"/>
      <w:bookmarkStart w:id="127" w:name="_Toc498227183"/>
      <w:bookmarkStart w:id="128" w:name="_Toc6109321"/>
      <w:bookmarkStart w:id="129" w:name="_Toc6028449"/>
      <w:bookmarkStart w:id="130" w:name="_Toc6028359"/>
      <w:bookmarkStart w:id="131" w:name="_Toc6026281"/>
      <w:bookmarkStart w:id="132" w:name="_Toc416254182"/>
      <w:bookmarkStart w:id="133" w:name="_Toc507820970"/>
      <w:r>
        <w:rPr>
          <w:rFonts w:hint="eastAsia" w:ascii="等线" w:hAnsi="等线" w:eastAsia="等线"/>
          <w:sz w:val="32"/>
        </w:rPr>
        <w:t>总则</w:t>
      </w:r>
      <w:bookmarkEnd w:id="125"/>
      <w:bookmarkEnd w:id="126"/>
      <w:bookmarkEnd w:id="127"/>
      <w:bookmarkEnd w:id="128"/>
      <w:bookmarkEnd w:id="129"/>
      <w:bookmarkEnd w:id="130"/>
      <w:bookmarkEnd w:id="131"/>
      <w:bookmarkEnd w:id="132"/>
      <w:bookmarkEnd w:id="133"/>
    </w:p>
    <w:p>
      <w:pPr>
        <w:pStyle w:val="4"/>
        <w:numPr>
          <w:ilvl w:val="0"/>
          <w:numId w:val="0"/>
        </w:numPr>
        <w:tabs>
          <w:tab w:val="left" w:pos="420"/>
        </w:tabs>
        <w:snapToGrid w:val="0"/>
        <w:spacing w:line="360" w:lineRule="auto"/>
        <w:rPr>
          <w:rFonts w:ascii="等线" w:hAnsi="等线" w:eastAsia="等线"/>
          <w:sz w:val="22"/>
          <w:szCs w:val="22"/>
        </w:rPr>
      </w:pPr>
      <w:bookmarkStart w:id="134" w:name="_Toc416254183"/>
      <w:bookmarkStart w:id="135" w:name="_Toc6109327"/>
      <w:bookmarkStart w:id="136" w:name="_Toc6028455"/>
      <w:bookmarkStart w:id="137" w:name="_Toc6028365"/>
      <w:bookmarkStart w:id="138" w:name="_Toc6026287"/>
      <w:bookmarkStart w:id="139" w:name="_Toc507820975"/>
      <w:bookmarkStart w:id="140" w:name="_Toc498228790"/>
      <w:bookmarkStart w:id="141" w:name="_Toc498227188"/>
      <w:r>
        <w:rPr>
          <w:rFonts w:hint="eastAsia" w:ascii="等线" w:hAnsi="等线" w:eastAsia="等线"/>
          <w:sz w:val="22"/>
          <w:szCs w:val="22"/>
        </w:rPr>
        <w:t>1、</w:t>
      </w:r>
      <w:r>
        <w:rPr>
          <w:rFonts w:hint="eastAsia" w:ascii="等线" w:hAnsi="等线" w:eastAsia="等线"/>
          <w:b w:val="0"/>
          <w:sz w:val="22"/>
          <w:szCs w:val="22"/>
        </w:rPr>
        <w:t>安装位置</w:t>
      </w:r>
      <w:bookmarkEnd w:id="134"/>
      <w:bookmarkEnd w:id="135"/>
      <w:bookmarkEnd w:id="136"/>
      <w:bookmarkEnd w:id="137"/>
      <w:bookmarkEnd w:id="138"/>
      <w:bookmarkEnd w:id="139"/>
      <w:bookmarkEnd w:id="140"/>
      <w:bookmarkEnd w:id="141"/>
    </w:p>
    <w:p>
      <w:pPr>
        <w:pStyle w:val="34"/>
        <w:snapToGrid w:val="0"/>
        <w:spacing w:after="0" w:line="360" w:lineRule="auto"/>
        <w:ind w:left="0" w:leftChars="0" w:firstLine="440" w:firstLineChars="200"/>
        <w:rPr>
          <w:rFonts w:ascii="等线" w:hAnsi="等线" w:eastAsia="等线"/>
          <w:sz w:val="22"/>
          <w:szCs w:val="22"/>
        </w:rPr>
      </w:pPr>
      <w:r>
        <w:rPr>
          <w:rFonts w:hint="eastAsia" w:ascii="等线" w:hAnsi="等线" w:eastAsia="等线"/>
          <w:sz w:val="22"/>
          <w:szCs w:val="22"/>
        </w:rPr>
        <w:t>标书中所含设备均安装在杭州萧山机场安检区域或义乌机场安检区域。</w:t>
      </w:r>
    </w:p>
    <w:p>
      <w:pPr>
        <w:pStyle w:val="4"/>
        <w:numPr>
          <w:ilvl w:val="0"/>
          <w:numId w:val="10"/>
        </w:numPr>
        <w:snapToGrid w:val="0"/>
        <w:spacing w:line="360" w:lineRule="auto"/>
        <w:rPr>
          <w:rFonts w:ascii="等线" w:hAnsi="等线" w:eastAsia="等线"/>
          <w:sz w:val="22"/>
          <w:szCs w:val="22"/>
        </w:rPr>
      </w:pPr>
      <w:bookmarkStart w:id="142" w:name="_Toc6109328"/>
      <w:bookmarkStart w:id="143" w:name="_Toc6028456"/>
      <w:bookmarkStart w:id="144" w:name="_Toc6028366"/>
      <w:bookmarkStart w:id="145" w:name="_Toc6026288"/>
      <w:bookmarkStart w:id="146" w:name="_Toc507820976"/>
      <w:bookmarkStart w:id="147" w:name="_Toc498228791"/>
      <w:bookmarkStart w:id="148" w:name="_Toc498227189"/>
      <w:bookmarkStart w:id="149" w:name="_Toc416254184"/>
      <w:r>
        <w:rPr>
          <w:rFonts w:hint="eastAsia" w:ascii="等线" w:hAnsi="等线" w:eastAsia="等线"/>
          <w:b w:val="0"/>
          <w:sz w:val="22"/>
          <w:szCs w:val="22"/>
        </w:rPr>
        <w:t>气候条件</w:t>
      </w:r>
      <w:bookmarkEnd w:id="142"/>
      <w:bookmarkEnd w:id="143"/>
      <w:bookmarkEnd w:id="144"/>
      <w:bookmarkEnd w:id="145"/>
      <w:bookmarkEnd w:id="146"/>
      <w:bookmarkEnd w:id="147"/>
      <w:bookmarkEnd w:id="148"/>
      <w:bookmarkEnd w:id="149"/>
    </w:p>
    <w:p>
      <w:pPr>
        <w:pStyle w:val="100"/>
        <w:keepNext w:val="0"/>
        <w:keepLines w:val="0"/>
        <w:numPr>
          <w:ilvl w:val="0"/>
          <w:numId w:val="11"/>
        </w:numPr>
        <w:tabs>
          <w:tab w:val="left" w:pos="624"/>
          <w:tab w:val="left" w:pos="1021"/>
          <w:tab w:val="clear" w:pos="86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室内温度：夏季18℃ ---35℃</w:t>
      </w:r>
    </w:p>
    <w:p>
      <w:pPr>
        <w:pStyle w:val="100"/>
        <w:keepNext w:val="0"/>
        <w:keepLines w:val="0"/>
        <w:numPr>
          <w:ilvl w:val="0"/>
          <w:numId w:val="11"/>
        </w:numPr>
        <w:tabs>
          <w:tab w:val="left" w:pos="624"/>
          <w:tab w:val="left" w:pos="1021"/>
          <w:tab w:val="clear" w:pos="86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室内温度：冬季  5℃ ---20℃</w:t>
      </w:r>
    </w:p>
    <w:p>
      <w:pPr>
        <w:pStyle w:val="100"/>
        <w:keepNext w:val="0"/>
        <w:keepLines w:val="0"/>
        <w:numPr>
          <w:ilvl w:val="0"/>
          <w:numId w:val="11"/>
        </w:numPr>
        <w:tabs>
          <w:tab w:val="left" w:pos="624"/>
          <w:tab w:val="left" w:pos="1021"/>
          <w:tab w:val="clear" w:pos="86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相对湿度：40 ％</w:t>
      </w:r>
      <w:r>
        <w:rPr>
          <w:rFonts w:ascii="µÈÏß Western" w:hAnsi="µÈÏß Western" w:eastAsia="等线"/>
          <w:sz w:val="22"/>
          <w:szCs w:val="22"/>
        </w:rPr>
        <w:t>—</w:t>
      </w:r>
      <w:r>
        <w:rPr>
          <w:rFonts w:hint="eastAsia" w:ascii="等线" w:hAnsi="等线" w:eastAsia="等线"/>
          <w:sz w:val="22"/>
          <w:szCs w:val="22"/>
        </w:rPr>
        <w:t>70 %</w:t>
      </w:r>
    </w:p>
    <w:p>
      <w:pPr>
        <w:pStyle w:val="4"/>
        <w:numPr>
          <w:ilvl w:val="0"/>
          <w:numId w:val="10"/>
        </w:numPr>
        <w:snapToGrid w:val="0"/>
        <w:spacing w:line="360" w:lineRule="auto"/>
        <w:rPr>
          <w:rFonts w:ascii="等线" w:hAnsi="等线" w:eastAsia="等线"/>
          <w:sz w:val="22"/>
          <w:szCs w:val="22"/>
        </w:rPr>
      </w:pPr>
      <w:bookmarkStart w:id="150" w:name="_Toc416254185"/>
      <w:bookmarkStart w:id="151" w:name="_Toc6109329"/>
      <w:bookmarkStart w:id="152" w:name="_Toc6028457"/>
      <w:bookmarkStart w:id="153" w:name="_Toc6028367"/>
      <w:bookmarkStart w:id="154" w:name="_Toc6026289"/>
      <w:bookmarkStart w:id="155" w:name="_Toc507820977"/>
      <w:bookmarkStart w:id="156" w:name="_Toc498228792"/>
      <w:bookmarkStart w:id="157" w:name="_Toc498227190"/>
      <w:r>
        <w:rPr>
          <w:rFonts w:hint="eastAsia" w:ascii="等线" w:hAnsi="等线" w:eastAsia="等线"/>
          <w:b w:val="0"/>
          <w:sz w:val="22"/>
          <w:szCs w:val="22"/>
        </w:rPr>
        <w:t>供电参数</w:t>
      </w:r>
      <w:bookmarkEnd w:id="150"/>
      <w:bookmarkEnd w:id="151"/>
      <w:bookmarkEnd w:id="152"/>
      <w:bookmarkEnd w:id="153"/>
      <w:bookmarkEnd w:id="154"/>
      <w:bookmarkEnd w:id="155"/>
      <w:bookmarkEnd w:id="156"/>
      <w:bookmarkEnd w:id="157"/>
    </w:p>
    <w:p>
      <w:pPr>
        <w:pStyle w:val="100"/>
        <w:keepNext w:val="0"/>
        <w:keepLines w:val="0"/>
        <w:numPr>
          <w:ilvl w:val="0"/>
          <w:numId w:val="12"/>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电源 AC 220V 50H</w:t>
      </w:r>
      <w:r>
        <w:rPr>
          <w:rFonts w:hint="eastAsia" w:ascii="等线" w:hAnsi="等线" w:eastAsia="等线"/>
          <w:sz w:val="22"/>
          <w:szCs w:val="22"/>
          <w:vertAlign w:val="subscript"/>
        </w:rPr>
        <w:t xml:space="preserve">Z </w:t>
      </w:r>
      <w:r>
        <w:rPr>
          <w:rFonts w:hint="eastAsia" w:ascii="等线" w:hAnsi="等线" w:eastAsia="等线"/>
          <w:sz w:val="22"/>
          <w:szCs w:val="22"/>
        </w:rPr>
        <w:t>单相三线制</w:t>
      </w:r>
    </w:p>
    <w:p>
      <w:pPr>
        <w:pStyle w:val="100"/>
        <w:keepNext w:val="0"/>
        <w:keepLines w:val="0"/>
        <w:numPr>
          <w:ilvl w:val="0"/>
          <w:numId w:val="12"/>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 xml:space="preserve">电压变化：± 10% </w:t>
      </w:r>
    </w:p>
    <w:p>
      <w:pPr>
        <w:pStyle w:val="100"/>
        <w:keepNext w:val="0"/>
        <w:keepLines w:val="0"/>
        <w:numPr>
          <w:ilvl w:val="0"/>
          <w:numId w:val="12"/>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频率变化：±2%</w:t>
      </w:r>
      <w:bookmarkStart w:id="158" w:name="_Toc498228793"/>
      <w:bookmarkStart w:id="159" w:name="_Toc498227191"/>
    </w:p>
    <w:p>
      <w:pPr>
        <w:pStyle w:val="4"/>
        <w:numPr>
          <w:ilvl w:val="0"/>
          <w:numId w:val="10"/>
        </w:numPr>
        <w:snapToGrid w:val="0"/>
        <w:spacing w:line="360" w:lineRule="auto"/>
        <w:ind w:left="0" w:firstLine="0"/>
        <w:rPr>
          <w:rFonts w:ascii="等线" w:hAnsi="等线" w:eastAsia="等线"/>
          <w:sz w:val="22"/>
          <w:szCs w:val="22"/>
        </w:rPr>
      </w:pPr>
      <w:bookmarkStart w:id="160" w:name="_Toc416254186"/>
      <w:bookmarkStart w:id="161" w:name="_Toc6109330"/>
      <w:bookmarkStart w:id="162" w:name="_Toc6028458"/>
      <w:bookmarkStart w:id="163" w:name="_Toc6028368"/>
      <w:bookmarkStart w:id="164" w:name="_Toc6026290"/>
      <w:bookmarkStart w:id="165" w:name="_Toc507820978"/>
      <w:r>
        <w:rPr>
          <w:rFonts w:hint="eastAsia" w:ascii="等线" w:hAnsi="等线" w:eastAsia="等线"/>
          <w:b w:val="0"/>
          <w:sz w:val="22"/>
          <w:szCs w:val="22"/>
        </w:rPr>
        <w:t>工作制度</w:t>
      </w:r>
      <w:bookmarkEnd w:id="158"/>
      <w:bookmarkEnd w:id="159"/>
      <w:bookmarkEnd w:id="160"/>
      <w:bookmarkEnd w:id="161"/>
      <w:bookmarkEnd w:id="162"/>
      <w:bookmarkEnd w:id="163"/>
      <w:bookmarkEnd w:id="164"/>
      <w:bookmarkEnd w:id="165"/>
    </w:p>
    <w:p>
      <w:pPr>
        <w:pStyle w:val="34"/>
        <w:snapToGrid w:val="0"/>
        <w:spacing w:after="0" w:line="360" w:lineRule="auto"/>
        <w:ind w:left="0" w:leftChars="0" w:firstLine="440" w:firstLineChars="200"/>
        <w:rPr>
          <w:rFonts w:ascii="等线" w:hAnsi="等线" w:eastAsia="等线"/>
          <w:sz w:val="22"/>
          <w:szCs w:val="22"/>
        </w:rPr>
      </w:pPr>
      <w:r>
        <w:rPr>
          <w:rFonts w:hint="eastAsia" w:ascii="等线" w:hAnsi="等线" w:eastAsia="等线"/>
          <w:sz w:val="22"/>
          <w:szCs w:val="22"/>
        </w:rPr>
        <w:t>全年365天，每天18小时运营作业。</w:t>
      </w:r>
    </w:p>
    <w:p>
      <w:pPr>
        <w:pStyle w:val="4"/>
        <w:numPr>
          <w:ilvl w:val="0"/>
          <w:numId w:val="10"/>
        </w:numPr>
        <w:snapToGrid w:val="0"/>
        <w:spacing w:line="360" w:lineRule="auto"/>
        <w:ind w:left="0" w:firstLine="0"/>
        <w:rPr>
          <w:rFonts w:ascii="等线" w:hAnsi="等线" w:eastAsia="等线"/>
          <w:sz w:val="22"/>
          <w:szCs w:val="22"/>
        </w:rPr>
      </w:pPr>
      <w:bookmarkStart w:id="166" w:name="_Toc416254187"/>
      <w:bookmarkStart w:id="167" w:name="_Toc6109331"/>
      <w:bookmarkStart w:id="168" w:name="_Toc6028459"/>
      <w:bookmarkStart w:id="169" w:name="_Toc6028369"/>
      <w:bookmarkStart w:id="170" w:name="_Toc6026291"/>
      <w:bookmarkStart w:id="171" w:name="_Toc507820979"/>
      <w:bookmarkStart w:id="172" w:name="_Toc498228795"/>
      <w:bookmarkStart w:id="173" w:name="_Toc498227711"/>
      <w:bookmarkStart w:id="174" w:name="_Toc498227193"/>
      <w:r>
        <w:rPr>
          <w:rFonts w:hint="eastAsia" w:ascii="等线" w:hAnsi="等线" w:eastAsia="等线"/>
          <w:b w:val="0"/>
          <w:sz w:val="22"/>
          <w:szCs w:val="22"/>
        </w:rPr>
        <w:t>设计标准</w:t>
      </w:r>
      <w:bookmarkEnd w:id="166"/>
      <w:bookmarkEnd w:id="167"/>
      <w:bookmarkEnd w:id="168"/>
      <w:bookmarkEnd w:id="169"/>
      <w:bookmarkEnd w:id="170"/>
      <w:bookmarkEnd w:id="171"/>
      <w:bookmarkEnd w:id="172"/>
      <w:bookmarkEnd w:id="173"/>
      <w:bookmarkEnd w:id="174"/>
    </w:p>
    <w:p>
      <w:pPr>
        <w:pStyle w:val="5"/>
        <w:snapToGrid w:val="0"/>
        <w:spacing w:before="0" w:after="0" w:line="360" w:lineRule="auto"/>
        <w:rPr>
          <w:rFonts w:ascii="等线" w:hAnsi="等线" w:eastAsia="等线"/>
          <w:sz w:val="22"/>
          <w:szCs w:val="22"/>
        </w:rPr>
      </w:pPr>
      <w:bookmarkStart w:id="175" w:name="_Toc498228796"/>
      <w:bookmarkStart w:id="176" w:name="_Toc498227194"/>
      <w:bookmarkStart w:id="177" w:name="_Toc6109332"/>
      <w:bookmarkStart w:id="178" w:name="_Toc6028460"/>
      <w:bookmarkStart w:id="179" w:name="_Toc6028370"/>
      <w:bookmarkStart w:id="180" w:name="_Toc6026292"/>
      <w:bookmarkStart w:id="181" w:name="_Toc507820980"/>
      <w:r>
        <w:rPr>
          <w:rFonts w:hint="eastAsia" w:ascii="等线" w:hAnsi="等线" w:eastAsia="等线"/>
          <w:sz w:val="22"/>
          <w:szCs w:val="22"/>
        </w:rPr>
        <w:t>5.1可用的标准</w:t>
      </w:r>
      <w:bookmarkEnd w:id="175"/>
      <w:bookmarkEnd w:id="176"/>
      <w:r>
        <w:rPr>
          <w:rFonts w:hint="eastAsia" w:ascii="等线" w:hAnsi="等线" w:eastAsia="等线"/>
          <w:sz w:val="22"/>
          <w:szCs w:val="22"/>
        </w:rPr>
        <w:t>和规范</w:t>
      </w:r>
      <w:bookmarkEnd w:id="177"/>
      <w:bookmarkEnd w:id="178"/>
      <w:bookmarkEnd w:id="179"/>
      <w:bookmarkEnd w:id="180"/>
      <w:bookmarkEnd w:id="181"/>
    </w:p>
    <w:p>
      <w:pPr>
        <w:pStyle w:val="34"/>
        <w:snapToGrid w:val="0"/>
        <w:spacing w:after="0" w:line="360" w:lineRule="auto"/>
        <w:ind w:left="0" w:leftChars="0" w:firstLine="440" w:firstLineChars="200"/>
        <w:rPr>
          <w:rFonts w:ascii="等线" w:hAnsi="等线" w:eastAsia="等线"/>
          <w:sz w:val="22"/>
          <w:szCs w:val="22"/>
        </w:rPr>
      </w:pPr>
      <w:r>
        <w:rPr>
          <w:rFonts w:hint="eastAsia" w:ascii="等线" w:hAnsi="等线" w:eastAsia="等线"/>
          <w:sz w:val="22"/>
          <w:szCs w:val="22"/>
        </w:rPr>
        <w:t>投标人必须依据现行国际安全标准和设计标准进行设备生产制造，除特殊规定外，所有机械及电气设备，在设计、制造、安装和检验上均要符合以下标准和规范的最新且已实施的版本。</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GB15208-94   微剂量X射线安全检查设备</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MH/T7003-2017民用航空运输机场保卫设施建设标准</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中国民用航空旅客、行李国内运输规则</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MD-SB-2013-004民用航空旅客行李X射线安全检查设备定期检测内控标准</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MD-SB-2013-003民用航空旅客行李X射线安全检查设备验收内控标准</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MD-SB-2018-007民用航空旅客行李X射线双视角安全检查设备定期检测内控标准</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MD-SB-2015-005民用航空旅客行李X射线双视角安全检查设备验收内控标准</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MD-SB-2011-002民用航空货物运输X射线安全检查设备定期检测内控标准</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MD-SB-2013-005民用航空货物运输X射线安全检查设备验收内控标准</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MD-SB-2018-008民用航空货物运输X射线双视角安全检查设备定期检测内控标准</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MD-SB-2015-007民用航空货物运输X射线双视角安全检查设备验收内控标准</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ISO    国际标准化组织标准</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IEC    国际电工委员会标准</w:t>
      </w:r>
    </w:p>
    <w:p>
      <w:pPr>
        <w:pStyle w:val="100"/>
        <w:keepNext w:val="0"/>
        <w:keepLines w:val="0"/>
        <w:numPr>
          <w:ilvl w:val="0"/>
          <w:numId w:val="13"/>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IATA   国际航空运输协会标准</w:t>
      </w:r>
    </w:p>
    <w:p>
      <w:pPr>
        <w:pStyle w:val="100"/>
        <w:keepNext w:val="0"/>
        <w:keepLines w:val="0"/>
        <w:tabs>
          <w:tab w:val="left" w:pos="1021"/>
        </w:tabs>
        <w:adjustRightInd w:val="0"/>
        <w:snapToGrid w:val="0"/>
        <w:spacing w:before="0" w:after="0"/>
        <w:ind w:left="240" w:leftChars="100" w:firstLine="0"/>
        <w:jc w:val="left"/>
        <w:textAlignment w:val="baseline"/>
        <w:outlineLvl w:val="9"/>
        <w:rPr>
          <w:rFonts w:ascii="等线" w:hAnsi="等线" w:eastAsia="等线"/>
          <w:sz w:val="22"/>
          <w:szCs w:val="22"/>
        </w:rPr>
      </w:pPr>
      <w:r>
        <w:rPr>
          <w:rFonts w:hint="eastAsia" w:ascii="等线" w:hAnsi="等线" w:eastAsia="等线"/>
          <w:sz w:val="22"/>
          <w:szCs w:val="22"/>
        </w:rPr>
        <w:t>投标人使用的标准如果在本技术标书中没有规定，就必须对所用的标准进行说明。当推荐的标准和实施规则等效于或优于技术标书的要求时，该标准才可能为招标人接受。投标人必须清楚地说明用于替代的标准或实际使用的规范，并在投标时提交推荐标准或实施规范的对照文本，明显的差异点要说明。</w:t>
      </w:r>
    </w:p>
    <w:p>
      <w:pPr>
        <w:pStyle w:val="5"/>
        <w:snapToGrid w:val="0"/>
        <w:spacing w:before="0" w:after="0" w:line="360" w:lineRule="auto"/>
        <w:rPr>
          <w:rFonts w:ascii="等线" w:hAnsi="等线" w:eastAsia="等线"/>
          <w:sz w:val="22"/>
          <w:szCs w:val="22"/>
        </w:rPr>
      </w:pPr>
      <w:bookmarkStart w:id="182" w:name="_Toc6109333"/>
      <w:bookmarkStart w:id="183" w:name="_Toc6028461"/>
      <w:bookmarkStart w:id="184" w:name="_Toc6028371"/>
      <w:bookmarkStart w:id="185" w:name="_Toc6026293"/>
      <w:bookmarkStart w:id="186" w:name="_Toc507820981"/>
      <w:bookmarkStart w:id="187" w:name="_Toc498228797"/>
      <w:bookmarkStart w:id="188" w:name="_Toc498227195"/>
      <w:r>
        <w:rPr>
          <w:rFonts w:hint="eastAsia" w:ascii="等线" w:hAnsi="等线" w:eastAsia="等线"/>
          <w:sz w:val="22"/>
          <w:szCs w:val="22"/>
        </w:rPr>
        <w:t>5.2标准化与通用化</w:t>
      </w:r>
      <w:bookmarkEnd w:id="182"/>
      <w:bookmarkEnd w:id="183"/>
      <w:bookmarkEnd w:id="184"/>
      <w:bookmarkEnd w:id="185"/>
      <w:bookmarkEnd w:id="186"/>
      <w:bookmarkEnd w:id="187"/>
      <w:bookmarkEnd w:id="188"/>
    </w:p>
    <w:p>
      <w:pPr>
        <w:pStyle w:val="34"/>
        <w:snapToGrid w:val="0"/>
        <w:spacing w:after="0" w:line="360" w:lineRule="auto"/>
        <w:ind w:left="0" w:leftChars="0" w:firstLine="440" w:firstLineChars="200"/>
        <w:rPr>
          <w:rFonts w:ascii="等线" w:hAnsi="等线" w:eastAsia="等线"/>
          <w:sz w:val="22"/>
          <w:szCs w:val="22"/>
        </w:rPr>
      </w:pPr>
      <w:r>
        <w:rPr>
          <w:rFonts w:hint="eastAsia" w:ascii="等线" w:hAnsi="等线" w:eastAsia="等线"/>
          <w:sz w:val="22"/>
          <w:szCs w:val="22"/>
        </w:rPr>
        <w:t>必须尽量减少本技术标书中设备零部件、配件的规格、品种，必须充分考虑其标准化、通用化，以便于互换。</w:t>
      </w:r>
    </w:p>
    <w:p>
      <w:pPr>
        <w:pStyle w:val="4"/>
        <w:numPr>
          <w:ilvl w:val="0"/>
          <w:numId w:val="10"/>
        </w:numPr>
        <w:snapToGrid w:val="0"/>
        <w:spacing w:line="360" w:lineRule="auto"/>
        <w:ind w:left="0" w:firstLine="0"/>
        <w:rPr>
          <w:rFonts w:ascii="等线" w:hAnsi="等线" w:eastAsia="等线"/>
          <w:sz w:val="22"/>
          <w:szCs w:val="22"/>
        </w:rPr>
      </w:pPr>
      <w:bookmarkStart w:id="189" w:name="_Toc416254188"/>
      <w:bookmarkStart w:id="190" w:name="_Toc6109334"/>
      <w:bookmarkStart w:id="191" w:name="_Toc6028462"/>
      <w:bookmarkStart w:id="192" w:name="_Toc6028372"/>
      <w:bookmarkStart w:id="193" w:name="_Toc6026294"/>
      <w:bookmarkStart w:id="194" w:name="_Toc507820982"/>
      <w:bookmarkStart w:id="195" w:name="_Toc498228799"/>
      <w:bookmarkStart w:id="196" w:name="_Toc498227712"/>
      <w:bookmarkStart w:id="197" w:name="_Toc498227197"/>
      <w:r>
        <w:rPr>
          <w:rFonts w:hint="eastAsia" w:ascii="等线" w:hAnsi="等线" w:eastAsia="等线"/>
          <w:b w:val="0"/>
          <w:sz w:val="22"/>
          <w:szCs w:val="22"/>
        </w:rPr>
        <w:t>故障率</w:t>
      </w:r>
      <w:bookmarkEnd w:id="189"/>
      <w:bookmarkEnd w:id="190"/>
      <w:bookmarkEnd w:id="191"/>
      <w:bookmarkEnd w:id="192"/>
      <w:bookmarkEnd w:id="193"/>
      <w:bookmarkEnd w:id="194"/>
      <w:bookmarkEnd w:id="195"/>
      <w:bookmarkEnd w:id="196"/>
      <w:bookmarkEnd w:id="197"/>
    </w:p>
    <w:p>
      <w:pPr>
        <w:pStyle w:val="34"/>
        <w:snapToGrid w:val="0"/>
        <w:spacing w:after="0" w:line="360" w:lineRule="auto"/>
        <w:ind w:left="0" w:leftChars="0" w:firstLine="440" w:firstLineChars="200"/>
        <w:rPr>
          <w:rFonts w:ascii="等线" w:hAnsi="等线" w:eastAsia="等线"/>
          <w:sz w:val="22"/>
          <w:szCs w:val="22"/>
        </w:rPr>
      </w:pPr>
      <w:r>
        <w:rPr>
          <w:rFonts w:hint="eastAsia" w:ascii="等线" w:hAnsi="等线" w:eastAsia="等线"/>
          <w:sz w:val="22"/>
          <w:szCs w:val="22"/>
        </w:rPr>
        <w:t>安检设备的无故障使用时间(MTBF)7000小时以上。系统的可用性</w:t>
      </w:r>
      <w:r>
        <w:rPr>
          <w:rFonts w:eastAsia="等线"/>
          <w:sz w:val="22"/>
          <w:szCs w:val="22"/>
        </w:rPr>
        <w:sym w:font="Times New Roman" w:char="F02F"/>
      </w:r>
      <w:r>
        <w:rPr>
          <w:rFonts w:ascii="µÈÏß Western" w:hAnsi="µÈÏß Western" w:eastAsia="等线"/>
          <w:sz w:val="22"/>
          <w:szCs w:val="22"/>
        </w:rPr>
        <w:t>99.99%</w:t>
      </w:r>
    </w:p>
    <w:p>
      <w:pPr>
        <w:pStyle w:val="4"/>
        <w:numPr>
          <w:ilvl w:val="0"/>
          <w:numId w:val="10"/>
        </w:numPr>
        <w:snapToGrid w:val="0"/>
        <w:spacing w:line="360" w:lineRule="auto"/>
        <w:ind w:left="0" w:firstLine="0"/>
        <w:rPr>
          <w:rFonts w:ascii="等线" w:hAnsi="等线" w:eastAsia="等线"/>
          <w:sz w:val="22"/>
          <w:szCs w:val="22"/>
        </w:rPr>
      </w:pPr>
      <w:bookmarkStart w:id="198" w:name="_Toc416254189"/>
      <w:bookmarkStart w:id="199" w:name="_Toc6109335"/>
      <w:bookmarkStart w:id="200" w:name="_Toc6028463"/>
      <w:bookmarkStart w:id="201" w:name="_Toc6028373"/>
      <w:bookmarkStart w:id="202" w:name="_Toc6026295"/>
      <w:bookmarkStart w:id="203" w:name="_Toc507820983"/>
      <w:bookmarkStart w:id="204" w:name="_Toc498228800"/>
      <w:bookmarkStart w:id="205" w:name="_Toc498227713"/>
      <w:bookmarkStart w:id="206" w:name="_Toc498227198"/>
      <w:r>
        <w:rPr>
          <w:rFonts w:hint="eastAsia" w:ascii="等线" w:hAnsi="等线" w:eastAsia="等线"/>
          <w:b w:val="0"/>
          <w:sz w:val="22"/>
          <w:szCs w:val="22"/>
        </w:rPr>
        <w:t>无线电干扰</w:t>
      </w:r>
      <w:bookmarkEnd w:id="198"/>
      <w:bookmarkEnd w:id="199"/>
      <w:bookmarkEnd w:id="200"/>
      <w:bookmarkEnd w:id="201"/>
      <w:bookmarkEnd w:id="202"/>
      <w:bookmarkEnd w:id="203"/>
      <w:bookmarkEnd w:id="204"/>
      <w:bookmarkEnd w:id="205"/>
      <w:bookmarkEnd w:id="206"/>
    </w:p>
    <w:p>
      <w:pPr>
        <w:pStyle w:val="100"/>
        <w:keepNext w:val="0"/>
        <w:keepLines w:val="0"/>
        <w:numPr>
          <w:ilvl w:val="0"/>
          <w:numId w:val="14"/>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设备不应产生对机场各通讯、导航系统、弱电系统、飞行器、地面车辆、BHS之间的通讯干扰。</w:t>
      </w:r>
    </w:p>
    <w:p>
      <w:pPr>
        <w:pStyle w:val="100"/>
        <w:keepNext w:val="0"/>
        <w:keepLines w:val="0"/>
        <w:numPr>
          <w:ilvl w:val="0"/>
          <w:numId w:val="14"/>
        </w:numPr>
        <w:tabs>
          <w:tab w:val="left" w:pos="624"/>
          <w:tab w:val="left" w:pos="1021"/>
          <w:tab w:val="clear" w:pos="864"/>
        </w:tabs>
        <w:adjustRightInd w:val="0"/>
        <w:snapToGrid w:val="0"/>
        <w:spacing w:before="0" w:after="0"/>
        <w:ind w:left="1044" w:leftChars="75"/>
        <w:jc w:val="left"/>
        <w:textAlignment w:val="baseline"/>
        <w:outlineLvl w:val="9"/>
        <w:rPr>
          <w:rFonts w:ascii="等线" w:hAnsi="等线" w:eastAsia="等线"/>
          <w:sz w:val="22"/>
          <w:szCs w:val="22"/>
        </w:rPr>
      </w:pPr>
      <w:r>
        <w:rPr>
          <w:rFonts w:hint="eastAsia" w:ascii="等线" w:hAnsi="等线" w:eastAsia="等线"/>
          <w:sz w:val="22"/>
          <w:szCs w:val="22"/>
        </w:rPr>
        <w:t>电气、电子设备，包括联结电线、电缆的设计，必须使它们不受在机场使用和安装的其它设备产生的电磁波的干扰，安检设备和管理系统也不能相互干扰，必须保证正常工作。</w:t>
      </w:r>
    </w:p>
    <w:p>
      <w:pPr>
        <w:pStyle w:val="4"/>
        <w:numPr>
          <w:ilvl w:val="0"/>
          <w:numId w:val="10"/>
        </w:numPr>
        <w:snapToGrid w:val="0"/>
        <w:spacing w:line="360" w:lineRule="auto"/>
        <w:ind w:left="0" w:firstLine="0"/>
        <w:rPr>
          <w:rFonts w:ascii="等线" w:hAnsi="等线" w:eastAsia="等线"/>
          <w:sz w:val="22"/>
          <w:szCs w:val="22"/>
        </w:rPr>
      </w:pPr>
      <w:bookmarkStart w:id="207" w:name="_Toc416254190"/>
      <w:bookmarkStart w:id="208" w:name="_Toc6109336"/>
      <w:bookmarkStart w:id="209" w:name="_Toc6028464"/>
      <w:bookmarkStart w:id="210" w:name="_Toc6028374"/>
      <w:bookmarkStart w:id="211" w:name="_Toc6026296"/>
      <w:bookmarkStart w:id="212" w:name="_Toc507820984"/>
      <w:r>
        <w:rPr>
          <w:rFonts w:hint="eastAsia" w:ascii="等线" w:hAnsi="等线" w:eastAsia="等线"/>
          <w:b w:val="0"/>
          <w:sz w:val="22"/>
          <w:szCs w:val="22"/>
        </w:rPr>
        <w:t>防鼠害</w:t>
      </w:r>
      <w:bookmarkEnd w:id="207"/>
      <w:bookmarkEnd w:id="208"/>
      <w:bookmarkEnd w:id="209"/>
      <w:bookmarkEnd w:id="210"/>
      <w:bookmarkEnd w:id="211"/>
      <w:bookmarkEnd w:id="212"/>
    </w:p>
    <w:p>
      <w:pPr>
        <w:pStyle w:val="100"/>
        <w:keepNext w:val="0"/>
        <w:keepLines w:val="0"/>
        <w:numPr>
          <w:ilvl w:val="0"/>
          <w:numId w:val="15"/>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所有的设备应采取有效的措施防止鼠类等啮齿动物进入，避免造成设备和系统的损害，应能有效的防止其他昆虫的进入造成设备的故障。</w:t>
      </w:r>
    </w:p>
    <w:p>
      <w:pPr>
        <w:pStyle w:val="100"/>
        <w:keepNext w:val="0"/>
        <w:keepLines w:val="0"/>
        <w:numPr>
          <w:ilvl w:val="0"/>
          <w:numId w:val="15"/>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所有的安全检查设备都必须有防潮、防霉菌、防鼠害的措施。</w:t>
      </w:r>
    </w:p>
    <w:p>
      <w:pPr>
        <w:pStyle w:val="4"/>
        <w:numPr>
          <w:ilvl w:val="0"/>
          <w:numId w:val="10"/>
        </w:numPr>
        <w:snapToGrid w:val="0"/>
        <w:spacing w:line="360" w:lineRule="auto"/>
        <w:ind w:left="0" w:firstLine="0"/>
        <w:rPr>
          <w:rFonts w:ascii="等线" w:hAnsi="等线" w:eastAsia="等线"/>
          <w:sz w:val="22"/>
          <w:szCs w:val="22"/>
        </w:rPr>
      </w:pPr>
      <w:bookmarkStart w:id="213" w:name="_Toc416254191"/>
      <w:bookmarkStart w:id="214" w:name="_Toc6109340"/>
      <w:bookmarkStart w:id="215" w:name="_Toc6028468"/>
      <w:bookmarkStart w:id="216" w:name="_Toc6028378"/>
      <w:bookmarkStart w:id="217" w:name="_Toc6026300"/>
      <w:bookmarkStart w:id="218" w:name="_Toc507820988"/>
      <w:bookmarkStart w:id="219" w:name="_Toc498228804"/>
      <w:bookmarkStart w:id="220" w:name="_Toc498227715"/>
      <w:bookmarkStart w:id="221" w:name="_Toc498227202"/>
      <w:r>
        <w:rPr>
          <w:rFonts w:hint="eastAsia" w:ascii="等线" w:hAnsi="等线" w:eastAsia="等线"/>
          <w:b w:val="0"/>
          <w:sz w:val="22"/>
          <w:szCs w:val="22"/>
        </w:rPr>
        <w:t>技术资料要求</w:t>
      </w:r>
      <w:bookmarkEnd w:id="213"/>
      <w:bookmarkEnd w:id="214"/>
      <w:bookmarkEnd w:id="215"/>
      <w:bookmarkEnd w:id="216"/>
      <w:bookmarkEnd w:id="217"/>
      <w:bookmarkEnd w:id="218"/>
      <w:bookmarkEnd w:id="219"/>
      <w:bookmarkEnd w:id="220"/>
      <w:bookmarkEnd w:id="221"/>
    </w:p>
    <w:p>
      <w:pPr>
        <w:pStyle w:val="5"/>
        <w:snapToGrid w:val="0"/>
        <w:spacing w:before="0" w:after="0" w:line="360" w:lineRule="auto"/>
        <w:rPr>
          <w:rFonts w:ascii="等线" w:hAnsi="等线" w:eastAsia="等线"/>
          <w:sz w:val="22"/>
          <w:szCs w:val="22"/>
        </w:rPr>
      </w:pPr>
      <w:bookmarkStart w:id="222" w:name="_Toc6109341"/>
      <w:bookmarkStart w:id="223" w:name="_Toc6028469"/>
      <w:bookmarkStart w:id="224" w:name="_Toc6028379"/>
      <w:bookmarkStart w:id="225" w:name="_Toc6026301"/>
      <w:bookmarkStart w:id="226" w:name="_Toc507820989"/>
      <w:bookmarkStart w:id="227" w:name="_Toc498228805"/>
      <w:bookmarkStart w:id="228" w:name="_Toc498227203"/>
      <w:r>
        <w:rPr>
          <w:rFonts w:hint="eastAsia" w:ascii="等线" w:hAnsi="等线" w:eastAsia="等线"/>
          <w:sz w:val="22"/>
          <w:szCs w:val="22"/>
        </w:rPr>
        <w:t>9.1要求</w:t>
      </w:r>
      <w:bookmarkEnd w:id="222"/>
      <w:bookmarkEnd w:id="223"/>
      <w:bookmarkEnd w:id="224"/>
      <w:bookmarkEnd w:id="225"/>
      <w:bookmarkEnd w:id="226"/>
      <w:bookmarkEnd w:id="227"/>
      <w:bookmarkEnd w:id="228"/>
    </w:p>
    <w:p>
      <w:pPr>
        <w:pStyle w:val="100"/>
        <w:keepNext w:val="0"/>
        <w:keepLines w:val="0"/>
        <w:numPr>
          <w:ilvl w:val="0"/>
          <w:numId w:val="16"/>
        </w:numPr>
        <w:tabs>
          <w:tab w:val="left" w:pos="28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投标人签约后，必须做出一份计划表，由招标人核准，该计划必须满足设计、安装、调试、检验等实施工作的进展要求。</w:t>
      </w:r>
    </w:p>
    <w:p>
      <w:pPr>
        <w:pStyle w:val="100"/>
        <w:keepNext w:val="0"/>
        <w:keepLines w:val="0"/>
        <w:numPr>
          <w:ilvl w:val="0"/>
          <w:numId w:val="16"/>
        </w:numPr>
        <w:tabs>
          <w:tab w:val="left" w:pos="28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只有被招标人批准的图纸及有关文件才可用于工程的实施中。如在实施中有必要的修改时，投标人必须提交书面报告报招标人批准。</w:t>
      </w:r>
    </w:p>
    <w:p>
      <w:pPr>
        <w:pStyle w:val="100"/>
        <w:keepNext w:val="0"/>
        <w:keepLines w:val="0"/>
        <w:numPr>
          <w:ilvl w:val="0"/>
          <w:numId w:val="16"/>
        </w:numPr>
        <w:tabs>
          <w:tab w:val="left" w:pos="28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如果技术文件发生短缺、损失或损坏，投标人在收到招标人通知后二十天内，补齐这部分文件。由于投标人提交了不完整或不正确的图纸及数据引起的制造或安装、调试的延误，投标人必须负担由此引起的责任和费用。</w:t>
      </w:r>
    </w:p>
    <w:p>
      <w:pPr>
        <w:pStyle w:val="100"/>
        <w:keepNext w:val="0"/>
        <w:keepLines w:val="0"/>
        <w:numPr>
          <w:ilvl w:val="0"/>
          <w:numId w:val="16"/>
        </w:numPr>
        <w:tabs>
          <w:tab w:val="left" w:pos="28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投标人在提交文件给招标人审查时，必须保证这些技术文件有一个月的时间让招标人进行审查，以及可能要做的修改工作。双方图纸的送递都必须采用最快的方式。</w:t>
      </w:r>
    </w:p>
    <w:p>
      <w:pPr>
        <w:pStyle w:val="100"/>
        <w:keepNext w:val="0"/>
        <w:keepLines w:val="0"/>
        <w:numPr>
          <w:ilvl w:val="0"/>
          <w:numId w:val="16"/>
        </w:numPr>
        <w:tabs>
          <w:tab w:val="left" w:pos="28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招标人将在已审查过的图纸注上“已审查”字样及签名，然后送还给投标人，除招标人用书面意见提出修改的部分以外，投标人不得对“已审查”的图纸进行修改。</w:t>
      </w:r>
    </w:p>
    <w:p>
      <w:pPr>
        <w:pStyle w:val="100"/>
        <w:keepNext w:val="0"/>
        <w:keepLines w:val="0"/>
        <w:numPr>
          <w:ilvl w:val="0"/>
          <w:numId w:val="16"/>
        </w:numPr>
        <w:tabs>
          <w:tab w:val="left" w:pos="28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投标人不得因招标人对其图纸的审查，而减轻按合同要求必须负的责任，投标人必须对所交付制造、施工、安装、调试、操作及维修，以及最终的技术文件等负完全的责任。</w:t>
      </w:r>
    </w:p>
    <w:p>
      <w:pPr>
        <w:pStyle w:val="100"/>
        <w:keepNext w:val="0"/>
        <w:keepLines w:val="0"/>
        <w:numPr>
          <w:ilvl w:val="0"/>
          <w:numId w:val="16"/>
        </w:numPr>
        <w:tabs>
          <w:tab w:val="left" w:pos="28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投标人必须根据上述要求提供全套中文版或中英文对照的资料。所提交的图纸及文件均必须有合同号、图纸与文件的编号和盖有投标人已做过检查的印记。</w:t>
      </w:r>
    </w:p>
    <w:p>
      <w:pPr>
        <w:pStyle w:val="100"/>
        <w:keepNext w:val="0"/>
        <w:keepLines w:val="0"/>
        <w:numPr>
          <w:ilvl w:val="0"/>
          <w:numId w:val="16"/>
        </w:numPr>
        <w:tabs>
          <w:tab w:val="left" w:pos="28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系统原理图、布局图、线路图、设计图、装配图必须清楚，完整，应用的参考资料应全面详细。</w:t>
      </w:r>
    </w:p>
    <w:p>
      <w:pPr>
        <w:pStyle w:val="100"/>
        <w:keepNext w:val="0"/>
        <w:keepLines w:val="0"/>
        <w:numPr>
          <w:ilvl w:val="0"/>
          <w:numId w:val="16"/>
        </w:numPr>
        <w:tabs>
          <w:tab w:val="left" w:pos="284"/>
        </w:tabs>
        <w:adjustRightInd w:val="0"/>
        <w:snapToGrid w:val="0"/>
        <w:spacing w:before="0" w:after="0"/>
        <w:ind w:left="924" w:leftChars="25"/>
        <w:jc w:val="left"/>
        <w:textAlignment w:val="baseline"/>
        <w:outlineLvl w:val="9"/>
        <w:rPr>
          <w:rFonts w:ascii="等线" w:hAnsi="等线" w:eastAsia="等线"/>
          <w:sz w:val="22"/>
          <w:szCs w:val="22"/>
        </w:rPr>
      </w:pPr>
      <w:r>
        <w:rPr>
          <w:rFonts w:hint="eastAsia" w:ascii="等线" w:hAnsi="等线" w:eastAsia="等线"/>
          <w:sz w:val="22"/>
          <w:szCs w:val="22"/>
        </w:rPr>
        <w:t>所有的资料必须符合上述要求，否则招标人有权拒收。重新提交这些图纸和文件的费用由投标人负责，由此造成的工程延误由投标人负责。</w:t>
      </w:r>
    </w:p>
    <w:p>
      <w:pPr>
        <w:pStyle w:val="5"/>
        <w:snapToGrid w:val="0"/>
        <w:spacing w:before="0" w:after="0" w:line="360" w:lineRule="auto"/>
        <w:rPr>
          <w:rFonts w:ascii="等线" w:hAnsi="等线" w:eastAsia="等线"/>
          <w:sz w:val="22"/>
          <w:szCs w:val="22"/>
        </w:rPr>
      </w:pPr>
      <w:bookmarkStart w:id="229" w:name="_Toc6109342"/>
      <w:bookmarkStart w:id="230" w:name="_Toc6028470"/>
      <w:bookmarkStart w:id="231" w:name="_Toc6028380"/>
      <w:bookmarkStart w:id="232" w:name="_Toc6026302"/>
      <w:bookmarkStart w:id="233" w:name="_Toc507820990"/>
      <w:bookmarkStart w:id="234" w:name="_Toc498228806"/>
      <w:bookmarkStart w:id="235" w:name="_Toc498227204"/>
      <w:r>
        <w:rPr>
          <w:rFonts w:hint="eastAsia" w:ascii="等线" w:hAnsi="等线" w:eastAsia="等线"/>
          <w:sz w:val="22"/>
          <w:szCs w:val="22"/>
        </w:rPr>
        <w:t>9.2投标时所提供资料</w:t>
      </w:r>
      <w:bookmarkEnd w:id="229"/>
      <w:bookmarkEnd w:id="230"/>
      <w:bookmarkEnd w:id="231"/>
      <w:bookmarkEnd w:id="232"/>
      <w:bookmarkEnd w:id="233"/>
      <w:bookmarkEnd w:id="234"/>
      <w:bookmarkEnd w:id="235"/>
    </w:p>
    <w:p>
      <w:pPr>
        <w:snapToGrid w:val="0"/>
        <w:spacing w:line="360" w:lineRule="auto"/>
        <w:rPr>
          <w:rFonts w:ascii="Cambria" w:hAnsi="Cambria" w:eastAsia="宋体"/>
          <w:sz w:val="22"/>
        </w:rPr>
      </w:pPr>
      <w:r>
        <w:rPr>
          <w:sz w:val="22"/>
        </w:rPr>
        <w:t xml:space="preserve">    </w:t>
      </w:r>
      <w:r>
        <w:rPr>
          <w:rFonts w:hint="eastAsia"/>
          <w:sz w:val="22"/>
        </w:rPr>
        <w:t>本节所要求的系统文件应是中文或中英文对照本。</w:t>
      </w:r>
    </w:p>
    <w:p>
      <w:pPr>
        <w:pStyle w:val="100"/>
        <w:keepNext w:val="0"/>
        <w:keepLines w:val="0"/>
        <w:numPr>
          <w:ilvl w:val="0"/>
          <w:numId w:val="17"/>
        </w:numPr>
        <w:tabs>
          <w:tab w:val="left" w:pos="624"/>
          <w:tab w:val="left" w:pos="1021"/>
          <w:tab w:val="clear" w:pos="864"/>
        </w:tabs>
        <w:adjustRightInd w:val="0"/>
        <w:snapToGrid w:val="0"/>
        <w:spacing w:before="0" w:after="0"/>
        <w:ind w:left="869" w:leftChars="2"/>
        <w:jc w:val="left"/>
        <w:textAlignment w:val="baseline"/>
        <w:outlineLvl w:val="9"/>
        <w:rPr>
          <w:rFonts w:ascii="等线" w:hAnsi="等线" w:eastAsia="等线"/>
          <w:sz w:val="22"/>
          <w:szCs w:val="22"/>
        </w:rPr>
      </w:pPr>
      <w:r>
        <w:rPr>
          <w:rFonts w:hint="eastAsia" w:ascii="等线" w:hAnsi="等线" w:eastAsia="等线"/>
          <w:sz w:val="22"/>
          <w:szCs w:val="22"/>
        </w:rPr>
        <w:t>提供技术资格能力资料。</w:t>
      </w:r>
    </w:p>
    <w:p>
      <w:pPr>
        <w:pStyle w:val="100"/>
        <w:keepNext w:val="0"/>
        <w:keepLines w:val="0"/>
        <w:numPr>
          <w:ilvl w:val="0"/>
          <w:numId w:val="17"/>
        </w:numPr>
        <w:tabs>
          <w:tab w:val="left" w:pos="624"/>
          <w:tab w:val="left" w:pos="1021"/>
          <w:tab w:val="clear" w:pos="864"/>
        </w:tabs>
        <w:adjustRightInd w:val="0"/>
        <w:snapToGrid w:val="0"/>
        <w:spacing w:before="0" w:after="0"/>
        <w:ind w:left="869" w:leftChars="2"/>
        <w:jc w:val="left"/>
        <w:textAlignment w:val="baseline"/>
        <w:outlineLvl w:val="9"/>
        <w:rPr>
          <w:rFonts w:ascii="等线" w:hAnsi="等线" w:eastAsia="等线"/>
          <w:sz w:val="22"/>
          <w:szCs w:val="22"/>
        </w:rPr>
      </w:pPr>
      <w:r>
        <w:rPr>
          <w:rFonts w:hint="eastAsia" w:ascii="等线" w:hAnsi="等线" w:eastAsia="等线"/>
          <w:sz w:val="22"/>
          <w:szCs w:val="22"/>
        </w:rPr>
        <w:t>设备详细配置图，设备和随机附件清单和技术说明资料。</w:t>
      </w:r>
    </w:p>
    <w:p>
      <w:pPr>
        <w:pStyle w:val="100"/>
        <w:keepNext w:val="0"/>
        <w:keepLines w:val="0"/>
        <w:numPr>
          <w:ilvl w:val="0"/>
          <w:numId w:val="17"/>
        </w:numPr>
        <w:tabs>
          <w:tab w:val="left" w:pos="624"/>
          <w:tab w:val="left" w:pos="1021"/>
          <w:tab w:val="clear" w:pos="864"/>
        </w:tabs>
        <w:adjustRightInd w:val="0"/>
        <w:snapToGrid w:val="0"/>
        <w:spacing w:before="0" w:after="0"/>
        <w:ind w:left="869" w:leftChars="2"/>
        <w:jc w:val="left"/>
        <w:textAlignment w:val="baseline"/>
        <w:outlineLvl w:val="9"/>
        <w:rPr>
          <w:rFonts w:ascii="等线" w:hAnsi="等线" w:eastAsia="等线"/>
          <w:sz w:val="22"/>
          <w:szCs w:val="22"/>
        </w:rPr>
      </w:pPr>
      <w:r>
        <w:rPr>
          <w:rFonts w:hint="eastAsia" w:ascii="等线" w:hAnsi="等线" w:eastAsia="等线"/>
          <w:sz w:val="22"/>
          <w:szCs w:val="22"/>
        </w:rPr>
        <w:t>设备安装、施工组织和进度等资料。</w:t>
      </w:r>
    </w:p>
    <w:p>
      <w:pPr>
        <w:pStyle w:val="100"/>
        <w:keepNext w:val="0"/>
        <w:keepLines w:val="0"/>
        <w:numPr>
          <w:ilvl w:val="0"/>
          <w:numId w:val="17"/>
        </w:numPr>
        <w:tabs>
          <w:tab w:val="left" w:pos="624"/>
          <w:tab w:val="left" w:pos="1021"/>
          <w:tab w:val="clear" w:pos="864"/>
        </w:tabs>
        <w:adjustRightInd w:val="0"/>
        <w:snapToGrid w:val="0"/>
        <w:spacing w:before="0" w:after="0"/>
        <w:ind w:left="869" w:leftChars="2"/>
        <w:jc w:val="left"/>
        <w:textAlignment w:val="baseline"/>
        <w:outlineLvl w:val="9"/>
        <w:rPr>
          <w:rFonts w:ascii="等线" w:hAnsi="等线" w:eastAsia="等线"/>
          <w:sz w:val="22"/>
          <w:szCs w:val="22"/>
        </w:rPr>
      </w:pPr>
      <w:r>
        <w:rPr>
          <w:rFonts w:hint="eastAsia" w:ascii="等线" w:hAnsi="等线" w:eastAsia="等线"/>
          <w:sz w:val="22"/>
          <w:szCs w:val="22"/>
        </w:rPr>
        <w:t>本技术标书中要求在投标时提供的其它资料。</w:t>
      </w:r>
    </w:p>
    <w:p>
      <w:pPr>
        <w:pStyle w:val="100"/>
        <w:keepNext w:val="0"/>
        <w:keepLines w:val="0"/>
        <w:numPr>
          <w:ilvl w:val="0"/>
          <w:numId w:val="17"/>
        </w:numPr>
        <w:tabs>
          <w:tab w:val="left" w:pos="624"/>
          <w:tab w:val="left" w:pos="1021"/>
          <w:tab w:val="clear" w:pos="864"/>
        </w:tabs>
        <w:adjustRightInd w:val="0"/>
        <w:snapToGrid w:val="0"/>
        <w:spacing w:before="0" w:after="0"/>
        <w:ind w:left="869" w:leftChars="2"/>
        <w:jc w:val="left"/>
        <w:textAlignment w:val="baseline"/>
        <w:outlineLvl w:val="9"/>
        <w:rPr>
          <w:rFonts w:ascii="等线" w:hAnsi="等线" w:eastAsia="等线"/>
          <w:sz w:val="22"/>
          <w:szCs w:val="22"/>
        </w:rPr>
      </w:pPr>
      <w:r>
        <w:rPr>
          <w:rFonts w:hint="eastAsia" w:ascii="等线" w:hAnsi="等线" w:eastAsia="等线"/>
          <w:sz w:val="22"/>
          <w:szCs w:val="22"/>
        </w:rPr>
        <w:t>验收大纲。</w:t>
      </w:r>
    </w:p>
    <w:p>
      <w:pPr>
        <w:pStyle w:val="5"/>
        <w:snapToGrid w:val="0"/>
        <w:spacing w:before="0" w:after="0" w:line="360" w:lineRule="auto"/>
        <w:rPr>
          <w:rFonts w:ascii="等线" w:hAnsi="等线" w:eastAsia="等线"/>
          <w:sz w:val="22"/>
          <w:szCs w:val="22"/>
        </w:rPr>
      </w:pPr>
      <w:bookmarkStart w:id="236" w:name="_Toc6109343"/>
      <w:bookmarkStart w:id="237" w:name="_Toc6028471"/>
      <w:bookmarkStart w:id="238" w:name="_Toc6028381"/>
      <w:bookmarkStart w:id="239" w:name="_Toc6026303"/>
      <w:bookmarkStart w:id="240" w:name="_Toc507820991"/>
      <w:bookmarkStart w:id="241" w:name="_Toc498228807"/>
      <w:bookmarkStart w:id="242" w:name="_Toc498227205"/>
      <w:r>
        <w:rPr>
          <w:rFonts w:hint="eastAsia" w:ascii="等线" w:hAnsi="等线" w:eastAsia="等线"/>
          <w:sz w:val="22"/>
          <w:szCs w:val="22"/>
        </w:rPr>
        <w:t>9.3签约后</w:t>
      </w:r>
      <w:bookmarkStart w:id="243" w:name="_Ref497571232"/>
      <w:r>
        <w:rPr>
          <w:rFonts w:hint="eastAsia" w:ascii="等线" w:hAnsi="等线" w:eastAsia="等线"/>
          <w:sz w:val="22"/>
          <w:szCs w:val="22"/>
        </w:rPr>
        <w:t>提交招标人审查资料</w:t>
      </w:r>
      <w:bookmarkEnd w:id="236"/>
      <w:bookmarkEnd w:id="237"/>
      <w:bookmarkEnd w:id="238"/>
      <w:bookmarkEnd w:id="239"/>
      <w:bookmarkEnd w:id="240"/>
      <w:bookmarkEnd w:id="241"/>
      <w:bookmarkEnd w:id="242"/>
      <w:bookmarkEnd w:id="243"/>
    </w:p>
    <w:p>
      <w:pPr>
        <w:snapToGrid w:val="0"/>
        <w:spacing w:line="360" w:lineRule="auto"/>
        <w:ind w:firstLine="440" w:firstLineChars="200"/>
        <w:rPr>
          <w:rFonts w:ascii="Cambria" w:hAnsi="Cambria" w:eastAsia="宋体"/>
          <w:sz w:val="22"/>
        </w:rPr>
      </w:pPr>
      <w:r>
        <w:rPr>
          <w:rFonts w:hint="eastAsia"/>
          <w:sz w:val="22"/>
        </w:rPr>
        <w:t>签约后所提供资料必须是中文或中英文对照本。</w:t>
      </w:r>
    </w:p>
    <w:p>
      <w:pPr>
        <w:snapToGrid w:val="0"/>
        <w:spacing w:line="360" w:lineRule="auto"/>
        <w:ind w:firstLine="440" w:firstLineChars="200"/>
        <w:rPr>
          <w:sz w:val="22"/>
        </w:rPr>
      </w:pPr>
      <w:r>
        <w:rPr>
          <w:rFonts w:hint="eastAsia"/>
          <w:sz w:val="22"/>
        </w:rPr>
        <w:t>买卖双方签订合同后，投标人必须提交所供设备和系统的设计、检验、安装、调试、操作及维修等方面的技术文件，文件数量应不少于三套，内容至少必须包括下列各项：</w:t>
      </w:r>
    </w:p>
    <w:p>
      <w:pPr>
        <w:pStyle w:val="100"/>
        <w:keepNext w:val="0"/>
        <w:keepLines w:val="0"/>
        <w:numPr>
          <w:ilvl w:val="0"/>
          <w:numId w:val="18"/>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按机械制图的要求绘制、说明设备的外形尺寸，各部件的安装位置及尺寸，主要技术参数，重量及对基础的荷载，各部件明细表及必要的说明。</w:t>
      </w:r>
    </w:p>
    <w:p>
      <w:pPr>
        <w:pStyle w:val="100"/>
        <w:keepNext w:val="0"/>
        <w:keepLines w:val="0"/>
        <w:numPr>
          <w:ilvl w:val="0"/>
          <w:numId w:val="18"/>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提交全部设备在设计、制造、检验中采用的技术规范和标准。</w:t>
      </w:r>
    </w:p>
    <w:p>
      <w:pPr>
        <w:pStyle w:val="100"/>
        <w:keepNext w:val="0"/>
        <w:keepLines w:val="0"/>
        <w:numPr>
          <w:ilvl w:val="0"/>
          <w:numId w:val="18"/>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本技术标书有关章节中提到的各种技术条件、图纸等产品技术资料。</w:t>
      </w:r>
    </w:p>
    <w:p>
      <w:pPr>
        <w:pStyle w:val="100"/>
        <w:keepNext w:val="0"/>
        <w:keepLines w:val="0"/>
        <w:numPr>
          <w:ilvl w:val="0"/>
          <w:numId w:val="18"/>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计算机、网络配置说明及软件配置说明。</w:t>
      </w:r>
    </w:p>
    <w:p>
      <w:pPr>
        <w:pStyle w:val="100"/>
        <w:keepNext w:val="0"/>
        <w:keepLines w:val="0"/>
        <w:numPr>
          <w:ilvl w:val="0"/>
          <w:numId w:val="18"/>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应用软件方案说明，数据库设计结构说明。</w:t>
      </w:r>
    </w:p>
    <w:p>
      <w:pPr>
        <w:pStyle w:val="100"/>
        <w:keepNext w:val="0"/>
        <w:keepLines w:val="0"/>
        <w:numPr>
          <w:ilvl w:val="0"/>
          <w:numId w:val="18"/>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控制系统方案说明。</w:t>
      </w:r>
    </w:p>
    <w:p>
      <w:pPr>
        <w:pStyle w:val="4"/>
        <w:numPr>
          <w:ilvl w:val="0"/>
          <w:numId w:val="10"/>
        </w:numPr>
        <w:snapToGrid w:val="0"/>
        <w:spacing w:line="360" w:lineRule="auto"/>
        <w:jc w:val="left"/>
        <w:rPr>
          <w:rFonts w:ascii="等线" w:hAnsi="等线" w:eastAsia="等线"/>
          <w:sz w:val="22"/>
          <w:szCs w:val="22"/>
        </w:rPr>
      </w:pPr>
      <w:bookmarkStart w:id="244" w:name="_Toc416254192"/>
      <w:bookmarkStart w:id="245" w:name="_Toc6109345"/>
      <w:bookmarkStart w:id="246" w:name="_Toc6028472"/>
      <w:bookmarkStart w:id="247" w:name="_Toc6028382"/>
      <w:bookmarkStart w:id="248" w:name="_Toc6026304"/>
      <w:bookmarkStart w:id="249" w:name="_Toc507820992"/>
      <w:bookmarkStart w:id="250" w:name="_Toc498228808"/>
      <w:bookmarkStart w:id="251" w:name="_Toc498227716"/>
      <w:bookmarkStart w:id="252" w:name="_Toc498227206"/>
      <w:r>
        <w:rPr>
          <w:rFonts w:hint="eastAsia" w:ascii="等线" w:hAnsi="等线" w:eastAsia="等线"/>
          <w:b w:val="0"/>
          <w:sz w:val="22"/>
          <w:szCs w:val="22"/>
        </w:rPr>
        <w:t>技术服务及人员培训</w:t>
      </w:r>
      <w:bookmarkEnd w:id="244"/>
      <w:bookmarkEnd w:id="245"/>
      <w:bookmarkEnd w:id="246"/>
      <w:bookmarkEnd w:id="247"/>
      <w:bookmarkEnd w:id="248"/>
      <w:bookmarkEnd w:id="249"/>
      <w:bookmarkEnd w:id="250"/>
      <w:bookmarkEnd w:id="251"/>
      <w:bookmarkEnd w:id="252"/>
    </w:p>
    <w:p>
      <w:pPr>
        <w:pStyle w:val="5"/>
        <w:snapToGrid w:val="0"/>
        <w:spacing w:before="0" w:after="0" w:line="360" w:lineRule="auto"/>
        <w:rPr>
          <w:rFonts w:ascii="等线" w:hAnsi="等线" w:eastAsia="等线"/>
          <w:sz w:val="22"/>
          <w:szCs w:val="22"/>
        </w:rPr>
      </w:pPr>
      <w:bookmarkStart w:id="253" w:name="_Toc6109346"/>
      <w:bookmarkStart w:id="254" w:name="_Toc6028473"/>
      <w:bookmarkStart w:id="255" w:name="_Toc6028383"/>
      <w:bookmarkStart w:id="256" w:name="_Toc6026305"/>
      <w:bookmarkStart w:id="257" w:name="_Toc507820993"/>
      <w:bookmarkStart w:id="258" w:name="_Toc498228809"/>
      <w:bookmarkStart w:id="259" w:name="_Toc498227207"/>
      <w:r>
        <w:rPr>
          <w:rFonts w:hint="eastAsia" w:ascii="等线" w:hAnsi="等线" w:eastAsia="等线"/>
          <w:sz w:val="22"/>
          <w:szCs w:val="22"/>
        </w:rPr>
        <w:t>10.1技术服务要求</w:t>
      </w:r>
      <w:bookmarkEnd w:id="253"/>
      <w:bookmarkEnd w:id="254"/>
      <w:bookmarkEnd w:id="255"/>
      <w:bookmarkEnd w:id="256"/>
      <w:bookmarkEnd w:id="257"/>
      <w:bookmarkEnd w:id="258"/>
      <w:bookmarkEnd w:id="259"/>
    </w:p>
    <w:p>
      <w:pPr>
        <w:pStyle w:val="100"/>
        <w:keepNext w:val="0"/>
        <w:keepLines w:val="0"/>
        <w:numPr>
          <w:ilvl w:val="0"/>
          <w:numId w:val="19"/>
        </w:numPr>
        <w:tabs>
          <w:tab w:val="left" w:pos="624"/>
          <w:tab w:val="left" w:pos="1021"/>
          <w:tab w:val="clear" w:pos="864"/>
        </w:tabs>
        <w:adjustRightInd w:val="0"/>
        <w:snapToGrid w:val="0"/>
        <w:spacing w:before="0" w:after="0"/>
        <w:ind w:left="840" w:leftChars="-10"/>
        <w:jc w:val="left"/>
        <w:textAlignment w:val="baseline"/>
        <w:outlineLvl w:val="9"/>
        <w:rPr>
          <w:rFonts w:ascii="等线" w:hAnsi="等线" w:eastAsia="等线"/>
          <w:sz w:val="22"/>
          <w:szCs w:val="22"/>
        </w:rPr>
      </w:pPr>
      <w:r>
        <w:rPr>
          <w:rFonts w:hint="eastAsia" w:ascii="等线" w:hAnsi="等线" w:eastAsia="等线"/>
          <w:sz w:val="22"/>
          <w:szCs w:val="22"/>
        </w:rPr>
        <w:t>投标人必须派遣技术熟练，身体健康，本专业5年以上工作经验的技术人员为招标人提供技术服务及人员培训，投标人必须提交派遣人员的简历、技术服务计划(包括人数、天数、内容)，由招标人确认同意。招标人有权要求更换不合适的派遣人员，在没有得到招标人允许前，投标人不能更换或撤走任何一个派遣人员。</w:t>
      </w:r>
    </w:p>
    <w:p>
      <w:pPr>
        <w:pStyle w:val="100"/>
        <w:keepNext w:val="0"/>
        <w:keepLines w:val="0"/>
        <w:numPr>
          <w:ilvl w:val="0"/>
          <w:numId w:val="19"/>
        </w:numPr>
        <w:tabs>
          <w:tab w:val="left" w:pos="624"/>
          <w:tab w:val="left" w:pos="1021"/>
          <w:tab w:val="clear" w:pos="864"/>
        </w:tabs>
        <w:adjustRightInd w:val="0"/>
        <w:snapToGrid w:val="0"/>
        <w:spacing w:before="0" w:after="0"/>
        <w:ind w:left="840" w:leftChars="-10"/>
        <w:jc w:val="left"/>
        <w:textAlignment w:val="baseline"/>
        <w:outlineLvl w:val="9"/>
        <w:rPr>
          <w:rFonts w:ascii="等线" w:hAnsi="等线" w:eastAsia="等线"/>
          <w:sz w:val="22"/>
          <w:szCs w:val="22"/>
        </w:rPr>
      </w:pPr>
      <w:r>
        <w:rPr>
          <w:rFonts w:hint="eastAsia" w:ascii="等线" w:hAnsi="等线" w:eastAsia="等线"/>
          <w:sz w:val="22"/>
          <w:szCs w:val="22"/>
        </w:rPr>
        <w:t>投标人必须对招标人的技术人员、维修人员和操作人员进行培训，培训为在现场的培训，所有培训必须使用中文培训。投标人必须在投标书中提出培训计划，包括培训项目、培训人数、培训时间、培训费用(每人每日的费用等)。招标人保留按此费用标准改动培训人员人数和天数的权利。</w:t>
      </w:r>
    </w:p>
    <w:p>
      <w:pPr>
        <w:pStyle w:val="5"/>
        <w:snapToGrid w:val="0"/>
        <w:spacing w:before="0" w:after="0" w:line="360" w:lineRule="auto"/>
        <w:rPr>
          <w:rFonts w:ascii="等线" w:hAnsi="等线" w:eastAsia="等线"/>
          <w:sz w:val="22"/>
          <w:szCs w:val="22"/>
        </w:rPr>
      </w:pPr>
      <w:bookmarkStart w:id="260" w:name="_Toc6109347"/>
      <w:bookmarkStart w:id="261" w:name="_Toc6028474"/>
      <w:bookmarkStart w:id="262" w:name="_Toc6028384"/>
      <w:bookmarkStart w:id="263" w:name="_Toc6026306"/>
      <w:bookmarkStart w:id="264" w:name="_Toc507820994"/>
      <w:bookmarkStart w:id="265" w:name="_Toc498228810"/>
      <w:bookmarkStart w:id="266" w:name="_Toc498227208"/>
      <w:r>
        <w:rPr>
          <w:rFonts w:hint="eastAsia" w:ascii="等线" w:hAnsi="等线" w:eastAsia="等线"/>
          <w:sz w:val="22"/>
          <w:szCs w:val="22"/>
        </w:rPr>
        <w:t>10.2投标人在现场的技术服务</w:t>
      </w:r>
      <w:bookmarkEnd w:id="260"/>
      <w:bookmarkEnd w:id="261"/>
      <w:bookmarkEnd w:id="262"/>
      <w:bookmarkEnd w:id="263"/>
      <w:bookmarkEnd w:id="264"/>
      <w:bookmarkEnd w:id="265"/>
      <w:bookmarkEnd w:id="266"/>
    </w:p>
    <w:p>
      <w:pPr>
        <w:pStyle w:val="100"/>
        <w:keepNext w:val="0"/>
        <w:keepLines w:val="0"/>
        <w:numPr>
          <w:ilvl w:val="0"/>
          <w:numId w:val="20"/>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投标人在现场的技术服务包括但不限于如下内容:设计审查、安装、调试、试运行、考核、培训，以及投标人必须提供的其它技术服务。</w:t>
      </w:r>
    </w:p>
    <w:p>
      <w:pPr>
        <w:pStyle w:val="100"/>
        <w:keepNext w:val="0"/>
        <w:keepLines w:val="0"/>
        <w:numPr>
          <w:ilvl w:val="0"/>
          <w:numId w:val="20"/>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投标人必须指派一名技术服务人员作为现场总代表，负责合同范围内的设备的总技术指导。</w:t>
      </w:r>
    </w:p>
    <w:p>
      <w:pPr>
        <w:pStyle w:val="100"/>
        <w:keepNext w:val="0"/>
        <w:keepLines w:val="0"/>
        <w:numPr>
          <w:ilvl w:val="0"/>
          <w:numId w:val="20"/>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在设备安装之前，投标人必须对设备安装处的土建基础尺寸进行检查，由于投标人变动安装条件引起的费用必须由投标人负担。</w:t>
      </w:r>
    </w:p>
    <w:p>
      <w:pPr>
        <w:pStyle w:val="100"/>
        <w:keepNext w:val="0"/>
        <w:keepLines w:val="0"/>
        <w:numPr>
          <w:ilvl w:val="0"/>
          <w:numId w:val="20"/>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投标人必须定期参加现场会议，积极配合招标人工作，圆满解决安装、调试、试运行中的所有问题。</w:t>
      </w:r>
    </w:p>
    <w:p>
      <w:pPr>
        <w:pStyle w:val="100"/>
        <w:keepNext w:val="0"/>
        <w:keepLines w:val="0"/>
        <w:numPr>
          <w:ilvl w:val="0"/>
          <w:numId w:val="20"/>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投标人的技术服务必须正确无误。由于投标人技术人员不正确的技术指导，而造成设备和材料的损失。投标人必须负责免费修理、更换和补充。</w:t>
      </w:r>
    </w:p>
    <w:p>
      <w:pPr>
        <w:pStyle w:val="100"/>
        <w:keepNext w:val="0"/>
        <w:keepLines w:val="0"/>
        <w:numPr>
          <w:ilvl w:val="0"/>
          <w:numId w:val="20"/>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投标人技术人员在现场必须填写工作日记，一式两份，由双方现场代表签字。</w:t>
      </w:r>
    </w:p>
    <w:p>
      <w:pPr>
        <w:pStyle w:val="100"/>
        <w:keepNext w:val="0"/>
        <w:keepLines w:val="0"/>
        <w:numPr>
          <w:ilvl w:val="0"/>
          <w:numId w:val="20"/>
        </w:numPr>
        <w:tabs>
          <w:tab w:val="left" w:pos="624"/>
          <w:tab w:val="left" w:pos="1021"/>
          <w:tab w:val="clear" w:pos="86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工作时间：投标人技术人员根据招标人的工程总体进度安排自己项目的工作计划。</w:t>
      </w:r>
    </w:p>
    <w:p>
      <w:pPr>
        <w:pStyle w:val="5"/>
        <w:snapToGrid w:val="0"/>
        <w:spacing w:before="0" w:after="0" w:line="360" w:lineRule="auto"/>
        <w:rPr>
          <w:rFonts w:ascii="等线" w:hAnsi="等线" w:eastAsia="等线"/>
          <w:sz w:val="22"/>
          <w:szCs w:val="22"/>
        </w:rPr>
      </w:pPr>
      <w:bookmarkStart w:id="267" w:name="_Toc6109349"/>
      <w:bookmarkStart w:id="268" w:name="_Toc6028476"/>
      <w:bookmarkStart w:id="269" w:name="_Toc6028386"/>
      <w:bookmarkStart w:id="270" w:name="_Toc6026308"/>
      <w:bookmarkStart w:id="271" w:name="_Toc507820996"/>
      <w:bookmarkStart w:id="272" w:name="_Toc498228812"/>
      <w:bookmarkStart w:id="273" w:name="_Toc498227210"/>
      <w:bookmarkStart w:id="274" w:name="_Ref497571539"/>
      <w:r>
        <w:rPr>
          <w:rFonts w:hint="eastAsia" w:ascii="等线" w:hAnsi="等线" w:eastAsia="等线"/>
          <w:sz w:val="22"/>
          <w:szCs w:val="22"/>
        </w:rPr>
        <w:t>10.3招标人操作人员在现场的培训</w:t>
      </w:r>
      <w:bookmarkEnd w:id="267"/>
      <w:bookmarkEnd w:id="268"/>
      <w:bookmarkEnd w:id="269"/>
      <w:bookmarkEnd w:id="270"/>
      <w:bookmarkEnd w:id="271"/>
      <w:bookmarkEnd w:id="272"/>
      <w:bookmarkEnd w:id="273"/>
      <w:bookmarkEnd w:id="274"/>
    </w:p>
    <w:p>
      <w:pPr>
        <w:adjustRightInd w:val="0"/>
        <w:snapToGrid w:val="0"/>
        <w:spacing w:line="440" w:lineRule="exact"/>
        <w:ind w:firstLine="440" w:firstLineChars="200"/>
        <w:rPr>
          <w:rFonts w:ascii="Cambria" w:hAnsi="Cambria" w:eastAsia="宋体"/>
          <w:sz w:val="22"/>
        </w:rPr>
      </w:pPr>
      <w:bookmarkStart w:id="275" w:name="_Toc6109350"/>
      <w:bookmarkStart w:id="276" w:name="_Toc6028477"/>
      <w:bookmarkStart w:id="277" w:name="_Toc6028387"/>
      <w:bookmarkStart w:id="278" w:name="_Toc6026309"/>
      <w:bookmarkStart w:id="279" w:name="_Toc507820997"/>
      <w:bookmarkStart w:id="280" w:name="_Toc498228813"/>
      <w:bookmarkStart w:id="281" w:name="_Toc498227211"/>
      <w:r>
        <w:rPr>
          <w:rFonts w:hint="eastAsia"/>
          <w:sz w:val="22"/>
        </w:rPr>
        <w:t>招标人操作人员在现场的培训</w:t>
      </w:r>
    </w:p>
    <w:p>
      <w:pPr>
        <w:adjustRightInd w:val="0"/>
        <w:snapToGrid w:val="0"/>
        <w:spacing w:line="440" w:lineRule="exact"/>
        <w:ind w:firstLine="440" w:firstLineChars="200"/>
        <w:rPr>
          <w:sz w:val="22"/>
        </w:rPr>
      </w:pPr>
      <w:r>
        <w:rPr>
          <w:sz w:val="22"/>
        </w:rPr>
        <w:t>1</w:t>
      </w:r>
      <w:r>
        <w:rPr>
          <w:rFonts w:hint="eastAsia"/>
          <w:sz w:val="22"/>
        </w:rPr>
        <w:t>）投标人还必须为招标人操作人员安排培训班进行培训，被培训的操作人员将实际操作安检系统设备。以上培训均为免费培训。</w:t>
      </w:r>
    </w:p>
    <w:p>
      <w:pPr>
        <w:adjustRightInd w:val="0"/>
        <w:snapToGrid w:val="0"/>
        <w:spacing w:line="440" w:lineRule="exact"/>
        <w:ind w:firstLine="440" w:firstLineChars="200"/>
        <w:rPr>
          <w:sz w:val="22"/>
        </w:rPr>
      </w:pPr>
      <w:r>
        <w:rPr>
          <w:sz w:val="22"/>
        </w:rPr>
        <w:t>2</w:t>
      </w:r>
      <w:r>
        <w:rPr>
          <w:rFonts w:hint="eastAsia"/>
          <w:sz w:val="22"/>
        </w:rPr>
        <w:t>）培训计划包括课堂教学和现场操作两部分。通过培训，应使招标人现场操作人员达到如下的目的：</w:t>
      </w:r>
    </w:p>
    <w:p>
      <w:pPr>
        <w:pStyle w:val="143"/>
        <w:numPr>
          <w:ilvl w:val="0"/>
          <w:numId w:val="21"/>
        </w:numPr>
        <w:spacing w:line="440" w:lineRule="exact"/>
        <w:ind w:left="480" w:hanging="60"/>
        <w:rPr>
          <w:rFonts w:ascii="等线" w:hAnsi="等线" w:eastAsia="等线"/>
          <w:sz w:val="22"/>
          <w:szCs w:val="22"/>
        </w:rPr>
      </w:pPr>
      <w:r>
        <w:rPr>
          <w:rFonts w:hint="eastAsia" w:ascii="等线" w:hAnsi="等线" w:eastAsia="等线"/>
          <w:sz w:val="22"/>
          <w:szCs w:val="22"/>
        </w:rPr>
        <w:t>了解本设备的功能和操作使用管理方法。</w:t>
      </w:r>
    </w:p>
    <w:p>
      <w:pPr>
        <w:pStyle w:val="143"/>
        <w:numPr>
          <w:ilvl w:val="0"/>
          <w:numId w:val="21"/>
        </w:numPr>
        <w:spacing w:line="440" w:lineRule="exact"/>
        <w:ind w:left="480" w:hanging="60"/>
        <w:rPr>
          <w:rFonts w:ascii="等线" w:hAnsi="等线" w:eastAsia="等线"/>
          <w:sz w:val="22"/>
          <w:szCs w:val="22"/>
        </w:rPr>
      </w:pPr>
      <w:r>
        <w:rPr>
          <w:rFonts w:hint="eastAsia" w:ascii="等线" w:hAnsi="等线" w:eastAsia="等线"/>
          <w:sz w:val="22"/>
          <w:szCs w:val="22"/>
        </w:rPr>
        <w:t>了解每台设备的性能和正确操作方法。</w:t>
      </w:r>
    </w:p>
    <w:p>
      <w:pPr>
        <w:pStyle w:val="143"/>
        <w:numPr>
          <w:ilvl w:val="0"/>
          <w:numId w:val="21"/>
        </w:numPr>
        <w:spacing w:line="440" w:lineRule="exact"/>
        <w:ind w:left="945" w:hanging="525"/>
        <w:rPr>
          <w:rFonts w:ascii="等线" w:hAnsi="等线" w:eastAsia="等线"/>
          <w:sz w:val="22"/>
          <w:szCs w:val="22"/>
        </w:rPr>
      </w:pPr>
      <w:r>
        <w:rPr>
          <w:rFonts w:hint="eastAsia" w:ascii="等线" w:hAnsi="等线" w:eastAsia="等线"/>
          <w:sz w:val="22"/>
          <w:szCs w:val="22"/>
        </w:rPr>
        <w:t>了解安全操作规程和使用时必须注意的事项。</w:t>
      </w:r>
    </w:p>
    <w:p>
      <w:pPr>
        <w:pStyle w:val="143"/>
        <w:numPr>
          <w:ilvl w:val="0"/>
          <w:numId w:val="21"/>
        </w:numPr>
        <w:spacing w:line="440" w:lineRule="exact"/>
        <w:rPr>
          <w:rFonts w:ascii="等线" w:hAnsi="等线" w:eastAsia="等线"/>
          <w:sz w:val="22"/>
          <w:szCs w:val="22"/>
        </w:rPr>
      </w:pPr>
      <w:r>
        <w:rPr>
          <w:rFonts w:hint="eastAsia" w:ascii="等线" w:hAnsi="等线" w:eastAsia="等线"/>
          <w:sz w:val="22"/>
          <w:szCs w:val="22"/>
        </w:rPr>
        <w:t>掌握常见故障发生的原因和排除方法。</w:t>
      </w:r>
    </w:p>
    <w:p>
      <w:pPr>
        <w:pStyle w:val="143"/>
        <w:numPr>
          <w:ilvl w:val="0"/>
          <w:numId w:val="21"/>
        </w:numPr>
        <w:spacing w:line="440" w:lineRule="exact"/>
        <w:rPr>
          <w:rFonts w:ascii="等线" w:hAnsi="等线" w:eastAsia="等线"/>
          <w:sz w:val="22"/>
          <w:szCs w:val="22"/>
        </w:rPr>
      </w:pPr>
      <w:r>
        <w:rPr>
          <w:rFonts w:hint="eastAsia" w:ascii="等线" w:hAnsi="等线" w:eastAsia="等线"/>
          <w:sz w:val="22"/>
          <w:szCs w:val="22"/>
        </w:rPr>
        <w:t>熟练掌握控制室、以及现场等的各种控制设备和装置、仪器、仪表、讯号等的用法。</w:t>
      </w:r>
    </w:p>
    <w:p>
      <w:pPr>
        <w:pStyle w:val="143"/>
        <w:numPr>
          <w:ilvl w:val="0"/>
          <w:numId w:val="21"/>
        </w:numPr>
        <w:spacing w:line="440" w:lineRule="exact"/>
        <w:rPr>
          <w:rFonts w:ascii="等线" w:hAnsi="等线" w:eastAsia="等线"/>
          <w:sz w:val="22"/>
          <w:szCs w:val="22"/>
        </w:rPr>
      </w:pPr>
      <w:r>
        <w:rPr>
          <w:rFonts w:hint="eastAsia" w:ascii="等线" w:hAnsi="等线" w:eastAsia="等线"/>
          <w:sz w:val="22"/>
          <w:szCs w:val="22"/>
        </w:rPr>
        <w:t>学会设备的保养知识。</w:t>
      </w:r>
    </w:p>
    <w:p>
      <w:pPr>
        <w:pStyle w:val="143"/>
        <w:numPr>
          <w:ilvl w:val="0"/>
          <w:numId w:val="22"/>
        </w:numPr>
        <w:spacing w:line="440" w:lineRule="exact"/>
        <w:ind w:left="900" w:hanging="480"/>
        <w:rPr>
          <w:rFonts w:ascii="等线" w:hAnsi="等线" w:eastAsia="等线"/>
          <w:sz w:val="22"/>
          <w:szCs w:val="22"/>
        </w:rPr>
      </w:pPr>
      <w:r>
        <w:rPr>
          <w:rFonts w:hint="eastAsia" w:ascii="等线" w:hAnsi="等线" w:eastAsia="等线"/>
          <w:sz w:val="22"/>
          <w:szCs w:val="22"/>
        </w:rPr>
        <w:t>了解设备的保护装置。</w:t>
      </w:r>
    </w:p>
    <w:p>
      <w:pPr>
        <w:pStyle w:val="5"/>
        <w:snapToGrid w:val="0"/>
        <w:spacing w:before="0" w:after="0" w:line="360" w:lineRule="auto"/>
        <w:rPr>
          <w:rFonts w:ascii="等线" w:hAnsi="等线" w:eastAsia="等线"/>
          <w:sz w:val="22"/>
          <w:szCs w:val="22"/>
        </w:rPr>
      </w:pPr>
      <w:r>
        <w:rPr>
          <w:rFonts w:hint="eastAsia" w:ascii="等线" w:hAnsi="等线" w:eastAsia="等线"/>
          <w:sz w:val="22"/>
          <w:szCs w:val="22"/>
        </w:rPr>
        <w:t>10.4培训计划与教材</w:t>
      </w:r>
      <w:bookmarkEnd w:id="275"/>
      <w:bookmarkEnd w:id="276"/>
      <w:bookmarkEnd w:id="277"/>
      <w:bookmarkEnd w:id="278"/>
      <w:bookmarkEnd w:id="279"/>
      <w:bookmarkEnd w:id="280"/>
      <w:bookmarkEnd w:id="281"/>
    </w:p>
    <w:p>
      <w:pPr>
        <w:pStyle w:val="100"/>
        <w:keepNext w:val="0"/>
        <w:keepLines w:val="0"/>
        <w:numPr>
          <w:ilvl w:val="0"/>
          <w:numId w:val="23"/>
        </w:numPr>
        <w:tabs>
          <w:tab w:val="left" w:pos="28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培训计划安排在试运行之前。在试运行之前三个月，投标人提供一份由招标人认可的课程大纲给招标人。</w:t>
      </w:r>
    </w:p>
    <w:p>
      <w:pPr>
        <w:pStyle w:val="100"/>
        <w:keepNext w:val="0"/>
        <w:keepLines w:val="0"/>
        <w:numPr>
          <w:ilvl w:val="0"/>
          <w:numId w:val="23"/>
        </w:numPr>
        <w:tabs>
          <w:tab w:val="left" w:pos="28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投标人准备的课程计划同样需要经招标人认可。</w:t>
      </w:r>
    </w:p>
    <w:p>
      <w:pPr>
        <w:pStyle w:val="100"/>
        <w:keepNext w:val="0"/>
        <w:keepLines w:val="0"/>
        <w:numPr>
          <w:ilvl w:val="0"/>
          <w:numId w:val="23"/>
        </w:numPr>
        <w:tabs>
          <w:tab w:val="left" w:pos="28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投标人必须提供一切需要的培训辅助设备(例如操作人员检查表、图表、图纸、彩色幻灯片、录像机或录音机、幻灯放影机等)。</w:t>
      </w:r>
    </w:p>
    <w:p>
      <w:pPr>
        <w:pStyle w:val="100"/>
        <w:keepNext w:val="0"/>
        <w:keepLines w:val="0"/>
        <w:numPr>
          <w:ilvl w:val="0"/>
          <w:numId w:val="23"/>
        </w:numPr>
        <w:tabs>
          <w:tab w:val="left" w:pos="284"/>
        </w:tabs>
        <w:adjustRightInd w:val="0"/>
        <w:snapToGrid w:val="0"/>
        <w:spacing w:before="0" w:after="0"/>
        <w:ind w:left="926" w:leftChars="26"/>
        <w:jc w:val="left"/>
        <w:textAlignment w:val="baseline"/>
        <w:outlineLvl w:val="9"/>
        <w:rPr>
          <w:rFonts w:ascii="等线" w:hAnsi="等线" w:eastAsia="等线"/>
          <w:sz w:val="22"/>
          <w:szCs w:val="22"/>
        </w:rPr>
      </w:pPr>
      <w:r>
        <w:rPr>
          <w:rFonts w:hint="eastAsia" w:ascii="等线" w:hAnsi="等线" w:eastAsia="等线"/>
          <w:sz w:val="22"/>
          <w:szCs w:val="22"/>
        </w:rPr>
        <w:t>投标人必须提供中文操作和维修手册，操作和维修手册作为基本的课程内容，因此，上述手册必须至少在培训前二个月内完成。</w:t>
      </w:r>
    </w:p>
    <w:p>
      <w:pPr>
        <w:pStyle w:val="4"/>
        <w:numPr>
          <w:ilvl w:val="0"/>
          <w:numId w:val="10"/>
        </w:numPr>
        <w:snapToGrid w:val="0"/>
        <w:spacing w:line="360" w:lineRule="auto"/>
        <w:rPr>
          <w:rFonts w:ascii="等线" w:hAnsi="等线" w:eastAsia="等线"/>
          <w:sz w:val="22"/>
          <w:szCs w:val="22"/>
        </w:rPr>
      </w:pPr>
      <w:bookmarkStart w:id="282" w:name="_Toc416254193"/>
      <w:bookmarkStart w:id="283" w:name="_Toc6109351"/>
      <w:bookmarkStart w:id="284" w:name="_Toc6028478"/>
      <w:bookmarkStart w:id="285" w:name="_Toc6028388"/>
      <w:bookmarkStart w:id="286" w:name="_Toc6026310"/>
      <w:bookmarkStart w:id="287" w:name="_Toc507820998"/>
      <w:bookmarkStart w:id="288" w:name="_Toc498228814"/>
      <w:bookmarkStart w:id="289" w:name="_Toc498227717"/>
      <w:bookmarkStart w:id="290" w:name="_Toc498227212"/>
      <w:r>
        <w:rPr>
          <w:rFonts w:hint="eastAsia" w:ascii="等线" w:hAnsi="等线" w:eastAsia="等线"/>
          <w:b w:val="0"/>
          <w:sz w:val="22"/>
          <w:szCs w:val="22"/>
        </w:rPr>
        <w:t>运输包装要求</w:t>
      </w:r>
      <w:bookmarkEnd w:id="282"/>
      <w:bookmarkEnd w:id="283"/>
      <w:bookmarkEnd w:id="284"/>
      <w:bookmarkEnd w:id="285"/>
      <w:bookmarkEnd w:id="286"/>
      <w:bookmarkEnd w:id="287"/>
      <w:bookmarkEnd w:id="288"/>
      <w:bookmarkEnd w:id="289"/>
      <w:bookmarkEnd w:id="290"/>
    </w:p>
    <w:p>
      <w:pPr>
        <w:pStyle w:val="100"/>
        <w:keepNext w:val="0"/>
        <w:keepLines w:val="0"/>
        <w:numPr>
          <w:ilvl w:val="0"/>
          <w:numId w:val="24"/>
        </w:numPr>
        <w:tabs>
          <w:tab w:val="left" w:pos="624"/>
          <w:tab w:val="left" w:pos="1021"/>
          <w:tab w:val="clear" w:pos="864"/>
        </w:tabs>
        <w:adjustRightInd w:val="0"/>
        <w:snapToGrid w:val="0"/>
        <w:spacing w:before="0" w:after="0"/>
        <w:ind w:left="1109" w:leftChars="102"/>
        <w:jc w:val="left"/>
        <w:textAlignment w:val="baseline"/>
        <w:outlineLvl w:val="9"/>
        <w:rPr>
          <w:rFonts w:ascii="等线" w:hAnsi="等线" w:eastAsia="等线"/>
          <w:sz w:val="22"/>
          <w:szCs w:val="22"/>
        </w:rPr>
      </w:pPr>
      <w:r>
        <w:rPr>
          <w:rFonts w:hint="eastAsia" w:ascii="等线" w:hAnsi="等线" w:eastAsia="等线"/>
          <w:sz w:val="22"/>
          <w:szCs w:val="22"/>
        </w:rPr>
        <w:t>设备从起运地点运到招标人指定的到货港口这段时间内，投标人必须对所有设备进行保险。</w:t>
      </w:r>
    </w:p>
    <w:p>
      <w:pPr>
        <w:pStyle w:val="100"/>
        <w:keepNext w:val="0"/>
        <w:keepLines w:val="0"/>
        <w:numPr>
          <w:ilvl w:val="0"/>
          <w:numId w:val="24"/>
        </w:numPr>
        <w:tabs>
          <w:tab w:val="left" w:pos="624"/>
          <w:tab w:val="left" w:pos="1021"/>
          <w:tab w:val="clear" w:pos="864"/>
        </w:tabs>
        <w:adjustRightInd w:val="0"/>
        <w:snapToGrid w:val="0"/>
        <w:spacing w:before="0" w:after="0"/>
        <w:ind w:left="1109" w:leftChars="102"/>
        <w:jc w:val="left"/>
        <w:textAlignment w:val="baseline"/>
        <w:outlineLvl w:val="9"/>
        <w:rPr>
          <w:rFonts w:ascii="等线" w:hAnsi="等线" w:eastAsia="等线"/>
          <w:sz w:val="22"/>
          <w:szCs w:val="22"/>
        </w:rPr>
      </w:pPr>
      <w:r>
        <w:rPr>
          <w:rFonts w:hint="eastAsia" w:ascii="等线" w:hAnsi="等线" w:eastAsia="等线"/>
          <w:sz w:val="22"/>
          <w:szCs w:val="22"/>
        </w:rPr>
        <w:t>依照合同规定的时间，将所有设备及零配件运抵安装地点（包括装卸），所需之一切安装工具，运输设备均投标人自备。</w:t>
      </w:r>
    </w:p>
    <w:p>
      <w:pPr>
        <w:pStyle w:val="100"/>
        <w:keepNext w:val="0"/>
        <w:keepLines w:val="0"/>
        <w:numPr>
          <w:ilvl w:val="0"/>
          <w:numId w:val="24"/>
        </w:numPr>
        <w:tabs>
          <w:tab w:val="left" w:pos="624"/>
          <w:tab w:val="left" w:pos="1021"/>
          <w:tab w:val="clear" w:pos="864"/>
        </w:tabs>
        <w:adjustRightInd w:val="0"/>
        <w:snapToGrid w:val="0"/>
        <w:spacing w:before="0" w:after="0"/>
        <w:ind w:left="1109" w:leftChars="102"/>
        <w:jc w:val="left"/>
        <w:textAlignment w:val="baseline"/>
        <w:outlineLvl w:val="9"/>
        <w:rPr>
          <w:rFonts w:ascii="等线" w:hAnsi="等线" w:eastAsia="等线"/>
          <w:sz w:val="22"/>
          <w:szCs w:val="22"/>
        </w:rPr>
      </w:pPr>
      <w:r>
        <w:rPr>
          <w:rFonts w:hint="eastAsia" w:ascii="等线" w:hAnsi="等线" w:eastAsia="等线"/>
          <w:sz w:val="22"/>
          <w:szCs w:val="22"/>
        </w:rPr>
        <w:t>设备、零件运抵现场后，投标人应提供设备清单，在安装前由业主对进场货物进行质量检查。</w:t>
      </w:r>
    </w:p>
    <w:p>
      <w:pPr>
        <w:pStyle w:val="100"/>
        <w:keepNext w:val="0"/>
        <w:keepLines w:val="0"/>
        <w:numPr>
          <w:ilvl w:val="0"/>
          <w:numId w:val="24"/>
        </w:numPr>
        <w:tabs>
          <w:tab w:val="left" w:pos="624"/>
          <w:tab w:val="left" w:pos="1021"/>
          <w:tab w:val="clear" w:pos="864"/>
        </w:tabs>
        <w:adjustRightInd w:val="0"/>
        <w:snapToGrid w:val="0"/>
        <w:spacing w:before="0" w:after="0"/>
        <w:ind w:left="1109" w:leftChars="102"/>
        <w:jc w:val="left"/>
        <w:textAlignment w:val="baseline"/>
        <w:outlineLvl w:val="9"/>
        <w:rPr>
          <w:rFonts w:ascii="等线" w:hAnsi="等线" w:eastAsia="等线"/>
          <w:sz w:val="22"/>
          <w:szCs w:val="22"/>
        </w:rPr>
      </w:pPr>
      <w:r>
        <w:rPr>
          <w:rFonts w:hint="eastAsia" w:ascii="等线" w:hAnsi="等线" w:eastAsia="等线"/>
          <w:sz w:val="22"/>
          <w:szCs w:val="22"/>
        </w:rPr>
        <w:t>备件和检测维修工具应与设备分开包装。箱盒应适于储存，储存年限应在包装上予以说明。所有备件应加上标签，以使它们可以被快速辨认出来。对有特殊仓储要求的设备、附件，投标人应提出仓储保管要领书，一式二份，最迟必须在设备到港前二周将有关文件快递至杭州萧山国际机场有限公司。</w:t>
      </w:r>
    </w:p>
    <w:p>
      <w:pPr>
        <w:pStyle w:val="100"/>
        <w:keepNext w:val="0"/>
        <w:keepLines w:val="0"/>
        <w:numPr>
          <w:ilvl w:val="0"/>
          <w:numId w:val="24"/>
        </w:numPr>
        <w:tabs>
          <w:tab w:val="left" w:pos="624"/>
          <w:tab w:val="left" w:pos="1021"/>
          <w:tab w:val="clear" w:pos="864"/>
        </w:tabs>
        <w:adjustRightInd w:val="0"/>
        <w:snapToGrid w:val="0"/>
        <w:spacing w:before="0" w:after="0"/>
        <w:ind w:left="1109" w:leftChars="102"/>
        <w:jc w:val="left"/>
        <w:textAlignment w:val="baseline"/>
        <w:outlineLvl w:val="9"/>
        <w:rPr>
          <w:rFonts w:ascii="等线" w:hAnsi="等线" w:eastAsia="等线"/>
          <w:sz w:val="22"/>
          <w:szCs w:val="22"/>
        </w:rPr>
      </w:pPr>
      <w:r>
        <w:rPr>
          <w:rFonts w:hint="eastAsia" w:ascii="等线" w:hAnsi="等线" w:eastAsia="等线"/>
          <w:sz w:val="22"/>
          <w:szCs w:val="22"/>
        </w:rPr>
        <w:t>安检系统的设备必须单机分开包装，包装箱应能保护设备免遭外界的损坏并作好防潮和防水包装，包装箱上应清楚注明设备名称、设备型号、设备规格、发货单位、接受单位、接受地址、毛重、体积、运输条件等。</w:t>
      </w:r>
    </w:p>
    <w:p>
      <w:pPr>
        <w:pStyle w:val="100"/>
        <w:keepNext w:val="0"/>
        <w:keepLines w:val="0"/>
        <w:numPr>
          <w:ilvl w:val="0"/>
          <w:numId w:val="24"/>
        </w:numPr>
        <w:tabs>
          <w:tab w:val="left" w:pos="624"/>
          <w:tab w:val="left" w:pos="1021"/>
          <w:tab w:val="clear" w:pos="864"/>
        </w:tabs>
        <w:adjustRightInd w:val="0"/>
        <w:snapToGrid w:val="0"/>
        <w:spacing w:before="0" w:after="0"/>
        <w:ind w:left="1109" w:leftChars="102"/>
        <w:jc w:val="left"/>
        <w:textAlignment w:val="baseline"/>
        <w:outlineLvl w:val="9"/>
        <w:rPr>
          <w:rFonts w:ascii="等线" w:hAnsi="等线" w:eastAsia="等线"/>
          <w:sz w:val="22"/>
          <w:szCs w:val="22"/>
        </w:rPr>
      </w:pPr>
      <w:r>
        <w:rPr>
          <w:rFonts w:hint="eastAsia" w:ascii="等线" w:hAnsi="等线" w:eastAsia="等线"/>
          <w:sz w:val="22"/>
          <w:szCs w:val="22"/>
        </w:rPr>
        <w:t>由于运输和包装不当导致的设备损坏由投标人负责。</w:t>
      </w:r>
    </w:p>
    <w:p>
      <w:pPr>
        <w:pStyle w:val="100"/>
        <w:keepNext w:val="0"/>
        <w:keepLines w:val="0"/>
        <w:numPr>
          <w:ilvl w:val="0"/>
          <w:numId w:val="24"/>
        </w:numPr>
        <w:tabs>
          <w:tab w:val="left" w:pos="624"/>
          <w:tab w:val="left" w:pos="1021"/>
          <w:tab w:val="clear" w:pos="864"/>
        </w:tabs>
        <w:adjustRightInd w:val="0"/>
        <w:snapToGrid w:val="0"/>
        <w:spacing w:before="0" w:after="0"/>
        <w:ind w:left="1109" w:leftChars="102"/>
        <w:jc w:val="left"/>
        <w:textAlignment w:val="baseline"/>
        <w:outlineLvl w:val="9"/>
        <w:rPr>
          <w:rFonts w:ascii="等线" w:hAnsi="等线" w:eastAsia="等线"/>
          <w:sz w:val="22"/>
          <w:szCs w:val="22"/>
        </w:rPr>
      </w:pPr>
      <w:r>
        <w:rPr>
          <w:rFonts w:hint="eastAsia" w:ascii="等线" w:hAnsi="等线" w:eastAsia="等线"/>
          <w:sz w:val="22"/>
          <w:szCs w:val="22"/>
        </w:rPr>
        <w:t>投标人应根据总进度计划负责设备的仓储工作，投标时列出场地费和人工费，并计入投标总价。安装时招标人将在工地现场提供适当临时堆放场地及用水、用电设施，现场保护由投标人自己负责。</w:t>
      </w:r>
    </w:p>
    <w:p>
      <w:pPr>
        <w:pStyle w:val="3"/>
        <w:numPr>
          <w:ilvl w:val="0"/>
          <w:numId w:val="9"/>
        </w:numPr>
        <w:snapToGrid w:val="0"/>
        <w:spacing w:before="0" w:after="0"/>
        <w:rPr>
          <w:rFonts w:ascii="等线" w:hAnsi="等线" w:eastAsia="等线"/>
          <w:sz w:val="32"/>
        </w:rPr>
      </w:pPr>
      <w:bookmarkStart w:id="291" w:name="_Toc416254195"/>
      <w:bookmarkStart w:id="292" w:name="_Toc6109352"/>
      <w:bookmarkStart w:id="293" w:name="_Toc6028479"/>
      <w:bookmarkStart w:id="294" w:name="_Toc6028389"/>
      <w:bookmarkStart w:id="295" w:name="_Toc6026311"/>
      <w:bookmarkStart w:id="296" w:name="_Toc507820999"/>
      <w:bookmarkStart w:id="297" w:name="_Toc498228815"/>
      <w:bookmarkStart w:id="298" w:name="_Toc498227718"/>
      <w:bookmarkStart w:id="299" w:name="_Toc498227213"/>
      <w:r>
        <w:rPr>
          <w:rFonts w:hint="eastAsia" w:ascii="等线" w:hAnsi="等线" w:eastAsia="等线"/>
          <w:sz w:val="32"/>
        </w:rPr>
        <w:t>工程实施要求</w:t>
      </w:r>
      <w:bookmarkEnd w:id="291"/>
      <w:bookmarkEnd w:id="292"/>
      <w:bookmarkEnd w:id="293"/>
      <w:bookmarkEnd w:id="294"/>
      <w:bookmarkEnd w:id="295"/>
      <w:bookmarkEnd w:id="296"/>
      <w:bookmarkEnd w:id="297"/>
      <w:bookmarkEnd w:id="298"/>
      <w:bookmarkEnd w:id="299"/>
    </w:p>
    <w:p>
      <w:pPr>
        <w:pStyle w:val="4"/>
        <w:numPr>
          <w:ilvl w:val="0"/>
          <w:numId w:val="0"/>
        </w:numPr>
        <w:tabs>
          <w:tab w:val="left" w:pos="420"/>
        </w:tabs>
        <w:snapToGrid w:val="0"/>
        <w:spacing w:line="360" w:lineRule="auto"/>
        <w:rPr>
          <w:rFonts w:ascii="等线" w:hAnsi="等线" w:eastAsia="等线"/>
          <w:sz w:val="22"/>
          <w:szCs w:val="22"/>
        </w:rPr>
      </w:pPr>
      <w:bookmarkStart w:id="300" w:name="_Toc416254196"/>
      <w:bookmarkStart w:id="301" w:name="_Toc6109353"/>
      <w:bookmarkStart w:id="302" w:name="_Toc6028480"/>
      <w:bookmarkStart w:id="303" w:name="_Toc6028390"/>
      <w:bookmarkStart w:id="304" w:name="_Toc6026312"/>
      <w:bookmarkStart w:id="305" w:name="_Toc507821000"/>
      <w:bookmarkStart w:id="306" w:name="_Toc498228816"/>
      <w:bookmarkStart w:id="307" w:name="_Toc498227719"/>
      <w:bookmarkStart w:id="308" w:name="_Toc498227214"/>
      <w:r>
        <w:rPr>
          <w:rFonts w:hint="eastAsia" w:ascii="等线" w:hAnsi="等线" w:eastAsia="等线"/>
          <w:b w:val="0"/>
          <w:sz w:val="22"/>
          <w:szCs w:val="22"/>
        </w:rPr>
        <w:t>1、安装</w:t>
      </w:r>
      <w:bookmarkEnd w:id="300"/>
      <w:bookmarkEnd w:id="301"/>
      <w:bookmarkEnd w:id="302"/>
      <w:bookmarkEnd w:id="303"/>
      <w:bookmarkEnd w:id="304"/>
      <w:bookmarkEnd w:id="305"/>
      <w:bookmarkEnd w:id="306"/>
      <w:bookmarkEnd w:id="307"/>
      <w:bookmarkEnd w:id="308"/>
    </w:p>
    <w:p>
      <w:pPr>
        <w:pStyle w:val="100"/>
        <w:keepNext w:val="0"/>
        <w:keepLines w:val="0"/>
        <w:numPr>
          <w:ilvl w:val="0"/>
          <w:numId w:val="25"/>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投标人应负责中标系统和设备安装,并负责调试及试运行等工作，直至系统和设备以及整个工程验收合格。</w:t>
      </w:r>
    </w:p>
    <w:p>
      <w:pPr>
        <w:pStyle w:val="100"/>
        <w:keepNext w:val="0"/>
        <w:keepLines w:val="0"/>
        <w:numPr>
          <w:ilvl w:val="0"/>
          <w:numId w:val="25"/>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投标人应在中标后15天内，按要求提供基础预埋件图纸、开槽、开孔、通道要求及有关说明，并提供特殊零件部件，供土建施工单位预埋，与一般混凝土一起建造。</w:t>
      </w:r>
    </w:p>
    <w:p>
      <w:pPr>
        <w:pStyle w:val="100"/>
        <w:keepNext w:val="0"/>
        <w:keepLines w:val="0"/>
        <w:numPr>
          <w:ilvl w:val="0"/>
          <w:numId w:val="25"/>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设备的每个部分须考虑防火、防过压、防潮、耐用、防漏电、容易清洁及日常维修，并且以符合本文件所提供规范为原则。</w:t>
      </w:r>
    </w:p>
    <w:p>
      <w:pPr>
        <w:pStyle w:val="100"/>
        <w:keepNext w:val="0"/>
        <w:keepLines w:val="0"/>
        <w:numPr>
          <w:ilvl w:val="0"/>
          <w:numId w:val="25"/>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土建结构建造完成后，任何在土建结构内的挖掘、开槽、开孔，必须在施工图上标出，并交招标人批准。</w:t>
      </w:r>
    </w:p>
    <w:p>
      <w:pPr>
        <w:pStyle w:val="100"/>
        <w:keepNext w:val="0"/>
        <w:keepLines w:val="0"/>
        <w:numPr>
          <w:ilvl w:val="0"/>
          <w:numId w:val="25"/>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在设备安装前,投标人应对设备安装处的土建基础尺寸进行检查,由于投标人变动安装条件引起的费用应由投标人负担。</w:t>
      </w:r>
    </w:p>
    <w:p>
      <w:pPr>
        <w:pStyle w:val="100"/>
        <w:keepNext w:val="0"/>
        <w:keepLines w:val="0"/>
        <w:numPr>
          <w:ilvl w:val="0"/>
          <w:numId w:val="25"/>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投标人必须定期参加现场会议,配合招标人工作,圆满解决安装、调试、试运行中的所有问题。</w:t>
      </w:r>
    </w:p>
    <w:p>
      <w:pPr>
        <w:pStyle w:val="100"/>
        <w:keepNext w:val="0"/>
        <w:keepLines w:val="0"/>
        <w:numPr>
          <w:ilvl w:val="0"/>
          <w:numId w:val="25"/>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投标人必须负责提供安装过程中所需的专用工具。</w:t>
      </w:r>
    </w:p>
    <w:p>
      <w:pPr>
        <w:pStyle w:val="4"/>
        <w:numPr>
          <w:ilvl w:val="0"/>
          <w:numId w:val="26"/>
        </w:numPr>
        <w:snapToGrid w:val="0"/>
        <w:spacing w:line="360" w:lineRule="auto"/>
        <w:ind w:left="-1574" w:leftChars="-656"/>
        <w:rPr>
          <w:rFonts w:ascii="等线" w:hAnsi="等线" w:eastAsia="等线"/>
          <w:sz w:val="22"/>
          <w:szCs w:val="22"/>
        </w:rPr>
      </w:pPr>
      <w:bookmarkStart w:id="309" w:name="_Toc6028481"/>
      <w:bookmarkStart w:id="310" w:name="_Toc6028391"/>
      <w:bookmarkStart w:id="311" w:name="_Toc6026313"/>
      <w:bookmarkStart w:id="312" w:name="_Toc507821001"/>
      <w:bookmarkStart w:id="313" w:name="_Toc498228817"/>
      <w:bookmarkStart w:id="314" w:name="_Toc498227720"/>
      <w:bookmarkStart w:id="315" w:name="_Toc498227215"/>
      <w:bookmarkStart w:id="316" w:name="_Toc416254197"/>
      <w:bookmarkStart w:id="317" w:name="_Toc6109354"/>
      <w:r>
        <w:rPr>
          <w:rFonts w:hint="eastAsia" w:ascii="等线" w:hAnsi="等线" w:eastAsia="等线"/>
          <w:b w:val="0"/>
          <w:sz w:val="22"/>
          <w:szCs w:val="22"/>
        </w:rPr>
        <w:t xml:space="preserve">              2、调试和试运行</w:t>
      </w:r>
      <w:bookmarkEnd w:id="309"/>
      <w:bookmarkEnd w:id="310"/>
      <w:bookmarkEnd w:id="311"/>
      <w:bookmarkEnd w:id="312"/>
      <w:bookmarkEnd w:id="313"/>
      <w:bookmarkEnd w:id="314"/>
      <w:bookmarkEnd w:id="315"/>
      <w:bookmarkEnd w:id="316"/>
      <w:bookmarkEnd w:id="317"/>
    </w:p>
    <w:p>
      <w:pPr>
        <w:pStyle w:val="100"/>
        <w:keepNext w:val="0"/>
        <w:keepLines w:val="0"/>
        <w:numPr>
          <w:ilvl w:val="0"/>
          <w:numId w:val="27"/>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应在现场负责对中标系统设备进行调试和试运行，以检验其设计制作、操作性和功能等方面的情况。担任调试和试运行任务的是由投标人派出的有五年以上工作经验工程师。招标人认为不合格者，可要求更换。在没有得到招标人允许前,投标人不能更换或撤走任何一个人员。</w:t>
      </w:r>
    </w:p>
    <w:p>
      <w:pPr>
        <w:pStyle w:val="100"/>
        <w:keepNext w:val="0"/>
        <w:keepLines w:val="0"/>
        <w:numPr>
          <w:ilvl w:val="0"/>
          <w:numId w:val="27"/>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设备在安装过程或安装结束后，必须经过调试，可根据情况进行部分调试和全面调试。</w:t>
      </w:r>
    </w:p>
    <w:p>
      <w:pPr>
        <w:pStyle w:val="100"/>
        <w:keepNext w:val="0"/>
        <w:keepLines w:val="0"/>
        <w:numPr>
          <w:ilvl w:val="0"/>
          <w:numId w:val="27"/>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投标人根据本技术标书中的要求，在设备安装完工的前6周,提出调试、试运行、验收大纲、项目和数据，以及工作进度计划，经招标人批准。</w:t>
      </w:r>
    </w:p>
    <w:p>
      <w:pPr>
        <w:pStyle w:val="100"/>
        <w:keepNext w:val="0"/>
        <w:keepLines w:val="0"/>
        <w:numPr>
          <w:ilvl w:val="0"/>
          <w:numId w:val="27"/>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系统和设备经过调试，投标人现场代表确认合格以后，在投标人技术人员指导下，由招标人组织各种试运行。</w:t>
      </w:r>
    </w:p>
    <w:p>
      <w:pPr>
        <w:pStyle w:val="100"/>
        <w:keepNext w:val="0"/>
        <w:keepLines w:val="0"/>
        <w:numPr>
          <w:ilvl w:val="0"/>
          <w:numId w:val="27"/>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各项设备试运行的大纲、项目、数据由投标人制成表格发给参加试运行的双方工作人员，以便将每次试运行做出记录。</w:t>
      </w:r>
    </w:p>
    <w:p>
      <w:pPr>
        <w:pStyle w:val="100"/>
        <w:keepNext w:val="0"/>
        <w:keepLines w:val="0"/>
        <w:numPr>
          <w:ilvl w:val="0"/>
          <w:numId w:val="27"/>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参加试运行的双方工作人员，都应该认真做好记录和工作日记。投标人必须在任何一个测试项目完成后的14日内，将检验证书和报告提交招标人。</w:t>
      </w:r>
    </w:p>
    <w:p>
      <w:pPr>
        <w:pStyle w:val="100"/>
        <w:keepNext w:val="0"/>
        <w:keepLines w:val="0"/>
        <w:numPr>
          <w:ilvl w:val="0"/>
          <w:numId w:val="27"/>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试运行所需的工具、材料、仪器及劳务均由投标人负责准备，配合安装、调试、试运行所需费用单独列出，并纳入总报价。</w:t>
      </w:r>
    </w:p>
    <w:p>
      <w:pPr>
        <w:pStyle w:val="4"/>
        <w:numPr>
          <w:ilvl w:val="0"/>
          <w:numId w:val="26"/>
        </w:numPr>
        <w:snapToGrid w:val="0"/>
        <w:spacing w:line="360" w:lineRule="auto"/>
        <w:rPr>
          <w:rFonts w:ascii="等线" w:hAnsi="等线" w:eastAsia="等线"/>
          <w:sz w:val="22"/>
          <w:szCs w:val="22"/>
        </w:rPr>
      </w:pPr>
      <w:bookmarkStart w:id="318" w:name="_Toc498227721"/>
      <w:bookmarkStart w:id="319" w:name="_Toc498227216"/>
      <w:bookmarkStart w:id="320" w:name="_Toc416254198"/>
      <w:bookmarkStart w:id="321" w:name="_Toc6109355"/>
      <w:bookmarkStart w:id="322" w:name="_Toc6028482"/>
      <w:bookmarkStart w:id="323" w:name="_Toc6028392"/>
      <w:bookmarkStart w:id="324" w:name="_Toc6026314"/>
      <w:bookmarkStart w:id="325" w:name="_Toc507821002"/>
      <w:bookmarkStart w:id="326" w:name="_Toc498228818"/>
      <w:r>
        <w:rPr>
          <w:rFonts w:hint="eastAsia" w:ascii="等线" w:hAnsi="等线" w:eastAsia="等线"/>
          <w:b w:val="0"/>
          <w:sz w:val="22"/>
          <w:szCs w:val="22"/>
        </w:rPr>
        <w:t>验收</w:t>
      </w:r>
      <w:bookmarkEnd w:id="318"/>
      <w:bookmarkEnd w:id="319"/>
      <w:bookmarkEnd w:id="320"/>
      <w:bookmarkEnd w:id="321"/>
      <w:bookmarkEnd w:id="322"/>
      <w:bookmarkEnd w:id="323"/>
      <w:bookmarkEnd w:id="324"/>
      <w:bookmarkEnd w:id="325"/>
      <w:bookmarkEnd w:id="326"/>
    </w:p>
    <w:p>
      <w:pPr>
        <w:pStyle w:val="100"/>
        <w:keepNext w:val="0"/>
        <w:keepLines w:val="0"/>
        <w:tabs>
          <w:tab w:val="left" w:pos="1021"/>
        </w:tabs>
        <w:adjustRightInd w:val="0"/>
        <w:snapToGrid w:val="0"/>
        <w:spacing w:before="0" w:after="0"/>
        <w:ind w:left="120" w:leftChars="50" w:firstLine="330" w:firstLineChars="150"/>
        <w:jc w:val="left"/>
        <w:textAlignment w:val="baseline"/>
        <w:outlineLvl w:val="9"/>
        <w:rPr>
          <w:rFonts w:ascii="等线" w:hAnsi="等线" w:eastAsia="等线"/>
          <w:sz w:val="22"/>
          <w:szCs w:val="22"/>
        </w:rPr>
      </w:pPr>
      <w:r>
        <w:rPr>
          <w:rFonts w:hint="eastAsia" w:ascii="等线" w:hAnsi="等线" w:eastAsia="等线"/>
          <w:b/>
          <w:sz w:val="22"/>
          <w:szCs w:val="22"/>
        </w:rPr>
        <w:t xml:space="preserve">1) </w:t>
      </w:r>
      <w:r>
        <w:rPr>
          <w:rFonts w:hint="eastAsia" w:ascii="等线" w:hAnsi="等线" w:eastAsia="等线"/>
          <w:sz w:val="22"/>
          <w:szCs w:val="22"/>
        </w:rPr>
        <w:t>招标范围内的设备在最终验收前须取得民航局颁发的使用验收合格证。所需费用由中标方承担。</w:t>
      </w:r>
    </w:p>
    <w:p>
      <w:pPr>
        <w:pStyle w:val="34"/>
        <w:snapToGrid w:val="0"/>
        <w:spacing w:after="0" w:line="360" w:lineRule="auto"/>
        <w:ind w:left="0" w:leftChars="0" w:firstLine="440" w:firstLineChars="200"/>
        <w:rPr>
          <w:rFonts w:ascii="等线" w:hAnsi="等线" w:eastAsia="等线"/>
          <w:sz w:val="22"/>
          <w:szCs w:val="22"/>
        </w:rPr>
      </w:pPr>
      <w:r>
        <w:rPr>
          <w:rFonts w:hint="eastAsia" w:ascii="等线" w:hAnsi="等线" w:eastAsia="等线"/>
          <w:b/>
          <w:sz w:val="22"/>
          <w:szCs w:val="22"/>
        </w:rPr>
        <w:t xml:space="preserve">2) </w:t>
      </w:r>
      <w:r>
        <w:rPr>
          <w:rFonts w:hint="eastAsia" w:ascii="等线" w:hAnsi="等线" w:eastAsia="等线"/>
          <w:sz w:val="22"/>
          <w:szCs w:val="22"/>
        </w:rPr>
        <w:t>安装调试完成后，投标人须负责对已完成项目进行自验，自验结束，写出书面申请报告提交招标人，由招标人会同有关部门进行初验。最终的验收以杭州萧山机场有关职能部门验收合格为准。</w:t>
      </w:r>
    </w:p>
    <w:p>
      <w:pPr>
        <w:pStyle w:val="5"/>
        <w:snapToGrid w:val="0"/>
        <w:spacing w:before="0" w:after="0" w:line="360" w:lineRule="auto"/>
        <w:rPr>
          <w:rFonts w:ascii="等线" w:hAnsi="等线" w:eastAsia="等线"/>
          <w:sz w:val="22"/>
          <w:szCs w:val="22"/>
        </w:rPr>
      </w:pPr>
      <w:bookmarkStart w:id="327" w:name="_Toc6109356"/>
      <w:bookmarkStart w:id="328" w:name="_Toc6028483"/>
      <w:bookmarkStart w:id="329" w:name="_Toc6028393"/>
      <w:bookmarkStart w:id="330" w:name="_Toc6026315"/>
      <w:bookmarkStart w:id="331" w:name="_Toc507821003"/>
      <w:bookmarkStart w:id="332" w:name="_Toc498228819"/>
      <w:bookmarkStart w:id="333" w:name="_Toc498227217"/>
      <w:r>
        <w:rPr>
          <w:rFonts w:hint="eastAsia" w:ascii="等线" w:hAnsi="等线" w:eastAsia="等线"/>
          <w:sz w:val="22"/>
          <w:szCs w:val="22"/>
        </w:rPr>
        <w:t>3.1验收条件</w:t>
      </w:r>
      <w:bookmarkEnd w:id="327"/>
      <w:bookmarkEnd w:id="328"/>
      <w:bookmarkEnd w:id="329"/>
      <w:bookmarkEnd w:id="330"/>
      <w:bookmarkEnd w:id="331"/>
      <w:bookmarkEnd w:id="332"/>
      <w:bookmarkEnd w:id="333"/>
    </w:p>
    <w:p>
      <w:pPr>
        <w:pStyle w:val="18"/>
        <w:ind w:firstLine="220"/>
        <w:rPr>
          <w:rFonts w:ascii="等线" w:hAnsi="等线" w:eastAsia="等线"/>
          <w:sz w:val="22"/>
          <w:szCs w:val="22"/>
        </w:rPr>
      </w:pPr>
      <w:r>
        <w:rPr>
          <w:rFonts w:hint="eastAsia" w:ascii="等线" w:hAnsi="等线" w:eastAsia="等线"/>
          <w:sz w:val="22"/>
          <w:szCs w:val="22"/>
        </w:rPr>
        <w:t>投标人在验收前应负责做好下列工作,只有具备下列条件,招标人才进行验收工作。</w:t>
      </w:r>
    </w:p>
    <w:p>
      <w:pPr>
        <w:pStyle w:val="100"/>
        <w:keepNext w:val="0"/>
        <w:keepLines w:val="0"/>
        <w:numPr>
          <w:ilvl w:val="0"/>
          <w:numId w:val="28"/>
        </w:numPr>
        <w:tabs>
          <w:tab w:val="left" w:pos="624"/>
          <w:tab w:val="left" w:pos="1021"/>
          <w:tab w:val="clear" w:pos="864"/>
        </w:tabs>
        <w:adjustRightInd w:val="0"/>
        <w:snapToGrid w:val="0"/>
        <w:spacing w:before="0" w:after="0"/>
        <w:ind w:left="1298" w:leftChars="181"/>
        <w:jc w:val="left"/>
        <w:textAlignment w:val="baseline"/>
        <w:outlineLvl w:val="9"/>
        <w:rPr>
          <w:rFonts w:ascii="等线" w:hAnsi="等线" w:eastAsia="等线"/>
          <w:sz w:val="22"/>
          <w:szCs w:val="22"/>
        </w:rPr>
      </w:pPr>
      <w:r>
        <w:rPr>
          <w:rFonts w:hint="eastAsia" w:ascii="等线" w:hAnsi="等线" w:eastAsia="等线"/>
          <w:sz w:val="22"/>
          <w:szCs w:val="22"/>
        </w:rPr>
        <w:t>系统设备安装调试完成准备就绪。</w:t>
      </w:r>
    </w:p>
    <w:p>
      <w:pPr>
        <w:pStyle w:val="100"/>
        <w:keepNext w:val="0"/>
        <w:keepLines w:val="0"/>
        <w:numPr>
          <w:ilvl w:val="0"/>
          <w:numId w:val="28"/>
        </w:numPr>
        <w:tabs>
          <w:tab w:val="left" w:pos="624"/>
          <w:tab w:val="left" w:pos="1021"/>
          <w:tab w:val="clear" w:pos="864"/>
        </w:tabs>
        <w:adjustRightInd w:val="0"/>
        <w:snapToGrid w:val="0"/>
        <w:spacing w:before="0" w:after="0"/>
        <w:ind w:left="1298" w:leftChars="181"/>
        <w:jc w:val="left"/>
        <w:textAlignment w:val="baseline"/>
        <w:outlineLvl w:val="9"/>
        <w:rPr>
          <w:rFonts w:ascii="等线" w:hAnsi="等线" w:eastAsia="等线"/>
          <w:sz w:val="22"/>
          <w:szCs w:val="22"/>
        </w:rPr>
      </w:pPr>
      <w:r>
        <w:rPr>
          <w:rFonts w:hint="eastAsia" w:ascii="等线" w:hAnsi="等线" w:eastAsia="等线"/>
          <w:sz w:val="22"/>
          <w:szCs w:val="22"/>
        </w:rPr>
        <w:t>准备好验收技术检测所需的工具器材。</w:t>
      </w:r>
    </w:p>
    <w:p>
      <w:pPr>
        <w:pStyle w:val="100"/>
        <w:keepNext w:val="0"/>
        <w:keepLines w:val="0"/>
        <w:numPr>
          <w:ilvl w:val="0"/>
          <w:numId w:val="28"/>
        </w:numPr>
        <w:tabs>
          <w:tab w:val="left" w:pos="624"/>
          <w:tab w:val="left" w:pos="1021"/>
          <w:tab w:val="clear" w:pos="864"/>
        </w:tabs>
        <w:adjustRightInd w:val="0"/>
        <w:snapToGrid w:val="0"/>
        <w:spacing w:before="0" w:after="0"/>
        <w:ind w:left="1298" w:leftChars="181"/>
        <w:jc w:val="left"/>
        <w:textAlignment w:val="baseline"/>
        <w:outlineLvl w:val="9"/>
        <w:rPr>
          <w:rFonts w:ascii="等线" w:hAnsi="等线" w:eastAsia="等线"/>
          <w:sz w:val="22"/>
          <w:szCs w:val="22"/>
        </w:rPr>
      </w:pPr>
      <w:r>
        <w:rPr>
          <w:rFonts w:hint="eastAsia" w:ascii="等线" w:hAnsi="等线" w:eastAsia="等线"/>
          <w:sz w:val="22"/>
          <w:szCs w:val="22"/>
        </w:rPr>
        <w:t>提交相关的安装调试资料及验收资料。</w:t>
      </w:r>
    </w:p>
    <w:p>
      <w:pPr>
        <w:pStyle w:val="5"/>
        <w:snapToGrid w:val="0"/>
        <w:spacing w:before="0" w:after="0" w:line="360" w:lineRule="auto"/>
        <w:rPr>
          <w:rFonts w:ascii="等线" w:hAnsi="等线" w:eastAsia="等线"/>
          <w:sz w:val="22"/>
          <w:szCs w:val="22"/>
        </w:rPr>
      </w:pPr>
      <w:bookmarkStart w:id="334" w:name="_Toc6109357"/>
      <w:bookmarkStart w:id="335" w:name="_Toc6028484"/>
      <w:bookmarkStart w:id="336" w:name="_Toc6028394"/>
      <w:bookmarkStart w:id="337" w:name="_Toc6026316"/>
      <w:bookmarkStart w:id="338" w:name="_Toc507821004"/>
      <w:bookmarkStart w:id="339" w:name="_Toc498228820"/>
      <w:bookmarkStart w:id="340" w:name="_Toc498227218"/>
      <w:r>
        <w:rPr>
          <w:rFonts w:hint="eastAsia" w:ascii="等线" w:hAnsi="等线" w:eastAsia="等线"/>
          <w:sz w:val="22"/>
          <w:szCs w:val="22"/>
        </w:rPr>
        <w:t>3.2验收合格条件</w:t>
      </w:r>
      <w:bookmarkEnd w:id="334"/>
      <w:bookmarkEnd w:id="335"/>
      <w:bookmarkEnd w:id="336"/>
      <w:bookmarkEnd w:id="337"/>
      <w:bookmarkEnd w:id="338"/>
      <w:bookmarkEnd w:id="339"/>
      <w:bookmarkEnd w:id="340"/>
    </w:p>
    <w:p>
      <w:pPr>
        <w:pStyle w:val="100"/>
        <w:keepNext w:val="0"/>
        <w:keepLines w:val="0"/>
        <w:numPr>
          <w:ilvl w:val="0"/>
          <w:numId w:val="29"/>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投标人按合同编制系统设备验收大纲，系统设备验收大纲在验收前一个月提交业主审定，业主批准后实施。</w:t>
      </w:r>
    </w:p>
    <w:p>
      <w:pPr>
        <w:pStyle w:val="100"/>
        <w:keepNext w:val="0"/>
        <w:keepLines w:val="0"/>
        <w:numPr>
          <w:ilvl w:val="0"/>
          <w:numId w:val="29"/>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满足设备验收大纲的要求。</w:t>
      </w:r>
    </w:p>
    <w:p>
      <w:pPr>
        <w:pStyle w:val="100"/>
        <w:keepNext w:val="0"/>
        <w:keepLines w:val="0"/>
        <w:numPr>
          <w:ilvl w:val="0"/>
          <w:numId w:val="29"/>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各机构运转正常，操作、控制、管理、系统工作正常。</w:t>
      </w:r>
    </w:p>
    <w:p>
      <w:pPr>
        <w:pStyle w:val="100"/>
        <w:keepNext w:val="0"/>
        <w:keepLines w:val="0"/>
        <w:numPr>
          <w:ilvl w:val="0"/>
          <w:numId w:val="29"/>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输送机无打滑、跑偏和抖动。</w:t>
      </w:r>
    </w:p>
    <w:p>
      <w:pPr>
        <w:pStyle w:val="100"/>
        <w:keepNext w:val="0"/>
        <w:keepLines w:val="0"/>
        <w:numPr>
          <w:ilvl w:val="0"/>
          <w:numId w:val="29"/>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系统设备功能及试运行满足设计要求。</w:t>
      </w:r>
    </w:p>
    <w:p>
      <w:pPr>
        <w:pStyle w:val="100"/>
        <w:keepNext w:val="0"/>
        <w:keepLines w:val="0"/>
        <w:numPr>
          <w:ilvl w:val="0"/>
          <w:numId w:val="29"/>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性能测试和试运行时出现的问题已被解决，满足招标技术条件。</w:t>
      </w:r>
    </w:p>
    <w:p>
      <w:pPr>
        <w:pStyle w:val="100"/>
        <w:keepNext w:val="0"/>
        <w:keepLines w:val="0"/>
        <w:numPr>
          <w:ilvl w:val="0"/>
          <w:numId w:val="29"/>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根据要求提供了全部设备和满足招标人当地各级档案管理要求的全部资料。</w:t>
      </w:r>
    </w:p>
    <w:p>
      <w:pPr>
        <w:pStyle w:val="4"/>
        <w:numPr>
          <w:ilvl w:val="0"/>
          <w:numId w:val="26"/>
        </w:numPr>
        <w:snapToGrid w:val="0"/>
        <w:spacing w:line="360" w:lineRule="auto"/>
        <w:rPr>
          <w:rFonts w:ascii="等线" w:hAnsi="等线" w:eastAsia="等线"/>
          <w:sz w:val="22"/>
          <w:szCs w:val="22"/>
        </w:rPr>
      </w:pPr>
      <w:bookmarkStart w:id="341" w:name="_Toc6026317"/>
      <w:bookmarkStart w:id="342" w:name="_Toc416254199"/>
      <w:bookmarkStart w:id="343" w:name="_Toc6109358"/>
      <w:bookmarkStart w:id="344" w:name="_Toc6028485"/>
      <w:bookmarkStart w:id="345" w:name="_Toc498228821"/>
      <w:bookmarkStart w:id="346" w:name="_Toc498227219"/>
      <w:bookmarkStart w:id="347" w:name="_Toc507821005"/>
      <w:bookmarkStart w:id="348" w:name="_Toc6028395"/>
      <w:bookmarkStart w:id="349" w:name="_Toc498227722"/>
      <w:r>
        <w:rPr>
          <w:rFonts w:hint="eastAsia" w:ascii="等线" w:hAnsi="等线" w:eastAsia="等线"/>
          <w:b w:val="0"/>
          <w:sz w:val="22"/>
          <w:szCs w:val="22"/>
        </w:rPr>
        <w:t>售后服务</w:t>
      </w:r>
      <w:bookmarkEnd w:id="341"/>
      <w:bookmarkEnd w:id="342"/>
      <w:bookmarkEnd w:id="343"/>
      <w:bookmarkEnd w:id="344"/>
      <w:bookmarkEnd w:id="345"/>
      <w:bookmarkEnd w:id="346"/>
      <w:bookmarkEnd w:id="347"/>
      <w:bookmarkEnd w:id="348"/>
      <w:bookmarkEnd w:id="349"/>
    </w:p>
    <w:p>
      <w:pPr>
        <w:pStyle w:val="34"/>
        <w:snapToGrid w:val="0"/>
        <w:spacing w:after="0" w:line="360" w:lineRule="auto"/>
        <w:ind w:left="0" w:leftChars="0" w:firstLine="440" w:firstLineChars="200"/>
        <w:rPr>
          <w:rFonts w:ascii="等线" w:hAnsi="等线" w:eastAsia="等线"/>
          <w:sz w:val="22"/>
          <w:szCs w:val="22"/>
        </w:rPr>
      </w:pPr>
      <w:r>
        <w:rPr>
          <w:rFonts w:hint="eastAsia" w:ascii="等线" w:hAnsi="等线" w:eastAsia="等线"/>
          <w:sz w:val="22"/>
          <w:szCs w:val="22"/>
        </w:rPr>
        <w:t>投标人设备在现场经试运转合格，通过验收之日起，为进入交付招标人使用期。投标人需要提供免费保修，保修期自最终验收之日起计算，时间不少于3年。质保期内所需的维修和维护零部件由卖方负责免费提供。内容如下：</w:t>
      </w:r>
    </w:p>
    <w:p>
      <w:pPr>
        <w:pStyle w:val="100"/>
        <w:keepNext w:val="0"/>
        <w:keepLines w:val="0"/>
        <w:numPr>
          <w:ilvl w:val="0"/>
          <w:numId w:val="30"/>
        </w:numPr>
        <w:tabs>
          <w:tab w:val="left" w:pos="624"/>
          <w:tab w:val="left" w:pos="1021"/>
          <w:tab w:val="clear" w:pos="864"/>
        </w:tabs>
        <w:adjustRightInd w:val="0"/>
        <w:snapToGrid w:val="0"/>
        <w:spacing w:before="0" w:after="0"/>
        <w:ind w:left="1058" w:leftChars="81"/>
        <w:jc w:val="left"/>
        <w:textAlignment w:val="baseline"/>
        <w:outlineLvl w:val="9"/>
        <w:rPr>
          <w:rFonts w:ascii="等线" w:hAnsi="等线" w:eastAsia="等线"/>
          <w:sz w:val="22"/>
          <w:szCs w:val="22"/>
        </w:rPr>
      </w:pPr>
      <w:r>
        <w:rPr>
          <w:rFonts w:hint="eastAsia" w:ascii="等线" w:hAnsi="等线" w:eastAsia="等线"/>
          <w:sz w:val="22"/>
          <w:szCs w:val="22"/>
          <w:highlight w:val="yellow"/>
        </w:rPr>
        <w:t>设备生产商应在杭州地区设立有维修机构，24小时提供维修服务，2小时内赶到杭州机场，3小时内赶到义乌机场，直至设备完全恢复正常使用为止。该维修机构须在本场备有足够的零备件，以满足保修期内的维修需要。</w:t>
      </w:r>
    </w:p>
    <w:p>
      <w:pPr>
        <w:pStyle w:val="100"/>
        <w:keepNext w:val="0"/>
        <w:keepLines w:val="0"/>
        <w:numPr>
          <w:ilvl w:val="0"/>
          <w:numId w:val="30"/>
        </w:numPr>
        <w:tabs>
          <w:tab w:val="left" w:pos="624"/>
          <w:tab w:val="left" w:pos="1021"/>
          <w:tab w:val="clear" w:pos="864"/>
        </w:tabs>
        <w:adjustRightInd w:val="0"/>
        <w:snapToGrid w:val="0"/>
        <w:spacing w:before="0" w:after="0"/>
        <w:ind w:left="1058" w:leftChars="81"/>
        <w:jc w:val="left"/>
        <w:textAlignment w:val="baseline"/>
        <w:outlineLvl w:val="9"/>
        <w:rPr>
          <w:rFonts w:ascii="等线" w:hAnsi="等线" w:eastAsia="等线"/>
          <w:sz w:val="22"/>
          <w:szCs w:val="22"/>
        </w:rPr>
      </w:pPr>
      <w:r>
        <w:rPr>
          <w:rFonts w:hint="eastAsia" w:ascii="等线" w:hAnsi="等线" w:eastAsia="等线"/>
          <w:sz w:val="22"/>
          <w:szCs w:val="22"/>
        </w:rPr>
        <w:t>保修期内，每季度对设备进行检查、保养、调校和润滑。</w:t>
      </w:r>
    </w:p>
    <w:p>
      <w:pPr>
        <w:pStyle w:val="100"/>
        <w:keepNext w:val="0"/>
        <w:keepLines w:val="0"/>
        <w:numPr>
          <w:ilvl w:val="0"/>
          <w:numId w:val="30"/>
        </w:numPr>
        <w:tabs>
          <w:tab w:val="left" w:pos="624"/>
          <w:tab w:val="left" w:pos="1021"/>
          <w:tab w:val="clear" w:pos="864"/>
        </w:tabs>
        <w:adjustRightInd w:val="0"/>
        <w:snapToGrid w:val="0"/>
        <w:spacing w:before="0" w:after="0"/>
        <w:ind w:left="1058" w:leftChars="81"/>
        <w:jc w:val="left"/>
        <w:textAlignment w:val="baseline"/>
        <w:outlineLvl w:val="9"/>
        <w:rPr>
          <w:rFonts w:ascii="等线" w:hAnsi="等线" w:eastAsia="等线"/>
          <w:sz w:val="22"/>
          <w:szCs w:val="22"/>
        </w:rPr>
      </w:pPr>
      <w:r>
        <w:rPr>
          <w:rFonts w:hint="eastAsia" w:ascii="等线" w:hAnsi="等线" w:eastAsia="等线"/>
          <w:sz w:val="22"/>
          <w:szCs w:val="22"/>
        </w:rPr>
        <w:t>当由于设备设计和制造质量原因造成的任何损伤或损坏，投标人除负责修理或更换外，所作更换的材料和零件必须是原厂生产的标准材料和零件。</w:t>
      </w:r>
    </w:p>
    <w:p>
      <w:pPr>
        <w:pStyle w:val="100"/>
        <w:keepNext w:val="0"/>
        <w:keepLines w:val="0"/>
        <w:numPr>
          <w:ilvl w:val="0"/>
          <w:numId w:val="30"/>
        </w:numPr>
        <w:tabs>
          <w:tab w:val="left" w:pos="624"/>
          <w:tab w:val="left" w:pos="1021"/>
          <w:tab w:val="clear" w:pos="864"/>
        </w:tabs>
        <w:adjustRightInd w:val="0"/>
        <w:snapToGrid w:val="0"/>
        <w:spacing w:before="0" w:after="0"/>
        <w:ind w:left="1058" w:leftChars="81"/>
        <w:jc w:val="left"/>
        <w:textAlignment w:val="baseline"/>
        <w:outlineLvl w:val="9"/>
        <w:rPr>
          <w:rFonts w:ascii="等线" w:hAnsi="等线" w:eastAsia="等线"/>
          <w:sz w:val="22"/>
          <w:szCs w:val="22"/>
        </w:rPr>
      </w:pPr>
      <w:r>
        <w:rPr>
          <w:rFonts w:hint="eastAsia" w:ascii="等线" w:hAnsi="等线" w:eastAsia="等线"/>
          <w:sz w:val="22"/>
          <w:szCs w:val="22"/>
        </w:rPr>
        <w:t>在保修期结束时，须由专业工程师对整套设备进行一次全面检查，任何缺陷必须由投标人自费修理。在修理之后，投标人必须将成因、补救措施、完成修理及恢复正常的时间和日期等报告给招标人。报告一式两份。</w:t>
      </w:r>
    </w:p>
    <w:p>
      <w:pPr>
        <w:pStyle w:val="4"/>
        <w:numPr>
          <w:ilvl w:val="0"/>
          <w:numId w:val="26"/>
        </w:numPr>
        <w:snapToGrid w:val="0"/>
        <w:spacing w:line="360" w:lineRule="auto"/>
        <w:rPr>
          <w:rFonts w:ascii="等线" w:hAnsi="等线" w:eastAsia="等线"/>
          <w:sz w:val="22"/>
          <w:szCs w:val="22"/>
        </w:rPr>
      </w:pPr>
      <w:bookmarkStart w:id="350" w:name="_Toc416254200"/>
      <w:bookmarkStart w:id="351" w:name="_Toc6109359"/>
      <w:bookmarkStart w:id="352" w:name="_Toc6028486"/>
      <w:bookmarkStart w:id="353" w:name="_Toc6028396"/>
      <w:bookmarkStart w:id="354" w:name="_Toc6026318"/>
      <w:bookmarkStart w:id="355" w:name="_Toc507821006"/>
      <w:bookmarkStart w:id="356" w:name="_Toc498228822"/>
      <w:bookmarkStart w:id="357" w:name="_Toc498227723"/>
      <w:bookmarkStart w:id="358" w:name="_Toc498227220"/>
      <w:r>
        <w:rPr>
          <w:rFonts w:hint="eastAsia" w:ascii="等线" w:hAnsi="等线" w:eastAsia="等线"/>
          <w:b w:val="0"/>
          <w:sz w:val="22"/>
          <w:szCs w:val="22"/>
        </w:rPr>
        <w:t>备件供应</w:t>
      </w:r>
      <w:bookmarkEnd w:id="350"/>
      <w:bookmarkEnd w:id="351"/>
      <w:bookmarkEnd w:id="352"/>
      <w:bookmarkEnd w:id="353"/>
      <w:bookmarkEnd w:id="354"/>
      <w:bookmarkEnd w:id="355"/>
      <w:bookmarkEnd w:id="356"/>
      <w:bookmarkEnd w:id="357"/>
      <w:bookmarkEnd w:id="358"/>
    </w:p>
    <w:p>
      <w:pPr>
        <w:pStyle w:val="100"/>
        <w:keepNext w:val="0"/>
        <w:keepLines w:val="0"/>
        <w:numPr>
          <w:ilvl w:val="0"/>
          <w:numId w:val="31"/>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投标人应承诺在设备寿命期内以优惠价格供应备件。</w:t>
      </w:r>
    </w:p>
    <w:p>
      <w:pPr>
        <w:pStyle w:val="100"/>
        <w:keepNext w:val="0"/>
        <w:keepLines w:val="0"/>
        <w:numPr>
          <w:ilvl w:val="0"/>
          <w:numId w:val="31"/>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必须在投标时，提供系统设备在保修期满后，足够2年使用的备件清单。清单中必须说明备件名称、规格、型号、数量、价格、保存环境要求，外购件还必须注明制造厂及其型号。备件单列清单，单独报价，费用不计入总报价，招标人有权选购。</w:t>
      </w:r>
    </w:p>
    <w:p>
      <w:pPr>
        <w:pStyle w:val="100"/>
        <w:keepNext w:val="0"/>
        <w:keepLines w:val="0"/>
        <w:numPr>
          <w:ilvl w:val="0"/>
          <w:numId w:val="31"/>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各种备件必须单独包装、单独装箱，包装箱外面必须写明“备件”字样，并说明属于何种设备的备件，箱内必须有所装备件的详细清单。备件发送至招标人指定的地方。投标人会同招标人一起开箱、验收、交货。若有损坏、短缺、误发货，投标人必须负责更换、补齐，所发生的一切费用必须由投标人负责。</w:t>
      </w:r>
    </w:p>
    <w:p>
      <w:pPr>
        <w:pStyle w:val="100"/>
        <w:keepNext w:val="0"/>
        <w:keepLines w:val="0"/>
        <w:numPr>
          <w:ilvl w:val="0"/>
          <w:numId w:val="31"/>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需提供备件更换安装的图示及说明共四套，必须详细说明更换、拆卸及安装的工序，操作要求及专用工具。</w:t>
      </w:r>
    </w:p>
    <w:p>
      <w:pPr>
        <w:pStyle w:val="100"/>
        <w:keepNext w:val="0"/>
        <w:keepLines w:val="0"/>
        <w:numPr>
          <w:ilvl w:val="0"/>
          <w:numId w:val="31"/>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投标人须保证在设备使用寿命期(不低于10年)内，免费提供为保证设备正常运行的软件程序的加载、灌装、升级及更新。</w:t>
      </w:r>
    </w:p>
    <w:p>
      <w:pPr>
        <w:pStyle w:val="4"/>
        <w:numPr>
          <w:ilvl w:val="0"/>
          <w:numId w:val="26"/>
        </w:numPr>
        <w:snapToGrid w:val="0"/>
        <w:spacing w:line="360" w:lineRule="auto"/>
        <w:rPr>
          <w:rFonts w:ascii="等线" w:hAnsi="等线" w:eastAsia="等线"/>
          <w:sz w:val="22"/>
          <w:szCs w:val="22"/>
        </w:rPr>
      </w:pPr>
      <w:bookmarkStart w:id="359" w:name="_Toc416254201"/>
      <w:bookmarkStart w:id="360" w:name="_Toc6109360"/>
      <w:bookmarkStart w:id="361" w:name="_Toc6028487"/>
      <w:bookmarkStart w:id="362" w:name="_Toc6028397"/>
      <w:bookmarkStart w:id="363" w:name="_Toc6026319"/>
      <w:bookmarkStart w:id="364" w:name="_Toc507821007"/>
      <w:bookmarkStart w:id="365" w:name="_Toc498228823"/>
      <w:bookmarkStart w:id="366" w:name="_Toc498227724"/>
      <w:bookmarkStart w:id="367" w:name="_Toc498227221"/>
      <w:r>
        <w:rPr>
          <w:rFonts w:hint="eastAsia" w:ascii="等线" w:hAnsi="等线" w:eastAsia="等线"/>
          <w:b w:val="0"/>
          <w:sz w:val="22"/>
          <w:szCs w:val="22"/>
        </w:rPr>
        <w:t>检测、维修工具</w:t>
      </w:r>
      <w:bookmarkEnd w:id="359"/>
      <w:bookmarkEnd w:id="360"/>
      <w:bookmarkEnd w:id="361"/>
      <w:bookmarkEnd w:id="362"/>
      <w:bookmarkEnd w:id="363"/>
      <w:bookmarkEnd w:id="364"/>
      <w:bookmarkEnd w:id="365"/>
      <w:bookmarkEnd w:id="366"/>
      <w:bookmarkEnd w:id="367"/>
    </w:p>
    <w:p>
      <w:pPr>
        <w:pStyle w:val="100"/>
        <w:keepNext w:val="0"/>
        <w:keepLines w:val="0"/>
        <w:numPr>
          <w:ilvl w:val="0"/>
          <w:numId w:val="32"/>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检测、维修工具是指用于设备的安装、拆卸、调整、检测、维修等所必须的，包括设备在安装、拆卸时的各种特殊属具和附件。</w:t>
      </w:r>
    </w:p>
    <w:p>
      <w:pPr>
        <w:pStyle w:val="100"/>
        <w:keepNext w:val="0"/>
        <w:keepLines w:val="0"/>
        <w:numPr>
          <w:ilvl w:val="0"/>
          <w:numId w:val="32"/>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检测、维修工具由投标人按不同类型的设备分别列出详细清单，包括名称、规格、数量、价格、用途、制造厂等，用于安装与维修的工具要分列清单，招标人审查同意后，由投标人提供。价格单独列出，不纳入总报价中，招标人有选择的权利。</w:t>
      </w:r>
    </w:p>
    <w:p>
      <w:pPr>
        <w:pStyle w:val="100"/>
        <w:keepNext w:val="0"/>
        <w:keepLines w:val="0"/>
        <w:numPr>
          <w:ilvl w:val="0"/>
          <w:numId w:val="32"/>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投标人提供的检测、维修工具必须有使用说明书和维修手册。</w:t>
      </w:r>
    </w:p>
    <w:p>
      <w:pPr>
        <w:pStyle w:val="100"/>
        <w:keepNext w:val="0"/>
        <w:keepLines w:val="0"/>
        <w:numPr>
          <w:ilvl w:val="0"/>
          <w:numId w:val="32"/>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投标人必须在设备安装完工之前三个月，提供一套新的上述检测、维修工具给招标人。如果投标人递交的上述检测、维修工具已有损坏，投标人必须立即负责更换。</w:t>
      </w:r>
    </w:p>
    <w:p>
      <w:pPr>
        <w:pStyle w:val="4"/>
        <w:numPr>
          <w:ilvl w:val="0"/>
          <w:numId w:val="26"/>
        </w:numPr>
        <w:snapToGrid w:val="0"/>
        <w:spacing w:line="360" w:lineRule="auto"/>
        <w:ind w:left="0" w:firstLine="0"/>
        <w:rPr>
          <w:rFonts w:ascii="等线" w:hAnsi="等线" w:eastAsia="等线"/>
          <w:sz w:val="22"/>
          <w:szCs w:val="22"/>
        </w:rPr>
      </w:pPr>
      <w:bookmarkStart w:id="368" w:name="_Toc416254202"/>
      <w:bookmarkStart w:id="369" w:name="_Toc6109361"/>
      <w:bookmarkStart w:id="370" w:name="_Toc6028488"/>
      <w:bookmarkStart w:id="371" w:name="_Toc6028398"/>
      <w:bookmarkStart w:id="372" w:name="_Toc6026320"/>
      <w:bookmarkStart w:id="373" w:name="_Toc507821008"/>
      <w:bookmarkStart w:id="374" w:name="_Toc498228824"/>
      <w:bookmarkStart w:id="375" w:name="_Toc498227725"/>
      <w:bookmarkStart w:id="376" w:name="_Toc498227222"/>
      <w:bookmarkStart w:id="377" w:name="_Toc416254203"/>
      <w:bookmarkStart w:id="378" w:name="_Toc507821058"/>
      <w:bookmarkStart w:id="379" w:name="_Toc498915294"/>
      <w:bookmarkStart w:id="380" w:name="_Toc497539595"/>
      <w:bookmarkStart w:id="381" w:name="_Toc408322874"/>
      <w:r>
        <w:rPr>
          <w:rFonts w:hint="eastAsia" w:ascii="等线" w:hAnsi="等线" w:eastAsia="等线"/>
          <w:b w:val="0"/>
          <w:sz w:val="22"/>
          <w:szCs w:val="22"/>
        </w:rPr>
        <w:t>铭牌及各类标记</w:t>
      </w:r>
      <w:bookmarkEnd w:id="368"/>
      <w:bookmarkEnd w:id="369"/>
      <w:bookmarkEnd w:id="370"/>
      <w:bookmarkEnd w:id="371"/>
      <w:bookmarkEnd w:id="372"/>
      <w:bookmarkEnd w:id="373"/>
      <w:bookmarkEnd w:id="374"/>
      <w:bookmarkEnd w:id="375"/>
      <w:bookmarkEnd w:id="376"/>
    </w:p>
    <w:p>
      <w:pPr>
        <w:pStyle w:val="5"/>
        <w:snapToGrid w:val="0"/>
        <w:spacing w:before="0" w:after="0" w:line="360" w:lineRule="auto"/>
        <w:rPr>
          <w:rFonts w:ascii="等线" w:hAnsi="等线" w:eastAsia="等线"/>
          <w:sz w:val="22"/>
          <w:szCs w:val="22"/>
        </w:rPr>
      </w:pPr>
      <w:bookmarkStart w:id="382" w:name="_Toc6109362"/>
      <w:bookmarkStart w:id="383" w:name="_Toc6028489"/>
      <w:bookmarkStart w:id="384" w:name="_Toc6028399"/>
      <w:bookmarkStart w:id="385" w:name="_Toc6026321"/>
      <w:bookmarkStart w:id="386" w:name="_Toc507821009"/>
      <w:bookmarkStart w:id="387" w:name="_Toc498228825"/>
      <w:bookmarkStart w:id="388" w:name="_Toc498227223"/>
      <w:r>
        <w:rPr>
          <w:rFonts w:hint="eastAsia" w:ascii="等线" w:hAnsi="等线" w:eastAsia="等线"/>
          <w:sz w:val="22"/>
          <w:szCs w:val="22"/>
        </w:rPr>
        <w:t>7.1设备铭牌</w:t>
      </w:r>
      <w:bookmarkEnd w:id="382"/>
      <w:bookmarkEnd w:id="383"/>
      <w:bookmarkEnd w:id="384"/>
      <w:bookmarkEnd w:id="385"/>
      <w:bookmarkEnd w:id="386"/>
      <w:bookmarkEnd w:id="387"/>
      <w:bookmarkEnd w:id="388"/>
    </w:p>
    <w:p>
      <w:pPr>
        <w:pStyle w:val="34"/>
        <w:snapToGrid w:val="0"/>
        <w:spacing w:after="0" w:line="360" w:lineRule="auto"/>
        <w:ind w:left="0" w:leftChars="0" w:firstLine="440" w:firstLineChars="200"/>
        <w:rPr>
          <w:rFonts w:ascii="等线" w:hAnsi="等线" w:eastAsia="等线"/>
          <w:sz w:val="22"/>
          <w:szCs w:val="22"/>
        </w:rPr>
      </w:pPr>
      <w:r>
        <w:rPr>
          <w:rFonts w:hint="eastAsia" w:ascii="等线" w:hAnsi="等线" w:eastAsia="等线"/>
          <w:sz w:val="22"/>
          <w:szCs w:val="22"/>
        </w:rPr>
        <w:t>设备至少必须设置以下各种永久性的不易腐蚀的金属标牌</w:t>
      </w:r>
    </w:p>
    <w:p>
      <w:pPr>
        <w:pStyle w:val="100"/>
        <w:keepNext w:val="0"/>
        <w:keepLines w:val="0"/>
        <w:numPr>
          <w:ilvl w:val="0"/>
          <w:numId w:val="33"/>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设备必须在适当醒目方便察看的位置上设置铭牌，标明设备名称、型号、主要规格、编号、以及制造厂名称和制造日期等。</w:t>
      </w:r>
    </w:p>
    <w:p>
      <w:pPr>
        <w:pStyle w:val="100"/>
        <w:keepNext w:val="0"/>
        <w:keepLines w:val="0"/>
        <w:numPr>
          <w:ilvl w:val="0"/>
          <w:numId w:val="33"/>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操作控制部分，必须在适当位置放置操作按钮等的操作使用说明牌和指示牌。</w:t>
      </w:r>
    </w:p>
    <w:p>
      <w:pPr>
        <w:pStyle w:val="100"/>
        <w:keepNext w:val="0"/>
        <w:keepLines w:val="0"/>
        <w:numPr>
          <w:ilvl w:val="0"/>
          <w:numId w:val="33"/>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为了安全生产，必须在醒目的位置设置清晰标准的禁止、危险等警示标牌。</w:t>
      </w:r>
    </w:p>
    <w:p>
      <w:pPr>
        <w:pStyle w:val="100"/>
        <w:keepNext w:val="0"/>
        <w:keepLines w:val="0"/>
        <w:numPr>
          <w:ilvl w:val="0"/>
          <w:numId w:val="33"/>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在合适的位置上，设置需经常润滑的各部位润滑的说明牌。</w:t>
      </w:r>
    </w:p>
    <w:p>
      <w:pPr>
        <w:pStyle w:val="5"/>
        <w:snapToGrid w:val="0"/>
        <w:spacing w:before="0" w:after="0" w:line="360" w:lineRule="auto"/>
        <w:rPr>
          <w:rFonts w:ascii="等线" w:hAnsi="等线" w:eastAsia="等线"/>
          <w:sz w:val="22"/>
          <w:szCs w:val="22"/>
        </w:rPr>
      </w:pPr>
      <w:bookmarkStart w:id="389" w:name="_Toc6109363"/>
      <w:bookmarkStart w:id="390" w:name="_Toc6028490"/>
      <w:bookmarkStart w:id="391" w:name="_Toc6028400"/>
      <w:bookmarkStart w:id="392" w:name="_Toc6026322"/>
      <w:bookmarkStart w:id="393" w:name="_Toc507821010"/>
      <w:bookmarkStart w:id="394" w:name="_Toc498228826"/>
      <w:bookmarkStart w:id="395" w:name="_Toc498227224"/>
      <w:r>
        <w:rPr>
          <w:rFonts w:hint="eastAsia" w:ascii="等线" w:hAnsi="等线" w:eastAsia="等线"/>
          <w:sz w:val="22"/>
          <w:szCs w:val="22"/>
        </w:rPr>
        <w:t>7.2标记和标签</w:t>
      </w:r>
      <w:bookmarkEnd w:id="389"/>
      <w:bookmarkEnd w:id="390"/>
      <w:bookmarkEnd w:id="391"/>
      <w:bookmarkEnd w:id="392"/>
      <w:bookmarkEnd w:id="393"/>
      <w:bookmarkEnd w:id="394"/>
      <w:bookmarkEnd w:id="395"/>
    </w:p>
    <w:p>
      <w:pPr>
        <w:pStyle w:val="100"/>
        <w:keepNext w:val="0"/>
        <w:keepLines w:val="0"/>
        <w:numPr>
          <w:ilvl w:val="0"/>
          <w:numId w:val="34"/>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每个开关箱、控制柜中的部件都要有一个标明该部件在装置中用途、目的的标签。</w:t>
      </w:r>
    </w:p>
    <w:p>
      <w:pPr>
        <w:pStyle w:val="100"/>
        <w:keepNext w:val="0"/>
        <w:keepLines w:val="0"/>
        <w:numPr>
          <w:ilvl w:val="0"/>
          <w:numId w:val="34"/>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所有印刷线路板都必须有型号标记，电子元件柜必须标明各线路板的品名，以利辨认原理图中的线路板。</w:t>
      </w:r>
    </w:p>
    <w:p>
      <w:pPr>
        <w:pStyle w:val="100"/>
        <w:keepNext w:val="0"/>
        <w:keepLines w:val="0"/>
        <w:numPr>
          <w:ilvl w:val="0"/>
          <w:numId w:val="34"/>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所有电气设备或部件的接线端都必须清楚地打上永久标记，所有要连接在一起的标记号必须相同，标记号码印在短套管或类似套管物上，然后套进线头，不允许用纸带。</w:t>
      </w:r>
    </w:p>
    <w:p>
      <w:pPr>
        <w:pStyle w:val="100"/>
        <w:keepNext w:val="0"/>
        <w:keepLines w:val="0"/>
        <w:numPr>
          <w:ilvl w:val="0"/>
          <w:numId w:val="34"/>
        </w:numPr>
        <w:tabs>
          <w:tab w:val="left" w:pos="624"/>
          <w:tab w:val="left" w:pos="1021"/>
          <w:tab w:val="clear" w:pos="864"/>
        </w:tabs>
        <w:adjustRightInd w:val="0"/>
        <w:snapToGrid w:val="0"/>
        <w:spacing w:before="0" w:after="0"/>
        <w:ind w:left="1104" w:leftChars="100"/>
        <w:jc w:val="left"/>
        <w:textAlignment w:val="baseline"/>
        <w:outlineLvl w:val="9"/>
        <w:rPr>
          <w:rFonts w:ascii="等线" w:hAnsi="等线" w:eastAsia="等线"/>
          <w:sz w:val="22"/>
          <w:szCs w:val="22"/>
        </w:rPr>
      </w:pPr>
      <w:r>
        <w:rPr>
          <w:rFonts w:hint="eastAsia" w:ascii="等线" w:hAnsi="等线" w:eastAsia="等线"/>
          <w:sz w:val="22"/>
          <w:szCs w:val="22"/>
        </w:rPr>
        <w:t>电缆及电缆芯的两端都要有标记。</w:t>
      </w:r>
    </w:p>
    <w:p>
      <w:pPr>
        <w:pStyle w:val="5"/>
        <w:snapToGrid w:val="0"/>
        <w:spacing w:before="0" w:after="0" w:line="360" w:lineRule="auto"/>
        <w:rPr>
          <w:rFonts w:ascii="等线" w:hAnsi="等线" w:eastAsia="等线"/>
          <w:sz w:val="22"/>
          <w:szCs w:val="22"/>
        </w:rPr>
      </w:pPr>
      <w:bookmarkStart w:id="396" w:name="_Toc6109364"/>
      <w:bookmarkStart w:id="397" w:name="_Toc6028491"/>
      <w:bookmarkStart w:id="398" w:name="_Toc6028401"/>
      <w:bookmarkStart w:id="399" w:name="_Toc6026323"/>
      <w:bookmarkStart w:id="400" w:name="_Toc507821011"/>
      <w:bookmarkStart w:id="401" w:name="_Toc498228827"/>
      <w:bookmarkStart w:id="402" w:name="_Toc498227225"/>
      <w:r>
        <w:rPr>
          <w:rFonts w:hint="eastAsia" w:ascii="等线" w:hAnsi="等线" w:eastAsia="等线"/>
          <w:sz w:val="22"/>
          <w:szCs w:val="22"/>
        </w:rPr>
        <w:t>7.3铭牌文字</w:t>
      </w:r>
    </w:p>
    <w:p>
      <w:pPr>
        <w:pStyle w:val="34"/>
        <w:snapToGrid w:val="0"/>
        <w:spacing w:after="0" w:line="360" w:lineRule="auto"/>
        <w:ind w:left="0" w:leftChars="0" w:firstLine="440" w:firstLineChars="200"/>
        <w:rPr>
          <w:rFonts w:ascii="等线" w:hAnsi="等线" w:eastAsia="等线"/>
          <w:sz w:val="22"/>
          <w:szCs w:val="22"/>
        </w:rPr>
      </w:pPr>
      <w:r>
        <w:rPr>
          <w:rFonts w:hint="eastAsia" w:ascii="等线" w:hAnsi="等线" w:eastAsia="等线"/>
          <w:sz w:val="22"/>
          <w:szCs w:val="22"/>
        </w:rPr>
        <w:t>设备铭牌上除设备型号、制造厂名称、设备铭牌上的其它内容可用中文或英文书写外，各种说明牌、指示牌、标签和标记均用中文或中英文对照书写。</w:t>
      </w:r>
    </w:p>
    <w:bookmarkEnd w:id="396"/>
    <w:bookmarkEnd w:id="397"/>
    <w:bookmarkEnd w:id="398"/>
    <w:bookmarkEnd w:id="399"/>
    <w:bookmarkEnd w:id="400"/>
    <w:bookmarkEnd w:id="401"/>
    <w:bookmarkEnd w:id="402"/>
    <w:p>
      <w:pPr>
        <w:rPr>
          <w:rFonts w:ascii="Cambria" w:hAnsi="Cambria" w:eastAsia="宋体"/>
          <w:sz w:val="22"/>
        </w:rPr>
      </w:pPr>
    </w:p>
    <w:p>
      <w:pPr>
        <w:pStyle w:val="3"/>
        <w:snapToGrid w:val="0"/>
        <w:spacing w:before="0" w:after="0"/>
        <w:rPr>
          <w:rFonts w:ascii="等线" w:hAnsi="等线" w:eastAsia="等线"/>
          <w:sz w:val="32"/>
        </w:rPr>
      </w:pPr>
      <w:r>
        <w:rPr>
          <w:rFonts w:hint="eastAsia" w:ascii="等线" w:hAnsi="等线" w:eastAsia="等线"/>
          <w:sz w:val="32"/>
        </w:rPr>
        <w:t>四、设备技术规格和要求</w:t>
      </w:r>
      <w:bookmarkEnd w:id="377"/>
    </w:p>
    <w:bookmarkEnd w:id="378"/>
    <w:bookmarkEnd w:id="379"/>
    <w:bookmarkEnd w:id="380"/>
    <w:bookmarkEnd w:id="381"/>
    <w:p>
      <w:pPr>
        <w:adjustRightInd w:val="0"/>
        <w:snapToGrid w:val="0"/>
        <w:spacing w:line="440" w:lineRule="exact"/>
        <w:rPr>
          <w:rFonts w:ascii="Cambria" w:hAnsi="Cambria" w:eastAsia="宋体"/>
          <w:b/>
          <w:color w:val="000000"/>
          <w:sz w:val="22"/>
        </w:rPr>
      </w:pPr>
      <w:bookmarkStart w:id="403" w:name="_Toc384904408"/>
      <w:r>
        <w:rPr>
          <w:b/>
          <w:color w:val="000000"/>
          <w:sz w:val="22"/>
        </w:rPr>
        <w:t>1</w:t>
      </w:r>
      <w:r>
        <w:rPr>
          <w:rFonts w:hint="eastAsia"/>
          <w:b/>
          <w:color w:val="000000"/>
          <w:sz w:val="22"/>
        </w:rPr>
        <w:t>、双视角手提行李</w:t>
      </w:r>
      <w:r>
        <w:rPr>
          <w:b/>
          <w:color w:val="000000"/>
          <w:sz w:val="22"/>
        </w:rPr>
        <w:t>X</w:t>
      </w:r>
      <w:r>
        <w:rPr>
          <w:rFonts w:hint="eastAsia"/>
          <w:b/>
          <w:color w:val="000000"/>
          <w:sz w:val="22"/>
        </w:rPr>
        <w:t>射线机</w:t>
      </w:r>
      <w:bookmarkEnd w:id="403"/>
      <w:r>
        <w:rPr>
          <w:rFonts w:hint="eastAsia"/>
          <w:b/>
          <w:color w:val="000000"/>
          <w:sz w:val="22"/>
        </w:rPr>
        <w:t>，超规行李双视角X射线机</w:t>
      </w:r>
    </w:p>
    <w:p>
      <w:pPr>
        <w:adjustRightInd w:val="0"/>
        <w:snapToGrid w:val="0"/>
        <w:spacing w:line="440" w:lineRule="exact"/>
        <w:ind w:firstLine="440" w:firstLineChars="200"/>
        <w:rPr>
          <w:color w:val="000000"/>
          <w:sz w:val="22"/>
        </w:rPr>
      </w:pPr>
      <w:r>
        <w:rPr>
          <w:color w:val="000000"/>
          <w:sz w:val="22"/>
        </w:rPr>
        <w:t>1.1 X</w:t>
      </w:r>
      <w:r>
        <w:rPr>
          <w:rFonts w:hint="eastAsia"/>
          <w:color w:val="000000"/>
          <w:sz w:val="22"/>
        </w:rPr>
        <w:t>光机的技术要求</w:t>
      </w:r>
    </w:p>
    <w:p>
      <w:pPr>
        <w:adjustRightInd w:val="0"/>
        <w:snapToGrid w:val="0"/>
        <w:spacing w:line="440" w:lineRule="exact"/>
        <w:ind w:firstLine="440" w:firstLineChars="200"/>
        <w:rPr>
          <w:color w:val="000000"/>
          <w:sz w:val="22"/>
        </w:rPr>
      </w:pPr>
      <w:r>
        <w:rPr>
          <w:rFonts w:hint="eastAsia"/>
          <w:color w:val="000000"/>
          <w:sz w:val="22"/>
        </w:rPr>
        <w:t>用</w:t>
      </w:r>
      <w:r>
        <w:rPr>
          <w:color w:val="000000"/>
          <w:sz w:val="22"/>
        </w:rPr>
        <w:t xml:space="preserve">    </w:t>
      </w:r>
      <w:r>
        <w:rPr>
          <w:rFonts w:hint="eastAsia"/>
          <w:color w:val="000000"/>
          <w:sz w:val="22"/>
        </w:rPr>
        <w:t>途：旅客行李的安全检查</w:t>
      </w:r>
    </w:p>
    <w:p>
      <w:pPr>
        <w:adjustRightInd w:val="0"/>
        <w:snapToGrid w:val="0"/>
        <w:spacing w:line="440" w:lineRule="exact"/>
        <w:ind w:firstLine="440" w:firstLineChars="200"/>
        <w:rPr>
          <w:color w:val="000000"/>
          <w:sz w:val="22"/>
        </w:rPr>
      </w:pPr>
      <w:r>
        <w:rPr>
          <w:rFonts w:hint="eastAsia"/>
          <w:color w:val="000000"/>
          <w:sz w:val="22"/>
        </w:rPr>
        <w:t>使用场所：室内</w:t>
      </w:r>
    </w:p>
    <w:p>
      <w:pPr>
        <w:adjustRightInd w:val="0"/>
        <w:snapToGrid w:val="0"/>
        <w:spacing w:line="440" w:lineRule="exact"/>
        <w:ind w:firstLine="440" w:firstLineChars="200"/>
        <w:rPr>
          <w:color w:val="000000"/>
          <w:sz w:val="22"/>
        </w:rPr>
      </w:pPr>
      <w:r>
        <w:rPr>
          <w:rFonts w:hint="eastAsia"/>
          <w:color w:val="000000"/>
          <w:sz w:val="22"/>
        </w:rPr>
        <w:t>规</w:t>
      </w:r>
      <w:r>
        <w:rPr>
          <w:color w:val="000000"/>
          <w:sz w:val="22"/>
        </w:rPr>
        <w:t xml:space="preserve">    </w:t>
      </w:r>
      <w:r>
        <w:rPr>
          <w:rFonts w:hint="eastAsia"/>
          <w:color w:val="000000"/>
          <w:sz w:val="22"/>
        </w:rPr>
        <w:t>格：通道扫描尺寸≥</w:t>
      </w:r>
      <w:r>
        <w:rPr>
          <w:color w:val="000000"/>
          <w:sz w:val="22"/>
        </w:rPr>
        <w:t>650</w:t>
      </w:r>
      <w:r>
        <w:rPr>
          <w:rFonts w:ascii="µÈÏß Western" w:hAnsi="µÈÏß Western"/>
          <w:color w:val="000000"/>
          <w:sz w:val="22"/>
        </w:rPr>
        <w:t>mm×</w:t>
      </w:r>
      <w:r>
        <w:rPr>
          <w:color w:val="000000"/>
          <w:sz w:val="22"/>
        </w:rPr>
        <w:t>500mm</w:t>
      </w:r>
    </w:p>
    <w:p>
      <w:pPr>
        <w:adjustRightInd w:val="0"/>
        <w:snapToGrid w:val="0"/>
        <w:spacing w:line="440" w:lineRule="exact"/>
        <w:ind w:firstLine="440" w:firstLineChars="200"/>
        <w:rPr>
          <w:color w:val="000000"/>
          <w:sz w:val="22"/>
        </w:rPr>
      </w:pPr>
      <w:r>
        <w:rPr>
          <w:rFonts w:hint="eastAsia"/>
          <w:color w:val="000000"/>
          <w:sz w:val="22"/>
        </w:rPr>
        <w:t>传送带速度：</w:t>
      </w:r>
      <w:r>
        <w:rPr>
          <w:color w:val="000000"/>
          <w:sz w:val="22"/>
        </w:rPr>
        <w:t>0.19-0.23m/s</w:t>
      </w:r>
    </w:p>
    <w:p>
      <w:pPr>
        <w:adjustRightInd w:val="0"/>
        <w:snapToGrid w:val="0"/>
        <w:spacing w:line="440" w:lineRule="exact"/>
        <w:ind w:firstLine="440" w:firstLineChars="200"/>
        <w:rPr>
          <w:color w:val="000000"/>
          <w:sz w:val="22"/>
        </w:rPr>
      </w:pPr>
      <w:r>
        <w:rPr>
          <w:rFonts w:hint="eastAsia"/>
          <w:color w:val="000000"/>
          <w:sz w:val="22"/>
        </w:rPr>
        <w:t>传送带承重：≥</w:t>
      </w:r>
      <w:r>
        <w:rPr>
          <w:color w:val="000000"/>
          <w:sz w:val="22"/>
        </w:rPr>
        <w:t>150KG</w:t>
      </w:r>
    </w:p>
    <w:p>
      <w:pPr>
        <w:adjustRightInd w:val="0"/>
        <w:snapToGrid w:val="0"/>
        <w:spacing w:line="440" w:lineRule="exact"/>
        <w:ind w:firstLine="440" w:firstLineChars="200"/>
        <w:rPr>
          <w:color w:val="000000"/>
          <w:sz w:val="22"/>
        </w:rPr>
      </w:pPr>
      <w:r>
        <w:rPr>
          <w:color w:val="000000"/>
          <w:sz w:val="22"/>
        </w:rPr>
        <w:t>*</w:t>
      </w:r>
      <w:r>
        <w:rPr>
          <w:rFonts w:hint="eastAsia"/>
          <w:color w:val="000000"/>
          <w:sz w:val="22"/>
        </w:rPr>
        <w:t>穿透力：</w:t>
      </w:r>
      <w:r>
        <w:rPr>
          <w:color w:val="000000"/>
          <w:sz w:val="22"/>
        </w:rPr>
        <w:t xml:space="preserve">    </w:t>
      </w:r>
      <w:r>
        <w:rPr>
          <w:rFonts w:hint="eastAsia"/>
          <w:color w:val="000000"/>
          <w:sz w:val="22"/>
        </w:rPr>
        <w:t>≥</w:t>
      </w:r>
      <w:r>
        <w:rPr>
          <w:color w:val="000000"/>
          <w:sz w:val="22"/>
        </w:rPr>
        <w:t>30</w:t>
      </w:r>
      <w:r>
        <w:rPr>
          <w:rFonts w:hint="eastAsia"/>
          <w:color w:val="000000"/>
          <w:sz w:val="22"/>
        </w:rPr>
        <w:t>毫米钢板</w:t>
      </w:r>
    </w:p>
    <w:p>
      <w:pPr>
        <w:adjustRightInd w:val="0"/>
        <w:snapToGrid w:val="0"/>
        <w:spacing w:line="440" w:lineRule="exact"/>
        <w:ind w:firstLine="440" w:firstLineChars="200"/>
        <w:rPr>
          <w:color w:val="000000"/>
          <w:sz w:val="22"/>
        </w:rPr>
      </w:pPr>
      <w:r>
        <w:rPr>
          <w:color w:val="000000"/>
          <w:sz w:val="22"/>
        </w:rPr>
        <w:t>*</w:t>
      </w:r>
      <w:r>
        <w:rPr>
          <w:rFonts w:hint="eastAsia"/>
          <w:color w:val="000000"/>
          <w:sz w:val="22"/>
        </w:rPr>
        <w:t>穿透分辨力：</w:t>
      </w:r>
      <w:r>
        <w:rPr>
          <w:color w:val="000000"/>
          <w:sz w:val="22"/>
        </w:rPr>
        <w:t xml:space="preserve"> </w:t>
      </w:r>
      <w:r>
        <w:rPr>
          <w:rFonts w:hint="eastAsia"/>
          <w:color w:val="000000"/>
          <w:sz w:val="22"/>
        </w:rPr>
        <w:t>不小于</w:t>
      </w:r>
      <w:r>
        <w:rPr>
          <w:color w:val="000000"/>
          <w:sz w:val="22"/>
        </w:rPr>
        <w:t>AWG30</w:t>
      </w:r>
    </w:p>
    <w:p>
      <w:pPr>
        <w:adjustRightInd w:val="0"/>
        <w:snapToGrid w:val="0"/>
        <w:spacing w:line="440" w:lineRule="exact"/>
        <w:ind w:firstLine="440" w:firstLineChars="200"/>
        <w:rPr>
          <w:color w:val="000000"/>
          <w:sz w:val="22"/>
        </w:rPr>
      </w:pPr>
      <w:r>
        <w:rPr>
          <w:color w:val="000000"/>
          <w:sz w:val="22"/>
        </w:rPr>
        <w:t>*</w:t>
      </w:r>
      <w:r>
        <w:rPr>
          <w:rFonts w:hint="eastAsia"/>
          <w:color w:val="000000"/>
          <w:sz w:val="22"/>
        </w:rPr>
        <w:t>线分辨力：</w:t>
      </w:r>
      <w:r>
        <w:rPr>
          <w:color w:val="000000"/>
          <w:sz w:val="22"/>
        </w:rPr>
        <w:t xml:space="preserve">  </w:t>
      </w:r>
      <w:r>
        <w:rPr>
          <w:rFonts w:hint="eastAsia"/>
          <w:color w:val="000000"/>
          <w:sz w:val="22"/>
        </w:rPr>
        <w:t>不小于</w:t>
      </w:r>
      <w:r>
        <w:rPr>
          <w:color w:val="000000"/>
          <w:sz w:val="22"/>
        </w:rPr>
        <w:t>AWG38</w:t>
      </w:r>
    </w:p>
    <w:p>
      <w:pPr>
        <w:adjustRightInd w:val="0"/>
        <w:snapToGrid w:val="0"/>
        <w:spacing w:line="440" w:lineRule="exact"/>
        <w:ind w:firstLine="440" w:firstLineChars="200"/>
        <w:rPr>
          <w:color w:val="000000"/>
          <w:sz w:val="22"/>
        </w:rPr>
      </w:pPr>
      <w:r>
        <w:rPr>
          <w:color w:val="000000"/>
          <w:sz w:val="22"/>
        </w:rPr>
        <w:t>*</w:t>
      </w:r>
      <w:r>
        <w:rPr>
          <w:rFonts w:hint="eastAsia"/>
          <w:color w:val="000000"/>
          <w:sz w:val="22"/>
        </w:rPr>
        <w:t>空间分辨力</w:t>
      </w:r>
      <w:r>
        <w:rPr>
          <w:color w:val="000000"/>
          <w:sz w:val="22"/>
        </w:rPr>
        <w:t xml:space="preserve">: </w:t>
      </w:r>
      <w:r>
        <w:rPr>
          <w:rFonts w:hint="eastAsia"/>
          <w:color w:val="000000"/>
          <w:sz w:val="22"/>
        </w:rPr>
        <w:t>不大于</w:t>
      </w:r>
      <w:r>
        <w:rPr>
          <w:color w:val="000000"/>
          <w:sz w:val="22"/>
        </w:rPr>
        <w:t>1.3mm</w:t>
      </w:r>
      <w:r>
        <w:rPr>
          <w:rFonts w:hint="eastAsia"/>
          <w:color w:val="000000"/>
          <w:sz w:val="22"/>
        </w:rPr>
        <w:t>实芯镀锡铜线对</w:t>
      </w:r>
    </w:p>
    <w:p>
      <w:pPr>
        <w:adjustRightInd w:val="0"/>
        <w:snapToGrid w:val="0"/>
        <w:spacing w:line="440" w:lineRule="exact"/>
        <w:ind w:firstLine="440" w:firstLineChars="200"/>
        <w:rPr>
          <w:color w:val="000000"/>
          <w:sz w:val="22"/>
        </w:rPr>
      </w:pPr>
      <w:r>
        <w:rPr>
          <w:rFonts w:hint="eastAsia"/>
          <w:color w:val="000000"/>
          <w:sz w:val="22"/>
        </w:rPr>
        <w:t>灰度分辨要求</w:t>
      </w:r>
      <w:r>
        <w:rPr>
          <w:color w:val="000000"/>
          <w:sz w:val="22"/>
        </w:rPr>
        <w:t>:</w:t>
      </w:r>
      <w:r>
        <w:rPr>
          <w:rFonts w:hint="eastAsia"/>
          <w:color w:val="000000"/>
          <w:sz w:val="22"/>
        </w:rPr>
        <w:t>厚度为</w:t>
      </w:r>
      <w:r>
        <w:rPr>
          <w:color w:val="000000"/>
          <w:sz w:val="22"/>
        </w:rPr>
        <w:t>1mm</w:t>
      </w:r>
      <w:r>
        <w:rPr>
          <w:rFonts w:hint="eastAsia"/>
          <w:color w:val="000000"/>
          <w:sz w:val="22"/>
        </w:rPr>
        <w:t>～</w:t>
      </w:r>
      <w:r>
        <w:rPr>
          <w:color w:val="000000"/>
          <w:sz w:val="22"/>
        </w:rPr>
        <w:t>60mm,</w:t>
      </w:r>
      <w:r>
        <w:rPr>
          <w:rFonts w:hint="eastAsia"/>
          <w:color w:val="000000"/>
          <w:sz w:val="22"/>
        </w:rPr>
        <w:t>厚度差为</w:t>
      </w:r>
      <w:r>
        <w:rPr>
          <w:color w:val="000000"/>
          <w:sz w:val="22"/>
        </w:rPr>
        <w:t>1mm</w:t>
      </w:r>
      <w:r>
        <w:rPr>
          <w:rFonts w:hint="eastAsia"/>
          <w:color w:val="000000"/>
          <w:sz w:val="22"/>
        </w:rPr>
        <w:t>的铝阶梯</w:t>
      </w:r>
    </w:p>
    <w:p>
      <w:pPr>
        <w:adjustRightInd w:val="0"/>
        <w:snapToGrid w:val="0"/>
        <w:spacing w:line="440" w:lineRule="exact"/>
        <w:ind w:firstLine="440" w:firstLineChars="200"/>
        <w:rPr>
          <w:color w:val="000000"/>
          <w:sz w:val="22"/>
        </w:rPr>
      </w:pPr>
      <w:r>
        <w:rPr>
          <w:rFonts w:hint="eastAsia"/>
          <w:color w:val="000000"/>
          <w:sz w:val="22"/>
        </w:rPr>
        <w:t>有机物分辨</w:t>
      </w:r>
      <w:r>
        <w:rPr>
          <w:color w:val="000000"/>
          <w:sz w:val="22"/>
        </w:rPr>
        <w:t>:</w:t>
      </w:r>
      <w:r>
        <w:rPr>
          <w:rFonts w:hint="eastAsia"/>
          <w:color w:val="000000"/>
          <w:sz w:val="22"/>
        </w:rPr>
        <w:t>分辨厚度为</w:t>
      </w:r>
      <w:r>
        <w:rPr>
          <w:color w:val="000000"/>
          <w:sz w:val="22"/>
        </w:rPr>
        <w:t>1mm</w:t>
      </w:r>
      <w:r>
        <w:rPr>
          <w:rFonts w:hint="eastAsia"/>
          <w:color w:val="000000"/>
          <w:sz w:val="22"/>
        </w:rPr>
        <w:t>～</w:t>
      </w:r>
      <w:r>
        <w:rPr>
          <w:color w:val="000000"/>
          <w:sz w:val="22"/>
        </w:rPr>
        <w:t>120mm</w:t>
      </w:r>
      <w:r>
        <w:rPr>
          <w:rFonts w:hint="eastAsia"/>
          <w:color w:val="000000"/>
          <w:sz w:val="22"/>
        </w:rPr>
        <w:t>材料为聚甲基丙烯酸甲酯的有机玻璃</w:t>
      </w:r>
      <w:r>
        <w:rPr>
          <w:color w:val="000000"/>
          <w:sz w:val="22"/>
        </w:rPr>
        <w:t>,</w:t>
      </w:r>
      <w:r>
        <w:rPr>
          <w:rFonts w:hint="eastAsia"/>
          <w:color w:val="000000"/>
          <w:sz w:val="22"/>
        </w:rPr>
        <w:t>并赋予不同饱和度的橙色</w:t>
      </w:r>
    </w:p>
    <w:p>
      <w:pPr>
        <w:adjustRightInd w:val="0"/>
        <w:snapToGrid w:val="0"/>
        <w:spacing w:line="440" w:lineRule="exact"/>
        <w:ind w:firstLine="440" w:firstLineChars="200"/>
        <w:rPr>
          <w:color w:val="000000"/>
          <w:sz w:val="22"/>
        </w:rPr>
      </w:pPr>
      <w:r>
        <w:rPr>
          <w:rFonts w:hint="eastAsia"/>
          <w:color w:val="000000"/>
          <w:sz w:val="22"/>
        </w:rPr>
        <w:t>无机物分辨</w:t>
      </w:r>
      <w:r>
        <w:rPr>
          <w:color w:val="000000"/>
          <w:sz w:val="22"/>
        </w:rPr>
        <w:t>:</w:t>
      </w:r>
      <w:r>
        <w:rPr>
          <w:rFonts w:hint="eastAsia"/>
          <w:color w:val="000000"/>
          <w:sz w:val="22"/>
        </w:rPr>
        <w:t>分辨厚度为</w:t>
      </w:r>
      <w:r>
        <w:rPr>
          <w:color w:val="000000"/>
          <w:sz w:val="22"/>
        </w:rPr>
        <w:t>0.2mm</w:t>
      </w:r>
      <w:r>
        <w:rPr>
          <w:rFonts w:hint="eastAsia"/>
          <w:color w:val="000000"/>
          <w:sz w:val="22"/>
        </w:rPr>
        <w:t>～</w:t>
      </w:r>
      <w:r>
        <w:rPr>
          <w:color w:val="000000"/>
          <w:sz w:val="22"/>
        </w:rPr>
        <w:t>14mm</w:t>
      </w:r>
      <w:r>
        <w:rPr>
          <w:rFonts w:hint="eastAsia"/>
          <w:color w:val="000000"/>
          <w:sz w:val="22"/>
        </w:rPr>
        <w:t>的钢板</w:t>
      </w:r>
      <w:r>
        <w:rPr>
          <w:color w:val="000000"/>
          <w:sz w:val="22"/>
        </w:rPr>
        <w:t>,</w:t>
      </w:r>
      <w:r>
        <w:rPr>
          <w:rFonts w:hint="eastAsia"/>
          <w:color w:val="000000"/>
          <w:sz w:val="22"/>
        </w:rPr>
        <w:t>并赋予不同饱和度的蓝色</w:t>
      </w:r>
    </w:p>
    <w:p>
      <w:pPr>
        <w:adjustRightInd w:val="0"/>
        <w:snapToGrid w:val="0"/>
        <w:spacing w:line="440" w:lineRule="exact"/>
        <w:ind w:firstLine="440" w:firstLineChars="200"/>
        <w:rPr>
          <w:color w:val="000000"/>
          <w:sz w:val="22"/>
        </w:rPr>
      </w:pPr>
      <w:r>
        <w:rPr>
          <w:rFonts w:hint="eastAsia"/>
          <w:color w:val="000000"/>
          <w:sz w:val="22"/>
        </w:rPr>
        <w:t>混合物分辨</w:t>
      </w:r>
      <w:r>
        <w:rPr>
          <w:color w:val="000000"/>
          <w:sz w:val="22"/>
        </w:rPr>
        <w:t>:</w:t>
      </w:r>
      <w:r>
        <w:rPr>
          <w:rFonts w:hint="eastAsia"/>
          <w:color w:val="000000"/>
          <w:sz w:val="22"/>
        </w:rPr>
        <w:t>厚度为</w:t>
      </w:r>
      <w:r>
        <w:rPr>
          <w:color w:val="000000"/>
          <w:sz w:val="22"/>
        </w:rPr>
        <w:t>1mm</w:t>
      </w:r>
      <w:r>
        <w:rPr>
          <w:rFonts w:hint="eastAsia"/>
          <w:color w:val="000000"/>
          <w:sz w:val="22"/>
        </w:rPr>
        <w:t>～</w:t>
      </w:r>
      <w:r>
        <w:rPr>
          <w:color w:val="000000"/>
          <w:sz w:val="22"/>
        </w:rPr>
        <w:t>60mm</w:t>
      </w:r>
      <w:r>
        <w:rPr>
          <w:rFonts w:hint="eastAsia"/>
          <w:color w:val="000000"/>
          <w:sz w:val="22"/>
        </w:rPr>
        <w:t>的铝板</w:t>
      </w:r>
      <w:r>
        <w:rPr>
          <w:color w:val="000000"/>
          <w:sz w:val="22"/>
        </w:rPr>
        <w:t>,</w:t>
      </w:r>
      <w:r>
        <w:rPr>
          <w:rFonts w:hint="eastAsia"/>
          <w:color w:val="000000"/>
          <w:sz w:val="22"/>
        </w:rPr>
        <w:t>并赋予不同饱和度的绿色</w:t>
      </w:r>
    </w:p>
    <w:p>
      <w:pPr>
        <w:adjustRightInd w:val="0"/>
        <w:snapToGrid w:val="0"/>
        <w:spacing w:line="440" w:lineRule="exact"/>
        <w:ind w:firstLine="440" w:firstLineChars="200"/>
        <w:rPr>
          <w:color w:val="000000"/>
          <w:sz w:val="22"/>
        </w:rPr>
      </w:pPr>
      <w:r>
        <w:rPr>
          <w:rFonts w:hint="eastAsia"/>
          <w:color w:val="000000"/>
          <w:sz w:val="22"/>
        </w:rPr>
        <w:t>射线产生器冷却方式：密封式油冷</w:t>
      </w:r>
    </w:p>
    <w:p>
      <w:pPr>
        <w:adjustRightInd w:val="0"/>
        <w:snapToGrid w:val="0"/>
        <w:spacing w:line="440" w:lineRule="exact"/>
        <w:ind w:firstLine="440" w:firstLineChars="200"/>
        <w:rPr>
          <w:color w:val="000000"/>
          <w:sz w:val="22"/>
        </w:rPr>
      </w:pPr>
      <w:r>
        <w:rPr>
          <w:rFonts w:hint="eastAsia"/>
          <w:color w:val="000000"/>
          <w:sz w:val="22"/>
        </w:rPr>
        <w:t>阳极电源：</w:t>
      </w:r>
      <w:r>
        <w:rPr>
          <w:color w:val="000000"/>
          <w:sz w:val="22"/>
        </w:rPr>
        <w:t>160KV  CP</w:t>
      </w:r>
    </w:p>
    <w:p>
      <w:pPr>
        <w:adjustRightInd w:val="0"/>
        <w:snapToGrid w:val="0"/>
        <w:spacing w:line="440" w:lineRule="exact"/>
        <w:ind w:firstLine="440" w:firstLineChars="200"/>
        <w:rPr>
          <w:color w:val="000000"/>
          <w:sz w:val="22"/>
        </w:rPr>
      </w:pPr>
      <w:r>
        <w:rPr>
          <w:rFonts w:hint="eastAsia"/>
          <w:color w:val="000000"/>
          <w:sz w:val="22"/>
        </w:rPr>
        <w:t>射线方向：底部向上和侧照式射线源</w:t>
      </w:r>
    </w:p>
    <w:p>
      <w:pPr>
        <w:adjustRightInd w:val="0"/>
        <w:snapToGrid w:val="0"/>
        <w:spacing w:line="440" w:lineRule="exact"/>
        <w:ind w:firstLine="442" w:firstLineChars="200"/>
        <w:rPr>
          <w:b/>
          <w:color w:val="000000"/>
          <w:sz w:val="22"/>
          <w:u w:val="single"/>
        </w:rPr>
      </w:pPr>
      <w:r>
        <w:rPr>
          <w:b/>
          <w:color w:val="000000"/>
          <w:sz w:val="22"/>
          <w:u w:val="single"/>
        </w:rPr>
        <w:t>*</w:t>
      </w:r>
      <w:r>
        <w:rPr>
          <w:rFonts w:hint="eastAsia"/>
          <w:b/>
          <w:color w:val="000000"/>
          <w:sz w:val="22"/>
          <w:u w:val="single"/>
        </w:rPr>
        <w:t>射线源数量：</w:t>
      </w:r>
      <w:r>
        <w:rPr>
          <w:b/>
          <w:color w:val="000000"/>
          <w:sz w:val="22"/>
          <w:u w:val="single"/>
        </w:rPr>
        <w:t>2</w:t>
      </w:r>
      <w:r>
        <w:rPr>
          <w:rFonts w:hint="eastAsia"/>
          <w:b/>
          <w:color w:val="000000"/>
          <w:sz w:val="22"/>
          <w:u w:val="single"/>
        </w:rPr>
        <w:t>个</w:t>
      </w:r>
    </w:p>
    <w:p>
      <w:pPr>
        <w:adjustRightInd w:val="0"/>
        <w:snapToGrid w:val="0"/>
        <w:spacing w:line="440" w:lineRule="exact"/>
        <w:ind w:firstLine="440" w:firstLineChars="200"/>
        <w:rPr>
          <w:sz w:val="22"/>
        </w:rPr>
      </w:pPr>
      <w:r>
        <w:rPr>
          <w:rFonts w:hint="eastAsia"/>
          <w:sz w:val="22"/>
        </w:rPr>
        <w:t>电</w:t>
      </w:r>
      <w:r>
        <w:rPr>
          <w:sz w:val="22"/>
        </w:rPr>
        <w:t xml:space="preserve">    </w:t>
      </w:r>
      <w:r>
        <w:rPr>
          <w:rFonts w:hint="eastAsia"/>
          <w:sz w:val="22"/>
        </w:rPr>
        <w:t>源：</w:t>
      </w:r>
      <w:r>
        <w:rPr>
          <w:sz w:val="22"/>
        </w:rPr>
        <w:t>220V</w:t>
      </w:r>
      <w:r>
        <w:rPr>
          <w:rFonts w:hint="eastAsia"/>
          <w:sz w:val="22"/>
        </w:rPr>
        <w:t>交流电±</w:t>
      </w:r>
      <w:r>
        <w:rPr>
          <w:sz w:val="22"/>
        </w:rPr>
        <w:t>10%</w:t>
      </w:r>
      <w:r>
        <w:rPr>
          <w:rFonts w:hint="eastAsia"/>
          <w:sz w:val="22"/>
        </w:rPr>
        <w:t>　</w:t>
      </w:r>
      <w:r>
        <w:rPr>
          <w:sz w:val="22"/>
        </w:rPr>
        <w:t>50</w:t>
      </w:r>
      <w:r>
        <w:rPr>
          <w:rFonts w:hint="eastAsia"/>
          <w:sz w:val="22"/>
        </w:rPr>
        <w:t>±</w:t>
      </w:r>
      <w:r>
        <w:rPr>
          <w:sz w:val="22"/>
        </w:rPr>
        <w:t>3HZ</w:t>
      </w:r>
    </w:p>
    <w:p>
      <w:pPr>
        <w:adjustRightInd w:val="0"/>
        <w:snapToGrid w:val="0"/>
        <w:spacing w:line="440" w:lineRule="exact"/>
        <w:ind w:firstLine="440" w:firstLineChars="200"/>
        <w:rPr>
          <w:sz w:val="22"/>
        </w:rPr>
      </w:pPr>
      <w:r>
        <w:rPr>
          <w:rFonts w:hint="eastAsia"/>
          <w:sz w:val="22"/>
        </w:rPr>
        <w:t>噪</w:t>
      </w:r>
      <w:r>
        <w:rPr>
          <w:sz w:val="22"/>
        </w:rPr>
        <w:t xml:space="preserve">    </w:t>
      </w:r>
      <w:r>
        <w:rPr>
          <w:rFonts w:hint="eastAsia"/>
          <w:sz w:val="22"/>
        </w:rPr>
        <w:t>声：低于</w:t>
      </w:r>
      <w:r>
        <w:rPr>
          <w:sz w:val="22"/>
        </w:rPr>
        <w:t>65dB</w:t>
      </w:r>
    </w:p>
    <w:p>
      <w:pPr>
        <w:ind w:right="-468" w:rightChars="-195"/>
        <w:textAlignment w:val="top"/>
        <w:rPr>
          <w:sz w:val="22"/>
        </w:rPr>
      </w:pPr>
      <w:r>
        <w:rPr>
          <w:rFonts w:hint="eastAsia"/>
          <w:sz w:val="22"/>
        </w:rPr>
        <w:t>注</w:t>
      </w:r>
      <w:r>
        <w:rPr>
          <w:sz w:val="22"/>
        </w:rPr>
        <w:t>:</w:t>
      </w:r>
      <w:r>
        <w:rPr>
          <w:b/>
          <w:color w:val="000000"/>
          <w:sz w:val="22"/>
          <w:u w:val="single"/>
        </w:rPr>
        <w:t>*</w:t>
      </w:r>
      <w:r>
        <w:rPr>
          <w:rFonts w:hint="eastAsia"/>
          <w:b/>
          <w:color w:val="000000"/>
          <w:sz w:val="22"/>
          <w:u w:val="single"/>
        </w:rPr>
        <w:t>上述指标以民航局出具的鉴定报告中应用值的最低为准，须在《技术偏离表》中两个视角分别填写。</w:t>
      </w:r>
    </w:p>
    <w:p>
      <w:pPr>
        <w:adjustRightInd w:val="0"/>
        <w:snapToGrid w:val="0"/>
        <w:spacing w:line="440" w:lineRule="exact"/>
        <w:ind w:firstLine="440" w:firstLineChars="200"/>
        <w:rPr>
          <w:sz w:val="22"/>
        </w:rPr>
      </w:pPr>
      <w:r>
        <w:rPr>
          <w:sz w:val="22"/>
        </w:rPr>
        <w:t>1.2</w:t>
      </w:r>
      <w:r>
        <w:rPr>
          <w:rFonts w:hint="eastAsia"/>
          <w:sz w:val="22"/>
        </w:rPr>
        <w:t>　</w:t>
      </w:r>
      <w:r>
        <w:rPr>
          <w:sz w:val="22"/>
        </w:rPr>
        <w:t>X</w:t>
      </w:r>
      <w:r>
        <w:rPr>
          <w:rFonts w:hint="eastAsia"/>
          <w:sz w:val="22"/>
        </w:rPr>
        <w:t>射线安全检查设备功能要求</w:t>
      </w:r>
    </w:p>
    <w:p>
      <w:pPr>
        <w:adjustRightInd w:val="0"/>
        <w:snapToGrid w:val="0"/>
        <w:spacing w:line="440" w:lineRule="exact"/>
        <w:ind w:firstLine="440" w:firstLineChars="200"/>
        <w:rPr>
          <w:sz w:val="22"/>
        </w:rPr>
      </w:pPr>
      <w:r>
        <w:rPr>
          <w:sz w:val="22"/>
        </w:rPr>
        <w:t>1.2.1</w:t>
      </w:r>
      <w:r>
        <w:rPr>
          <w:rFonts w:hint="eastAsia"/>
          <w:sz w:val="22"/>
        </w:rPr>
        <w:t>图像处理：</w:t>
      </w:r>
      <w:r>
        <w:rPr>
          <w:sz w:val="22"/>
        </w:rPr>
        <w:t>24bit</w:t>
      </w:r>
      <w:r>
        <w:rPr>
          <w:rFonts w:hint="eastAsia"/>
          <w:sz w:val="22"/>
        </w:rPr>
        <w:t>实时。</w:t>
      </w:r>
    </w:p>
    <w:p>
      <w:pPr>
        <w:adjustRightInd w:val="0"/>
        <w:snapToGrid w:val="0"/>
        <w:spacing w:line="440" w:lineRule="exact"/>
        <w:ind w:firstLine="440" w:firstLineChars="200"/>
        <w:rPr>
          <w:sz w:val="22"/>
        </w:rPr>
      </w:pPr>
      <w:r>
        <w:rPr>
          <w:sz w:val="22"/>
        </w:rPr>
        <w:t>1.2.2</w:t>
      </w:r>
      <w:r>
        <w:rPr>
          <w:rFonts w:hint="eastAsia"/>
          <w:sz w:val="22"/>
        </w:rPr>
        <w:t>图象选区放大：</w:t>
      </w:r>
      <w:r>
        <w:rPr>
          <w:sz w:val="22"/>
        </w:rPr>
        <w:t>2</w:t>
      </w:r>
      <w:r>
        <w:rPr>
          <w:rFonts w:hint="eastAsia"/>
          <w:sz w:val="22"/>
        </w:rPr>
        <w:t>，</w:t>
      </w:r>
      <w:r>
        <w:rPr>
          <w:sz w:val="22"/>
        </w:rPr>
        <w:t>3</w:t>
      </w:r>
      <w:r>
        <w:rPr>
          <w:rFonts w:hint="eastAsia"/>
          <w:sz w:val="22"/>
        </w:rPr>
        <w:t>，</w:t>
      </w:r>
      <w:r>
        <w:rPr>
          <w:sz w:val="22"/>
        </w:rPr>
        <w:t>4</w:t>
      </w:r>
      <w:r>
        <w:rPr>
          <w:rFonts w:hint="eastAsia"/>
          <w:sz w:val="22"/>
        </w:rPr>
        <w:t>～</w:t>
      </w:r>
      <w:r>
        <w:rPr>
          <w:sz w:val="22"/>
        </w:rPr>
        <w:t>16</w:t>
      </w:r>
      <w:r>
        <w:rPr>
          <w:rFonts w:hint="eastAsia"/>
          <w:sz w:val="22"/>
        </w:rPr>
        <w:t>倍，任意选区放大；放大后选区可漫游。</w:t>
      </w:r>
    </w:p>
    <w:p>
      <w:pPr>
        <w:adjustRightInd w:val="0"/>
        <w:snapToGrid w:val="0"/>
        <w:spacing w:line="440" w:lineRule="exact"/>
        <w:ind w:firstLine="440" w:firstLineChars="200"/>
        <w:rPr>
          <w:sz w:val="22"/>
        </w:rPr>
      </w:pPr>
      <w:r>
        <w:rPr>
          <w:sz w:val="22"/>
        </w:rPr>
        <w:t xml:space="preserve">1.2.3 </w:t>
      </w:r>
      <w:r>
        <w:rPr>
          <w:rFonts w:hint="eastAsia"/>
          <w:sz w:val="22"/>
        </w:rPr>
        <w:t>图象处理功能：图像反转、有机物剔除、无机物剔除、黑白图像、图像超级增强、穿透增强、可变多能量、灰度扫描、边缘增强、高密度报警、炸药毒品辅助探测、图像局部穿透增强、图像存储、违禁物品插入、单机培训等。</w:t>
      </w:r>
    </w:p>
    <w:p>
      <w:pPr>
        <w:adjustRightInd w:val="0"/>
        <w:snapToGrid w:val="0"/>
        <w:spacing w:line="440" w:lineRule="exact"/>
        <w:ind w:firstLine="440" w:firstLineChars="200"/>
        <w:rPr>
          <w:sz w:val="22"/>
        </w:rPr>
      </w:pPr>
      <w:r>
        <w:rPr>
          <w:sz w:val="22"/>
        </w:rPr>
        <w:t xml:space="preserve">1.2.4 </w:t>
      </w:r>
      <w:r>
        <w:rPr>
          <w:rFonts w:hint="eastAsia"/>
          <w:sz w:val="22"/>
        </w:rPr>
        <w:t>图像最高分辨率：≥</w:t>
      </w:r>
      <w:r>
        <w:rPr>
          <w:sz w:val="22"/>
        </w:rPr>
        <w:t>1280*1024</w:t>
      </w:r>
      <w:r>
        <w:rPr>
          <w:rFonts w:hint="eastAsia"/>
          <w:sz w:val="22"/>
        </w:rPr>
        <w:t>像素。</w:t>
      </w:r>
    </w:p>
    <w:p>
      <w:pPr>
        <w:adjustRightInd w:val="0"/>
        <w:snapToGrid w:val="0"/>
        <w:spacing w:line="440" w:lineRule="exact"/>
        <w:ind w:firstLine="440" w:firstLineChars="200"/>
        <w:rPr>
          <w:sz w:val="22"/>
        </w:rPr>
      </w:pPr>
      <w:r>
        <w:rPr>
          <w:sz w:val="22"/>
        </w:rPr>
        <w:t xml:space="preserve">1.2.5 </w:t>
      </w:r>
      <w:r>
        <w:rPr>
          <w:rFonts w:hint="eastAsia"/>
          <w:sz w:val="22"/>
        </w:rPr>
        <w:t>图像灰度级：</w:t>
      </w:r>
      <w:r>
        <w:rPr>
          <w:sz w:val="22"/>
        </w:rPr>
        <w:t>16bit</w:t>
      </w:r>
      <w:r>
        <w:rPr>
          <w:rFonts w:hint="eastAsia"/>
          <w:sz w:val="22"/>
        </w:rPr>
        <w:t>。</w:t>
      </w:r>
    </w:p>
    <w:p>
      <w:pPr>
        <w:adjustRightInd w:val="0"/>
        <w:snapToGrid w:val="0"/>
        <w:spacing w:line="440" w:lineRule="exact"/>
        <w:ind w:firstLine="440" w:firstLineChars="200"/>
        <w:rPr>
          <w:sz w:val="22"/>
        </w:rPr>
      </w:pPr>
      <w:r>
        <w:rPr>
          <w:sz w:val="22"/>
        </w:rPr>
        <w:t xml:space="preserve">1.2.6 </w:t>
      </w:r>
      <w:r>
        <w:rPr>
          <w:rFonts w:hint="eastAsia"/>
          <w:sz w:val="22"/>
        </w:rPr>
        <w:t>图像回拉：</w:t>
      </w:r>
      <w:r>
        <w:rPr>
          <w:sz w:val="22"/>
        </w:rPr>
        <w:t>50</w:t>
      </w:r>
      <w:r>
        <w:rPr>
          <w:rFonts w:hint="eastAsia"/>
          <w:sz w:val="22"/>
        </w:rPr>
        <w:t>幅。</w:t>
      </w:r>
    </w:p>
    <w:p>
      <w:pPr>
        <w:adjustRightInd w:val="0"/>
        <w:snapToGrid w:val="0"/>
        <w:spacing w:line="440" w:lineRule="exact"/>
        <w:ind w:firstLine="440" w:firstLineChars="200"/>
        <w:rPr>
          <w:sz w:val="22"/>
        </w:rPr>
      </w:pPr>
      <w:r>
        <w:rPr>
          <w:sz w:val="22"/>
        </w:rPr>
        <w:t>1.2.7</w:t>
      </w:r>
      <w:r>
        <w:rPr>
          <w:rFonts w:hint="eastAsia"/>
          <w:sz w:val="22"/>
        </w:rPr>
        <w:t>设备附加功能：</w:t>
      </w:r>
    </w:p>
    <w:p>
      <w:pPr>
        <w:adjustRightInd w:val="0"/>
        <w:snapToGrid w:val="0"/>
        <w:spacing w:line="440" w:lineRule="exact"/>
        <w:ind w:firstLine="440" w:firstLineChars="200"/>
        <w:rPr>
          <w:sz w:val="22"/>
        </w:rPr>
      </w:pPr>
      <w:r>
        <w:rPr>
          <w:sz w:val="22"/>
        </w:rPr>
        <w:t>1)</w:t>
      </w:r>
      <w:r>
        <w:rPr>
          <w:rFonts w:hint="eastAsia"/>
          <w:sz w:val="22"/>
        </w:rPr>
        <w:t>日期</w:t>
      </w:r>
      <w:r>
        <w:rPr>
          <w:sz w:val="22"/>
        </w:rPr>
        <w:t>/</w:t>
      </w:r>
      <w:r>
        <w:rPr>
          <w:rFonts w:hint="eastAsia"/>
          <w:sz w:val="22"/>
        </w:rPr>
        <w:t>时间显示</w:t>
      </w:r>
    </w:p>
    <w:p>
      <w:pPr>
        <w:adjustRightInd w:val="0"/>
        <w:snapToGrid w:val="0"/>
        <w:spacing w:line="440" w:lineRule="exact"/>
        <w:ind w:firstLine="440" w:firstLineChars="200"/>
        <w:rPr>
          <w:sz w:val="22"/>
        </w:rPr>
      </w:pPr>
      <w:r>
        <w:rPr>
          <w:sz w:val="22"/>
        </w:rPr>
        <w:t>2)</w:t>
      </w:r>
      <w:r>
        <w:rPr>
          <w:rFonts w:hint="eastAsia"/>
          <w:sz w:val="22"/>
        </w:rPr>
        <w:t>行李数量计数器</w:t>
      </w:r>
    </w:p>
    <w:p>
      <w:pPr>
        <w:adjustRightInd w:val="0"/>
        <w:snapToGrid w:val="0"/>
        <w:spacing w:line="440" w:lineRule="exact"/>
        <w:ind w:firstLine="440" w:firstLineChars="200"/>
        <w:rPr>
          <w:sz w:val="22"/>
        </w:rPr>
      </w:pPr>
      <w:r>
        <w:rPr>
          <w:sz w:val="22"/>
        </w:rPr>
        <w:t>3)</w:t>
      </w:r>
      <w:r>
        <w:rPr>
          <w:rFonts w:hint="eastAsia"/>
          <w:sz w:val="22"/>
        </w:rPr>
        <w:t>操作员识别码</w:t>
      </w:r>
    </w:p>
    <w:p>
      <w:pPr>
        <w:adjustRightInd w:val="0"/>
        <w:snapToGrid w:val="0"/>
        <w:spacing w:line="440" w:lineRule="exact"/>
        <w:ind w:firstLine="440" w:firstLineChars="200"/>
        <w:rPr>
          <w:sz w:val="22"/>
        </w:rPr>
      </w:pPr>
      <w:r>
        <w:rPr>
          <w:sz w:val="22"/>
        </w:rPr>
        <w:t>4)</w:t>
      </w:r>
      <w:r>
        <w:rPr>
          <w:rFonts w:hint="eastAsia"/>
          <w:sz w:val="22"/>
        </w:rPr>
        <w:t>对先前图象可重新调阅</w:t>
      </w:r>
    </w:p>
    <w:p>
      <w:pPr>
        <w:adjustRightInd w:val="0"/>
        <w:snapToGrid w:val="0"/>
        <w:spacing w:line="440" w:lineRule="exact"/>
        <w:ind w:firstLine="440" w:firstLineChars="200"/>
        <w:rPr>
          <w:sz w:val="22"/>
        </w:rPr>
      </w:pPr>
      <w:r>
        <w:rPr>
          <w:sz w:val="22"/>
        </w:rPr>
        <w:t xml:space="preserve">1.2.8 </w:t>
      </w:r>
      <w:r>
        <w:rPr>
          <w:rFonts w:hint="eastAsia"/>
          <w:sz w:val="22"/>
        </w:rPr>
        <w:t>单机键盘按键功能可自由定义。</w:t>
      </w:r>
    </w:p>
    <w:p>
      <w:pPr>
        <w:adjustRightInd w:val="0"/>
        <w:snapToGrid w:val="0"/>
        <w:spacing w:line="440" w:lineRule="exact"/>
        <w:ind w:firstLine="440" w:firstLineChars="200"/>
        <w:rPr>
          <w:sz w:val="22"/>
        </w:rPr>
      </w:pPr>
      <w:r>
        <w:rPr>
          <w:sz w:val="22"/>
        </w:rPr>
        <w:t>1.2.9</w:t>
      </w:r>
      <w:r>
        <w:rPr>
          <w:rFonts w:hint="eastAsia"/>
          <w:sz w:val="22"/>
        </w:rPr>
        <w:t>用户管理：具备登录控制功能，对不同人员单独授权。</w:t>
      </w:r>
    </w:p>
    <w:p>
      <w:pPr>
        <w:adjustRightInd w:val="0"/>
        <w:snapToGrid w:val="0"/>
        <w:spacing w:line="440" w:lineRule="exact"/>
        <w:ind w:firstLine="440" w:firstLineChars="200"/>
        <w:rPr>
          <w:sz w:val="22"/>
        </w:rPr>
      </w:pPr>
      <w:r>
        <w:rPr>
          <w:sz w:val="22"/>
        </w:rPr>
        <w:t>1.2.10</w:t>
      </w:r>
      <w:r>
        <w:rPr>
          <w:rFonts w:hint="eastAsia"/>
          <w:sz w:val="22"/>
        </w:rPr>
        <w:t>系统监控：自动生成设备运行报告，记录登录信息。</w:t>
      </w:r>
    </w:p>
    <w:p>
      <w:pPr>
        <w:adjustRightInd w:val="0"/>
        <w:snapToGrid w:val="0"/>
        <w:spacing w:line="440" w:lineRule="exact"/>
        <w:ind w:firstLine="440" w:firstLineChars="200"/>
        <w:rPr>
          <w:sz w:val="22"/>
        </w:rPr>
      </w:pPr>
      <w:r>
        <w:rPr>
          <w:sz w:val="22"/>
        </w:rPr>
        <w:t xml:space="preserve">1.3 </w:t>
      </w:r>
      <w:r>
        <w:rPr>
          <w:rFonts w:hint="eastAsia"/>
          <w:sz w:val="22"/>
        </w:rPr>
        <w:t>对</w:t>
      </w:r>
      <w:r>
        <w:rPr>
          <w:sz w:val="22"/>
        </w:rPr>
        <w:t>X</w:t>
      </w:r>
      <w:r>
        <w:rPr>
          <w:rFonts w:hint="eastAsia"/>
          <w:sz w:val="22"/>
        </w:rPr>
        <w:t>射线安全检查设备的设备要求</w:t>
      </w:r>
    </w:p>
    <w:p>
      <w:pPr>
        <w:adjustRightInd w:val="0"/>
        <w:snapToGrid w:val="0"/>
        <w:spacing w:line="440" w:lineRule="exact"/>
        <w:ind w:firstLine="440" w:firstLineChars="200"/>
        <w:rPr>
          <w:sz w:val="22"/>
        </w:rPr>
      </w:pPr>
      <w:r>
        <w:rPr>
          <w:sz w:val="22"/>
        </w:rPr>
        <w:t>1.3.1 X</w:t>
      </w:r>
      <w:r>
        <w:rPr>
          <w:rFonts w:hint="eastAsia"/>
          <w:sz w:val="22"/>
        </w:rPr>
        <w:t>光机完成对正常的行李进行安全检查的工作。</w:t>
      </w:r>
    </w:p>
    <w:p>
      <w:pPr>
        <w:adjustRightInd w:val="0"/>
        <w:snapToGrid w:val="0"/>
        <w:spacing w:line="440" w:lineRule="exact"/>
        <w:ind w:firstLine="440" w:firstLineChars="200"/>
        <w:rPr>
          <w:sz w:val="22"/>
        </w:rPr>
      </w:pPr>
      <w:r>
        <w:rPr>
          <w:sz w:val="22"/>
        </w:rPr>
        <w:t>1.3.2  X</w:t>
      </w:r>
      <w:r>
        <w:rPr>
          <w:rFonts w:hint="eastAsia"/>
          <w:sz w:val="22"/>
        </w:rPr>
        <w:t>光机是由</w:t>
      </w:r>
      <w:r>
        <w:rPr>
          <w:sz w:val="22"/>
        </w:rPr>
        <w:t>X</w:t>
      </w:r>
      <w:r>
        <w:rPr>
          <w:rFonts w:hint="eastAsia"/>
          <w:sz w:val="22"/>
        </w:rPr>
        <w:t>射线系统、显示系统、操作员键盘或控制台等组成。</w:t>
      </w:r>
    </w:p>
    <w:p>
      <w:pPr>
        <w:adjustRightInd w:val="0"/>
        <w:snapToGrid w:val="0"/>
        <w:spacing w:line="440" w:lineRule="exact"/>
        <w:ind w:firstLine="440" w:firstLineChars="200"/>
        <w:rPr>
          <w:sz w:val="22"/>
        </w:rPr>
      </w:pPr>
      <w:r>
        <w:rPr>
          <w:sz w:val="22"/>
        </w:rPr>
        <w:t>1.3.3 X</w:t>
      </w:r>
      <w:r>
        <w:rPr>
          <w:rFonts w:hint="eastAsia"/>
          <w:sz w:val="22"/>
        </w:rPr>
        <w:t>光机单次检查剂量应不大于</w:t>
      </w:r>
      <w:r>
        <w:rPr>
          <w:sz w:val="22"/>
        </w:rPr>
        <w:t>5</w:t>
      </w:r>
      <w:r>
        <w:rPr>
          <w:rFonts w:hint="eastAsia"/>
          <w:sz w:val="22"/>
        </w:rPr>
        <w:t>μ</w:t>
      </w:r>
      <w:r>
        <w:rPr>
          <w:sz w:val="22"/>
        </w:rPr>
        <w:t>Gy/h</w:t>
      </w:r>
      <w:r>
        <w:rPr>
          <w:rFonts w:hint="eastAsia"/>
          <w:sz w:val="22"/>
        </w:rPr>
        <w:t>。</w:t>
      </w:r>
    </w:p>
    <w:p>
      <w:pPr>
        <w:adjustRightInd w:val="0"/>
        <w:snapToGrid w:val="0"/>
        <w:spacing w:line="440" w:lineRule="exact"/>
        <w:ind w:firstLine="440" w:firstLineChars="200"/>
        <w:rPr>
          <w:sz w:val="22"/>
        </w:rPr>
      </w:pPr>
      <w:r>
        <w:rPr>
          <w:sz w:val="22"/>
        </w:rPr>
        <w:t>1.3.4 X</w:t>
      </w:r>
      <w:r>
        <w:rPr>
          <w:rFonts w:hint="eastAsia"/>
          <w:sz w:val="22"/>
        </w:rPr>
        <w:t>光机标准泄漏剂量（在距设备框架外</w:t>
      </w:r>
      <w:r>
        <w:rPr>
          <w:sz w:val="22"/>
        </w:rPr>
        <w:t>5</w:t>
      </w:r>
      <w:r>
        <w:rPr>
          <w:rFonts w:hint="eastAsia"/>
          <w:sz w:val="22"/>
        </w:rPr>
        <w:t>厘米处）低于</w:t>
      </w:r>
      <w:r>
        <w:rPr>
          <w:sz w:val="22"/>
        </w:rPr>
        <w:t>3</w:t>
      </w:r>
      <w:r>
        <w:rPr>
          <w:rFonts w:hint="eastAsia"/>
          <w:sz w:val="22"/>
        </w:rPr>
        <w:t>μ</w:t>
      </w:r>
      <w:r>
        <w:rPr>
          <w:sz w:val="22"/>
        </w:rPr>
        <w:t>Gy/h</w:t>
      </w:r>
      <w:r>
        <w:rPr>
          <w:rFonts w:hint="eastAsia"/>
          <w:sz w:val="22"/>
        </w:rPr>
        <w:t>，应能满足所有</w:t>
      </w:r>
      <w:r>
        <w:rPr>
          <w:sz w:val="22"/>
        </w:rPr>
        <w:t>X</w:t>
      </w:r>
      <w:r>
        <w:rPr>
          <w:rFonts w:hint="eastAsia"/>
          <w:sz w:val="22"/>
        </w:rPr>
        <w:t>射线安全标准的要求。</w:t>
      </w:r>
    </w:p>
    <w:p>
      <w:pPr>
        <w:adjustRightInd w:val="0"/>
        <w:snapToGrid w:val="0"/>
        <w:spacing w:line="440" w:lineRule="exact"/>
        <w:ind w:firstLine="440" w:firstLineChars="200"/>
        <w:rPr>
          <w:sz w:val="22"/>
        </w:rPr>
      </w:pPr>
      <w:r>
        <w:rPr>
          <w:sz w:val="22"/>
        </w:rPr>
        <w:t>1.3.5</w:t>
      </w:r>
      <w:r>
        <w:rPr>
          <w:rFonts w:hint="eastAsia"/>
          <w:sz w:val="22"/>
        </w:rPr>
        <w:t>感光材料、食品、药品及磁带均不受影响，甚至多次照射也无妨。</w:t>
      </w:r>
    </w:p>
    <w:p>
      <w:pPr>
        <w:adjustRightInd w:val="0"/>
        <w:snapToGrid w:val="0"/>
        <w:spacing w:line="440" w:lineRule="exact"/>
        <w:ind w:firstLine="440" w:firstLineChars="200"/>
        <w:rPr>
          <w:sz w:val="22"/>
        </w:rPr>
      </w:pPr>
      <w:r>
        <w:rPr>
          <w:sz w:val="22"/>
        </w:rPr>
        <w:t>1.3.6</w:t>
      </w:r>
      <w:r>
        <w:rPr>
          <w:rFonts w:hint="eastAsia"/>
          <w:sz w:val="22"/>
        </w:rPr>
        <w:t>连锁电路接收用于</w:t>
      </w:r>
      <w:r>
        <w:rPr>
          <w:sz w:val="22"/>
        </w:rPr>
        <w:t>X</w:t>
      </w:r>
      <w:r>
        <w:rPr>
          <w:rFonts w:hint="eastAsia"/>
          <w:sz w:val="22"/>
        </w:rPr>
        <w:t>射线屏蔽的连锁开关的信号。如果任一个连锁开关断开，</w:t>
      </w:r>
      <w:r>
        <w:rPr>
          <w:sz w:val="22"/>
        </w:rPr>
        <w:t>X</w:t>
      </w:r>
      <w:r>
        <w:rPr>
          <w:rFonts w:hint="eastAsia"/>
          <w:sz w:val="22"/>
        </w:rPr>
        <w:t>射线将自动关断。</w:t>
      </w:r>
    </w:p>
    <w:p>
      <w:pPr>
        <w:adjustRightInd w:val="0"/>
        <w:snapToGrid w:val="0"/>
        <w:spacing w:line="440" w:lineRule="exact"/>
        <w:ind w:firstLine="440" w:firstLineChars="200"/>
        <w:rPr>
          <w:sz w:val="22"/>
        </w:rPr>
      </w:pPr>
      <w:r>
        <w:rPr>
          <w:sz w:val="22"/>
        </w:rPr>
        <w:t>1.3.7</w:t>
      </w:r>
      <w:r>
        <w:rPr>
          <w:rFonts w:hint="eastAsia"/>
          <w:sz w:val="22"/>
        </w:rPr>
        <w:t>工作周期：</w:t>
      </w:r>
      <w:r>
        <w:rPr>
          <w:sz w:val="22"/>
        </w:rPr>
        <w:t>100%</w:t>
      </w:r>
      <w:r>
        <w:rPr>
          <w:rFonts w:hint="eastAsia"/>
          <w:sz w:val="22"/>
        </w:rPr>
        <w:t>连续，无需预热。</w:t>
      </w:r>
    </w:p>
    <w:p>
      <w:pPr>
        <w:adjustRightInd w:val="0"/>
        <w:snapToGrid w:val="0"/>
        <w:spacing w:line="440" w:lineRule="exact"/>
        <w:ind w:firstLine="440" w:firstLineChars="200"/>
        <w:rPr>
          <w:sz w:val="22"/>
        </w:rPr>
      </w:pPr>
      <w:r>
        <w:rPr>
          <w:sz w:val="22"/>
        </w:rPr>
        <w:t>1.3.8</w:t>
      </w:r>
      <w:r>
        <w:rPr>
          <w:rFonts w:hint="eastAsia"/>
          <w:sz w:val="22"/>
        </w:rPr>
        <w:t>胶卷安全性：对</w:t>
      </w:r>
      <w:r>
        <w:rPr>
          <w:sz w:val="22"/>
        </w:rPr>
        <w:t>IS01600(33DIN)</w:t>
      </w:r>
      <w:r>
        <w:rPr>
          <w:rFonts w:hint="eastAsia"/>
          <w:sz w:val="22"/>
        </w:rPr>
        <w:t>胶卷保证安全。</w:t>
      </w:r>
    </w:p>
    <w:p>
      <w:pPr>
        <w:adjustRightInd w:val="0"/>
        <w:snapToGrid w:val="0"/>
        <w:spacing w:line="440" w:lineRule="exact"/>
        <w:ind w:firstLine="440" w:firstLineChars="200"/>
        <w:rPr>
          <w:sz w:val="22"/>
        </w:rPr>
      </w:pPr>
      <w:r>
        <w:rPr>
          <w:sz w:val="22"/>
        </w:rPr>
        <w:t>1.3.9</w:t>
      </w:r>
      <w:r>
        <w:rPr>
          <w:rFonts w:hint="eastAsia"/>
          <w:sz w:val="22"/>
        </w:rPr>
        <w:t>显示器：符合设备整体使用性能。</w:t>
      </w:r>
    </w:p>
    <w:p>
      <w:pPr>
        <w:adjustRightInd w:val="0"/>
        <w:snapToGrid w:val="0"/>
        <w:spacing w:line="440" w:lineRule="exact"/>
        <w:ind w:firstLine="440" w:firstLineChars="200"/>
        <w:rPr>
          <w:sz w:val="22"/>
        </w:rPr>
      </w:pPr>
      <w:r>
        <w:rPr>
          <w:sz w:val="22"/>
        </w:rPr>
        <w:t>1.3.10</w:t>
      </w:r>
      <w:r>
        <w:rPr>
          <w:rFonts w:hint="eastAsia"/>
          <w:sz w:val="22"/>
        </w:rPr>
        <w:t>机械结构：钢架结构及钢板外壳，设备带滚轮。</w:t>
      </w:r>
    </w:p>
    <w:p>
      <w:pPr>
        <w:adjustRightInd w:val="0"/>
        <w:snapToGrid w:val="0"/>
        <w:spacing w:line="440" w:lineRule="exact"/>
        <w:ind w:firstLine="440" w:firstLineChars="200"/>
        <w:rPr>
          <w:sz w:val="22"/>
        </w:rPr>
      </w:pPr>
      <w:r>
        <w:rPr>
          <w:sz w:val="22"/>
        </w:rPr>
        <w:t>1.3.11</w:t>
      </w:r>
      <w:r>
        <w:rPr>
          <w:rFonts w:hint="eastAsia"/>
          <w:sz w:val="22"/>
        </w:rPr>
        <w:t>单机操作键盘必须防水，等级不小于</w:t>
      </w:r>
      <w:r>
        <w:rPr>
          <w:sz w:val="22"/>
        </w:rPr>
        <w:t>IP22</w:t>
      </w:r>
      <w:r>
        <w:rPr>
          <w:rFonts w:hint="eastAsia"/>
          <w:sz w:val="22"/>
        </w:rPr>
        <w:t>。</w:t>
      </w:r>
    </w:p>
    <w:p>
      <w:pPr>
        <w:adjustRightInd w:val="0"/>
        <w:snapToGrid w:val="0"/>
        <w:spacing w:line="440" w:lineRule="exact"/>
        <w:ind w:firstLine="440" w:firstLineChars="200"/>
        <w:rPr>
          <w:sz w:val="22"/>
        </w:rPr>
      </w:pPr>
      <w:r>
        <w:rPr>
          <w:sz w:val="22"/>
        </w:rPr>
        <w:t>1.3.12</w:t>
      </w:r>
      <w:r>
        <w:rPr>
          <w:rFonts w:hint="eastAsia"/>
          <w:sz w:val="22"/>
        </w:rPr>
        <w:t>设备颜色：定合同时商定。</w:t>
      </w:r>
    </w:p>
    <w:p>
      <w:pPr>
        <w:adjustRightInd w:val="0"/>
        <w:snapToGrid w:val="0"/>
        <w:spacing w:line="440" w:lineRule="exact"/>
        <w:ind w:firstLine="440" w:firstLineChars="200"/>
        <w:rPr>
          <w:sz w:val="22"/>
        </w:rPr>
      </w:pPr>
      <w:r>
        <w:rPr>
          <w:sz w:val="22"/>
        </w:rPr>
        <w:t>1.3.13*</w:t>
      </w:r>
      <w:r>
        <w:rPr>
          <w:rFonts w:hint="eastAsia"/>
          <w:sz w:val="22"/>
        </w:rPr>
        <w:t>经单机系统设置后可直接接入现有安检分层管理系统并正常使用。</w:t>
      </w:r>
    </w:p>
    <w:p>
      <w:pPr>
        <w:adjustRightInd w:val="0"/>
        <w:snapToGrid w:val="0"/>
        <w:spacing w:line="440" w:lineRule="exact"/>
        <w:rPr>
          <w:sz w:val="22"/>
        </w:rPr>
      </w:pPr>
      <w:r>
        <w:rPr>
          <w:rFonts w:hint="eastAsia"/>
          <w:sz w:val="22"/>
        </w:rPr>
        <w:t>注：</w:t>
      </w:r>
      <w:r>
        <w:rPr>
          <w:sz w:val="22"/>
          <w:u w:val="single"/>
        </w:rPr>
        <w:t>*</w:t>
      </w:r>
      <w:r>
        <w:rPr>
          <w:rFonts w:hint="eastAsia"/>
          <w:bCs/>
          <w:sz w:val="22"/>
          <w:u w:val="single"/>
        </w:rPr>
        <w:t>设备具有中国民航使用许可证</w:t>
      </w:r>
    </w:p>
    <w:p>
      <w:bookmarkStart w:id="404" w:name="_Toc321925454"/>
    </w:p>
    <w:p>
      <w:pPr>
        <w:adjustRightInd w:val="0"/>
        <w:snapToGrid w:val="0"/>
        <w:spacing w:line="440" w:lineRule="exact"/>
        <w:rPr>
          <w:b/>
          <w:color w:val="000000"/>
          <w:sz w:val="22"/>
        </w:rPr>
      </w:pPr>
      <w:r>
        <w:rPr>
          <w:rFonts w:hint="eastAsia"/>
          <w:b/>
          <w:color w:val="000000"/>
          <w:sz w:val="22"/>
        </w:rPr>
        <w:t>2、货运双视角</w:t>
      </w:r>
      <w:r>
        <w:rPr>
          <w:b/>
          <w:color w:val="000000"/>
          <w:sz w:val="22"/>
        </w:rPr>
        <w:t>X</w:t>
      </w:r>
      <w:r>
        <w:rPr>
          <w:rFonts w:hint="eastAsia"/>
          <w:b/>
          <w:color w:val="000000"/>
          <w:sz w:val="22"/>
        </w:rPr>
        <w:t>光机</w:t>
      </w:r>
    </w:p>
    <w:p>
      <w:pPr>
        <w:adjustRightInd w:val="0"/>
        <w:snapToGrid w:val="0"/>
        <w:spacing w:line="440" w:lineRule="exact"/>
        <w:ind w:firstLine="440" w:firstLineChars="200"/>
        <w:rPr>
          <w:color w:val="000000"/>
          <w:sz w:val="22"/>
        </w:rPr>
      </w:pPr>
      <w:r>
        <w:rPr>
          <w:rFonts w:hint="eastAsia"/>
          <w:color w:val="000000"/>
          <w:sz w:val="22"/>
        </w:rPr>
        <w:t>2</w:t>
      </w:r>
      <w:r>
        <w:rPr>
          <w:color w:val="000000"/>
          <w:sz w:val="22"/>
        </w:rPr>
        <w:t>.1 X</w:t>
      </w:r>
      <w:r>
        <w:rPr>
          <w:rFonts w:hint="eastAsia"/>
          <w:color w:val="000000"/>
          <w:sz w:val="22"/>
        </w:rPr>
        <w:t>光机的技术要求</w:t>
      </w:r>
    </w:p>
    <w:p>
      <w:pPr>
        <w:adjustRightInd w:val="0"/>
        <w:snapToGrid w:val="0"/>
        <w:spacing w:line="440" w:lineRule="exact"/>
        <w:ind w:firstLine="440" w:firstLineChars="200"/>
        <w:rPr>
          <w:color w:val="000000"/>
          <w:sz w:val="22"/>
        </w:rPr>
      </w:pPr>
      <w:r>
        <w:rPr>
          <w:rFonts w:hint="eastAsia"/>
          <w:color w:val="000000"/>
          <w:sz w:val="22"/>
        </w:rPr>
        <w:t>用</w:t>
      </w:r>
      <w:r>
        <w:rPr>
          <w:color w:val="000000"/>
          <w:sz w:val="22"/>
        </w:rPr>
        <w:t xml:space="preserve">    </w:t>
      </w:r>
      <w:r>
        <w:rPr>
          <w:rFonts w:hint="eastAsia"/>
          <w:color w:val="000000"/>
          <w:sz w:val="22"/>
        </w:rPr>
        <w:t>途：航空货物的安全检查</w:t>
      </w:r>
    </w:p>
    <w:p>
      <w:pPr>
        <w:adjustRightInd w:val="0"/>
        <w:snapToGrid w:val="0"/>
        <w:spacing w:line="440" w:lineRule="exact"/>
        <w:ind w:firstLine="440" w:firstLineChars="200"/>
        <w:rPr>
          <w:color w:val="000000"/>
          <w:sz w:val="22"/>
        </w:rPr>
      </w:pPr>
      <w:r>
        <w:rPr>
          <w:rFonts w:hint="eastAsia"/>
          <w:color w:val="000000"/>
          <w:sz w:val="22"/>
        </w:rPr>
        <w:t>使用场所：室内</w:t>
      </w:r>
    </w:p>
    <w:p>
      <w:pPr>
        <w:adjustRightInd w:val="0"/>
        <w:snapToGrid w:val="0"/>
        <w:spacing w:line="440" w:lineRule="exact"/>
        <w:ind w:firstLine="440" w:firstLineChars="200"/>
        <w:rPr>
          <w:color w:val="000000"/>
          <w:sz w:val="22"/>
        </w:rPr>
      </w:pPr>
      <w:r>
        <w:rPr>
          <w:rFonts w:hint="eastAsia"/>
          <w:color w:val="000000"/>
          <w:sz w:val="22"/>
        </w:rPr>
        <w:t>规</w:t>
      </w:r>
      <w:r>
        <w:rPr>
          <w:color w:val="000000"/>
          <w:sz w:val="22"/>
        </w:rPr>
        <w:t xml:space="preserve">    </w:t>
      </w:r>
      <w:r>
        <w:rPr>
          <w:rFonts w:hint="eastAsia"/>
          <w:color w:val="000000"/>
          <w:sz w:val="22"/>
        </w:rPr>
        <w:t>格：通道扫描尺寸≥</w:t>
      </w:r>
      <w:r>
        <w:rPr>
          <w:color w:val="000000"/>
          <w:sz w:val="22"/>
        </w:rPr>
        <w:t>1000</w:t>
      </w:r>
      <w:r>
        <w:rPr>
          <w:rFonts w:ascii="µÈÏß Western" w:hAnsi="µÈÏß Western"/>
          <w:color w:val="000000"/>
          <w:sz w:val="22"/>
        </w:rPr>
        <w:t>mm×</w:t>
      </w:r>
      <w:r>
        <w:rPr>
          <w:color w:val="000000"/>
          <w:sz w:val="22"/>
        </w:rPr>
        <w:t>1000mm</w:t>
      </w:r>
    </w:p>
    <w:p>
      <w:pPr>
        <w:adjustRightInd w:val="0"/>
        <w:snapToGrid w:val="0"/>
        <w:spacing w:line="440" w:lineRule="exact"/>
        <w:ind w:firstLine="440" w:firstLineChars="200"/>
        <w:rPr>
          <w:color w:val="000000"/>
          <w:sz w:val="22"/>
        </w:rPr>
      </w:pPr>
      <w:r>
        <w:rPr>
          <w:rFonts w:hint="eastAsia"/>
          <w:color w:val="000000"/>
          <w:sz w:val="22"/>
        </w:rPr>
        <w:t>传送带速度：≥</w:t>
      </w:r>
      <w:r>
        <w:rPr>
          <w:color w:val="000000"/>
          <w:sz w:val="22"/>
        </w:rPr>
        <w:t>0.19m/s</w:t>
      </w:r>
    </w:p>
    <w:p>
      <w:pPr>
        <w:adjustRightInd w:val="0"/>
        <w:snapToGrid w:val="0"/>
        <w:spacing w:line="440" w:lineRule="exact"/>
        <w:ind w:firstLine="440" w:firstLineChars="200"/>
        <w:rPr>
          <w:color w:val="000000"/>
          <w:sz w:val="22"/>
        </w:rPr>
      </w:pPr>
      <w:r>
        <w:rPr>
          <w:rFonts w:hint="eastAsia"/>
          <w:color w:val="000000"/>
          <w:sz w:val="22"/>
        </w:rPr>
        <w:t>传送带承重：≥</w:t>
      </w:r>
      <w:r>
        <w:rPr>
          <w:color w:val="000000"/>
          <w:sz w:val="22"/>
        </w:rPr>
        <w:t>200KG</w:t>
      </w:r>
    </w:p>
    <w:p>
      <w:pPr>
        <w:adjustRightInd w:val="0"/>
        <w:snapToGrid w:val="0"/>
        <w:spacing w:line="440" w:lineRule="exact"/>
        <w:ind w:firstLine="440" w:firstLineChars="200"/>
        <w:rPr>
          <w:color w:val="000000"/>
          <w:sz w:val="22"/>
        </w:rPr>
      </w:pPr>
      <w:r>
        <w:rPr>
          <w:color w:val="000000"/>
          <w:sz w:val="22"/>
        </w:rPr>
        <w:t>*</w:t>
      </w:r>
      <w:r>
        <w:rPr>
          <w:rFonts w:hint="eastAsia"/>
          <w:color w:val="000000"/>
          <w:sz w:val="22"/>
        </w:rPr>
        <w:t>穿透力：</w:t>
      </w:r>
      <w:r>
        <w:rPr>
          <w:color w:val="000000"/>
          <w:sz w:val="22"/>
        </w:rPr>
        <w:t xml:space="preserve">    </w:t>
      </w:r>
      <w:r>
        <w:rPr>
          <w:rFonts w:hint="eastAsia"/>
          <w:color w:val="000000"/>
          <w:sz w:val="22"/>
        </w:rPr>
        <w:t>≥</w:t>
      </w:r>
      <w:r>
        <w:rPr>
          <w:color w:val="000000"/>
          <w:sz w:val="22"/>
        </w:rPr>
        <w:t>34</w:t>
      </w:r>
      <w:r>
        <w:rPr>
          <w:rFonts w:hint="eastAsia"/>
          <w:color w:val="000000"/>
          <w:sz w:val="22"/>
        </w:rPr>
        <w:t>毫米钢板</w:t>
      </w:r>
    </w:p>
    <w:p>
      <w:pPr>
        <w:adjustRightInd w:val="0"/>
        <w:snapToGrid w:val="0"/>
        <w:spacing w:line="440" w:lineRule="exact"/>
        <w:ind w:firstLine="440" w:firstLineChars="200"/>
        <w:rPr>
          <w:color w:val="000000"/>
          <w:sz w:val="22"/>
        </w:rPr>
      </w:pPr>
      <w:r>
        <w:rPr>
          <w:color w:val="000000"/>
          <w:sz w:val="22"/>
        </w:rPr>
        <w:t>*</w:t>
      </w:r>
      <w:r>
        <w:rPr>
          <w:rFonts w:hint="eastAsia"/>
          <w:color w:val="000000"/>
          <w:sz w:val="22"/>
        </w:rPr>
        <w:t>穿透分辨力：</w:t>
      </w:r>
      <w:r>
        <w:rPr>
          <w:color w:val="000000"/>
          <w:sz w:val="22"/>
        </w:rPr>
        <w:t xml:space="preserve"> </w:t>
      </w:r>
      <w:r>
        <w:rPr>
          <w:rFonts w:hint="eastAsia"/>
          <w:color w:val="000000"/>
          <w:sz w:val="22"/>
        </w:rPr>
        <w:t>≥</w:t>
      </w:r>
      <w:r>
        <w:rPr>
          <w:color w:val="000000"/>
          <w:sz w:val="22"/>
        </w:rPr>
        <w:t>AWG24</w:t>
      </w:r>
    </w:p>
    <w:p>
      <w:pPr>
        <w:adjustRightInd w:val="0"/>
        <w:snapToGrid w:val="0"/>
        <w:spacing w:line="440" w:lineRule="exact"/>
        <w:ind w:firstLine="440" w:firstLineChars="200"/>
        <w:rPr>
          <w:color w:val="000000"/>
          <w:sz w:val="22"/>
        </w:rPr>
      </w:pPr>
      <w:r>
        <w:rPr>
          <w:color w:val="000000"/>
          <w:sz w:val="22"/>
        </w:rPr>
        <w:t>*</w:t>
      </w:r>
      <w:r>
        <w:rPr>
          <w:rFonts w:hint="eastAsia"/>
          <w:color w:val="000000"/>
          <w:sz w:val="22"/>
        </w:rPr>
        <w:t>线分辨力：</w:t>
      </w:r>
      <w:r>
        <w:rPr>
          <w:color w:val="000000"/>
          <w:sz w:val="22"/>
        </w:rPr>
        <w:t xml:space="preserve">  </w:t>
      </w:r>
      <w:r>
        <w:rPr>
          <w:rFonts w:hint="eastAsia"/>
          <w:color w:val="000000"/>
          <w:sz w:val="22"/>
        </w:rPr>
        <w:t>≥</w:t>
      </w:r>
      <w:r>
        <w:rPr>
          <w:color w:val="000000"/>
          <w:sz w:val="22"/>
        </w:rPr>
        <w:t>AWG28</w:t>
      </w:r>
    </w:p>
    <w:p>
      <w:pPr>
        <w:adjustRightInd w:val="0"/>
        <w:snapToGrid w:val="0"/>
        <w:spacing w:line="440" w:lineRule="exact"/>
        <w:ind w:firstLine="440" w:firstLineChars="200"/>
        <w:rPr>
          <w:color w:val="000000"/>
          <w:sz w:val="22"/>
        </w:rPr>
      </w:pPr>
      <w:r>
        <w:rPr>
          <w:color w:val="000000"/>
          <w:sz w:val="22"/>
        </w:rPr>
        <w:t>*</w:t>
      </w:r>
      <w:r>
        <w:rPr>
          <w:rFonts w:hint="eastAsia"/>
          <w:color w:val="000000"/>
          <w:sz w:val="22"/>
        </w:rPr>
        <w:t>空间分辨力</w:t>
      </w:r>
      <w:r>
        <w:rPr>
          <w:color w:val="000000"/>
          <w:sz w:val="22"/>
        </w:rPr>
        <w:t xml:space="preserve">: </w:t>
      </w:r>
      <w:r>
        <w:rPr>
          <w:rFonts w:hint="eastAsia"/>
          <w:color w:val="000000"/>
          <w:sz w:val="22"/>
        </w:rPr>
        <w:t>不大于</w:t>
      </w:r>
      <w:r>
        <w:rPr>
          <w:color w:val="000000"/>
          <w:sz w:val="22"/>
        </w:rPr>
        <w:t>2.4mm</w:t>
      </w:r>
      <w:r>
        <w:rPr>
          <w:rFonts w:hint="eastAsia"/>
          <w:color w:val="000000"/>
          <w:sz w:val="22"/>
        </w:rPr>
        <w:t>实芯镀锡铜线对</w:t>
      </w:r>
    </w:p>
    <w:p>
      <w:pPr>
        <w:adjustRightInd w:val="0"/>
        <w:snapToGrid w:val="0"/>
        <w:spacing w:line="440" w:lineRule="exact"/>
        <w:ind w:firstLine="440" w:firstLineChars="200"/>
        <w:rPr>
          <w:color w:val="000000"/>
          <w:sz w:val="22"/>
        </w:rPr>
      </w:pPr>
      <w:r>
        <w:rPr>
          <w:rFonts w:hint="eastAsia"/>
          <w:color w:val="000000"/>
          <w:sz w:val="22"/>
        </w:rPr>
        <w:t>灰度分辨要求</w:t>
      </w:r>
      <w:r>
        <w:rPr>
          <w:color w:val="000000"/>
          <w:sz w:val="22"/>
        </w:rPr>
        <w:t>:</w:t>
      </w:r>
      <w:r>
        <w:rPr>
          <w:rFonts w:hint="eastAsia"/>
          <w:color w:val="000000"/>
          <w:sz w:val="22"/>
        </w:rPr>
        <w:t>厚度为</w:t>
      </w:r>
      <w:r>
        <w:rPr>
          <w:color w:val="000000"/>
          <w:sz w:val="22"/>
        </w:rPr>
        <w:t>1mm</w:t>
      </w:r>
      <w:r>
        <w:rPr>
          <w:rFonts w:hint="eastAsia"/>
          <w:color w:val="000000"/>
          <w:sz w:val="22"/>
        </w:rPr>
        <w:t>～</w:t>
      </w:r>
      <w:r>
        <w:rPr>
          <w:color w:val="000000"/>
          <w:sz w:val="22"/>
        </w:rPr>
        <w:t>60mm,</w:t>
      </w:r>
      <w:r>
        <w:rPr>
          <w:rFonts w:hint="eastAsia"/>
          <w:color w:val="000000"/>
          <w:sz w:val="22"/>
        </w:rPr>
        <w:t>厚度差为</w:t>
      </w:r>
      <w:r>
        <w:rPr>
          <w:color w:val="000000"/>
          <w:sz w:val="22"/>
        </w:rPr>
        <w:t>1mm</w:t>
      </w:r>
      <w:r>
        <w:rPr>
          <w:rFonts w:hint="eastAsia"/>
          <w:color w:val="000000"/>
          <w:sz w:val="22"/>
        </w:rPr>
        <w:t>的铝阶梯</w:t>
      </w:r>
    </w:p>
    <w:p>
      <w:pPr>
        <w:adjustRightInd w:val="0"/>
        <w:snapToGrid w:val="0"/>
        <w:spacing w:line="440" w:lineRule="exact"/>
        <w:ind w:firstLine="440" w:firstLineChars="200"/>
        <w:rPr>
          <w:color w:val="000000"/>
          <w:sz w:val="22"/>
        </w:rPr>
      </w:pPr>
      <w:r>
        <w:rPr>
          <w:rFonts w:hint="eastAsia"/>
          <w:color w:val="000000"/>
          <w:sz w:val="22"/>
        </w:rPr>
        <w:t>有机物分辨</w:t>
      </w:r>
      <w:r>
        <w:rPr>
          <w:color w:val="000000"/>
          <w:sz w:val="22"/>
        </w:rPr>
        <w:t>:</w:t>
      </w:r>
      <w:r>
        <w:rPr>
          <w:rFonts w:hint="eastAsia"/>
          <w:color w:val="000000"/>
          <w:sz w:val="22"/>
        </w:rPr>
        <w:t>分辨厚度为</w:t>
      </w:r>
      <w:r>
        <w:rPr>
          <w:color w:val="000000"/>
          <w:sz w:val="22"/>
        </w:rPr>
        <w:t>1mm</w:t>
      </w:r>
      <w:r>
        <w:rPr>
          <w:rFonts w:hint="eastAsia"/>
          <w:color w:val="000000"/>
          <w:sz w:val="22"/>
        </w:rPr>
        <w:t>～</w:t>
      </w:r>
      <w:r>
        <w:rPr>
          <w:color w:val="000000"/>
          <w:sz w:val="22"/>
        </w:rPr>
        <w:t>120mm</w:t>
      </w:r>
      <w:r>
        <w:rPr>
          <w:rFonts w:hint="eastAsia"/>
          <w:color w:val="000000"/>
          <w:sz w:val="22"/>
        </w:rPr>
        <w:t>材料为聚甲基丙烯酸甲酯的有机玻璃</w:t>
      </w:r>
      <w:r>
        <w:rPr>
          <w:color w:val="000000"/>
          <w:sz w:val="22"/>
        </w:rPr>
        <w:t>,</w:t>
      </w:r>
      <w:r>
        <w:rPr>
          <w:rFonts w:hint="eastAsia"/>
          <w:color w:val="000000"/>
          <w:sz w:val="22"/>
        </w:rPr>
        <w:t>并赋予不同饱和度的橙色</w:t>
      </w:r>
    </w:p>
    <w:p>
      <w:pPr>
        <w:adjustRightInd w:val="0"/>
        <w:snapToGrid w:val="0"/>
        <w:spacing w:line="440" w:lineRule="exact"/>
        <w:ind w:firstLine="440" w:firstLineChars="200"/>
        <w:rPr>
          <w:color w:val="000000"/>
          <w:sz w:val="22"/>
        </w:rPr>
      </w:pPr>
      <w:r>
        <w:rPr>
          <w:rFonts w:hint="eastAsia"/>
          <w:color w:val="000000"/>
          <w:sz w:val="22"/>
        </w:rPr>
        <w:t>无机物分辨</w:t>
      </w:r>
      <w:r>
        <w:rPr>
          <w:color w:val="000000"/>
          <w:sz w:val="22"/>
        </w:rPr>
        <w:t>:</w:t>
      </w:r>
      <w:r>
        <w:rPr>
          <w:rFonts w:hint="eastAsia"/>
          <w:color w:val="000000"/>
          <w:sz w:val="22"/>
        </w:rPr>
        <w:t>分辨厚度为</w:t>
      </w:r>
      <w:r>
        <w:rPr>
          <w:color w:val="000000"/>
          <w:sz w:val="22"/>
        </w:rPr>
        <w:t>0.2mm</w:t>
      </w:r>
      <w:r>
        <w:rPr>
          <w:rFonts w:hint="eastAsia"/>
          <w:color w:val="000000"/>
          <w:sz w:val="22"/>
        </w:rPr>
        <w:t>～</w:t>
      </w:r>
      <w:r>
        <w:rPr>
          <w:color w:val="000000"/>
          <w:sz w:val="22"/>
        </w:rPr>
        <w:t>14mm</w:t>
      </w:r>
      <w:r>
        <w:rPr>
          <w:rFonts w:hint="eastAsia"/>
          <w:color w:val="000000"/>
          <w:sz w:val="22"/>
        </w:rPr>
        <w:t>的钢板</w:t>
      </w:r>
      <w:r>
        <w:rPr>
          <w:color w:val="000000"/>
          <w:sz w:val="22"/>
        </w:rPr>
        <w:t>,</w:t>
      </w:r>
      <w:r>
        <w:rPr>
          <w:rFonts w:hint="eastAsia"/>
          <w:color w:val="000000"/>
          <w:sz w:val="22"/>
        </w:rPr>
        <w:t>并赋予不同饱和度的蓝色</w:t>
      </w:r>
    </w:p>
    <w:p>
      <w:pPr>
        <w:adjustRightInd w:val="0"/>
        <w:snapToGrid w:val="0"/>
        <w:spacing w:line="440" w:lineRule="exact"/>
        <w:ind w:firstLine="440" w:firstLineChars="200"/>
        <w:rPr>
          <w:color w:val="000000"/>
          <w:sz w:val="22"/>
        </w:rPr>
      </w:pPr>
      <w:r>
        <w:rPr>
          <w:rFonts w:hint="eastAsia"/>
          <w:color w:val="000000"/>
          <w:sz w:val="22"/>
        </w:rPr>
        <w:t>混合物分辨</w:t>
      </w:r>
      <w:r>
        <w:rPr>
          <w:color w:val="000000"/>
          <w:sz w:val="22"/>
        </w:rPr>
        <w:t>:</w:t>
      </w:r>
      <w:r>
        <w:rPr>
          <w:rFonts w:hint="eastAsia"/>
          <w:color w:val="000000"/>
          <w:sz w:val="22"/>
        </w:rPr>
        <w:t>厚度为</w:t>
      </w:r>
      <w:r>
        <w:rPr>
          <w:color w:val="000000"/>
          <w:sz w:val="22"/>
        </w:rPr>
        <w:t>1mm</w:t>
      </w:r>
      <w:r>
        <w:rPr>
          <w:rFonts w:hint="eastAsia"/>
          <w:color w:val="000000"/>
          <w:sz w:val="22"/>
        </w:rPr>
        <w:t>～</w:t>
      </w:r>
      <w:r>
        <w:rPr>
          <w:color w:val="000000"/>
          <w:sz w:val="22"/>
        </w:rPr>
        <w:t>60mm</w:t>
      </w:r>
      <w:r>
        <w:rPr>
          <w:rFonts w:hint="eastAsia"/>
          <w:color w:val="000000"/>
          <w:sz w:val="22"/>
        </w:rPr>
        <w:t>的铝板</w:t>
      </w:r>
      <w:r>
        <w:rPr>
          <w:color w:val="000000"/>
          <w:sz w:val="22"/>
        </w:rPr>
        <w:t>,</w:t>
      </w:r>
      <w:r>
        <w:rPr>
          <w:rFonts w:hint="eastAsia"/>
          <w:color w:val="000000"/>
          <w:sz w:val="22"/>
        </w:rPr>
        <w:t>并赋予不同饱和度的绿色</w:t>
      </w:r>
    </w:p>
    <w:p>
      <w:pPr>
        <w:adjustRightInd w:val="0"/>
        <w:snapToGrid w:val="0"/>
        <w:spacing w:line="440" w:lineRule="exact"/>
        <w:ind w:firstLine="440" w:firstLineChars="200"/>
        <w:rPr>
          <w:color w:val="000000"/>
          <w:sz w:val="22"/>
        </w:rPr>
      </w:pPr>
      <w:r>
        <w:rPr>
          <w:rFonts w:hint="eastAsia"/>
          <w:color w:val="000000"/>
          <w:sz w:val="22"/>
        </w:rPr>
        <w:t>射线产生器冷却方式：密封式油冷</w:t>
      </w:r>
    </w:p>
    <w:p>
      <w:pPr>
        <w:adjustRightInd w:val="0"/>
        <w:snapToGrid w:val="0"/>
        <w:spacing w:line="440" w:lineRule="exact"/>
        <w:ind w:firstLine="440" w:firstLineChars="200"/>
        <w:rPr>
          <w:color w:val="000000"/>
          <w:sz w:val="22"/>
        </w:rPr>
      </w:pPr>
      <w:r>
        <w:rPr>
          <w:rFonts w:hint="eastAsia"/>
          <w:color w:val="000000"/>
          <w:sz w:val="22"/>
        </w:rPr>
        <w:t>阳极电源：</w:t>
      </w:r>
      <w:r>
        <w:rPr>
          <w:color w:val="000000"/>
          <w:sz w:val="22"/>
        </w:rPr>
        <w:t>160KV  CP</w:t>
      </w:r>
    </w:p>
    <w:p>
      <w:pPr>
        <w:adjustRightInd w:val="0"/>
        <w:snapToGrid w:val="0"/>
        <w:spacing w:line="440" w:lineRule="exact"/>
        <w:ind w:firstLine="440" w:firstLineChars="200"/>
        <w:rPr>
          <w:color w:val="000000"/>
          <w:sz w:val="22"/>
        </w:rPr>
      </w:pPr>
      <w:r>
        <w:rPr>
          <w:rFonts w:hint="eastAsia"/>
          <w:color w:val="000000"/>
          <w:sz w:val="22"/>
        </w:rPr>
        <w:t>射线方向：顶照式和侧照式射线源</w:t>
      </w:r>
    </w:p>
    <w:p>
      <w:pPr>
        <w:adjustRightInd w:val="0"/>
        <w:snapToGrid w:val="0"/>
        <w:spacing w:line="440" w:lineRule="exact"/>
        <w:ind w:firstLine="442" w:firstLineChars="200"/>
        <w:rPr>
          <w:b/>
          <w:color w:val="000000"/>
          <w:sz w:val="22"/>
          <w:u w:val="single"/>
        </w:rPr>
      </w:pPr>
      <w:r>
        <w:rPr>
          <w:b/>
          <w:color w:val="000000"/>
          <w:sz w:val="22"/>
          <w:u w:val="single"/>
        </w:rPr>
        <w:t>*</w:t>
      </w:r>
      <w:r>
        <w:rPr>
          <w:rFonts w:hint="eastAsia"/>
          <w:b/>
          <w:color w:val="000000"/>
          <w:sz w:val="22"/>
          <w:u w:val="single"/>
        </w:rPr>
        <w:t>射线源数量：</w:t>
      </w:r>
      <w:r>
        <w:rPr>
          <w:b/>
          <w:color w:val="000000"/>
          <w:sz w:val="22"/>
          <w:u w:val="single"/>
        </w:rPr>
        <w:t>2</w:t>
      </w:r>
      <w:r>
        <w:rPr>
          <w:rFonts w:hint="eastAsia"/>
          <w:b/>
          <w:color w:val="000000"/>
          <w:sz w:val="22"/>
          <w:u w:val="single"/>
        </w:rPr>
        <w:t>个</w:t>
      </w:r>
    </w:p>
    <w:p>
      <w:pPr>
        <w:adjustRightInd w:val="0"/>
        <w:snapToGrid w:val="0"/>
        <w:spacing w:line="440" w:lineRule="exact"/>
        <w:ind w:firstLine="440" w:firstLineChars="200"/>
        <w:rPr>
          <w:sz w:val="22"/>
        </w:rPr>
      </w:pPr>
      <w:r>
        <w:rPr>
          <w:rFonts w:hint="eastAsia"/>
          <w:sz w:val="22"/>
        </w:rPr>
        <w:t>电</w:t>
      </w:r>
      <w:r>
        <w:rPr>
          <w:sz w:val="22"/>
        </w:rPr>
        <w:t xml:space="preserve">    </w:t>
      </w:r>
      <w:r>
        <w:rPr>
          <w:rFonts w:hint="eastAsia"/>
          <w:sz w:val="22"/>
        </w:rPr>
        <w:t>源：</w:t>
      </w:r>
      <w:r>
        <w:rPr>
          <w:sz w:val="22"/>
        </w:rPr>
        <w:t>220V</w:t>
      </w:r>
      <w:r>
        <w:rPr>
          <w:rFonts w:hint="eastAsia"/>
          <w:sz w:val="22"/>
        </w:rPr>
        <w:t>交流电±</w:t>
      </w:r>
      <w:r>
        <w:rPr>
          <w:sz w:val="22"/>
        </w:rPr>
        <w:t>10%</w:t>
      </w:r>
      <w:r>
        <w:rPr>
          <w:rFonts w:hint="eastAsia"/>
          <w:sz w:val="22"/>
        </w:rPr>
        <w:t>　</w:t>
      </w:r>
      <w:r>
        <w:rPr>
          <w:sz w:val="22"/>
        </w:rPr>
        <w:t>50</w:t>
      </w:r>
      <w:r>
        <w:rPr>
          <w:rFonts w:hint="eastAsia"/>
          <w:sz w:val="22"/>
        </w:rPr>
        <w:t>±</w:t>
      </w:r>
      <w:r>
        <w:rPr>
          <w:sz w:val="22"/>
        </w:rPr>
        <w:t>3HZ</w:t>
      </w:r>
    </w:p>
    <w:p>
      <w:pPr>
        <w:adjustRightInd w:val="0"/>
        <w:snapToGrid w:val="0"/>
        <w:spacing w:line="440" w:lineRule="exact"/>
        <w:ind w:firstLine="440" w:firstLineChars="200"/>
        <w:rPr>
          <w:sz w:val="22"/>
        </w:rPr>
      </w:pPr>
      <w:r>
        <w:rPr>
          <w:rFonts w:hint="eastAsia"/>
          <w:sz w:val="22"/>
        </w:rPr>
        <w:t>噪</w:t>
      </w:r>
      <w:r>
        <w:rPr>
          <w:sz w:val="22"/>
        </w:rPr>
        <w:t xml:space="preserve">    </w:t>
      </w:r>
      <w:r>
        <w:rPr>
          <w:rFonts w:hint="eastAsia"/>
          <w:sz w:val="22"/>
        </w:rPr>
        <w:t>声：低于</w:t>
      </w:r>
      <w:r>
        <w:rPr>
          <w:sz w:val="22"/>
        </w:rPr>
        <w:t>65dB</w:t>
      </w:r>
    </w:p>
    <w:p>
      <w:pPr>
        <w:ind w:right="-468" w:rightChars="-195"/>
        <w:textAlignment w:val="top"/>
        <w:rPr>
          <w:sz w:val="22"/>
        </w:rPr>
      </w:pPr>
      <w:r>
        <w:rPr>
          <w:rFonts w:hint="eastAsia"/>
          <w:sz w:val="22"/>
        </w:rPr>
        <w:t>注</w:t>
      </w:r>
      <w:r>
        <w:rPr>
          <w:sz w:val="22"/>
        </w:rPr>
        <w:t>:</w:t>
      </w:r>
      <w:r>
        <w:rPr>
          <w:b/>
          <w:color w:val="000000"/>
          <w:sz w:val="22"/>
          <w:u w:val="single"/>
        </w:rPr>
        <w:t>*</w:t>
      </w:r>
      <w:r>
        <w:rPr>
          <w:rFonts w:hint="eastAsia"/>
          <w:b/>
          <w:color w:val="000000"/>
          <w:sz w:val="22"/>
          <w:u w:val="single"/>
        </w:rPr>
        <w:t>上述指标以民航局出具的鉴定报告中应用值的最低为准，须在《技术偏离表》中两个视角分别填写。</w:t>
      </w:r>
    </w:p>
    <w:p>
      <w:pPr>
        <w:adjustRightInd w:val="0"/>
        <w:snapToGrid w:val="0"/>
        <w:spacing w:line="440" w:lineRule="exact"/>
        <w:ind w:firstLine="440" w:firstLineChars="200"/>
        <w:rPr>
          <w:sz w:val="22"/>
        </w:rPr>
      </w:pPr>
      <w:r>
        <w:rPr>
          <w:rFonts w:hint="eastAsia"/>
          <w:sz w:val="22"/>
        </w:rPr>
        <w:t>2</w:t>
      </w:r>
      <w:r>
        <w:rPr>
          <w:sz w:val="22"/>
        </w:rPr>
        <w:t>.2</w:t>
      </w:r>
      <w:r>
        <w:rPr>
          <w:rFonts w:hint="eastAsia"/>
          <w:sz w:val="22"/>
        </w:rPr>
        <w:t>　</w:t>
      </w:r>
      <w:r>
        <w:rPr>
          <w:sz w:val="22"/>
        </w:rPr>
        <w:t>X</w:t>
      </w:r>
      <w:r>
        <w:rPr>
          <w:rFonts w:hint="eastAsia"/>
          <w:sz w:val="22"/>
        </w:rPr>
        <w:t>射线安全检查设备功能要求</w:t>
      </w:r>
    </w:p>
    <w:p>
      <w:pPr>
        <w:adjustRightInd w:val="0"/>
        <w:snapToGrid w:val="0"/>
        <w:spacing w:line="440" w:lineRule="exact"/>
        <w:ind w:firstLine="440" w:firstLineChars="200"/>
        <w:rPr>
          <w:sz w:val="22"/>
        </w:rPr>
      </w:pPr>
      <w:r>
        <w:rPr>
          <w:rFonts w:hint="eastAsia"/>
          <w:sz w:val="22"/>
        </w:rPr>
        <w:t>2</w:t>
      </w:r>
      <w:r>
        <w:rPr>
          <w:sz w:val="22"/>
        </w:rPr>
        <w:t>.2.1</w:t>
      </w:r>
      <w:r>
        <w:rPr>
          <w:rFonts w:hint="eastAsia"/>
          <w:sz w:val="22"/>
        </w:rPr>
        <w:t>图像处理：</w:t>
      </w:r>
      <w:r>
        <w:rPr>
          <w:sz w:val="22"/>
        </w:rPr>
        <w:t>24bit</w:t>
      </w:r>
      <w:r>
        <w:rPr>
          <w:rFonts w:hint="eastAsia"/>
          <w:sz w:val="22"/>
        </w:rPr>
        <w:t>实时。</w:t>
      </w:r>
    </w:p>
    <w:p>
      <w:pPr>
        <w:adjustRightInd w:val="0"/>
        <w:snapToGrid w:val="0"/>
        <w:spacing w:line="440" w:lineRule="exact"/>
        <w:ind w:firstLine="440" w:firstLineChars="200"/>
        <w:rPr>
          <w:sz w:val="22"/>
        </w:rPr>
      </w:pPr>
      <w:r>
        <w:rPr>
          <w:rFonts w:hint="eastAsia"/>
          <w:sz w:val="22"/>
        </w:rPr>
        <w:t>2</w:t>
      </w:r>
      <w:r>
        <w:rPr>
          <w:sz w:val="22"/>
        </w:rPr>
        <w:t>.2.2</w:t>
      </w:r>
      <w:r>
        <w:rPr>
          <w:rFonts w:hint="eastAsia"/>
          <w:sz w:val="22"/>
        </w:rPr>
        <w:t>图象选区放大：</w:t>
      </w:r>
      <w:r>
        <w:rPr>
          <w:sz w:val="22"/>
        </w:rPr>
        <w:t>2</w:t>
      </w:r>
      <w:r>
        <w:rPr>
          <w:rFonts w:hint="eastAsia"/>
          <w:sz w:val="22"/>
        </w:rPr>
        <w:t>，</w:t>
      </w:r>
      <w:r>
        <w:rPr>
          <w:sz w:val="22"/>
        </w:rPr>
        <w:t>3</w:t>
      </w:r>
      <w:r>
        <w:rPr>
          <w:rFonts w:hint="eastAsia"/>
          <w:sz w:val="22"/>
        </w:rPr>
        <w:t>，</w:t>
      </w:r>
      <w:r>
        <w:rPr>
          <w:sz w:val="22"/>
        </w:rPr>
        <w:t>4</w:t>
      </w:r>
      <w:r>
        <w:rPr>
          <w:rFonts w:hint="eastAsia"/>
          <w:sz w:val="22"/>
        </w:rPr>
        <w:t>～</w:t>
      </w:r>
      <w:r>
        <w:rPr>
          <w:sz w:val="22"/>
        </w:rPr>
        <w:t>16</w:t>
      </w:r>
      <w:r>
        <w:rPr>
          <w:rFonts w:hint="eastAsia"/>
          <w:sz w:val="22"/>
        </w:rPr>
        <w:t>倍，任意选区放大；放大后选区可漫游。</w:t>
      </w:r>
    </w:p>
    <w:p>
      <w:pPr>
        <w:adjustRightInd w:val="0"/>
        <w:snapToGrid w:val="0"/>
        <w:spacing w:line="440" w:lineRule="exact"/>
        <w:ind w:firstLine="440" w:firstLineChars="200"/>
        <w:rPr>
          <w:sz w:val="22"/>
        </w:rPr>
      </w:pPr>
      <w:r>
        <w:rPr>
          <w:rFonts w:hint="eastAsia"/>
          <w:sz w:val="22"/>
        </w:rPr>
        <w:t>2</w:t>
      </w:r>
      <w:r>
        <w:rPr>
          <w:sz w:val="22"/>
        </w:rPr>
        <w:t xml:space="preserve">.2.3 </w:t>
      </w:r>
      <w:r>
        <w:rPr>
          <w:rFonts w:hint="eastAsia"/>
          <w:sz w:val="22"/>
        </w:rPr>
        <w:t>图象处理功能：图像反转、有机物剔除、无机物剔除、黑白图像、图像超级增强、穿透增强、可变多能量、灰度扫描、边缘增强、高密度报警、炸药毒品辅助探测、图像局部穿透增强、图像存储、违禁物品插入、单机培训等。</w:t>
      </w:r>
    </w:p>
    <w:p>
      <w:pPr>
        <w:adjustRightInd w:val="0"/>
        <w:snapToGrid w:val="0"/>
        <w:spacing w:line="440" w:lineRule="exact"/>
        <w:ind w:firstLine="440" w:firstLineChars="200"/>
        <w:rPr>
          <w:sz w:val="22"/>
        </w:rPr>
      </w:pPr>
      <w:r>
        <w:rPr>
          <w:rFonts w:hint="eastAsia"/>
          <w:sz w:val="22"/>
        </w:rPr>
        <w:t>2</w:t>
      </w:r>
      <w:r>
        <w:rPr>
          <w:sz w:val="22"/>
        </w:rPr>
        <w:t xml:space="preserve">.2.4 </w:t>
      </w:r>
      <w:r>
        <w:rPr>
          <w:rFonts w:hint="eastAsia"/>
          <w:sz w:val="22"/>
        </w:rPr>
        <w:t>图像最高分辨率：≥</w:t>
      </w:r>
      <w:r>
        <w:rPr>
          <w:sz w:val="22"/>
        </w:rPr>
        <w:t>1280*1024</w:t>
      </w:r>
      <w:r>
        <w:rPr>
          <w:rFonts w:hint="eastAsia"/>
          <w:sz w:val="22"/>
        </w:rPr>
        <w:t>像素。</w:t>
      </w:r>
    </w:p>
    <w:p>
      <w:pPr>
        <w:adjustRightInd w:val="0"/>
        <w:snapToGrid w:val="0"/>
        <w:spacing w:line="440" w:lineRule="exact"/>
        <w:ind w:firstLine="440" w:firstLineChars="200"/>
        <w:rPr>
          <w:sz w:val="22"/>
        </w:rPr>
      </w:pPr>
      <w:r>
        <w:rPr>
          <w:rFonts w:hint="eastAsia"/>
          <w:sz w:val="22"/>
        </w:rPr>
        <w:t>2</w:t>
      </w:r>
      <w:r>
        <w:rPr>
          <w:sz w:val="22"/>
        </w:rPr>
        <w:t xml:space="preserve">.2.5 </w:t>
      </w:r>
      <w:r>
        <w:rPr>
          <w:rFonts w:hint="eastAsia"/>
          <w:sz w:val="22"/>
        </w:rPr>
        <w:t>图像灰度级：</w:t>
      </w:r>
      <w:r>
        <w:rPr>
          <w:sz w:val="22"/>
        </w:rPr>
        <w:t>16bit</w:t>
      </w:r>
      <w:r>
        <w:rPr>
          <w:rFonts w:hint="eastAsia"/>
          <w:sz w:val="22"/>
        </w:rPr>
        <w:t>。</w:t>
      </w:r>
    </w:p>
    <w:p>
      <w:pPr>
        <w:adjustRightInd w:val="0"/>
        <w:snapToGrid w:val="0"/>
        <w:spacing w:line="440" w:lineRule="exact"/>
        <w:ind w:firstLine="440" w:firstLineChars="200"/>
        <w:rPr>
          <w:sz w:val="22"/>
        </w:rPr>
      </w:pPr>
      <w:r>
        <w:rPr>
          <w:rFonts w:hint="eastAsia"/>
          <w:sz w:val="22"/>
        </w:rPr>
        <w:t>2</w:t>
      </w:r>
      <w:r>
        <w:rPr>
          <w:sz w:val="22"/>
        </w:rPr>
        <w:t xml:space="preserve">.2.6 </w:t>
      </w:r>
      <w:r>
        <w:rPr>
          <w:rFonts w:hint="eastAsia"/>
          <w:sz w:val="22"/>
        </w:rPr>
        <w:t>图像回拉：</w:t>
      </w:r>
      <w:r>
        <w:rPr>
          <w:sz w:val="22"/>
        </w:rPr>
        <w:t>50</w:t>
      </w:r>
      <w:r>
        <w:rPr>
          <w:rFonts w:hint="eastAsia"/>
          <w:sz w:val="22"/>
        </w:rPr>
        <w:t>幅。</w:t>
      </w:r>
    </w:p>
    <w:p>
      <w:pPr>
        <w:adjustRightInd w:val="0"/>
        <w:snapToGrid w:val="0"/>
        <w:spacing w:line="440" w:lineRule="exact"/>
        <w:ind w:firstLine="440" w:firstLineChars="200"/>
        <w:rPr>
          <w:sz w:val="22"/>
        </w:rPr>
      </w:pPr>
      <w:r>
        <w:rPr>
          <w:rFonts w:hint="eastAsia"/>
          <w:sz w:val="22"/>
        </w:rPr>
        <w:t>2</w:t>
      </w:r>
      <w:r>
        <w:rPr>
          <w:sz w:val="22"/>
        </w:rPr>
        <w:t>.2.7</w:t>
      </w:r>
      <w:r>
        <w:rPr>
          <w:rFonts w:hint="eastAsia"/>
          <w:sz w:val="22"/>
        </w:rPr>
        <w:t>设备附加功能：</w:t>
      </w:r>
    </w:p>
    <w:p>
      <w:pPr>
        <w:adjustRightInd w:val="0"/>
        <w:snapToGrid w:val="0"/>
        <w:spacing w:line="440" w:lineRule="exact"/>
        <w:ind w:firstLine="440" w:firstLineChars="200"/>
        <w:rPr>
          <w:sz w:val="22"/>
        </w:rPr>
      </w:pPr>
      <w:r>
        <w:rPr>
          <w:sz w:val="22"/>
        </w:rPr>
        <w:t>1)</w:t>
      </w:r>
      <w:r>
        <w:rPr>
          <w:rFonts w:hint="eastAsia"/>
          <w:sz w:val="22"/>
        </w:rPr>
        <w:t>日期</w:t>
      </w:r>
      <w:r>
        <w:rPr>
          <w:sz w:val="22"/>
        </w:rPr>
        <w:t>/</w:t>
      </w:r>
      <w:r>
        <w:rPr>
          <w:rFonts w:hint="eastAsia"/>
          <w:sz w:val="22"/>
        </w:rPr>
        <w:t>时间显示</w:t>
      </w:r>
    </w:p>
    <w:p>
      <w:pPr>
        <w:adjustRightInd w:val="0"/>
        <w:snapToGrid w:val="0"/>
        <w:spacing w:line="440" w:lineRule="exact"/>
        <w:ind w:firstLine="440" w:firstLineChars="200"/>
        <w:rPr>
          <w:sz w:val="22"/>
        </w:rPr>
      </w:pPr>
      <w:r>
        <w:rPr>
          <w:sz w:val="22"/>
        </w:rPr>
        <w:t>2)</w:t>
      </w:r>
      <w:r>
        <w:rPr>
          <w:rFonts w:hint="eastAsia"/>
          <w:sz w:val="22"/>
        </w:rPr>
        <w:t>行李数量计数器</w:t>
      </w:r>
    </w:p>
    <w:p>
      <w:pPr>
        <w:adjustRightInd w:val="0"/>
        <w:snapToGrid w:val="0"/>
        <w:spacing w:line="440" w:lineRule="exact"/>
        <w:ind w:firstLine="440" w:firstLineChars="200"/>
        <w:rPr>
          <w:sz w:val="22"/>
        </w:rPr>
      </w:pPr>
      <w:r>
        <w:rPr>
          <w:sz w:val="22"/>
        </w:rPr>
        <w:t>3)</w:t>
      </w:r>
      <w:r>
        <w:rPr>
          <w:rFonts w:hint="eastAsia"/>
          <w:sz w:val="22"/>
        </w:rPr>
        <w:t>操作员识别码</w:t>
      </w:r>
    </w:p>
    <w:p>
      <w:pPr>
        <w:adjustRightInd w:val="0"/>
        <w:snapToGrid w:val="0"/>
        <w:spacing w:line="440" w:lineRule="exact"/>
        <w:ind w:firstLine="440" w:firstLineChars="200"/>
        <w:rPr>
          <w:sz w:val="22"/>
        </w:rPr>
      </w:pPr>
      <w:r>
        <w:rPr>
          <w:sz w:val="22"/>
        </w:rPr>
        <w:t>4)</w:t>
      </w:r>
      <w:r>
        <w:rPr>
          <w:rFonts w:hint="eastAsia"/>
          <w:sz w:val="22"/>
        </w:rPr>
        <w:t>对先前图象可重新调阅</w:t>
      </w:r>
    </w:p>
    <w:p>
      <w:pPr>
        <w:adjustRightInd w:val="0"/>
        <w:snapToGrid w:val="0"/>
        <w:spacing w:line="440" w:lineRule="exact"/>
        <w:ind w:firstLine="440" w:firstLineChars="200"/>
        <w:rPr>
          <w:sz w:val="22"/>
        </w:rPr>
      </w:pPr>
      <w:r>
        <w:rPr>
          <w:rFonts w:hint="eastAsia"/>
          <w:sz w:val="22"/>
        </w:rPr>
        <w:t>2</w:t>
      </w:r>
      <w:r>
        <w:rPr>
          <w:sz w:val="22"/>
        </w:rPr>
        <w:t xml:space="preserve">.2.8 </w:t>
      </w:r>
      <w:r>
        <w:rPr>
          <w:rFonts w:hint="eastAsia"/>
          <w:sz w:val="22"/>
        </w:rPr>
        <w:t>单机键盘按键功能可自由定义。</w:t>
      </w:r>
    </w:p>
    <w:p>
      <w:pPr>
        <w:adjustRightInd w:val="0"/>
        <w:snapToGrid w:val="0"/>
        <w:spacing w:line="440" w:lineRule="exact"/>
        <w:ind w:firstLine="440" w:firstLineChars="200"/>
        <w:rPr>
          <w:sz w:val="22"/>
        </w:rPr>
      </w:pPr>
      <w:r>
        <w:rPr>
          <w:rFonts w:hint="eastAsia"/>
          <w:sz w:val="22"/>
        </w:rPr>
        <w:t>2</w:t>
      </w:r>
      <w:r>
        <w:rPr>
          <w:sz w:val="22"/>
        </w:rPr>
        <w:t>.2.9</w:t>
      </w:r>
      <w:r>
        <w:rPr>
          <w:rFonts w:hint="eastAsia"/>
          <w:sz w:val="22"/>
        </w:rPr>
        <w:t>用户管理：具备登录控制功能，对不同人员单独授权。</w:t>
      </w:r>
    </w:p>
    <w:p>
      <w:pPr>
        <w:adjustRightInd w:val="0"/>
        <w:snapToGrid w:val="0"/>
        <w:spacing w:line="440" w:lineRule="exact"/>
        <w:ind w:firstLine="440" w:firstLineChars="200"/>
        <w:rPr>
          <w:sz w:val="22"/>
        </w:rPr>
      </w:pPr>
      <w:r>
        <w:rPr>
          <w:rFonts w:hint="eastAsia"/>
          <w:sz w:val="22"/>
        </w:rPr>
        <w:t>2</w:t>
      </w:r>
      <w:r>
        <w:rPr>
          <w:sz w:val="22"/>
        </w:rPr>
        <w:t>.2.10</w:t>
      </w:r>
      <w:r>
        <w:rPr>
          <w:rFonts w:hint="eastAsia"/>
          <w:sz w:val="22"/>
        </w:rPr>
        <w:t>系统监控：自动生成设备运行报告，记录登录信息。</w:t>
      </w:r>
    </w:p>
    <w:p>
      <w:pPr>
        <w:adjustRightInd w:val="0"/>
        <w:snapToGrid w:val="0"/>
        <w:spacing w:line="440" w:lineRule="exact"/>
        <w:ind w:firstLine="440" w:firstLineChars="200"/>
        <w:rPr>
          <w:sz w:val="22"/>
        </w:rPr>
      </w:pPr>
      <w:r>
        <w:rPr>
          <w:rFonts w:hint="eastAsia"/>
          <w:sz w:val="22"/>
        </w:rPr>
        <w:t>2</w:t>
      </w:r>
      <w:r>
        <w:rPr>
          <w:sz w:val="22"/>
        </w:rPr>
        <w:t xml:space="preserve">.3 </w:t>
      </w:r>
      <w:r>
        <w:rPr>
          <w:rFonts w:hint="eastAsia"/>
          <w:sz w:val="22"/>
        </w:rPr>
        <w:t>对</w:t>
      </w:r>
      <w:r>
        <w:rPr>
          <w:sz w:val="22"/>
        </w:rPr>
        <w:t>X</w:t>
      </w:r>
      <w:r>
        <w:rPr>
          <w:rFonts w:hint="eastAsia"/>
          <w:sz w:val="22"/>
        </w:rPr>
        <w:t>射线安全检查设备的设备要求</w:t>
      </w:r>
    </w:p>
    <w:p>
      <w:pPr>
        <w:adjustRightInd w:val="0"/>
        <w:snapToGrid w:val="0"/>
        <w:spacing w:line="440" w:lineRule="exact"/>
        <w:ind w:firstLine="440" w:firstLineChars="200"/>
        <w:rPr>
          <w:sz w:val="22"/>
        </w:rPr>
      </w:pPr>
      <w:r>
        <w:rPr>
          <w:rFonts w:hint="eastAsia"/>
          <w:sz w:val="22"/>
        </w:rPr>
        <w:t>2</w:t>
      </w:r>
      <w:r>
        <w:rPr>
          <w:sz w:val="22"/>
        </w:rPr>
        <w:t>.3.1 X</w:t>
      </w:r>
      <w:r>
        <w:rPr>
          <w:rFonts w:hint="eastAsia"/>
          <w:sz w:val="22"/>
        </w:rPr>
        <w:t>光机完成对正常的行李进行安全检查的工作。</w:t>
      </w:r>
    </w:p>
    <w:p>
      <w:pPr>
        <w:adjustRightInd w:val="0"/>
        <w:snapToGrid w:val="0"/>
        <w:spacing w:line="440" w:lineRule="exact"/>
        <w:ind w:firstLine="440" w:firstLineChars="200"/>
        <w:rPr>
          <w:sz w:val="22"/>
        </w:rPr>
      </w:pPr>
      <w:r>
        <w:rPr>
          <w:rFonts w:hint="eastAsia"/>
          <w:sz w:val="22"/>
        </w:rPr>
        <w:t>2</w:t>
      </w:r>
      <w:r>
        <w:rPr>
          <w:sz w:val="22"/>
        </w:rPr>
        <w:t>.3.2  X</w:t>
      </w:r>
      <w:r>
        <w:rPr>
          <w:rFonts w:hint="eastAsia"/>
          <w:sz w:val="22"/>
        </w:rPr>
        <w:t>光机是由</w:t>
      </w:r>
      <w:r>
        <w:rPr>
          <w:sz w:val="22"/>
        </w:rPr>
        <w:t>X</w:t>
      </w:r>
      <w:r>
        <w:rPr>
          <w:rFonts w:hint="eastAsia"/>
          <w:sz w:val="22"/>
        </w:rPr>
        <w:t>射线系统、显示系统、操作员键盘或控制台等组成。</w:t>
      </w:r>
    </w:p>
    <w:p>
      <w:pPr>
        <w:adjustRightInd w:val="0"/>
        <w:snapToGrid w:val="0"/>
        <w:spacing w:line="440" w:lineRule="exact"/>
        <w:ind w:firstLine="440" w:firstLineChars="200"/>
        <w:rPr>
          <w:sz w:val="22"/>
        </w:rPr>
      </w:pPr>
      <w:r>
        <w:rPr>
          <w:rFonts w:hint="eastAsia"/>
          <w:sz w:val="22"/>
        </w:rPr>
        <w:t>2</w:t>
      </w:r>
      <w:r>
        <w:rPr>
          <w:sz w:val="22"/>
        </w:rPr>
        <w:t>.3.3 X</w:t>
      </w:r>
      <w:r>
        <w:rPr>
          <w:rFonts w:hint="eastAsia"/>
          <w:sz w:val="22"/>
        </w:rPr>
        <w:t>光机单次检查剂量应不大于</w:t>
      </w:r>
      <w:r>
        <w:rPr>
          <w:sz w:val="22"/>
        </w:rPr>
        <w:t>5</w:t>
      </w:r>
      <w:r>
        <w:rPr>
          <w:rFonts w:hint="eastAsia"/>
          <w:sz w:val="22"/>
        </w:rPr>
        <w:t>μ</w:t>
      </w:r>
      <w:r>
        <w:rPr>
          <w:sz w:val="22"/>
        </w:rPr>
        <w:t>Gy/h</w:t>
      </w:r>
      <w:r>
        <w:rPr>
          <w:rFonts w:hint="eastAsia"/>
          <w:sz w:val="22"/>
        </w:rPr>
        <w:t>。</w:t>
      </w:r>
    </w:p>
    <w:p>
      <w:pPr>
        <w:adjustRightInd w:val="0"/>
        <w:snapToGrid w:val="0"/>
        <w:spacing w:line="440" w:lineRule="exact"/>
        <w:ind w:firstLine="440" w:firstLineChars="200"/>
        <w:rPr>
          <w:sz w:val="22"/>
        </w:rPr>
      </w:pPr>
      <w:r>
        <w:rPr>
          <w:rFonts w:hint="eastAsia"/>
          <w:sz w:val="22"/>
        </w:rPr>
        <w:t>2</w:t>
      </w:r>
      <w:r>
        <w:rPr>
          <w:sz w:val="22"/>
        </w:rPr>
        <w:t>.3.4 X</w:t>
      </w:r>
      <w:r>
        <w:rPr>
          <w:rFonts w:hint="eastAsia"/>
          <w:sz w:val="22"/>
        </w:rPr>
        <w:t>光机标准泄漏剂量（在距设备框架外</w:t>
      </w:r>
      <w:r>
        <w:rPr>
          <w:sz w:val="22"/>
        </w:rPr>
        <w:t>5</w:t>
      </w:r>
      <w:r>
        <w:rPr>
          <w:rFonts w:hint="eastAsia"/>
          <w:sz w:val="22"/>
        </w:rPr>
        <w:t>厘米处）低于</w:t>
      </w:r>
      <w:r>
        <w:rPr>
          <w:sz w:val="22"/>
        </w:rPr>
        <w:t>3</w:t>
      </w:r>
      <w:r>
        <w:rPr>
          <w:rFonts w:hint="eastAsia"/>
          <w:sz w:val="22"/>
        </w:rPr>
        <w:t>μ</w:t>
      </w:r>
      <w:r>
        <w:rPr>
          <w:sz w:val="22"/>
        </w:rPr>
        <w:t>Gy/h</w:t>
      </w:r>
      <w:r>
        <w:rPr>
          <w:rFonts w:hint="eastAsia"/>
          <w:sz w:val="22"/>
        </w:rPr>
        <w:t>，应能满足所有</w:t>
      </w:r>
      <w:r>
        <w:rPr>
          <w:sz w:val="22"/>
        </w:rPr>
        <w:t>X</w:t>
      </w:r>
      <w:r>
        <w:rPr>
          <w:rFonts w:hint="eastAsia"/>
          <w:sz w:val="22"/>
        </w:rPr>
        <w:t>射线安全标准的要求。</w:t>
      </w:r>
    </w:p>
    <w:p>
      <w:pPr>
        <w:adjustRightInd w:val="0"/>
        <w:snapToGrid w:val="0"/>
        <w:spacing w:line="440" w:lineRule="exact"/>
        <w:ind w:firstLine="440" w:firstLineChars="200"/>
        <w:rPr>
          <w:sz w:val="22"/>
        </w:rPr>
      </w:pPr>
      <w:r>
        <w:rPr>
          <w:rFonts w:hint="eastAsia"/>
          <w:sz w:val="22"/>
        </w:rPr>
        <w:t>2</w:t>
      </w:r>
      <w:r>
        <w:rPr>
          <w:sz w:val="22"/>
        </w:rPr>
        <w:t>.3.5</w:t>
      </w:r>
      <w:r>
        <w:rPr>
          <w:rFonts w:hint="eastAsia"/>
          <w:sz w:val="22"/>
        </w:rPr>
        <w:t>感光材料、食品、药品及磁带均不受影响，甚至多次照射也无妨。</w:t>
      </w:r>
    </w:p>
    <w:p>
      <w:pPr>
        <w:adjustRightInd w:val="0"/>
        <w:snapToGrid w:val="0"/>
        <w:spacing w:line="440" w:lineRule="exact"/>
        <w:ind w:firstLine="440" w:firstLineChars="200"/>
        <w:rPr>
          <w:sz w:val="22"/>
        </w:rPr>
      </w:pPr>
      <w:r>
        <w:rPr>
          <w:rFonts w:hint="eastAsia"/>
          <w:sz w:val="22"/>
        </w:rPr>
        <w:t>2</w:t>
      </w:r>
      <w:r>
        <w:rPr>
          <w:sz w:val="22"/>
        </w:rPr>
        <w:t>.3.6</w:t>
      </w:r>
      <w:r>
        <w:rPr>
          <w:rFonts w:hint="eastAsia"/>
          <w:sz w:val="22"/>
        </w:rPr>
        <w:t>连锁电路接收用于</w:t>
      </w:r>
      <w:r>
        <w:rPr>
          <w:sz w:val="22"/>
        </w:rPr>
        <w:t>X</w:t>
      </w:r>
      <w:r>
        <w:rPr>
          <w:rFonts w:hint="eastAsia"/>
          <w:sz w:val="22"/>
        </w:rPr>
        <w:t>射线屏蔽的连锁开关的信号。如果任一个连锁开关断开，</w:t>
      </w:r>
      <w:r>
        <w:rPr>
          <w:sz w:val="22"/>
        </w:rPr>
        <w:t>X</w:t>
      </w:r>
      <w:r>
        <w:rPr>
          <w:rFonts w:hint="eastAsia"/>
          <w:sz w:val="22"/>
        </w:rPr>
        <w:t>射线将自动关断。</w:t>
      </w:r>
    </w:p>
    <w:p>
      <w:pPr>
        <w:adjustRightInd w:val="0"/>
        <w:snapToGrid w:val="0"/>
        <w:spacing w:line="440" w:lineRule="exact"/>
        <w:ind w:firstLine="440" w:firstLineChars="200"/>
        <w:rPr>
          <w:sz w:val="22"/>
        </w:rPr>
      </w:pPr>
      <w:r>
        <w:rPr>
          <w:rFonts w:hint="eastAsia"/>
          <w:sz w:val="22"/>
        </w:rPr>
        <w:t>2</w:t>
      </w:r>
      <w:r>
        <w:rPr>
          <w:sz w:val="22"/>
        </w:rPr>
        <w:t>.3.7</w:t>
      </w:r>
      <w:r>
        <w:rPr>
          <w:rFonts w:hint="eastAsia"/>
          <w:sz w:val="22"/>
        </w:rPr>
        <w:t>工作周期：</w:t>
      </w:r>
      <w:r>
        <w:rPr>
          <w:sz w:val="22"/>
        </w:rPr>
        <w:t>100%</w:t>
      </w:r>
      <w:r>
        <w:rPr>
          <w:rFonts w:hint="eastAsia"/>
          <w:sz w:val="22"/>
        </w:rPr>
        <w:t>连续，无需预热。</w:t>
      </w:r>
    </w:p>
    <w:p>
      <w:pPr>
        <w:adjustRightInd w:val="0"/>
        <w:snapToGrid w:val="0"/>
        <w:spacing w:line="440" w:lineRule="exact"/>
        <w:ind w:firstLine="440" w:firstLineChars="200"/>
        <w:rPr>
          <w:sz w:val="22"/>
        </w:rPr>
      </w:pPr>
      <w:r>
        <w:rPr>
          <w:rFonts w:hint="eastAsia"/>
          <w:sz w:val="22"/>
        </w:rPr>
        <w:t>2</w:t>
      </w:r>
      <w:r>
        <w:rPr>
          <w:sz w:val="22"/>
        </w:rPr>
        <w:t>.3.8</w:t>
      </w:r>
      <w:r>
        <w:rPr>
          <w:rFonts w:hint="eastAsia"/>
          <w:sz w:val="22"/>
        </w:rPr>
        <w:t>胶卷安全性：对</w:t>
      </w:r>
      <w:r>
        <w:rPr>
          <w:sz w:val="22"/>
        </w:rPr>
        <w:t>IS01600(33DIN)</w:t>
      </w:r>
      <w:r>
        <w:rPr>
          <w:rFonts w:hint="eastAsia"/>
          <w:sz w:val="22"/>
        </w:rPr>
        <w:t>胶卷保证安全。</w:t>
      </w:r>
    </w:p>
    <w:p>
      <w:pPr>
        <w:adjustRightInd w:val="0"/>
        <w:snapToGrid w:val="0"/>
        <w:spacing w:line="440" w:lineRule="exact"/>
        <w:ind w:firstLine="440" w:firstLineChars="200"/>
        <w:rPr>
          <w:sz w:val="22"/>
        </w:rPr>
      </w:pPr>
      <w:r>
        <w:rPr>
          <w:rFonts w:hint="eastAsia"/>
          <w:sz w:val="22"/>
        </w:rPr>
        <w:t>2</w:t>
      </w:r>
      <w:r>
        <w:rPr>
          <w:sz w:val="22"/>
        </w:rPr>
        <w:t>.3.9</w:t>
      </w:r>
      <w:r>
        <w:rPr>
          <w:rFonts w:hint="eastAsia"/>
          <w:sz w:val="22"/>
        </w:rPr>
        <w:t>显示器：符合设备整体使用性能。</w:t>
      </w:r>
    </w:p>
    <w:p>
      <w:pPr>
        <w:adjustRightInd w:val="0"/>
        <w:snapToGrid w:val="0"/>
        <w:spacing w:line="440" w:lineRule="exact"/>
        <w:ind w:firstLine="440" w:firstLineChars="200"/>
        <w:rPr>
          <w:sz w:val="22"/>
        </w:rPr>
      </w:pPr>
      <w:r>
        <w:rPr>
          <w:rFonts w:hint="eastAsia"/>
          <w:sz w:val="22"/>
        </w:rPr>
        <w:t>2</w:t>
      </w:r>
      <w:r>
        <w:rPr>
          <w:sz w:val="22"/>
        </w:rPr>
        <w:t>.3.10</w:t>
      </w:r>
      <w:r>
        <w:rPr>
          <w:rFonts w:hint="eastAsia"/>
          <w:sz w:val="22"/>
        </w:rPr>
        <w:t>机械结构：钢架结构及钢板外壳，设备带滚轮。</w:t>
      </w:r>
    </w:p>
    <w:p>
      <w:pPr>
        <w:adjustRightInd w:val="0"/>
        <w:snapToGrid w:val="0"/>
        <w:spacing w:line="440" w:lineRule="exact"/>
        <w:ind w:firstLine="440" w:firstLineChars="200"/>
        <w:rPr>
          <w:sz w:val="22"/>
        </w:rPr>
      </w:pPr>
      <w:r>
        <w:rPr>
          <w:rFonts w:hint="eastAsia"/>
          <w:sz w:val="22"/>
        </w:rPr>
        <w:t>2</w:t>
      </w:r>
      <w:r>
        <w:rPr>
          <w:sz w:val="22"/>
        </w:rPr>
        <w:t>.3.11</w:t>
      </w:r>
      <w:r>
        <w:rPr>
          <w:rFonts w:hint="eastAsia"/>
          <w:sz w:val="22"/>
        </w:rPr>
        <w:t>单机操作键盘必须防水，等级不小于</w:t>
      </w:r>
      <w:r>
        <w:rPr>
          <w:sz w:val="22"/>
        </w:rPr>
        <w:t>IP22</w:t>
      </w:r>
      <w:r>
        <w:rPr>
          <w:rFonts w:hint="eastAsia"/>
          <w:sz w:val="22"/>
        </w:rPr>
        <w:t>。</w:t>
      </w:r>
    </w:p>
    <w:p>
      <w:pPr>
        <w:adjustRightInd w:val="0"/>
        <w:snapToGrid w:val="0"/>
        <w:spacing w:line="440" w:lineRule="exact"/>
        <w:ind w:firstLine="440" w:firstLineChars="200"/>
        <w:rPr>
          <w:sz w:val="22"/>
        </w:rPr>
      </w:pPr>
      <w:r>
        <w:rPr>
          <w:rFonts w:hint="eastAsia"/>
          <w:sz w:val="22"/>
        </w:rPr>
        <w:t>2</w:t>
      </w:r>
      <w:r>
        <w:rPr>
          <w:sz w:val="22"/>
        </w:rPr>
        <w:t>.3.12</w:t>
      </w:r>
      <w:r>
        <w:rPr>
          <w:rFonts w:hint="eastAsia"/>
          <w:sz w:val="22"/>
        </w:rPr>
        <w:t>设备颜色：定合同时商定。</w:t>
      </w:r>
    </w:p>
    <w:p>
      <w:pPr>
        <w:adjustRightInd w:val="0"/>
        <w:snapToGrid w:val="0"/>
        <w:spacing w:line="440" w:lineRule="exact"/>
        <w:ind w:firstLine="440" w:firstLineChars="200"/>
        <w:rPr>
          <w:sz w:val="22"/>
        </w:rPr>
      </w:pPr>
      <w:r>
        <w:rPr>
          <w:rFonts w:hint="eastAsia"/>
          <w:sz w:val="22"/>
        </w:rPr>
        <w:t>2</w:t>
      </w:r>
      <w:r>
        <w:rPr>
          <w:sz w:val="22"/>
        </w:rPr>
        <w:t>.3.13*</w:t>
      </w:r>
      <w:r>
        <w:rPr>
          <w:rFonts w:hint="eastAsia"/>
          <w:sz w:val="22"/>
        </w:rPr>
        <w:t>经单机系统设置后可直接接入现有安检分层管理系统并正常使用。</w:t>
      </w:r>
    </w:p>
    <w:p>
      <w:pPr>
        <w:adjustRightInd w:val="0"/>
        <w:snapToGrid w:val="0"/>
        <w:spacing w:line="440" w:lineRule="exact"/>
        <w:rPr>
          <w:bCs/>
          <w:sz w:val="22"/>
          <w:u w:val="single"/>
        </w:rPr>
      </w:pPr>
      <w:r>
        <w:rPr>
          <w:rFonts w:hint="eastAsia"/>
          <w:sz w:val="22"/>
        </w:rPr>
        <w:t>注：</w:t>
      </w:r>
      <w:r>
        <w:rPr>
          <w:sz w:val="22"/>
          <w:u w:val="single"/>
        </w:rPr>
        <w:t>*</w:t>
      </w:r>
      <w:r>
        <w:rPr>
          <w:rFonts w:hint="eastAsia"/>
          <w:bCs/>
          <w:sz w:val="22"/>
          <w:u w:val="single"/>
        </w:rPr>
        <w:t>设备具有中国民航使用许可证</w:t>
      </w:r>
    </w:p>
    <w:p>
      <w:pPr>
        <w:adjustRightInd w:val="0"/>
        <w:snapToGrid w:val="0"/>
        <w:spacing w:line="440" w:lineRule="exact"/>
        <w:rPr>
          <w:sz w:val="22"/>
        </w:rPr>
      </w:pPr>
    </w:p>
    <w:p>
      <w:pPr>
        <w:spacing w:line="240" w:lineRule="atLeast"/>
        <w:rPr>
          <w:rFonts w:ascii="宋体"/>
          <w:szCs w:val="21"/>
        </w:rPr>
      </w:pPr>
      <w:r>
        <w:rPr>
          <w:rFonts w:hint="eastAsia"/>
          <w:b/>
          <w:color w:val="000000"/>
          <w:sz w:val="22"/>
        </w:rPr>
        <w:t>3、动力平台：</w:t>
      </w:r>
    </w:p>
    <w:p>
      <w:pPr>
        <w:adjustRightInd w:val="0"/>
        <w:snapToGrid w:val="0"/>
        <w:spacing w:line="440" w:lineRule="exact"/>
        <w:ind w:firstLine="440" w:firstLineChars="200"/>
        <w:rPr>
          <w:rFonts w:ascii="Cambria"/>
          <w:sz w:val="22"/>
        </w:rPr>
      </w:pPr>
      <w:r>
        <w:rPr>
          <w:rFonts w:hint="eastAsia"/>
          <w:sz w:val="22"/>
        </w:rPr>
        <w:t>3</w:t>
      </w:r>
      <w:r>
        <w:rPr>
          <w:sz w:val="22"/>
        </w:rPr>
        <w:t>.1</w:t>
      </w:r>
      <w:r>
        <w:rPr>
          <w:rFonts w:hint="eastAsia"/>
          <w:sz w:val="22"/>
        </w:rPr>
        <w:t>、设备输送有效宽度应与</w:t>
      </w:r>
      <w:r>
        <w:rPr>
          <w:sz w:val="22"/>
        </w:rPr>
        <w:t>X</w:t>
      </w:r>
      <w:r>
        <w:rPr>
          <w:rFonts w:hint="eastAsia"/>
          <w:sz w:val="22"/>
        </w:rPr>
        <w:t>光机传送部分相同，输送高度配合安检机高度。</w:t>
      </w:r>
    </w:p>
    <w:p>
      <w:pPr>
        <w:adjustRightInd w:val="0"/>
        <w:snapToGrid w:val="0"/>
        <w:spacing w:line="440" w:lineRule="exact"/>
        <w:ind w:firstLine="440" w:firstLineChars="200"/>
        <w:rPr>
          <w:sz w:val="22"/>
        </w:rPr>
      </w:pPr>
      <w:r>
        <w:rPr>
          <w:rFonts w:hint="eastAsia"/>
          <w:sz w:val="22"/>
        </w:rPr>
        <w:t>3</w:t>
      </w:r>
      <w:r>
        <w:rPr>
          <w:sz w:val="22"/>
        </w:rPr>
        <w:t>.2</w:t>
      </w:r>
      <w:r>
        <w:rPr>
          <w:rFonts w:hint="eastAsia"/>
          <w:sz w:val="22"/>
        </w:rPr>
        <w:t>、输送台长</w:t>
      </w:r>
      <w:r>
        <w:rPr>
          <w:sz w:val="22"/>
        </w:rPr>
        <w:t>2000mm,</w:t>
      </w:r>
      <w:r>
        <w:rPr>
          <w:rFonts w:hint="eastAsia"/>
          <w:sz w:val="22"/>
        </w:rPr>
        <w:t>整机输送能力：</w:t>
      </w:r>
      <w:r>
        <w:rPr>
          <w:sz w:val="22"/>
        </w:rPr>
        <w:t>2000kg.</w:t>
      </w:r>
    </w:p>
    <w:p>
      <w:pPr>
        <w:adjustRightInd w:val="0"/>
        <w:snapToGrid w:val="0"/>
        <w:spacing w:line="440" w:lineRule="exact"/>
        <w:ind w:firstLine="440" w:firstLineChars="200"/>
        <w:rPr>
          <w:sz w:val="22"/>
        </w:rPr>
      </w:pPr>
      <w:r>
        <w:rPr>
          <w:rFonts w:hint="eastAsia"/>
          <w:sz w:val="22"/>
        </w:rPr>
        <w:t>3</w:t>
      </w:r>
      <w:r>
        <w:rPr>
          <w:sz w:val="22"/>
        </w:rPr>
        <w:t>.3</w:t>
      </w:r>
      <w:r>
        <w:rPr>
          <w:rFonts w:hint="eastAsia"/>
          <w:sz w:val="22"/>
        </w:rPr>
        <w:t>、重载不锈钢辊筒整机不少于</w:t>
      </w:r>
      <w:r>
        <w:rPr>
          <w:sz w:val="22"/>
        </w:rPr>
        <w:t>19</w:t>
      </w:r>
      <w:r>
        <w:rPr>
          <w:rFonts w:hint="eastAsia"/>
          <w:sz w:val="22"/>
        </w:rPr>
        <w:t>支。</w:t>
      </w:r>
    </w:p>
    <w:p>
      <w:pPr>
        <w:adjustRightInd w:val="0"/>
        <w:snapToGrid w:val="0"/>
        <w:spacing w:line="440" w:lineRule="exact"/>
        <w:ind w:firstLine="440" w:firstLineChars="200"/>
        <w:rPr>
          <w:sz w:val="22"/>
        </w:rPr>
      </w:pPr>
      <w:r>
        <w:rPr>
          <w:rFonts w:hint="eastAsia"/>
          <w:sz w:val="22"/>
        </w:rPr>
        <w:t>3</w:t>
      </w:r>
      <w:r>
        <w:rPr>
          <w:sz w:val="22"/>
        </w:rPr>
        <w:t>.4</w:t>
      </w:r>
      <w:r>
        <w:rPr>
          <w:rFonts w:hint="eastAsia"/>
          <w:sz w:val="22"/>
        </w:rPr>
        <w:t>、输送辊道台框架采用槽钢，表面粉末静电喷涂。</w:t>
      </w:r>
    </w:p>
    <w:p>
      <w:pPr>
        <w:adjustRightInd w:val="0"/>
        <w:snapToGrid w:val="0"/>
        <w:spacing w:line="440" w:lineRule="exact"/>
        <w:ind w:firstLine="440" w:firstLineChars="200"/>
        <w:rPr>
          <w:sz w:val="22"/>
        </w:rPr>
      </w:pPr>
      <w:r>
        <w:rPr>
          <w:rFonts w:hint="eastAsia"/>
          <w:sz w:val="22"/>
        </w:rPr>
        <w:t>3</w:t>
      </w:r>
      <w:r>
        <w:rPr>
          <w:sz w:val="22"/>
        </w:rPr>
        <w:t>.5</w:t>
      </w:r>
      <w:r>
        <w:rPr>
          <w:rFonts w:hint="eastAsia"/>
          <w:sz w:val="22"/>
        </w:rPr>
        <w:t>、高度配重载可调杯脚，以保证设备的水平。</w:t>
      </w:r>
    </w:p>
    <w:p>
      <w:pPr>
        <w:adjustRightInd w:val="0"/>
        <w:snapToGrid w:val="0"/>
        <w:spacing w:line="440" w:lineRule="exact"/>
        <w:ind w:firstLine="440" w:firstLineChars="200"/>
        <w:rPr>
          <w:sz w:val="22"/>
        </w:rPr>
      </w:pPr>
      <w:r>
        <w:rPr>
          <w:rFonts w:hint="eastAsia"/>
          <w:sz w:val="22"/>
        </w:rPr>
        <w:t>3</w:t>
      </w:r>
      <w:r>
        <w:rPr>
          <w:sz w:val="22"/>
        </w:rPr>
        <w:t>.6</w:t>
      </w:r>
      <w:r>
        <w:rPr>
          <w:rFonts w:hint="eastAsia"/>
          <w:sz w:val="22"/>
        </w:rPr>
        <w:t>、输送速度小于</w:t>
      </w:r>
      <w:r>
        <w:rPr>
          <w:sz w:val="22"/>
        </w:rPr>
        <w:t>X</w:t>
      </w:r>
      <w:r>
        <w:rPr>
          <w:rFonts w:hint="eastAsia"/>
          <w:sz w:val="22"/>
        </w:rPr>
        <w:t>光机传送带带速。</w:t>
      </w:r>
    </w:p>
    <w:p>
      <w:pPr>
        <w:adjustRightInd w:val="0"/>
        <w:snapToGrid w:val="0"/>
        <w:spacing w:line="440" w:lineRule="exact"/>
        <w:ind w:firstLine="440" w:firstLineChars="200"/>
        <w:rPr>
          <w:sz w:val="22"/>
        </w:rPr>
      </w:pPr>
      <w:r>
        <w:rPr>
          <w:rFonts w:hint="eastAsia"/>
          <w:sz w:val="22"/>
        </w:rPr>
        <w:t>3</w:t>
      </w:r>
      <w:r>
        <w:rPr>
          <w:sz w:val="22"/>
        </w:rPr>
        <w:t>.7</w:t>
      </w:r>
      <w:r>
        <w:rPr>
          <w:rFonts w:hint="eastAsia"/>
          <w:sz w:val="22"/>
        </w:rPr>
        <w:t>、动力辊道台单机配置变频调速，总控及分控。</w:t>
      </w:r>
    </w:p>
    <w:p>
      <w:pPr>
        <w:adjustRightInd w:val="0"/>
        <w:snapToGrid w:val="0"/>
        <w:spacing w:line="440" w:lineRule="exact"/>
        <w:ind w:firstLine="440" w:firstLineChars="200"/>
        <w:rPr>
          <w:sz w:val="22"/>
        </w:rPr>
      </w:pPr>
      <w:r>
        <w:rPr>
          <w:rFonts w:hint="eastAsia"/>
          <w:sz w:val="22"/>
        </w:rPr>
        <w:t>3</w:t>
      </w:r>
      <w:r>
        <w:rPr>
          <w:sz w:val="22"/>
        </w:rPr>
        <w:t>.8</w:t>
      </w:r>
      <w:r>
        <w:rPr>
          <w:rFonts w:hint="eastAsia"/>
          <w:sz w:val="22"/>
        </w:rPr>
        <w:t>、动力辊道台使用，要求防止场地的线头、包装袋及粘胶带的卷入输送辊筒的链轮内。</w:t>
      </w:r>
    </w:p>
    <w:p>
      <w:pPr>
        <w:adjustRightInd w:val="0"/>
        <w:snapToGrid w:val="0"/>
        <w:spacing w:line="440" w:lineRule="exact"/>
        <w:ind w:firstLine="440" w:firstLineChars="200"/>
        <w:rPr>
          <w:sz w:val="22"/>
        </w:rPr>
      </w:pPr>
      <w:r>
        <w:rPr>
          <w:rFonts w:hint="eastAsia"/>
          <w:sz w:val="22"/>
        </w:rPr>
        <w:t>3</w:t>
      </w:r>
      <w:r>
        <w:rPr>
          <w:sz w:val="22"/>
        </w:rPr>
        <w:t>.9</w:t>
      </w:r>
      <w:r>
        <w:rPr>
          <w:rFonts w:hint="eastAsia"/>
          <w:sz w:val="22"/>
        </w:rPr>
        <w:t>、设备线路、驱动及传动部分要安全防护，防止漏电。</w:t>
      </w:r>
    </w:p>
    <w:p>
      <w:pPr>
        <w:adjustRightInd w:val="0"/>
        <w:snapToGrid w:val="0"/>
        <w:spacing w:line="440" w:lineRule="exact"/>
        <w:ind w:firstLine="440" w:firstLineChars="200"/>
        <w:rPr>
          <w:sz w:val="22"/>
        </w:rPr>
      </w:pPr>
      <w:r>
        <w:rPr>
          <w:rFonts w:hint="eastAsia"/>
          <w:sz w:val="22"/>
        </w:rPr>
        <w:t>3</w:t>
      </w:r>
      <w:r>
        <w:rPr>
          <w:sz w:val="22"/>
        </w:rPr>
        <w:t>.</w:t>
      </w:r>
      <w:r>
        <w:rPr>
          <w:rFonts w:hint="eastAsia"/>
          <w:sz w:val="22"/>
        </w:rPr>
        <w:t>1.1、设备外部应无毛刺、倒角，做好安全防护。</w:t>
      </w:r>
    </w:p>
    <w:p>
      <w:pPr>
        <w:adjustRightInd w:val="0"/>
        <w:snapToGrid w:val="0"/>
        <w:spacing w:line="440" w:lineRule="exact"/>
        <w:ind w:firstLine="440" w:firstLineChars="200"/>
        <w:rPr>
          <w:sz w:val="22"/>
        </w:rPr>
      </w:pPr>
    </w:p>
    <w:p>
      <w:pPr>
        <w:adjustRightInd w:val="0"/>
        <w:snapToGrid w:val="0"/>
        <w:spacing w:line="440" w:lineRule="exact"/>
        <w:jc w:val="left"/>
        <w:rPr>
          <w:b/>
          <w:sz w:val="22"/>
        </w:rPr>
      </w:pPr>
      <w:r>
        <w:rPr>
          <w:rFonts w:hint="eastAsia"/>
          <w:b/>
          <w:sz w:val="22"/>
        </w:rPr>
        <w:t>4、端接平台：（义乌机场）</w:t>
      </w:r>
    </w:p>
    <w:p>
      <w:pPr>
        <w:pStyle w:val="145"/>
        <w:numPr>
          <w:ilvl w:val="1"/>
          <w:numId w:val="35"/>
        </w:numPr>
        <w:spacing w:line="240" w:lineRule="atLeast"/>
        <w:ind w:firstLineChars="0"/>
        <w:rPr>
          <w:rFonts w:ascii="宋体" w:hAnsi="宋体"/>
          <w:szCs w:val="21"/>
        </w:rPr>
      </w:pPr>
      <w:r>
        <w:rPr>
          <w:rFonts w:hint="eastAsia" w:ascii="宋体" w:hAnsi="宋体"/>
          <w:szCs w:val="21"/>
        </w:rPr>
        <w:t xml:space="preserve">  X光机前后各安装1条端接平台，与X光机出入口相连接。</w:t>
      </w:r>
    </w:p>
    <w:p>
      <w:pPr>
        <w:spacing w:line="240" w:lineRule="atLeast"/>
        <w:ind w:left="425"/>
        <w:rPr>
          <w:rFonts w:ascii="宋体" w:hAnsi="宋体" w:eastAsia="宋体" w:cs="Times New Roman"/>
          <w:sz w:val="21"/>
          <w:szCs w:val="21"/>
        </w:rPr>
      </w:pPr>
      <w:r>
        <w:rPr>
          <w:rFonts w:hint="eastAsia" w:ascii="宋体" w:hAnsi="宋体" w:eastAsia="宋体" w:cs="Times New Roman"/>
          <w:sz w:val="21"/>
          <w:szCs w:val="21"/>
        </w:rPr>
        <w:t>4.2  X光机出入口前的端接平台尺寸为应</w:t>
      </w:r>
      <w:r>
        <w:rPr>
          <w:rFonts w:hint="eastAsia"/>
          <w:sz w:val="22"/>
        </w:rPr>
        <w:t>符合MH/T7003-2017要求，长度至少3.5米</w:t>
      </w:r>
      <w:r>
        <w:rPr>
          <w:rFonts w:hint="eastAsia" w:ascii="宋体" w:hAnsi="宋体" w:eastAsia="宋体" w:cs="Times New Roman"/>
          <w:sz w:val="21"/>
          <w:szCs w:val="21"/>
        </w:rPr>
        <w:t>。</w:t>
      </w:r>
    </w:p>
    <w:p>
      <w:pPr>
        <w:spacing w:line="240" w:lineRule="atLeast"/>
        <w:ind w:left="425"/>
        <w:rPr>
          <w:rFonts w:ascii="宋体" w:hAnsi="宋体" w:eastAsia="宋体" w:cs="Times New Roman"/>
          <w:sz w:val="21"/>
          <w:szCs w:val="21"/>
        </w:rPr>
      </w:pPr>
      <w:r>
        <w:rPr>
          <w:rFonts w:hint="eastAsia" w:ascii="宋体" w:hAnsi="宋体" w:eastAsia="宋体" w:cs="Times New Roman"/>
          <w:sz w:val="21"/>
          <w:szCs w:val="21"/>
        </w:rPr>
        <w:t>4.3  输送机主体框架及支撑结构材料均采用201不锈钢，厚度要求达到2mm，结构合理，强度可靠，可承受载荷不小于200kg/m</w:t>
      </w:r>
    </w:p>
    <w:p>
      <w:pPr>
        <w:spacing w:line="240" w:lineRule="atLeast"/>
        <w:ind w:left="425"/>
        <w:rPr>
          <w:rFonts w:ascii="宋体" w:hAnsi="宋体" w:eastAsia="宋体" w:cs="Times New Roman"/>
          <w:sz w:val="21"/>
          <w:szCs w:val="21"/>
        </w:rPr>
      </w:pPr>
      <w:r>
        <w:rPr>
          <w:rFonts w:hint="eastAsia" w:ascii="宋体" w:hAnsi="宋体" w:eastAsia="宋体" w:cs="Times New Roman"/>
          <w:sz w:val="21"/>
          <w:szCs w:val="21"/>
        </w:rPr>
        <w:t>4.5  端接平台高度可通过调节底脚进行调整，调整幅度不小于20mm。</w:t>
      </w:r>
    </w:p>
    <w:p>
      <w:pPr>
        <w:spacing w:line="240" w:lineRule="atLeast"/>
        <w:ind w:left="425"/>
        <w:rPr>
          <w:rFonts w:ascii="宋体" w:hAnsi="宋体" w:eastAsia="宋体" w:cs="Times New Roman"/>
          <w:sz w:val="21"/>
          <w:szCs w:val="21"/>
        </w:rPr>
      </w:pPr>
      <w:r>
        <w:rPr>
          <w:rFonts w:hint="eastAsia" w:ascii="宋体" w:hAnsi="宋体" w:eastAsia="宋体" w:cs="Times New Roman"/>
          <w:sz w:val="21"/>
          <w:szCs w:val="21"/>
        </w:rPr>
        <w:t>4.6  外形光滑、美观、无锐角、锐边和毛刺。</w:t>
      </w:r>
    </w:p>
    <w:p>
      <w:pPr>
        <w:spacing w:line="240" w:lineRule="atLeast"/>
        <w:ind w:left="425"/>
        <w:rPr>
          <w:rFonts w:ascii="宋体" w:hAnsi="宋体" w:eastAsia="宋体" w:cs="Times New Roman"/>
          <w:sz w:val="21"/>
          <w:szCs w:val="21"/>
        </w:rPr>
      </w:pPr>
      <w:r>
        <w:rPr>
          <w:rFonts w:hint="eastAsia" w:ascii="宋体" w:hAnsi="宋体" w:eastAsia="宋体" w:cs="Times New Roman"/>
          <w:sz w:val="21"/>
          <w:szCs w:val="21"/>
        </w:rPr>
        <w:t>4.7  最终样式、设计等需经最终用户确认。</w:t>
      </w:r>
    </w:p>
    <w:p>
      <w:pPr>
        <w:pStyle w:val="145"/>
        <w:spacing w:line="240" w:lineRule="atLeast"/>
        <w:ind w:left="960" w:firstLine="0" w:firstLineChars="0"/>
        <w:rPr>
          <w:rFonts w:ascii="宋体"/>
          <w:szCs w:val="21"/>
        </w:rPr>
      </w:pPr>
    </w:p>
    <w:p>
      <w:pPr>
        <w:widowControl/>
        <w:jc w:val="left"/>
      </w:pPr>
      <w:r>
        <w:t xml:space="preserve"> </w:t>
      </w:r>
      <w:r>
        <w:br w:type="page"/>
      </w:r>
      <w:r>
        <w:rPr>
          <w:rFonts w:hint="eastAsia"/>
        </w:rPr>
        <w:t>第四章</w:t>
      </w:r>
      <w:r>
        <w:t>合同条款</w:t>
      </w:r>
      <w:bookmarkEnd w:id="404"/>
    </w:p>
    <w:p>
      <w:pPr>
        <w:jc w:val="center"/>
      </w:pPr>
      <w:r>
        <w:rPr>
          <w:rFonts w:hint="eastAsia"/>
        </w:rPr>
        <w:t>（</w:t>
      </w:r>
      <w:r>
        <w:rPr>
          <w:rFonts w:ascii="Helvetica" w:hAnsi="Helvetica"/>
          <w:color w:val="333333"/>
          <w:sz w:val="18"/>
          <w:szCs w:val="18"/>
        </w:rPr>
        <w:t>此为合同模板，最终以双方签字盖章的文本为准</w:t>
      </w:r>
      <w:r>
        <w:rPr>
          <w:rFonts w:hint="eastAsia" w:ascii="Helvetica" w:hAnsi="Helvetica"/>
          <w:color w:val="333333"/>
          <w:sz w:val="18"/>
          <w:szCs w:val="18"/>
        </w:rPr>
        <w:t>）</w:t>
      </w:r>
    </w:p>
    <w:p>
      <w:pPr>
        <w:adjustRightInd w:val="0"/>
        <w:snapToGrid w:val="0"/>
        <w:spacing w:line="360" w:lineRule="exact"/>
        <w:ind w:firstLine="452"/>
        <w:jc w:val="left"/>
        <w:rPr>
          <w:rFonts w:ascii="宋体" w:hAnsi="宋体"/>
          <w:b/>
          <w:sz w:val="22"/>
        </w:rPr>
      </w:pPr>
    </w:p>
    <w:p>
      <w:pPr>
        <w:spacing w:line="560" w:lineRule="exact"/>
        <w:ind w:firstLine="883" w:firstLineChars="200"/>
        <w:jc w:val="center"/>
        <w:rPr>
          <w:rFonts w:ascii="方正小标宋简体" w:hAnsi="仿宋" w:eastAsia="方正小标宋简体"/>
          <w:b/>
          <w:sz w:val="44"/>
          <w:szCs w:val="44"/>
        </w:rPr>
      </w:pPr>
      <w:bookmarkStart w:id="405" w:name="_Toc321925456"/>
      <w:bookmarkStart w:id="406" w:name="_Toc448002987"/>
      <w:bookmarkStart w:id="407" w:name="_Toc275274581"/>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甲方：</w:t>
      </w: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住所地：</w:t>
      </w:r>
    </w:p>
    <w:p>
      <w:pPr>
        <w:adjustRightInd w:val="0"/>
        <w:snapToGrid w:val="0"/>
        <w:spacing w:line="560" w:lineRule="exact"/>
        <w:ind w:firstLine="452"/>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乙方:</w:t>
      </w:r>
    </w:p>
    <w:p>
      <w:pPr>
        <w:adjustRightInd w:val="0"/>
        <w:snapToGrid w:val="0"/>
        <w:spacing w:line="560" w:lineRule="exact"/>
        <w:ind w:firstLine="452"/>
        <w:rPr>
          <w:rFonts w:ascii="仿宋_GB2312" w:hAnsi="仿宋" w:eastAsia="仿宋_GB2312"/>
          <w:sz w:val="30"/>
          <w:szCs w:val="30"/>
        </w:rPr>
      </w:pPr>
      <w:r>
        <w:rPr>
          <w:rFonts w:hint="eastAsia" w:ascii="仿宋_GB2312" w:hAnsi="仿宋" w:eastAsia="仿宋_GB2312"/>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w:t>
      </w:r>
      <w:bookmarkStart w:id="408" w:name="_Hlk10635989"/>
      <w:r>
        <w:rPr>
          <w:rFonts w:hint="eastAsia" w:ascii="仿宋_GB2312" w:hAnsi="仿宋" w:eastAsia="仿宋_GB2312"/>
          <w:sz w:val="30"/>
          <w:szCs w:val="30"/>
        </w:rPr>
        <w:t>（以下简称“《合同法》”）</w:t>
      </w:r>
      <w:bookmarkEnd w:id="408"/>
      <w:r>
        <w:rPr>
          <w:rFonts w:hint="eastAsia" w:ascii="仿宋_GB2312" w:hAnsi="仿宋" w:eastAsia="仿宋_GB2312"/>
          <w:sz w:val="30"/>
          <w:szCs w:val="30"/>
        </w:rPr>
        <w:t>等相关法律法规，就相关产品采购事宜，在互利、平等的原则基础上，经协商一致，特签订本合同，以共同遵守。</w:t>
      </w:r>
    </w:p>
    <w:p>
      <w:pPr>
        <w:adjustRightInd w:val="0"/>
        <w:snapToGrid w:val="0"/>
        <w:spacing w:line="560" w:lineRule="exact"/>
        <w:ind w:firstLine="600" w:firstLineChars="200"/>
        <w:rPr>
          <w:rFonts w:ascii="仿宋_GB2312" w:hAnsi="仿宋" w:eastAsia="仿宋_GB2312"/>
          <w:sz w:val="30"/>
          <w:szCs w:val="30"/>
        </w:rPr>
      </w:pP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一、产品规格型号及参数</w:t>
      </w:r>
    </w:p>
    <w:tbl>
      <w:tblPr>
        <w:tblStyle w:val="58"/>
        <w:tblW w:w="9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560"/>
        <w:gridCol w:w="1560"/>
        <w:gridCol w:w="1560"/>
        <w:gridCol w:w="850"/>
        <w:gridCol w:w="1134"/>
        <w:gridCol w:w="921"/>
        <w:gridCol w:w="82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30" w:type="dxa"/>
            <w:vAlign w:val="center"/>
          </w:tcPr>
          <w:p>
            <w:pPr>
              <w:pStyle w:val="133"/>
              <w:spacing w:line="560" w:lineRule="exact"/>
              <w:jc w:val="center"/>
              <w:rPr>
                <w:rFonts w:ascii="仿宋_GB2312" w:eastAsia="仿宋_GB2312"/>
                <w:b/>
                <w:sz w:val="30"/>
                <w:szCs w:val="30"/>
              </w:rPr>
            </w:pPr>
            <w:r>
              <w:rPr>
                <w:rFonts w:hint="eastAsia" w:ascii="仿宋_GB2312" w:eastAsia="仿宋_GB2312"/>
                <w:b/>
                <w:sz w:val="30"/>
                <w:szCs w:val="30"/>
              </w:rPr>
              <w:t>序号</w:t>
            </w:r>
          </w:p>
        </w:tc>
        <w:tc>
          <w:tcPr>
            <w:tcW w:w="1560" w:type="dxa"/>
            <w:vAlign w:val="center"/>
          </w:tcPr>
          <w:p>
            <w:pPr>
              <w:pStyle w:val="133"/>
              <w:spacing w:line="560" w:lineRule="exact"/>
              <w:jc w:val="center"/>
              <w:rPr>
                <w:rFonts w:ascii="仿宋_GB2312" w:eastAsia="仿宋_GB2312"/>
                <w:b/>
                <w:sz w:val="30"/>
                <w:szCs w:val="30"/>
              </w:rPr>
            </w:pPr>
            <w:r>
              <w:rPr>
                <w:rFonts w:hint="eastAsia" w:ascii="仿宋_GB2312" w:eastAsia="仿宋_GB2312"/>
                <w:b/>
                <w:sz w:val="30"/>
                <w:szCs w:val="30"/>
              </w:rPr>
              <w:t>产品名称</w:t>
            </w:r>
          </w:p>
        </w:tc>
        <w:tc>
          <w:tcPr>
            <w:tcW w:w="1560" w:type="dxa"/>
            <w:vAlign w:val="center"/>
          </w:tcPr>
          <w:p>
            <w:pPr>
              <w:pStyle w:val="133"/>
              <w:spacing w:line="560" w:lineRule="exact"/>
              <w:jc w:val="center"/>
              <w:rPr>
                <w:rFonts w:ascii="仿宋_GB2312" w:eastAsia="仿宋_GB2312"/>
                <w:b/>
                <w:sz w:val="30"/>
                <w:szCs w:val="30"/>
              </w:rPr>
            </w:pPr>
            <w:r>
              <w:rPr>
                <w:rFonts w:hint="eastAsia" w:ascii="仿宋_GB2312" w:eastAsia="仿宋_GB2312"/>
                <w:b/>
                <w:sz w:val="30"/>
                <w:szCs w:val="30"/>
              </w:rPr>
              <w:t>品牌型号</w:t>
            </w:r>
          </w:p>
        </w:tc>
        <w:tc>
          <w:tcPr>
            <w:tcW w:w="1560" w:type="dxa"/>
            <w:vAlign w:val="center"/>
          </w:tcPr>
          <w:p>
            <w:pPr>
              <w:pStyle w:val="133"/>
              <w:spacing w:line="560" w:lineRule="exact"/>
              <w:jc w:val="center"/>
              <w:rPr>
                <w:rFonts w:ascii="仿宋_GB2312" w:eastAsia="仿宋_GB2312"/>
                <w:b/>
                <w:sz w:val="30"/>
                <w:szCs w:val="30"/>
              </w:rPr>
            </w:pPr>
            <w:r>
              <w:rPr>
                <w:rFonts w:hint="eastAsia" w:ascii="仿宋_GB2312" w:eastAsia="仿宋_GB2312"/>
                <w:b/>
                <w:sz w:val="30"/>
                <w:szCs w:val="30"/>
              </w:rPr>
              <w:t>单位</w:t>
            </w:r>
          </w:p>
        </w:tc>
        <w:tc>
          <w:tcPr>
            <w:tcW w:w="850" w:type="dxa"/>
            <w:vAlign w:val="center"/>
          </w:tcPr>
          <w:p>
            <w:pPr>
              <w:pStyle w:val="133"/>
              <w:spacing w:line="560" w:lineRule="exact"/>
              <w:jc w:val="center"/>
              <w:rPr>
                <w:rFonts w:ascii="仿宋_GB2312" w:eastAsia="仿宋_GB2312"/>
                <w:b/>
                <w:sz w:val="30"/>
                <w:szCs w:val="30"/>
              </w:rPr>
            </w:pPr>
            <w:r>
              <w:rPr>
                <w:rFonts w:hint="eastAsia" w:ascii="仿宋_GB2312" w:eastAsia="仿宋_GB2312"/>
                <w:b/>
                <w:sz w:val="30"/>
                <w:szCs w:val="30"/>
              </w:rPr>
              <w:t>数量</w:t>
            </w:r>
          </w:p>
        </w:tc>
        <w:tc>
          <w:tcPr>
            <w:tcW w:w="1134" w:type="dxa"/>
            <w:vAlign w:val="center"/>
          </w:tcPr>
          <w:p>
            <w:pPr>
              <w:pStyle w:val="133"/>
              <w:spacing w:line="560" w:lineRule="exact"/>
              <w:jc w:val="center"/>
              <w:rPr>
                <w:rFonts w:ascii="仿宋_GB2312" w:eastAsia="仿宋_GB2312"/>
                <w:b/>
                <w:sz w:val="30"/>
                <w:szCs w:val="30"/>
              </w:rPr>
            </w:pPr>
            <w:r>
              <w:rPr>
                <w:rFonts w:hint="eastAsia" w:ascii="仿宋_GB2312" w:eastAsia="仿宋_GB2312"/>
                <w:b/>
                <w:sz w:val="30"/>
                <w:szCs w:val="30"/>
              </w:rPr>
              <w:t>不含税单价</w:t>
            </w:r>
          </w:p>
        </w:tc>
        <w:tc>
          <w:tcPr>
            <w:tcW w:w="921" w:type="dxa"/>
            <w:vAlign w:val="center"/>
          </w:tcPr>
          <w:p>
            <w:pPr>
              <w:pStyle w:val="133"/>
              <w:spacing w:line="560" w:lineRule="exact"/>
              <w:jc w:val="center"/>
              <w:rPr>
                <w:rFonts w:ascii="仿宋_GB2312" w:eastAsia="仿宋_GB2312"/>
                <w:b/>
                <w:sz w:val="30"/>
                <w:szCs w:val="30"/>
              </w:rPr>
            </w:pPr>
            <w:r>
              <w:rPr>
                <w:rFonts w:hint="eastAsia" w:ascii="仿宋_GB2312" w:eastAsia="仿宋_GB2312"/>
                <w:b/>
                <w:sz w:val="30"/>
                <w:szCs w:val="30"/>
              </w:rPr>
              <w:t>税率</w:t>
            </w:r>
          </w:p>
        </w:tc>
        <w:tc>
          <w:tcPr>
            <w:tcW w:w="825" w:type="dxa"/>
            <w:vAlign w:val="center"/>
          </w:tcPr>
          <w:p>
            <w:pPr>
              <w:pStyle w:val="133"/>
              <w:spacing w:line="560" w:lineRule="exact"/>
              <w:jc w:val="center"/>
              <w:rPr>
                <w:rFonts w:ascii="仿宋_GB2312" w:eastAsia="仿宋_GB2312"/>
                <w:b/>
                <w:sz w:val="30"/>
                <w:szCs w:val="30"/>
              </w:rPr>
            </w:pPr>
            <w:r>
              <w:rPr>
                <w:rFonts w:hint="eastAsia" w:ascii="仿宋_GB2312" w:eastAsia="仿宋_GB2312"/>
                <w:b/>
                <w:sz w:val="30"/>
                <w:szCs w:val="30"/>
              </w:rPr>
              <w:t>含税单价</w:t>
            </w:r>
          </w:p>
        </w:tc>
        <w:tc>
          <w:tcPr>
            <w:tcW w:w="825" w:type="dxa"/>
          </w:tcPr>
          <w:p>
            <w:pPr>
              <w:pStyle w:val="133"/>
              <w:spacing w:line="560" w:lineRule="exact"/>
              <w:jc w:val="center"/>
              <w:rPr>
                <w:rFonts w:ascii="仿宋_GB2312" w:eastAsia="仿宋_GB2312"/>
                <w:b/>
                <w:sz w:val="30"/>
                <w:szCs w:val="30"/>
              </w:rPr>
            </w:pPr>
            <w:r>
              <w:rPr>
                <w:rFonts w:hint="eastAsia" w:ascii="仿宋_GB2312" w:eastAsia="仿宋_GB2312"/>
                <w:b/>
                <w:sz w:val="30"/>
                <w:szCs w:val="30"/>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530" w:type="dxa"/>
            <w:vAlign w:val="center"/>
          </w:tcPr>
          <w:p>
            <w:pPr>
              <w:pStyle w:val="133"/>
              <w:spacing w:line="560" w:lineRule="exact"/>
              <w:jc w:val="center"/>
              <w:rPr>
                <w:rFonts w:ascii="仿宋_GB2312" w:eastAsia="仿宋_GB2312"/>
                <w:sz w:val="24"/>
                <w:szCs w:val="24"/>
              </w:rPr>
            </w:pPr>
          </w:p>
        </w:tc>
        <w:tc>
          <w:tcPr>
            <w:tcW w:w="1560" w:type="dxa"/>
            <w:vAlign w:val="center"/>
          </w:tcPr>
          <w:p>
            <w:pPr>
              <w:pStyle w:val="133"/>
              <w:spacing w:line="560" w:lineRule="exact"/>
              <w:jc w:val="center"/>
              <w:rPr>
                <w:rFonts w:ascii="仿宋_GB2312" w:eastAsia="仿宋_GB2312"/>
                <w:sz w:val="24"/>
                <w:szCs w:val="24"/>
              </w:rPr>
            </w:pPr>
          </w:p>
        </w:tc>
        <w:tc>
          <w:tcPr>
            <w:tcW w:w="1560" w:type="dxa"/>
          </w:tcPr>
          <w:p>
            <w:pPr>
              <w:pStyle w:val="133"/>
              <w:spacing w:line="560" w:lineRule="exact"/>
              <w:jc w:val="center"/>
              <w:rPr>
                <w:rFonts w:ascii="仿宋_GB2312" w:hAnsi="宋体" w:eastAsia="仿宋_GB2312"/>
                <w:sz w:val="24"/>
                <w:szCs w:val="24"/>
              </w:rPr>
            </w:pPr>
          </w:p>
        </w:tc>
        <w:tc>
          <w:tcPr>
            <w:tcW w:w="1560" w:type="dxa"/>
            <w:vAlign w:val="center"/>
          </w:tcPr>
          <w:p>
            <w:pPr>
              <w:pStyle w:val="133"/>
              <w:spacing w:line="560" w:lineRule="exact"/>
              <w:jc w:val="center"/>
              <w:rPr>
                <w:rFonts w:ascii="仿宋_GB2312" w:hAnsi="宋体" w:eastAsia="仿宋_GB2312"/>
                <w:sz w:val="24"/>
                <w:szCs w:val="24"/>
              </w:rPr>
            </w:pPr>
          </w:p>
        </w:tc>
        <w:tc>
          <w:tcPr>
            <w:tcW w:w="850" w:type="dxa"/>
            <w:vAlign w:val="center"/>
          </w:tcPr>
          <w:p>
            <w:pPr>
              <w:pStyle w:val="133"/>
              <w:spacing w:line="560" w:lineRule="exact"/>
              <w:jc w:val="center"/>
              <w:rPr>
                <w:rFonts w:ascii="仿宋_GB2312" w:eastAsia="仿宋_GB2312"/>
                <w:sz w:val="24"/>
                <w:szCs w:val="24"/>
              </w:rPr>
            </w:pPr>
          </w:p>
        </w:tc>
        <w:tc>
          <w:tcPr>
            <w:tcW w:w="1134" w:type="dxa"/>
            <w:vAlign w:val="center"/>
          </w:tcPr>
          <w:p>
            <w:pPr>
              <w:pStyle w:val="133"/>
              <w:spacing w:line="560" w:lineRule="exact"/>
              <w:ind w:firstLine="120" w:firstLineChars="50"/>
              <w:jc w:val="center"/>
              <w:rPr>
                <w:rFonts w:ascii="仿宋_GB2312" w:eastAsia="仿宋_GB2312"/>
                <w:sz w:val="24"/>
                <w:szCs w:val="24"/>
              </w:rPr>
            </w:pPr>
          </w:p>
        </w:tc>
        <w:tc>
          <w:tcPr>
            <w:tcW w:w="921" w:type="dxa"/>
            <w:vAlign w:val="center"/>
          </w:tcPr>
          <w:p>
            <w:pPr>
              <w:pStyle w:val="133"/>
              <w:spacing w:line="560" w:lineRule="exact"/>
              <w:jc w:val="center"/>
              <w:rPr>
                <w:rFonts w:ascii="仿宋_GB2312" w:eastAsia="仿宋_GB2312"/>
                <w:sz w:val="24"/>
                <w:szCs w:val="24"/>
              </w:rPr>
            </w:pPr>
          </w:p>
        </w:tc>
        <w:tc>
          <w:tcPr>
            <w:tcW w:w="825" w:type="dxa"/>
            <w:vAlign w:val="center"/>
          </w:tcPr>
          <w:p>
            <w:pPr>
              <w:pStyle w:val="133"/>
              <w:spacing w:line="560" w:lineRule="exact"/>
              <w:ind w:firstLine="120" w:firstLineChars="50"/>
              <w:rPr>
                <w:rFonts w:ascii="仿宋_GB2312" w:eastAsia="仿宋_GB2312"/>
                <w:sz w:val="24"/>
                <w:szCs w:val="24"/>
              </w:rPr>
            </w:pPr>
          </w:p>
        </w:tc>
        <w:tc>
          <w:tcPr>
            <w:tcW w:w="825" w:type="dxa"/>
          </w:tcPr>
          <w:p>
            <w:pPr>
              <w:pStyle w:val="133"/>
              <w:spacing w:line="560" w:lineRule="exact"/>
              <w:ind w:firstLine="120" w:firstLineChars="5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Align w:val="center"/>
          </w:tcPr>
          <w:p>
            <w:pPr>
              <w:pStyle w:val="133"/>
              <w:spacing w:line="560" w:lineRule="exact"/>
              <w:jc w:val="center"/>
              <w:rPr>
                <w:rFonts w:ascii="仿宋_GB2312" w:eastAsia="仿宋_GB2312"/>
                <w:sz w:val="24"/>
                <w:szCs w:val="24"/>
              </w:rPr>
            </w:pPr>
            <w:r>
              <w:rPr>
                <w:rFonts w:hint="eastAsia" w:ascii="仿宋_GB2312" w:eastAsia="仿宋_GB2312"/>
                <w:sz w:val="24"/>
                <w:szCs w:val="24"/>
              </w:rPr>
              <w:t>合计</w:t>
            </w:r>
          </w:p>
        </w:tc>
        <w:tc>
          <w:tcPr>
            <w:tcW w:w="9235" w:type="dxa"/>
            <w:gridSpan w:val="8"/>
          </w:tcPr>
          <w:p>
            <w:pPr>
              <w:pStyle w:val="133"/>
              <w:spacing w:line="560" w:lineRule="exact"/>
              <w:jc w:val="right"/>
              <w:rPr>
                <w:rFonts w:ascii="仿宋_GB2312" w:eastAsia="仿宋_GB2312"/>
                <w:sz w:val="24"/>
                <w:szCs w:val="24"/>
              </w:rPr>
            </w:pPr>
          </w:p>
        </w:tc>
      </w:tr>
    </w:tbl>
    <w:p>
      <w:pPr>
        <w:widowControl/>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30" w:lineRule="atLeast"/>
        <w:ind w:firstLine="602" w:firstLineChars="200"/>
        <w:jc w:val="left"/>
        <w:rPr>
          <w:rFonts w:ascii="仿宋_GB2312" w:hAnsi="Arial" w:eastAsia="仿宋_GB2312" w:cs="Arial"/>
          <w:color w:val="000000"/>
          <w:kern w:val="0"/>
          <w:sz w:val="30"/>
          <w:szCs w:val="30"/>
        </w:rPr>
      </w:pPr>
      <w:r>
        <w:rPr>
          <w:rFonts w:hint="eastAsia" w:ascii="仿宋_GB2312" w:hAnsi="仿宋" w:eastAsia="仿宋_GB2312"/>
          <w:b/>
          <w:sz w:val="30"/>
          <w:szCs w:val="30"/>
        </w:rPr>
        <w:t>备注：1、</w:t>
      </w:r>
      <w:r>
        <w:rPr>
          <w:rFonts w:hint="eastAsia" w:ascii="仿宋_GB2312" w:hAnsi="Arial" w:eastAsia="仿宋_GB2312" w:cs="Arial"/>
          <w:color w:val="000000"/>
          <w:kern w:val="0"/>
          <w:sz w:val="30"/>
          <w:szCs w:val="30"/>
        </w:rPr>
        <w:t>在合同有效期限内，若因国家税收政策调整而引起的增值税税率变化的，应按照国家税收政策调整，合同金额变更为原合同不含增值税货物价格与调整后税率计算税额的合计金额。</w:t>
      </w:r>
    </w:p>
    <w:p>
      <w:pPr>
        <w:adjustRightInd w:val="0"/>
        <w:snapToGrid w:val="0"/>
        <w:spacing w:line="560" w:lineRule="exact"/>
        <w:ind w:firstLine="602"/>
        <w:rPr>
          <w:rFonts w:ascii="仿宋_GB2312" w:hAnsi="仿宋" w:eastAsia="仿宋_GB2312"/>
          <w:b/>
          <w:sz w:val="30"/>
          <w:szCs w:val="30"/>
        </w:rPr>
      </w:pP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二、合同金额</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本合同金额为固定总价合同，合同金额为（大写）：人民币    ，（小写）</w:t>
      </w:r>
      <w:r>
        <w:rPr>
          <w:rFonts w:ascii="Arial" w:hAnsi="Arial" w:eastAsia="仿宋_GB2312" w:cs="Arial"/>
          <w:sz w:val="30"/>
          <w:szCs w:val="30"/>
        </w:rPr>
        <w:t>¥</w:t>
      </w:r>
      <w:r>
        <w:rPr>
          <w:rFonts w:hint="eastAsia" w:ascii="仿宋_GB2312" w:hAnsi="仿宋" w:eastAsia="仿宋_GB2312"/>
          <w:sz w:val="30"/>
          <w:szCs w:val="30"/>
        </w:rPr>
        <w:t>。本合同价为杭州萧山国际机场内或义乌机场内交货价，含产品价格、运输费、包装费、保险费、税费等所有费用。甲方不再承担其他任何费用。</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1.乙方应在交付合同产品时同时向甲方提供使用产品的有关技术资料。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六、转包或分包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产品及其安装、调试等服务，必须由乙方直接供应；除非得到甲方的书面同意，乙方不得将本合同项下的产品或服务的全部或部分分包、转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2.如有未经甲方书面同意的转让、转包和分包行为，甲方有权解除合同，并有权要求乙方承担合同总金额【10%】的违约金。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七、产品包装、发运及运输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乙方应在产品发运前对其按满足运输距离、防潮、防震、防锈和防破损装卸等要求进行包装，以保证产品安全运达甲方指定地点。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乙方在产品发运手续办理完毕后【24】小时内必须书面通知甲方，以便甲方准备接货。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产品在本合同规定的交货地点交付甲方前发生的一切风险包括产品运输风险均由乙方承担。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交货期：合同签订之日起30日历天内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交货方式：乙方送货上门</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交货地点：杭州萧山国际机场内或义乌机场内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九、安装与验收</w:t>
      </w:r>
    </w:p>
    <w:p>
      <w:pPr>
        <w:pStyle w:val="140"/>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1.</w:t>
      </w:r>
      <w:r>
        <w:rPr>
          <w:rFonts w:hint="eastAsia" w:ascii="仿宋_GB2312" w:hAnsi="宋体" w:eastAsia="仿宋_GB2312"/>
          <w:sz w:val="30"/>
          <w:szCs w:val="30"/>
        </w:rPr>
        <w:t>甲方对乙方交付的货物依据甲方要求和国家有关质量标准进行现场初步验收，产品外观、数量、品种、规格和说明书等资料符合甲方要求的，视为初步验收合格，给予签收，初步验收不合格的不予签收并在到货之日起【五】日内以书面或电话形式向乙方提出异议。乙方在甲方初步验收完毕后，负责在【七】日内完成现场安装、调试和试运行，确保设备正常运行。安装、调试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五】日内以书面方式向乙方提出相关异议。</w:t>
      </w:r>
    </w:p>
    <w:p>
      <w:pPr>
        <w:pStyle w:val="140"/>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w:t>
      </w:r>
      <w:r>
        <w:rPr>
          <w:rFonts w:hint="eastAsia" w:ascii="仿宋_GB2312" w:hAnsi="宋体" w:eastAsia="仿宋_GB2312"/>
          <w:sz w:val="30"/>
          <w:szCs w:val="30"/>
        </w:rPr>
        <w:t>乙方交货前应对产品作出全面检查和对验收文件进行整理，并列出清单，作为甲方收货验收和使用的技术条件依据，乙方检验的结果应随货物交甲方。</w:t>
      </w:r>
    </w:p>
    <w:p>
      <w:pPr>
        <w:pStyle w:val="140"/>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3.</w:t>
      </w:r>
      <w:r>
        <w:rPr>
          <w:rFonts w:hint="eastAsia" w:ascii="仿宋_GB2312" w:hAnsi="宋体" w:eastAsia="仿宋_GB2312"/>
          <w:sz w:val="30"/>
          <w:szCs w:val="30"/>
        </w:rPr>
        <w:t>乙方应当在收到甲方前述第1款异议之日起【三十】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4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4.具体的验收要求：</w:t>
      </w:r>
    </w:p>
    <w:p>
      <w:pPr>
        <w:spacing w:line="560" w:lineRule="exact"/>
        <w:ind w:left="420" w:firstLine="420"/>
        <w:rPr>
          <w:rFonts w:ascii="仿宋_GB2312" w:hAnsi="宋体" w:eastAsia="仿宋_GB2312" w:cs="Times New Roman"/>
          <w:sz w:val="30"/>
          <w:szCs w:val="30"/>
        </w:rPr>
      </w:pPr>
      <w:r>
        <w:rPr>
          <w:rFonts w:hint="eastAsia" w:ascii="仿宋_GB2312" w:hAnsi="宋体" w:eastAsia="仿宋_GB2312" w:cs="Times New Roman"/>
          <w:sz w:val="30"/>
          <w:szCs w:val="30"/>
        </w:rPr>
        <w:t>无动力拖车经调试、试运行合格之日后，由甲方和有关专家按验收项目进行</w:t>
      </w:r>
      <w:r>
        <w:rPr>
          <w:rFonts w:hint="eastAsia" w:ascii="仿宋_GB2312" w:hAnsi="宋体" w:eastAsia="仿宋_GB2312"/>
          <w:sz w:val="30"/>
          <w:szCs w:val="30"/>
        </w:rPr>
        <w:t>终验收</w:t>
      </w:r>
      <w:r>
        <w:rPr>
          <w:rFonts w:hint="eastAsia" w:ascii="仿宋_GB2312" w:hAnsi="宋体" w:eastAsia="仿宋_GB2312" w:cs="Times New Roman"/>
          <w:sz w:val="30"/>
          <w:szCs w:val="30"/>
        </w:rPr>
        <w:t>。</w:t>
      </w:r>
    </w:p>
    <w:p>
      <w:pPr>
        <w:spacing w:line="560" w:lineRule="exact"/>
        <w:ind w:left="420" w:firstLine="420"/>
        <w:rPr>
          <w:rFonts w:ascii="仿宋_GB2312" w:hAnsi="宋体" w:eastAsia="仿宋_GB2312" w:cs="Times New Roman"/>
          <w:sz w:val="30"/>
          <w:szCs w:val="30"/>
        </w:rPr>
      </w:pPr>
      <w:r>
        <w:rPr>
          <w:rFonts w:hint="eastAsia" w:ascii="仿宋_GB2312" w:hAnsi="宋体" w:eastAsia="仿宋_GB2312" w:cs="Times New Roman"/>
          <w:sz w:val="30"/>
          <w:szCs w:val="30"/>
        </w:rPr>
        <w:t>乙方在投标时必须提供验收项目的具体内容，供甲方批准。</w:t>
      </w:r>
    </w:p>
    <w:p>
      <w:pPr>
        <w:spacing w:line="560" w:lineRule="exact"/>
        <w:ind w:left="420" w:firstLine="420"/>
        <w:rPr>
          <w:rFonts w:ascii="仿宋_GB2312" w:hAnsi="宋体" w:eastAsia="仿宋_GB2312" w:cs="Times New Roman"/>
          <w:sz w:val="30"/>
          <w:szCs w:val="30"/>
        </w:rPr>
      </w:pPr>
      <w:r>
        <w:rPr>
          <w:rFonts w:hint="eastAsia" w:ascii="仿宋_GB2312" w:hAnsi="宋体" w:eastAsia="仿宋_GB2312" w:cs="Times New Roman"/>
          <w:sz w:val="30"/>
          <w:szCs w:val="30"/>
        </w:rPr>
        <w:t>在产品移交甲方之前，乙方应负责无动力拖车的保护、保养及清洁。</w:t>
      </w:r>
    </w:p>
    <w:p>
      <w:pPr>
        <w:spacing w:line="560" w:lineRule="exact"/>
        <w:ind w:left="420" w:firstLine="420"/>
        <w:rPr>
          <w:rFonts w:ascii="仿宋_GB2312" w:hAnsi="宋体" w:eastAsia="仿宋_GB2312" w:cs="Times New Roman"/>
          <w:sz w:val="30"/>
          <w:szCs w:val="30"/>
        </w:rPr>
      </w:pPr>
      <w:r>
        <w:rPr>
          <w:rFonts w:hint="eastAsia" w:ascii="仿宋_GB2312" w:hAnsi="宋体" w:eastAsia="仿宋_GB2312" w:cs="Times New Roman"/>
          <w:sz w:val="30"/>
          <w:szCs w:val="30"/>
        </w:rPr>
        <w:t>验收合格条件：</w:t>
      </w:r>
    </w:p>
    <w:p>
      <w:pPr>
        <w:pStyle w:val="141"/>
        <w:numPr>
          <w:ilvl w:val="0"/>
          <w:numId w:val="37"/>
        </w:numPr>
        <w:spacing w:line="560" w:lineRule="exact"/>
        <w:ind w:firstLineChars="0"/>
        <w:rPr>
          <w:rFonts w:ascii="仿宋_GB2312" w:hAnsi="宋体" w:eastAsia="仿宋_GB2312" w:cs="Times New Roman"/>
          <w:sz w:val="30"/>
          <w:szCs w:val="30"/>
        </w:rPr>
      </w:pPr>
      <w:r>
        <w:rPr>
          <w:rFonts w:hint="eastAsia" w:ascii="仿宋_GB2312" w:hAnsi="宋体" w:eastAsia="仿宋_GB2312" w:cs="Times New Roman"/>
          <w:sz w:val="30"/>
          <w:szCs w:val="30"/>
        </w:rPr>
        <w:t>试运行时，各项性能指标满足技术标书要求；</w:t>
      </w:r>
    </w:p>
    <w:p>
      <w:pPr>
        <w:pStyle w:val="141"/>
        <w:numPr>
          <w:ilvl w:val="0"/>
          <w:numId w:val="37"/>
        </w:numPr>
        <w:spacing w:line="560" w:lineRule="exact"/>
        <w:ind w:firstLineChars="0"/>
        <w:rPr>
          <w:rFonts w:ascii="仿宋_GB2312" w:hAnsi="宋体" w:eastAsia="仿宋_GB2312" w:cs="Times New Roman"/>
          <w:sz w:val="30"/>
          <w:szCs w:val="30"/>
        </w:rPr>
      </w:pPr>
      <w:r>
        <w:rPr>
          <w:rFonts w:hint="eastAsia" w:ascii="仿宋_GB2312" w:hAnsi="宋体" w:eastAsia="仿宋_GB2312" w:cs="Times New Roman"/>
          <w:sz w:val="30"/>
          <w:szCs w:val="30"/>
        </w:rPr>
        <w:t>调试和试运行时出现的问题已被解决，并得到甲方认可；</w:t>
      </w:r>
    </w:p>
    <w:p>
      <w:pPr>
        <w:pStyle w:val="141"/>
        <w:numPr>
          <w:ilvl w:val="0"/>
          <w:numId w:val="37"/>
        </w:numPr>
        <w:spacing w:line="560" w:lineRule="exact"/>
        <w:ind w:firstLineChars="0"/>
        <w:rPr>
          <w:rFonts w:ascii="仿宋_GB2312" w:hAnsi="宋体" w:eastAsia="仿宋_GB2312" w:cs="Times New Roman"/>
          <w:sz w:val="30"/>
          <w:szCs w:val="30"/>
        </w:rPr>
      </w:pPr>
      <w:r>
        <w:rPr>
          <w:rFonts w:hint="eastAsia" w:ascii="仿宋_GB2312" w:hAnsi="宋体" w:eastAsia="仿宋_GB2312" w:cs="Times New Roman"/>
          <w:sz w:val="30"/>
          <w:szCs w:val="30"/>
        </w:rPr>
        <w:t>已提供了投标文件范围内的全部货物和资料。</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1、甲乙双方共同根据合同的要求对设备完成安装调试，并进行使用验收且最终项目验收合格后，甲方收到乙方开具的税率为13%的增值税专用发票后15个工作日内，向乙方支付合同总价95%的货款</w:t>
      </w:r>
      <w:r>
        <w:rPr>
          <w:rFonts w:hint="eastAsia" w:ascii="仿宋_GB2312" w:hAnsi="仿宋" w:eastAsia="仿宋_GB2312"/>
          <w:sz w:val="28"/>
          <w:szCs w:val="28"/>
          <w:u w:val="single"/>
        </w:rPr>
        <w:t xml:space="preserve">¥       元（人民币：                      </w:t>
      </w:r>
      <w:r>
        <w:rPr>
          <w:rFonts w:hint="eastAsia" w:ascii="仿宋_GB2312" w:hAnsi="仿宋" w:eastAsia="仿宋_GB2312"/>
          <w:sz w:val="28"/>
          <w:szCs w:val="28"/>
        </w:rPr>
        <w:t xml:space="preserve">     </w:t>
      </w:r>
      <w:r>
        <w:rPr>
          <w:rFonts w:hint="eastAsia" w:ascii="仿宋_GB2312" w:hAnsi="仿宋" w:eastAsia="仿宋_GB2312"/>
          <w:sz w:val="28"/>
          <w:szCs w:val="28"/>
          <w:u w:val="single"/>
        </w:rPr>
        <w:t>元整 ）</w:t>
      </w:r>
      <w:r>
        <w:rPr>
          <w:rFonts w:hint="eastAsia" w:ascii="仿宋_GB2312" w:hAnsi="仿宋" w:eastAsia="仿宋_GB2312"/>
          <w:sz w:val="28"/>
          <w:szCs w:val="28"/>
        </w:rPr>
        <w:t>。</w:t>
      </w:r>
    </w:p>
    <w:p>
      <w:pPr>
        <w:pStyle w:val="49"/>
        <w:spacing w:before="150" w:after="15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2、合同总价的5%合同款</w:t>
      </w:r>
      <w:r>
        <w:rPr>
          <w:rFonts w:hint="eastAsia" w:ascii="仿宋_GB2312" w:hAnsi="仿宋" w:eastAsia="仿宋_GB2312"/>
          <w:sz w:val="28"/>
          <w:szCs w:val="28"/>
          <w:u w:val="single"/>
        </w:rPr>
        <w:t>¥       元（人民币        元整）</w:t>
      </w:r>
      <w:r>
        <w:rPr>
          <w:rFonts w:hint="eastAsia" w:ascii="仿宋_GB2312" w:hAnsi="仿宋" w:eastAsia="仿宋_GB2312"/>
          <w:sz w:val="28"/>
          <w:szCs w:val="28"/>
        </w:rPr>
        <w:t>作为质量保证金。待质保期满后，由甲方确认其售后服务质量不存在任何违约情形后，一次性无息支付其质量保证金。</w:t>
      </w:r>
    </w:p>
    <w:p>
      <w:pPr>
        <w:pStyle w:val="49"/>
        <w:spacing w:before="150" w:after="150" w:line="560" w:lineRule="exact"/>
        <w:ind w:firstLine="602" w:firstLineChars="200"/>
        <w:rPr>
          <w:rFonts w:ascii="仿宋_GB2312" w:eastAsia="仿宋_GB2312"/>
          <w:b/>
          <w:color w:val="444444"/>
          <w:sz w:val="30"/>
          <w:szCs w:val="30"/>
          <w:lang w:val="zh-CN"/>
        </w:rPr>
      </w:pPr>
      <w:r>
        <w:rPr>
          <w:rFonts w:hint="eastAsia" w:ascii="仿宋_GB2312" w:eastAsia="仿宋_GB2312"/>
          <w:b/>
          <w:color w:val="444444"/>
          <w:sz w:val="30"/>
          <w:szCs w:val="30"/>
        </w:rPr>
        <w:t>十一、</w:t>
      </w:r>
      <w:r>
        <w:rPr>
          <w:rFonts w:hint="eastAsia" w:ascii="仿宋_GB2312" w:eastAsia="仿宋_GB2312"/>
          <w:b/>
          <w:color w:val="444444"/>
          <w:sz w:val="30"/>
          <w:szCs w:val="30"/>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1．乙方应在收到甲方中标通知书后【15】日内，向甲方支付合同总价的【10% 】作为履约保证金。如果逾期未缴纳，甲方有权解除本合同，并要求乙方承担由此给甲方造成的损失。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30"/>
          <w:szCs w:val="30"/>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15】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十二、税费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本合同执行中相关的一切税费均由乙方负担。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十三、免费质保期及服务内容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乙方保证其所供应的产品符合相关产品质量标准以及本合同约定，不存在任何质量瑕疵或因质量瑕疵而导致的安全隐患，且为未经使用的全新产品。</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乙方应为产品提供【36】个月的免费质量保证期（“质保期”）(含工时费和零部件费)，时间自甲方最终签署安装验收合格报告之日起计算。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乙方应承担维修、退换该产品的直接费用（运输、保险、检验、中国人民银行公布的同期货款基准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乙方提供【24】小时售后服务，在接到报修通知后，维修人员应在【2】小时内赶到杭州萧山国际机场或应在【3】小时内赶义乌机场，并连续进行维修，直到产品恢复正常并由甲方验收认可。修复部分的质保期自修复之日起重新开始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6、若乙方提供的产品属于伪劣产品或者假冒产品或者存在欺诈甲方的任何情形，使得甲方遭受损失，乙方应向甲方承担违约责任，同时，甲方可依法寻求其他法律救济。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甲方无故逾期支付货款的,甲方应按逾期付款总额每日【0.1】%向乙方支付违约金。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2. 乙方逾期交付产品和本合同规定的文件资料的，或者未按甲方时间要求完成安装、调试和试运行并通过甲方终验收的，乙方应按合同总额每日【0.1】%向甲方支付违约金，由甲方从货款中扣除。逾期超过约定日期【15】个工作日的，甲方可解除本合同。乙方因逾期交货或因其他违约行为导致甲方解除合同的，乙方应返还甲方已支付的合同款项并向甲方支付合同总额【10】%的违约金，且全额没收乙方的履约保证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产品品种、型号、规格、技术参数、质量不符合合同规定及招标文件规定标准的，甲方有权拒收该产品，或要求乙方更换产品；乙方因更换产品而逾期交货的，按乙方逾期交货处理。乙方拒绝更换产品的，甲方有权单方面解除合同，不予支付相应货款，并没收全部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产品质量问题或者安装、调试和试运行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乙方不在约定期限内派人维修或维修质量验收不合格的，甲方可以委托他人修理，费用由乙方承担，甲方与第三方确认费用后可直接从质量保证金中扣除；质量保证金不足以抵扣的，继续向乙方追偿。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此产生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十五、不可抗力事件处理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不可抗力事件延续【30】天以上，双方应通过友好协商，确定是否继续履行合同；如双方协商无法就延期履行合同达成一致的，任何一方均有权终止本合同，双方互不承担赔偿或违约责任。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十六、争议解决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双方在执行合同中所发生或与解释本合同有关的一切争议，应通过协商解决。如协商不成，由甲方所在地的人民法院管辖审理。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十七、合同组成文件包含下列内容，且合同与招投标文件不一致时，解释顺序如下：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十八、合同生效及其它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合同经双方法定代表人或授权代表签字（包含签章）并加盖单位公章或者合同章之日起生效。</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本合同附件为本合同不可分割部分，与本合同具有同等法律效力。</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3.本合同未尽事宜，双方可签订补充协议予以执行；未达成补充协议的，遵照《合同法》及有关法律法规执行。</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4.本合同一式六份，甲执四份，乙方持二份，具有同等法律效力。</w:t>
      </w: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widowControl/>
        <w:jc w:val="left"/>
        <w:rPr>
          <w:rFonts w:ascii="仿宋_GB2312" w:hAnsi="仿宋" w:eastAsia="仿宋_GB2312"/>
          <w:sz w:val="30"/>
          <w:szCs w:val="30"/>
        </w:rPr>
      </w:pPr>
      <w:r>
        <w:rPr>
          <w:rFonts w:ascii="仿宋_GB2312" w:hAnsi="仿宋" w:eastAsia="仿宋_GB2312"/>
          <w:sz w:val="30"/>
          <w:szCs w:val="30"/>
        </w:rPr>
        <w:br w:type="page"/>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  乙方：</w:t>
      </w:r>
    </w:p>
    <w:p>
      <w:pPr>
        <w:adjustRightInd w:val="0"/>
        <w:snapToGrid w:val="0"/>
        <w:spacing w:line="560" w:lineRule="exact"/>
        <w:ind w:firstLine="900" w:firstLineChars="300"/>
        <w:rPr>
          <w:rFonts w:ascii="仿宋_GB2312" w:hAnsi="仿宋" w:eastAsia="仿宋_GB2312"/>
          <w:sz w:val="30"/>
          <w:szCs w:val="30"/>
        </w:rPr>
      </w:pPr>
    </w:p>
    <w:p>
      <w:pPr>
        <w:adjustRightInd w:val="0"/>
        <w:snapToGrid w:val="0"/>
        <w:spacing w:line="560" w:lineRule="exact"/>
        <w:ind w:left="4560" w:leftChars="400" w:hanging="3600" w:hangingChars="1200"/>
        <w:rPr>
          <w:rFonts w:ascii="仿宋_GB2312" w:hAnsi="仿宋" w:eastAsia="仿宋_GB2312"/>
          <w:sz w:val="30"/>
          <w:szCs w:val="30"/>
        </w:rPr>
      </w:pPr>
    </w:p>
    <w:p>
      <w:pPr>
        <w:adjustRightInd w:val="0"/>
        <w:snapToGrid w:val="0"/>
        <w:spacing w:line="560" w:lineRule="exact"/>
        <w:ind w:left="6750" w:hanging="6750"/>
        <w:rPr>
          <w:rFonts w:ascii="仿宋_GB2312" w:hAnsi="仿宋" w:eastAsia="仿宋_GB2312"/>
          <w:sz w:val="30"/>
          <w:szCs w:val="30"/>
        </w:rPr>
      </w:pPr>
      <w:r>
        <w:rPr>
          <w:rFonts w:hint="eastAsia" w:ascii="仿宋_GB2312" w:hAnsi="仿宋" w:eastAsia="仿宋_GB2312"/>
          <w:sz w:val="30"/>
          <w:szCs w:val="30"/>
        </w:rPr>
        <w:t>地址：        地址：</w:t>
      </w:r>
    </w:p>
    <w:p>
      <w:pPr>
        <w:adjustRightInd w:val="0"/>
        <w:snapToGrid w:val="0"/>
        <w:spacing w:line="560" w:lineRule="exact"/>
        <w:ind w:left="6750" w:hanging="6750"/>
        <w:rPr>
          <w:rFonts w:ascii="仿宋_GB2312" w:hAnsi="仿宋" w:eastAsia="仿宋_GB2312"/>
          <w:sz w:val="30"/>
          <w:szCs w:val="30"/>
        </w:rPr>
      </w:pPr>
    </w:p>
    <w:p>
      <w:pPr>
        <w:adjustRightInd w:val="0"/>
        <w:snapToGrid w:val="0"/>
        <w:spacing w:line="560" w:lineRule="exact"/>
        <w:ind w:left="6750" w:hanging="6750"/>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法定代表人：                     法定代表人：</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或                               或</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授权代表：                       授权代表：</w:t>
      </w:r>
    </w:p>
    <w:p>
      <w:pPr>
        <w:adjustRightInd w:val="0"/>
        <w:snapToGrid w:val="0"/>
        <w:spacing w:line="560" w:lineRule="exact"/>
        <w:rPr>
          <w:rFonts w:ascii="仿宋_GB2312" w:hAnsi="仿宋" w:eastAsia="仿宋_GB2312"/>
          <w:b/>
          <w:sz w:val="30"/>
          <w:szCs w:val="30"/>
        </w:rPr>
      </w:pPr>
      <w:r>
        <w:rPr>
          <w:rFonts w:hint="eastAsia" w:ascii="仿宋_GB2312" w:hAnsi="仿宋" w:eastAsia="仿宋_GB2312"/>
          <w:sz w:val="30"/>
          <w:szCs w:val="30"/>
        </w:rPr>
        <w:t xml:space="preserve">签字日期：                       签字日期： </w:t>
      </w:r>
    </w:p>
    <w:p>
      <w:pPr>
        <w:adjustRightInd w:val="0"/>
        <w:snapToGrid w:val="0"/>
        <w:spacing w:line="560" w:lineRule="exact"/>
        <w:ind w:firstLine="600" w:firstLineChars="200"/>
        <w:rPr>
          <w:rFonts w:ascii="仿宋_GB2312" w:hAnsi="仿宋" w:eastAsia="仿宋_GB2312"/>
          <w:b/>
          <w:sz w:val="30"/>
          <w:szCs w:val="30"/>
        </w:rPr>
      </w:pPr>
      <w:r>
        <w:rPr>
          <w:rFonts w:hint="eastAsia" w:ascii="仿宋_GB2312" w:hAnsi="仿宋" w:eastAsia="仿宋_GB2312"/>
          <w:sz w:val="30"/>
          <w:szCs w:val="30"/>
        </w:rPr>
        <w:t>年  月  日                      年  月  日</w:t>
      </w:r>
    </w:p>
    <w:p>
      <w:pPr>
        <w:spacing w:line="560" w:lineRule="exact"/>
        <w:ind w:firstLine="600" w:firstLineChars="200"/>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
    <w:p/>
    <w:p/>
    <w:p/>
    <w:p/>
    <w:p/>
    <w:p/>
    <w:p/>
    <w:p/>
    <w:p/>
    <w:p/>
    <w:p/>
    <w:p/>
    <w:p>
      <w:r>
        <w:rPr>
          <w:rFonts w:hint="eastAsia"/>
        </w:rPr>
        <w:t>附件1：浙江省机场集团有限公司廉洁自律承诺书</w:t>
      </w:r>
    </w:p>
    <w:p/>
    <w:p>
      <w:pPr>
        <w:pStyle w:val="124"/>
        <w:spacing w:line="360" w:lineRule="exact"/>
        <w:ind w:left="480" w:firstLine="723"/>
        <w:rPr>
          <w:rFonts w:ascii="宋体" w:hAnsi="宋体"/>
          <w:b/>
          <w:color w:val="auto"/>
          <w:sz w:val="36"/>
          <w:szCs w:val="36"/>
        </w:rPr>
      </w:pPr>
      <w:r>
        <w:rPr>
          <w:rFonts w:hint="eastAsia" w:ascii="宋体" w:hAnsi="宋体"/>
          <w:b/>
          <w:color w:val="auto"/>
          <w:sz w:val="36"/>
          <w:szCs w:val="36"/>
        </w:rPr>
        <w:t>浙江省机场集团有限公司廉洁自律承诺书</w:t>
      </w:r>
    </w:p>
    <w:p>
      <w:pPr>
        <w:pStyle w:val="129"/>
        <w:adjustRightInd w:val="0"/>
        <w:snapToGrid w:val="0"/>
        <w:ind w:firstLine="442"/>
        <w:jc w:val="left"/>
        <w:rPr>
          <w:rFonts w:ascii="宋体" w:hAnsi="宋体"/>
          <w:b/>
          <w:sz w:val="22"/>
          <w:szCs w:val="22"/>
        </w:rPr>
      </w:pPr>
    </w:p>
    <w:p>
      <w:pPr>
        <w:pStyle w:val="129"/>
        <w:adjustRightInd w:val="0"/>
        <w:snapToGrid w:val="0"/>
        <w:spacing w:line="560" w:lineRule="exact"/>
        <w:ind w:firstLine="0" w:firstLineChars="0"/>
        <w:jc w:val="left"/>
        <w:rPr>
          <w:rFonts w:ascii="宋体" w:hAnsi="宋体"/>
          <w:b/>
          <w:sz w:val="30"/>
          <w:szCs w:val="30"/>
        </w:rPr>
      </w:pPr>
      <w:r>
        <w:rPr>
          <w:rFonts w:hint="eastAsia" w:ascii="宋体" w:hAnsi="宋体"/>
          <w:b/>
          <w:sz w:val="36"/>
          <w:szCs w:val="36"/>
        </w:rPr>
        <w:t>浙江省机场集团有限公司</w:t>
      </w:r>
      <w:r>
        <w:rPr>
          <w:rFonts w:hint="eastAsia" w:ascii="宋体" w:hAnsi="宋体"/>
          <w:b/>
          <w:sz w:val="30"/>
          <w:szCs w:val="30"/>
        </w:rPr>
        <w:t>：</w:t>
      </w:r>
    </w:p>
    <w:p>
      <w:pPr>
        <w:pStyle w:val="129"/>
        <w:adjustRightInd w:val="0"/>
        <w:snapToGrid w:val="0"/>
        <w:spacing w:line="560" w:lineRule="exact"/>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9"/>
        <w:adjustRightInd w:val="0"/>
        <w:snapToGrid w:val="0"/>
        <w:spacing w:line="560" w:lineRule="exact"/>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9"/>
        <w:adjustRightInd w:val="0"/>
        <w:snapToGrid w:val="0"/>
        <w:spacing w:line="560" w:lineRule="exact"/>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9"/>
        <w:adjustRightInd w:val="0"/>
        <w:snapToGrid w:val="0"/>
        <w:spacing w:line="560" w:lineRule="exact"/>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29"/>
        <w:adjustRightInd w:val="0"/>
        <w:snapToGrid w:val="0"/>
        <w:spacing w:line="560" w:lineRule="exact"/>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29"/>
        <w:adjustRightInd w:val="0"/>
        <w:snapToGrid w:val="0"/>
        <w:spacing w:line="560" w:lineRule="exact"/>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9"/>
        <w:adjustRightInd w:val="0"/>
        <w:snapToGrid w:val="0"/>
        <w:spacing w:line="560" w:lineRule="exact"/>
        <w:ind w:firstLine="600"/>
        <w:jc w:val="left"/>
        <w:rPr>
          <w:rFonts w:ascii="宋体" w:hAnsi="宋体"/>
          <w:sz w:val="30"/>
          <w:szCs w:val="30"/>
        </w:rPr>
      </w:pPr>
      <w:r>
        <w:rPr>
          <w:rFonts w:hint="eastAsia" w:ascii="宋体" w:hAnsi="宋体"/>
          <w:sz w:val="30"/>
          <w:szCs w:val="30"/>
        </w:rPr>
        <w:t>六、严格遵守国家招标投标法、</w:t>
      </w:r>
      <w:bookmarkStart w:id="409" w:name="_Hlk10634692"/>
      <w:r>
        <w:rPr>
          <w:rFonts w:hint="eastAsia" w:ascii="宋体" w:hAnsi="宋体"/>
          <w:sz w:val="30"/>
          <w:szCs w:val="30"/>
        </w:rPr>
        <w:t>政府采购法、</w:t>
      </w:r>
      <w:bookmarkEnd w:id="409"/>
      <w:r>
        <w:rPr>
          <w:rFonts w:hint="eastAsia" w:ascii="宋体" w:hAnsi="宋体"/>
          <w:sz w:val="30"/>
          <w:szCs w:val="30"/>
        </w:rPr>
        <w:t>合同法等法律规定，诚实守信，合法经营，坚决杜绝各种违法违纪行为。</w:t>
      </w:r>
    </w:p>
    <w:p>
      <w:pPr>
        <w:pStyle w:val="129"/>
        <w:adjustRightInd w:val="0"/>
        <w:snapToGrid w:val="0"/>
        <w:spacing w:line="560" w:lineRule="exact"/>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29"/>
        <w:adjustRightInd w:val="0"/>
        <w:snapToGrid w:val="0"/>
        <w:spacing w:line="560" w:lineRule="exact"/>
        <w:ind w:firstLineChars="0"/>
        <w:jc w:val="left"/>
        <w:rPr>
          <w:rFonts w:ascii="宋体" w:hAnsi="宋体"/>
          <w:sz w:val="30"/>
          <w:szCs w:val="30"/>
        </w:rPr>
      </w:pPr>
      <w:r>
        <w:rPr>
          <w:rFonts w:hint="eastAsia" w:ascii="宋体" w:hAnsi="宋体"/>
          <w:sz w:val="30"/>
          <w:szCs w:val="30"/>
        </w:rPr>
        <w:t>八、如违反上述廉洁自律承诺，由此引起的相应损失均由我单位承担，且贵公司有权：</w:t>
      </w:r>
    </w:p>
    <w:p>
      <w:pPr>
        <w:pStyle w:val="129"/>
        <w:numPr>
          <w:ilvl w:val="0"/>
          <w:numId w:val="38"/>
        </w:numPr>
        <w:adjustRightInd w:val="0"/>
        <w:snapToGrid w:val="0"/>
        <w:spacing w:line="560" w:lineRule="exact"/>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29"/>
        <w:numPr>
          <w:ilvl w:val="0"/>
          <w:numId w:val="38"/>
        </w:numPr>
        <w:adjustRightInd w:val="0"/>
        <w:snapToGrid w:val="0"/>
        <w:spacing w:line="560" w:lineRule="exact"/>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29"/>
        <w:numPr>
          <w:ilvl w:val="0"/>
          <w:numId w:val="38"/>
        </w:numPr>
        <w:adjustRightInd w:val="0"/>
        <w:snapToGrid w:val="0"/>
        <w:spacing w:line="560" w:lineRule="exact"/>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29"/>
        <w:adjustRightInd w:val="0"/>
        <w:snapToGrid w:val="0"/>
        <w:spacing w:line="560" w:lineRule="exact"/>
        <w:ind w:firstLine="600"/>
        <w:jc w:val="left"/>
        <w:rPr>
          <w:rFonts w:ascii="宋体" w:hAnsi="宋体"/>
          <w:sz w:val="30"/>
          <w:szCs w:val="30"/>
        </w:rPr>
      </w:pPr>
    </w:p>
    <w:p>
      <w:pPr>
        <w:pStyle w:val="129"/>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承诺人单位名称（盖章）：            </w:t>
      </w:r>
    </w:p>
    <w:p>
      <w:pPr>
        <w:pStyle w:val="129"/>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法定代表人 ：                    </w:t>
      </w:r>
    </w:p>
    <w:p>
      <w:pPr>
        <w:pStyle w:val="129"/>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或                            </w:t>
      </w:r>
    </w:p>
    <w:p>
      <w:pPr>
        <w:pStyle w:val="129"/>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委托代理人：                   </w:t>
      </w:r>
    </w:p>
    <w:p>
      <w:pPr>
        <w:pStyle w:val="129"/>
        <w:adjustRightInd w:val="0"/>
        <w:snapToGrid w:val="0"/>
        <w:spacing w:line="560" w:lineRule="exact"/>
        <w:ind w:firstLine="602"/>
        <w:jc w:val="left"/>
        <w:rPr>
          <w:rFonts w:ascii="宋体" w:hAnsi="宋体"/>
          <w:b/>
          <w:sz w:val="30"/>
          <w:szCs w:val="30"/>
        </w:rPr>
      </w:pPr>
    </w:p>
    <w:p>
      <w:pPr>
        <w:pStyle w:val="51"/>
        <w:spacing w:line="560" w:lineRule="exact"/>
        <w:ind w:left="480" w:firstLine="602"/>
        <w:rPr>
          <w:rFonts w:ascii="宋体" w:hAnsi="宋体" w:eastAsia="宋体"/>
          <w:b w:val="0"/>
          <w:sz w:val="30"/>
          <w:szCs w:val="30"/>
        </w:rPr>
      </w:pPr>
      <w:r>
        <w:rPr>
          <w:rFonts w:hint="eastAsia" w:ascii="宋体" w:hAnsi="宋体" w:eastAsia="宋体"/>
          <w:b w:val="0"/>
          <w:sz w:val="30"/>
          <w:szCs w:val="30"/>
        </w:rPr>
        <w:t>年    月     日</w:t>
      </w:r>
    </w:p>
    <w:p>
      <w:pPr>
        <w:rPr>
          <w:rFonts w:ascii="宋体" w:hAnsi="宋体"/>
        </w:rPr>
      </w:pPr>
    </w:p>
    <w:p/>
    <w:p/>
    <w:p/>
    <w:p/>
    <w:p/>
    <w:p/>
    <w:p/>
    <w:p/>
    <w:p/>
    <w:p/>
    <w:p/>
    <w:p/>
    <w:p/>
    <w:p/>
    <w:p/>
    <w:p/>
    <w:p/>
    <w:p/>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浙江省机场集团有限公司（包括其关联公司，以下合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（2）已经公开或已成为公众所知悉的常识性的资料，且该等公开并非因违反本承诺所致。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的商业秘密之日起，即能清楚地了解并自觉遵守其应尽的保密责任。若我方员工因任何原因未能履行本承诺所述的保密义务，则视为我方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bookmarkStart w:id="410" w:name="_Hlk10634806"/>
      <w:r>
        <w:rPr>
          <w:rFonts w:hint="eastAsia" w:ascii="仿宋_GB2312" w:hAnsi="仿宋_GB2312" w:eastAsia="仿宋_GB2312" w:cs="仿宋_GB2312"/>
          <w:sz w:val="28"/>
          <w:szCs w:val="28"/>
        </w:rPr>
        <w:t>，并提供相应书面证明</w:t>
      </w:r>
      <w:bookmarkEnd w:id="410"/>
      <w:r>
        <w:rPr>
          <w:rFonts w:hint="eastAsia" w:ascii="仿宋_GB2312" w:hAnsi="仿宋_GB2312" w:eastAsia="仿宋_GB2312" w:cs="仿宋_GB2312"/>
          <w:sz w:val="28"/>
          <w:szCs w:val="28"/>
        </w:rPr>
        <w:t>。</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w:t>
      </w:r>
      <w:bookmarkStart w:id="411" w:name="_Hlk10634818"/>
      <w:r>
        <w:rPr>
          <w:rFonts w:hint="eastAsia" w:ascii="仿宋_GB2312" w:hAnsi="仿宋_GB2312" w:eastAsia="仿宋_GB2312" w:cs="仿宋_GB2312"/>
          <w:sz w:val="28"/>
          <w:szCs w:val="28"/>
        </w:rPr>
        <w:t>收到该等指令之后</w:t>
      </w:r>
      <w:bookmarkEnd w:id="411"/>
      <w:r>
        <w:rPr>
          <w:rFonts w:hint="eastAsia" w:ascii="仿宋_GB2312" w:hAnsi="仿宋_GB2312" w:eastAsia="仿宋_GB2312" w:cs="仿宋_GB2312"/>
          <w:sz w:val="28"/>
          <w:szCs w:val="28"/>
        </w:rPr>
        <w:t>和透露</w:t>
      </w:r>
      <w:bookmarkStart w:id="412" w:name="_Hlk10634824"/>
      <w:r>
        <w:rPr>
          <w:rFonts w:hint="eastAsia" w:ascii="仿宋_GB2312" w:hAnsi="仿宋_GB2312" w:eastAsia="仿宋_GB2312" w:cs="仿宋_GB2312"/>
          <w:sz w:val="28"/>
          <w:szCs w:val="28"/>
        </w:rPr>
        <w:t>有关资料</w:t>
      </w:r>
      <w:bookmarkEnd w:id="412"/>
      <w:r>
        <w:rPr>
          <w:rFonts w:hint="eastAsia" w:ascii="仿宋_GB2312" w:hAnsi="仿宋_GB2312" w:eastAsia="仿宋_GB2312" w:cs="仿宋_GB2312"/>
          <w:sz w:val="28"/>
          <w:szCs w:val="28"/>
        </w:rPr>
        <w:t>之前</w:t>
      </w:r>
      <w:bookmarkStart w:id="413" w:name="_Hlk10634829"/>
      <w:r>
        <w:rPr>
          <w:rFonts w:hint="eastAsia" w:ascii="仿宋_GB2312" w:hAnsi="仿宋_GB2312" w:eastAsia="仿宋_GB2312" w:cs="仿宋_GB2312"/>
          <w:sz w:val="28"/>
          <w:szCs w:val="28"/>
        </w:rPr>
        <w:t>立即书面</w:t>
      </w:r>
      <w:bookmarkEnd w:id="413"/>
      <w:r>
        <w:rPr>
          <w:rFonts w:hint="eastAsia" w:ascii="仿宋_GB2312" w:hAnsi="仿宋_GB2312" w:eastAsia="仿宋_GB2312" w:cs="仿宋_GB2312"/>
          <w:sz w:val="28"/>
          <w:szCs w:val="28"/>
        </w:rPr>
        <w:t>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6、我方发生上述违约行为时，机场公司有权要求我方立即停止</w:t>
      </w:r>
      <w:bookmarkStart w:id="414" w:name="_Hlk10634849"/>
      <w:r>
        <w:rPr>
          <w:rFonts w:hint="eastAsia" w:ascii="仿宋_GB2312" w:hAnsi="仿宋_GB2312" w:eastAsia="仿宋_GB2312" w:cs="仿宋_GB2312"/>
          <w:sz w:val="28"/>
          <w:szCs w:val="28"/>
        </w:rPr>
        <w:t>所有违约、</w:t>
      </w:r>
      <w:bookmarkEnd w:id="414"/>
      <w:r>
        <w:rPr>
          <w:rFonts w:hint="eastAsia" w:ascii="仿宋_GB2312" w:hAnsi="仿宋_GB2312" w:eastAsia="仿宋_GB2312" w:cs="仿宋_GB2312"/>
          <w:sz w:val="28"/>
          <w:szCs w:val="28"/>
        </w:rPr>
        <w:t>侵权行为和进一步的对外泄露或滥用，并要求我方采取一切合理的补救措施，并有权终止我方</w:t>
      </w:r>
      <w:bookmarkStart w:id="415" w:name="_Hlk10634867"/>
      <w:r>
        <w:rPr>
          <w:rFonts w:hint="eastAsia" w:ascii="仿宋_GB2312" w:hAnsi="仿宋_GB2312" w:eastAsia="仿宋_GB2312" w:cs="仿宋_GB2312"/>
          <w:sz w:val="28"/>
          <w:szCs w:val="28"/>
        </w:rPr>
        <w:t>与机场公司</w:t>
      </w:r>
      <w:bookmarkEnd w:id="415"/>
      <w:r>
        <w:rPr>
          <w:rFonts w:hint="eastAsia" w:ascii="仿宋_GB2312" w:hAnsi="仿宋_GB2312" w:eastAsia="仿宋_GB2312" w:cs="仿宋_GB2312"/>
          <w:sz w:val="28"/>
          <w:szCs w:val="28"/>
        </w:rPr>
        <w:t>正在执行的其他合同，而机场公司无需对此承担任何责任。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9、本承诺书适用中华人民共和国法律，如因履行本承诺书发生争议，则任何一方均有权向</w:t>
      </w:r>
      <w:bookmarkStart w:id="416" w:name="_Hlk10634915"/>
      <w:r>
        <w:rPr>
          <w:rFonts w:hint="eastAsia" w:ascii="仿宋_GB2312" w:hAnsi="仿宋_GB2312" w:eastAsia="仿宋_GB2312" w:cs="仿宋_GB2312"/>
          <w:sz w:val="28"/>
          <w:szCs w:val="28"/>
        </w:rPr>
        <w:t>浙江省机场集团有限</w:t>
      </w:r>
      <w:bookmarkEnd w:id="416"/>
      <w:r>
        <w:rPr>
          <w:rFonts w:hint="eastAsia" w:ascii="仿宋_GB2312" w:hAnsi="仿宋_GB2312" w:eastAsia="仿宋_GB2312" w:cs="仿宋_GB2312"/>
          <w:sz w:val="28"/>
          <w:szCs w:val="28"/>
        </w:rPr>
        <w:t>公司所在地法院提起诉讼。</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bookmarkEnd w:id="405"/>
    <w:bookmarkEnd w:id="406"/>
    <w:p>
      <w:pPr>
        <w:pStyle w:val="124"/>
        <w:spacing w:line="360" w:lineRule="exact"/>
        <w:ind w:firstLine="0" w:firstLineChars="0"/>
        <w:jc w:val="center"/>
        <w:rPr>
          <w:rFonts w:ascii="Calibri" w:hAnsi="Calibri" w:eastAsia="黑体" w:cs="Calibri"/>
          <w:kern w:val="0"/>
          <w:sz w:val="32"/>
        </w:rPr>
      </w:pPr>
      <w:r>
        <w:rPr>
          <w:rFonts w:hint="eastAsia" w:ascii="Calibri" w:hAnsi="Calibri" w:eastAsia="黑体" w:cs="Calibri"/>
          <w:kern w:val="0"/>
          <w:sz w:val="32"/>
        </w:rPr>
        <w:t>第五章</w:t>
      </w:r>
      <w:r>
        <w:rPr>
          <w:rFonts w:ascii="Calibri" w:hAnsi="Calibri" w:eastAsia="黑体" w:cs="Calibri"/>
          <w:kern w:val="0"/>
          <w:sz w:val="32"/>
        </w:rPr>
        <w:t xml:space="preserve">  </w:t>
      </w:r>
      <w:r>
        <w:rPr>
          <w:rFonts w:hint="eastAsia" w:ascii="Calibri" w:hAnsi="Calibri" w:eastAsia="黑体" w:cs="Calibri"/>
          <w:kern w:val="0"/>
          <w:sz w:val="32"/>
        </w:rPr>
        <w:t>评标方法及标准</w:t>
      </w:r>
    </w:p>
    <w:p>
      <w:pPr>
        <w:pStyle w:val="31"/>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int="eastAsia"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31"/>
        <w:spacing w:line="360" w:lineRule="exact"/>
        <w:rPr>
          <w:rFonts w:hAnsi="宋体" w:cs="Calibri"/>
          <w:b/>
          <w:bCs/>
          <w:sz w:val="22"/>
          <w:szCs w:val="22"/>
        </w:rPr>
      </w:pPr>
      <w:r>
        <w:rPr>
          <w:rFonts w:hint="eastAsia" w:hAnsi="宋体" w:cs="Calibri"/>
          <w:b/>
          <w:bCs/>
          <w:sz w:val="22"/>
          <w:szCs w:val="22"/>
        </w:rPr>
        <w:t>二、评标组织</w:t>
      </w:r>
    </w:p>
    <w:p>
      <w:pPr>
        <w:pStyle w:val="3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评标工作由招标人依法组建的评标委员会（小组）负责。评标委员会成员为3人及以上单数，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int="eastAsia"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int="eastAsia" w:hAnsi="宋体" w:cs="Calibri"/>
          <w:b/>
          <w:sz w:val="22"/>
          <w:szCs w:val="22"/>
        </w:rPr>
        <w:t>3.1 符合性评审</w:t>
      </w:r>
    </w:p>
    <w:p>
      <w:pPr>
        <w:widowControl/>
        <w:tabs>
          <w:tab w:val="left" w:pos="709"/>
        </w:tabs>
        <w:snapToGrid w:val="0"/>
        <w:spacing w:line="360" w:lineRule="exact"/>
        <w:ind w:firstLine="444" w:firstLineChars="202"/>
        <w:rPr>
          <w:rFonts w:ascii="宋体" w:hAnsi="Cambria" w:cs="Calibri"/>
          <w:bCs/>
          <w:kern w:val="0"/>
          <w:sz w:val="22"/>
          <w:szCs w:val="22"/>
        </w:rPr>
      </w:pPr>
      <w:r>
        <w:rPr>
          <w:rFonts w:hint="eastAsia" w:ascii="宋体" w:hAnsi="宋体" w:cs="Calibri"/>
          <w:bCs/>
          <w:kern w:val="0"/>
          <w:sz w:val="22"/>
          <w:szCs w:val="22"/>
        </w:rPr>
        <w:t>3.1.1评标委员会应依照招标文件的要求和规定首先对投标人的投标资格和投标文件进行符合性审查，</w:t>
      </w:r>
      <w:r>
        <w:rPr>
          <w:rFonts w:hint="eastAsia" w:ascii="宋体" w:hAnsi="宋体" w:cs="Calibri"/>
          <w:b/>
          <w:kern w:val="0"/>
          <w:sz w:val="22"/>
          <w:szCs w:val="22"/>
        </w:rPr>
        <w:t>审查过程中评标委员会可以要求投标人提交下列审查项所需的有关证明和证件的原件，以便核验。</w:t>
      </w:r>
      <w:r>
        <w:rPr>
          <w:rFonts w:hint="eastAsia" w:ascii="宋体" w:hAnsi="宋体" w:cs="Calibri"/>
          <w:bCs/>
          <w:kern w:val="0"/>
          <w:sz w:val="22"/>
          <w:szCs w:val="22"/>
        </w:rPr>
        <w:t>投标文件如存在以下情况之一的，经评标委员会三分之二以上的成员认定，符合性审查不予通过，</w:t>
      </w:r>
      <w:r>
        <w:rPr>
          <w:rFonts w:hint="eastAsia" w:ascii="宋体" w:hAnsi="宋体" w:cs="Calibri"/>
          <w:b/>
          <w:bCs/>
          <w:kern w:val="0"/>
          <w:sz w:val="22"/>
          <w:szCs w:val="22"/>
        </w:rPr>
        <w:t>作否决投标处理，</w:t>
      </w:r>
      <w:r>
        <w:rPr>
          <w:rFonts w:hint="eastAsia" w:ascii="宋体" w:hAnsi="宋体" w:cs="Calibri"/>
          <w:bCs/>
          <w:kern w:val="0"/>
          <w:sz w:val="22"/>
          <w:szCs w:val="22"/>
        </w:rPr>
        <w:t>不再进行详细评审：</w:t>
      </w:r>
    </w:p>
    <w:p>
      <w:pPr>
        <w:spacing w:line="360" w:lineRule="exact"/>
        <w:ind w:firstLine="470" w:firstLineChars="214"/>
        <w:rPr>
          <w:rFonts w:ascii="宋体" w:cs="Calibri"/>
          <w:sz w:val="22"/>
          <w:szCs w:val="22"/>
        </w:rPr>
      </w:pPr>
      <w:r>
        <w:rPr>
          <w:rFonts w:hint="eastAsia" w:ascii="宋体" w:hAnsi="宋体" w:cs="Calibri"/>
          <w:sz w:val="22"/>
          <w:szCs w:val="22"/>
        </w:rPr>
        <w:t>1、</w:t>
      </w:r>
      <w:r>
        <w:rPr>
          <w:rFonts w:hint="eastAsia"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cs="Calibri"/>
          <w:sz w:val="22"/>
          <w:szCs w:val="22"/>
        </w:rPr>
      </w:pPr>
      <w:r>
        <w:rPr>
          <w:rFonts w:hint="eastAsia"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cs="Calibri"/>
          <w:sz w:val="22"/>
          <w:szCs w:val="22"/>
        </w:rPr>
      </w:pPr>
      <w:r>
        <w:rPr>
          <w:rFonts w:hint="eastAsia" w:ascii="宋体" w:hAnsi="宋体" w:cs="Calibri"/>
          <w:sz w:val="22"/>
          <w:szCs w:val="22"/>
        </w:rPr>
        <w:t>3、投标文件未按规定的格式填写，内容不全或关键字迹模糊、无法辨认的；</w:t>
      </w:r>
    </w:p>
    <w:p>
      <w:pPr>
        <w:spacing w:line="360" w:lineRule="exact"/>
        <w:ind w:firstLine="470" w:firstLineChars="214"/>
        <w:rPr>
          <w:rFonts w:ascii="宋体" w:cs="Calibri"/>
          <w:sz w:val="22"/>
          <w:szCs w:val="22"/>
        </w:rPr>
      </w:pPr>
      <w:r>
        <w:rPr>
          <w:rFonts w:hint="eastAsia"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cs="Calibri"/>
          <w:sz w:val="22"/>
          <w:szCs w:val="22"/>
        </w:rPr>
      </w:pPr>
      <w:r>
        <w:rPr>
          <w:rFonts w:hint="eastAsia" w:ascii="宋体" w:hAnsi="宋体" w:cs="Calibri"/>
          <w:sz w:val="22"/>
          <w:szCs w:val="22"/>
        </w:rPr>
        <w:t>5、供货期不满足招标文件要求的；</w:t>
      </w:r>
    </w:p>
    <w:p>
      <w:pPr>
        <w:spacing w:line="360" w:lineRule="exact"/>
        <w:ind w:firstLine="470" w:firstLineChars="214"/>
        <w:rPr>
          <w:rFonts w:ascii="宋体" w:cs="Calibri"/>
          <w:sz w:val="22"/>
          <w:szCs w:val="22"/>
        </w:rPr>
      </w:pPr>
      <w:r>
        <w:rPr>
          <w:rFonts w:hint="eastAsia" w:ascii="宋体" w:hAnsi="宋体" w:cs="Calibri"/>
          <w:sz w:val="22"/>
          <w:szCs w:val="22"/>
        </w:rPr>
        <w:t>6、不</w:t>
      </w:r>
      <w:r>
        <w:rPr>
          <w:rFonts w:hint="eastAsia" w:ascii="宋体" w:hAnsi="宋体" w:cs="Calibri"/>
          <w:kern w:val="0"/>
          <w:sz w:val="22"/>
          <w:szCs w:val="22"/>
        </w:rPr>
        <w:t>响应招标文件规定的实质性要求（包括具体条文前用</w:t>
      </w:r>
      <w:r>
        <w:rPr>
          <w:rFonts w:hint="eastAsia" w:ascii="宋体" w:cs="Calibri"/>
          <w:kern w:val="0"/>
          <w:sz w:val="22"/>
          <w:szCs w:val="22"/>
        </w:rPr>
        <w:t>“★”</w:t>
      </w:r>
      <w:r>
        <w:rPr>
          <w:rFonts w:hint="eastAsia" w:ascii="宋体" w:hAnsi="宋体" w:cs="Calibri"/>
          <w:kern w:val="0"/>
          <w:sz w:val="22"/>
          <w:szCs w:val="22"/>
        </w:rPr>
        <w:t>标示的）</w:t>
      </w:r>
    </w:p>
    <w:p>
      <w:pPr>
        <w:spacing w:line="360" w:lineRule="exact"/>
        <w:ind w:firstLine="470" w:firstLineChars="214"/>
        <w:rPr>
          <w:rFonts w:ascii="宋体" w:cs="Calibri"/>
          <w:sz w:val="22"/>
          <w:szCs w:val="22"/>
        </w:rPr>
      </w:pPr>
      <w:r>
        <w:rPr>
          <w:rFonts w:hint="eastAsia"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cs="Calibri"/>
          <w:sz w:val="22"/>
          <w:szCs w:val="22"/>
        </w:rPr>
      </w:pPr>
      <w:r>
        <w:rPr>
          <w:rFonts w:hint="eastAsia"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cs="Calibri"/>
          <w:sz w:val="22"/>
          <w:szCs w:val="22"/>
        </w:rPr>
      </w:pPr>
      <w:r>
        <w:rPr>
          <w:rFonts w:hint="eastAsia" w:ascii="宋体" w:hAnsi="宋体" w:cs="Calibri"/>
          <w:sz w:val="22"/>
          <w:szCs w:val="22"/>
        </w:rPr>
        <w:t>9、存在法律、法规、规章规定的其它无效投标情况的。</w:t>
      </w:r>
    </w:p>
    <w:p>
      <w:pPr>
        <w:widowControl/>
        <w:tabs>
          <w:tab w:val="left" w:pos="709"/>
        </w:tabs>
        <w:snapToGrid w:val="0"/>
        <w:spacing w:line="360" w:lineRule="exact"/>
        <w:ind w:firstLine="446" w:firstLineChars="202"/>
        <w:rPr>
          <w:rFonts w:ascii="宋体" w:cs="Calibri"/>
          <w:b/>
          <w:sz w:val="22"/>
          <w:szCs w:val="22"/>
        </w:rPr>
      </w:pPr>
      <w:r>
        <w:rPr>
          <w:rFonts w:hint="eastAsia"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31"/>
        <w:numPr>
          <w:ilvl w:val="0"/>
          <w:numId w:val="39"/>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31"/>
        <w:numPr>
          <w:ilvl w:val="0"/>
          <w:numId w:val="39"/>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int="eastAsia" w:hAnsi="宋体" w:cs="Calibri"/>
          <w:sz w:val="22"/>
          <w:szCs w:val="22"/>
        </w:rPr>
        <w:t>。</w:t>
      </w:r>
    </w:p>
    <w:p>
      <w:pPr>
        <w:pStyle w:val="3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int="eastAsia"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Cambria" w:cs="Times New Roman"/>
          <w:b/>
          <w:color w:val="000000"/>
          <w:sz w:val="22"/>
          <w:szCs w:val="22"/>
        </w:rPr>
      </w:pPr>
      <w:r>
        <w:rPr>
          <w:rFonts w:hint="eastAsia"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投标人的投标价等于评标基准价的得60分，每高于评标基准价1%的扣1分，每低于评标基准价1%的扣0.5分（不足1个百分点按插值法计算，小数点后保留二位，四舍五入，商务分最低得分为30分）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102"/>
        <w:gridCol w:w="793"/>
        <w:gridCol w:w="1901"/>
        <w:gridCol w:w="1743"/>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trPr>
        <w:tc>
          <w:tcPr>
            <w:tcW w:w="82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1"/>
              </w:rPr>
            </w:pPr>
            <w:r>
              <w:rPr>
                <w:rFonts w:hint="eastAsia" w:ascii="宋体" w:hAnsi="宋体" w:cs="Arial"/>
                <w:szCs w:val="21"/>
              </w:rPr>
              <w:t>序号</w:t>
            </w:r>
          </w:p>
        </w:tc>
        <w:tc>
          <w:tcPr>
            <w:tcW w:w="31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项           目</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满分</w:t>
            </w:r>
          </w:p>
        </w:tc>
        <w:tc>
          <w:tcPr>
            <w:tcW w:w="1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好</w:t>
            </w:r>
          </w:p>
        </w:tc>
        <w:tc>
          <w:tcPr>
            <w:tcW w:w="17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较好</w:t>
            </w:r>
          </w:p>
        </w:tc>
        <w:tc>
          <w:tcPr>
            <w:tcW w:w="12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1</w:t>
            </w:r>
          </w:p>
        </w:tc>
        <w:tc>
          <w:tcPr>
            <w:tcW w:w="3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highlight w:val="red"/>
              </w:rPr>
            </w:pPr>
            <w:r>
              <w:rPr>
                <w:rFonts w:hint="eastAsia" w:ascii="宋体" w:hAnsi="宋体" w:cs="宋体"/>
                <w:kern w:val="0"/>
                <w:szCs w:val="21"/>
              </w:rPr>
              <w:t>技术规格及基本功能符合性、先进性</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18</w:t>
            </w:r>
          </w:p>
        </w:tc>
        <w:tc>
          <w:tcPr>
            <w:tcW w:w="490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1"/>
              </w:rPr>
            </w:pPr>
            <w:r>
              <w:rPr>
                <w:rFonts w:hint="eastAsia" w:ascii="宋体" w:hAnsi="宋体" w:cs="宋体"/>
                <w:kern w:val="0"/>
                <w:szCs w:val="21"/>
              </w:rPr>
              <w:t>基本分值得10分，每条负偏离扣减1分，超过3条负偏离得0分；每一条正偏离加1分，*号技术条款正偏离加2分，最高加8分，带</w:t>
            </w:r>
            <w:r>
              <w:rPr>
                <w:rFonts w:hint="eastAsia" w:ascii="宋体" w:hAnsi="宋体"/>
                <w:szCs w:val="21"/>
                <w:u w:val="single"/>
              </w:rPr>
              <w:t>*技术</w:t>
            </w:r>
            <w:r>
              <w:rPr>
                <w:rFonts w:hint="eastAsia" w:ascii="宋体" w:hAnsi="宋体" w:cs="宋体"/>
                <w:kern w:val="0"/>
                <w:szCs w:val="21"/>
              </w:rPr>
              <w:t>条款一项不满足的得0分。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2</w:t>
            </w:r>
          </w:p>
        </w:tc>
        <w:tc>
          <w:tcPr>
            <w:tcW w:w="3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所投设备的制作工艺及所投设备的主要配件通用性</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10</w:t>
            </w:r>
          </w:p>
        </w:tc>
        <w:tc>
          <w:tcPr>
            <w:tcW w:w="490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评标委员会根据所投设备制作工艺及所投设备主要配件的通用性进行横向比较后打分。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3</w:t>
            </w:r>
          </w:p>
        </w:tc>
        <w:tc>
          <w:tcPr>
            <w:tcW w:w="31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kern w:val="0"/>
                <w:szCs w:val="21"/>
              </w:rPr>
            </w:pPr>
            <w:r>
              <w:rPr>
                <w:rFonts w:hint="eastAsia" w:ascii="宋体" w:hAnsi="宋体" w:cs="宋体"/>
                <w:kern w:val="0"/>
                <w:szCs w:val="21"/>
              </w:rPr>
              <w:t>关键部件价格</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4</w:t>
            </w:r>
          </w:p>
        </w:tc>
        <w:tc>
          <w:tcPr>
            <w:tcW w:w="490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1"/>
              </w:rPr>
            </w:pPr>
            <w:r>
              <w:rPr>
                <w:rFonts w:hint="eastAsia" w:ascii="宋体" w:hAnsi="宋体" w:cs="Arial"/>
                <w:szCs w:val="21"/>
              </w:rPr>
              <w:t>评标委员会根据所投设备X射线源，X射线控制器，探测器板，图形工作站价格进行横向比较后打分。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4</w:t>
            </w:r>
          </w:p>
        </w:tc>
        <w:tc>
          <w:tcPr>
            <w:tcW w:w="3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设备安全性、可靠性提示</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2</w:t>
            </w:r>
          </w:p>
        </w:tc>
        <w:tc>
          <w:tcPr>
            <w:tcW w:w="4909"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szCs w:val="21"/>
              </w:rPr>
            </w:pPr>
            <w:r>
              <w:rPr>
                <w:rFonts w:hint="eastAsia" w:ascii="宋体" w:hAnsi="宋体" w:cs="Arial"/>
                <w:szCs w:val="21"/>
              </w:rPr>
              <w:t>招标文件要求的各种标识标牌等清晰明确得1分，在投标文件中有标明张贴位置的得1分，否则不得分。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5</w:t>
            </w:r>
          </w:p>
        </w:tc>
        <w:tc>
          <w:tcPr>
            <w:tcW w:w="31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Arial"/>
                <w:szCs w:val="21"/>
              </w:rPr>
            </w:pPr>
            <w:r>
              <w:rPr>
                <w:rFonts w:hint="eastAsia" w:ascii="宋体" w:hAnsi="宋体" w:cs="宋体"/>
                <w:kern w:val="0"/>
                <w:szCs w:val="21"/>
              </w:rPr>
              <w:t>技术培训及售后服务承诺</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2</w:t>
            </w:r>
          </w:p>
        </w:tc>
        <w:tc>
          <w:tcPr>
            <w:tcW w:w="4909"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szCs w:val="21"/>
              </w:rPr>
            </w:pPr>
            <w:r>
              <w:rPr>
                <w:rFonts w:hint="eastAsia" w:ascii="宋体" w:hAnsi="宋体" w:cs="Arial"/>
                <w:szCs w:val="21"/>
              </w:rPr>
              <w:t>有专职的培训机构提供培训服务并提供详细的培训计划的得1分；符合招标文件要求的售后服务承诺的得1分。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6</w:t>
            </w:r>
          </w:p>
        </w:tc>
        <w:tc>
          <w:tcPr>
            <w:tcW w:w="310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kern w:val="0"/>
                <w:szCs w:val="21"/>
              </w:rPr>
            </w:pPr>
            <w:r>
              <w:rPr>
                <w:rFonts w:hint="eastAsia" w:ascii="宋体" w:hAnsi="宋体" w:cs="宋体"/>
                <w:kern w:val="0"/>
                <w:szCs w:val="21"/>
              </w:rPr>
              <w:t>本地化售后服务</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4</w:t>
            </w:r>
          </w:p>
        </w:tc>
        <w:tc>
          <w:tcPr>
            <w:tcW w:w="4909"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szCs w:val="21"/>
              </w:rPr>
            </w:pPr>
            <w:r>
              <w:rPr>
                <w:rFonts w:hint="eastAsia" w:ascii="宋体" w:hAnsi="宋体" w:cs="Arial"/>
                <w:szCs w:val="21"/>
              </w:rPr>
              <w:t>满足维保基本要求得1分，在杭州地区设立维修中心，并在2小时内到达杭州机场，3小时内到达义乌机场加2分，各提早30分钟加0.5分，本项最高得4分。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39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合计得分</w:t>
            </w:r>
          </w:p>
        </w:tc>
        <w:tc>
          <w:tcPr>
            <w:tcW w:w="570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40</w:t>
            </w:r>
          </w:p>
        </w:tc>
      </w:tr>
    </w:tbl>
    <w:p>
      <w:pPr>
        <w:pStyle w:val="31"/>
        <w:spacing w:line="360" w:lineRule="exact"/>
        <w:rPr>
          <w:rFonts w:hAnsi="宋体" w:cs="Calibri"/>
          <w:b/>
          <w:sz w:val="22"/>
          <w:szCs w:val="22"/>
        </w:rPr>
      </w:pPr>
      <w:r>
        <w:rPr>
          <w:rFonts w:hint="eastAsia"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3.4.1当有效投标文件大于等于二名时，评标委员会得分最高、次高的投标人为中标候选人（如果得分相同则按投标人报价从低到高顺序推荐为中标候选人，如果投标报价也相同，则抽签决定）。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3.4.3当有效投标文件只有一名时，则由评标委员会确定是否推荐为中标候选人。</w:t>
      </w:r>
    </w:p>
    <w:p>
      <w:pPr>
        <w:pStyle w:val="31"/>
        <w:spacing w:line="360" w:lineRule="exact"/>
        <w:rPr>
          <w:rFonts w:hAnsi="宋体" w:cs="Calibri"/>
          <w:b/>
          <w:sz w:val="22"/>
          <w:szCs w:val="22"/>
        </w:rPr>
      </w:pPr>
      <w:r>
        <w:rPr>
          <w:rFonts w:hint="eastAsia" w:hAnsi="宋体" w:cs="Calibri"/>
          <w:b/>
          <w:sz w:val="22"/>
          <w:szCs w:val="22"/>
        </w:rPr>
        <w:t>3.5评标报告</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int="eastAsia" w:hAnsi="宋体" w:cs="Calibri"/>
          <w:b/>
          <w:sz w:val="22"/>
          <w:szCs w:val="22"/>
        </w:rPr>
        <w:t>四、定标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4.4</w:t>
      </w:r>
      <w:r>
        <w:rPr>
          <w:rFonts w:hint="eastAsia" w:hAnsi="宋体" w:cs="Calibri"/>
          <w:b/>
          <w:sz w:val="22"/>
          <w:szCs w:val="22"/>
        </w:rPr>
        <w:t>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417" w:name="_Toc321925457"/>
      <w:r>
        <w:t>第</w:t>
      </w:r>
      <w:r>
        <w:rPr>
          <w:rFonts w:hint="eastAsia"/>
        </w:rPr>
        <w:t>六</w:t>
      </w:r>
      <w:r>
        <w:t>章投标文件格式</w:t>
      </w:r>
      <w:bookmarkEnd w:id="407"/>
      <w:bookmarkEnd w:id="417"/>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418" w:name="_Toc171421958"/>
      <w:r>
        <w:rPr>
          <w:rFonts w:cs="Calibri"/>
          <w:color w:val="000000"/>
        </w:rPr>
        <w:t>封面</w:t>
      </w:r>
      <w:bookmarkEnd w:id="41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浙江省机场集团有限公司采购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浙江省机场集团有限公司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w:t>
      </w:r>
      <w:r>
        <w:rPr>
          <w:rFonts w:hint="eastAsia" w:ascii="宋体" w:hAnsi="宋体"/>
          <w:sz w:val="22"/>
          <w:szCs w:val="22"/>
        </w:rPr>
        <w:t>浙江省机场集团有限公司</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，授权代表(全名、职务)经正式授权</w:t>
      </w:r>
      <w:r>
        <w:rPr>
          <w:rFonts w:hint="eastAsia" w:ascii="宋体" w:hAnsi="宋体"/>
          <w:sz w:val="22"/>
          <w:szCs w:val="22"/>
        </w:rPr>
        <w:t>，</w:t>
      </w:r>
      <w:r>
        <w:rPr>
          <w:rFonts w:ascii="宋体" w:hAnsi="宋体"/>
          <w:sz w:val="22"/>
          <w:szCs w:val="22"/>
        </w:rPr>
        <w:t>代表投标人(投标人名称、地址)递交下述文件正本一份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40"/>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(大写)(小写)。</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供货期：合同签订后日历天、投标品牌：</w:t>
      </w:r>
    </w:p>
    <w:p>
      <w:pPr>
        <w:numPr>
          <w:ilvl w:val="0"/>
          <w:numId w:val="4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4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4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4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4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4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p>
    <w:p>
      <w:pPr>
        <w:spacing w:after="120" w:afterLines="50" w:line="440" w:lineRule="exact"/>
        <w:rPr>
          <w:rFonts w:cs="Calibri"/>
          <w:color w:val="000000"/>
          <w:sz w:val="22"/>
          <w:szCs w:val="22"/>
          <w:u w:val="single"/>
        </w:rPr>
      </w:pPr>
      <w:r>
        <w:rPr>
          <w:rFonts w:cs="Calibri"/>
          <w:color w:val="000000"/>
          <w:sz w:val="22"/>
          <w:szCs w:val="22"/>
        </w:rPr>
        <w:t>单位性质：</w:t>
      </w:r>
    </w:p>
    <w:p>
      <w:pPr>
        <w:spacing w:after="120" w:afterLines="50" w:line="440" w:lineRule="exact"/>
        <w:rPr>
          <w:rFonts w:cs="Calibri"/>
          <w:color w:val="000000"/>
          <w:sz w:val="22"/>
          <w:szCs w:val="22"/>
          <w:u w:val="single"/>
        </w:rPr>
      </w:pPr>
      <w:r>
        <w:rPr>
          <w:rFonts w:cs="Calibri"/>
          <w:color w:val="000000"/>
          <w:sz w:val="22"/>
          <w:szCs w:val="22"/>
        </w:rPr>
        <w:t>地址：</w:t>
      </w:r>
    </w:p>
    <w:p>
      <w:pPr>
        <w:spacing w:after="120" w:afterLines="50" w:line="440" w:lineRule="exact"/>
        <w:rPr>
          <w:rFonts w:cs="Calibri"/>
          <w:color w:val="000000"/>
          <w:sz w:val="22"/>
          <w:szCs w:val="22"/>
          <w:u w:val="single"/>
        </w:rPr>
      </w:pPr>
      <w:r>
        <w:rPr>
          <w:rFonts w:cs="Calibri"/>
          <w:color w:val="000000"/>
          <w:sz w:val="22"/>
          <w:szCs w:val="22"/>
        </w:rPr>
        <w:t>成立时间：年月日</w:t>
      </w:r>
    </w:p>
    <w:p>
      <w:pPr>
        <w:spacing w:after="120" w:afterLines="50" w:line="440" w:lineRule="exact"/>
        <w:rPr>
          <w:rFonts w:cs="Calibri"/>
          <w:color w:val="000000"/>
          <w:sz w:val="22"/>
          <w:szCs w:val="22"/>
          <w:u w:val="single"/>
        </w:rPr>
      </w:pPr>
      <w:r>
        <w:rPr>
          <w:rFonts w:cs="Calibri"/>
          <w:color w:val="000000"/>
          <w:sz w:val="22"/>
          <w:szCs w:val="22"/>
        </w:rPr>
        <w:t>经营期限：</w:t>
      </w:r>
    </w:p>
    <w:p>
      <w:pPr>
        <w:spacing w:after="120" w:afterLines="50" w:line="440" w:lineRule="exact"/>
        <w:rPr>
          <w:rFonts w:cs="Calibri"/>
          <w:color w:val="000000"/>
          <w:sz w:val="22"/>
          <w:szCs w:val="22"/>
          <w:u w:val="single"/>
        </w:rPr>
      </w:pPr>
      <w:r>
        <w:rPr>
          <w:rFonts w:cs="Calibri"/>
          <w:color w:val="000000"/>
          <w:sz w:val="22"/>
          <w:szCs w:val="22"/>
        </w:rPr>
        <w:t>姓名：性别：年龄：职务：</w:t>
      </w:r>
    </w:p>
    <w:p>
      <w:pPr>
        <w:spacing w:after="120" w:afterLines="50" w:line="440" w:lineRule="exact"/>
        <w:rPr>
          <w:rFonts w:cs="Calibri"/>
          <w:color w:val="000000"/>
          <w:sz w:val="22"/>
          <w:szCs w:val="22"/>
          <w:u w:val="single"/>
        </w:rPr>
      </w:pPr>
      <w:r>
        <w:rPr>
          <w:rFonts w:cs="Calibri"/>
          <w:color w:val="000000"/>
          <w:sz w:val="22"/>
          <w:szCs w:val="22"/>
        </w:rPr>
        <w:t>身份证号码：</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系（投标人名称）的法定代表人。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投标人：（盖单位章）</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日期：年月日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419" w:name="_Toc133214102"/>
      <w:bookmarkStart w:id="420" w:name="_Toc133214309"/>
      <w:bookmarkStart w:id="421" w:name="_Toc133470542"/>
      <w:bookmarkStart w:id="422" w:name="_Toc137373398"/>
      <w:bookmarkStart w:id="423"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4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4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42"/>
        </w:numPr>
        <w:snapToGrid w:val="0"/>
        <w:spacing w:before="120" w:beforeLines="50" w:line="360" w:lineRule="exact"/>
        <w:rPr>
          <w:rFonts w:hAnsi="宋体" w:cs="宋体"/>
          <w:sz w:val="22"/>
          <w:szCs w:val="22"/>
        </w:rPr>
      </w:pPr>
      <w:r>
        <w:rPr>
          <w:rFonts w:hint="eastAsia" w:hAnsi="宋体" w:cs="宋体"/>
          <w:sz w:val="22"/>
          <w:szCs w:val="22"/>
        </w:rPr>
        <w:t>报价应包含本项目所有税项。如招标人根据法规和国家有关规定获减免税或退税，利益完全归招标人。</w:t>
      </w:r>
    </w:p>
    <w:p>
      <w:pPr>
        <w:pStyle w:val="31"/>
        <w:numPr>
          <w:ilvl w:val="1"/>
          <w:numId w:val="4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4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本总则上列各条中提及的“投标人”在合同执行过程中应作为“乙方”解释。</w:t>
      </w:r>
    </w:p>
    <w:p>
      <w:pPr>
        <w:pStyle w:val="31"/>
        <w:numPr>
          <w:ilvl w:val="1"/>
          <w:numId w:val="4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419"/>
    <w:bookmarkEnd w:id="420"/>
    <w:bookmarkEnd w:id="421"/>
    <w:bookmarkEnd w:id="422"/>
    <w:bookmarkEnd w:id="423"/>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43"/>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43"/>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424" w:name="_Toc133214103"/>
      <w:bookmarkStart w:id="425" w:name="_Toc133470544"/>
      <w:bookmarkStart w:id="426" w:name="_Toc133214310"/>
      <w:bookmarkStart w:id="427" w:name="_Toc137373399"/>
    </w:p>
    <w:p>
      <w:pPr>
        <w:spacing w:line="360" w:lineRule="auto"/>
        <w:jc w:val="center"/>
        <w:rPr>
          <w:rFonts w:ascii="宋体" w:hAnsi="宋体" w:cs="宋体"/>
          <w:b/>
          <w:sz w:val="32"/>
          <w:szCs w:val="32"/>
        </w:rPr>
      </w:pPr>
      <w:bookmarkStart w:id="428" w:name="_Toc144265959"/>
      <w:r>
        <w:rPr>
          <w:rFonts w:hint="eastAsia" w:ascii="宋体" w:hAnsi="宋体" w:cs="宋体"/>
          <w:b/>
          <w:sz w:val="32"/>
          <w:szCs w:val="32"/>
        </w:rPr>
        <w:br w:type="page"/>
      </w:r>
    </w:p>
    <w:bookmarkEnd w:id="424"/>
    <w:bookmarkEnd w:id="425"/>
    <w:bookmarkEnd w:id="426"/>
    <w:bookmarkEnd w:id="427"/>
    <w:bookmarkEnd w:id="428"/>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4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45"/>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46"/>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p>
    <w:p>
      <w:pPr>
        <w:numPr>
          <w:ilvl w:val="0"/>
          <w:numId w:val="46"/>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p>
    <w:p>
      <w:pPr>
        <w:numPr>
          <w:ilvl w:val="0"/>
          <w:numId w:val="46"/>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p>
    <w:p>
      <w:pPr>
        <w:numPr>
          <w:ilvl w:val="0"/>
          <w:numId w:val="46"/>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p>
    <w:p>
      <w:pPr>
        <w:numPr>
          <w:ilvl w:val="0"/>
          <w:numId w:val="46"/>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近期资产负债表（到年月日止）</w:t>
      </w:r>
    </w:p>
    <w:p>
      <w:pPr>
        <w:numPr>
          <w:ilvl w:val="0"/>
          <w:numId w:val="47"/>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p>
    <w:p>
      <w:pPr>
        <w:numPr>
          <w:ilvl w:val="0"/>
          <w:numId w:val="47"/>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p>
    <w:p>
      <w:pPr>
        <w:numPr>
          <w:ilvl w:val="0"/>
          <w:numId w:val="47"/>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p>
    <w:p>
      <w:pPr>
        <w:numPr>
          <w:ilvl w:val="0"/>
          <w:numId w:val="47"/>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p>
    <w:p>
      <w:pPr>
        <w:numPr>
          <w:ilvl w:val="0"/>
          <w:numId w:val="47"/>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p>
    <w:p>
      <w:pPr>
        <w:numPr>
          <w:ilvl w:val="0"/>
          <w:numId w:val="48"/>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p>
    <w:p>
      <w:pPr>
        <w:numPr>
          <w:ilvl w:val="0"/>
          <w:numId w:val="48"/>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p>
    <w:p>
      <w:pPr>
        <w:numPr>
          <w:ilvl w:val="0"/>
          <w:numId w:val="41"/>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p>
    <w:p>
      <w:pPr>
        <w:spacing w:line="360" w:lineRule="auto"/>
        <w:rPr>
          <w:rFonts w:ascii="宋体" w:hAnsi="宋体" w:cs="宋体"/>
          <w:sz w:val="22"/>
          <w:szCs w:val="22"/>
        </w:rPr>
      </w:pPr>
    </w:p>
    <w:p>
      <w:pPr>
        <w:numPr>
          <w:ilvl w:val="1"/>
          <w:numId w:val="49"/>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p>
    <w:p>
      <w:pPr>
        <w:spacing w:line="360" w:lineRule="auto"/>
        <w:rPr>
          <w:rFonts w:ascii="宋体" w:hAnsi="宋体" w:cs="宋体"/>
          <w:sz w:val="22"/>
          <w:szCs w:val="22"/>
          <w:u w:val="single"/>
        </w:rPr>
      </w:pPr>
    </w:p>
    <w:p>
      <w:pPr>
        <w:numPr>
          <w:ilvl w:val="0"/>
          <w:numId w:val="50"/>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p>
    <w:p>
      <w:pPr>
        <w:spacing w:line="360" w:lineRule="auto"/>
        <w:ind w:firstLine="360"/>
        <w:rPr>
          <w:rFonts w:ascii="宋体" w:hAnsi="宋体" w:cs="宋体"/>
          <w:sz w:val="22"/>
          <w:szCs w:val="22"/>
        </w:rPr>
      </w:pPr>
    </w:p>
    <w:p>
      <w:pPr>
        <w:numPr>
          <w:ilvl w:val="0"/>
          <w:numId w:val="50"/>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51"/>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51"/>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52"/>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br w:type="textWrapping"/>
      </w:r>
    </w:p>
    <w:p>
      <w:pPr>
        <w:numPr>
          <w:ilvl w:val="0"/>
          <w:numId w:val="52"/>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p>
    <w:p>
      <w:pPr>
        <w:spacing w:line="360" w:lineRule="auto"/>
        <w:ind w:firstLine="720"/>
        <w:rPr>
          <w:rFonts w:ascii="宋体" w:hAnsi="宋体" w:cs="宋体"/>
          <w:sz w:val="22"/>
          <w:szCs w:val="22"/>
        </w:rPr>
      </w:pPr>
    </w:p>
    <w:p>
      <w:pPr>
        <w:numPr>
          <w:ilvl w:val="0"/>
          <w:numId w:val="52"/>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p>
    <w:p>
      <w:pPr>
        <w:numPr>
          <w:ilvl w:val="0"/>
          <w:numId w:val="52"/>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p>
    <w:p>
      <w:pPr>
        <w:numPr>
          <w:ilvl w:val="0"/>
          <w:numId w:val="52"/>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µÈÏß Western">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6 -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left"/>
      <w:rPr>
        <w:rFonts w:ascii="宋体" w:hAnsi="宋体"/>
        <w:color w:val="000000"/>
      </w:rPr>
    </w:pPr>
    <w:r>
      <w:rPr>
        <w:rFonts w:hint="eastAsia" w:ascii="宋体" w:hAnsi="宋体"/>
        <w:color w:val="000000"/>
      </w:rPr>
      <w:t>浙江省机场集团有限公司安检X射线机采购项目招标文件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ED9AD"/>
    <w:multiLevelType w:val="singleLevel"/>
    <w:tmpl w:val="D58ED9AD"/>
    <w:lvl w:ilvl="0" w:tentative="0">
      <w:start w:val="1"/>
      <w:numFmt w:val="chineseCounting"/>
      <w:suff w:val="nothing"/>
      <w:lvlText w:val="%1、"/>
      <w:lvlJc w:val="left"/>
      <w:rPr>
        <w:rFonts w:hint="eastAsia"/>
      </w:rPr>
    </w:lvl>
  </w:abstractNum>
  <w:abstractNum w:abstractNumId="1">
    <w:nsid w:val="F18D4CCF"/>
    <w:multiLevelType w:val="singleLevel"/>
    <w:tmpl w:val="F18D4CCF"/>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FFFFFFFE"/>
    <w:multiLevelType w:val="singleLevel"/>
    <w:tmpl w:val="FFFFFFFE"/>
    <w:lvl w:ilvl="0" w:tentative="0">
      <w:start w:val="0"/>
      <w:numFmt w:val="decimal"/>
      <w:lvlText w:val="*"/>
      <w:lvlJc w:val="left"/>
      <w:pPr>
        <w:ind w:left="0" w:firstLine="0"/>
      </w:pPr>
      <w:rPr>
        <w:rFonts w:cs="Times New Roman"/>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8">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2227619"/>
    <w:multiLevelType w:val="singleLevel"/>
    <w:tmpl w:val="02227619"/>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17">
    <w:nsid w:val="060A4F4E"/>
    <w:multiLevelType w:val="singleLevel"/>
    <w:tmpl w:val="060A4F4E"/>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18">
    <w:nsid w:val="0DB93037"/>
    <w:multiLevelType w:val="singleLevel"/>
    <w:tmpl w:val="0DB93037"/>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19">
    <w:nsid w:val="0DCA2378"/>
    <w:multiLevelType w:val="singleLevel"/>
    <w:tmpl w:val="0DCA2378"/>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20">
    <w:nsid w:val="167C3F8E"/>
    <w:multiLevelType w:val="singleLevel"/>
    <w:tmpl w:val="167C3F8E"/>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21">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22">
    <w:nsid w:val="22A37C22"/>
    <w:multiLevelType w:val="singleLevel"/>
    <w:tmpl w:val="22A37C22"/>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23">
    <w:nsid w:val="238D2143"/>
    <w:multiLevelType w:val="multilevel"/>
    <w:tmpl w:val="238D2143"/>
    <w:lvl w:ilvl="0" w:tentative="0">
      <w:start w:val="1"/>
      <w:numFmt w:val="decimal"/>
      <w:lvlText w:val="%1）"/>
      <w:lvlJc w:val="left"/>
      <w:pPr>
        <w:ind w:left="817" w:hanging="375"/>
      </w:pPr>
      <w:rPr>
        <w:rFonts w:cs="Times New Roman"/>
      </w:rPr>
    </w:lvl>
    <w:lvl w:ilvl="1" w:tentative="0">
      <w:start w:val="1"/>
      <w:numFmt w:val="lowerLetter"/>
      <w:lvlText w:val="%2)"/>
      <w:lvlJc w:val="left"/>
      <w:pPr>
        <w:ind w:left="1282" w:hanging="420"/>
      </w:pPr>
      <w:rPr>
        <w:rFonts w:cs="Times New Roman"/>
      </w:rPr>
    </w:lvl>
    <w:lvl w:ilvl="2" w:tentative="0">
      <w:start w:val="1"/>
      <w:numFmt w:val="lowerRoman"/>
      <w:lvlText w:val="%3."/>
      <w:lvlJc w:val="right"/>
      <w:pPr>
        <w:ind w:left="1702" w:hanging="420"/>
      </w:pPr>
      <w:rPr>
        <w:rFonts w:cs="Times New Roman"/>
      </w:rPr>
    </w:lvl>
    <w:lvl w:ilvl="3" w:tentative="0">
      <w:start w:val="1"/>
      <w:numFmt w:val="decimal"/>
      <w:lvlText w:val="%4."/>
      <w:lvlJc w:val="left"/>
      <w:pPr>
        <w:ind w:left="2122" w:hanging="420"/>
      </w:pPr>
      <w:rPr>
        <w:rFonts w:cs="Times New Roman"/>
      </w:rPr>
    </w:lvl>
    <w:lvl w:ilvl="4" w:tentative="0">
      <w:start w:val="1"/>
      <w:numFmt w:val="lowerLetter"/>
      <w:lvlText w:val="%5)"/>
      <w:lvlJc w:val="left"/>
      <w:pPr>
        <w:ind w:left="2542" w:hanging="420"/>
      </w:pPr>
      <w:rPr>
        <w:rFonts w:cs="Times New Roman"/>
      </w:rPr>
    </w:lvl>
    <w:lvl w:ilvl="5" w:tentative="0">
      <w:start w:val="1"/>
      <w:numFmt w:val="lowerRoman"/>
      <w:lvlText w:val="%6."/>
      <w:lvlJc w:val="right"/>
      <w:pPr>
        <w:ind w:left="2962" w:hanging="420"/>
      </w:pPr>
      <w:rPr>
        <w:rFonts w:cs="Times New Roman"/>
      </w:rPr>
    </w:lvl>
    <w:lvl w:ilvl="6" w:tentative="0">
      <w:start w:val="1"/>
      <w:numFmt w:val="decimal"/>
      <w:lvlText w:val="%7."/>
      <w:lvlJc w:val="left"/>
      <w:pPr>
        <w:ind w:left="3382" w:hanging="420"/>
      </w:pPr>
      <w:rPr>
        <w:rFonts w:cs="Times New Roman"/>
      </w:rPr>
    </w:lvl>
    <w:lvl w:ilvl="7" w:tentative="0">
      <w:start w:val="1"/>
      <w:numFmt w:val="lowerLetter"/>
      <w:lvlText w:val="%8)"/>
      <w:lvlJc w:val="left"/>
      <w:pPr>
        <w:ind w:left="3802" w:hanging="420"/>
      </w:pPr>
      <w:rPr>
        <w:rFonts w:cs="Times New Roman"/>
      </w:rPr>
    </w:lvl>
    <w:lvl w:ilvl="8" w:tentative="0">
      <w:start w:val="1"/>
      <w:numFmt w:val="lowerRoman"/>
      <w:lvlText w:val="%9."/>
      <w:lvlJc w:val="right"/>
      <w:pPr>
        <w:ind w:left="4222" w:hanging="420"/>
      </w:pPr>
      <w:rPr>
        <w:rFonts w:cs="Times New Roman"/>
      </w:rPr>
    </w:lvl>
  </w:abstractNum>
  <w:abstractNum w:abstractNumId="24">
    <w:nsid w:val="23EE2030"/>
    <w:multiLevelType w:val="singleLevel"/>
    <w:tmpl w:val="23EE2030"/>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25">
    <w:nsid w:val="28255C5A"/>
    <w:multiLevelType w:val="multilevel"/>
    <w:tmpl w:val="28255C5A"/>
    <w:lvl w:ilvl="0" w:tentative="0">
      <w:start w:val="1"/>
      <w:numFmt w:val="decimal"/>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2A844E26"/>
    <w:multiLevelType w:val="multilevel"/>
    <w:tmpl w:val="2A844E26"/>
    <w:lvl w:ilvl="0" w:tentative="0">
      <w:start w:val="2"/>
      <w:numFmt w:val="decimal"/>
      <w:lvlText w:val="%1、"/>
      <w:lvlJc w:val="left"/>
      <w:pPr>
        <w:ind w:left="375" w:hanging="375"/>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2D1079A8"/>
    <w:multiLevelType w:val="multilevel"/>
    <w:tmpl w:val="2D1079A8"/>
    <w:lvl w:ilvl="0" w:tentative="0">
      <w:start w:val="2"/>
      <w:numFmt w:val="decimal"/>
      <w:lvlText w:val="%1、"/>
      <w:lvlJc w:val="left"/>
      <w:pPr>
        <w:ind w:left="4045" w:hanging="375"/>
      </w:pPr>
      <w:rPr>
        <w:rFonts w:cs="Times New Roman"/>
      </w:rPr>
    </w:lvl>
    <w:lvl w:ilvl="1" w:tentative="0">
      <w:start w:val="1"/>
      <w:numFmt w:val="lowerLetter"/>
      <w:lvlText w:val="%2)"/>
      <w:lvlJc w:val="left"/>
      <w:pPr>
        <w:ind w:left="4510" w:hanging="420"/>
      </w:pPr>
      <w:rPr>
        <w:rFonts w:cs="Times New Roman"/>
      </w:rPr>
    </w:lvl>
    <w:lvl w:ilvl="2" w:tentative="0">
      <w:start w:val="1"/>
      <w:numFmt w:val="lowerRoman"/>
      <w:lvlText w:val="%3."/>
      <w:lvlJc w:val="right"/>
      <w:pPr>
        <w:ind w:left="4930" w:hanging="420"/>
      </w:pPr>
      <w:rPr>
        <w:rFonts w:cs="Times New Roman"/>
      </w:rPr>
    </w:lvl>
    <w:lvl w:ilvl="3" w:tentative="0">
      <w:start w:val="1"/>
      <w:numFmt w:val="decimal"/>
      <w:lvlText w:val="%4."/>
      <w:lvlJc w:val="left"/>
      <w:pPr>
        <w:ind w:left="5350" w:hanging="420"/>
      </w:pPr>
      <w:rPr>
        <w:rFonts w:cs="Times New Roman"/>
      </w:rPr>
    </w:lvl>
    <w:lvl w:ilvl="4" w:tentative="0">
      <w:start w:val="1"/>
      <w:numFmt w:val="lowerLetter"/>
      <w:lvlText w:val="%5)"/>
      <w:lvlJc w:val="left"/>
      <w:pPr>
        <w:ind w:left="5770" w:hanging="420"/>
      </w:pPr>
      <w:rPr>
        <w:rFonts w:cs="Times New Roman"/>
      </w:rPr>
    </w:lvl>
    <w:lvl w:ilvl="5" w:tentative="0">
      <w:start w:val="1"/>
      <w:numFmt w:val="lowerRoman"/>
      <w:lvlText w:val="%6."/>
      <w:lvlJc w:val="right"/>
      <w:pPr>
        <w:ind w:left="6190" w:hanging="420"/>
      </w:pPr>
      <w:rPr>
        <w:rFonts w:cs="Times New Roman"/>
      </w:rPr>
    </w:lvl>
    <w:lvl w:ilvl="6" w:tentative="0">
      <w:start w:val="1"/>
      <w:numFmt w:val="decimal"/>
      <w:lvlText w:val="%7."/>
      <w:lvlJc w:val="left"/>
      <w:pPr>
        <w:ind w:left="6610" w:hanging="420"/>
      </w:pPr>
      <w:rPr>
        <w:rFonts w:cs="Times New Roman"/>
      </w:rPr>
    </w:lvl>
    <w:lvl w:ilvl="7" w:tentative="0">
      <w:start w:val="1"/>
      <w:numFmt w:val="lowerLetter"/>
      <w:lvlText w:val="%8)"/>
      <w:lvlJc w:val="left"/>
      <w:pPr>
        <w:ind w:left="7030" w:hanging="420"/>
      </w:pPr>
      <w:rPr>
        <w:rFonts w:cs="Times New Roman"/>
      </w:rPr>
    </w:lvl>
    <w:lvl w:ilvl="8" w:tentative="0">
      <w:start w:val="1"/>
      <w:numFmt w:val="lowerRoman"/>
      <w:lvlText w:val="%9."/>
      <w:lvlJc w:val="right"/>
      <w:pPr>
        <w:ind w:left="7450" w:hanging="420"/>
      </w:pPr>
      <w:rPr>
        <w:rFonts w:cs="Times New Roman"/>
      </w:rPr>
    </w:lvl>
  </w:abstractNum>
  <w:abstractNum w:abstractNumId="28">
    <w:nsid w:val="2E814E31"/>
    <w:multiLevelType w:val="singleLevel"/>
    <w:tmpl w:val="2E814E31"/>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29">
    <w:nsid w:val="2F9E7AD8"/>
    <w:multiLevelType w:val="singleLevel"/>
    <w:tmpl w:val="2F9E7AD8"/>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30">
    <w:nsid w:val="30710CA2"/>
    <w:multiLevelType w:val="singleLevel"/>
    <w:tmpl w:val="30710CA2"/>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31">
    <w:nsid w:val="360C2342"/>
    <w:multiLevelType w:val="singleLevel"/>
    <w:tmpl w:val="360C2342"/>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32">
    <w:nsid w:val="39B351F1"/>
    <w:multiLevelType w:val="singleLevel"/>
    <w:tmpl w:val="39B351F1"/>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33">
    <w:nsid w:val="3EFF103A"/>
    <w:multiLevelType w:val="singleLevel"/>
    <w:tmpl w:val="3EFF103A"/>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34">
    <w:nsid w:val="3F542F5C"/>
    <w:multiLevelType w:val="multilevel"/>
    <w:tmpl w:val="3F542F5C"/>
    <w:lvl w:ilvl="0" w:tentative="0">
      <w:start w:val="4"/>
      <w:numFmt w:val="decimal"/>
      <w:lvlText w:val="%1"/>
      <w:lvlJc w:val="left"/>
      <w:pPr>
        <w:ind w:left="360" w:hanging="360"/>
      </w:pPr>
      <w:rPr>
        <w:rFonts w:hint="default"/>
      </w:rPr>
    </w:lvl>
    <w:lvl w:ilvl="1" w:tentative="0">
      <w:start w:val="1"/>
      <w:numFmt w:val="decimal"/>
      <w:lvlText w:val="%1.%2"/>
      <w:lvlJc w:val="left"/>
      <w:pPr>
        <w:ind w:left="785" w:hanging="360"/>
      </w:pPr>
      <w:rPr>
        <w:rFonts w:hint="default"/>
      </w:rPr>
    </w:lvl>
    <w:lvl w:ilvl="2" w:tentative="0">
      <w:start w:val="1"/>
      <w:numFmt w:val="decimal"/>
      <w:lvlText w:val="%1.%2.%3"/>
      <w:lvlJc w:val="left"/>
      <w:pPr>
        <w:ind w:left="1570" w:hanging="720"/>
      </w:pPr>
      <w:rPr>
        <w:rFonts w:hint="default"/>
      </w:rPr>
    </w:lvl>
    <w:lvl w:ilvl="3" w:tentative="0">
      <w:start w:val="1"/>
      <w:numFmt w:val="decimal"/>
      <w:lvlText w:val="%1.%2.%3.%4"/>
      <w:lvlJc w:val="left"/>
      <w:pPr>
        <w:ind w:left="2355" w:hanging="1080"/>
      </w:pPr>
      <w:rPr>
        <w:rFonts w:hint="default"/>
      </w:rPr>
    </w:lvl>
    <w:lvl w:ilvl="4" w:tentative="0">
      <w:start w:val="1"/>
      <w:numFmt w:val="decimal"/>
      <w:lvlText w:val="%1.%2.%3.%4.%5"/>
      <w:lvlJc w:val="left"/>
      <w:pPr>
        <w:ind w:left="2780" w:hanging="1080"/>
      </w:pPr>
      <w:rPr>
        <w:rFonts w:hint="default"/>
      </w:rPr>
    </w:lvl>
    <w:lvl w:ilvl="5" w:tentative="0">
      <w:start w:val="1"/>
      <w:numFmt w:val="decimal"/>
      <w:lvlText w:val="%1.%2.%3.%4.%5.%6"/>
      <w:lvlJc w:val="left"/>
      <w:pPr>
        <w:ind w:left="3565" w:hanging="1440"/>
      </w:pPr>
      <w:rPr>
        <w:rFonts w:hint="default"/>
      </w:rPr>
    </w:lvl>
    <w:lvl w:ilvl="6" w:tentative="0">
      <w:start w:val="1"/>
      <w:numFmt w:val="decimal"/>
      <w:lvlText w:val="%1.%2.%3.%4.%5.%6.%7"/>
      <w:lvlJc w:val="left"/>
      <w:pPr>
        <w:ind w:left="3990" w:hanging="1440"/>
      </w:pPr>
      <w:rPr>
        <w:rFonts w:hint="default"/>
      </w:rPr>
    </w:lvl>
    <w:lvl w:ilvl="7" w:tentative="0">
      <w:start w:val="1"/>
      <w:numFmt w:val="decimal"/>
      <w:lvlText w:val="%1.%2.%3.%4.%5.%6.%7.%8"/>
      <w:lvlJc w:val="left"/>
      <w:pPr>
        <w:ind w:left="4775" w:hanging="1800"/>
      </w:pPr>
      <w:rPr>
        <w:rFonts w:hint="default"/>
      </w:rPr>
    </w:lvl>
    <w:lvl w:ilvl="8" w:tentative="0">
      <w:start w:val="1"/>
      <w:numFmt w:val="decimal"/>
      <w:lvlText w:val="%1.%2.%3.%4.%5.%6.%7.%8.%9"/>
      <w:lvlJc w:val="left"/>
      <w:pPr>
        <w:ind w:left="5200" w:hanging="1800"/>
      </w:pPr>
      <w:rPr>
        <w:rFonts w:hint="default"/>
      </w:rPr>
    </w:lvl>
  </w:abstractNum>
  <w:abstractNum w:abstractNumId="35">
    <w:nsid w:val="4591086B"/>
    <w:multiLevelType w:val="multilevel"/>
    <w:tmpl w:val="4591086B"/>
    <w:lvl w:ilvl="0" w:tentative="0">
      <w:start w:val="3"/>
      <w:numFmt w:val="decimal"/>
      <w:lvlText w:val="%1、"/>
      <w:lvlJc w:val="left"/>
      <w:pPr>
        <w:ind w:left="375" w:hanging="375"/>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7">
    <w:nsid w:val="512006EA"/>
    <w:multiLevelType w:val="singleLevel"/>
    <w:tmpl w:val="512006EA"/>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3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9">
    <w:nsid w:val="6B25429A"/>
    <w:multiLevelType w:val="singleLevel"/>
    <w:tmpl w:val="6B25429A"/>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40">
    <w:nsid w:val="6CFC5231"/>
    <w:multiLevelType w:val="singleLevel"/>
    <w:tmpl w:val="6CFC5231"/>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41">
    <w:nsid w:val="704E31AD"/>
    <w:multiLevelType w:val="singleLevel"/>
    <w:tmpl w:val="704E31AD"/>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42">
    <w:nsid w:val="72074AB7"/>
    <w:multiLevelType w:val="singleLevel"/>
    <w:tmpl w:val="72074AB7"/>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43">
    <w:nsid w:val="73A647E4"/>
    <w:multiLevelType w:val="singleLevel"/>
    <w:tmpl w:val="73A647E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44">
    <w:nsid w:val="76365788"/>
    <w:multiLevelType w:val="singleLevel"/>
    <w:tmpl w:val="76365788"/>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45">
    <w:nsid w:val="7917347E"/>
    <w:multiLevelType w:val="singleLevel"/>
    <w:tmpl w:val="7917347E"/>
    <w:lvl w:ilvl="0" w:tentative="0">
      <w:start w:val="1"/>
      <w:numFmt w:val="decimal"/>
      <w:lvlText w:val="%1)"/>
      <w:lvlJc w:val="left"/>
      <w:pPr>
        <w:ind w:left="420" w:hanging="420"/>
      </w:pPr>
      <w:rPr>
        <w:rFonts w:cs="Times New Roman"/>
        <w:b/>
        <w:i w:val="0"/>
        <w:strike w:val="0"/>
        <w:dstrike w:val="0"/>
        <w:color w:val="auto"/>
        <w:sz w:val="21"/>
        <w:szCs w:val="21"/>
        <w:u w:val="none"/>
      </w:rPr>
    </w:lvl>
  </w:abstractNum>
  <w:abstractNum w:abstractNumId="46">
    <w:nsid w:val="79F44F1E"/>
    <w:multiLevelType w:val="multilevel"/>
    <w:tmpl w:val="79F44F1E"/>
    <w:lvl w:ilvl="0" w:tentative="0">
      <w:start w:val="2"/>
      <w:numFmt w:val="japaneseCounting"/>
      <w:lvlText w:val="%1、"/>
      <w:lvlJc w:val="left"/>
      <w:pPr>
        <w:ind w:left="660" w:hanging="66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7">
    <w:nsid w:val="7B48520D"/>
    <w:multiLevelType w:val="singleLevel"/>
    <w:tmpl w:val="7B48520D"/>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48">
    <w:nsid w:val="7C970F25"/>
    <w:multiLevelType w:val="singleLevel"/>
    <w:tmpl w:val="7C970F25"/>
    <w:lvl w:ilvl="0" w:tentative="0">
      <w:start w:val="1"/>
      <w:numFmt w:val="decimal"/>
      <w:lvlText w:val="%1)"/>
      <w:lvlJc w:val="left"/>
      <w:pPr>
        <w:ind w:left="647" w:hanging="420"/>
      </w:pPr>
      <w:rPr>
        <w:rFonts w:cs="Times New Roman"/>
        <w:b/>
        <w:i w:val="0"/>
        <w:strike w:val="0"/>
        <w:dstrike w:val="0"/>
        <w:color w:val="auto"/>
        <w:sz w:val="21"/>
        <w:szCs w:val="21"/>
        <w:u w:val="none"/>
      </w:rPr>
    </w:lvl>
  </w:abstractNum>
  <w:abstractNum w:abstractNumId="4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abstractNum w:abstractNumId="50">
    <w:nsid w:val="7DC24646"/>
    <w:multiLevelType w:val="singleLevel"/>
    <w:tmpl w:val="7DC24646"/>
    <w:lvl w:ilvl="0" w:tentative="0">
      <w:start w:val="1"/>
      <w:numFmt w:val="decimal"/>
      <w:lvlText w:val="%1)"/>
      <w:lvlJc w:val="left"/>
      <w:pPr>
        <w:ind w:left="647" w:hanging="420"/>
      </w:pPr>
      <w:rPr>
        <w:rFonts w:cs="Times New Roman"/>
        <w:b/>
        <w:i w:val="0"/>
        <w:strike w:val="0"/>
        <w:dstrike w:val="0"/>
        <w:color w:val="auto"/>
        <w:sz w:val="21"/>
        <w:szCs w:val="21"/>
        <w:u w:val="none"/>
      </w:rPr>
    </w:lvl>
  </w:abstractNum>
  <w:num w:numId="1">
    <w:abstractNumId w:val="36"/>
  </w:num>
  <w:num w:numId="2">
    <w:abstractNumId w:val="1"/>
  </w:num>
  <w:num w:numId="3">
    <w:abstractNumId w:val="43"/>
  </w:num>
  <w:num w:numId="4">
    <w:abstractNumId w:val="49"/>
  </w:num>
  <w:num w:numId="5">
    <w:abstractNumId w:val="45"/>
    <w:lvlOverride w:ilvl="0">
      <w:startOverride w:val="1"/>
    </w:lvlOverride>
  </w:num>
  <w:num w:numId="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num>
  <w:num w:numId="12">
    <w:abstractNumId w:val="42"/>
    <w:lvlOverride w:ilvl="0">
      <w:startOverride w:val="1"/>
    </w:lvlOverride>
  </w:num>
  <w:num w:numId="13">
    <w:abstractNumId w:val="29"/>
    <w:lvlOverride w:ilvl="0">
      <w:startOverride w:val="1"/>
    </w:lvlOverride>
  </w:num>
  <w:num w:numId="14">
    <w:abstractNumId w:val="30"/>
    <w:lvlOverride w:ilvl="0">
      <w:startOverride w:val="1"/>
    </w:lvlOverride>
  </w:num>
  <w:num w:numId="15">
    <w:abstractNumId w:val="32"/>
    <w:lvlOverride w:ilvl="0">
      <w:startOverride w:val="1"/>
    </w:lvlOverride>
  </w:num>
  <w:num w:numId="16">
    <w:abstractNumId w:val="39"/>
    <w:lvlOverride w:ilvl="0">
      <w:startOverride w:val="1"/>
    </w:lvlOverride>
  </w:num>
  <w:num w:numId="17">
    <w:abstractNumId w:val="16"/>
    <w:lvlOverride w:ilvl="0">
      <w:startOverride w:val="1"/>
    </w:lvlOverride>
  </w:num>
  <w:num w:numId="18">
    <w:abstractNumId w:val="31"/>
    <w:lvlOverride w:ilvl="0">
      <w:startOverride w:val="1"/>
    </w:lvlOverride>
  </w:num>
  <w:num w:numId="19">
    <w:abstractNumId w:val="47"/>
    <w:lvlOverride w:ilvl="0">
      <w:startOverride w:val="1"/>
    </w:lvlOverride>
  </w:num>
  <w:num w:numId="20">
    <w:abstractNumId w:val="40"/>
    <w:lvlOverride w:ilvl="0">
      <w:startOverride w:val="1"/>
    </w:lvlOverride>
  </w:num>
  <w:num w:numId="21">
    <w:abstractNumId w:val="2"/>
    <w:lvlOverride w:ilvl="0">
      <w:lvl w:ilvl="0" w:tentative="1">
        <w:start w:val="0"/>
        <w:numFmt w:val="bullet"/>
        <w:lvlText w:val=""/>
        <w:legacy w:legacy="1" w:legacySpace="0" w:legacyIndent="567"/>
        <w:lvlJc w:val="left"/>
        <w:pPr>
          <w:ind w:left="987" w:hanging="567"/>
        </w:pPr>
        <w:rPr>
          <w:rFonts w:hint="default" w:ascii="Wingdings" w:hAnsi="Wingdings" w:cs="Times New Roman"/>
        </w:rPr>
      </w:lvl>
    </w:lvlOverride>
  </w:num>
  <w:num w:numId="22">
    <w:abstractNumId w:val="2"/>
    <w:lvlOverride w:ilvl="0">
      <w:lvl w:ilvl="0" w:tentative="1">
        <w:start w:val="0"/>
        <w:numFmt w:val="bullet"/>
        <w:lvlText w:val=""/>
        <w:legacy w:legacy="1" w:legacySpace="0" w:legacyIndent="227"/>
        <w:lvlJc w:val="left"/>
        <w:pPr>
          <w:ind w:left="1361" w:hanging="227"/>
        </w:pPr>
        <w:rPr>
          <w:rFonts w:hint="default" w:ascii="Wingdings" w:hAnsi="Wingdings" w:cs="Times New Roman"/>
        </w:rPr>
      </w:lvl>
    </w:lvlOverride>
  </w:num>
  <w:num w:numId="23">
    <w:abstractNumId w:val="24"/>
    <w:lvlOverride w:ilvl="0">
      <w:startOverride w:val="1"/>
    </w:lvlOverride>
  </w:num>
  <w:num w:numId="24">
    <w:abstractNumId w:val="44"/>
    <w:lvlOverride w:ilvl="0">
      <w:startOverride w:val="1"/>
    </w:lvlOverride>
  </w:num>
  <w:num w:numId="25">
    <w:abstractNumId w:val="20"/>
    <w:lvlOverride w:ilvl="0">
      <w:startOverride w:val="1"/>
    </w:lvlOverride>
  </w:num>
  <w:num w:numId="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num>
  <w:num w:numId="28">
    <w:abstractNumId w:val="18"/>
    <w:lvlOverride w:ilvl="0">
      <w:startOverride w:val="1"/>
    </w:lvlOverride>
  </w:num>
  <w:num w:numId="29">
    <w:abstractNumId w:val="41"/>
    <w:lvlOverride w:ilvl="0">
      <w:startOverride w:val="1"/>
    </w:lvlOverride>
  </w:num>
  <w:num w:numId="30">
    <w:abstractNumId w:val="37"/>
    <w:lvlOverride w:ilvl="0">
      <w:startOverride w:val="1"/>
    </w:lvlOverride>
  </w:num>
  <w:num w:numId="31">
    <w:abstractNumId w:val="28"/>
    <w:lvlOverride w:ilvl="0">
      <w:startOverride w:val="1"/>
    </w:lvlOverride>
  </w:num>
  <w:num w:numId="32">
    <w:abstractNumId w:val="17"/>
    <w:lvlOverride w:ilvl="0">
      <w:startOverride w:val="1"/>
    </w:lvlOverride>
  </w:num>
  <w:num w:numId="33">
    <w:abstractNumId w:val="19"/>
    <w:lvlOverride w:ilvl="0">
      <w:startOverride w:val="1"/>
    </w:lvlOverride>
  </w:num>
  <w:num w:numId="34">
    <w:abstractNumId w:val="22"/>
    <w:lvlOverride w:ilvl="0">
      <w:startOverride w:val="1"/>
    </w:lvlOverride>
  </w:num>
  <w:num w:numId="35">
    <w:abstractNumId w:val="34"/>
  </w:num>
  <w:num w:numId="36">
    <w:abstractNumId w:val="0"/>
  </w:num>
  <w:num w:numId="37">
    <w:abstractNumId w:val="25"/>
  </w:num>
  <w:num w:numId="38">
    <w:abstractNumId w:val="3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4"/>
  </w:num>
  <w:num w:numId="42">
    <w:abstractNumId w:val="8"/>
  </w:num>
  <w:num w:numId="43">
    <w:abstractNumId w:val="15"/>
  </w:num>
  <w:num w:numId="44">
    <w:abstractNumId w:val="4"/>
  </w:num>
  <w:num w:numId="45">
    <w:abstractNumId w:val="9"/>
  </w:num>
  <w:num w:numId="46">
    <w:abstractNumId w:val="11"/>
  </w:num>
  <w:num w:numId="47">
    <w:abstractNumId w:val="7"/>
  </w:num>
  <w:num w:numId="48">
    <w:abstractNumId w:val="3"/>
  </w:num>
  <w:num w:numId="49">
    <w:abstractNumId w:val="6"/>
  </w:num>
  <w:num w:numId="50">
    <w:abstractNumId w:val="13"/>
  </w:num>
  <w:num w:numId="51">
    <w:abstractNumId w:val="10"/>
  </w:num>
  <w:num w:numId="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14C0E"/>
    <w:rsid w:val="35591F43"/>
    <w:rsid w:val="7CC60B3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iPriority="0" w:semiHidden="0" w:name="List"/>
    <w:lsdException w:qFormat="1" w:uiPriority="0" w:semiHidden="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lang w:val="zh-CN"/>
    </w:rPr>
  </w:style>
  <w:style w:type="paragraph" w:styleId="3">
    <w:name w:val="heading 2"/>
    <w:basedOn w:val="1"/>
    <w:next w:val="1"/>
    <w:link w:val="61"/>
    <w:unhideWhenUsed/>
    <w:qFormat/>
    <w:uiPriority w:val="99"/>
    <w:pPr>
      <w:keepNext/>
      <w:keepLines/>
      <w:spacing w:before="260" w:after="260" w:line="360" w:lineRule="auto"/>
      <w:jc w:val="center"/>
      <w:outlineLvl w:val="1"/>
    </w:pPr>
    <w:rPr>
      <w:rFonts w:ascii="Arial" w:hAnsi="Arial" w:eastAsia="宋体" w:cs="Times New Roman"/>
      <w:b/>
      <w:bCs/>
      <w:kern w:val="0"/>
      <w:sz w:val="28"/>
      <w:szCs w:val="32"/>
      <w:lang w:val="zh-CN"/>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lang w:val="zh-CN"/>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lang w:val="zh-CN"/>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lang w:val="zh-CN"/>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lang w:val="zh-CN"/>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lang w:val="zh-CN"/>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lang w:val="zh-CN"/>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lang w:val="zh-CN"/>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83"/>
    <w:unhideWhenUsed/>
    <w:qFormat/>
    <w:uiPriority w:val="0"/>
    <w:rPr>
      <w:rFonts w:ascii="Times New Roman" w:hAnsi="Times New Roman" w:eastAsia="宋体" w:cs="Times New Roman"/>
      <w:b/>
      <w:bCs/>
      <w:kern w:val="0"/>
      <w:sz w:val="20"/>
    </w:rPr>
  </w:style>
  <w:style w:type="paragraph" w:styleId="13">
    <w:name w:val="annotation text"/>
    <w:basedOn w:val="1"/>
    <w:link w:val="72"/>
    <w:unhideWhenUsed/>
    <w:qFormat/>
    <w:uiPriority w:val="99"/>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84"/>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74"/>
    <w:unhideWhenUsed/>
    <w:qFormat/>
    <w:uiPriority w:val="0"/>
    <w:pPr>
      <w:spacing w:after="120"/>
    </w:pPr>
  </w:style>
  <w:style w:type="paragraph" w:styleId="17">
    <w:name w:val="table of authorities"/>
    <w:basedOn w:val="1"/>
    <w:next w:val="1"/>
    <w:unhideWhenUsed/>
    <w:qFormat/>
    <w:uiPriority w:val="0"/>
    <w:pPr>
      <w:ind w:left="420" w:leftChars="200"/>
    </w:pPr>
    <w:rPr>
      <w:rFonts w:ascii="Times New Roman" w:hAnsi="Times New Roman" w:eastAsia="宋体" w:cs="Times New Roman"/>
      <w:sz w:val="21"/>
    </w:rPr>
  </w:style>
  <w:style w:type="paragraph" w:styleId="18">
    <w:name w:val="Normal Indent"/>
    <w:basedOn w:val="1"/>
    <w:link w:val="142"/>
    <w:unhideWhenUsed/>
    <w:qFormat/>
    <w:uiPriority w:val="99"/>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unhideWhenUsed/>
    <w:qFormat/>
    <w:uiPriority w:val="0"/>
    <w:pPr>
      <w:numPr>
        <w:ilvl w:val="0"/>
        <w:numId w:val="2"/>
      </w:numPr>
    </w:pPr>
  </w:style>
  <w:style w:type="paragraph" w:styleId="22">
    <w:name w:val="Document Map"/>
    <w:basedOn w:val="1"/>
    <w:link w:val="71"/>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3"/>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5"/>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6"/>
    <w:unhideWhenUsed/>
    <w:qFormat/>
    <w:uiPriority w:val="99"/>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7"/>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78"/>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9"/>
    <w:unhideWhenUsed/>
    <w:qFormat/>
    <w:uiPriority w:val="0"/>
    <w:rPr>
      <w:rFonts w:ascii="Times New Roman" w:hAnsi="Times New Roman" w:eastAsia="宋体" w:cs="Times New Roman"/>
      <w:kern w:val="0"/>
      <w:sz w:val="18"/>
      <w:szCs w:val="18"/>
    </w:rPr>
  </w:style>
  <w:style w:type="paragraph" w:styleId="36">
    <w:name w:val="footer"/>
    <w:basedOn w:val="1"/>
    <w:link w:val="7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5"/>
    <w:unhideWhenUsed/>
    <w:qFormat/>
    <w:uiPriority w:val="0"/>
    <w:pPr>
      <w:spacing w:after="120"/>
      <w:ind w:left="420" w:leftChars="200" w:firstLine="420"/>
    </w:pPr>
    <w:rPr>
      <w:szCs w:val="24"/>
    </w:rPr>
  </w:style>
  <w:style w:type="paragraph" w:styleId="38">
    <w:name w:val="header"/>
    <w:basedOn w:val="1"/>
    <w:link w:val="6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unhideWhenUsed/>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0"/>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81"/>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unhideWhenUsed/>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82"/>
    <w:qFormat/>
    <w:uiPriority w:val="99"/>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imes New Roman" w:hAnsi="Times New Roman" w:eastAsia="仿宋_GB2312" w:cstheme="minorBidi"/>
      <w:b/>
      <w:bCs/>
      <w:kern w:val="2"/>
      <w:sz w:val="32"/>
      <w:szCs w:val="22"/>
      <w:lang w:val="en-US" w:eastAsia="zh-CN" w:bidi="ar-SA"/>
    </w:rPr>
  </w:style>
  <w:style w:type="character" w:styleId="54">
    <w:name w:val="page number"/>
    <w:basedOn w:val="52"/>
    <w:unhideWhenUsed/>
    <w:qFormat/>
    <w:uiPriority w:val="0"/>
    <w:rPr>
      <w:rFonts w:ascii="Times New Roman" w:hAnsi="Times New Roman" w:eastAsia="仿宋_GB2312" w:cstheme="minorBidi"/>
      <w:kern w:val="2"/>
      <w:sz w:val="32"/>
      <w:szCs w:val="22"/>
      <w:lang w:val="en-US" w:eastAsia="zh-CN" w:bidi="ar-SA"/>
    </w:rPr>
  </w:style>
  <w:style w:type="character" w:styleId="55">
    <w:name w:val="FollowedHyperlink"/>
    <w:unhideWhenUsed/>
    <w:qFormat/>
    <w:uiPriority w:val="99"/>
    <w:rPr>
      <w:rFonts w:ascii="Times New Roman" w:hAnsi="Times New Roman" w:eastAsia="仿宋_GB2312" w:cstheme="minorBidi"/>
      <w:color w:val="800080"/>
      <w:kern w:val="2"/>
      <w:sz w:val="32"/>
      <w:szCs w:val="22"/>
      <w:u w:val="single"/>
      <w:lang w:val="en-US" w:eastAsia="zh-CN" w:bidi="ar-SA"/>
    </w:rPr>
  </w:style>
  <w:style w:type="character" w:styleId="56">
    <w:name w:val="Hyperlink"/>
    <w:unhideWhenUsed/>
    <w:qFormat/>
    <w:uiPriority w:val="99"/>
    <w:rPr>
      <w:rFonts w:ascii="Times New Roman" w:hAnsi="Times New Roman" w:eastAsia="仿宋_GB2312" w:cstheme="minorBidi"/>
      <w:color w:val="0000FF"/>
      <w:kern w:val="2"/>
      <w:sz w:val="32"/>
      <w:szCs w:val="22"/>
      <w:u w:val="single"/>
      <w:lang w:val="en-US" w:eastAsia="zh-CN" w:bidi="ar-SA"/>
    </w:rPr>
  </w:style>
  <w:style w:type="character" w:styleId="57">
    <w:name w:val="annotation reference"/>
    <w:unhideWhenUsed/>
    <w:qFormat/>
    <w:uiPriority w:val="99"/>
    <w:rPr>
      <w:rFonts w:ascii="Times New Roman" w:hAnsi="Times New Roman" w:eastAsia="仿宋_GB2312" w:cstheme="minorBidi"/>
      <w:kern w:val="2"/>
      <w:sz w:val="21"/>
      <w:szCs w:val="21"/>
      <w:lang w:val="en-US" w:eastAsia="zh-CN" w:bidi="ar-SA"/>
    </w:rPr>
  </w:style>
  <w:style w:type="table" w:styleId="59">
    <w:name w:val="Table Grid"/>
    <w:basedOn w:val="58"/>
    <w:unhideWhenUsed/>
    <w:qFormat/>
    <w:uiPriority w:val="0"/>
    <w:pPr>
      <w:widowControl w:val="0"/>
    </w:pPr>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vAlign w:val="center"/>
    </w:tcPr>
  </w:style>
  <w:style w:type="character" w:customStyle="1" w:styleId="60">
    <w:name w:val="标题 1 Char"/>
    <w:basedOn w:val="52"/>
    <w:link w:val="2"/>
    <w:qFormat/>
    <w:uiPriority w:val="0"/>
    <w:rPr>
      <w:rFonts w:ascii="Times New Roman" w:hAnsi="Times New Roman" w:eastAsia="宋体" w:cs="Times New Roman"/>
      <w:b/>
      <w:bCs/>
      <w:kern w:val="44"/>
      <w:sz w:val="30"/>
      <w:szCs w:val="44"/>
      <w:lang w:val="zh-CN" w:eastAsia="zh-CN" w:bidi="ar-SA"/>
    </w:rPr>
  </w:style>
  <w:style w:type="character" w:customStyle="1" w:styleId="61">
    <w:name w:val="标题 2 Char"/>
    <w:basedOn w:val="52"/>
    <w:link w:val="3"/>
    <w:qFormat/>
    <w:uiPriority w:val="99"/>
    <w:rPr>
      <w:rFonts w:ascii="Arial" w:hAnsi="Arial" w:eastAsia="宋体" w:cs="Times New Roman"/>
      <w:b/>
      <w:bCs/>
      <w:kern w:val="0"/>
      <w:sz w:val="28"/>
      <w:szCs w:val="32"/>
      <w:lang w:val="zh-CN" w:eastAsia="zh-CN" w:bidi="ar-SA"/>
    </w:rPr>
  </w:style>
  <w:style w:type="character" w:customStyle="1" w:styleId="62">
    <w:name w:val="标题 3 Char"/>
    <w:basedOn w:val="52"/>
    <w:link w:val="4"/>
    <w:qFormat/>
    <w:uiPriority w:val="0"/>
    <w:rPr>
      <w:rFonts w:ascii="宋体" w:hAnsi="Times New Roman" w:eastAsia="宋体" w:cs="Times New Roman"/>
      <w:b/>
      <w:kern w:val="0"/>
      <w:sz w:val="28"/>
      <w:szCs w:val="20"/>
      <w:lang w:val="zh-CN" w:eastAsia="zh-CN" w:bidi="ar-SA"/>
    </w:rPr>
  </w:style>
  <w:style w:type="character" w:customStyle="1" w:styleId="63">
    <w:name w:val="标题 4 Char"/>
    <w:basedOn w:val="52"/>
    <w:link w:val="5"/>
    <w:qFormat/>
    <w:uiPriority w:val="0"/>
    <w:rPr>
      <w:rFonts w:ascii="Arial" w:hAnsi="Arial" w:eastAsia="黑体" w:cs="Times New Roman"/>
      <w:b/>
      <w:bCs/>
      <w:kern w:val="0"/>
      <w:sz w:val="28"/>
      <w:szCs w:val="28"/>
      <w:lang w:val="zh-CN" w:eastAsia="zh-CN" w:bidi="ar-SA"/>
    </w:rPr>
  </w:style>
  <w:style w:type="character" w:customStyle="1" w:styleId="64">
    <w:name w:val="标题 5 Char"/>
    <w:basedOn w:val="52"/>
    <w:link w:val="6"/>
    <w:qFormat/>
    <w:uiPriority w:val="0"/>
    <w:rPr>
      <w:rFonts w:ascii="Times New Roman" w:hAnsi="Times New Roman" w:eastAsia="宋体" w:cs="Times New Roman"/>
      <w:b/>
      <w:bCs/>
      <w:kern w:val="0"/>
      <w:sz w:val="28"/>
      <w:szCs w:val="28"/>
      <w:lang w:val="zh-CN" w:eastAsia="zh-CN" w:bidi="ar-SA"/>
    </w:rPr>
  </w:style>
  <w:style w:type="character" w:customStyle="1" w:styleId="65">
    <w:name w:val="标题 6 Char"/>
    <w:basedOn w:val="52"/>
    <w:link w:val="7"/>
    <w:qFormat/>
    <w:uiPriority w:val="0"/>
    <w:rPr>
      <w:rFonts w:ascii="Arial" w:hAnsi="Arial" w:eastAsia="黑体" w:cs="Times New Roman"/>
      <w:b/>
      <w:bCs/>
      <w:kern w:val="0"/>
      <w:lang w:val="zh-CN" w:eastAsia="zh-CN" w:bidi="ar-SA"/>
    </w:rPr>
  </w:style>
  <w:style w:type="character" w:customStyle="1" w:styleId="66">
    <w:name w:val="标题 7 Char"/>
    <w:basedOn w:val="52"/>
    <w:link w:val="8"/>
    <w:qFormat/>
    <w:uiPriority w:val="0"/>
    <w:rPr>
      <w:rFonts w:ascii="Times New Roman" w:hAnsi="Times New Roman" w:eastAsia="宋体" w:cs="Times New Roman"/>
      <w:b/>
      <w:bCs/>
      <w:kern w:val="0"/>
      <w:lang w:val="zh-CN" w:eastAsia="zh-CN" w:bidi="ar-SA"/>
    </w:rPr>
  </w:style>
  <w:style w:type="character" w:customStyle="1" w:styleId="67">
    <w:name w:val="标题 8 Char"/>
    <w:basedOn w:val="52"/>
    <w:link w:val="9"/>
    <w:uiPriority w:val="0"/>
    <w:rPr>
      <w:rFonts w:ascii="Arial" w:hAnsi="Arial" w:eastAsia="黑体" w:cs="Times New Roman"/>
      <w:kern w:val="0"/>
      <w:lang w:val="zh-CN" w:eastAsia="zh-CN" w:bidi="ar-SA"/>
    </w:rPr>
  </w:style>
  <w:style w:type="character" w:customStyle="1" w:styleId="68">
    <w:name w:val="标题 9 Char"/>
    <w:basedOn w:val="52"/>
    <w:link w:val="10"/>
    <w:qFormat/>
    <w:uiPriority w:val="0"/>
    <w:rPr>
      <w:rFonts w:ascii="Arial" w:hAnsi="Arial" w:eastAsia="黑体" w:cs="Times New Roman"/>
      <w:kern w:val="0"/>
      <w:sz w:val="20"/>
      <w:szCs w:val="21"/>
      <w:lang w:val="zh-CN" w:eastAsia="zh-CN" w:bidi="ar-SA"/>
    </w:rPr>
  </w:style>
  <w:style w:type="character" w:customStyle="1" w:styleId="69">
    <w:name w:val="页眉 Char"/>
    <w:basedOn w:val="52"/>
    <w:link w:val="38"/>
    <w:uiPriority w:val="0"/>
    <w:rPr>
      <w:rFonts w:asciiTheme="minorHAnsi" w:hAnsiTheme="minorHAnsi" w:eastAsiaTheme="minorEastAsia" w:cstheme="minorBidi"/>
      <w:sz w:val="18"/>
      <w:szCs w:val="18"/>
      <w:lang w:val="en-US" w:eastAsia="zh-CN" w:bidi="ar-SA"/>
    </w:rPr>
  </w:style>
  <w:style w:type="character" w:customStyle="1" w:styleId="70">
    <w:name w:val="页脚 Char"/>
    <w:basedOn w:val="52"/>
    <w:link w:val="36"/>
    <w:qFormat/>
    <w:uiPriority w:val="99"/>
    <w:rPr>
      <w:rFonts w:asciiTheme="minorHAnsi" w:hAnsiTheme="minorHAnsi" w:eastAsiaTheme="minorEastAsia" w:cstheme="minorBidi"/>
      <w:sz w:val="18"/>
      <w:szCs w:val="18"/>
      <w:lang w:val="en-US" w:eastAsia="zh-CN" w:bidi="ar-SA"/>
    </w:rPr>
  </w:style>
  <w:style w:type="character" w:customStyle="1" w:styleId="71">
    <w:name w:val="文档结构图 Char"/>
    <w:basedOn w:val="52"/>
    <w:link w:val="22"/>
    <w:qFormat/>
    <w:uiPriority w:val="0"/>
    <w:rPr>
      <w:rFonts w:ascii="Times New Roman" w:hAnsi="Times New Roman" w:eastAsia="宋体" w:cs="Times New Roman"/>
      <w:kern w:val="0"/>
      <w:sz w:val="20"/>
      <w:lang w:val="en-US" w:eastAsia="zh-CN" w:bidi="ar-SA"/>
    </w:rPr>
  </w:style>
  <w:style w:type="character" w:customStyle="1" w:styleId="72">
    <w:name w:val="批注文字 Char"/>
    <w:basedOn w:val="52"/>
    <w:link w:val="13"/>
    <w:qFormat/>
    <w:uiPriority w:val="99"/>
    <w:rPr>
      <w:rFonts w:asciiTheme="minorHAnsi" w:hAnsiTheme="minorHAnsi" w:eastAsiaTheme="minorEastAsia" w:cstheme="minorBidi"/>
      <w:lang w:val="en-US" w:eastAsia="zh-CN" w:bidi="ar-SA"/>
    </w:rPr>
  </w:style>
  <w:style w:type="character" w:customStyle="1" w:styleId="73">
    <w:name w:val="正文文本 3 Char"/>
    <w:basedOn w:val="52"/>
    <w:link w:val="23"/>
    <w:qFormat/>
    <w:uiPriority w:val="0"/>
    <w:rPr>
      <w:rFonts w:ascii="Times New Roman" w:hAnsi="Times New Roman" w:eastAsia="宋体" w:cs="Times New Roman"/>
      <w:kern w:val="0"/>
      <w:sz w:val="16"/>
      <w:szCs w:val="16"/>
      <w:lang w:val="en-US" w:eastAsia="zh-CN" w:bidi="ar-SA"/>
    </w:rPr>
  </w:style>
  <w:style w:type="character" w:customStyle="1" w:styleId="74">
    <w:name w:val="正文文本 Char"/>
    <w:basedOn w:val="52"/>
    <w:link w:val="16"/>
    <w:uiPriority w:val="0"/>
    <w:rPr>
      <w:rFonts w:asciiTheme="minorHAnsi" w:hAnsiTheme="minorHAnsi" w:eastAsiaTheme="minorEastAsia" w:cstheme="minorBidi"/>
      <w:lang w:val="en-US" w:eastAsia="zh-CN" w:bidi="ar-SA"/>
    </w:rPr>
  </w:style>
  <w:style w:type="character" w:customStyle="1" w:styleId="75">
    <w:name w:val="正文文本缩进 Char"/>
    <w:basedOn w:val="52"/>
    <w:link w:val="24"/>
    <w:qFormat/>
    <w:uiPriority w:val="0"/>
    <w:rPr>
      <w:rFonts w:ascii="宋体" w:hAnsi="宋体" w:eastAsia="宋体" w:cs="Times New Roman"/>
      <w:kern w:val="0"/>
      <w:sz w:val="28"/>
      <w:szCs w:val="28"/>
      <w:lang w:val="en-US" w:eastAsia="zh-CN" w:bidi="ar-SA"/>
    </w:rPr>
  </w:style>
  <w:style w:type="character" w:customStyle="1" w:styleId="76">
    <w:name w:val="纯文本 Char"/>
    <w:basedOn w:val="52"/>
    <w:link w:val="31"/>
    <w:qFormat/>
    <w:uiPriority w:val="99"/>
    <w:rPr>
      <w:rFonts w:ascii="宋体" w:hAnsi="Courier New" w:eastAsia="宋体" w:cs="Times New Roman"/>
      <w:kern w:val="0"/>
      <w:sz w:val="20"/>
      <w:szCs w:val="21"/>
      <w:lang w:val="en-US" w:eastAsia="zh-CN" w:bidi="ar-SA"/>
    </w:rPr>
  </w:style>
  <w:style w:type="character" w:customStyle="1" w:styleId="77">
    <w:name w:val="日期 Char"/>
    <w:basedOn w:val="52"/>
    <w:link w:val="33"/>
    <w:uiPriority w:val="0"/>
    <w:rPr>
      <w:rFonts w:ascii="Times New Roman" w:hAnsi="Times New Roman" w:eastAsia="宋体" w:cs="Times New Roman"/>
      <w:kern w:val="0"/>
      <w:sz w:val="20"/>
      <w:lang w:val="en-US" w:eastAsia="zh-CN" w:bidi="ar-SA"/>
    </w:rPr>
  </w:style>
  <w:style w:type="character" w:customStyle="1" w:styleId="78">
    <w:name w:val="正文文本缩进 2 Char"/>
    <w:basedOn w:val="52"/>
    <w:link w:val="34"/>
    <w:qFormat/>
    <w:uiPriority w:val="0"/>
    <w:rPr>
      <w:rFonts w:ascii="Times New Roman" w:hAnsi="Times New Roman" w:eastAsia="宋体" w:cs="Times New Roman"/>
      <w:kern w:val="0"/>
      <w:sz w:val="20"/>
      <w:lang w:val="en-US" w:eastAsia="zh-CN" w:bidi="ar-SA"/>
    </w:rPr>
  </w:style>
  <w:style w:type="character" w:customStyle="1" w:styleId="79">
    <w:name w:val="批注框文本 Char"/>
    <w:basedOn w:val="52"/>
    <w:link w:val="35"/>
    <w:semiHidden/>
    <w:qFormat/>
    <w:uiPriority w:val="0"/>
    <w:rPr>
      <w:rFonts w:ascii="Times New Roman" w:hAnsi="Times New Roman" w:eastAsia="宋体" w:cs="Times New Roman"/>
      <w:kern w:val="0"/>
      <w:sz w:val="18"/>
      <w:szCs w:val="18"/>
      <w:lang w:val="en-US" w:eastAsia="zh-CN" w:bidi="ar-SA"/>
    </w:rPr>
  </w:style>
  <w:style w:type="character" w:customStyle="1" w:styleId="80">
    <w:name w:val="正文文本缩进 3 Char"/>
    <w:basedOn w:val="52"/>
    <w:link w:val="43"/>
    <w:qFormat/>
    <w:uiPriority w:val="0"/>
    <w:rPr>
      <w:rFonts w:ascii="Times New Roman" w:hAnsi="Times New Roman" w:eastAsia="宋体" w:cs="Times New Roman"/>
      <w:kern w:val="0"/>
      <w:sz w:val="16"/>
      <w:szCs w:val="16"/>
      <w:lang w:val="en-US" w:eastAsia="zh-CN" w:bidi="ar-SA"/>
    </w:rPr>
  </w:style>
  <w:style w:type="character" w:customStyle="1" w:styleId="81">
    <w:name w:val="正文文本 2 Char"/>
    <w:basedOn w:val="52"/>
    <w:link w:val="46"/>
    <w:uiPriority w:val="0"/>
    <w:rPr>
      <w:rFonts w:ascii="Times New Roman" w:hAnsi="Times New Roman" w:eastAsia="宋体" w:cs="Times New Roman"/>
      <w:kern w:val="0"/>
      <w:sz w:val="20"/>
      <w:lang w:val="en-US" w:eastAsia="zh-CN" w:bidi="ar-SA"/>
    </w:rPr>
  </w:style>
  <w:style w:type="character" w:customStyle="1" w:styleId="82">
    <w:name w:val="标题 Char"/>
    <w:basedOn w:val="52"/>
    <w:link w:val="51"/>
    <w:qFormat/>
    <w:uiPriority w:val="99"/>
    <w:rPr>
      <w:rFonts w:ascii="Cambria" w:hAnsi="Cambria" w:eastAsia="黑体" w:cs="Times New Roman"/>
      <w:b/>
      <w:bCs/>
      <w:kern w:val="0"/>
      <w:sz w:val="32"/>
      <w:szCs w:val="32"/>
      <w:lang w:val="en-US" w:eastAsia="zh-CN" w:bidi="ar-SA"/>
    </w:rPr>
  </w:style>
  <w:style w:type="character" w:customStyle="1" w:styleId="83">
    <w:name w:val="批注主题 Char"/>
    <w:basedOn w:val="72"/>
    <w:link w:val="12"/>
    <w:semiHidden/>
    <w:uiPriority w:val="0"/>
    <w:rPr>
      <w:rFonts w:ascii="Times New Roman" w:hAnsi="Times New Roman" w:eastAsia="宋体" w:cs="Times New Roman"/>
      <w:b/>
      <w:bCs/>
      <w:kern w:val="0"/>
      <w:sz w:val="20"/>
    </w:rPr>
  </w:style>
  <w:style w:type="character" w:customStyle="1" w:styleId="84">
    <w:name w:val="正文首行缩进 Char"/>
    <w:basedOn w:val="74"/>
    <w:link w:val="15"/>
    <w:uiPriority w:val="0"/>
    <w:rPr>
      <w:rFonts w:ascii="Times New Roman" w:hAnsi="Times New Roman" w:eastAsia="宋体" w:cs="Times New Roman"/>
      <w:kern w:val="0"/>
      <w:sz w:val="20"/>
    </w:rPr>
  </w:style>
  <w:style w:type="character" w:customStyle="1" w:styleId="85">
    <w:name w:val="正文首行缩进 2 Char"/>
    <w:basedOn w:val="75"/>
    <w:link w:val="37"/>
    <w:qFormat/>
    <w:uiPriority w:val="0"/>
    <w:rPr>
      <w:szCs w:val="24"/>
    </w:rPr>
  </w:style>
  <w:style w:type="character" w:customStyle="1" w:styleId="86">
    <w:name w:val="font51"/>
    <w:qFormat/>
    <w:uiPriority w:val="0"/>
    <w:rPr>
      <w:rFonts w:hint="default" w:ascii="Times New Roman" w:hAnsi="Times New Roman" w:eastAsia="仿宋_GB2312" w:cs="Times New Roman"/>
      <w:b/>
      <w:color w:val="000000"/>
      <w:kern w:val="2"/>
      <w:sz w:val="24"/>
      <w:szCs w:val="24"/>
      <w:u w:val="none"/>
      <w:lang w:val="en-US" w:eastAsia="zh-CN" w:bidi="ar-SA"/>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89">
    <w:name w:val="Char Char3"/>
    <w:qFormat/>
    <w:uiPriority w:val="0"/>
    <w:rPr>
      <w:rFonts w:ascii="Times New Roman" w:hAnsi="Times New Roman" w:eastAsia="宋体" w:cstheme="minorBidi"/>
      <w:kern w:val="2"/>
      <w:sz w:val="18"/>
      <w:szCs w:val="18"/>
      <w:lang w:val="en-US" w:eastAsia="zh-CN" w:bidi="ar-SA"/>
    </w:rPr>
  </w:style>
  <w:style w:type="character" w:customStyle="1" w:styleId="90">
    <w:name w:val="font61"/>
    <w:qFormat/>
    <w:uiPriority w:val="0"/>
    <w:rPr>
      <w:rFonts w:hint="default" w:ascii="Times New Roman" w:hAnsi="Times New Roman" w:eastAsia="仿宋_GB2312" w:cs="Times New Roman"/>
      <w:color w:val="000000"/>
      <w:kern w:val="2"/>
      <w:sz w:val="24"/>
      <w:szCs w:val="24"/>
      <w:u w:val="none"/>
      <w:lang w:val="en-US" w:eastAsia="zh-CN" w:bidi="ar-SA"/>
    </w:rPr>
  </w:style>
  <w:style w:type="character" w:customStyle="1" w:styleId="91">
    <w:name w:val="font21"/>
    <w:qFormat/>
    <w:uiPriority w:val="0"/>
    <w:rPr>
      <w:rFonts w:hint="default" w:ascii="Times New Roman" w:hAnsi="Times New Roman" w:eastAsia="仿宋_GB2312" w:cs="Times New Roman"/>
      <w:color w:val="000000"/>
      <w:kern w:val="2"/>
      <w:sz w:val="24"/>
      <w:szCs w:val="24"/>
      <w:u w:val="none"/>
      <w:vertAlign w:val="superscript"/>
      <w:lang w:val="en-US" w:eastAsia="zh-CN" w:bidi="ar-SA"/>
    </w:rPr>
  </w:style>
  <w:style w:type="character" w:customStyle="1" w:styleId="92">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3">
    <w:name w:val="zbggmain style9"/>
    <w:basedOn w:val="52"/>
    <w:qFormat/>
    <w:uiPriority w:val="0"/>
    <w:rPr>
      <w:rFonts w:ascii="Times New Roman" w:hAnsi="Times New Roman" w:eastAsia="仿宋_GB2312" w:cstheme="minorBidi"/>
      <w:kern w:val="2"/>
      <w:sz w:val="32"/>
      <w:szCs w:val="22"/>
      <w:lang w:val="en-US" w:eastAsia="zh-CN" w:bidi="ar-SA"/>
    </w:rPr>
  </w:style>
  <w:style w:type="character" w:customStyle="1" w:styleId="94">
    <w:name w:val="px1233"/>
    <w:basedOn w:val="52"/>
    <w:uiPriority w:val="0"/>
    <w:rPr>
      <w:rFonts w:ascii="Times New Roman" w:hAnsi="Times New Roman" w:eastAsia="仿宋_GB2312" w:cstheme="minorBidi"/>
      <w:kern w:val="2"/>
      <w:sz w:val="32"/>
      <w:szCs w:val="22"/>
      <w:lang w:val="en-US" w:eastAsia="zh-CN" w:bidi="ar-SA"/>
    </w:rPr>
  </w:style>
  <w:style w:type="character" w:customStyle="1" w:styleId="95">
    <w:name w:val="font11"/>
    <w:qFormat/>
    <w:uiPriority w:val="0"/>
    <w:rPr>
      <w:rFonts w:hint="default" w:ascii="Times New Roman" w:hAnsi="Times New Roman" w:eastAsia="仿宋_GB2312" w:cs="Times New Roman"/>
      <w:color w:val="000000"/>
      <w:kern w:val="2"/>
      <w:sz w:val="21"/>
      <w:szCs w:val="21"/>
      <w:u w:val="none"/>
      <w:lang w:val="en-US" w:eastAsia="zh-CN" w:bidi="ar-SA"/>
    </w:rPr>
  </w:style>
  <w:style w:type="character" w:customStyle="1" w:styleId="96">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7">
    <w:name w:val="正文文本字符"/>
    <w:uiPriority w:val="0"/>
    <w:rPr>
      <w:rFonts w:ascii="Times New Roman" w:hAnsi="Times New Roman" w:eastAsia="宋体" w:cs="Times New Roman"/>
      <w:kern w:val="0"/>
      <w:sz w:val="20"/>
      <w:szCs w:val="24"/>
      <w:lang w:val="en-US" w:eastAsia="zh-CN" w:bidi="ar-SA"/>
    </w:rPr>
  </w:style>
  <w:style w:type="character" w:customStyle="1" w:styleId="98">
    <w:name w:val="Char Char2"/>
    <w:qFormat/>
    <w:uiPriority w:val="0"/>
    <w:rPr>
      <w:rFonts w:ascii="Times New Roman" w:hAnsi="Times New Roman" w:eastAsia="宋体" w:cstheme="minorBidi"/>
      <w:kern w:val="2"/>
      <w:sz w:val="18"/>
      <w:szCs w:val="18"/>
      <w:lang w:val="en-US" w:eastAsia="zh-CN" w:bidi="ar-SA"/>
    </w:rPr>
  </w:style>
  <w:style w:type="character" w:customStyle="1" w:styleId="99">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100">
    <w:name w:val="样式1"/>
    <w:basedOn w:val="5"/>
    <w:qFormat/>
    <w:uiPriority w:val="99"/>
    <w:pPr>
      <w:tabs>
        <w:tab w:val="left" w:pos="864"/>
      </w:tabs>
      <w:spacing w:before="120" w:after="120" w:line="360" w:lineRule="auto"/>
      <w:ind w:left="864" w:hanging="864"/>
    </w:pPr>
    <w:rPr>
      <w:b w:val="0"/>
      <w:bCs w:val="0"/>
    </w:rPr>
  </w:style>
  <w:style w:type="paragraph" w:customStyle="1" w:styleId="101">
    <w:name w:val="Char Char Char1 Char Char Char Char"/>
    <w:basedOn w:val="1"/>
    <w:uiPriority w:val="0"/>
    <w:rPr>
      <w:rFonts w:ascii="Times New Roman" w:hAnsi="Times New Roman" w:eastAsia="宋体" w:cs="Times New Roman"/>
      <w:sz w:val="21"/>
    </w:rPr>
  </w:style>
  <w:style w:type="paragraph" w:customStyle="1" w:styleId="102">
    <w:name w:val="Char Char Char Char Char Char"/>
    <w:basedOn w:val="1"/>
    <w:qFormat/>
    <w:uiPriority w:val="0"/>
    <w:rPr>
      <w:rFonts w:ascii="Times New Roman" w:hAnsi="Times New Roman" w:eastAsia="宋体" w:cs="Times New Roman"/>
      <w:sz w:val="21"/>
    </w:rPr>
  </w:style>
  <w:style w:type="character" w:customStyle="1" w:styleId="103">
    <w:name w:val="批注框文本字符1"/>
    <w:basedOn w:val="52"/>
    <w:semiHidden/>
    <w:qFormat/>
    <w:uiPriority w:val="99"/>
    <w:rPr>
      <w:rFonts w:ascii="Heiti SC Light" w:hAnsi="Times New Roman" w:eastAsia="Heiti SC Light" w:cstheme="minorBidi"/>
      <w:kern w:val="2"/>
      <w:sz w:val="18"/>
      <w:szCs w:val="18"/>
      <w:lang w:val="en-US" w:eastAsia="zh-CN" w:bidi="ar-SA"/>
    </w:rPr>
  </w:style>
  <w:style w:type="character" w:customStyle="1" w:styleId="104">
    <w:name w:val="日期字符1"/>
    <w:basedOn w:val="52"/>
    <w:semiHidden/>
    <w:qFormat/>
    <w:uiPriority w:val="99"/>
    <w:rPr>
      <w:rFonts w:ascii="Times New Roman" w:hAnsi="Times New Roman" w:eastAsia="仿宋_GB2312" w:cstheme="minorBidi"/>
      <w:kern w:val="2"/>
      <w:sz w:val="32"/>
      <w:szCs w:val="22"/>
      <w:lang w:val="en-US" w:eastAsia="zh-CN" w:bidi="ar-SA"/>
    </w:rPr>
  </w:style>
  <w:style w:type="character" w:customStyle="1" w:styleId="105">
    <w:name w:val="纯文本字符1"/>
    <w:basedOn w:val="52"/>
    <w:semiHidden/>
    <w:qFormat/>
    <w:uiPriority w:val="99"/>
    <w:rPr>
      <w:rFonts w:ascii="宋体" w:hAnsi="Courier" w:eastAsia="宋体" w:cstheme="minorBidi"/>
      <w:kern w:val="2"/>
      <w:sz w:val="32"/>
      <w:szCs w:val="22"/>
      <w:lang w:val="en-US" w:eastAsia="zh-CN" w:bidi="ar-SA"/>
    </w:rPr>
  </w:style>
  <w:style w:type="character" w:customStyle="1" w:styleId="106">
    <w:name w:val="批注主题字符1"/>
    <w:basedOn w:val="72"/>
    <w:semiHidden/>
    <w:qFormat/>
    <w:uiPriority w:val="99"/>
    <w:rPr>
      <w:rFonts w:asciiTheme="minorHAnsi" w:hAnsiTheme="minorHAnsi" w:eastAsiaTheme="minorEastAsia" w:cstheme="minorBidi"/>
      <w:b/>
      <w:bCs/>
      <w:kern w:val="2"/>
      <w:sz w:val="24"/>
      <w:szCs w:val="24"/>
      <w:lang w:val="en-US" w:eastAsia="zh-CN" w:bidi="ar-SA"/>
    </w:rPr>
  </w:style>
  <w:style w:type="paragraph" w:customStyle="1" w:styleId="107">
    <w:name w:val="Char Char Char Char"/>
    <w:basedOn w:val="1"/>
    <w:qFormat/>
    <w:uiPriority w:val="0"/>
    <w:rPr>
      <w:rFonts w:ascii="Times New Roman" w:hAnsi="Times New Roman" w:eastAsia="宋体" w:cs="Times New Roman"/>
      <w:sz w:val="21"/>
    </w:rPr>
  </w:style>
  <w:style w:type="character" w:customStyle="1" w:styleId="108">
    <w:name w:val="正文首行缩进字符1"/>
    <w:basedOn w:val="74"/>
    <w:semiHidden/>
    <w:qFormat/>
    <w:uiPriority w:val="99"/>
    <w:rPr>
      <w:rFonts w:asciiTheme="minorHAnsi" w:hAnsiTheme="minorHAnsi" w:eastAsiaTheme="minorEastAsia" w:cstheme="minorBidi"/>
      <w:kern w:val="2"/>
      <w:sz w:val="24"/>
      <w:szCs w:val="24"/>
      <w:lang w:val="en-US" w:eastAsia="zh-CN" w:bidi="ar-SA"/>
    </w:rPr>
  </w:style>
  <w:style w:type="character" w:customStyle="1" w:styleId="109">
    <w:name w:val="正文文本缩进 3字符1"/>
    <w:basedOn w:val="52"/>
    <w:semiHidden/>
    <w:qFormat/>
    <w:uiPriority w:val="99"/>
    <w:rPr>
      <w:rFonts w:ascii="Times New Roman" w:hAnsi="Times New Roman" w:eastAsia="仿宋_GB2312" w:cstheme="minorBidi"/>
      <w:kern w:val="2"/>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 w:val="21"/>
      <w:szCs w:val="21"/>
    </w:rPr>
  </w:style>
  <w:style w:type="character" w:customStyle="1" w:styleId="111">
    <w:name w:val="文档结构图 字符1"/>
    <w:basedOn w:val="52"/>
    <w:semiHidden/>
    <w:qFormat/>
    <w:uiPriority w:val="99"/>
    <w:rPr>
      <w:rFonts w:ascii="Heiti SC Light" w:hAnsi="Times New Roman" w:eastAsia="Heiti SC Light" w:cstheme="minorBidi"/>
      <w:kern w:val="2"/>
      <w:sz w:val="32"/>
      <w:szCs w:val="22"/>
      <w:lang w:val="en-US" w:eastAsia="zh-CN" w:bidi="ar-SA"/>
    </w:rPr>
  </w:style>
  <w:style w:type="character" w:customStyle="1" w:styleId="112">
    <w:name w:val="正文文本 3字符1"/>
    <w:basedOn w:val="52"/>
    <w:semiHidden/>
    <w:qFormat/>
    <w:uiPriority w:val="99"/>
    <w:rPr>
      <w:rFonts w:ascii="Times New Roman" w:hAnsi="Times New Roman" w:eastAsia="仿宋_GB2312" w:cstheme="minorBidi"/>
      <w:kern w:val="2"/>
      <w:sz w:val="16"/>
      <w:szCs w:val="16"/>
      <w:lang w:val="en-US" w:eastAsia="zh-CN" w:bidi="ar-SA"/>
    </w:rPr>
  </w:style>
  <w:style w:type="character" w:customStyle="1" w:styleId="113">
    <w:name w:val="正文文本缩进字符1"/>
    <w:basedOn w:val="52"/>
    <w:semiHidden/>
    <w:qFormat/>
    <w:uiPriority w:val="99"/>
    <w:rPr>
      <w:rFonts w:ascii="Times New Roman" w:hAnsi="Times New Roman" w:eastAsia="仿宋_GB2312" w:cstheme="minorBidi"/>
      <w:kern w:val="2"/>
      <w:sz w:val="32"/>
      <w:szCs w:val="22"/>
      <w:lang w:val="en-US" w:eastAsia="zh-CN" w:bidi="ar-SA"/>
    </w:rPr>
  </w:style>
  <w:style w:type="character" w:customStyle="1" w:styleId="114">
    <w:name w:val="正文文本缩进 2字符1"/>
    <w:basedOn w:val="52"/>
    <w:semiHidden/>
    <w:qFormat/>
    <w:uiPriority w:val="99"/>
    <w:rPr>
      <w:rFonts w:ascii="Times New Roman" w:hAnsi="Times New Roman" w:eastAsia="仿宋_GB2312" w:cstheme="minorBidi"/>
      <w:kern w:val="2"/>
      <w:sz w:val="32"/>
      <w:szCs w:val="22"/>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页脚字符1"/>
    <w:basedOn w:val="52"/>
    <w:semiHidden/>
    <w:qFormat/>
    <w:uiPriority w:val="99"/>
    <w:rPr>
      <w:rFonts w:ascii="Times New Roman" w:hAnsi="Times New Roman" w:eastAsia="仿宋_GB2312" w:cstheme="minorBidi"/>
      <w:kern w:val="2"/>
      <w:sz w:val="18"/>
      <w:szCs w:val="18"/>
      <w:lang w:val="en-US" w:eastAsia="zh-CN" w:bidi="ar-SA"/>
    </w:rPr>
  </w:style>
  <w:style w:type="character" w:customStyle="1" w:styleId="118">
    <w:name w:val="正文首行缩进 2字符1"/>
    <w:basedOn w:val="113"/>
    <w:semiHidden/>
    <w:qFormat/>
    <w:uiPriority w:val="99"/>
    <w:rPr>
      <w:rFonts w:ascii="Times New Roman" w:hAnsi="Times New Roman" w:eastAsia="仿宋_GB2312" w:cstheme="minorBidi"/>
      <w:kern w:val="2"/>
      <w:sz w:val="32"/>
      <w:szCs w:val="22"/>
      <w:lang w:val="en-US" w:eastAsia="zh-CN" w:bidi="ar-SA"/>
    </w:rPr>
  </w:style>
  <w:style w:type="character" w:customStyle="1" w:styleId="119">
    <w:name w:val="页眉字符1"/>
    <w:basedOn w:val="52"/>
    <w:semiHidden/>
    <w:qFormat/>
    <w:uiPriority w:val="99"/>
    <w:rPr>
      <w:rFonts w:ascii="Times New Roman" w:hAnsi="Times New Roman" w:eastAsia="仿宋_GB2312" w:cstheme="minorBidi"/>
      <w:kern w:val="2"/>
      <w:sz w:val="18"/>
      <w:szCs w:val="18"/>
      <w:lang w:val="en-US" w:eastAsia="zh-CN" w:bidi="ar-SA"/>
    </w:rPr>
  </w:style>
  <w:style w:type="character" w:customStyle="1" w:styleId="120">
    <w:name w:val="正文文本 2字符1"/>
    <w:basedOn w:val="52"/>
    <w:semiHidden/>
    <w:qFormat/>
    <w:uiPriority w:val="99"/>
    <w:rPr>
      <w:rFonts w:ascii="Times New Roman" w:hAnsi="Times New Roman" w:eastAsia="仿宋_GB2312" w:cstheme="minorBidi"/>
      <w:kern w:val="2"/>
      <w:sz w:val="32"/>
      <w:szCs w:val="22"/>
      <w:lang w:val="en-US" w:eastAsia="zh-CN" w:bidi="ar-SA"/>
    </w:rPr>
  </w:style>
  <w:style w:type="character" w:customStyle="1" w:styleId="121">
    <w:name w:val="标题字符1"/>
    <w:basedOn w:val="52"/>
    <w:uiPriority w:val="10"/>
    <w:rPr>
      <w:rFonts w:eastAsia="宋体" w:asciiTheme="majorHAnsi" w:hAnsiTheme="majorHAnsi" w:cstheme="majorBidi"/>
      <w:b/>
      <w:bCs/>
      <w:kern w:val="2"/>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列出段落2"/>
    <w:basedOn w:val="1"/>
    <w:qFormat/>
    <w:uiPriority w:val="0"/>
    <w:pPr>
      <w:spacing w:line="400" w:lineRule="exact"/>
      <w:ind w:firstLine="420" w:firstLineChars="200"/>
      <w:contextualSpacing/>
    </w:pPr>
  </w:style>
  <w:style w:type="character" w:customStyle="1" w:styleId="142">
    <w:name w:val="正文缩进 Char"/>
    <w:link w:val="18"/>
    <w:locked/>
    <w:uiPriority w:val="99"/>
    <w:rPr>
      <w:rFonts w:ascii="Times New Roman" w:hAnsi="Times New Roman" w:eastAsia="宋体" w:cs="Times New Roman"/>
      <w:sz w:val="21"/>
      <w:szCs w:val="20"/>
      <w:lang w:val="en-US" w:eastAsia="zh-CN" w:bidi="ar-SA"/>
    </w:rPr>
  </w:style>
  <w:style w:type="paragraph" w:customStyle="1" w:styleId="143">
    <w:name w:val="子项位"/>
    <w:basedOn w:val="1"/>
    <w:uiPriority w:val="99"/>
    <w:pPr>
      <w:tabs>
        <w:tab w:val="left" w:pos="1531"/>
      </w:tabs>
      <w:adjustRightInd w:val="0"/>
      <w:snapToGrid w:val="0"/>
      <w:spacing w:before="120"/>
      <w:ind w:left="1531" w:hanging="397"/>
      <w:jc w:val="left"/>
    </w:pPr>
    <w:rPr>
      <w:rFonts w:ascii="Times New Roman" w:hAnsi="Times New Roman" w:eastAsia="宋体" w:cs="Times New Roman"/>
      <w:kern w:val="0"/>
      <w:sz w:val="28"/>
      <w:szCs w:val="20"/>
    </w:rPr>
  </w:style>
  <w:style w:type="paragraph" w:customStyle="1" w:styleId="144">
    <w:name w:val="正文1"/>
    <w:uiPriority w:val="99"/>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145">
    <w:name w:val="List Paragraph"/>
    <w:basedOn w:val="1"/>
    <w:qFormat/>
    <w:uiPriority w:val="99"/>
    <w:pPr>
      <w:ind w:firstLine="420" w:firstLineChars="200"/>
    </w:pPr>
    <w:rPr>
      <w:rFonts w:ascii="Cambria" w:hAnsi="Cambria" w:eastAsia="宋体"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64</Pages>
  <Words>5575</Words>
  <Characters>31784</Characters>
  <Lines>264</Lines>
  <Paragraphs>74</Paragraphs>
  <TotalTime>0</TotalTime>
  <ScaleCrop>false</ScaleCrop>
  <LinksUpToDate>false</LinksUpToDate>
  <CharactersWithSpaces>37285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2019-06-05T01:40:00Z</dcterms:created>
  <dc:creator>钟鸣</dc:creator>
  <cp:lastModifiedBy>zbzx-jsx</cp:lastModifiedBy>
  <dcterms:modified xsi:type="dcterms:W3CDTF">2019-09-06T07:36:13Z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