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杭州萧山国际机场航站区</w:t>
      </w:r>
    </w:p>
    <w:p>
      <w:pPr>
        <w:autoSpaceDE w:val="0"/>
        <w:autoSpaceDN w:val="0"/>
        <w:adjustRightInd w:val="0"/>
        <w:jc w:val="center"/>
        <w:rPr>
          <w:rFonts w:eastAsia="黑体" w:cs="Calibri"/>
          <w:b/>
          <w:sz w:val="44"/>
          <w:szCs w:val="44"/>
        </w:rPr>
      </w:pPr>
      <w:r>
        <w:rPr>
          <w:rFonts w:hint="eastAsia" w:eastAsia="黑体" w:cs="Calibri"/>
          <w:b/>
          <w:sz w:val="44"/>
          <w:szCs w:val="44"/>
        </w:rPr>
        <w:t>花堆（硬质景观及名贵花木项）提升项目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jc w:val="center"/>
        <w:rPr>
          <w:rFonts w:ascii="Calibri" w:hAnsi="Calibri" w:eastAsia="隶书" w:cs="Calibri"/>
          <w:sz w:val="32"/>
        </w:rPr>
      </w:pPr>
    </w:p>
    <w:p>
      <w:pPr>
        <w:pStyle w:val="21"/>
        <w:spacing w:line="480" w:lineRule="auto"/>
        <w:rPr>
          <w:rFonts w:ascii="Calibri" w:hAnsi="Calibri" w:eastAsia="隶书" w:cs="Calibri"/>
          <w:sz w:val="32"/>
        </w:rPr>
      </w:pPr>
    </w:p>
    <w:p>
      <w:pPr>
        <w:pStyle w:val="21"/>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1"/>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 xml:space="preserve"> 九 </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0"/>
        <w:rPr>
          <w:rFonts w:ascii="Calibri" w:cs="Calibri"/>
          <w:b/>
          <w:color w:val="000000"/>
          <w:sz w:val="44"/>
        </w:rPr>
      </w:pPr>
      <w:bookmarkStart w:id="3" w:name="_Toc349011855"/>
      <w:bookmarkStart w:id="4" w:name="_Toc386363314"/>
      <w:bookmarkStart w:id="5" w:name="_Toc349007685"/>
      <w:bookmarkStart w:id="6" w:name="_Toc386359390"/>
      <w:r>
        <w:rPr>
          <w:rFonts w:hint="eastAsia" w:ascii="Calibri" w:cs="Calibri"/>
          <w:b/>
          <w:color w:val="000000"/>
          <w:sz w:val="44"/>
        </w:rPr>
        <w:t xml:space="preserve"> </w:t>
      </w:r>
    </w:p>
    <w:p>
      <w:pPr>
        <w:pStyle w:val="30"/>
        <w:rPr>
          <w:rFonts w:ascii="Calibri" w:hAnsi="Calibri" w:cs="Calibri"/>
          <w:b/>
          <w:color w:val="000000"/>
          <w:sz w:val="44"/>
        </w:rPr>
      </w:pPr>
      <w:bookmarkStart w:id="7" w:name="_Toc444811406"/>
      <w:bookmarkStart w:id="8" w:name="_Toc448002981"/>
      <w:bookmarkStart w:id="9" w:name="_Toc400369182"/>
      <w:bookmarkStart w:id="10" w:name="_Toc444173456"/>
      <w:bookmarkStart w:id="11" w:name="_Toc44417497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30"/>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50"/>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50"/>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50"/>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50"/>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33</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50"/>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45</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0"/>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50"/>
          <w:rFonts w:hint="eastAsia" w:ascii="黑体" w:hAnsi="黑体" w:eastAsia="黑体" w:cs="Calibri"/>
          <w:kern w:val="0"/>
          <w:sz w:val="22"/>
          <w:szCs w:val="22"/>
        </w:rPr>
        <w:t>第五章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48</w:t>
      </w:r>
      <w:r>
        <w:rPr>
          <w:rFonts w:ascii="黑体" w:hAnsi="黑体" w:eastAsia="黑体"/>
          <w:sz w:val="22"/>
          <w:szCs w:val="22"/>
        </w:rPr>
        <w:t xml:space="preserve">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2"/>
        <w:spacing w:before="0" w:after="0" w:line="360" w:lineRule="auto"/>
        <w:jc w:val="center"/>
        <w:rPr>
          <w:rFonts w:ascii="Calibri" w:eastAsia="黑体" w:cs="Calibri"/>
          <w:kern w:val="0"/>
          <w:sz w:val="32"/>
        </w:rPr>
      </w:pPr>
      <w:r>
        <w:rPr>
          <w:rFonts w:ascii="Calibri" w:hAnsi="Calibri" w:cs="Calibri"/>
          <w:color w:val="000000"/>
        </w:rPr>
        <w:br w:type="page"/>
      </w:r>
      <w:bookmarkStart w:id="12" w:name="_Toc24784"/>
      <w:bookmarkStart w:id="13" w:name="_Toc7641"/>
      <w:bookmarkStart w:id="14" w:name="_Toc6832"/>
      <w:bookmarkStart w:id="15" w:name="_Toc8110"/>
      <w:bookmarkStart w:id="16" w:name="_Toc6581"/>
      <w:bookmarkStart w:id="17" w:name="_Toc22293"/>
      <w:bookmarkStart w:id="18" w:name="_Toc24932"/>
      <w:bookmarkStart w:id="19" w:name="_Toc14628"/>
      <w:bookmarkStart w:id="20" w:name="_Toc18642"/>
      <w:bookmarkStart w:id="21" w:name="_Toc448002982"/>
      <w:bookmarkStart w:id="22" w:name="_Toc248766631"/>
      <w:bookmarkStart w:id="23" w:name="_Toc249322950"/>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bookmarkStart w:id="24" w:name="OLE_LINK1"/>
      <w:bookmarkStart w:id="117" w:name="_GoBack"/>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rPr>
        <w:t>航站区花堆（硬质景观及名贵花木项）提升</w:t>
      </w:r>
      <w:r>
        <w:rPr>
          <w:rFonts w:ascii="宋体" w:hAnsi="宋体" w:cs="Arial"/>
          <w:kern w:val="0"/>
          <w:sz w:val="22"/>
        </w:rPr>
        <w:t>项目</w:t>
      </w:r>
      <w:r>
        <w:rPr>
          <w:rFonts w:hint="eastAsia" w:ascii="宋体" w:hAnsi="宋体" w:cs="Arial"/>
          <w:kern w:val="0"/>
          <w:sz w:val="22"/>
        </w:rPr>
        <w:t>已批准建设，项目业主为杭州萧山国际机场有限公司，建设资金来源为自筹。项目已具备招标条件，现对本项目进行公开招标。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u w:val="single"/>
        </w:rPr>
        <w:t>T3到达夹层</w:t>
      </w:r>
      <w:r>
        <w:rPr>
          <w:rFonts w:ascii="宋体" w:hAnsi="宋体" w:cs="Arial"/>
          <w:kern w:val="0"/>
          <w:sz w:val="22"/>
        </w:rPr>
        <w:t>，</w:t>
      </w:r>
      <w:r>
        <w:rPr>
          <w:rFonts w:hint="eastAsia" w:ascii="宋体" w:hAnsi="宋体" w:cs="Arial"/>
          <w:kern w:val="0"/>
          <w:sz w:val="22"/>
        </w:rPr>
        <w:t>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（3）招标内容：航站楼T3到达夹层在元旦、五一、国庆、春节期间的节日花堆（</w:t>
      </w:r>
      <w:r>
        <w:rPr>
          <w:rFonts w:hint="eastAsia" w:ascii="宋体" w:hAnsi="宋体" w:cs="Arial"/>
          <w:kern w:val="0"/>
          <w:sz w:val="22"/>
          <w:u w:val="single"/>
        </w:rPr>
        <w:t>硬质景观及名贵花木项</w:t>
      </w:r>
      <w:r>
        <w:rPr>
          <w:rFonts w:hint="eastAsia" w:ascii="宋体" w:hAnsi="宋体" w:cs="Arial"/>
          <w:kern w:val="0"/>
          <w:sz w:val="22"/>
        </w:rPr>
        <w:t>）造景布置与养护工作。租赁</w:t>
      </w:r>
      <w:r>
        <w:rPr>
          <w:rFonts w:hint="eastAsia" w:ascii="宋体" w:hAnsi="宋体" w:cs="Calibri"/>
          <w:kern w:val="0"/>
          <w:sz w:val="22"/>
        </w:rPr>
        <w:t>包括但不限于：硬质景观造型设计制作、硬质景观和</w:t>
      </w:r>
      <w:r>
        <w:rPr>
          <w:rFonts w:hint="eastAsia" w:ascii="宋体" w:hAnsi="宋体" w:cs="Arial"/>
          <w:kern w:val="0"/>
          <w:sz w:val="22"/>
          <w:u w:val="single"/>
        </w:rPr>
        <w:t>名贵花木的</w:t>
      </w:r>
      <w:r>
        <w:rPr>
          <w:rFonts w:hint="eastAsia" w:ascii="宋体" w:hAnsi="宋体" w:cs="Calibri"/>
          <w:kern w:val="0"/>
          <w:sz w:val="22"/>
        </w:rPr>
        <w:t>供货、运输（包括卸车）、组装、调试、摆放、验收及售后服务等内容。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（4）服务期：2019年10月1日至2020年5月30日，一个布展周期。</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1</w:t>
      </w:r>
      <w:r>
        <w:rPr>
          <w:rFonts w:hint="eastAsia" w:ascii="宋体" w:hAnsi="宋体" w:cs="Arial"/>
          <w:kern w:val="0"/>
          <w:sz w:val="22"/>
        </w:rPr>
        <w:t>）</w:t>
      </w:r>
      <w:r>
        <w:rPr>
          <w:rFonts w:ascii="宋体" w:hAnsi="宋体" w:cs="Arial"/>
          <w:kern w:val="0"/>
          <w:sz w:val="22"/>
        </w:rPr>
        <w:t>具有独立法人资格、持有有效营业执照</w:t>
      </w:r>
      <w:r>
        <w:rPr>
          <w:rFonts w:hint="eastAsia" w:ascii="宋体" w:hAnsi="宋体" w:cs="Arial"/>
          <w:kern w:val="0"/>
          <w:sz w:val="22"/>
        </w:rPr>
        <w:t>，</w:t>
      </w:r>
      <w:r>
        <w:rPr>
          <w:rStyle w:val="81"/>
          <w:rFonts w:hint="eastAsia" w:cs="宋体" w:asciiTheme="minorEastAsia" w:hAnsiTheme="minorEastAsia"/>
          <w:sz w:val="22"/>
        </w:rPr>
        <w:t>注册资金不少于人民币</w:t>
      </w:r>
      <w:r>
        <w:rPr>
          <w:rStyle w:val="81"/>
          <w:rFonts w:cs="宋体" w:asciiTheme="minorEastAsia" w:hAnsiTheme="minorEastAsia"/>
          <w:sz w:val="22"/>
          <w:u w:val="single"/>
        </w:rPr>
        <w:t>100</w:t>
      </w:r>
      <w:r>
        <w:rPr>
          <w:rStyle w:val="81"/>
          <w:rFonts w:hint="eastAsia" w:cs="宋体" w:asciiTheme="minorEastAsia" w:hAnsiTheme="minorEastAsia"/>
          <w:sz w:val="22"/>
        </w:rPr>
        <w:t>万元或等值外币(按投标截止日中国人民银行公布的汇率中间价换算)</w:t>
      </w:r>
      <w:r>
        <w:rPr>
          <w:rFonts w:hint="eastAsia" w:ascii="宋体" w:hAnsi="宋体" w:cs="Arial"/>
          <w:kern w:val="0"/>
          <w:sz w:val="22"/>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2</w:t>
      </w:r>
      <w:r>
        <w:rPr>
          <w:rFonts w:hint="eastAsia" w:ascii="宋体" w:hAnsi="宋体" w:cs="Arial"/>
          <w:kern w:val="0"/>
          <w:sz w:val="22"/>
        </w:rPr>
        <w:t>）依据最高人民法院等九部门《关于在招标投标活动中对失信被执行人实施联合惩戒的通知》，投标人不得为失信被执行人。（通过信用中国网站www.creditchina.gov.cn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（3）近年（201</w:t>
      </w:r>
      <w:r>
        <w:rPr>
          <w:rFonts w:ascii="宋体" w:hAnsi="宋体" w:cs="Arial"/>
          <w:kern w:val="0"/>
          <w:sz w:val="22"/>
        </w:rPr>
        <w:t>6</w:t>
      </w:r>
      <w:r>
        <w:rPr>
          <w:rFonts w:hint="eastAsia" w:ascii="宋体" w:hAnsi="宋体" w:cs="Arial"/>
          <w:kern w:val="0"/>
          <w:sz w:val="22"/>
        </w:rPr>
        <w:t>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26</w:t>
      </w:r>
      <w:r>
        <w:rPr>
          <w:rFonts w:hint="eastAsia" w:ascii="宋体" w:hAnsi="宋体" w:cs="Arial"/>
          <w:kern w:val="0"/>
          <w:sz w:val="22"/>
        </w:rPr>
        <w:t>日上午9时00分（北京时间）。投标文件在封口处加盖公章，并派专人于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26</w:t>
      </w:r>
      <w:r>
        <w:rPr>
          <w:rFonts w:hint="eastAsia" w:ascii="宋体" w:hAnsi="宋体" w:cs="Arial"/>
          <w:kern w:val="0"/>
          <w:sz w:val="22"/>
        </w:rPr>
        <w:t>日上午9时00分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kern w:val="0"/>
          <w:sz w:val="22"/>
        </w:rPr>
        <w:t>2019年</w:t>
      </w:r>
      <w:r>
        <w:rPr>
          <w:rFonts w:hint="eastAsia" w:ascii="宋体" w:hAnsi="宋体" w:cs="Arial"/>
          <w:kern w:val="0"/>
          <w:sz w:val="22"/>
          <w:lang w:val="en-US" w:eastAsia="zh-CN"/>
        </w:rPr>
        <w:t>9</w:t>
      </w:r>
      <w:r>
        <w:rPr>
          <w:rFonts w:hint="eastAsia" w:ascii="宋体" w:hAnsi="宋体" w:cs="Arial"/>
          <w:kern w:val="0"/>
          <w:sz w:val="22"/>
        </w:rPr>
        <w:t>月</w:t>
      </w:r>
      <w:r>
        <w:rPr>
          <w:rFonts w:hint="eastAsia" w:ascii="宋体" w:hAnsi="宋体" w:cs="Arial"/>
          <w:kern w:val="0"/>
          <w:sz w:val="22"/>
          <w:lang w:val="en-US" w:eastAsia="zh-CN"/>
        </w:rPr>
        <w:t>26</w:t>
      </w:r>
      <w:r>
        <w:rPr>
          <w:rFonts w:hint="eastAsia" w:ascii="宋体" w:hAnsi="宋体" w:cs="Arial"/>
          <w:kern w:val="0"/>
          <w:sz w:val="22"/>
        </w:rPr>
        <w:t>日上午9时00分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 0571-</w:t>
      </w:r>
      <w:r>
        <w:rPr>
          <w:rFonts w:ascii="宋体" w:hAnsi="宋体"/>
          <w:sz w:val="22"/>
        </w:rPr>
        <w:t>83837612</w:t>
      </w:r>
    </w:p>
    <w:p>
      <w:pPr>
        <w:widowControl/>
        <w:adjustRightInd w:val="0"/>
        <w:snapToGrid w:val="0"/>
        <w:spacing w:line="340" w:lineRule="exact"/>
        <w:ind w:firstLine="440" w:firstLineChars="200"/>
        <w:rPr>
          <w:rFonts w:ascii="宋体" w:hAnsi="宋体"/>
          <w:sz w:val="22"/>
        </w:rPr>
      </w:pPr>
      <w:r>
        <w:rPr>
          <w:rFonts w:hint="eastAsia" w:ascii="宋体" w:hAnsi="宋体"/>
          <w:sz w:val="22"/>
        </w:rPr>
        <w:t xml:space="preserve">招标监督人：阮周长         联系电话： </w:t>
      </w:r>
      <w:r>
        <w:rPr>
          <w:rFonts w:ascii="宋体" w:hAnsi="宋体"/>
          <w:sz w:val="22"/>
        </w:rPr>
        <w:t>0571-86662133</w:t>
      </w:r>
      <w:bookmarkEnd w:id="117"/>
    </w:p>
    <w:bookmarkEnd w:id="24"/>
    <w:p>
      <w:pPr>
        <w:pStyle w:val="2"/>
        <w:spacing w:before="0" w:after="0" w:line="360" w:lineRule="auto"/>
        <w:jc w:val="center"/>
        <w:rPr>
          <w:rFonts w:ascii="Calibri" w:hAnsi="Calibri" w:eastAsia="黑体" w:cs="Calibri"/>
          <w:kern w:val="0"/>
          <w:sz w:val="32"/>
        </w:rPr>
      </w:pPr>
      <w:r>
        <w:rPr>
          <w:rFonts w:ascii="宋体" w:hAnsi="宋体" w:cs="Calibri"/>
          <w:kern w:val="0"/>
        </w:rPr>
        <w:br w:type="page"/>
      </w:r>
      <w:bookmarkStart w:id="25"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5"/>
      <w:bookmarkStart w:id="26" w:name="_Toc143421654"/>
    </w:p>
    <w:p>
      <w:pPr>
        <w:pStyle w:val="130"/>
        <w:jc w:val="center"/>
        <w:rPr>
          <w:rFonts w:ascii="Calibri" w:hAnsi="Calibri" w:eastAsia="黑体" w:cs="Calibri"/>
          <w:kern w:val="2"/>
          <w:sz w:val="28"/>
          <w:szCs w:val="32"/>
        </w:rPr>
      </w:pPr>
      <w:bookmarkStart w:id="27" w:name="_Toc448002984"/>
      <w:bookmarkStart w:id="28" w:name="_Toc444173459"/>
      <w:bookmarkStart w:id="29" w:name="_Toc444811409"/>
      <w:bookmarkStart w:id="30" w:name="_Toc444174979"/>
      <w:bookmarkStart w:id="31" w:name="_Toc400369185"/>
      <w:bookmarkStart w:id="32" w:name="_Toc386363317"/>
      <w:bookmarkStart w:id="33" w:name="_Toc386359393"/>
      <w:bookmarkStart w:id="34" w:name="_Toc349011858"/>
      <w:bookmarkStart w:id="35" w:name="_Toc349007688"/>
      <w:bookmarkStart w:id="36" w:name="_Toc11881"/>
      <w:r>
        <w:rPr>
          <w:rFonts w:ascii="Calibri" w:hAnsi="Arial" w:eastAsia="黑体" w:cs="Calibri"/>
          <w:kern w:val="2"/>
          <w:sz w:val="28"/>
          <w:szCs w:val="32"/>
        </w:rPr>
        <w:t>投标人须知前附表</w:t>
      </w:r>
      <w:bookmarkEnd w:id="26"/>
      <w:bookmarkEnd w:id="27"/>
      <w:bookmarkEnd w:id="28"/>
      <w:bookmarkEnd w:id="29"/>
      <w:bookmarkEnd w:id="30"/>
      <w:bookmarkEnd w:id="31"/>
      <w:bookmarkEnd w:id="32"/>
      <w:bookmarkEnd w:id="33"/>
      <w:bookmarkEnd w:id="34"/>
      <w:bookmarkEnd w:id="35"/>
      <w:bookmarkEnd w:id="36"/>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sz w:val="22"/>
              </w:rPr>
              <w:t>1.1</w:t>
            </w:r>
            <w:r>
              <w:rPr>
                <w:rFonts w:hint="eastAsia" w:cs="Calibri" w:asciiTheme="minorEastAsia" w:hAnsiTheme="minorEastAsia"/>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项目名称</w:t>
            </w:r>
          </w:p>
        </w:tc>
        <w:tc>
          <w:tcPr>
            <w:tcW w:w="6487" w:type="dxa"/>
            <w:vAlign w:val="center"/>
          </w:tcPr>
          <w:p>
            <w:pPr>
              <w:autoSpaceDE w:val="0"/>
              <w:autoSpaceDN w:val="0"/>
              <w:adjustRightInd w:val="0"/>
              <w:snapToGrid w:val="0"/>
              <w:rPr>
                <w:rFonts w:cs="Calibri" w:asciiTheme="minorEastAsia" w:hAnsiTheme="minorEastAsia"/>
                <w:kern w:val="0"/>
                <w:sz w:val="22"/>
              </w:rPr>
            </w:pPr>
            <w:r>
              <w:rPr>
                <w:rFonts w:ascii="宋体" w:hAnsi="宋体" w:cs="Arial"/>
                <w:kern w:val="0"/>
                <w:sz w:val="22"/>
              </w:rPr>
              <w:t>杭州萧山国际机场</w:t>
            </w:r>
            <w:r>
              <w:rPr>
                <w:rFonts w:hint="eastAsia" w:ascii="宋体" w:hAnsi="宋体" w:cs="Arial"/>
                <w:kern w:val="0"/>
                <w:sz w:val="22"/>
              </w:rPr>
              <w:t>航站区花堆（硬质景观及名贵花木项）提升租</w:t>
            </w:r>
            <w:r>
              <w:rPr>
                <w:rFonts w:ascii="宋体" w:hAnsi="宋体" w:cs="Arial"/>
                <w:kern w:val="0"/>
                <w:sz w:val="22"/>
              </w:rPr>
              <w:t>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sz w:val="22"/>
              </w:rPr>
            </w:pPr>
            <w:r>
              <w:rPr>
                <w:rFonts w:cs="Calibri" w:asciiTheme="minorEastAsia" w:hAnsiTheme="minorEastAsia"/>
                <w:sz w:val="22"/>
              </w:rPr>
              <w:t>1.1.2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实施</w:t>
            </w:r>
            <w:r>
              <w:rPr>
                <w:rFonts w:cs="Calibri" w:asciiTheme="minorEastAsia" w:hAnsiTheme="minorEastAsia"/>
                <w:kern w:val="0"/>
                <w:sz w:val="22"/>
              </w:rPr>
              <w:t>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kern w:val="0"/>
                <w:sz w:val="22"/>
              </w:rPr>
            </w:pPr>
            <w:r>
              <w:rPr>
                <w:rStyle w:val="81"/>
                <w:rFonts w:hint="eastAsia" w:cs="Calibri" w:asciiTheme="minorEastAsia" w:hAnsi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招标</w:t>
            </w:r>
            <w:r>
              <w:rPr>
                <w:rFonts w:hint="eastAsia" w:cs="Calibri" w:asciiTheme="minorEastAsia" w:hAnsi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见招标公告，具体要求详见第</w:t>
            </w:r>
            <w:r>
              <w:rPr>
                <w:rFonts w:hint="eastAsia" w:cs="Calibri" w:asciiTheme="minorEastAsia" w:hAnsiTheme="minorEastAsia"/>
                <w:kern w:val="0"/>
                <w:sz w:val="22"/>
              </w:rPr>
              <w:t>三</w:t>
            </w:r>
            <w:r>
              <w:rPr>
                <w:rFonts w:cs="Calibri" w:asciiTheme="minorEastAsia" w:hAnsiTheme="minorEastAsia"/>
                <w:kern w:val="0"/>
                <w:sz w:val="22"/>
              </w:rPr>
              <w:t>章“</w:t>
            </w:r>
            <w:r>
              <w:rPr>
                <w:rFonts w:hint="eastAsia" w:cs="Calibri" w:asciiTheme="minorEastAsia" w:hAnsiTheme="minorEastAsia"/>
                <w:kern w:val="0"/>
                <w:sz w:val="22"/>
              </w:rPr>
              <w:t>服务技术标准及要求</w:t>
            </w:r>
            <w:r>
              <w:rPr>
                <w:rFonts w:cs="Calibri" w:asciiTheme="minorEastAsia" w:hAnsi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color w:val="FF0000"/>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服务期</w:t>
            </w:r>
          </w:p>
        </w:tc>
        <w:tc>
          <w:tcPr>
            <w:tcW w:w="6487" w:type="dxa"/>
            <w:vAlign w:val="center"/>
          </w:tcPr>
          <w:p>
            <w:pPr>
              <w:widowControl/>
              <w:adjustRightInd w:val="0"/>
              <w:snapToGrid w:val="0"/>
              <w:spacing w:line="340" w:lineRule="exact"/>
              <w:rPr>
                <w:rFonts w:cs="黑体" w:asciiTheme="minorEastAsia" w:hAnsiTheme="minorEastAsia"/>
                <w:kern w:val="0"/>
                <w:sz w:val="22"/>
              </w:rPr>
            </w:pPr>
            <w:r>
              <w:rPr>
                <w:rFonts w:hint="eastAsia" w:cs="黑体" w:asciiTheme="minorEastAsia" w:hAnsiTheme="minorEastAsia"/>
                <w:kern w:val="0"/>
                <w:sz w:val="22"/>
              </w:rPr>
              <w:t>2019年10月1日至2020年5月30日，一个布展周期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color w:val="000000"/>
                <w:sz w:val="22"/>
              </w:rPr>
            </w:pPr>
            <w:r>
              <w:rPr>
                <w:rFonts w:hint="eastAsia" w:cs="黑体" w:asciiTheme="minorEastAsia" w:hAnsiTheme="minorEastAsia"/>
                <w:kern w:val="0"/>
                <w:sz w:val="22"/>
              </w:rPr>
              <w:t>达到《航站楼绿化摆放管理标准》、《航站楼绿化养护管理标准》、《航站楼景观布置管理标准》和《航站楼花木租摆技术规范要求》等相关文件要求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r>
              <w:rPr>
                <w:rFonts w:hint="eastAsia" w:cs="Calibri" w:asciiTheme="minorEastAsia" w:hAnsiTheme="minorEastAsia"/>
                <w:kern w:val="0"/>
                <w:sz w:val="22"/>
              </w:rPr>
              <w:t>（无）</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踏勘集中地点：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10（无）</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2.2.1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2019年</w:t>
            </w:r>
            <w:r>
              <w:rPr>
                <w:rFonts w:hint="eastAsia" w:ascii="宋体" w:hAnsi="宋体" w:cs="Calibri"/>
                <w:kern w:val="0"/>
                <w:sz w:val="22"/>
                <w:lang w:val="en-US" w:eastAsia="zh-CN"/>
              </w:rPr>
              <w:t>9</w:t>
            </w:r>
            <w:r>
              <w:rPr>
                <w:rFonts w:hint="eastAsia" w:ascii="宋体" w:hAnsi="宋体" w:cs="Calibri"/>
                <w:kern w:val="0"/>
                <w:sz w:val="22"/>
              </w:rPr>
              <w:t>月</w:t>
            </w:r>
            <w:r>
              <w:rPr>
                <w:rFonts w:hint="eastAsia" w:ascii="宋体" w:hAnsi="宋体" w:cs="Calibri"/>
                <w:kern w:val="0"/>
                <w:sz w:val="22"/>
                <w:lang w:val="en-US" w:eastAsia="zh-CN"/>
              </w:rPr>
              <w:t>19</w:t>
            </w:r>
            <w:r>
              <w:rPr>
                <w:rFonts w:hint="eastAsia" w:ascii="宋体" w:hAnsi="宋体" w:cs="Calibri"/>
                <w:kern w:val="0"/>
                <w:sz w:val="22"/>
              </w:rPr>
              <w:t>日11：30前，以书面加盖公章的形式通过E-mail或传真提交给招标人（投标联系人:贾思勰，电话0571-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2.2.2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投标截止时间</w:t>
            </w:r>
          </w:p>
        </w:tc>
        <w:tc>
          <w:tcPr>
            <w:tcW w:w="6487" w:type="dxa"/>
            <w:vAlign w:val="center"/>
          </w:tcPr>
          <w:p>
            <w:pPr>
              <w:autoSpaceDE w:val="0"/>
              <w:autoSpaceDN w:val="0"/>
              <w:adjustRightInd w:val="0"/>
              <w:snapToGrid w:val="0"/>
              <w:rPr>
                <w:rFonts w:cs="Calibri" w:asciiTheme="minorEastAsia" w:hAnsi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9</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26</w:t>
            </w:r>
            <w:r>
              <w:rPr>
                <w:rFonts w:hint="eastAsia" w:cs="Calibri" w:asciiTheme="minorEastAsia" w:hAnsiTheme="minorEastAsia"/>
                <w:b/>
                <w:kern w:val="0"/>
                <w:sz w:val="22"/>
              </w:rPr>
              <w:t>日上午9时00分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2.2.3</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招标人可主动地或在解答投标人提出的澄清问题时对招标文件进行修改，</w:t>
            </w:r>
            <w:bookmarkStart w:id="37" w:name="_Toc226175287"/>
            <w:bookmarkStart w:id="38"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7"/>
            <w:bookmarkEnd w:id="3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2.3.2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3.4.1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cs="Calibri" w:asciiTheme="minorEastAsia" w:hAnsiTheme="minorEastAsia"/>
                <w:kern w:val="0"/>
                <w:sz w:val="22"/>
              </w:rPr>
              <w:t>12</w:t>
            </w:r>
            <w:r>
              <w:rPr>
                <w:rFonts w:cs="Calibri" w:asciiTheme="minorEastAsia" w:hAnsi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3.5.1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投标保证金</w:t>
            </w:r>
          </w:p>
        </w:tc>
        <w:tc>
          <w:tcPr>
            <w:tcW w:w="6487" w:type="dxa"/>
            <w:vAlign w:val="center"/>
          </w:tcPr>
          <w:p>
            <w:pPr>
              <w:snapToGrid w:val="0"/>
              <w:rPr>
                <w:rFonts w:asciiTheme="minorEastAsia" w:hAnsiTheme="minorEastAsia"/>
                <w:sz w:val="22"/>
              </w:rPr>
            </w:pPr>
            <w:r>
              <w:rPr>
                <w:rFonts w:hint="eastAsia" w:asciiTheme="minorEastAsia" w:hAnsiTheme="minorEastAsia"/>
                <w:sz w:val="22"/>
              </w:rPr>
              <w:t>投标保证金的形式：银行转账</w:t>
            </w:r>
            <w:r>
              <w:rPr>
                <w:rFonts w:hint="eastAsia" w:asciiTheme="minorEastAsia" w:hAnsiTheme="minorEastAsia"/>
                <w:b/>
                <w:sz w:val="22"/>
              </w:rPr>
              <w:t>，必须在投标截止时间前通过投标人的基本账户以银行转账方式缴纳。</w:t>
            </w:r>
          </w:p>
          <w:p>
            <w:pPr>
              <w:snapToGrid w:val="0"/>
              <w:rPr>
                <w:rFonts w:asciiTheme="minorEastAsia" w:hAnsiTheme="minorEastAsia"/>
                <w:sz w:val="22"/>
              </w:rPr>
            </w:pPr>
            <w:r>
              <w:rPr>
                <w:rFonts w:hint="eastAsia" w:asciiTheme="minorEastAsia" w:hAnsiTheme="minorEastAsia"/>
                <w:sz w:val="22"/>
              </w:rPr>
              <w:t>投标保证金的金额：</w:t>
            </w:r>
            <w:r>
              <w:rPr>
                <w:rFonts w:hint="eastAsia" w:asciiTheme="minorEastAsia" w:hAnsiTheme="minorEastAsia"/>
                <w:b/>
                <w:sz w:val="22"/>
              </w:rPr>
              <w:t>人民币</w:t>
            </w:r>
            <w:r>
              <w:rPr>
                <w:rFonts w:hint="eastAsia" w:cs="Calibri" w:asciiTheme="minorEastAsia" w:hAnsiTheme="minorEastAsia"/>
                <w:kern w:val="0"/>
                <w:sz w:val="22"/>
              </w:rPr>
              <w:t>壹</w:t>
            </w:r>
            <w:r>
              <w:rPr>
                <w:rFonts w:hint="eastAsia" w:asciiTheme="minorEastAsia" w:hAnsiTheme="minorEastAsia"/>
                <w:b/>
                <w:sz w:val="22"/>
              </w:rPr>
              <w:t>万元整</w:t>
            </w:r>
          </w:p>
          <w:p>
            <w:pPr>
              <w:snapToGrid w:val="0"/>
              <w:rPr>
                <w:rFonts w:asciiTheme="minorEastAsia" w:hAnsiTheme="minorEastAsia"/>
                <w:sz w:val="22"/>
              </w:rPr>
            </w:pPr>
            <w:r>
              <w:rPr>
                <w:rFonts w:hint="eastAsia" w:asciiTheme="minorEastAsia" w:hAnsiTheme="minorEastAsia"/>
                <w:sz w:val="22"/>
              </w:rPr>
              <w:t>投标保证金应在投标截止时间前汇入以下帐户：</w:t>
            </w:r>
          </w:p>
          <w:p>
            <w:pPr>
              <w:snapToGrid w:val="0"/>
              <w:rPr>
                <w:rFonts w:asciiTheme="minorEastAsia" w:hAnsiTheme="minorEastAsia"/>
                <w:sz w:val="22"/>
              </w:rPr>
            </w:pPr>
            <w:r>
              <w:rPr>
                <w:rFonts w:hint="eastAsia" w:asciiTheme="minorEastAsia" w:hAnsiTheme="minorEastAsia"/>
                <w:sz w:val="22"/>
              </w:rPr>
              <w:t>开户名：杭州萧山国际机场有限公司</w:t>
            </w:r>
          </w:p>
          <w:p>
            <w:pPr>
              <w:snapToGrid w:val="0"/>
              <w:rPr>
                <w:rFonts w:asciiTheme="minorEastAsia" w:hAnsiTheme="minorEastAsia"/>
                <w:sz w:val="22"/>
              </w:rPr>
            </w:pPr>
            <w:r>
              <w:rPr>
                <w:rFonts w:hint="eastAsia" w:asciiTheme="minorEastAsia" w:hAnsiTheme="minorEastAsia"/>
                <w:sz w:val="22"/>
              </w:rPr>
              <w:t xml:space="preserve">开户银行：工行杭州市空港城支行 </w:t>
            </w:r>
          </w:p>
          <w:p>
            <w:pPr>
              <w:snapToGrid w:val="0"/>
              <w:rPr>
                <w:rFonts w:asciiTheme="minorEastAsia" w:hAnsiTheme="minorEastAsia"/>
                <w:sz w:val="22"/>
                <w:lang w:val="zh-CN"/>
              </w:rPr>
            </w:pPr>
            <w:r>
              <w:rPr>
                <w:rFonts w:hint="eastAsia" w:asciiTheme="minorEastAsia" w:hAnsiTheme="minorEastAsia"/>
                <w:sz w:val="22"/>
              </w:rPr>
              <w:t>帐号：</w:t>
            </w:r>
            <w:r>
              <w:rPr>
                <w:rFonts w:hint="eastAsia" w:asciiTheme="minorEastAsia" w:hAnsiTheme="minorEastAsia"/>
                <w:sz w:val="22"/>
                <w:lang w:val="zh-CN"/>
              </w:rPr>
              <w:t>1202050209904601740</w:t>
            </w:r>
          </w:p>
          <w:p>
            <w:pPr>
              <w:snapToGrid w:val="0"/>
              <w:rPr>
                <w:rFonts w:ascii="宋体" w:hAnsi="宋体"/>
                <w:b/>
                <w:sz w:val="22"/>
              </w:rPr>
            </w:pPr>
            <w:r>
              <w:rPr>
                <w:rFonts w:hint="eastAsia" w:ascii="宋体" w:hAnsi="宋体"/>
                <w:b/>
                <w:sz w:val="22"/>
              </w:rPr>
              <w:t>投标人提交投标保证金时需注明“航站区花堆提升项目”，</w:t>
            </w:r>
          </w:p>
          <w:p>
            <w:pPr>
              <w:snapToGrid w:val="0"/>
              <w:rPr>
                <w:rFonts w:asciiTheme="minorEastAsia" w:hAnsiTheme="minorEastAsia"/>
                <w:sz w:val="22"/>
                <w:lang w:val="zh-CN"/>
              </w:rPr>
            </w:pPr>
            <w:r>
              <w:rPr>
                <w:rFonts w:hint="eastAsia" w:ascii="宋体" w:hAnsi="宋体"/>
                <w:b/>
                <w:sz w:val="22"/>
              </w:rPr>
              <w:t>银行回单复印件注明投标人户名、开户行、账号等信息随投标函单独封装，随投标文件一同递交。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3.6.3</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3.6.4</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3.6.5</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装订要求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按照投标人须知3.2项约定的投标文件组成内容，投标文件应按以下要求装订：</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不分册装订</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每册采用</w:t>
            </w:r>
            <w:r>
              <w:rPr>
                <w:rFonts w:cs="Calibri" w:asciiTheme="minorEastAsia" w:hAnsiTheme="minorEastAsia"/>
                <w:kern w:val="0"/>
                <w:sz w:val="22"/>
                <w:u w:val="single"/>
              </w:rPr>
              <w:t xml:space="preserve"> 胶装 </w:t>
            </w:r>
            <w:r>
              <w:rPr>
                <w:rFonts w:cs="Calibri" w:asciiTheme="minorEastAsia" w:hAnsi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4.1.2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Calibri" w:asciiTheme="minorEastAsia" w:hAnsiTheme="minorEastAsia"/>
                <w:kern w:val="0"/>
                <w:sz w:val="22"/>
                <w:u w:val="single"/>
              </w:rPr>
              <w:t>杭州萧山国际机场航站区花堆（硬质景观及名贵花木项）提升</w:t>
            </w:r>
            <w:r>
              <w:rPr>
                <w:rFonts w:cs="Calibri" w:asciiTheme="minorEastAsia" w:hAnsiTheme="minorEastAsia"/>
                <w:kern w:val="0"/>
                <w:sz w:val="22"/>
                <w:u w:val="single"/>
              </w:rPr>
              <w:t>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在</w:t>
            </w:r>
            <w:r>
              <w:rPr>
                <w:rFonts w:cs="Calibri" w:asciiTheme="minorEastAsia" w:hAnsiTheme="minorEastAsia"/>
                <w:kern w:val="0"/>
                <w:sz w:val="22"/>
                <w:u w:val="single"/>
              </w:rPr>
              <w:t xml:space="preserve"> </w:t>
            </w:r>
            <w:r>
              <w:rPr>
                <w:rFonts w:hint="eastAsia" w:cs="Calibri" w:asciiTheme="minorEastAsia" w:hAnsiTheme="minorEastAsia"/>
                <w:kern w:val="0"/>
                <w:sz w:val="22"/>
                <w:u w:val="single"/>
              </w:rPr>
              <w:t>2019年</w:t>
            </w:r>
            <w:r>
              <w:rPr>
                <w:rFonts w:hint="eastAsia" w:cs="Calibri" w:asciiTheme="minorEastAsia" w:hAnsiTheme="minorEastAsia"/>
                <w:kern w:val="0"/>
                <w:sz w:val="22"/>
                <w:u w:val="single"/>
                <w:lang w:val="en-US" w:eastAsia="zh-CN"/>
              </w:rPr>
              <w:t>9</w:t>
            </w:r>
            <w:r>
              <w:rPr>
                <w:rFonts w:hint="eastAsia" w:cs="Calibri" w:asciiTheme="minorEastAsia" w:hAnsiTheme="minorEastAsia"/>
                <w:kern w:val="0"/>
                <w:sz w:val="22"/>
                <w:u w:val="single"/>
              </w:rPr>
              <w:t>月</w:t>
            </w:r>
            <w:r>
              <w:rPr>
                <w:rFonts w:hint="eastAsia" w:cs="Calibri" w:asciiTheme="minorEastAsia" w:hAnsiTheme="minorEastAsia"/>
                <w:kern w:val="0"/>
                <w:sz w:val="22"/>
                <w:u w:val="single"/>
                <w:lang w:val="en-US" w:eastAsia="zh-CN"/>
              </w:rPr>
              <w:t>26</w:t>
            </w:r>
            <w:r>
              <w:rPr>
                <w:rFonts w:hint="eastAsia" w:cs="Calibri" w:asciiTheme="minorEastAsia" w:hAnsiTheme="minorEastAsia"/>
                <w:kern w:val="0"/>
                <w:sz w:val="22"/>
                <w:u w:val="single"/>
              </w:rPr>
              <w:t>日上午9时00分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4.2.2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4.2.3</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5.1.1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开标时间：同投标截止时间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5.2</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w:t>
            </w:r>
            <w:r>
              <w:rPr>
                <w:rFonts w:hint="eastAsia" w:cs="Calibri" w:asciiTheme="minorEastAsia" w:hAnsiTheme="minorEastAsia"/>
                <w:kern w:val="0"/>
                <w:sz w:val="22"/>
              </w:rPr>
              <w:t>1</w:t>
            </w:r>
            <w:r>
              <w:rPr>
                <w:rFonts w:cs="Calibri" w:asciiTheme="minorEastAsia" w:hAnsi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w:t>
            </w:r>
            <w:r>
              <w:rPr>
                <w:rFonts w:hint="eastAsia" w:cs="Calibri" w:asciiTheme="minorEastAsia" w:hAnsiTheme="minorEastAsia"/>
                <w:kern w:val="0"/>
                <w:sz w:val="22"/>
              </w:rPr>
              <w:t>2</w:t>
            </w:r>
            <w:r>
              <w:rPr>
                <w:rFonts w:cs="Calibri" w:asciiTheme="minorEastAsia" w:hAnsi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6.1.1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7.1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cs="Calibri" w:asciiTheme="minorEastAsia" w:hAnsiTheme="minorEastAsia"/>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7.3.1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履约担保</w:t>
            </w:r>
          </w:p>
        </w:tc>
        <w:tc>
          <w:tcPr>
            <w:tcW w:w="6487" w:type="dxa"/>
            <w:vAlign w:val="center"/>
          </w:tcPr>
          <w:p>
            <w:pPr>
              <w:autoSpaceDE w:val="0"/>
              <w:autoSpaceDN w:val="0"/>
              <w:adjustRightInd w:val="0"/>
              <w:snapToGrid w:val="0"/>
              <w:jc w:val="left"/>
              <w:rPr>
                <w:rFonts w:asciiTheme="minorEastAsia" w:hAnsiTheme="minorEastAsia"/>
                <w:sz w:val="22"/>
              </w:rPr>
            </w:pPr>
            <w:r>
              <w:rPr>
                <w:rFonts w:asciiTheme="minorEastAsia" w:hAnsiTheme="minorEastAsia"/>
                <w:sz w:val="22"/>
              </w:rPr>
              <w:t>履约担保的形式：</w:t>
            </w:r>
            <w:r>
              <w:rPr>
                <w:rFonts w:hint="eastAsia" w:asciiTheme="minorEastAsia" w:hAnsiTheme="minorEastAsia"/>
                <w:sz w:val="22"/>
              </w:rPr>
              <w:t>银行转账</w:t>
            </w:r>
          </w:p>
          <w:p>
            <w:pPr>
              <w:autoSpaceDE w:val="0"/>
              <w:autoSpaceDN w:val="0"/>
              <w:adjustRightInd w:val="0"/>
              <w:snapToGrid w:val="0"/>
              <w:jc w:val="left"/>
              <w:rPr>
                <w:rFonts w:asciiTheme="minorEastAsia" w:hAnsiTheme="minorEastAsia"/>
                <w:sz w:val="22"/>
              </w:rPr>
            </w:pPr>
            <w:r>
              <w:rPr>
                <w:rFonts w:asciiTheme="minorEastAsia" w:hAnsiTheme="minorEastAsia"/>
                <w:sz w:val="22"/>
              </w:rPr>
              <w:t>履约担保的金额：</w:t>
            </w:r>
            <w:r>
              <w:rPr>
                <w:rFonts w:hint="eastAsia" w:asciiTheme="minorEastAsia" w:hAnsiTheme="minorEastAsia"/>
                <w:sz w:val="22"/>
              </w:rPr>
              <w:t>合同总价的</w:t>
            </w:r>
            <w:r>
              <w:rPr>
                <w:rFonts w:asciiTheme="minorEastAsia" w:hAnsiTheme="minorEastAsia"/>
                <w:sz w:val="22"/>
              </w:rPr>
              <w:t>10</w:t>
            </w:r>
            <w:r>
              <w:rPr>
                <w:rFonts w:hint="eastAsia" w:asciiTheme="minorEastAsia" w:hAnsiTheme="minorEastAsia"/>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10</w:t>
            </w:r>
          </w:p>
        </w:tc>
        <w:tc>
          <w:tcPr>
            <w:tcW w:w="8491" w:type="dxa"/>
            <w:gridSpan w:val="2"/>
            <w:vAlign w:val="center"/>
          </w:tcPr>
          <w:p>
            <w:pPr>
              <w:autoSpaceDE w:val="0"/>
              <w:autoSpaceDN w:val="0"/>
              <w:adjustRightInd w:val="0"/>
              <w:snapToGrid w:val="0"/>
              <w:jc w:val="center"/>
              <w:rPr>
                <w:rFonts w:cs="Calibri" w:asciiTheme="minorEastAsia" w:hAnsiTheme="minorEastAsia"/>
                <w:snapToGrid w:val="0"/>
                <w:sz w:val="22"/>
              </w:rPr>
            </w:pPr>
            <w:r>
              <w:rPr>
                <w:rFonts w:cs="Calibri" w:asciiTheme="minorEastAsia" w:hAnsi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10.</w:t>
            </w:r>
            <w:r>
              <w:rPr>
                <w:rFonts w:hint="eastAsia" w:cs="Calibri" w:asciiTheme="minorEastAsia" w:hAnsiTheme="minorEastAsia"/>
                <w:kern w:val="0"/>
                <w:sz w:val="22"/>
              </w:rPr>
              <w:t>2</w:t>
            </w:r>
          </w:p>
        </w:tc>
        <w:tc>
          <w:tcPr>
            <w:tcW w:w="2004" w:type="dxa"/>
            <w:vAlign w:val="center"/>
          </w:tcPr>
          <w:p>
            <w:pPr>
              <w:pStyle w:val="43"/>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snapToGrid w:val="0"/>
                <w:kern w:val="0"/>
                <w:sz w:val="22"/>
              </w:rPr>
              <w:t>异议</w:t>
            </w:r>
            <w:r>
              <w:rPr>
                <w:rFonts w:cs="Calibri" w:asciiTheme="minorEastAsia" w:hAnsiTheme="minorEastAsia"/>
                <w:snapToGrid w:val="0"/>
                <w:kern w:val="0"/>
                <w:sz w:val="22"/>
              </w:rPr>
              <w:t>。</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10.3</w:t>
            </w:r>
          </w:p>
        </w:tc>
        <w:tc>
          <w:tcPr>
            <w:tcW w:w="2004" w:type="dxa"/>
            <w:vAlign w:val="center"/>
          </w:tcPr>
          <w:p>
            <w:pPr>
              <w:pStyle w:val="43"/>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kern w:val="0"/>
                <w:sz w:val="22"/>
              </w:rPr>
            </w:pPr>
            <w:r>
              <w:rPr>
                <w:rFonts w:cs="Calibri" w:asciiTheme="minorEastAsia" w:hAnsiTheme="minorEastAsia"/>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9" w:name="_Toc143421656"/>
      <w:bookmarkStart w:id="40" w:name="_Toc11067"/>
    </w:p>
    <w:p>
      <w:pPr>
        <w:autoSpaceDE w:val="0"/>
        <w:autoSpaceDN w:val="0"/>
        <w:adjustRightInd w:val="0"/>
        <w:snapToGrid w:val="0"/>
        <w:spacing w:line="360" w:lineRule="exact"/>
        <w:rPr>
          <w:rFonts w:cs="Calibri" w:asciiTheme="minorEastAsia" w:hAnsiTheme="minorEastAsia"/>
          <w:b/>
          <w:bCs/>
          <w:kern w:val="0"/>
          <w:sz w:val="22"/>
        </w:rPr>
      </w:pPr>
      <w:r>
        <w:rPr>
          <w:rFonts w:eastAsia="黑体" w:cs="Calibri"/>
          <w:b/>
          <w:bCs/>
          <w:kern w:val="0"/>
          <w:szCs w:val="21"/>
        </w:rPr>
        <w:br w:type="page"/>
      </w:r>
      <w:r>
        <w:rPr>
          <w:rFonts w:cs="Calibri" w:asciiTheme="minorEastAsia" w:hAnsiTheme="minorEastAsia"/>
          <w:b/>
          <w:bCs/>
          <w:kern w:val="0"/>
          <w:sz w:val="22"/>
        </w:rPr>
        <w:t>1.</w:t>
      </w:r>
      <w:r>
        <w:rPr>
          <w:rFonts w:hint="eastAsia" w:cs="Calibri" w:asciiTheme="minorEastAsia" w:hAnsiTheme="minorEastAsia"/>
          <w:b/>
          <w:bCs/>
          <w:kern w:val="0"/>
          <w:sz w:val="22"/>
        </w:rPr>
        <w:t xml:space="preserve"> </w:t>
      </w:r>
      <w:r>
        <w:rPr>
          <w:rFonts w:cs="Calibri" w:asciiTheme="minorEastAsia" w:hAnsiTheme="minorEastAsia"/>
          <w:b/>
          <w:bCs/>
          <w:kern w:val="0"/>
          <w:sz w:val="22"/>
        </w:rPr>
        <w:t>总则</w:t>
      </w:r>
      <w:bookmarkEnd w:id="39"/>
      <w:bookmarkEnd w:id="40"/>
    </w:p>
    <w:p>
      <w:pPr>
        <w:autoSpaceDE w:val="0"/>
        <w:autoSpaceDN w:val="0"/>
        <w:adjustRightInd w:val="0"/>
        <w:snapToGrid w:val="0"/>
        <w:spacing w:line="360" w:lineRule="exact"/>
        <w:rPr>
          <w:rFonts w:cs="Calibri" w:asciiTheme="minorEastAsia" w:hAnsiTheme="minorEastAsia"/>
          <w:b/>
          <w:bCs/>
          <w:kern w:val="0"/>
          <w:sz w:val="22"/>
        </w:rPr>
      </w:pPr>
      <w:bookmarkStart w:id="41" w:name="_Toc26216"/>
      <w:r>
        <w:rPr>
          <w:rFonts w:cs="Calibri" w:asciiTheme="minorEastAsia" w:hAnsiTheme="minorEastAsia"/>
          <w:b/>
          <w:bCs/>
          <w:kern w:val="0"/>
          <w:sz w:val="22"/>
        </w:rPr>
        <w:t>1.1 项目</w:t>
      </w:r>
      <w:bookmarkEnd w:id="41"/>
      <w:r>
        <w:rPr>
          <w:rFonts w:cs="Calibri" w:asciiTheme="minorEastAsia" w:hAnsiTheme="minorEastAsia"/>
          <w:b/>
          <w:bCs/>
          <w:kern w:val="0"/>
          <w:sz w:val="22"/>
        </w:rPr>
        <w:t>概况</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kern w:val="0"/>
          <w:sz w:val="22"/>
        </w:rPr>
        <w:t>1.1.2项目</w:t>
      </w:r>
      <w:r>
        <w:rPr>
          <w:rFonts w:hint="eastAsia" w:cs="Calibri" w:asciiTheme="minorEastAsia" w:hAnsiTheme="minorEastAsia"/>
          <w:color w:val="000000"/>
          <w:kern w:val="0"/>
          <w:sz w:val="22"/>
        </w:rPr>
        <w:t>实施</w:t>
      </w:r>
      <w:r>
        <w:rPr>
          <w:rFonts w:cs="Calibri" w:asciiTheme="minorEastAsia" w:hAnsiTheme="minorEastAsia"/>
          <w:color w:val="000000"/>
          <w:kern w:val="0"/>
          <w:sz w:val="22"/>
        </w:rPr>
        <w:t>地点见投标人须知前附表</w:t>
      </w:r>
      <w:r>
        <w:rPr>
          <w:rFonts w:cs="Calibri"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42"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42"/>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3"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43"/>
      <w:r>
        <w:rPr>
          <w:rFonts w:hint="eastAsia" w:cs="Calibri" w:asciiTheme="minorEastAsia" w:hAnsiTheme="minorEastAsia"/>
          <w:b/>
          <w:bCs/>
          <w:kern w:val="0"/>
          <w:sz w:val="22"/>
        </w:rPr>
        <w:t>内容</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4"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44"/>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5"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45"/>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6"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46"/>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47" w:name="_Toc2796"/>
      <w:r>
        <w:rPr>
          <w:rFonts w:cs="Calibri" w:asciiTheme="minorEastAsia" w:hAnsiTheme="minorEastAsia"/>
          <w:b/>
          <w:bCs/>
          <w:kern w:val="0"/>
          <w:sz w:val="22"/>
        </w:rPr>
        <w:t>1.</w:t>
      </w:r>
      <w:r>
        <w:rPr>
          <w:rFonts w:hint="eastAsia" w:cs="Calibri" w:asciiTheme="minorEastAsia" w:hAnsiTheme="minorEastAsia"/>
          <w:b/>
          <w:bCs/>
          <w:kern w:val="0"/>
          <w:sz w:val="22"/>
        </w:rPr>
        <w:t>7</w:t>
      </w:r>
      <w:r>
        <w:rPr>
          <w:rFonts w:cs="Calibri" w:asciiTheme="minorEastAsia" w:hAnsiTheme="minorEastAsia"/>
          <w:b/>
          <w:bCs/>
          <w:kern w:val="0"/>
          <w:sz w:val="22"/>
        </w:rPr>
        <w:t xml:space="preserve"> </w:t>
      </w:r>
      <w:r>
        <w:rPr>
          <w:rFonts w:hint="eastAsia" w:cs="Calibri" w:asciiTheme="minorEastAsia" w:hAnsiTheme="minorEastAsia"/>
          <w:b/>
          <w:bCs/>
          <w:kern w:val="0"/>
          <w:sz w:val="22"/>
        </w:rPr>
        <w:t>服务</w:t>
      </w:r>
      <w:r>
        <w:rPr>
          <w:rFonts w:cs="Calibri" w:asciiTheme="minorEastAsia" w:hAnsiTheme="minorEastAsia"/>
          <w:b/>
          <w:bCs/>
          <w:kern w:val="0"/>
          <w:sz w:val="22"/>
        </w:rPr>
        <w:t>期</w:t>
      </w:r>
      <w:bookmarkEnd w:id="47"/>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firstLineChars="200"/>
        <w:rPr>
          <w:rFonts w:cs="Calibri" w:asciiTheme="minorEastAsia" w:hAnsiTheme="minorEastAsia"/>
          <w:color w:val="000000"/>
          <w:sz w:val="22"/>
        </w:rPr>
      </w:pPr>
      <w:bookmarkStart w:id="48" w:name="_Toc13907"/>
      <w:r>
        <w:rPr>
          <w:rFonts w:cs="Calibri" w:asciiTheme="minorEastAsia" w:hAnsiTheme="minorEastAsia"/>
          <w:color w:val="000000"/>
          <w:sz w:val="22"/>
        </w:rPr>
        <w:t>见投标人须知前附表。</w:t>
      </w:r>
    </w:p>
    <w:bookmarkEnd w:id="48"/>
    <w:p>
      <w:pPr>
        <w:autoSpaceDE w:val="0"/>
        <w:autoSpaceDN w:val="0"/>
        <w:adjustRightInd w:val="0"/>
        <w:snapToGrid w:val="0"/>
        <w:spacing w:line="360" w:lineRule="exact"/>
        <w:rPr>
          <w:rFonts w:cs="Calibri" w:asciiTheme="minorEastAsia" w:hAnsiTheme="minorEastAsia"/>
          <w:b/>
          <w:bCs/>
          <w:kern w:val="0"/>
          <w:sz w:val="22"/>
        </w:rPr>
      </w:pPr>
      <w:bookmarkStart w:id="49" w:name="_Toc3996"/>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投标费用</w:t>
      </w:r>
      <w:bookmarkEnd w:id="49"/>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50" w:name="_Toc143421657"/>
      <w:bookmarkStart w:id="51" w:name="_Toc15241"/>
      <w:r>
        <w:rPr>
          <w:rFonts w:cs="Calibri" w:asciiTheme="minorEastAsia" w:hAnsiTheme="minorEastAsia"/>
          <w:b/>
          <w:bCs/>
          <w:kern w:val="0"/>
          <w:sz w:val="22"/>
        </w:rPr>
        <w:t>2.招标文件</w:t>
      </w:r>
      <w:bookmarkEnd w:id="50"/>
      <w:bookmarkEnd w:id="51"/>
    </w:p>
    <w:p>
      <w:pPr>
        <w:autoSpaceDE w:val="0"/>
        <w:autoSpaceDN w:val="0"/>
        <w:adjustRightInd w:val="0"/>
        <w:snapToGrid w:val="0"/>
        <w:spacing w:line="360" w:lineRule="exact"/>
        <w:rPr>
          <w:rFonts w:cs="Calibri" w:asciiTheme="minorEastAsia" w:hAnsiTheme="minorEastAsia"/>
          <w:b/>
          <w:bCs/>
          <w:kern w:val="0"/>
          <w:sz w:val="22"/>
        </w:rPr>
      </w:pPr>
      <w:bookmarkStart w:id="52" w:name="_Toc1426"/>
      <w:r>
        <w:rPr>
          <w:rFonts w:cs="Calibri" w:asciiTheme="minorEastAsia" w:hAnsiTheme="minorEastAsia"/>
          <w:b/>
          <w:bCs/>
          <w:kern w:val="0"/>
          <w:sz w:val="22"/>
        </w:rPr>
        <w:t>2.1 招标文件的组成</w:t>
      </w:r>
      <w:bookmarkEnd w:id="52"/>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kern w:val="0"/>
          <w:sz w:val="22"/>
        </w:rPr>
      </w:pPr>
      <w:r>
        <w:rPr>
          <w:rFonts w:cs="Calibri" w:asciiTheme="minorEastAsia" w:hAnsiTheme="minorEastAsia"/>
          <w:color w:val="000000"/>
          <w:kern w:val="0"/>
          <w:sz w:val="22"/>
        </w:rPr>
        <w:t>（3）</w:t>
      </w:r>
      <w:r>
        <w:rPr>
          <w:rFonts w:hint="eastAsia" w:cs="Calibri" w:asciiTheme="minorEastAsia" w:hAnsiTheme="minorEastAsia"/>
          <w:kern w:val="0"/>
          <w:sz w:val="22"/>
        </w:rPr>
        <w:t>服务技术标准及要求</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w:t>
      </w:r>
      <w:r>
        <w:rPr>
          <w:rFonts w:hint="eastAsia" w:cs="Calibri" w:asciiTheme="minorEastAsia" w:hAnsiTheme="minorEastAsia"/>
          <w:color w:val="000000"/>
          <w:kern w:val="0"/>
          <w:sz w:val="22"/>
        </w:rPr>
        <w:t>4</w:t>
      </w:r>
      <w:r>
        <w:rPr>
          <w:rFonts w:cs="Calibri" w:asciiTheme="minorEastAsia" w:hAnsi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w:t>
      </w:r>
      <w:r>
        <w:rPr>
          <w:rFonts w:hint="eastAsia" w:cs="Calibri" w:asciiTheme="minorEastAsia" w:hAnsiTheme="minorEastAsia"/>
          <w:color w:val="000000"/>
          <w:kern w:val="0"/>
          <w:sz w:val="22"/>
        </w:rPr>
        <w:t>5</w:t>
      </w:r>
      <w:r>
        <w:rPr>
          <w:rFonts w:cs="Calibri" w:asciiTheme="minorEastAsia" w:hAnsi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w:t>
      </w:r>
      <w:r>
        <w:rPr>
          <w:rFonts w:hint="eastAsia" w:cs="Calibri" w:asciiTheme="minorEastAsia" w:hAnsiTheme="minorEastAsia"/>
          <w:color w:val="000000"/>
          <w:kern w:val="0"/>
          <w:sz w:val="22"/>
        </w:rPr>
        <w:t>6</w:t>
      </w:r>
      <w:r>
        <w:rPr>
          <w:rFonts w:cs="Calibri" w:asciiTheme="minorEastAsia" w:hAnsi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53" w:name="_Toc18230"/>
      <w:r>
        <w:rPr>
          <w:rFonts w:cs="Calibri" w:asciiTheme="minorEastAsia" w:hAnsiTheme="minorEastAsia"/>
          <w:b/>
          <w:bCs/>
          <w:kern w:val="0"/>
          <w:sz w:val="22"/>
        </w:rPr>
        <w:t>2.2 招标文件的澄清</w:t>
      </w:r>
      <w:bookmarkEnd w:id="53"/>
    </w:p>
    <w:p>
      <w:pPr>
        <w:adjustRightInd w:val="0"/>
        <w:snapToGrid w:val="0"/>
        <w:spacing w:line="360" w:lineRule="exact"/>
        <w:ind w:firstLine="440"/>
        <w:rPr>
          <w:rFonts w:cs="Calibri" w:asciiTheme="minorEastAsia" w:hAnsiTheme="minorEastAsia"/>
          <w:color w:val="000000"/>
          <w:sz w:val="22"/>
        </w:rPr>
      </w:pPr>
      <w:bookmarkStart w:id="54"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2.3 招标文件的修改</w:t>
      </w:r>
      <w:bookmarkEnd w:id="54"/>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b/>
          <w:bCs/>
          <w:kern w:val="0"/>
          <w:sz w:val="22"/>
        </w:rPr>
      </w:pPr>
      <w:bookmarkStart w:id="55" w:name="_Toc143421658"/>
      <w:bookmarkStart w:id="56" w:name="_Toc18870"/>
      <w:r>
        <w:rPr>
          <w:rFonts w:cs="Calibri" w:asciiTheme="minorEastAsia" w:hAnsiTheme="minorEastAsia"/>
          <w:b/>
          <w:bCs/>
          <w:kern w:val="0"/>
          <w:sz w:val="22"/>
        </w:rPr>
        <w:t>3.投标文件</w:t>
      </w:r>
      <w:bookmarkEnd w:id="55"/>
      <w:bookmarkEnd w:id="56"/>
    </w:p>
    <w:p>
      <w:pPr>
        <w:autoSpaceDE w:val="0"/>
        <w:autoSpaceDN w:val="0"/>
        <w:adjustRightInd w:val="0"/>
        <w:snapToGrid w:val="0"/>
        <w:spacing w:line="360" w:lineRule="exact"/>
        <w:rPr>
          <w:rFonts w:cs="Calibri" w:asciiTheme="minorEastAsia" w:hAnsiTheme="minorEastAsia"/>
          <w:b/>
          <w:bCs/>
          <w:kern w:val="0"/>
          <w:sz w:val="22"/>
        </w:rPr>
      </w:pPr>
      <w:bookmarkStart w:id="57" w:name="_Toc461"/>
      <w:r>
        <w:rPr>
          <w:rFonts w:cs="Calibri" w:asciiTheme="minorEastAsia" w:hAnsiTheme="minorEastAsia"/>
          <w:b/>
          <w:bCs/>
          <w:kern w:val="0"/>
          <w:sz w:val="22"/>
        </w:rPr>
        <w:t>3.1 投标文件的语言和计量单位</w:t>
      </w:r>
      <w:bookmarkEnd w:id="57"/>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3.1.4招标文件中所指的“合同”除特别说明外，指 “</w:t>
      </w:r>
      <w:r>
        <w:rPr>
          <w:rFonts w:hint="eastAsia" w:cs="Calibri" w:asciiTheme="minorEastAsia" w:hAnsiTheme="minorEastAsia"/>
          <w:color w:val="000000"/>
          <w:kern w:val="0"/>
          <w:sz w:val="22"/>
        </w:rPr>
        <w:t>服务</w:t>
      </w:r>
      <w:r>
        <w:rPr>
          <w:rFonts w:cs="Calibri" w:asciiTheme="minorEastAsia" w:hAnsiTheme="minorEastAsia"/>
          <w:color w:val="000000"/>
          <w:kern w:val="0"/>
          <w:sz w:val="22"/>
        </w:rPr>
        <w:t>合同”。</w:t>
      </w:r>
    </w:p>
    <w:p>
      <w:pPr>
        <w:autoSpaceDE w:val="0"/>
        <w:autoSpaceDN w:val="0"/>
        <w:adjustRightInd w:val="0"/>
        <w:snapToGrid w:val="0"/>
        <w:spacing w:line="360" w:lineRule="exact"/>
        <w:rPr>
          <w:rFonts w:cs="Calibri" w:asciiTheme="minorEastAsia" w:hAnsiTheme="minorEastAsia"/>
          <w:b/>
          <w:bCs/>
          <w:kern w:val="0"/>
          <w:sz w:val="22"/>
        </w:rPr>
      </w:pPr>
      <w:bookmarkStart w:id="58" w:name="_Toc1411"/>
      <w:r>
        <w:rPr>
          <w:rFonts w:cs="Calibri" w:asciiTheme="minorEastAsia" w:hAnsiTheme="minorEastAsia"/>
          <w:b/>
          <w:bCs/>
          <w:kern w:val="0"/>
          <w:sz w:val="22"/>
        </w:rPr>
        <w:t>3.2 投标文件的组成</w:t>
      </w:r>
      <w:bookmarkEnd w:id="58"/>
    </w:p>
    <w:p>
      <w:pPr>
        <w:adjustRightInd w:val="0"/>
        <w:snapToGrid w:val="0"/>
        <w:spacing w:line="360" w:lineRule="exact"/>
        <w:ind w:firstLine="440" w:firstLineChars="200"/>
        <w:rPr>
          <w:rFonts w:cs="Calibri" w:asciiTheme="minorEastAsia" w:hAnsiTheme="minorEastAsia"/>
          <w:color w:val="000000"/>
          <w:sz w:val="22"/>
        </w:rPr>
      </w:pPr>
      <w:bookmarkStart w:id="59" w:name="_Toc32225"/>
      <w:r>
        <w:rPr>
          <w:rFonts w:cs="Calibri" w:asciiTheme="minorEastAsia" w:hAnsiTheme="minorEastAsia"/>
          <w:color w:val="000000"/>
          <w:sz w:val="22"/>
        </w:rPr>
        <w:t>3.2.1投标函；</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2</w:t>
      </w:r>
      <w:r>
        <w:rPr>
          <w:rFonts w:cs="Calibri" w:asciiTheme="minorEastAsia" w:hAnsiTheme="minorEastAsia"/>
          <w:color w:val="000000"/>
          <w:sz w:val="22"/>
        </w:rPr>
        <w:t>法定代表人资格证明书；</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3</w:t>
      </w:r>
      <w:r>
        <w:rPr>
          <w:rFonts w:cs="Calibri" w:asciiTheme="minorEastAsia" w:hAnsiTheme="minorEastAsia"/>
          <w:color w:val="000000"/>
          <w:sz w:val="22"/>
        </w:rPr>
        <w:t>授权委托书；</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w:t>
      </w:r>
      <w:r>
        <w:rPr>
          <w:rFonts w:hint="eastAsia" w:cs="Calibri" w:asciiTheme="minorEastAsia" w:hAnsiTheme="minorEastAsia"/>
          <w:color w:val="000000"/>
          <w:sz w:val="22"/>
        </w:rPr>
        <w:t>4</w:t>
      </w:r>
      <w:r>
        <w:rPr>
          <w:rFonts w:cs="Calibri" w:asciiTheme="minorEastAsia" w:hAnsi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有关证明投标人法律地位的文件（包括营业执照</w:t>
      </w:r>
      <w:r>
        <w:rPr>
          <w:rFonts w:hint="eastAsia" w:cs="Calibri" w:asciiTheme="minorEastAsia" w:hAnsiTheme="minorEastAsia"/>
          <w:color w:val="000000"/>
          <w:sz w:val="22"/>
        </w:rPr>
        <w:t>、</w:t>
      </w:r>
      <w:r>
        <w:rPr>
          <w:rFonts w:hint="eastAsia" w:cs="Calibri" w:asciiTheme="minorEastAsia" w:hAnsiTheme="minorEastAsia"/>
          <w:sz w:val="22"/>
        </w:rPr>
        <w:t>税务登记证、</w:t>
      </w:r>
      <w:r>
        <w:rPr>
          <w:rFonts w:cs="Calibri" w:asciiTheme="minorEastAsia" w:hAnsiTheme="minorEastAsia"/>
          <w:color w:val="000000"/>
          <w:sz w:val="22"/>
        </w:rPr>
        <w:t>资质</w:t>
      </w:r>
      <w:r>
        <w:rPr>
          <w:rFonts w:hint="eastAsia" w:cs="Calibri" w:asciiTheme="minorEastAsia" w:hAnsiTheme="minorEastAsia"/>
          <w:color w:val="000000"/>
          <w:sz w:val="22"/>
        </w:rPr>
        <w:t>证书</w:t>
      </w:r>
      <w:r>
        <w:rPr>
          <w:rFonts w:cs="Calibri" w:asciiTheme="minorEastAsia" w:hAnsi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（2）信用中国网站www.creditchina.gov.cn 、中国裁判文书网http://wenshu.court.gov.cn查询结果证材料以及主管税务部门出具的一般纳税人资格认定《税务事项通知书》。</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（3）有关证明投标人的企业信誉及获得各种奖励等资料；</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（4）投标人经济实力：包括企业注册资金、财务报告与报表中反映的财务状况</w:t>
      </w:r>
      <w:r>
        <w:rPr>
          <w:rFonts w:hint="eastAsia"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w:t>
      </w:r>
      <w:r>
        <w:rPr>
          <w:rFonts w:cs="Calibri" w:asciiTheme="minorEastAsia" w:hAnsiTheme="minorEastAsia"/>
          <w:color w:val="000000"/>
          <w:sz w:val="22"/>
        </w:rPr>
        <w:t>5</w:t>
      </w:r>
      <w:r>
        <w:rPr>
          <w:rFonts w:hint="eastAsia" w:cs="Calibri" w:asciiTheme="minorEastAsia" w:hAnsiTheme="minorEastAsia"/>
          <w:color w:val="000000"/>
          <w:sz w:val="22"/>
        </w:rPr>
        <w:t>）</w:t>
      </w:r>
      <w:r>
        <w:rPr>
          <w:rFonts w:cs="Calibri" w:asciiTheme="minorEastAsia" w:hAnsiTheme="minorEastAsia"/>
          <w:color w:val="000000"/>
          <w:sz w:val="22"/>
        </w:rPr>
        <w:t>近三年完成类似项目业绩情况</w:t>
      </w:r>
      <w:r>
        <w:rPr>
          <w:rFonts w:hint="eastAsia"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w:t>
      </w:r>
      <w:r>
        <w:rPr>
          <w:rFonts w:cs="Calibri" w:asciiTheme="minorEastAsia" w:hAnsiTheme="minorEastAsia"/>
          <w:color w:val="000000"/>
          <w:sz w:val="22"/>
        </w:rPr>
        <w:t>6</w:t>
      </w:r>
      <w:r>
        <w:rPr>
          <w:rFonts w:hint="eastAsia" w:cs="Calibri" w:asciiTheme="minorEastAsia" w:hAnsiTheme="minorEastAsia"/>
          <w:color w:val="000000"/>
          <w:sz w:val="22"/>
        </w:rPr>
        <w:t>）招标文件投标人资格要求中提供的相关材料。</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3.2.6</w:t>
      </w:r>
      <w:r>
        <w:rPr>
          <w:rFonts w:hint="eastAsia" w:cs="Calibri" w:asciiTheme="minorEastAsia" w:hAnsiTheme="minorEastAsia"/>
          <w:color w:val="000000"/>
          <w:sz w:val="22"/>
        </w:rPr>
        <w:t xml:space="preserve"> </w:t>
      </w:r>
      <w:r>
        <w:rPr>
          <w:rFonts w:cs="Calibri" w:asciiTheme="minorEastAsia" w:hAnsiTheme="minorEastAsia"/>
          <w:color w:val="000000"/>
          <w:sz w:val="22"/>
        </w:rPr>
        <w:t>服务大纲</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（1）本项目概况；</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w:t>
      </w:r>
      <w:r>
        <w:rPr>
          <w:rFonts w:hint="eastAsia" w:cs="Calibri" w:asciiTheme="minorEastAsia" w:hAnsiTheme="minorEastAsia"/>
          <w:color w:val="000000"/>
          <w:sz w:val="22"/>
        </w:rPr>
        <w:t>现场机构、人力、物资设备配置</w:t>
      </w:r>
      <w:r>
        <w:rPr>
          <w:rFonts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（5）</w:t>
      </w:r>
      <w:r>
        <w:rPr>
          <w:rFonts w:hint="eastAsia" w:cs="Calibri" w:asciiTheme="minorEastAsia" w:hAnsiTheme="minorEastAsia"/>
          <w:color w:val="000000"/>
          <w:sz w:val="22"/>
        </w:rPr>
        <w:t>运行、安全、服务等相关管理方案</w:t>
      </w:r>
      <w:r>
        <w:rPr>
          <w:rFonts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（6）对本项目的实施意见及重点</w:t>
      </w:r>
      <w:r>
        <w:rPr>
          <w:rFonts w:hint="eastAsia" w:cs="Calibri" w:asciiTheme="minorEastAsia" w:hAnsiTheme="minorEastAsia"/>
          <w:color w:val="000000"/>
          <w:sz w:val="22"/>
        </w:rPr>
        <w:t>、</w:t>
      </w:r>
      <w:r>
        <w:rPr>
          <w:rFonts w:cs="Calibri" w:asciiTheme="minorEastAsia" w:hAnsiTheme="minorEastAsia"/>
          <w:color w:val="000000"/>
          <w:sz w:val="22"/>
        </w:rPr>
        <w:t>难点控制；</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w:t>
      </w:r>
      <w:r>
        <w:rPr>
          <w:rFonts w:hint="eastAsia" w:cs="Calibri" w:asciiTheme="minorEastAsia" w:hAnsiTheme="minorEastAsia"/>
          <w:color w:val="000000"/>
          <w:sz w:val="22"/>
        </w:rPr>
        <w:t>8</w:t>
      </w:r>
      <w:r>
        <w:rPr>
          <w:rFonts w:cs="Calibri" w:asciiTheme="minorEastAsia" w:hAnsi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w:t>
      </w:r>
      <w:r>
        <w:rPr>
          <w:rFonts w:hint="eastAsia" w:cs="Calibri" w:asciiTheme="minorEastAsia" w:hAnsiTheme="minorEastAsia"/>
          <w:color w:val="000000"/>
          <w:sz w:val="22"/>
        </w:rPr>
        <w:t>9</w:t>
      </w:r>
      <w:r>
        <w:rPr>
          <w:rFonts w:cs="Calibri" w:asciiTheme="minorEastAsia" w:hAnsiTheme="minorEastAsia"/>
          <w:color w:val="000000"/>
          <w:sz w:val="22"/>
        </w:rPr>
        <w:t>）投入本项目服务的仪器、仪表、设备及交通工具汇总表</w:t>
      </w:r>
      <w:r>
        <w:rPr>
          <w:rFonts w:hint="eastAsia" w:cs="Calibri" w:asciiTheme="minorEastAsia" w:hAnsiTheme="minorEastAsia"/>
          <w:color w:val="000000"/>
          <w:sz w:val="22"/>
        </w:rPr>
        <w:t>。</w:t>
      </w:r>
    </w:p>
    <w:p>
      <w:pPr>
        <w:adjustRightInd w:val="0"/>
        <w:snapToGrid w:val="0"/>
        <w:spacing w:line="360" w:lineRule="exact"/>
        <w:ind w:firstLine="440" w:firstLineChars="200"/>
        <w:rPr>
          <w:rFonts w:asciiTheme="minorEastAsia" w:hAnsiTheme="minorEastAsia"/>
          <w:sz w:val="22"/>
        </w:rPr>
      </w:pPr>
      <w:r>
        <w:rPr>
          <w:rFonts w:cs="Calibri" w:asciiTheme="minorEastAsia" w:hAnsiTheme="minorEastAsia"/>
          <w:color w:val="000000"/>
          <w:sz w:val="22"/>
        </w:rPr>
        <w:t>3.2.7</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cs="Arial" w:asciiTheme="minorEastAsia" w:hAnsiTheme="minorEastAsia"/>
          <w:color w:val="000000"/>
          <w:sz w:val="22"/>
        </w:rPr>
        <w:t>。</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3.3 投标报价</w:t>
      </w:r>
      <w:bookmarkEnd w:id="59"/>
    </w:p>
    <w:p>
      <w:pPr>
        <w:adjustRightInd w:val="0"/>
        <w:snapToGrid w:val="0"/>
        <w:spacing w:line="360" w:lineRule="exact"/>
        <w:ind w:firstLine="440" w:firstLineChars="200"/>
        <w:rPr>
          <w:rFonts w:cs="Calibri" w:asciiTheme="minorEastAsia" w:hAnsiTheme="minorEastAsia"/>
          <w:color w:val="000000"/>
          <w:kern w:val="0"/>
          <w:sz w:val="22"/>
        </w:rPr>
      </w:pPr>
      <w:bookmarkStart w:id="60" w:name="_Toc13307"/>
      <w:r>
        <w:rPr>
          <w:rFonts w:cs="Calibri" w:asciiTheme="minorEastAsia" w:hAnsiTheme="minorEastAsia"/>
          <w:color w:val="000000"/>
          <w:kern w:val="0"/>
          <w:sz w:val="22"/>
        </w:rPr>
        <w:t>3.2.1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3.2.4投标报价的其他要求</w:t>
      </w:r>
      <w:r>
        <w:rPr>
          <w:rFonts w:hint="eastAsia" w:cs="Calibri" w:asciiTheme="minorEastAsia" w:hAnsiTheme="minorEastAsia"/>
          <w:color w:val="000000"/>
          <w:kern w:val="0"/>
          <w:sz w:val="22"/>
        </w:rPr>
        <w:t>：</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3.4 投标有效期</w:t>
      </w:r>
      <w:bookmarkEnd w:id="60"/>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b/>
          <w:bCs/>
          <w:kern w:val="0"/>
          <w:sz w:val="22"/>
        </w:rPr>
      </w:pPr>
      <w:bookmarkStart w:id="61" w:name="_Toc30464"/>
      <w:r>
        <w:rPr>
          <w:rFonts w:cs="Calibri" w:asciiTheme="minorEastAsia" w:hAnsiTheme="minorEastAsia"/>
          <w:b/>
          <w:bCs/>
          <w:kern w:val="0"/>
          <w:sz w:val="22"/>
        </w:rPr>
        <w:t>3.5 投标保证金</w:t>
      </w:r>
      <w:bookmarkEnd w:id="61"/>
      <w:r>
        <w:rPr>
          <w:rFonts w:hint="eastAsia" w:cs="Calibri" w:asciiTheme="minorEastAsia" w:hAnsiTheme="minorEastAsia"/>
          <w:b/>
          <w:bCs/>
          <w:kern w:val="0"/>
          <w:sz w:val="22"/>
        </w:rPr>
        <w:t>（如有）</w:t>
      </w:r>
    </w:p>
    <w:p>
      <w:pPr>
        <w:adjustRightInd w:val="0"/>
        <w:snapToGrid w:val="0"/>
        <w:spacing w:line="360" w:lineRule="exact"/>
        <w:ind w:firstLine="440"/>
        <w:rPr>
          <w:rFonts w:ascii="宋体" w:hAnsi="宋体" w:cs="Calibri"/>
          <w:kern w:val="0"/>
          <w:sz w:val="22"/>
        </w:rPr>
      </w:pPr>
      <w:bookmarkStart w:id="62"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3.6 投标文件的编制</w:t>
      </w:r>
      <w:bookmarkEnd w:id="62"/>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3.6.1 投标文件应按本须知第3.2款规定的内容和第</w:t>
      </w:r>
      <w:r>
        <w:rPr>
          <w:rFonts w:hint="eastAsia" w:cs="Calibri" w:asciiTheme="minorEastAsia" w:hAnsiTheme="minorEastAsia"/>
          <w:color w:val="000000"/>
          <w:sz w:val="22"/>
        </w:rPr>
        <w:t>六</w:t>
      </w:r>
      <w:r>
        <w:rPr>
          <w:rFonts w:cs="Calibri" w:asciiTheme="minorEastAsia" w:hAnsi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sz w:val="22"/>
        </w:rPr>
        <w:t>服务期</w:t>
      </w:r>
      <w:r>
        <w:rPr>
          <w:rFonts w:cs="Calibri" w:asciiTheme="minorEastAsia" w:hAnsi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 xml:space="preserve">3.6.2 </w:t>
      </w:r>
      <w:r>
        <w:rPr>
          <w:rFonts w:cs="Calibri" w:asciiTheme="minorEastAsia" w:hAnsiTheme="minorEastAsia"/>
          <w:color w:val="000000"/>
          <w:kern w:val="0"/>
          <w:sz w:val="22"/>
        </w:rPr>
        <w:t>投标文件应对招标文件有关</w:t>
      </w:r>
      <w:r>
        <w:rPr>
          <w:rFonts w:hint="eastAsia" w:cs="Calibri" w:asciiTheme="minorEastAsia" w:hAnsiTheme="minorEastAsia"/>
          <w:color w:val="000000"/>
          <w:kern w:val="0"/>
          <w:sz w:val="22"/>
        </w:rPr>
        <w:t>服务</w:t>
      </w:r>
      <w:r>
        <w:rPr>
          <w:rFonts w:cs="Calibri" w:asciiTheme="minorEastAsia" w:hAnsiTheme="minorEastAsia"/>
          <w:color w:val="000000"/>
          <w:kern w:val="0"/>
          <w:sz w:val="22"/>
        </w:rPr>
        <w:t>期、投标有效期、招标</w:t>
      </w:r>
      <w:r>
        <w:rPr>
          <w:rFonts w:hint="eastAsia" w:cs="Calibri" w:asciiTheme="minorEastAsia" w:hAnsiTheme="minorEastAsia"/>
          <w:color w:val="000000"/>
          <w:kern w:val="0"/>
          <w:sz w:val="22"/>
        </w:rPr>
        <w:t>内容</w:t>
      </w:r>
      <w:r>
        <w:rPr>
          <w:rFonts w:cs="Calibri" w:asciiTheme="minorEastAsia" w:hAnsi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3.6.4投标文件正本一份， 副本份数见投标人须知前附表。正本、副本的封面上应清楚地标记</w:t>
      </w:r>
      <w:r>
        <w:rPr>
          <w:rFonts w:cs="Calibri" w:asciiTheme="minorEastAsia" w:hAnsiTheme="minorEastAsia"/>
          <w:b/>
          <w:bCs/>
          <w:color w:val="000000"/>
          <w:sz w:val="22"/>
        </w:rPr>
        <w:t>“正本</w:t>
      </w:r>
      <w:r>
        <w:rPr>
          <w:rFonts w:cs="Calibri" w:asciiTheme="minorEastAsia" w:hAnsiTheme="minorEastAsia"/>
          <w:color w:val="000000"/>
          <w:sz w:val="22"/>
        </w:rPr>
        <w:t>”或“</w:t>
      </w:r>
      <w:r>
        <w:rPr>
          <w:rFonts w:cs="Calibri" w:asciiTheme="minorEastAsia" w:hAnsiTheme="minorEastAsia"/>
          <w:b/>
          <w:bCs/>
          <w:color w:val="000000"/>
          <w:sz w:val="22"/>
        </w:rPr>
        <w:t>副本</w:t>
      </w:r>
      <w:r>
        <w:rPr>
          <w:rFonts w:cs="Calibri" w:asciiTheme="minorEastAsia" w:hAnsi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3.6.5投标文件的正本与副本应分别按A4规格装订成册，具体装订要求见投标人须知前附表规定。</w:t>
      </w:r>
      <w:bookmarkStart w:id="63" w:name="_Toc143421659"/>
    </w:p>
    <w:p>
      <w:pPr>
        <w:autoSpaceDE w:val="0"/>
        <w:autoSpaceDN w:val="0"/>
        <w:adjustRightInd w:val="0"/>
        <w:snapToGrid w:val="0"/>
        <w:spacing w:line="360" w:lineRule="exact"/>
        <w:rPr>
          <w:rFonts w:cs="Calibri" w:asciiTheme="minorEastAsia" w:hAnsiTheme="minorEastAsia"/>
          <w:b/>
          <w:bCs/>
          <w:kern w:val="0"/>
          <w:sz w:val="22"/>
        </w:rPr>
      </w:pPr>
      <w:bookmarkStart w:id="64" w:name="_Toc32652"/>
      <w:r>
        <w:rPr>
          <w:rFonts w:cs="Calibri" w:asciiTheme="minorEastAsia" w:hAnsiTheme="minorEastAsia"/>
          <w:b/>
          <w:bCs/>
          <w:kern w:val="0"/>
          <w:sz w:val="22"/>
        </w:rPr>
        <w:t>4.投标</w:t>
      </w:r>
      <w:bookmarkEnd w:id="63"/>
      <w:bookmarkEnd w:id="64"/>
    </w:p>
    <w:p>
      <w:pPr>
        <w:autoSpaceDE w:val="0"/>
        <w:autoSpaceDN w:val="0"/>
        <w:adjustRightInd w:val="0"/>
        <w:snapToGrid w:val="0"/>
        <w:spacing w:line="360" w:lineRule="exact"/>
        <w:rPr>
          <w:rFonts w:cs="Calibri" w:asciiTheme="minorEastAsia" w:hAnsiTheme="minorEastAsia"/>
          <w:b/>
          <w:bCs/>
          <w:kern w:val="0"/>
          <w:sz w:val="22"/>
        </w:rPr>
      </w:pPr>
      <w:bookmarkStart w:id="65" w:name="_Toc649"/>
      <w:r>
        <w:rPr>
          <w:rFonts w:cs="Calibri" w:asciiTheme="minorEastAsia" w:hAnsiTheme="minorEastAsia"/>
          <w:b/>
          <w:bCs/>
          <w:kern w:val="0"/>
          <w:sz w:val="22"/>
        </w:rPr>
        <w:t>4.1 投标文件的密封和标识</w:t>
      </w:r>
      <w:bookmarkEnd w:id="65"/>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4.1.1</w:t>
      </w:r>
      <w:r>
        <w:rPr>
          <w:rFonts w:cs="Calibri" w:asciiTheme="minorEastAsia" w:hAnsiTheme="minorEastAsia"/>
          <w:color w:val="000000"/>
          <w:kern w:val="0"/>
          <w:sz w:val="22"/>
        </w:rPr>
        <w:t>投标文件的正本、副本可一同</w:t>
      </w:r>
      <w:r>
        <w:rPr>
          <w:rFonts w:hint="eastAsia" w:cs="Calibri" w:asciiTheme="minorEastAsia" w:hAnsiTheme="minorEastAsia"/>
          <w:color w:val="000000"/>
          <w:kern w:val="0"/>
          <w:sz w:val="22"/>
        </w:rPr>
        <w:t>密封</w:t>
      </w:r>
      <w:r>
        <w:rPr>
          <w:rFonts w:cs="Calibri" w:asciiTheme="minorEastAsia" w:hAnsi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4.1.</w:t>
      </w:r>
      <w:r>
        <w:rPr>
          <w:rFonts w:hint="eastAsia" w:cs="Calibri" w:asciiTheme="minorEastAsia" w:hAnsiTheme="minorEastAsia"/>
          <w:color w:val="000000"/>
          <w:kern w:val="0"/>
          <w:sz w:val="22"/>
        </w:rPr>
        <w:t>4</w:t>
      </w:r>
      <w:r>
        <w:rPr>
          <w:rFonts w:cs="Calibri" w:asciiTheme="minorEastAsia" w:hAnsi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b/>
          <w:bCs/>
          <w:kern w:val="0"/>
          <w:sz w:val="22"/>
        </w:rPr>
      </w:pPr>
      <w:bookmarkStart w:id="66" w:name="_Toc16616"/>
      <w:r>
        <w:rPr>
          <w:rFonts w:cs="Calibri" w:asciiTheme="minorEastAsia" w:hAnsiTheme="minorEastAsia"/>
          <w:b/>
          <w:bCs/>
          <w:kern w:val="0"/>
          <w:sz w:val="22"/>
        </w:rPr>
        <w:t xml:space="preserve">4.2 投标文件的递交 </w:t>
      </w:r>
      <w:bookmarkEnd w:id="66"/>
    </w:p>
    <w:p>
      <w:pPr>
        <w:autoSpaceDE w:val="0"/>
        <w:autoSpaceDN w:val="0"/>
        <w:adjustRightInd w:val="0"/>
        <w:snapToGrid w:val="0"/>
        <w:spacing w:line="360" w:lineRule="exact"/>
        <w:ind w:firstLine="440" w:firstLineChars="200"/>
        <w:rPr>
          <w:rFonts w:cs="Calibri" w:asciiTheme="minorEastAsia" w:hAnsiTheme="minorEastAsia"/>
          <w:b/>
          <w:bCs/>
          <w:kern w:val="0"/>
          <w:sz w:val="22"/>
        </w:rPr>
      </w:pPr>
      <w:r>
        <w:rPr>
          <w:rFonts w:cs="Calibri" w:asciiTheme="minorEastAsia" w:hAnsi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4.2.</w:t>
      </w:r>
      <w:r>
        <w:rPr>
          <w:rFonts w:hint="eastAsia" w:cs="Calibri" w:asciiTheme="minorEastAsia" w:hAnsiTheme="minorEastAsia"/>
          <w:color w:val="000000"/>
          <w:sz w:val="22"/>
        </w:rPr>
        <w:t>4</w:t>
      </w:r>
      <w:r>
        <w:rPr>
          <w:rFonts w:cs="Calibri" w:asciiTheme="minorEastAsia" w:hAnsi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b/>
          <w:bCs/>
          <w:kern w:val="0"/>
          <w:sz w:val="22"/>
        </w:rPr>
      </w:pPr>
      <w:bookmarkStart w:id="67" w:name="_Toc26099"/>
      <w:r>
        <w:rPr>
          <w:rFonts w:cs="Calibri" w:asciiTheme="minorEastAsia" w:hAnsiTheme="minorEastAsia"/>
          <w:b/>
          <w:bCs/>
          <w:kern w:val="0"/>
          <w:sz w:val="22"/>
        </w:rPr>
        <w:t>4.3 投标文件的修改和撤回</w:t>
      </w:r>
      <w:bookmarkEnd w:id="67"/>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b/>
          <w:bCs/>
          <w:kern w:val="0"/>
          <w:sz w:val="22"/>
        </w:rPr>
      </w:pPr>
      <w:bookmarkStart w:id="68" w:name="_Toc29641"/>
      <w:r>
        <w:rPr>
          <w:rFonts w:cs="Calibri" w:asciiTheme="minorEastAsia" w:hAnsiTheme="minorEastAsia"/>
          <w:b/>
          <w:bCs/>
          <w:kern w:val="0"/>
          <w:sz w:val="22"/>
        </w:rPr>
        <w:t>5.开标</w:t>
      </w:r>
      <w:bookmarkEnd w:id="68"/>
    </w:p>
    <w:p>
      <w:pPr>
        <w:autoSpaceDE w:val="0"/>
        <w:autoSpaceDN w:val="0"/>
        <w:adjustRightInd w:val="0"/>
        <w:snapToGrid w:val="0"/>
        <w:spacing w:line="360" w:lineRule="exact"/>
        <w:rPr>
          <w:rFonts w:cs="Calibri" w:asciiTheme="minorEastAsia" w:hAnsiTheme="minorEastAsia"/>
          <w:b/>
          <w:bCs/>
          <w:kern w:val="0"/>
          <w:sz w:val="22"/>
        </w:rPr>
      </w:pPr>
      <w:bookmarkStart w:id="69" w:name="_Toc15123"/>
      <w:r>
        <w:rPr>
          <w:rFonts w:cs="Calibri" w:asciiTheme="minorEastAsia" w:hAnsiTheme="minorEastAsia"/>
          <w:b/>
          <w:bCs/>
          <w:kern w:val="0"/>
          <w:sz w:val="22"/>
        </w:rPr>
        <w:t>5.1 开标时间和地点</w:t>
      </w:r>
      <w:bookmarkEnd w:id="69"/>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sz w:val="22"/>
        </w:rPr>
      </w:pPr>
      <w:bookmarkStart w:id="70" w:name="_Toc7101"/>
      <w:r>
        <w:rPr>
          <w:rFonts w:cs="Calibri" w:asciiTheme="minorEastAsia" w:hAnsiTheme="minorEastAsia"/>
          <w:sz w:val="22"/>
        </w:rPr>
        <w:t>（1）委托代理人的身份证、法定代表人授权委托书</w:t>
      </w:r>
      <w:r>
        <w:rPr>
          <w:rFonts w:hint="eastAsia" w:cs="Calibri" w:asciiTheme="minorEastAsia" w:hAnsiTheme="minorEastAsia"/>
          <w:sz w:val="22"/>
        </w:rPr>
        <w:t>（装订在投标文件内亦可）</w:t>
      </w:r>
      <w:r>
        <w:rPr>
          <w:rFonts w:cs="Calibri" w:asciiTheme="minorEastAsia" w:hAnsiTheme="minorEastAsia"/>
          <w:sz w:val="22"/>
        </w:rPr>
        <w:t>；</w:t>
      </w:r>
    </w:p>
    <w:p>
      <w:pPr>
        <w:adjustRightInd w:val="0"/>
        <w:snapToGrid w:val="0"/>
        <w:spacing w:line="360" w:lineRule="exact"/>
        <w:ind w:firstLine="440" w:firstLineChars="200"/>
        <w:rPr>
          <w:rFonts w:cs="Calibri" w:asciiTheme="minorEastAsia" w:hAnsiTheme="minorEastAsia"/>
          <w:sz w:val="22"/>
        </w:rPr>
      </w:pPr>
      <w:r>
        <w:rPr>
          <w:rFonts w:cs="Calibri" w:asciiTheme="minorEastAsia" w:hAnsiTheme="minorEastAsia"/>
          <w:sz w:val="22"/>
        </w:rPr>
        <w:t>（2）投标保证金收执证明或汇款凭证或银行回单</w:t>
      </w:r>
      <w:r>
        <w:rPr>
          <w:rFonts w:hint="eastAsia" w:cs="Calibri" w:asciiTheme="minorEastAsia" w:hAnsiTheme="minorEastAsia"/>
          <w:sz w:val="22"/>
        </w:rPr>
        <w:t>（装订在投标文件内亦可）</w:t>
      </w:r>
      <w:r>
        <w:rPr>
          <w:rFonts w:cs="Calibri" w:asciiTheme="minorEastAsia" w:hAnsiTheme="minorEastAsia"/>
          <w:sz w:val="22"/>
        </w:rPr>
        <w:t>。</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5.2 开标程序</w:t>
      </w:r>
      <w:bookmarkEnd w:id="70"/>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（6）</w:t>
      </w:r>
      <w:r>
        <w:rPr>
          <w:rFonts w:cs="Calibri" w:asciiTheme="minorEastAsia" w:hAnsiTheme="minorEastAsia"/>
          <w:color w:val="000000"/>
          <w:sz w:val="22"/>
        </w:rPr>
        <w:t>按照宣布的开标顺序当众开标，公布投标人名称、投标保证金的递交情况、投标报价、</w:t>
      </w:r>
      <w:r>
        <w:rPr>
          <w:rFonts w:hint="eastAsia" w:cs="Calibri" w:asciiTheme="minorEastAsia" w:hAnsiTheme="minorEastAsia"/>
          <w:color w:val="000000"/>
          <w:sz w:val="22"/>
        </w:rPr>
        <w:t>服务期</w:t>
      </w:r>
      <w:r>
        <w:rPr>
          <w:rFonts w:cs="Calibri" w:asciiTheme="minorEastAsia" w:hAnsi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b/>
          <w:bCs/>
          <w:kern w:val="0"/>
          <w:sz w:val="22"/>
        </w:rPr>
      </w:pPr>
      <w:bookmarkStart w:id="71" w:name="_Toc31578"/>
      <w:r>
        <w:rPr>
          <w:rFonts w:cs="Calibri" w:asciiTheme="minorEastAsia" w:hAnsiTheme="minorEastAsia"/>
          <w:b/>
          <w:bCs/>
          <w:kern w:val="0"/>
          <w:sz w:val="22"/>
        </w:rPr>
        <w:t>6.评标</w:t>
      </w:r>
      <w:bookmarkEnd w:id="71"/>
    </w:p>
    <w:p>
      <w:pPr>
        <w:autoSpaceDE w:val="0"/>
        <w:autoSpaceDN w:val="0"/>
        <w:adjustRightInd w:val="0"/>
        <w:snapToGrid w:val="0"/>
        <w:spacing w:line="360" w:lineRule="exact"/>
        <w:rPr>
          <w:rFonts w:cs="Calibri" w:asciiTheme="minorEastAsia" w:hAnsiTheme="minorEastAsia"/>
          <w:b/>
          <w:bCs/>
          <w:kern w:val="0"/>
          <w:sz w:val="22"/>
        </w:rPr>
      </w:pPr>
      <w:bookmarkStart w:id="72" w:name="_Toc10279"/>
      <w:r>
        <w:rPr>
          <w:rFonts w:cs="Calibri" w:asciiTheme="minorEastAsia" w:hAnsiTheme="minorEastAsia"/>
          <w:b/>
          <w:bCs/>
          <w:kern w:val="0"/>
          <w:sz w:val="22"/>
        </w:rPr>
        <w:t>6.1 评标委员会</w:t>
      </w:r>
      <w:bookmarkEnd w:id="72"/>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6.1.1</w:t>
      </w:r>
      <w:r>
        <w:rPr>
          <w:rFonts w:cs="Calibri" w:asciiTheme="minorEastAsia" w:hAnsi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b/>
          <w:bCs/>
          <w:kern w:val="0"/>
          <w:sz w:val="22"/>
        </w:rPr>
      </w:pPr>
      <w:bookmarkStart w:id="73" w:name="_Toc3460"/>
      <w:r>
        <w:rPr>
          <w:rFonts w:cs="Calibri" w:asciiTheme="minorEastAsia" w:hAnsiTheme="minorEastAsia"/>
          <w:b/>
          <w:bCs/>
          <w:kern w:val="0"/>
          <w:sz w:val="22"/>
        </w:rPr>
        <w:t>6.2 评标原则</w:t>
      </w:r>
      <w:bookmarkEnd w:id="73"/>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b/>
          <w:bCs/>
          <w:kern w:val="0"/>
          <w:sz w:val="22"/>
        </w:rPr>
      </w:pPr>
      <w:bookmarkStart w:id="74" w:name="_Toc28178"/>
      <w:r>
        <w:rPr>
          <w:rFonts w:cs="Calibri" w:asciiTheme="minorEastAsia" w:hAnsiTheme="minorEastAsia"/>
          <w:b/>
          <w:bCs/>
          <w:kern w:val="0"/>
          <w:sz w:val="22"/>
        </w:rPr>
        <w:t>6.3 评标</w:t>
      </w:r>
      <w:bookmarkEnd w:id="74"/>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评标委员会按照第</w:t>
      </w:r>
      <w:r>
        <w:rPr>
          <w:rFonts w:hint="eastAsia" w:cs="Calibri" w:asciiTheme="minorEastAsia" w:hAnsiTheme="minorEastAsia"/>
          <w:color w:val="000000"/>
          <w:kern w:val="0"/>
          <w:sz w:val="22"/>
        </w:rPr>
        <w:t>五</w:t>
      </w:r>
      <w:r>
        <w:rPr>
          <w:rFonts w:cs="Calibri" w:asciiTheme="minorEastAsia" w:hAnsiTheme="minorEastAsia"/>
          <w:color w:val="000000"/>
          <w:kern w:val="0"/>
          <w:sz w:val="22"/>
        </w:rPr>
        <w:t>章“评标方法及标准”对投标文件进行评审。第</w:t>
      </w:r>
      <w:r>
        <w:rPr>
          <w:rFonts w:hint="eastAsia" w:cs="Calibri" w:asciiTheme="minorEastAsia" w:hAnsiTheme="minorEastAsia"/>
          <w:color w:val="000000"/>
          <w:kern w:val="0"/>
          <w:sz w:val="22"/>
        </w:rPr>
        <w:t>五</w:t>
      </w:r>
      <w:r>
        <w:rPr>
          <w:rFonts w:cs="Calibri" w:asciiTheme="minorEastAsia" w:hAnsi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b/>
          <w:bCs/>
          <w:kern w:val="0"/>
          <w:sz w:val="22"/>
        </w:rPr>
      </w:pPr>
      <w:bookmarkStart w:id="75" w:name="_Toc24237"/>
      <w:r>
        <w:rPr>
          <w:rFonts w:cs="Calibri" w:asciiTheme="minorEastAsia" w:hAnsiTheme="minorEastAsia"/>
          <w:b/>
          <w:bCs/>
          <w:kern w:val="0"/>
          <w:sz w:val="22"/>
        </w:rPr>
        <w:t>7.合同授予</w:t>
      </w:r>
      <w:bookmarkEnd w:id="75"/>
    </w:p>
    <w:p>
      <w:pPr>
        <w:autoSpaceDE w:val="0"/>
        <w:autoSpaceDN w:val="0"/>
        <w:adjustRightInd w:val="0"/>
        <w:snapToGrid w:val="0"/>
        <w:spacing w:line="360" w:lineRule="exact"/>
        <w:rPr>
          <w:rFonts w:cs="Calibri" w:asciiTheme="minorEastAsia" w:hAnsiTheme="minorEastAsia"/>
          <w:b/>
          <w:bCs/>
          <w:kern w:val="0"/>
          <w:sz w:val="22"/>
        </w:rPr>
      </w:pPr>
      <w:bookmarkStart w:id="76" w:name="_Toc18809"/>
      <w:r>
        <w:rPr>
          <w:rFonts w:cs="Calibri" w:asciiTheme="minorEastAsia" w:hAnsiTheme="minorEastAsia"/>
          <w:b/>
          <w:bCs/>
          <w:kern w:val="0"/>
          <w:sz w:val="22"/>
        </w:rPr>
        <w:t>7.1 定标方式</w:t>
      </w:r>
      <w:bookmarkEnd w:id="76"/>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7" w:name="_Toc14573"/>
      <w:r>
        <w:rPr>
          <w:rFonts w:cs="Calibri" w:asciiTheme="minorEastAsia" w:hAnsiTheme="minorEastAsia"/>
          <w:b/>
          <w:bCs/>
          <w:kern w:val="0"/>
          <w:sz w:val="22"/>
        </w:rPr>
        <w:t>7.2 中标通知</w:t>
      </w:r>
      <w:bookmarkEnd w:id="77"/>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b/>
          <w:bCs/>
          <w:kern w:val="0"/>
          <w:sz w:val="22"/>
        </w:rPr>
      </w:pPr>
      <w:bookmarkStart w:id="78" w:name="_Toc27132"/>
      <w:bookmarkStart w:id="79" w:name="_Toc27581"/>
      <w:r>
        <w:rPr>
          <w:rFonts w:cs="Calibri" w:asciiTheme="minorEastAsia" w:hAnsiTheme="minorEastAsia"/>
          <w:b/>
          <w:bCs/>
          <w:kern w:val="0"/>
          <w:sz w:val="22"/>
        </w:rPr>
        <w:t>7.3 履约</w:t>
      </w:r>
      <w:r>
        <w:rPr>
          <w:rFonts w:hint="eastAsia" w:cs="Calibri" w:asciiTheme="minorEastAsia" w:hAnsiTheme="minorEastAsia"/>
          <w:b/>
          <w:bCs/>
          <w:kern w:val="0"/>
          <w:sz w:val="22"/>
        </w:rPr>
        <w:t>保证金</w:t>
      </w:r>
      <w:bookmarkEnd w:id="78"/>
    </w:p>
    <w:p>
      <w:pPr>
        <w:adjustRightInd w:val="0"/>
        <w:snapToGrid w:val="0"/>
        <w:spacing w:line="360" w:lineRule="exact"/>
        <w:ind w:firstLine="440" w:firstLineChars="200"/>
        <w:rPr>
          <w:rFonts w:cs="Calibri" w:asciiTheme="minorEastAsia" w:hAnsiTheme="minorEastAsia"/>
          <w:kern w:val="0"/>
          <w:sz w:val="22"/>
        </w:rPr>
      </w:pPr>
      <w:r>
        <w:rPr>
          <w:rFonts w:cs="Calibri" w:asciiTheme="minorEastAsia" w:hAnsiTheme="minorEastAsia"/>
          <w:kern w:val="0"/>
          <w:sz w:val="22"/>
        </w:rPr>
        <w:t>7.3.1在签订合同前，中标人应按投标人须知前附表规定的金额</w:t>
      </w:r>
      <w:r>
        <w:rPr>
          <w:rFonts w:hint="eastAsia" w:cs="Calibri" w:asciiTheme="minorEastAsia" w:hAnsiTheme="minorEastAsia"/>
          <w:kern w:val="0"/>
          <w:sz w:val="22"/>
        </w:rPr>
        <w:t>和</w:t>
      </w:r>
      <w:r>
        <w:rPr>
          <w:rFonts w:cs="Calibri" w:asciiTheme="minorEastAsia" w:hAnsiTheme="minorEastAsia"/>
          <w:kern w:val="0"/>
          <w:sz w:val="22"/>
        </w:rPr>
        <w:t>担保形式向招标人提交履约</w:t>
      </w:r>
      <w:r>
        <w:rPr>
          <w:rFonts w:hint="eastAsia" w:cs="Calibri" w:asciiTheme="minorEastAsia" w:hAnsiTheme="minorEastAsia"/>
          <w:kern w:val="0"/>
          <w:sz w:val="22"/>
        </w:rPr>
        <w:t>保证金</w:t>
      </w:r>
      <w:r>
        <w:rPr>
          <w:rFonts w:cs="Calibri" w:asciiTheme="minorEastAsia" w:hAnsiTheme="minorEastAsia"/>
          <w:kern w:val="0"/>
          <w:sz w:val="22"/>
        </w:rPr>
        <w:t>。</w:t>
      </w:r>
    </w:p>
    <w:p>
      <w:pPr>
        <w:adjustRightInd w:val="0"/>
        <w:snapToGrid w:val="0"/>
        <w:spacing w:line="360" w:lineRule="exact"/>
        <w:ind w:firstLine="440" w:firstLineChars="200"/>
        <w:rPr>
          <w:rFonts w:cs="Calibri" w:asciiTheme="minorEastAsia" w:hAnsiTheme="minorEastAsia"/>
          <w:kern w:val="0"/>
          <w:sz w:val="22"/>
        </w:rPr>
      </w:pPr>
      <w:r>
        <w:rPr>
          <w:rFonts w:cs="Calibri" w:asciiTheme="minorEastAsia" w:hAnsiTheme="minorEastAsia"/>
          <w:kern w:val="0"/>
          <w:sz w:val="22"/>
        </w:rPr>
        <w:t>7.3.2 中标人不能按本章第7.3.1项要求提交履约</w:t>
      </w:r>
      <w:r>
        <w:rPr>
          <w:rFonts w:hint="eastAsia" w:cs="Calibri" w:asciiTheme="minorEastAsia" w:hAnsiTheme="minorEastAsia"/>
          <w:kern w:val="0"/>
          <w:sz w:val="22"/>
        </w:rPr>
        <w:t>保证金</w:t>
      </w:r>
      <w:r>
        <w:rPr>
          <w:rFonts w:cs="Calibri" w:asciiTheme="minorEastAsia" w:hAnsiTheme="minorEastAsia"/>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7.4 签订合同</w:t>
      </w:r>
      <w:bookmarkEnd w:id="79"/>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sz w:val="22"/>
        </w:rPr>
        <w:t>7</w:t>
      </w:r>
      <w:bookmarkStart w:id="80" w:name="_Toc11806"/>
      <w:bookmarkStart w:id="81" w:name="_Toc220123241"/>
      <w:bookmarkStart w:id="82" w:name="_Toc219809801"/>
      <w:r>
        <w:rPr>
          <w:rFonts w:cs="Calibri" w:asciiTheme="minorEastAsia" w:hAnsi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color w:val="000000"/>
          <w:kern w:val="0"/>
          <w:sz w:val="22"/>
        </w:rPr>
        <w:t>四</w:t>
      </w:r>
      <w:r>
        <w:rPr>
          <w:rFonts w:cs="Calibri" w:asciiTheme="minorEastAsia" w:hAnsiTheme="minorEastAsia"/>
          <w:color w:val="000000"/>
          <w:kern w:val="0"/>
          <w:sz w:val="22"/>
        </w:rPr>
        <w:t>章</w:t>
      </w:r>
      <w:r>
        <w:rPr>
          <w:rFonts w:hint="eastAsia" w:cs="Calibri" w:asciiTheme="minorEastAsia" w:hAnsiTheme="minorEastAsia"/>
          <w:kern w:val="0"/>
          <w:sz w:val="22"/>
        </w:rPr>
        <w:t>“</w:t>
      </w:r>
      <w:r>
        <w:rPr>
          <w:rFonts w:cs="Calibri" w:asciiTheme="minorEastAsia" w:hAnsiTheme="minorEastAsia"/>
          <w:kern w:val="0"/>
          <w:sz w:val="22"/>
        </w:rPr>
        <w:t>合同条款</w:t>
      </w:r>
      <w:r>
        <w:rPr>
          <w:rFonts w:hint="eastAsia" w:cs="Calibri" w:asciiTheme="minorEastAsia" w:hAnsiTheme="minorEastAsia"/>
          <w:kern w:val="0"/>
          <w:sz w:val="22"/>
        </w:rPr>
        <w:t>”</w:t>
      </w:r>
      <w:r>
        <w:rPr>
          <w:rFonts w:cs="Calibri" w:asciiTheme="minorEastAsia" w:hAnsi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color w:val="000000"/>
          <w:kern w:val="0"/>
          <w:sz w:val="22"/>
        </w:rPr>
      </w:pPr>
      <w:r>
        <w:rPr>
          <w:rFonts w:hint="eastAsia" w:cs="Calibri" w:asciiTheme="minorEastAsia" w:hAnsiTheme="minorEastAsia"/>
          <w:color w:val="000000"/>
          <w:kern w:val="0"/>
          <w:sz w:val="22"/>
        </w:rPr>
        <w:t xml:space="preserve">7.4.3 </w:t>
      </w:r>
      <w:r>
        <w:rPr>
          <w:rFonts w:hint="eastAsia" w:cs="Calibri" w:asciiTheme="minorEastAsia" w:hAnsi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color w:val="000000"/>
          <w:kern w:val="0"/>
          <w:sz w:val="22"/>
        </w:rPr>
      </w:pPr>
      <w:r>
        <w:rPr>
          <w:rFonts w:hint="eastAsia" w:cs="Calibri" w:asciiTheme="minorEastAsia" w:hAnsiTheme="minorEastAsia"/>
          <w:color w:val="000000"/>
          <w:kern w:val="0"/>
          <w:sz w:val="22"/>
        </w:rPr>
        <w:t xml:space="preserve">7.4.4 </w:t>
      </w:r>
      <w:r>
        <w:rPr>
          <w:rFonts w:hint="eastAsia" w:cs="Calibri" w:asciiTheme="minorEastAsia" w:hAnsi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8.重新招标和不再招标</w:t>
      </w:r>
      <w:bookmarkEnd w:id="80"/>
      <w:bookmarkEnd w:id="81"/>
      <w:bookmarkEnd w:id="82"/>
    </w:p>
    <w:p>
      <w:pPr>
        <w:autoSpaceDE w:val="0"/>
        <w:autoSpaceDN w:val="0"/>
        <w:adjustRightInd w:val="0"/>
        <w:snapToGrid w:val="0"/>
        <w:spacing w:line="360" w:lineRule="exact"/>
        <w:rPr>
          <w:rFonts w:cs="Calibri" w:asciiTheme="minorEastAsia" w:hAnsiTheme="minorEastAsia"/>
          <w:b/>
          <w:bCs/>
          <w:kern w:val="0"/>
          <w:sz w:val="22"/>
        </w:rPr>
      </w:pPr>
      <w:bookmarkStart w:id="83" w:name="_Toc219809802"/>
      <w:bookmarkStart w:id="84" w:name="_Toc220123242"/>
      <w:bookmarkStart w:id="85" w:name="_Toc15553"/>
      <w:r>
        <w:rPr>
          <w:rFonts w:cs="Calibri" w:asciiTheme="minorEastAsia" w:hAnsiTheme="minorEastAsia"/>
          <w:b/>
          <w:bCs/>
          <w:kern w:val="0"/>
          <w:sz w:val="22"/>
        </w:rPr>
        <w:t>8.1 重新招标</w:t>
      </w:r>
      <w:bookmarkEnd w:id="83"/>
      <w:bookmarkEnd w:id="84"/>
      <w:bookmarkEnd w:id="85"/>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color w:val="000000"/>
          <w:kern w:val="0"/>
          <w:sz w:val="22"/>
        </w:rPr>
      </w:pPr>
      <w:r>
        <w:rPr>
          <w:rFonts w:cs="Calibri" w:asciiTheme="minorEastAsia" w:hAnsi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color w:val="000000"/>
          <w:kern w:val="0"/>
          <w:sz w:val="22"/>
        </w:rPr>
      </w:pPr>
      <w:r>
        <w:rPr>
          <w:rFonts w:hint="eastAsia" w:cs="Calibri" w:asciiTheme="minorEastAsia" w:hAnsiTheme="minorEastAsia"/>
          <w:color w:val="000000"/>
          <w:kern w:val="0"/>
          <w:sz w:val="22"/>
        </w:rPr>
        <w:t>（2）</w:t>
      </w:r>
      <w:r>
        <w:rPr>
          <w:rFonts w:hint="eastAsia" w:asciiTheme="minorEastAsia" w:hAnsi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kern w:val="0"/>
          <w:sz w:val="22"/>
        </w:rPr>
        <w:t>（</w:t>
      </w:r>
      <w:r>
        <w:rPr>
          <w:rFonts w:hint="eastAsia" w:cs="Calibri" w:asciiTheme="minorEastAsia" w:hAnsiTheme="minorEastAsia"/>
          <w:color w:val="000000"/>
          <w:kern w:val="0"/>
          <w:sz w:val="22"/>
        </w:rPr>
        <w:t>3</w:t>
      </w:r>
      <w:r>
        <w:rPr>
          <w:rFonts w:cs="Calibri" w:asciiTheme="minorEastAsia" w:hAnsi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b/>
          <w:bCs/>
          <w:kern w:val="0"/>
          <w:sz w:val="22"/>
        </w:rPr>
      </w:pPr>
      <w:bookmarkStart w:id="86" w:name="_Toc18806"/>
      <w:bookmarkStart w:id="87" w:name="_Toc220123243"/>
      <w:bookmarkStart w:id="88" w:name="_Toc219809803"/>
      <w:r>
        <w:rPr>
          <w:rFonts w:cs="Calibri" w:asciiTheme="minorEastAsia" w:hAnsiTheme="minorEastAsia"/>
          <w:b/>
          <w:bCs/>
          <w:kern w:val="0"/>
          <w:sz w:val="22"/>
        </w:rPr>
        <w:t>8.2 不再招标</w:t>
      </w:r>
      <w:bookmarkEnd w:id="86"/>
      <w:bookmarkEnd w:id="87"/>
      <w:bookmarkEnd w:id="88"/>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b/>
          <w:bCs/>
          <w:kern w:val="0"/>
          <w:sz w:val="22"/>
        </w:rPr>
      </w:pPr>
      <w:bookmarkStart w:id="89" w:name="_Toc215941254"/>
      <w:bookmarkStart w:id="90" w:name="_Toc2986"/>
      <w:bookmarkStart w:id="91" w:name="_Toc220123244"/>
      <w:bookmarkStart w:id="92" w:name="_Toc219809804"/>
      <w:r>
        <w:rPr>
          <w:rFonts w:cs="Calibri" w:asciiTheme="minorEastAsia" w:hAnsiTheme="minorEastAsia"/>
          <w:b/>
          <w:bCs/>
          <w:kern w:val="0"/>
          <w:sz w:val="22"/>
        </w:rPr>
        <w:t>9.纪律和监督</w:t>
      </w:r>
      <w:bookmarkEnd w:id="89"/>
      <w:bookmarkEnd w:id="90"/>
      <w:bookmarkEnd w:id="91"/>
      <w:bookmarkEnd w:id="92"/>
    </w:p>
    <w:p>
      <w:pPr>
        <w:autoSpaceDE w:val="0"/>
        <w:autoSpaceDN w:val="0"/>
        <w:adjustRightInd w:val="0"/>
        <w:snapToGrid w:val="0"/>
        <w:spacing w:line="360" w:lineRule="exact"/>
        <w:rPr>
          <w:rFonts w:cs="Calibri" w:asciiTheme="minorEastAsia" w:hAnsiTheme="minorEastAsia"/>
          <w:b/>
          <w:bCs/>
          <w:kern w:val="0"/>
          <w:sz w:val="22"/>
        </w:rPr>
      </w:pPr>
      <w:bookmarkStart w:id="93" w:name="_Toc5509"/>
      <w:bookmarkStart w:id="94" w:name="_Toc220123245"/>
      <w:bookmarkStart w:id="95" w:name="_Toc219809805"/>
      <w:r>
        <w:rPr>
          <w:rFonts w:cs="Calibri" w:asciiTheme="minorEastAsia" w:hAnsiTheme="minorEastAsia"/>
          <w:b/>
          <w:bCs/>
          <w:kern w:val="0"/>
          <w:sz w:val="22"/>
        </w:rPr>
        <w:t>9.1 对招标人的纪律要求</w:t>
      </w:r>
      <w:bookmarkEnd w:id="93"/>
      <w:bookmarkEnd w:id="94"/>
      <w:bookmarkEnd w:id="95"/>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b/>
          <w:bCs/>
          <w:kern w:val="0"/>
          <w:sz w:val="22"/>
        </w:rPr>
      </w:pPr>
      <w:bookmarkStart w:id="96" w:name="_Toc10820"/>
      <w:bookmarkStart w:id="97" w:name="_Toc220123246"/>
      <w:bookmarkStart w:id="98" w:name="_Toc219809806"/>
      <w:r>
        <w:rPr>
          <w:rFonts w:cs="Calibri" w:asciiTheme="minorEastAsia" w:hAnsiTheme="minorEastAsia"/>
          <w:b/>
          <w:bCs/>
          <w:kern w:val="0"/>
          <w:sz w:val="22"/>
        </w:rPr>
        <w:t>9.2 对投标人的纪律要求</w:t>
      </w:r>
      <w:bookmarkEnd w:id="96"/>
      <w:bookmarkEnd w:id="97"/>
      <w:bookmarkEnd w:id="98"/>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b/>
          <w:bCs/>
          <w:kern w:val="0"/>
          <w:sz w:val="22"/>
        </w:rPr>
      </w:pPr>
      <w:bookmarkStart w:id="99" w:name="_Toc10756"/>
      <w:bookmarkStart w:id="100" w:name="_Toc220123247"/>
      <w:bookmarkStart w:id="101" w:name="_Toc219809807"/>
      <w:r>
        <w:rPr>
          <w:rFonts w:cs="Calibri" w:asciiTheme="minorEastAsia" w:hAnsiTheme="minorEastAsia"/>
          <w:b/>
          <w:bCs/>
          <w:kern w:val="0"/>
          <w:sz w:val="22"/>
        </w:rPr>
        <w:t>9.3 对评标委员会成员的纪律要求</w:t>
      </w:r>
      <w:bookmarkEnd w:id="99"/>
      <w:bookmarkEnd w:id="100"/>
      <w:bookmarkEnd w:id="101"/>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color w:val="000000"/>
          <w:sz w:val="22"/>
        </w:rPr>
        <w:t>五</w:t>
      </w:r>
      <w:r>
        <w:rPr>
          <w:rFonts w:cs="Calibri" w:asciiTheme="minorEastAsia" w:hAnsi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b/>
          <w:bCs/>
          <w:kern w:val="0"/>
          <w:sz w:val="22"/>
        </w:rPr>
      </w:pPr>
      <w:bookmarkStart w:id="102" w:name="_Toc12792"/>
      <w:bookmarkStart w:id="103" w:name="_Toc220123248"/>
      <w:bookmarkStart w:id="104" w:name="_Toc219809808"/>
      <w:r>
        <w:rPr>
          <w:rFonts w:cs="Calibri" w:asciiTheme="minorEastAsia" w:hAnsiTheme="minorEastAsia"/>
          <w:b/>
          <w:bCs/>
          <w:kern w:val="0"/>
          <w:sz w:val="22"/>
        </w:rPr>
        <w:t>9.4 对评标活动有关的工作人员的纪律要求</w:t>
      </w:r>
      <w:bookmarkEnd w:id="102"/>
      <w:bookmarkEnd w:id="103"/>
      <w:bookmarkEnd w:id="104"/>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b/>
          <w:bCs/>
          <w:kern w:val="0"/>
          <w:sz w:val="22"/>
        </w:rPr>
      </w:pPr>
      <w:bookmarkStart w:id="105" w:name="_Toc220123249"/>
      <w:bookmarkStart w:id="106" w:name="_Toc239"/>
      <w:bookmarkStart w:id="107" w:name="_Toc219809809"/>
      <w:r>
        <w:rPr>
          <w:rFonts w:cs="Calibri" w:asciiTheme="minorEastAsia" w:hAnsiTheme="minorEastAsia"/>
          <w:b/>
          <w:bCs/>
          <w:kern w:val="0"/>
          <w:sz w:val="22"/>
        </w:rPr>
        <w:t>9.5 投诉</w:t>
      </w:r>
      <w:bookmarkEnd w:id="105"/>
      <w:bookmarkEnd w:id="106"/>
      <w:bookmarkEnd w:id="107"/>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b/>
          <w:bCs/>
          <w:kern w:val="0"/>
          <w:sz w:val="22"/>
        </w:rPr>
      </w:pPr>
      <w:bookmarkStart w:id="108" w:name="_Toc10817"/>
      <w:r>
        <w:rPr>
          <w:rFonts w:cs="Calibri" w:asciiTheme="minorEastAsia" w:hAnsiTheme="minorEastAsia"/>
          <w:b/>
          <w:bCs/>
          <w:kern w:val="0"/>
          <w:sz w:val="22"/>
        </w:rPr>
        <w:t>10. 需要补充的其他内容</w:t>
      </w:r>
      <w:bookmarkEnd w:id="108"/>
    </w:p>
    <w:p>
      <w:pPr>
        <w:autoSpaceDE w:val="0"/>
        <w:autoSpaceDN w:val="0"/>
        <w:adjustRightInd w:val="0"/>
        <w:snapToGrid w:val="0"/>
        <w:spacing w:line="360" w:lineRule="exact"/>
        <w:ind w:firstLine="440" w:firstLineChars="200"/>
        <w:jc w:val="left"/>
        <w:rPr>
          <w:rFonts w:cs="Calibri" w:asciiTheme="minorEastAsia" w:hAnsiTheme="minorEastAsia"/>
          <w:color w:val="000000"/>
          <w:sz w:val="22"/>
        </w:rPr>
      </w:pPr>
      <w:r>
        <w:rPr>
          <w:rFonts w:cs="Calibri" w:asciiTheme="minorEastAsia" w:hAnsiTheme="minorEastAsia"/>
          <w:color w:val="000000"/>
          <w:sz w:val="22"/>
        </w:rPr>
        <w:t>需要补充的其他内容：见投标人须知前附表。</w:t>
      </w:r>
    </w:p>
    <w:p>
      <w:pPr>
        <w:pStyle w:val="2"/>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sz w:val="28"/>
          <w:szCs w:val="28"/>
        </w:rPr>
      </w:pPr>
      <w:bookmarkStart w:id="109" w:name="_Toc213036227"/>
      <w:bookmarkStart w:id="110" w:name="_Toc223327527"/>
    </w:p>
    <w:p>
      <w:pPr>
        <w:pStyle w:val="2"/>
        <w:spacing w:before="0" w:after="0" w:line="360" w:lineRule="auto"/>
        <w:jc w:val="center"/>
        <w:rPr>
          <w:rFonts w:ascii="Calibri" w:hAnsi="Calibri" w:eastAsia="黑体" w:cs="Calibri"/>
          <w:kern w:val="0"/>
          <w:sz w:val="32"/>
        </w:rPr>
      </w:pPr>
      <w:bookmarkStart w:id="111"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09"/>
      <w:bookmarkEnd w:id="110"/>
      <w:r>
        <w:rPr>
          <w:rFonts w:hint="eastAsia" w:ascii="Calibri" w:hAnsi="Calibri" w:eastAsia="黑体" w:cs="Calibri"/>
          <w:kern w:val="0"/>
          <w:sz w:val="32"/>
        </w:rPr>
        <w:t>服务技术标准及要求</w:t>
      </w:r>
      <w:bookmarkEnd w:id="111"/>
    </w:p>
    <w:p>
      <w:pPr>
        <w:widowControl/>
        <w:snapToGrid w:val="0"/>
        <w:spacing w:line="340" w:lineRule="exact"/>
        <w:jc w:val="left"/>
        <w:rPr>
          <w:rFonts w:ascii="Arial" w:hAnsi="Arial" w:cs="Arial"/>
          <w:b/>
          <w:bCs/>
          <w:kern w:val="0"/>
          <w:sz w:val="22"/>
        </w:rPr>
      </w:pPr>
      <w:r>
        <w:rPr>
          <w:rFonts w:ascii="Arial" w:hAnsi="Arial" w:cs="Arial"/>
          <w:b/>
          <w:bCs/>
          <w:kern w:val="0"/>
          <w:sz w:val="22"/>
        </w:rPr>
        <w:t>一、总则</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1.1概述</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本章是招标文件的组成部分，内容包括杭州萧山国际机场航站</w:t>
      </w:r>
      <w:r>
        <w:rPr>
          <w:rFonts w:hint="eastAsia" w:cs="Calibri" w:asciiTheme="minorEastAsia" w:hAnsiTheme="minorEastAsia"/>
          <w:color w:val="000000"/>
          <w:sz w:val="22"/>
        </w:rPr>
        <w:t>区T3到达夹层花堆布置的</w:t>
      </w:r>
      <w:r>
        <w:rPr>
          <w:rFonts w:cs="Calibri" w:asciiTheme="minorEastAsia" w:hAnsiTheme="minorEastAsia"/>
          <w:color w:val="000000"/>
          <w:sz w:val="22"/>
        </w:rPr>
        <w:t>基本技术规格、条款、资料及有关文件，投标人必须按照“投标文件格式”的内容和要求编制投标文件。</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1.2项目概况</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T3到达夹层节日花堆</w:t>
      </w:r>
      <w:r>
        <w:rPr>
          <w:rFonts w:hint="eastAsia" w:cs="Calibri" w:asciiTheme="minorEastAsia" w:hAnsiTheme="minorEastAsia"/>
          <w:color w:val="000000"/>
          <w:sz w:val="22"/>
        </w:rPr>
        <w:t>设计及布置（花堆点位可按照甲方意愿无条件调整），花堆由硬质景观、时令花卉及名贵花木项构成（以租赁的形式）。布置租摆周期为“元旦、五一、国庆、春节”四个节日期间（</w:t>
      </w:r>
      <w:r>
        <w:rPr>
          <w:rFonts w:cs="Calibri" w:asciiTheme="minorEastAsia" w:hAnsiTheme="minorEastAsia"/>
          <w:color w:val="000000"/>
          <w:sz w:val="22"/>
        </w:rPr>
        <w:t>2019年10月1日至2020年5月30日，一个布展周期），</w:t>
      </w:r>
      <w:r>
        <w:rPr>
          <w:rFonts w:hint="eastAsia" w:cs="Calibri" w:asciiTheme="minorEastAsia" w:hAnsiTheme="minorEastAsia"/>
          <w:color w:val="000000"/>
          <w:sz w:val="22"/>
        </w:rPr>
        <w:t>每个节假日名贵花卉投放一次、更新一次</w:t>
      </w:r>
      <w:r>
        <w:rPr>
          <w:rFonts w:cs="Calibri" w:asciiTheme="minorEastAsia" w:hAnsiTheme="minorEastAsia"/>
          <w:color w:val="000000"/>
          <w:sz w:val="22"/>
        </w:rPr>
        <w:t>。</w:t>
      </w:r>
      <w:r>
        <w:rPr>
          <w:rFonts w:hint="eastAsia" w:cs="Calibri" w:asciiTheme="minorEastAsia" w:hAnsiTheme="minorEastAsia"/>
          <w:color w:val="000000"/>
          <w:sz w:val="22"/>
          <w:shd w:val="clear" w:color="auto" w:fill="FFFF00"/>
        </w:rPr>
        <w:t>（国庆期间：2019年10月1日-2019年11月19日，元旦期间：2019年11月20日-2020年1月8日，春节期间2020年1月9日-2月27日，劳动期间2020年4月15日-2020年6月3日，具体摆放时间可根据甲方无条件调整</w:t>
      </w:r>
      <w:r>
        <w:rPr>
          <w:rFonts w:cs="Calibri" w:asciiTheme="minorEastAsia" w:hAnsiTheme="minorEastAsia"/>
          <w:color w:val="000000"/>
          <w:sz w:val="22"/>
          <w:shd w:val="clear" w:color="auto" w:fill="FFFF00"/>
        </w:rPr>
        <w:t>）</w:t>
      </w:r>
      <w:r>
        <w:rPr>
          <w:rFonts w:hint="eastAsia" w:cs="Calibri" w:asciiTheme="minorEastAsia" w:hAnsiTheme="minorEastAsia"/>
          <w:color w:val="000000"/>
          <w:sz w:val="22"/>
        </w:rPr>
        <w:t>。</w:t>
      </w:r>
    </w:p>
    <w:p>
      <w:pPr>
        <w:pStyle w:val="138"/>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3</w:t>
      </w:r>
      <w:r>
        <w:rPr>
          <w:rFonts w:cs="Calibri" w:asciiTheme="minorEastAsia" w:hAnsiTheme="minorEastAsia"/>
          <w:color w:val="000000"/>
          <w:sz w:val="22"/>
        </w:rPr>
        <w:t>总体要求</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3</w:t>
      </w:r>
      <w:r>
        <w:rPr>
          <w:rFonts w:cs="Calibri" w:asciiTheme="minorEastAsia" w:hAnsiTheme="minorEastAsia"/>
          <w:color w:val="000000"/>
          <w:sz w:val="22"/>
        </w:rPr>
        <w:t>.1此次项目</w:t>
      </w:r>
      <w:r>
        <w:rPr>
          <w:rFonts w:hint="eastAsia" w:cs="Calibri" w:asciiTheme="minorEastAsia" w:hAnsiTheme="minorEastAsia"/>
          <w:color w:val="000000"/>
          <w:sz w:val="22"/>
        </w:rPr>
        <w:t>内容包括花堆设计、实地布置、养护维保及其它。</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3</w:t>
      </w:r>
      <w:r>
        <w:rPr>
          <w:rFonts w:cs="Calibri" w:asciiTheme="minorEastAsia" w:hAnsiTheme="minorEastAsia"/>
          <w:color w:val="000000"/>
          <w:sz w:val="22"/>
        </w:rPr>
        <w:t>.2本章中所列技术指标由主要技术指标和一般技术指标构成，对主要技术指标，投标人必须进行实质性应答，并列出具体参数。该类指标不得有漏报、偏差。如所报参数有偏差，须优于招标文件的参数。否则将承担被拒绝接受的风险。</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3</w:t>
      </w:r>
      <w:r>
        <w:rPr>
          <w:rFonts w:cs="Calibri" w:asciiTheme="minorEastAsia" w:hAnsiTheme="minorEastAsia"/>
          <w:color w:val="000000"/>
          <w:sz w:val="22"/>
        </w:rPr>
        <w:t>.3投标人必须按招标文件内容和顺序逐项作出实质性应答。任何不按此要求的投标文件将承担被拒绝接受的风险。</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3</w:t>
      </w:r>
      <w:r>
        <w:rPr>
          <w:rFonts w:cs="Calibri" w:asciiTheme="minorEastAsia" w:hAnsiTheme="minorEastAsia"/>
          <w:color w:val="000000"/>
          <w:sz w:val="22"/>
        </w:rPr>
        <w:t>.4所有应答均不得照抄、复制本章所列条款、指标和参数。非量化指标可以直接进行应答，量化指标必须应答具体数值，主要技术指标必须提供检测报告或样本。</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3</w:t>
      </w:r>
      <w:r>
        <w:rPr>
          <w:rFonts w:cs="Calibri" w:asciiTheme="minorEastAsia" w:hAnsiTheme="minorEastAsia"/>
          <w:color w:val="000000"/>
          <w:sz w:val="22"/>
        </w:rPr>
        <w:t>.</w:t>
      </w:r>
      <w:r>
        <w:rPr>
          <w:rFonts w:hint="eastAsia" w:cs="Calibri" w:asciiTheme="minorEastAsia" w:hAnsiTheme="minorEastAsia"/>
          <w:color w:val="000000"/>
          <w:sz w:val="22"/>
        </w:rPr>
        <w:t>5</w:t>
      </w:r>
      <w:r>
        <w:rPr>
          <w:rFonts w:cs="Calibri" w:asciiTheme="minorEastAsia" w:hAnsiTheme="minorEastAsia"/>
          <w:color w:val="000000"/>
          <w:sz w:val="22"/>
        </w:rPr>
        <w:t>投标人应保证所提供的</w:t>
      </w:r>
      <w:r>
        <w:rPr>
          <w:rFonts w:hint="eastAsia" w:cs="Calibri" w:asciiTheme="minorEastAsia" w:hAnsiTheme="minorEastAsia"/>
          <w:color w:val="000000"/>
          <w:sz w:val="22"/>
        </w:rPr>
        <w:t>花堆</w:t>
      </w:r>
      <w:r>
        <w:rPr>
          <w:rFonts w:cs="Calibri" w:asciiTheme="minorEastAsia" w:hAnsiTheme="minorEastAsia"/>
          <w:color w:val="000000"/>
          <w:sz w:val="22"/>
        </w:rPr>
        <w:t>设计图稿不会侵犯任何第三方的知识产权。如因投标人违反本条保证并导致</w:t>
      </w:r>
      <w:r>
        <w:rPr>
          <w:rFonts w:hint="eastAsia" w:cs="Calibri" w:asciiTheme="minorEastAsia" w:hAnsiTheme="minorEastAsia"/>
          <w:color w:val="000000"/>
          <w:sz w:val="22"/>
        </w:rPr>
        <w:t>招标人</w:t>
      </w:r>
      <w:r>
        <w:rPr>
          <w:rFonts w:cs="Calibri" w:asciiTheme="minorEastAsia" w:hAnsiTheme="minorEastAsia"/>
          <w:color w:val="000000"/>
          <w:sz w:val="22"/>
        </w:rPr>
        <w:t>遭受损失的，投标人须向</w:t>
      </w:r>
      <w:r>
        <w:rPr>
          <w:rFonts w:hint="eastAsia" w:cs="Calibri" w:asciiTheme="minorEastAsia" w:hAnsiTheme="minorEastAsia"/>
          <w:color w:val="000000"/>
          <w:sz w:val="22"/>
        </w:rPr>
        <w:t>招标人</w:t>
      </w:r>
      <w:r>
        <w:rPr>
          <w:rFonts w:cs="Calibri" w:asciiTheme="minorEastAsia" w:hAnsiTheme="minorEastAsia"/>
          <w:color w:val="000000"/>
          <w:sz w:val="22"/>
        </w:rPr>
        <w:t>承担赔偿责任。投标人保证所提交</w:t>
      </w:r>
      <w:r>
        <w:rPr>
          <w:rFonts w:hint="eastAsia" w:cs="Calibri" w:asciiTheme="minorEastAsia" w:hAnsiTheme="minorEastAsia"/>
          <w:color w:val="000000"/>
          <w:sz w:val="22"/>
        </w:rPr>
        <w:t>花堆的设计所有权完全属于</w:t>
      </w:r>
      <w:r>
        <w:rPr>
          <w:rFonts w:cs="Calibri" w:asciiTheme="minorEastAsia" w:hAnsiTheme="minorEastAsia"/>
          <w:color w:val="000000"/>
          <w:sz w:val="22"/>
        </w:rPr>
        <w:t>投标人</w:t>
      </w:r>
      <w:r>
        <w:rPr>
          <w:rFonts w:hint="eastAsia" w:cs="Calibri" w:asciiTheme="minorEastAsia" w:hAnsiTheme="minorEastAsia"/>
          <w:color w:val="000000"/>
          <w:sz w:val="22"/>
        </w:rPr>
        <w:t>，且无任何抵押、查封等产权障碍或瑕疵。如因</w:t>
      </w:r>
      <w:r>
        <w:rPr>
          <w:rFonts w:cs="Calibri" w:asciiTheme="minorEastAsia" w:hAnsiTheme="minorEastAsia"/>
          <w:color w:val="000000"/>
          <w:sz w:val="22"/>
        </w:rPr>
        <w:t>投标人</w:t>
      </w:r>
      <w:r>
        <w:rPr>
          <w:rFonts w:hint="eastAsia" w:cs="Calibri" w:asciiTheme="minorEastAsia" w:hAnsiTheme="minorEastAsia"/>
          <w:color w:val="000000"/>
          <w:sz w:val="22"/>
        </w:rPr>
        <w:t>提供花堆用品存在权属纠纷或担保物权的行使而导致招标人遭受任何损失的，</w:t>
      </w:r>
      <w:r>
        <w:rPr>
          <w:rFonts w:cs="Calibri" w:asciiTheme="minorEastAsia" w:hAnsiTheme="minorEastAsia"/>
          <w:color w:val="000000"/>
          <w:sz w:val="22"/>
        </w:rPr>
        <w:t>投标人</w:t>
      </w:r>
      <w:r>
        <w:rPr>
          <w:rFonts w:hint="eastAsia" w:cs="Calibri" w:asciiTheme="minorEastAsia" w:hAnsiTheme="minorEastAsia"/>
          <w:color w:val="000000"/>
          <w:sz w:val="22"/>
        </w:rPr>
        <w:t>须就招标人遭受的损失承担赔偿责任。</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1.3.6合同期内，若花卉质量未达到甲方要求，则乙方需按照甲方要求重新放入花卉，且合同费用不予调整。</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1.</w:t>
      </w:r>
      <w:r>
        <w:rPr>
          <w:rFonts w:hint="eastAsia" w:cs="Calibri" w:asciiTheme="minorEastAsia" w:hAnsiTheme="minorEastAsia"/>
          <w:color w:val="000000"/>
          <w:sz w:val="22"/>
        </w:rPr>
        <w:t>4设计要求</w:t>
      </w:r>
    </w:p>
    <w:p>
      <w:pPr>
        <w:adjustRightInd w:val="0"/>
        <w:snapToGrid w:val="0"/>
        <w:spacing w:line="360" w:lineRule="exact"/>
        <w:ind w:firstLine="440"/>
        <w:rPr>
          <w:rFonts w:eastAsia="宋体" w:cs="Calibri" w:asciiTheme="minorEastAsia" w:hAnsiTheme="minorEastAsia"/>
          <w:color w:val="000000"/>
          <w:sz w:val="22"/>
          <w:shd w:val="clear" w:color="auto" w:fill="FFFF00"/>
        </w:rPr>
      </w:pPr>
      <w:r>
        <w:rPr>
          <w:rFonts w:cs="Calibri" w:asciiTheme="minorEastAsia" w:hAnsiTheme="minorEastAsia"/>
          <w:color w:val="000000"/>
          <w:sz w:val="22"/>
          <w:shd w:val="clear" w:color="auto" w:fill="FFFF00"/>
        </w:rPr>
        <w:t>1.4.1风格要求：</w:t>
      </w:r>
      <w:r>
        <w:rPr>
          <w:rFonts w:hint="eastAsia" w:cs="Calibri" w:asciiTheme="minorEastAsia" w:hAnsiTheme="minorEastAsia"/>
          <w:color w:val="000000"/>
          <w:sz w:val="22"/>
          <w:shd w:val="clear" w:color="auto" w:fill="FFFF00"/>
        </w:rPr>
        <w:t>花堆设计方案需与航站楼整体风格保持一致，面积不低于</w:t>
      </w:r>
      <w:r>
        <w:rPr>
          <w:rFonts w:cs="Calibri" w:asciiTheme="minorEastAsia" w:hAnsiTheme="minorEastAsia"/>
          <w:color w:val="000000"/>
          <w:sz w:val="22"/>
          <w:shd w:val="clear" w:color="auto" w:fill="FFFF00"/>
        </w:rPr>
        <w:t>30平方米</w:t>
      </w:r>
      <w:r>
        <w:rPr>
          <w:rFonts w:hint="eastAsia" w:cs="Calibri" w:asciiTheme="minorEastAsia" w:hAnsiTheme="minorEastAsia"/>
          <w:color w:val="000000"/>
          <w:sz w:val="22"/>
          <w:shd w:val="clear" w:color="auto" w:fill="FFFF00"/>
        </w:rPr>
        <w:t>，硬质景观</w:t>
      </w:r>
      <w:r>
        <w:rPr>
          <w:rFonts w:cs="Calibri" w:asciiTheme="minorEastAsia" w:hAnsiTheme="minorEastAsia"/>
          <w:color w:val="000000"/>
          <w:sz w:val="22"/>
          <w:shd w:val="clear" w:color="auto" w:fill="FFFF00"/>
        </w:rPr>
        <w:t>以“雷峰夕照”为主题</w:t>
      </w:r>
      <w:r>
        <w:rPr>
          <w:rFonts w:hint="eastAsia" w:cs="Calibri" w:asciiTheme="minorEastAsia" w:hAnsiTheme="minorEastAsia"/>
          <w:color w:val="000000"/>
          <w:sz w:val="22"/>
          <w:shd w:val="clear" w:color="auto" w:fill="FFFF00"/>
        </w:rPr>
        <w:t>，整个花堆在设计理念上要融入新颖、时尚的现代元素。雷峰夕照是西湖十景之一，也是西湖的标志性景观，本案提取景点精华，浓缩一角，把西湖自然风光搬进航站楼内，通过一塔一桥一亭一群山组合的表现手法让旅客在候机闲暇时光欣赏杭州美景，了解杭州悠久人文，给旅客带来更好的节日氛围及候机体验。通过一塔（雷锋塔）一桥（曲桥）一亭（六角亭）一群山的石雕组合与植物、花卉结合造景，体现西湖的动听传说及杭州悠久的历史文化。</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二、硬质景观技术要求</w:t>
      </w:r>
    </w:p>
    <w:p>
      <w:pPr>
        <w:autoSpaceDE w:val="0"/>
        <w:autoSpaceDN w:val="0"/>
        <w:adjustRightInd w:val="0"/>
        <w:snapToGrid w:val="0"/>
        <w:spacing w:line="360" w:lineRule="exact"/>
        <w:rPr>
          <w:rFonts w:ascii="宋体" w:hAnsi="宋体" w:cs="Arial"/>
          <w:kern w:val="0"/>
          <w:sz w:val="22"/>
        </w:rPr>
      </w:pPr>
      <w:r>
        <w:rPr>
          <w:rFonts w:hint="eastAsia" w:ascii="宋体" w:hAnsi="宋体" w:cs="Arial"/>
          <w:kern w:val="0"/>
          <w:sz w:val="22"/>
        </w:rPr>
        <w:t>（一）硬质景观的基本要求</w:t>
      </w:r>
      <w:r>
        <w:rPr>
          <w:rFonts w:hint="eastAsia" w:ascii="宋体" w:hAnsi="宋体" w:cs="Arial"/>
          <w:kern w:val="0"/>
          <w:sz w:val="22"/>
        </w:rPr>
        <w:tab/>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1.航站楼内花堆中租摆的硬质景观种类、规格、摆放位置、放置标准、日常维护应严格遵守合同规范和甲方规划要求，若无法达到甲方要求，甲方有权要求乙方进行更换。</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2.负责航站楼内花堆中摆放硬质景观的单位应服从甲方管理，积极协助甲方做好硬质景观的设置工作。</w:t>
      </w:r>
    </w:p>
    <w:p>
      <w:pPr>
        <w:autoSpaceDE w:val="0"/>
        <w:autoSpaceDN w:val="0"/>
        <w:adjustRightInd w:val="0"/>
        <w:snapToGrid w:val="0"/>
        <w:spacing w:line="360" w:lineRule="exact"/>
        <w:rPr>
          <w:rFonts w:ascii="宋体" w:hAnsi="宋体" w:cs="Arial"/>
          <w:kern w:val="0"/>
          <w:sz w:val="22"/>
        </w:rPr>
      </w:pPr>
      <w:r>
        <w:rPr>
          <w:rFonts w:hint="eastAsia" w:ascii="宋体" w:hAnsi="宋体" w:cs="Arial"/>
          <w:kern w:val="0"/>
          <w:sz w:val="22"/>
        </w:rPr>
        <w:t>（二）租赁硬质景观的质量要求</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1.硬质景观中使用材料的</w:t>
      </w:r>
      <w:r>
        <w:rPr>
          <w:rFonts w:cs="Calibri" w:asciiTheme="minorEastAsia" w:hAnsiTheme="minorEastAsia"/>
          <w:color w:val="000000"/>
          <w:sz w:val="22"/>
        </w:rPr>
        <w:t>厚度、长宽、角度、平面度</w:t>
      </w:r>
      <w:r>
        <w:rPr>
          <w:rFonts w:hint="eastAsia" w:cs="Calibri" w:asciiTheme="minorEastAsia" w:hAnsiTheme="minorEastAsia"/>
          <w:color w:val="000000"/>
          <w:sz w:val="22"/>
        </w:rPr>
        <w:t>应</w:t>
      </w:r>
      <w:r>
        <w:rPr>
          <w:rFonts w:cs="Calibri" w:asciiTheme="minorEastAsia" w:hAnsiTheme="minorEastAsia"/>
          <w:color w:val="000000"/>
          <w:sz w:val="22"/>
        </w:rPr>
        <w:t>符合国家相关标准</w:t>
      </w:r>
      <w:r>
        <w:rPr>
          <w:rFonts w:hint="eastAsia" w:cs="Calibri" w:asciiTheme="minorEastAsia" w:hAnsiTheme="minorEastAsia"/>
          <w:color w:val="000000"/>
          <w:sz w:val="22"/>
        </w:rPr>
        <w:t>。</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2.硬质景观中使用的材料</w:t>
      </w:r>
      <w:r>
        <w:rPr>
          <w:rFonts w:cs="Calibri" w:asciiTheme="minorEastAsia" w:hAnsiTheme="minorEastAsia"/>
          <w:color w:val="000000"/>
          <w:sz w:val="22"/>
        </w:rPr>
        <w:t>应选择生产规模较大、产品质量标准与产品色泽稳定的厂家。</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w:t>
      </w:r>
      <w:r>
        <w:rPr>
          <w:rFonts w:cs="Calibri" w:asciiTheme="minorEastAsia" w:hAnsiTheme="minorEastAsia"/>
          <w:color w:val="000000"/>
          <w:sz w:val="22"/>
        </w:rPr>
        <w:t>所有</w:t>
      </w:r>
      <w:r>
        <w:rPr>
          <w:rFonts w:hint="eastAsia" w:cs="Calibri" w:asciiTheme="minorEastAsia" w:hAnsiTheme="minorEastAsia"/>
          <w:color w:val="000000"/>
          <w:sz w:val="22"/>
        </w:rPr>
        <w:t>硬质景观中使用的材料</w:t>
      </w:r>
      <w:r>
        <w:rPr>
          <w:rFonts w:cs="Calibri" w:asciiTheme="minorEastAsia" w:hAnsiTheme="minorEastAsia"/>
          <w:color w:val="000000"/>
          <w:sz w:val="22"/>
        </w:rPr>
        <w:t>必须选用合格品以上产品。</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4.硬质景观中使用的材料要求防火阻燃，边角圆润，色泽鲜艳，表面清洁、无破损、无划痕。</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5.硬质景观中不得使用含有水、电等易存在安全隐患的物品。</w:t>
      </w:r>
    </w:p>
    <w:p>
      <w:pPr>
        <w:autoSpaceDE w:val="0"/>
        <w:autoSpaceDN w:val="0"/>
        <w:adjustRightInd w:val="0"/>
        <w:snapToGrid w:val="0"/>
        <w:spacing w:line="360" w:lineRule="exact"/>
        <w:rPr>
          <w:rFonts w:ascii="宋体" w:hAnsi="宋体" w:cs="Arial"/>
          <w:kern w:val="0"/>
          <w:sz w:val="22"/>
        </w:rPr>
      </w:pPr>
      <w:r>
        <w:rPr>
          <w:rFonts w:hint="eastAsia" w:ascii="宋体" w:hAnsi="宋体" w:cs="Arial"/>
          <w:kern w:val="0"/>
          <w:sz w:val="22"/>
        </w:rPr>
        <w:t>（三）硬质景观的摆放及更新要求</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1.硬质景观的造型应与周围花堆造型及植物造型、风格相协调。</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2.严禁在硬质景观中设置任何含广告类性质物品。</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3.硬质景观要求整体造型立体，每个角度均有观赏价值。</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4.每个花堆中的硬质景观总体大小落地面积不小于2平米，平均高度不小于1.5米。</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5.硬质景观摆放前，乙方应根据合同要求和甲方布置要求将设计方案及计划在规定的时间内提前报送，通过甲方审批后方可实施。</w:t>
      </w:r>
    </w:p>
    <w:p>
      <w:pPr>
        <w:autoSpaceDE w:val="0"/>
        <w:autoSpaceDN w:val="0"/>
        <w:adjustRightInd w:val="0"/>
        <w:snapToGrid w:val="0"/>
        <w:spacing w:line="360" w:lineRule="exact"/>
        <w:rPr>
          <w:rFonts w:ascii="宋体" w:hAnsi="宋体" w:cs="Arial"/>
          <w:kern w:val="0"/>
          <w:sz w:val="22"/>
        </w:rPr>
      </w:pPr>
      <w:r>
        <w:rPr>
          <w:rFonts w:hint="eastAsia" w:ascii="宋体" w:hAnsi="宋体" w:cs="Arial"/>
          <w:kern w:val="0"/>
          <w:sz w:val="22"/>
        </w:rPr>
        <w:t>（四）现场管理及维护要求</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1.维保单位要定期对航站楼内硬质景观的情况进行巡视， 定期对硬质景观进行养护工作，做到完整、干净、美观、靓丽。</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2.进出航站楼的养护人员应佩戴有效工作证件，着装应整齐，携带相应的养护器具。</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3.养护人员应熟知硬质景观的用材、构造，掌握硬质景观养护器械的正确使用方法，严格执行器械、药品保管和保养的程序，进行科学、专业化的养护及管理。</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4.按计划及时做好硬质景观的调换、填充。</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5.养护硬质景观产生的垃圾必须及时清理，做到工完料清，恢复周围环境卫生，严禁养护垃圾过夜。</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6.养护人员按规定每日进行巡视、养护，并将养护内容进行记录，对疑问或事故情况及时向主管或相关人员汇报。</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7.日常维护可在白天工作时间内进行，但要尽量避开旅客高峰时段，需要时放置提示牌，避免滑倒旅客，不影响周围环境秩序和卫生。</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8.日常维护工作中，应以旅客先行为主，避让旅客，使用礼貌用语，提示过往旅客注意安全。</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9.养护期间加强日常监督工作，防止人为因素破坏。</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10.搬运大型硬质景观时应选择航班结束后进行，特殊情况下在得到航站区管理中心同意后方可进行，但必须避开旅客高峰期。</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11.硬质景观运输过程中不得占用手推车，运输工具车不得阻碍旅客通道，保证公共通道的畅通。</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12.发现破损应在2个工作日内完成维修，无法维修或维修后影响视觉效果的应在3个工作日内完成更换。</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13.租摆期间遇到相关内容的服务质量、环境检查、投诉意见等需进行整改的问题，维保单位应在规定的期限内完成整改，并将整改情况及时向航站区管理中心反馈。</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14.硬质景观租赁期限到期后在得到航站区管理中心同意后乙方方可进行拆除搬离。</w:t>
      </w:r>
    </w:p>
    <w:p>
      <w:pPr>
        <w:autoSpaceDE w:val="0"/>
        <w:autoSpaceDN w:val="0"/>
        <w:adjustRightInd w:val="0"/>
        <w:snapToGrid w:val="0"/>
        <w:spacing w:line="360" w:lineRule="exact"/>
        <w:rPr>
          <w:rFonts w:ascii="宋体" w:hAnsi="宋体" w:cs="Arial"/>
          <w:kern w:val="0"/>
          <w:sz w:val="22"/>
        </w:rPr>
      </w:pPr>
      <w:r>
        <w:rPr>
          <w:rFonts w:hint="eastAsia" w:ascii="宋体" w:hAnsi="宋体" w:cs="Arial"/>
          <w:kern w:val="0"/>
          <w:sz w:val="22"/>
        </w:rPr>
        <w:t>（五）其他要求</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1.做好服务区域内硬质景观相关工作的自查，及安排整改。</w:t>
      </w:r>
    </w:p>
    <w:p>
      <w:pPr>
        <w:adjustRightInd w:val="0"/>
        <w:snapToGrid w:val="0"/>
        <w:spacing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2.在合同期内，根据合同要求和布置清单在规定时间内完成硬质景观所有服务区域的布置。</w:t>
      </w:r>
    </w:p>
    <w:p>
      <w:pPr>
        <w:widowControl/>
        <w:snapToGrid w:val="0"/>
        <w:spacing w:line="340" w:lineRule="exact"/>
        <w:jc w:val="left"/>
        <w:rPr>
          <w:rFonts w:cs="Calibri" w:asciiTheme="minorEastAsia" w:hAnsiTheme="minorEastAsia"/>
          <w:color w:val="000000"/>
          <w:sz w:val="22"/>
        </w:rPr>
      </w:pPr>
      <w:r>
        <w:rPr>
          <w:rFonts w:hint="eastAsia" w:ascii="Arial" w:hAnsi="Arial" w:cs="Arial"/>
          <w:b/>
          <w:bCs/>
          <w:kern w:val="0"/>
          <w:sz w:val="22"/>
        </w:rPr>
        <w:t>三、</w:t>
      </w:r>
      <w:r>
        <w:rPr>
          <w:rFonts w:hint="eastAsia" w:cs="Calibri" w:asciiTheme="minorEastAsia" w:hAnsiTheme="minorEastAsia"/>
          <w:color w:val="000000"/>
          <w:sz w:val="22"/>
        </w:rPr>
        <w:t>绿植</w:t>
      </w:r>
      <w:r>
        <w:rPr>
          <w:rFonts w:cs="Calibri" w:asciiTheme="minorEastAsia" w:hAnsiTheme="minorEastAsia"/>
          <w:color w:val="000000"/>
          <w:sz w:val="22"/>
        </w:rPr>
        <w:t>/</w:t>
      </w:r>
      <w:r>
        <w:rPr>
          <w:rFonts w:hint="eastAsia" w:cs="Calibri" w:asciiTheme="minorEastAsia" w:hAnsiTheme="minorEastAsia"/>
          <w:color w:val="000000"/>
          <w:sz w:val="22"/>
        </w:rPr>
        <w:t>花卉技术要求</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（1） 航站楼内绿植/花卉应选择光度、温度、湿度的耐受程度适宜，观赏性强，观赏周期长的品种。品种选择应多样化，根据所用绿植/花卉的习性及时更新，避免品种单一化。</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（2） 航站楼内绿植/花卉布局合理，层次分明，错落有致。植物季相分明，色彩艳丽，生长茂盛。</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（3）绿植/花卉应长势良好，富有朝气，枝叶茂盛，叶色翠绿，花色鲜艳，保持丰富色彩和香味。</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（4）绿植/花卉无枯枝、病叶、黄叶、黑叶、无虫咬的孔洞，茎秆和叶子不霉。</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（5）叶子健壮，叶色正常，叶面无尘土、污物，保持洁净光亮。</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（6） 大型常绿观叶植物、常绿灌木等应每周清理叶面，叶面无灰尘或明显污迹。</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（7）擦拭叶面时应做到下手轻、顺叶脉方向，擦拭后的植物应呈现植物原本叶色。</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（8）枝干正常，无明显枯枝、死干，树冠基本完整，主侧枝分布均匀，树冠通风透光。</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（9）绿植修剪平整，冠幅整洁,线条优美，无明显残叶、残枝、病虫枝。</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（10）花卉修剪美观，无萎靡状态的残花、败花。</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（11） 绿植/花卉应根据其生长期定期修剪枝叶，保持统一性及美观性。</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（12）土壤干湿适度，洁净，无杂物、杂草、纸屑等。</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（13）铺设陶粒应平整均匀，表面无杂物。</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（14）绿植/花卉的整体造型应与所选品种的观赏效果一致。</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（15）及时修剪、整形，美化外形，给绿植/花卉创造良好生长环境，提高观赏性。</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（16）定期浇水、施肥、松土，充分满足绿植/花卉的生长需要。</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（17）定时除草、松土，保持土壤疏松通透，无杂草。</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（18）及时扶正加固绿植/花卉，按规范做好综合防护措施。</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（19）注意绿植/花卉的病虫害防治，防止病虫害侵蚀花草树木。</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（20）杀虫药水、植物肥料符合国家安全标准，无严重刺激性气味。</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（21）应根据绿植/花卉的生长情况，适时改变其朝向位置，保持长势。长势特别明显的，应及时修剪，保持植株的整体观赏性。</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花器</w:t>
      </w:r>
      <w:r>
        <w:rPr>
          <w:rFonts w:cs="Calibri" w:asciiTheme="minorEastAsia" w:hAnsiTheme="minorEastAsia"/>
          <w:color w:val="000000"/>
          <w:sz w:val="22"/>
        </w:rPr>
        <w:t>/</w:t>
      </w:r>
      <w:r>
        <w:rPr>
          <w:rFonts w:hint="eastAsia" w:cs="Calibri" w:asciiTheme="minorEastAsia" w:hAnsiTheme="minorEastAsia"/>
          <w:color w:val="000000"/>
          <w:sz w:val="22"/>
        </w:rPr>
        <w:t>套盆</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（22）花盆/套盆应与航站楼整体环境相协调，与绿植/花卉造型风格统一。</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（23）同一区域的花器</w:t>
      </w:r>
      <w:r>
        <w:rPr>
          <w:rFonts w:cs="Calibri" w:asciiTheme="minorEastAsia" w:hAnsiTheme="minorEastAsia"/>
          <w:color w:val="000000"/>
          <w:sz w:val="22"/>
        </w:rPr>
        <w:t>/</w:t>
      </w:r>
      <w:r>
        <w:rPr>
          <w:rFonts w:hint="eastAsia" w:cs="Calibri" w:asciiTheme="minorEastAsia" w:hAnsiTheme="minorEastAsia"/>
          <w:color w:val="000000"/>
          <w:sz w:val="22"/>
        </w:rPr>
        <w:t>套盆种类、花色、大小相同。</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（24）所有绿植</w:t>
      </w:r>
      <w:r>
        <w:rPr>
          <w:rFonts w:cs="Calibri" w:asciiTheme="minorEastAsia" w:hAnsiTheme="minorEastAsia"/>
          <w:color w:val="000000"/>
          <w:sz w:val="22"/>
        </w:rPr>
        <w:t>/</w:t>
      </w:r>
      <w:r>
        <w:rPr>
          <w:rFonts w:hint="eastAsia" w:cs="Calibri" w:asciiTheme="minorEastAsia" w:hAnsiTheme="minorEastAsia"/>
          <w:color w:val="000000"/>
          <w:sz w:val="22"/>
        </w:rPr>
        <w:t>花卉配有尺寸、风格协调的花器</w:t>
      </w:r>
      <w:r>
        <w:rPr>
          <w:rFonts w:cs="Calibri" w:asciiTheme="minorEastAsia" w:hAnsiTheme="minorEastAsia"/>
          <w:color w:val="000000"/>
          <w:sz w:val="22"/>
        </w:rPr>
        <w:t>/</w:t>
      </w:r>
      <w:r>
        <w:rPr>
          <w:rFonts w:hint="eastAsia" w:cs="Calibri" w:asciiTheme="minorEastAsia" w:hAnsiTheme="minorEastAsia"/>
          <w:color w:val="000000"/>
          <w:sz w:val="22"/>
        </w:rPr>
        <w:t>套盆，套盆与植物的比例适当，不得有大盆套小盆，小盆套大盆的现象。</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（25）花器</w:t>
      </w:r>
      <w:r>
        <w:rPr>
          <w:rFonts w:cs="Calibri" w:asciiTheme="minorEastAsia" w:hAnsiTheme="minorEastAsia"/>
          <w:color w:val="000000"/>
          <w:sz w:val="22"/>
        </w:rPr>
        <w:t>/</w:t>
      </w:r>
      <w:r>
        <w:rPr>
          <w:rFonts w:hint="eastAsia" w:cs="Calibri" w:asciiTheme="minorEastAsia" w:hAnsiTheme="minorEastAsia"/>
          <w:color w:val="000000"/>
          <w:sz w:val="22"/>
        </w:rPr>
        <w:t>套盆内外洁净整齐，无纸屑、烟头等污物，花器</w:t>
      </w:r>
      <w:r>
        <w:rPr>
          <w:rFonts w:cs="Calibri" w:asciiTheme="minorEastAsia" w:hAnsiTheme="minorEastAsia"/>
          <w:color w:val="000000"/>
          <w:sz w:val="22"/>
        </w:rPr>
        <w:t>/</w:t>
      </w:r>
      <w:r>
        <w:rPr>
          <w:rFonts w:hint="eastAsia" w:cs="Calibri" w:asciiTheme="minorEastAsia" w:hAnsiTheme="minorEastAsia"/>
          <w:color w:val="000000"/>
          <w:sz w:val="22"/>
        </w:rPr>
        <w:t>套盆内不留有积水，四周不得有水浸出，若有溢出及时清理，套盆底盘无污渍。</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（26）注意花器</w:t>
      </w:r>
      <w:r>
        <w:rPr>
          <w:rFonts w:cs="Calibri" w:asciiTheme="minorEastAsia" w:hAnsiTheme="minorEastAsia"/>
          <w:color w:val="000000"/>
          <w:sz w:val="22"/>
        </w:rPr>
        <w:t>/</w:t>
      </w:r>
      <w:r>
        <w:rPr>
          <w:rFonts w:hint="eastAsia" w:cs="Calibri" w:asciiTheme="minorEastAsia" w:hAnsiTheme="minorEastAsia"/>
          <w:color w:val="000000"/>
          <w:sz w:val="22"/>
        </w:rPr>
        <w:t>套盆的维护，花器</w:t>
      </w:r>
      <w:r>
        <w:rPr>
          <w:rFonts w:cs="Calibri" w:asciiTheme="minorEastAsia" w:hAnsiTheme="minorEastAsia"/>
          <w:color w:val="000000"/>
          <w:sz w:val="22"/>
        </w:rPr>
        <w:t>/</w:t>
      </w:r>
      <w:r>
        <w:rPr>
          <w:rFonts w:hint="eastAsia" w:cs="Calibri" w:asciiTheme="minorEastAsia" w:hAnsiTheme="minorEastAsia"/>
          <w:color w:val="000000"/>
          <w:sz w:val="22"/>
        </w:rPr>
        <w:t>套盆完整，无破损、残痕，对破损的花器</w:t>
      </w:r>
      <w:r>
        <w:rPr>
          <w:rFonts w:cs="Calibri" w:asciiTheme="minorEastAsia" w:hAnsiTheme="minorEastAsia"/>
          <w:color w:val="000000"/>
          <w:sz w:val="22"/>
        </w:rPr>
        <w:t>/</w:t>
      </w:r>
      <w:r>
        <w:rPr>
          <w:rFonts w:hint="eastAsia" w:cs="Calibri" w:asciiTheme="minorEastAsia" w:hAnsiTheme="minorEastAsia"/>
          <w:color w:val="000000"/>
          <w:sz w:val="22"/>
        </w:rPr>
        <w:t>套盆及时进行更换。</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（27）更换花器/套盆时，保护绿植/花卉株型姿态不受损，尽量减少花泥及污物的散落。</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（28）放置于地毯上的花器/套盆应定期进行防水测试，以保证其不渗漏。</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（29）及时添加盆泥，注意周边环境卫生，及时清理积水及污泥等垃圾。</w:t>
      </w:r>
    </w:p>
    <w:p>
      <w:pPr>
        <w:adjustRightInd w:val="0"/>
        <w:snapToGrid w:val="0"/>
        <w:spacing w:line="360" w:lineRule="auto"/>
        <w:ind w:left="1" w:firstLine="480" w:firstLineChars="200"/>
        <w:rPr>
          <w:rFonts w:cs="Calibri" w:asciiTheme="minorEastAsia" w:hAnsiTheme="minorEastAsia"/>
          <w:color w:val="000000"/>
          <w:sz w:val="22"/>
        </w:rPr>
      </w:pPr>
      <w:r>
        <w:rPr>
          <w:rFonts w:hint="eastAsia" w:ascii="宋体" w:hAnsi="宋体"/>
          <w:sz w:val="24"/>
        </w:rPr>
        <w:t>四、</w:t>
      </w:r>
      <w:r>
        <w:rPr>
          <w:rFonts w:hint="eastAsia" w:cs="Calibri" w:asciiTheme="minorEastAsia" w:hAnsiTheme="minorEastAsia"/>
          <w:color w:val="000000"/>
          <w:sz w:val="22"/>
        </w:rPr>
        <w:t>现场管理要求</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1.维保单位要定期对航站楼内的租摆植物生长情况进行巡视， 定期对植物进行浇水、松土、施肥、修剪、换盆、防虫害等养护工作，做到花草繁茂，树木旺盛。</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2.进出航站楼的养护人员应佩戴有效工作证件，着装应整齐，携带相应的养护器具。</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3.养护人员应熟知花草树木的名称、科属、生长习性，进行科学养护及管理。</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4.养护人员应按操作规程完成绿化作业，符合专业化操作。</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5.掌握植物养护器械的正确使用方法，对租摆植物进行日常维护和保养时应使用专用工具，严格执行器械、药品保管和保养的程序。</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6.按计划及时做好租摆植物的调换、填充。</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7.租摆植物无枯枝、残花，发现后1日内清理更换。</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8.养护修剪的树枝、残花、枯枝落叶等垃圾必须及时清理，做到工完料清，严禁养护垃圾过夜。</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9.养护人员按规定每日进行巡视、养护，并将养护内容进行记录，对疑问或事故情况及时向主管或相关人员汇报。</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10.日常维护（修剪、浇水）可在白天工作时间内进行，但要尽量避开旅客高峰时段，需要时放置提示牌，避免滑倒旅客，不影响周围环境秩序和卫生,严禁浇水过程中，将水溢出公共区。</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11.日常维护工作中，应以旅客先行为主，避让旅客，使用礼貌用语，提示过往旅客注意安全。</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12.养护期间加强日常监督工作，防止人为因素破坏。</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13.搬运摆放花卉和冲洗养护大型绿植时应选择航班结束后进行，特殊情况下在得到航站楼管理部同意后方可进行，但必须避开旅客高峰期。</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14.影响周围环境卫生的（如运输、养护、摆放等），应及时处理，达到保洁要求。</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15.绿化运输过程中不得占用手推车，运输工具车不得阻碍旅客通道，保证公共通道的畅通。</w:t>
      </w:r>
    </w:p>
    <w:p>
      <w:pPr>
        <w:adjustRightInd w:val="0"/>
        <w:snapToGrid w:val="0"/>
        <w:spacing w:line="360" w:lineRule="auto"/>
        <w:ind w:left="1" w:firstLine="440" w:firstLineChars="200"/>
        <w:rPr>
          <w:rFonts w:cs="Calibri" w:asciiTheme="minorEastAsia" w:hAnsiTheme="minorEastAsia"/>
          <w:color w:val="000000"/>
          <w:sz w:val="22"/>
        </w:rPr>
      </w:pPr>
      <w:r>
        <w:rPr>
          <w:rFonts w:hint="eastAsia" w:cs="Calibri" w:asciiTheme="minorEastAsia" w:hAnsiTheme="minorEastAsia"/>
          <w:color w:val="000000"/>
          <w:sz w:val="22"/>
        </w:rPr>
        <w:t>16.对遇到相关内容的服务质量、环境检查、投诉意见等需进行整改的问题，维保单位应在规定的期限内完成整改，并将整改情况及时向航站楼管理部反馈。</w:t>
      </w:r>
    </w:p>
    <w:p>
      <w:pPr>
        <w:widowControl/>
        <w:jc w:val="left"/>
        <w:rPr>
          <w:rFonts w:cs="Calibri" w:asciiTheme="minorEastAsia" w:hAnsiTheme="minorEastAsia"/>
          <w:color w:val="000000"/>
          <w:sz w:val="22"/>
        </w:rPr>
      </w:pPr>
      <w:r>
        <w:rPr>
          <w:rFonts w:cs="Calibri" w:asciiTheme="minorEastAsia" w:hAnsiTheme="minorEastAsia"/>
          <w:color w:val="000000"/>
          <w:sz w:val="22"/>
        </w:rPr>
        <w:br w:type="page"/>
      </w:r>
    </w:p>
    <w:p>
      <w:pPr>
        <w:widowControl/>
        <w:jc w:val="left"/>
        <w:rPr>
          <w:rFonts w:eastAsia="黑体" w:cs="Calibri"/>
          <w:b/>
          <w:bCs/>
          <w:kern w:val="0"/>
          <w:sz w:val="32"/>
          <w:szCs w:val="44"/>
        </w:rPr>
      </w:pPr>
    </w:p>
    <w:p>
      <w:pPr>
        <w:pStyle w:val="2"/>
        <w:spacing w:before="0" w:after="0" w:line="360" w:lineRule="auto"/>
        <w:jc w:val="center"/>
        <w:rPr>
          <w:rFonts w:ascii="Calibri" w:hAnsi="Calibri" w:eastAsia="黑体" w:cs="Calibri"/>
          <w:kern w:val="0"/>
          <w:sz w:val="32"/>
        </w:rPr>
      </w:pPr>
      <w:bookmarkStart w:id="112" w:name="_Toc448002986"/>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2"/>
    </w:p>
    <w:p>
      <w:pPr>
        <w:spacing w:line="560" w:lineRule="exact"/>
        <w:rPr>
          <w:rFonts w:ascii="仿宋_GB2312" w:hAnsi="宋体" w:eastAsia="仿宋_GB2312"/>
          <w:sz w:val="28"/>
          <w:szCs w:val="28"/>
          <w:u w:val="single"/>
        </w:rPr>
      </w:pPr>
      <w:r>
        <w:rPr>
          <w:rFonts w:hint="eastAsia" w:ascii="仿宋_GB2312" w:hAnsi="宋体" w:eastAsia="仿宋_GB2312"/>
          <w:sz w:val="28"/>
          <w:szCs w:val="28"/>
        </w:rPr>
        <w:t>项目名称：</w:t>
      </w:r>
      <w:r>
        <w:rPr>
          <w:rFonts w:hint="eastAsia" w:ascii="仿宋_GB2312" w:hAnsi="宋体" w:eastAsia="仿宋_GB2312"/>
          <w:sz w:val="28"/>
          <w:szCs w:val="28"/>
          <w:u w:val="single"/>
        </w:rPr>
        <w:t xml:space="preserve"> 杭州萧山国际机场航站区花堆（硬质景观及名贵花木项）提升项目</w:t>
      </w:r>
    </w:p>
    <w:p>
      <w:pPr>
        <w:spacing w:line="560" w:lineRule="exact"/>
        <w:rPr>
          <w:rFonts w:ascii="仿宋_GB2312" w:hAnsi="宋体" w:eastAsia="仿宋_GB2312"/>
          <w:sz w:val="28"/>
          <w:szCs w:val="28"/>
          <w:u w:val="single"/>
        </w:rPr>
      </w:pPr>
    </w:p>
    <w:p>
      <w:pPr>
        <w:spacing w:line="560" w:lineRule="exact"/>
        <w:rPr>
          <w:rFonts w:ascii="仿宋_GB2312" w:hAnsi="宋体" w:eastAsia="仿宋_GB2312"/>
          <w:sz w:val="28"/>
          <w:szCs w:val="28"/>
          <w:u w:val="single"/>
        </w:rPr>
      </w:pPr>
      <w:r>
        <w:rPr>
          <w:rFonts w:hint="eastAsia" w:ascii="仿宋_GB2312" w:hAnsi="宋体" w:eastAsia="仿宋_GB2312"/>
          <w:sz w:val="28"/>
          <w:szCs w:val="28"/>
        </w:rPr>
        <w:t xml:space="preserve">      委 托 方：</w:t>
      </w:r>
      <w:r>
        <w:rPr>
          <w:rFonts w:hint="eastAsia" w:ascii="仿宋_GB2312" w:hAnsi="宋体" w:eastAsia="仿宋_GB2312"/>
          <w:sz w:val="28"/>
          <w:szCs w:val="28"/>
          <w:u w:val="single"/>
        </w:rPr>
        <w:t xml:space="preserve"> 杭州萧山国际机场有限公司     </w:t>
      </w:r>
    </w:p>
    <w:p>
      <w:pPr>
        <w:spacing w:line="560" w:lineRule="exact"/>
        <w:rPr>
          <w:rFonts w:ascii="仿宋_GB2312" w:hAnsi="宋体" w:eastAsia="仿宋_GB2312"/>
          <w:sz w:val="28"/>
          <w:szCs w:val="28"/>
          <w:u w:val="single"/>
        </w:rPr>
      </w:pPr>
      <w:r>
        <w:rPr>
          <w:rFonts w:hint="eastAsia" w:ascii="仿宋_GB2312" w:hAnsi="宋体" w:eastAsia="仿宋_GB2312"/>
          <w:sz w:val="28"/>
          <w:szCs w:val="28"/>
        </w:rPr>
        <w:t xml:space="preserve">      （甲 方） </w:t>
      </w:r>
    </w:p>
    <w:p>
      <w:pPr>
        <w:spacing w:line="560" w:lineRule="exact"/>
        <w:rPr>
          <w:rFonts w:ascii="仿宋_GB2312" w:hAnsi="宋体" w:eastAsia="仿宋_GB2312"/>
          <w:sz w:val="28"/>
          <w:szCs w:val="28"/>
          <w:u w:val="single"/>
        </w:rPr>
      </w:pPr>
    </w:p>
    <w:p>
      <w:pPr>
        <w:spacing w:line="560" w:lineRule="exact"/>
        <w:rPr>
          <w:rFonts w:ascii="仿宋_GB2312" w:hAnsi="宋体" w:eastAsia="仿宋_GB2312"/>
          <w:sz w:val="28"/>
          <w:szCs w:val="28"/>
        </w:rPr>
      </w:pPr>
      <w:r>
        <w:rPr>
          <w:rFonts w:hint="eastAsia" w:ascii="仿宋_GB2312" w:hAnsi="宋体" w:eastAsia="仿宋_GB2312"/>
          <w:sz w:val="28"/>
          <w:szCs w:val="28"/>
        </w:rPr>
        <w:t xml:space="preserve">      受 托 方： </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p>
    <w:p>
      <w:pPr>
        <w:spacing w:line="560" w:lineRule="exact"/>
        <w:rPr>
          <w:rFonts w:ascii="仿宋_GB2312" w:hAnsi="宋体" w:eastAsia="仿宋_GB2312"/>
          <w:sz w:val="28"/>
          <w:szCs w:val="28"/>
          <w:u w:val="single"/>
        </w:rPr>
      </w:pPr>
      <w:r>
        <w:rPr>
          <w:rFonts w:hint="eastAsia" w:ascii="仿宋_GB2312" w:hAnsi="宋体" w:eastAsia="仿宋_GB2312"/>
          <w:sz w:val="28"/>
          <w:szCs w:val="28"/>
        </w:rPr>
        <w:t xml:space="preserve">      （乙 方） </w:t>
      </w:r>
    </w:p>
    <w:p>
      <w:pPr>
        <w:spacing w:line="560" w:lineRule="exact"/>
        <w:rPr>
          <w:rFonts w:ascii="仿宋_GB2312" w:hAnsi="宋体" w:eastAsia="仿宋_GB2312"/>
          <w:sz w:val="28"/>
          <w:szCs w:val="28"/>
          <w:u w:val="single"/>
        </w:rPr>
      </w:pPr>
      <w:r>
        <w:rPr>
          <w:rFonts w:hint="eastAsia" w:ascii="仿宋_GB2312" w:hAnsi="宋体" w:eastAsia="仿宋_GB2312"/>
          <w:sz w:val="28"/>
          <w:szCs w:val="28"/>
        </w:rPr>
        <w:t xml:space="preserve">      签订时间：</w:t>
      </w:r>
      <w:r>
        <w:rPr>
          <w:rFonts w:hint="eastAsia" w:ascii="仿宋_GB2312" w:hAnsi="宋体" w:eastAsia="仿宋_GB2312"/>
          <w:sz w:val="28"/>
          <w:szCs w:val="28"/>
          <w:u w:val="single"/>
        </w:rPr>
        <w:t xml:space="preserve">                         </w:t>
      </w:r>
    </w:p>
    <w:p>
      <w:pPr>
        <w:spacing w:line="560" w:lineRule="exact"/>
        <w:rPr>
          <w:rFonts w:ascii="仿宋_GB2312" w:hAnsi="宋体" w:eastAsia="仿宋_GB2312"/>
          <w:sz w:val="28"/>
          <w:szCs w:val="28"/>
        </w:rPr>
      </w:pPr>
      <w:r>
        <w:rPr>
          <w:rFonts w:hint="eastAsia" w:ascii="仿宋_GB2312" w:hAnsi="宋体" w:eastAsia="仿宋_GB2312"/>
          <w:sz w:val="28"/>
          <w:szCs w:val="28"/>
        </w:rPr>
        <w:t xml:space="preserve">      签订地点：</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w:t>
      </w:r>
    </w:p>
    <w:p>
      <w:pPr>
        <w:spacing w:line="560" w:lineRule="exact"/>
        <w:rPr>
          <w:rFonts w:ascii="仿宋_GB2312" w:hAnsi="宋体" w:eastAsia="仿宋_GB2312"/>
          <w:sz w:val="28"/>
          <w:szCs w:val="28"/>
          <w:u w:val="single"/>
        </w:rPr>
      </w:pPr>
      <w:r>
        <w:rPr>
          <w:rFonts w:hint="eastAsia" w:ascii="仿宋_GB2312" w:hAnsi="宋体" w:eastAsia="仿宋_GB2312"/>
          <w:sz w:val="28"/>
          <w:szCs w:val="28"/>
        </w:rPr>
        <w:t xml:space="preserve">      有效期限：</w:t>
      </w:r>
      <w:r>
        <w:rPr>
          <w:rFonts w:hint="eastAsia" w:ascii="仿宋_GB2312" w:hAnsi="宋体" w:eastAsia="仿宋_GB2312"/>
          <w:sz w:val="28"/>
          <w:szCs w:val="28"/>
          <w:u w:val="single"/>
        </w:rPr>
        <w:t xml:space="preserve">                         </w:t>
      </w:r>
    </w:p>
    <w:p>
      <w:pPr>
        <w:spacing w:line="560" w:lineRule="exact"/>
        <w:rPr>
          <w:rFonts w:ascii="仿宋_GB2312" w:hAnsi="宋体" w:eastAsia="仿宋_GB2312"/>
          <w:sz w:val="28"/>
          <w:szCs w:val="28"/>
        </w:rPr>
      </w:pPr>
    </w:p>
    <w:p>
      <w:pPr>
        <w:spacing w:line="560" w:lineRule="exact"/>
        <w:rPr>
          <w:rFonts w:ascii="仿宋_GB2312" w:hAnsi="宋体" w:eastAsia="仿宋_GB2312"/>
          <w:sz w:val="28"/>
          <w:szCs w:val="28"/>
        </w:rPr>
      </w:pPr>
    </w:p>
    <w:p>
      <w:pPr>
        <w:spacing w:line="560" w:lineRule="exact"/>
        <w:jc w:val="center"/>
        <w:rPr>
          <w:rFonts w:ascii="仿宋_GB2312" w:hAnsi="宋体"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jc w:val="center"/>
        <w:rPr>
          <w:rFonts w:ascii="仿宋_GB2312" w:eastAsia="仿宋_GB2312"/>
          <w:sz w:val="28"/>
          <w:szCs w:val="28"/>
        </w:rPr>
      </w:pPr>
      <w:r>
        <w:rPr>
          <w:rFonts w:hint="eastAsia" w:ascii="仿宋_GB2312" w:eastAsia="仿宋_GB2312"/>
          <w:sz w:val="28"/>
          <w:szCs w:val="28"/>
        </w:rPr>
        <w:t>技术服务合同</w:t>
      </w:r>
    </w:p>
    <w:p>
      <w:pPr>
        <w:spacing w:line="560" w:lineRule="exact"/>
        <w:jc w:val="center"/>
        <w:rPr>
          <w:rFonts w:ascii="仿宋_GB2312" w:eastAsia="仿宋_GB2312"/>
          <w:sz w:val="28"/>
          <w:szCs w:val="28"/>
        </w:rPr>
      </w:pPr>
    </w:p>
    <w:p>
      <w:pPr>
        <w:spacing w:line="560" w:lineRule="exact"/>
        <w:ind w:left="1"/>
        <w:rPr>
          <w:rFonts w:ascii="仿宋_GB2312" w:eastAsia="仿宋_GB2312"/>
          <w:sz w:val="28"/>
          <w:szCs w:val="28"/>
          <w:u w:val="single"/>
        </w:rPr>
      </w:pPr>
      <w:r>
        <w:rPr>
          <w:rFonts w:hint="eastAsia" w:ascii="仿宋_GB2312" w:eastAsia="仿宋_GB2312"/>
          <w:sz w:val="28"/>
          <w:szCs w:val="28"/>
        </w:rPr>
        <w:tab/>
      </w:r>
      <w:r>
        <w:rPr>
          <w:rFonts w:hint="eastAsia" w:ascii="仿宋_GB2312" w:eastAsia="仿宋_GB2312"/>
          <w:sz w:val="28"/>
          <w:szCs w:val="28"/>
        </w:rPr>
        <w:t>委托方（甲方）：</w:t>
      </w:r>
      <w:r>
        <w:rPr>
          <w:rFonts w:hint="eastAsia" w:ascii="仿宋_GB2312" w:eastAsia="仿宋_GB2312"/>
          <w:sz w:val="28"/>
          <w:szCs w:val="28"/>
          <w:u w:val="single"/>
        </w:rPr>
        <w:t xml:space="preserve">  杭州萧山国际机场有限公司          </w:t>
      </w:r>
    </w:p>
    <w:p>
      <w:pPr>
        <w:spacing w:line="560" w:lineRule="exact"/>
        <w:rPr>
          <w:rFonts w:ascii="仿宋_GB2312" w:eastAsia="仿宋_GB2312"/>
          <w:sz w:val="28"/>
          <w:szCs w:val="28"/>
          <w:u w:val="single"/>
        </w:rPr>
      </w:pPr>
      <w:r>
        <w:rPr>
          <w:rFonts w:hint="eastAsia" w:ascii="仿宋_GB2312" w:eastAsia="仿宋_GB2312"/>
          <w:sz w:val="28"/>
          <w:szCs w:val="28"/>
        </w:rPr>
        <w:tab/>
      </w:r>
      <w:r>
        <w:rPr>
          <w:rFonts w:hint="eastAsia" w:ascii="仿宋_GB2312" w:eastAsia="仿宋_GB2312"/>
          <w:sz w:val="28"/>
          <w:szCs w:val="28"/>
        </w:rPr>
        <w:t>住  所  地：</w:t>
      </w:r>
      <w:r>
        <w:rPr>
          <w:rFonts w:hint="eastAsia" w:ascii="仿宋_GB2312" w:eastAsia="仿宋_GB2312"/>
          <w:sz w:val="28"/>
          <w:szCs w:val="28"/>
          <w:u w:val="single"/>
        </w:rPr>
        <w:t xml:space="preserve">     杭州萧山国际机场内                 </w:t>
      </w:r>
    </w:p>
    <w:p>
      <w:pPr>
        <w:spacing w:line="560" w:lineRule="exact"/>
        <w:rPr>
          <w:rFonts w:ascii="仿宋_GB2312" w:eastAsia="仿宋_GB2312"/>
          <w:sz w:val="28"/>
          <w:szCs w:val="28"/>
          <w:u w:val="single"/>
        </w:rPr>
      </w:pPr>
      <w:r>
        <w:rPr>
          <w:rFonts w:hint="eastAsia" w:ascii="仿宋_GB2312" w:eastAsia="仿宋_GB2312"/>
          <w:sz w:val="28"/>
          <w:szCs w:val="28"/>
        </w:rPr>
        <w:tab/>
      </w:r>
      <w:r>
        <w:rPr>
          <w:rFonts w:hint="eastAsia" w:ascii="仿宋_GB2312" w:eastAsia="仿宋_GB2312"/>
          <w:sz w:val="28"/>
          <w:szCs w:val="28"/>
        </w:rPr>
        <w:t>法定代表人：</w:t>
      </w:r>
      <w:r>
        <w:rPr>
          <w:rFonts w:hint="eastAsia" w:ascii="仿宋_GB2312" w:eastAsia="仿宋_GB2312"/>
          <w:sz w:val="28"/>
          <w:szCs w:val="28"/>
          <w:u w:val="single"/>
        </w:rPr>
        <w:t xml:space="preserve">                                     __</w:t>
      </w:r>
    </w:p>
    <w:p>
      <w:pPr>
        <w:tabs>
          <w:tab w:val="left" w:pos="1050"/>
        </w:tabs>
        <w:spacing w:line="560" w:lineRule="exact"/>
        <w:rPr>
          <w:rFonts w:ascii="仿宋_GB2312" w:eastAsia="仿宋_GB2312"/>
          <w:sz w:val="28"/>
          <w:szCs w:val="28"/>
          <w:u w:val="single"/>
        </w:rPr>
      </w:pPr>
      <w:r>
        <w:rPr>
          <w:rFonts w:hint="eastAsia" w:ascii="仿宋_GB2312" w:eastAsia="仿宋_GB2312"/>
          <w:sz w:val="28"/>
          <w:szCs w:val="28"/>
        </w:rPr>
        <w:t xml:space="preserve">   项目联系人：</w:t>
      </w:r>
      <w:r>
        <w:rPr>
          <w:rFonts w:hint="eastAsia" w:ascii="仿宋_GB2312" w:eastAsia="仿宋_GB2312"/>
          <w:sz w:val="28"/>
          <w:szCs w:val="28"/>
          <w:u w:val="single"/>
        </w:rPr>
        <w:t xml:space="preserve">                                       </w:t>
      </w:r>
    </w:p>
    <w:p>
      <w:pPr>
        <w:spacing w:line="560" w:lineRule="exact"/>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 xml:space="preserve">   联系方式 ：________________________________________</w:t>
      </w:r>
    </w:p>
    <w:p>
      <w:pPr>
        <w:tabs>
          <w:tab w:val="left" w:pos="8100"/>
        </w:tabs>
        <w:spacing w:line="560" w:lineRule="exact"/>
        <w:rPr>
          <w:rFonts w:ascii="仿宋_GB2312" w:eastAsia="仿宋_GB2312"/>
          <w:sz w:val="28"/>
          <w:szCs w:val="28"/>
          <w:u w:val="single"/>
        </w:rPr>
      </w:pPr>
      <w:r>
        <w:rPr>
          <w:rFonts w:hint="eastAsia" w:ascii="仿宋_GB2312" w:eastAsia="仿宋_GB2312"/>
          <w:sz w:val="28"/>
          <w:szCs w:val="28"/>
        </w:rPr>
        <w:t xml:space="preserve">   通讯地址：</w:t>
      </w:r>
      <w:r>
        <w:rPr>
          <w:rFonts w:hint="eastAsia" w:ascii="仿宋_GB2312" w:eastAsia="仿宋_GB2312"/>
          <w:sz w:val="28"/>
          <w:szCs w:val="28"/>
          <w:u w:val="single"/>
        </w:rPr>
        <w:t xml:space="preserve">                                         </w:t>
      </w:r>
    </w:p>
    <w:p>
      <w:pPr>
        <w:spacing w:line="560" w:lineRule="exact"/>
        <w:rPr>
          <w:rFonts w:ascii="仿宋_GB2312" w:eastAsia="仿宋_GB2312"/>
          <w:sz w:val="28"/>
          <w:szCs w:val="28"/>
          <w:u w:val="single"/>
        </w:rPr>
      </w:pPr>
      <w:r>
        <w:rPr>
          <w:rFonts w:hint="eastAsia" w:ascii="仿宋_GB2312" w:eastAsia="仿宋_GB2312"/>
          <w:sz w:val="28"/>
          <w:szCs w:val="28"/>
        </w:rPr>
        <w:t xml:space="preserve">   电    话：</w:t>
      </w:r>
      <w:r>
        <w:rPr>
          <w:rFonts w:hint="eastAsia" w:ascii="仿宋_GB2312" w:eastAsia="仿宋_GB2312"/>
          <w:sz w:val="28"/>
          <w:szCs w:val="28"/>
          <w:u w:val="single"/>
        </w:rPr>
        <w:t xml:space="preserve">                    </w:t>
      </w:r>
      <w:r>
        <w:rPr>
          <w:rFonts w:hint="eastAsia" w:ascii="仿宋_GB2312" w:eastAsia="仿宋_GB2312"/>
          <w:sz w:val="28"/>
          <w:szCs w:val="28"/>
        </w:rPr>
        <w:t xml:space="preserve"> 传真：</w:t>
      </w:r>
      <w:r>
        <w:rPr>
          <w:rFonts w:hint="eastAsia" w:ascii="仿宋_GB2312" w:eastAsia="仿宋_GB2312"/>
          <w:sz w:val="28"/>
          <w:szCs w:val="28"/>
          <w:u w:val="single"/>
        </w:rPr>
        <w:t xml:space="preserve">              </w:t>
      </w:r>
    </w:p>
    <w:p>
      <w:pPr>
        <w:spacing w:line="560" w:lineRule="exact"/>
        <w:rPr>
          <w:rFonts w:ascii="仿宋_GB2312" w:eastAsia="仿宋_GB2312"/>
          <w:sz w:val="28"/>
          <w:szCs w:val="28"/>
        </w:rPr>
      </w:pPr>
      <w:r>
        <w:rPr>
          <w:rFonts w:hint="eastAsia" w:ascii="仿宋_GB2312" w:eastAsia="仿宋_GB2312"/>
          <w:sz w:val="28"/>
          <w:szCs w:val="28"/>
        </w:rPr>
        <w:t xml:space="preserve">   电子信箱：</w:t>
      </w:r>
      <w:r>
        <w:rPr>
          <w:rFonts w:hint="eastAsia" w:ascii="仿宋_GB2312" w:eastAsia="仿宋_GB2312"/>
          <w:sz w:val="28"/>
          <w:szCs w:val="28"/>
          <w:u w:val="single"/>
        </w:rPr>
        <w:t xml:space="preserve">                                         </w:t>
      </w:r>
    </w:p>
    <w:p>
      <w:pPr>
        <w:spacing w:line="560" w:lineRule="exact"/>
        <w:rPr>
          <w:rFonts w:ascii="仿宋_GB2312" w:eastAsia="仿宋_GB2312"/>
          <w:sz w:val="28"/>
          <w:szCs w:val="28"/>
          <w:u w:val="single"/>
        </w:rPr>
      </w:pPr>
      <w:r>
        <w:rPr>
          <w:rFonts w:hint="eastAsia" w:ascii="仿宋_GB2312" w:eastAsia="仿宋_GB2312"/>
          <w:sz w:val="28"/>
          <w:szCs w:val="28"/>
        </w:rPr>
        <w:t xml:space="preserve">   受托方（乙方）：</w:t>
      </w:r>
      <w:r>
        <w:rPr>
          <w:rFonts w:hint="eastAsia" w:ascii="仿宋_GB2312" w:eastAsia="仿宋_GB2312"/>
          <w:sz w:val="28"/>
          <w:szCs w:val="28"/>
          <w:u w:val="single"/>
        </w:rPr>
        <w:t xml:space="preserve">                                    </w:t>
      </w:r>
    </w:p>
    <w:p>
      <w:pPr>
        <w:spacing w:line="560" w:lineRule="exact"/>
        <w:rPr>
          <w:rFonts w:ascii="仿宋_GB2312" w:eastAsia="仿宋_GB2312"/>
          <w:sz w:val="28"/>
          <w:szCs w:val="28"/>
          <w:u w:val="single"/>
        </w:rPr>
      </w:pPr>
      <w:r>
        <w:rPr>
          <w:rFonts w:hint="eastAsia" w:ascii="仿宋_GB2312" w:eastAsia="仿宋_GB2312"/>
          <w:sz w:val="28"/>
          <w:szCs w:val="28"/>
        </w:rPr>
        <w:t xml:space="preserve">   住  所  地：</w:t>
      </w:r>
      <w:r>
        <w:rPr>
          <w:rFonts w:hint="eastAsia" w:ascii="仿宋_GB2312" w:eastAsia="仿宋_GB2312"/>
          <w:sz w:val="28"/>
          <w:szCs w:val="28"/>
          <w:u w:val="single"/>
        </w:rPr>
        <w:t xml:space="preserve">                                       </w:t>
      </w:r>
    </w:p>
    <w:p>
      <w:pPr>
        <w:spacing w:line="560" w:lineRule="exact"/>
        <w:rPr>
          <w:rFonts w:ascii="仿宋_GB2312" w:eastAsia="仿宋_GB2312"/>
          <w:sz w:val="28"/>
          <w:szCs w:val="28"/>
          <w:u w:val="single"/>
        </w:rPr>
      </w:pPr>
      <w:r>
        <w:rPr>
          <w:rFonts w:hint="eastAsia" w:ascii="仿宋_GB2312" w:eastAsia="仿宋_GB2312"/>
          <w:sz w:val="28"/>
          <w:szCs w:val="28"/>
        </w:rPr>
        <w:t xml:space="preserve">   法定代表人：</w:t>
      </w:r>
      <w:r>
        <w:rPr>
          <w:rFonts w:hint="eastAsia" w:ascii="仿宋_GB2312" w:eastAsia="仿宋_GB2312"/>
          <w:sz w:val="28"/>
          <w:szCs w:val="28"/>
          <w:u w:val="single"/>
        </w:rPr>
        <w:t xml:space="preserve">                                       </w:t>
      </w:r>
    </w:p>
    <w:p>
      <w:pPr>
        <w:spacing w:line="560" w:lineRule="exact"/>
        <w:rPr>
          <w:rFonts w:ascii="仿宋_GB2312" w:eastAsia="仿宋_GB2312"/>
          <w:sz w:val="28"/>
          <w:szCs w:val="28"/>
          <w:u w:val="single"/>
        </w:rPr>
      </w:pPr>
      <w:r>
        <w:rPr>
          <w:rFonts w:hint="eastAsia" w:ascii="仿宋_GB2312" w:eastAsia="仿宋_GB2312"/>
          <w:sz w:val="28"/>
          <w:szCs w:val="28"/>
        </w:rPr>
        <w:t xml:space="preserve">   项目联系人：</w:t>
      </w:r>
      <w:r>
        <w:rPr>
          <w:rFonts w:hint="eastAsia" w:ascii="仿宋_GB2312" w:eastAsia="仿宋_GB2312"/>
          <w:sz w:val="28"/>
          <w:szCs w:val="28"/>
          <w:u w:val="single"/>
        </w:rPr>
        <w:t xml:space="preserve">                                       </w:t>
      </w:r>
    </w:p>
    <w:p>
      <w:pPr>
        <w:spacing w:line="560" w:lineRule="exact"/>
        <w:rPr>
          <w:rFonts w:ascii="仿宋_GB2312" w:eastAsia="仿宋_GB2312"/>
          <w:sz w:val="28"/>
          <w:szCs w:val="28"/>
        </w:rPr>
      </w:pPr>
      <w:r>
        <w:rPr>
          <w:rFonts w:hint="eastAsia" w:ascii="仿宋_GB2312" w:eastAsia="仿宋_GB2312"/>
          <w:sz w:val="28"/>
          <w:szCs w:val="28"/>
        </w:rPr>
        <w:t xml:space="preserve">   联系方式 ：________________________________________</w:t>
      </w:r>
    </w:p>
    <w:p>
      <w:pPr>
        <w:tabs>
          <w:tab w:val="left" w:pos="8100"/>
        </w:tabs>
        <w:spacing w:line="560" w:lineRule="exact"/>
        <w:rPr>
          <w:rFonts w:ascii="仿宋_GB2312" w:eastAsia="仿宋_GB2312"/>
          <w:sz w:val="28"/>
          <w:szCs w:val="28"/>
          <w:u w:val="single"/>
        </w:rPr>
      </w:pPr>
      <w:r>
        <w:rPr>
          <w:rFonts w:hint="eastAsia" w:ascii="仿宋_GB2312" w:eastAsia="仿宋_GB2312"/>
          <w:sz w:val="28"/>
          <w:szCs w:val="28"/>
        </w:rPr>
        <w:t xml:space="preserve">   通讯地址：</w:t>
      </w:r>
      <w:r>
        <w:rPr>
          <w:rFonts w:hint="eastAsia" w:ascii="仿宋_GB2312" w:eastAsia="仿宋_GB2312"/>
          <w:sz w:val="28"/>
          <w:szCs w:val="28"/>
          <w:u w:val="single"/>
        </w:rPr>
        <w:t xml:space="preserve">                                         </w:t>
      </w:r>
    </w:p>
    <w:p>
      <w:pPr>
        <w:spacing w:line="560" w:lineRule="exact"/>
        <w:rPr>
          <w:rFonts w:ascii="仿宋_GB2312" w:eastAsia="仿宋_GB2312"/>
          <w:sz w:val="28"/>
          <w:szCs w:val="28"/>
          <w:u w:val="single"/>
        </w:rPr>
      </w:pPr>
      <w:r>
        <w:rPr>
          <w:rFonts w:hint="eastAsia" w:ascii="仿宋_GB2312" w:eastAsia="仿宋_GB2312"/>
          <w:sz w:val="28"/>
          <w:szCs w:val="28"/>
        </w:rPr>
        <w:t xml:space="preserve">   电    话：</w:t>
      </w:r>
      <w:r>
        <w:rPr>
          <w:rFonts w:hint="eastAsia" w:ascii="仿宋_GB2312" w:eastAsia="仿宋_GB2312"/>
          <w:sz w:val="28"/>
          <w:szCs w:val="28"/>
          <w:u w:val="single"/>
        </w:rPr>
        <w:t xml:space="preserve">                    </w:t>
      </w:r>
      <w:r>
        <w:rPr>
          <w:rFonts w:hint="eastAsia" w:ascii="仿宋_GB2312" w:eastAsia="仿宋_GB2312"/>
          <w:sz w:val="28"/>
          <w:szCs w:val="28"/>
        </w:rPr>
        <w:t xml:space="preserve"> 传真：</w:t>
      </w:r>
      <w:r>
        <w:rPr>
          <w:rFonts w:hint="eastAsia" w:ascii="仿宋_GB2312" w:eastAsia="仿宋_GB2312"/>
          <w:sz w:val="28"/>
          <w:szCs w:val="28"/>
          <w:u w:val="single"/>
        </w:rPr>
        <w:t xml:space="preserve">              </w:t>
      </w:r>
    </w:p>
    <w:p>
      <w:pPr>
        <w:spacing w:line="560" w:lineRule="exact"/>
        <w:ind w:left="-260"/>
        <w:rPr>
          <w:rFonts w:ascii="仿宋_GB2312" w:eastAsia="仿宋_GB2312"/>
          <w:sz w:val="28"/>
          <w:szCs w:val="28"/>
          <w:u w:val="single"/>
        </w:rPr>
      </w:pPr>
      <w:r>
        <w:rPr>
          <w:rFonts w:hint="eastAsia" w:ascii="仿宋_GB2312" w:eastAsia="仿宋_GB2312"/>
          <w:sz w:val="28"/>
          <w:szCs w:val="28"/>
        </w:rPr>
        <w:t xml:space="preserve">     电子信箱：</w:t>
      </w:r>
      <w:r>
        <w:rPr>
          <w:rFonts w:hint="eastAsia" w:ascii="仿宋_GB2312" w:eastAsia="仿宋_GB2312"/>
          <w:sz w:val="28"/>
          <w:szCs w:val="28"/>
          <w:u w:val="single"/>
        </w:rPr>
        <w:t xml:space="preserve">                                     </w:t>
      </w:r>
      <w:r>
        <w:rPr>
          <w:rFonts w:hint="eastAsia" w:ascii="仿宋_GB2312" w:eastAsia="仿宋_GB2312"/>
          <w:sz w:val="28"/>
          <w:szCs w:val="28"/>
          <w:u w:val="single"/>
        </w:rPr>
        <w:softHyphen/>
      </w:r>
      <w:r>
        <w:rPr>
          <w:rFonts w:hint="eastAsia" w:ascii="仿宋_GB2312" w:eastAsia="仿宋_GB2312"/>
          <w:sz w:val="28"/>
          <w:szCs w:val="28"/>
          <w:u w:val="single"/>
        </w:rPr>
        <w:t xml:space="preserve">      </w:t>
      </w:r>
    </w:p>
    <w:p>
      <w:pPr>
        <w:spacing w:line="360" w:lineRule="auto"/>
        <w:ind w:firstLine="567"/>
        <w:rPr>
          <w:rFonts w:ascii="仿宋_GB2312" w:eastAsia="仿宋_GB2312"/>
          <w:sz w:val="28"/>
          <w:szCs w:val="28"/>
        </w:rPr>
      </w:pPr>
      <w:r>
        <w:rPr>
          <w:rFonts w:hint="eastAsia" w:ascii="仿宋_GB2312" w:eastAsia="仿宋_GB2312"/>
          <w:sz w:val="28"/>
          <w:szCs w:val="28"/>
        </w:rPr>
        <w:t xml:space="preserve">   </w:t>
      </w:r>
    </w:p>
    <w:p>
      <w:pPr>
        <w:spacing w:line="360" w:lineRule="auto"/>
        <w:ind w:firstLine="567"/>
        <w:rPr>
          <w:rFonts w:ascii="宋体" w:hAnsi="宋体"/>
          <w:sz w:val="24"/>
        </w:rPr>
      </w:pPr>
      <w:r>
        <w:rPr>
          <w:rFonts w:hint="eastAsia" w:ascii="仿宋_GB2312" w:eastAsia="仿宋_GB2312"/>
          <w:sz w:val="28"/>
          <w:szCs w:val="28"/>
        </w:rPr>
        <w:t>按照公开、公平、合理、择优的原则，为了明确双方职责，相互协作，做好航站楼花堆布置摆放服务工作，经甲、乙双方共同协商，特立此合同。</w:t>
      </w:r>
    </w:p>
    <w:p>
      <w:pPr>
        <w:spacing w:line="560" w:lineRule="exact"/>
        <w:rPr>
          <w:rFonts w:ascii="仿宋_GB2312" w:eastAsia="仿宋_GB2312"/>
          <w:sz w:val="28"/>
          <w:szCs w:val="28"/>
        </w:rPr>
      </w:pPr>
      <w:r>
        <w:rPr>
          <w:rFonts w:hint="eastAsia" w:ascii="仿宋_GB2312" w:eastAsia="仿宋_GB2312"/>
          <w:sz w:val="28"/>
          <w:szCs w:val="28"/>
        </w:rPr>
        <w:t xml:space="preserve">   第一条：甲方委托乙方进行技术服务的内容如下：</w:t>
      </w:r>
    </w:p>
    <w:p>
      <w:pPr>
        <w:spacing w:line="560" w:lineRule="exact"/>
        <w:rPr>
          <w:rFonts w:ascii="仿宋_GB2312" w:eastAsia="仿宋_GB2312"/>
          <w:sz w:val="28"/>
          <w:szCs w:val="28"/>
        </w:rPr>
      </w:pPr>
      <w:r>
        <w:rPr>
          <w:rFonts w:hint="eastAsia" w:ascii="仿宋_GB2312" w:eastAsia="仿宋_GB2312"/>
          <w:sz w:val="28"/>
          <w:szCs w:val="28"/>
        </w:rPr>
        <w:t xml:space="preserve">      1．技术服务的目标：</w:t>
      </w:r>
      <w:r>
        <w:rPr>
          <w:rFonts w:hint="eastAsia" w:ascii="仿宋_GB2312" w:eastAsia="仿宋_GB2312"/>
          <w:sz w:val="28"/>
          <w:szCs w:val="28"/>
          <w:u w:val="single"/>
        </w:rPr>
        <w:t xml:space="preserve"> 杭州萧山国际机场航站区花堆（硬质景观及名贵花木项）提升。 </w:t>
      </w:r>
      <w:r>
        <w:rPr>
          <w:rFonts w:hint="eastAsia" w:ascii="仿宋_GB2312" w:eastAsia="仿宋_GB2312"/>
          <w:sz w:val="28"/>
          <w:szCs w:val="28"/>
        </w:rPr>
        <w:t>。</w:t>
      </w:r>
    </w:p>
    <w:p>
      <w:pPr>
        <w:adjustRightInd w:val="0"/>
        <w:snapToGrid w:val="0"/>
        <w:spacing w:line="360" w:lineRule="auto"/>
        <w:ind w:firstLine="560" w:firstLineChars="200"/>
        <w:rPr>
          <w:rFonts w:ascii="仿宋_GB2312" w:eastAsia="仿宋_GB2312"/>
          <w:sz w:val="28"/>
          <w:szCs w:val="28"/>
          <w:u w:val="single"/>
        </w:rPr>
      </w:pPr>
      <w:r>
        <w:rPr>
          <w:rFonts w:hint="eastAsia" w:ascii="仿宋_GB2312" w:eastAsia="仿宋_GB2312"/>
          <w:sz w:val="28"/>
          <w:szCs w:val="28"/>
        </w:rPr>
        <w:t xml:space="preserve">  2．技术服务的内容：</w:t>
      </w:r>
      <w:r>
        <w:rPr>
          <w:rFonts w:hint="eastAsia" w:ascii="仿宋_GB2312" w:eastAsia="仿宋_GB2312"/>
          <w:sz w:val="28"/>
          <w:szCs w:val="28"/>
          <w:u w:val="single"/>
        </w:rPr>
        <w:t>杭州萧山国际机场航站区花堆（硬质景观及名贵花木项）提升相关内容：杭州萧山国际机场航站楼重要节假日（含五一、国庆、元旦、春节等。）T3夹层花堆布置及日常养护（含硬质景观与名贵花卉）。盆花种类不少于8种，至少2种当季艳丽高档花卉，面积不小于30平米，盆花总量不少于400盆，景观小品造型富有层次。</w:t>
      </w:r>
    </w:p>
    <w:p>
      <w:pPr>
        <w:spacing w:line="560" w:lineRule="exact"/>
        <w:rPr>
          <w:rFonts w:ascii="仿宋_GB2312" w:eastAsia="仿宋_GB2312"/>
          <w:sz w:val="28"/>
          <w:szCs w:val="28"/>
          <w:u w:val="single"/>
        </w:rPr>
      </w:pPr>
      <w:r>
        <w:rPr>
          <w:rFonts w:hint="eastAsia" w:ascii="仿宋_GB2312" w:eastAsia="仿宋_GB2312"/>
          <w:sz w:val="28"/>
          <w:szCs w:val="28"/>
        </w:rPr>
        <w:t xml:space="preserve">      3．技术服务的方式：</w:t>
      </w:r>
      <w:r>
        <w:rPr>
          <w:rFonts w:hint="eastAsia" w:ascii="仿宋_GB2312" w:eastAsia="仿宋_GB2312"/>
          <w:sz w:val="28"/>
          <w:szCs w:val="28"/>
          <w:u w:val="single"/>
        </w:rPr>
        <w:t>杭州萧山国际机场航站区花堆（硬质景观及名贵花木项）提升的共8套效果图（每个节假日2套）及日常摆放、养护花堆的流程方案，包括如下内容：</w:t>
      </w:r>
    </w:p>
    <w:p>
      <w:pPr>
        <w:spacing w:line="560" w:lineRule="exact"/>
        <w:rPr>
          <w:rFonts w:ascii="仿宋_GB2312" w:eastAsia="仿宋_GB2312"/>
          <w:sz w:val="28"/>
          <w:szCs w:val="28"/>
          <w:u w:val="single"/>
        </w:rPr>
      </w:pPr>
      <w:r>
        <w:rPr>
          <w:rFonts w:hint="eastAsia" w:ascii="仿宋_GB2312" w:eastAsia="仿宋_GB2312"/>
          <w:sz w:val="28"/>
          <w:szCs w:val="28"/>
          <w:u w:val="single"/>
        </w:rPr>
        <w:t>3.1 电子版效果图源文件</w:t>
      </w:r>
    </w:p>
    <w:p>
      <w:pPr>
        <w:spacing w:line="560" w:lineRule="exact"/>
        <w:rPr>
          <w:rFonts w:ascii="仿宋_GB2312" w:eastAsia="仿宋_GB2312"/>
          <w:sz w:val="28"/>
          <w:szCs w:val="28"/>
          <w:u w:val="single"/>
        </w:rPr>
      </w:pPr>
      <w:r>
        <w:rPr>
          <w:rFonts w:hint="eastAsia" w:ascii="仿宋_GB2312" w:eastAsia="仿宋_GB2312"/>
          <w:sz w:val="28"/>
          <w:szCs w:val="28"/>
          <w:u w:val="single"/>
        </w:rPr>
        <w:t>3.2 纸质版日常摆放、养护花堆的流程方案</w:t>
      </w:r>
    </w:p>
    <w:p>
      <w:pPr>
        <w:spacing w:line="560" w:lineRule="exact"/>
        <w:rPr>
          <w:rFonts w:ascii="仿宋_GB2312" w:eastAsia="仿宋_GB2312"/>
          <w:sz w:val="28"/>
          <w:szCs w:val="28"/>
        </w:rPr>
      </w:pPr>
      <w:r>
        <w:rPr>
          <w:rFonts w:hint="eastAsia" w:ascii="仿宋_GB2312" w:eastAsia="仿宋_GB2312"/>
          <w:sz w:val="28"/>
          <w:szCs w:val="28"/>
        </w:rPr>
        <w:t xml:space="preserve">    第二条：乙方应按下列要求完成技术服务工作：</w:t>
      </w:r>
    </w:p>
    <w:p>
      <w:pPr>
        <w:spacing w:line="560" w:lineRule="exact"/>
        <w:rPr>
          <w:rFonts w:ascii="仿宋_GB2312" w:eastAsia="仿宋_GB2312"/>
          <w:sz w:val="28"/>
          <w:szCs w:val="28"/>
          <w:u w:val="single"/>
        </w:rPr>
      </w:pPr>
      <w:r>
        <w:rPr>
          <w:rFonts w:hint="eastAsia" w:ascii="仿宋_GB2312" w:eastAsia="仿宋_GB2312"/>
          <w:sz w:val="28"/>
          <w:szCs w:val="28"/>
        </w:rPr>
        <w:t xml:space="preserve">      1．技术服务地点：</w:t>
      </w:r>
      <w:r>
        <w:rPr>
          <w:rFonts w:hint="eastAsia" w:ascii="仿宋_GB2312" w:eastAsia="仿宋_GB2312"/>
          <w:sz w:val="28"/>
          <w:szCs w:val="28"/>
          <w:u w:val="single"/>
        </w:rPr>
        <w:t>杭州萧山国际机场内</w:t>
      </w:r>
    </w:p>
    <w:p>
      <w:pPr>
        <w:adjustRightInd w:val="0"/>
        <w:snapToGrid w:val="0"/>
        <w:spacing w:line="360" w:lineRule="auto"/>
        <w:ind w:firstLine="560" w:firstLineChars="200"/>
        <w:rPr>
          <w:rFonts w:ascii="仿宋_GB2312" w:eastAsia="仿宋_GB2312"/>
          <w:sz w:val="28"/>
          <w:szCs w:val="28"/>
          <w:u w:val="single"/>
        </w:rPr>
      </w:pPr>
      <w:r>
        <w:rPr>
          <w:rFonts w:hint="eastAsia" w:ascii="仿宋_GB2312" w:eastAsia="仿宋_GB2312"/>
          <w:sz w:val="28"/>
          <w:szCs w:val="28"/>
        </w:rPr>
        <w:t xml:space="preserve">  2．技术服务期限：</w:t>
      </w:r>
      <w:r>
        <w:rPr>
          <w:rFonts w:hint="eastAsia" w:ascii="仿宋_GB2312" w:eastAsia="仿宋_GB2312"/>
          <w:sz w:val="28"/>
          <w:szCs w:val="28"/>
          <w:u w:val="single"/>
        </w:rPr>
        <w:t xml:space="preserve"> 2019年10月1日至2020年5月30日止，每个节假日</w:t>
      </w:r>
      <w:r>
        <w:rPr>
          <w:rFonts w:ascii="仿宋_GB2312" w:eastAsia="仿宋_GB2312"/>
          <w:sz w:val="28"/>
          <w:szCs w:val="28"/>
          <w:u w:val="single"/>
        </w:rPr>
        <w:t>由甲方依据《</w:t>
      </w:r>
      <w:r>
        <w:rPr>
          <w:rFonts w:hint="eastAsia" w:ascii="仿宋_GB2312" w:hAnsi="Times New Roman" w:eastAsia="仿宋_GB2312"/>
          <w:sz w:val="28"/>
          <w:szCs w:val="28"/>
          <w:u w:val="single"/>
        </w:rPr>
        <w:t>航站楼花堆提升项目外包服务质量年度考核制度</w:t>
      </w:r>
      <w:r>
        <w:rPr>
          <w:rFonts w:ascii="仿宋_GB2312" w:eastAsia="仿宋_GB2312"/>
          <w:sz w:val="28"/>
          <w:szCs w:val="28"/>
          <w:u w:val="single"/>
        </w:rPr>
        <w:t>》</w:t>
      </w:r>
      <w:r>
        <w:rPr>
          <w:rFonts w:hint="eastAsia" w:ascii="仿宋_GB2312" w:eastAsia="仿宋_GB2312"/>
          <w:sz w:val="28"/>
          <w:szCs w:val="28"/>
          <w:u w:val="single"/>
        </w:rPr>
        <w:t>（详见附件【3】）与</w:t>
      </w:r>
      <w:r>
        <w:rPr>
          <w:rFonts w:ascii="仿宋_GB2312" w:eastAsia="仿宋_GB2312"/>
          <w:sz w:val="28"/>
          <w:szCs w:val="28"/>
          <w:u w:val="single"/>
        </w:rPr>
        <w:t>《</w:t>
      </w:r>
      <w:r>
        <w:rPr>
          <w:rFonts w:hint="eastAsia" w:ascii="仿宋_GB2312" w:hAnsi="Times New Roman" w:eastAsia="仿宋_GB2312"/>
          <w:sz w:val="28"/>
          <w:szCs w:val="28"/>
          <w:u w:val="single"/>
        </w:rPr>
        <w:t>航站楼花堆提升项目外包服务质量考评标准</w:t>
      </w:r>
      <w:r>
        <w:rPr>
          <w:rFonts w:ascii="仿宋_GB2312" w:eastAsia="仿宋_GB2312"/>
          <w:sz w:val="28"/>
          <w:szCs w:val="28"/>
          <w:u w:val="single"/>
        </w:rPr>
        <w:t>》</w:t>
      </w:r>
      <w:r>
        <w:rPr>
          <w:rFonts w:hint="eastAsia" w:ascii="仿宋_GB2312" w:eastAsia="仿宋_GB2312"/>
          <w:sz w:val="28"/>
          <w:szCs w:val="28"/>
          <w:u w:val="single"/>
        </w:rPr>
        <w:t>（详见附件【4】）组织</w:t>
      </w:r>
      <w:r>
        <w:rPr>
          <w:rFonts w:ascii="仿宋_GB2312" w:eastAsia="仿宋_GB2312"/>
          <w:sz w:val="28"/>
          <w:szCs w:val="28"/>
          <w:u w:val="single"/>
        </w:rPr>
        <w:t>对乙方进行考核，</w:t>
      </w:r>
      <w:r>
        <w:rPr>
          <w:rFonts w:hint="eastAsia" w:ascii="仿宋_GB2312" w:eastAsia="仿宋_GB2312"/>
          <w:sz w:val="28"/>
          <w:szCs w:val="28"/>
          <w:u w:val="single"/>
        </w:rPr>
        <w:t>经过甲方4轮考核后，乙方平均分数达到【</w:t>
      </w:r>
      <w:r>
        <w:rPr>
          <w:rFonts w:ascii="仿宋_GB2312" w:eastAsia="仿宋_GB2312"/>
          <w:sz w:val="28"/>
          <w:szCs w:val="28"/>
          <w:u w:val="single"/>
        </w:rPr>
        <w:t>9</w:t>
      </w:r>
      <w:r>
        <w:rPr>
          <w:rFonts w:hint="eastAsia" w:ascii="仿宋_GB2312" w:eastAsia="仿宋_GB2312"/>
          <w:sz w:val="28"/>
          <w:szCs w:val="28"/>
          <w:u w:val="single"/>
        </w:rPr>
        <w:t>5】分视为</w:t>
      </w:r>
      <w:r>
        <w:rPr>
          <w:rFonts w:ascii="仿宋_GB2312" w:eastAsia="仿宋_GB2312"/>
          <w:sz w:val="28"/>
          <w:szCs w:val="28"/>
          <w:u w:val="single"/>
        </w:rPr>
        <w:t>考核合格</w:t>
      </w:r>
      <w:r>
        <w:rPr>
          <w:rFonts w:hint="eastAsia" w:ascii="仿宋_GB2312" w:eastAsia="仿宋_GB2312"/>
          <w:sz w:val="28"/>
          <w:szCs w:val="28"/>
          <w:u w:val="single"/>
        </w:rPr>
        <w:t>，</w:t>
      </w:r>
      <w:r>
        <w:rPr>
          <w:rFonts w:ascii="仿宋_GB2312" w:eastAsia="仿宋_GB2312"/>
          <w:sz w:val="28"/>
          <w:szCs w:val="28"/>
          <w:u w:val="single"/>
        </w:rPr>
        <w:t>若乙方</w:t>
      </w:r>
      <w:r>
        <w:rPr>
          <w:rFonts w:hint="eastAsia" w:ascii="仿宋_GB2312" w:eastAsia="仿宋_GB2312"/>
          <w:sz w:val="28"/>
          <w:szCs w:val="28"/>
          <w:u w:val="single"/>
        </w:rPr>
        <w:t>分数达不到【</w:t>
      </w:r>
      <w:r>
        <w:rPr>
          <w:rFonts w:ascii="仿宋_GB2312" w:eastAsia="仿宋_GB2312"/>
          <w:sz w:val="28"/>
          <w:szCs w:val="28"/>
          <w:u w:val="single"/>
        </w:rPr>
        <w:t>9</w:t>
      </w:r>
      <w:r>
        <w:rPr>
          <w:rFonts w:hint="eastAsia" w:ascii="仿宋_GB2312" w:eastAsia="仿宋_GB2312"/>
          <w:sz w:val="28"/>
          <w:szCs w:val="28"/>
          <w:u w:val="single"/>
        </w:rPr>
        <w:t>5】分视为</w:t>
      </w:r>
      <w:r>
        <w:rPr>
          <w:rFonts w:ascii="仿宋_GB2312" w:eastAsia="仿宋_GB2312"/>
          <w:sz w:val="28"/>
          <w:szCs w:val="28"/>
          <w:u w:val="single"/>
        </w:rPr>
        <w:t>考核</w:t>
      </w:r>
      <w:r>
        <w:rPr>
          <w:rFonts w:hint="eastAsia" w:ascii="仿宋_GB2312" w:eastAsia="仿宋_GB2312"/>
          <w:sz w:val="28"/>
          <w:szCs w:val="28"/>
          <w:u w:val="single"/>
        </w:rPr>
        <w:t>不</w:t>
      </w:r>
      <w:r>
        <w:rPr>
          <w:rFonts w:ascii="仿宋_GB2312" w:eastAsia="仿宋_GB2312"/>
          <w:sz w:val="28"/>
          <w:szCs w:val="28"/>
          <w:u w:val="single"/>
        </w:rPr>
        <w:t>合格，</w:t>
      </w:r>
      <w:r>
        <w:rPr>
          <w:rFonts w:hint="eastAsia" w:ascii="仿宋_GB2312" w:eastAsia="仿宋_GB2312"/>
          <w:sz w:val="28"/>
          <w:szCs w:val="28"/>
          <w:u w:val="single"/>
        </w:rPr>
        <w:t>且每减少一分，扣除该项目总费用的1%。</w:t>
      </w:r>
    </w:p>
    <w:p>
      <w:pPr>
        <w:spacing w:line="560" w:lineRule="exact"/>
        <w:rPr>
          <w:rFonts w:ascii="仿宋_GB2312" w:eastAsia="仿宋_GB2312"/>
          <w:sz w:val="28"/>
          <w:szCs w:val="28"/>
          <w:u w:val="single"/>
        </w:rPr>
      </w:pPr>
      <w:r>
        <w:rPr>
          <w:rFonts w:hint="eastAsia" w:ascii="仿宋_GB2312" w:eastAsia="仿宋_GB2312"/>
          <w:sz w:val="28"/>
          <w:szCs w:val="28"/>
        </w:rPr>
        <w:t xml:space="preserve">      3．技术服务进度：</w:t>
      </w:r>
      <w:r>
        <w:rPr>
          <w:rFonts w:hint="eastAsia" w:ascii="仿宋_GB2312" w:eastAsia="仿宋_GB2312"/>
          <w:sz w:val="28"/>
          <w:szCs w:val="28"/>
          <w:u w:val="single"/>
        </w:rPr>
        <w:t>乙方应在本合同签订后，按照甲方要求进行花堆设计摆放;合同签订后60天内按本合同约定的内容、进度向甲方交付设计资料及文件。</w:t>
      </w:r>
    </w:p>
    <w:p>
      <w:pPr>
        <w:widowControl/>
        <w:snapToGrid w:val="0"/>
        <w:spacing w:line="560" w:lineRule="exact"/>
        <w:rPr>
          <w:rFonts w:ascii="仿宋_GB2312" w:eastAsia="仿宋_GB2312"/>
          <w:sz w:val="28"/>
          <w:szCs w:val="28"/>
          <w:u w:val="single"/>
        </w:rPr>
      </w:pPr>
      <w:r>
        <w:rPr>
          <w:rFonts w:hint="eastAsia" w:ascii="仿宋_GB2312" w:eastAsia="仿宋_GB2312"/>
          <w:sz w:val="28"/>
          <w:szCs w:val="28"/>
        </w:rPr>
        <w:t xml:space="preserve">      4．技术服务质量要求：</w:t>
      </w:r>
      <w:r>
        <w:rPr>
          <w:rFonts w:hint="eastAsia" w:ascii="仿宋_GB2312" w:eastAsia="仿宋_GB2312"/>
          <w:sz w:val="28"/>
          <w:szCs w:val="28"/>
          <w:u w:val="single"/>
        </w:rPr>
        <w:t xml:space="preserve">达到《航站楼绿化摆放管理标准》、《航站楼绿化养护管理标准》、《硬质景观技术要求》、《航站楼景观布置管理标准》和《航站楼花堆摆放技术规范要求》等相关文件要求。 </w:t>
      </w:r>
    </w:p>
    <w:p>
      <w:pPr>
        <w:spacing w:line="560" w:lineRule="exact"/>
        <w:ind w:firstLine="840" w:firstLineChars="300"/>
        <w:rPr>
          <w:rFonts w:ascii="仿宋_GB2312" w:eastAsia="仿宋_GB2312"/>
          <w:sz w:val="28"/>
          <w:szCs w:val="28"/>
          <w:u w:val="single"/>
        </w:rPr>
      </w:pPr>
      <w:r>
        <w:rPr>
          <w:rFonts w:hint="eastAsia" w:ascii="仿宋_GB2312" w:eastAsia="仿宋_GB2312"/>
          <w:sz w:val="28"/>
          <w:szCs w:val="28"/>
        </w:rPr>
        <w:t xml:space="preserve">5．技术服务质量期限要求： </w:t>
      </w:r>
      <w:r>
        <w:rPr>
          <w:rFonts w:hint="eastAsia" w:ascii="仿宋_GB2312" w:eastAsia="仿宋_GB2312"/>
          <w:sz w:val="28"/>
          <w:szCs w:val="28"/>
          <w:u w:val="single"/>
        </w:rPr>
        <w:t xml:space="preserve">同服务期限一致。  </w:t>
      </w:r>
    </w:p>
    <w:p>
      <w:pPr>
        <w:spacing w:line="560" w:lineRule="exact"/>
        <w:rPr>
          <w:rFonts w:ascii="仿宋_GB2312" w:eastAsia="仿宋_GB2312"/>
          <w:sz w:val="28"/>
          <w:szCs w:val="28"/>
        </w:rPr>
      </w:pPr>
      <w:r>
        <w:rPr>
          <w:rFonts w:hint="eastAsia" w:ascii="仿宋_GB2312" w:eastAsia="仿宋_GB2312"/>
          <w:sz w:val="28"/>
          <w:szCs w:val="28"/>
        </w:rPr>
        <w:t xml:space="preserve">    第三条：为保证乙方有效进行技术服务工作，甲方应当向乙方提供下列工作条件和协作事项：</w:t>
      </w:r>
    </w:p>
    <w:p>
      <w:pPr>
        <w:spacing w:line="560" w:lineRule="exact"/>
        <w:rPr>
          <w:rFonts w:ascii="仿宋_GB2312" w:eastAsia="仿宋_GB2312"/>
          <w:sz w:val="28"/>
          <w:szCs w:val="28"/>
          <w:u w:val="single"/>
        </w:rPr>
      </w:pPr>
      <w:r>
        <w:rPr>
          <w:rFonts w:hint="eastAsia" w:ascii="仿宋_GB2312" w:eastAsia="仿宋_GB2312"/>
          <w:sz w:val="28"/>
          <w:szCs w:val="28"/>
        </w:rPr>
        <w:t xml:space="preserve">      1．提供技术资料：</w:t>
      </w:r>
    </w:p>
    <w:p>
      <w:pPr>
        <w:adjustRightInd w:val="0"/>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 xml:space="preserve">  提供《硬质景观技术要求》、《航站楼绿化摆放管理标准》、《航站楼绿化养护管理标准》、《航站楼景观布置管理标准》、《航站楼花堆摆放技术规范要求》等要求文件。</w:t>
      </w:r>
    </w:p>
    <w:p>
      <w:pPr>
        <w:spacing w:line="560" w:lineRule="exact"/>
        <w:rPr>
          <w:rFonts w:ascii="仿宋_GB2312" w:eastAsia="仿宋_GB2312"/>
          <w:sz w:val="28"/>
          <w:szCs w:val="28"/>
        </w:rPr>
      </w:pPr>
      <w:r>
        <w:rPr>
          <w:rFonts w:hint="eastAsia" w:ascii="仿宋_GB2312" w:eastAsia="仿宋_GB2312"/>
          <w:sz w:val="28"/>
          <w:szCs w:val="28"/>
        </w:rPr>
        <w:t xml:space="preserve">      2．提供工作条件：</w:t>
      </w:r>
    </w:p>
    <w:p>
      <w:pPr>
        <w:spacing w:line="560" w:lineRule="exact"/>
        <w:ind w:left="840" w:hanging="840" w:hangingChars="300"/>
        <w:rPr>
          <w:rFonts w:ascii="仿宋_GB2312" w:eastAsia="仿宋_GB2312"/>
          <w:sz w:val="28"/>
          <w:szCs w:val="28"/>
        </w:rPr>
      </w:pPr>
      <w:r>
        <w:rPr>
          <w:rFonts w:hint="eastAsia" w:ascii="仿宋_GB2312" w:eastAsia="仿宋_GB2312"/>
          <w:sz w:val="28"/>
          <w:szCs w:val="28"/>
        </w:rPr>
        <w:t xml:space="preserve">    （1）协助乙方在履行本合同时与相关部门进行协调。</w:t>
      </w:r>
    </w:p>
    <w:p>
      <w:pPr>
        <w:spacing w:line="560" w:lineRule="exact"/>
        <w:ind w:left="630" w:leftChars="300"/>
        <w:rPr>
          <w:rFonts w:ascii="仿宋_GB2312" w:eastAsia="仿宋_GB2312"/>
          <w:sz w:val="28"/>
          <w:szCs w:val="28"/>
        </w:rPr>
      </w:pPr>
      <w:r>
        <w:rPr>
          <w:rFonts w:hint="eastAsia" w:ascii="仿宋_GB2312" w:eastAsia="仿宋_GB2312"/>
          <w:sz w:val="28"/>
          <w:szCs w:val="28"/>
        </w:rPr>
        <w:t>（2）协助乙方办理航站楼盆花摆放工作所需的控制区通行证、饭卡及停车证相关证件。</w:t>
      </w:r>
    </w:p>
    <w:p>
      <w:pPr>
        <w:spacing w:line="560" w:lineRule="exact"/>
        <w:rPr>
          <w:rFonts w:ascii="仿宋_GB2312" w:eastAsia="仿宋_GB2312"/>
          <w:sz w:val="28"/>
          <w:szCs w:val="28"/>
        </w:rPr>
      </w:pPr>
      <w:r>
        <w:rPr>
          <w:rFonts w:hint="eastAsia" w:ascii="仿宋_GB2312" w:eastAsia="仿宋_GB2312"/>
          <w:sz w:val="28"/>
          <w:szCs w:val="28"/>
        </w:rPr>
        <w:t xml:space="preserve">      3．甲方提供上述工作条件和协作事项的时间及方式：</w:t>
      </w:r>
      <w:r>
        <w:rPr>
          <w:rFonts w:hint="eastAsia" w:ascii="仿宋_GB2312" w:eastAsia="仿宋_GB2312"/>
          <w:sz w:val="28"/>
          <w:szCs w:val="28"/>
          <w:u w:val="single"/>
        </w:rPr>
        <w:t xml:space="preserve"> 合同服务期内甲方需派遣一位负责对接此项目的人员【姓名：   身份证号：    】与乙方联系人进行及时的沟通及协助</w:t>
      </w:r>
      <w:r>
        <w:rPr>
          <w:rFonts w:hint="eastAsia" w:ascii="仿宋_GB2312" w:eastAsia="仿宋_GB2312"/>
          <w:sz w:val="28"/>
          <w:szCs w:val="28"/>
        </w:rPr>
        <w:t>。</w:t>
      </w:r>
    </w:p>
    <w:p>
      <w:pPr>
        <w:adjustRightInd w:val="0"/>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第四条：乙方的权利和义务：</w:t>
      </w:r>
    </w:p>
    <w:p>
      <w:pPr>
        <w:adjustRightInd w:val="0"/>
        <w:snapToGrid w:val="0"/>
        <w:spacing w:line="360" w:lineRule="auto"/>
        <w:ind w:firstLine="560" w:firstLineChars="200"/>
        <w:rPr>
          <w:rFonts w:ascii="仿宋_GB2312" w:eastAsia="仿宋_GB2312"/>
          <w:sz w:val="28"/>
          <w:szCs w:val="28"/>
        </w:rPr>
      </w:pPr>
      <w:r>
        <w:rPr>
          <w:rFonts w:ascii="仿宋_GB2312" w:eastAsia="仿宋_GB2312"/>
          <w:sz w:val="28"/>
          <w:szCs w:val="28"/>
        </w:rPr>
        <w:t>1、乙方须按甲方招标文件、乙方的投标文件及甲方要求委派乙方的项目经理，由乙方的项目经理全权负责具体履行本合同约定所提供的在花堆摆放管理工作、及对乙方工作人员的管理、与乙方对接各种事宜等各种具体的事务。</w:t>
      </w:r>
    </w:p>
    <w:p>
      <w:pPr>
        <w:adjustRightInd w:val="0"/>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乙方项目经理的任免必须事先经由甲方审核同意。乙方项目经理将全权代表乙方就乙方按本合同约定所提供的在花堆摆放管理工作、对乙方工作人员的管理以及乙方在本合同项下义务所涉及的所有事项，且代表乙方与甲方保持密切联系，代表乙方接收通知书等书面文件，代表乙方处理在甲方发生的各种突发事件等事宜，乙方对上述项目经理所做的事宜都予以承认与认可。甲方有权信赖乙方主要代表行使上述权利的权威性、有效性、合法性。</w:t>
      </w:r>
    </w:p>
    <w:p>
      <w:pPr>
        <w:adjustRightInd w:val="0"/>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乙方可随时书面通知甲方终止乙方项目经理的任命，但在这种情况下，乙方须提前【</w:t>
      </w:r>
      <w:r>
        <w:rPr>
          <w:rFonts w:ascii="仿宋_GB2312" w:eastAsia="仿宋_GB2312"/>
          <w:sz w:val="28"/>
          <w:szCs w:val="28"/>
        </w:rPr>
        <w:t>7】日书面通知甲方，经甲方审核后【3】日内，乙方将新的项目经理任命情况书面提交甲方备案。</w:t>
      </w:r>
    </w:p>
    <w:p>
      <w:pPr>
        <w:adjustRightInd w:val="0"/>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若在本合同履行期限内，甲方发现乙方的项目经理不履行职责，不遵守甲方的相关制度规定，不服从甲方的管理，甲方有权向乙方提出更换项目经理的请求，乙方在收到甲方书面通知之日起【</w:t>
      </w:r>
      <w:r>
        <w:rPr>
          <w:rFonts w:ascii="仿宋_GB2312" w:eastAsia="仿宋_GB2312"/>
          <w:sz w:val="28"/>
          <w:szCs w:val="28"/>
        </w:rPr>
        <w:t>3】日内予以书面答复，并明确具体的整改意见或者整改措施。若乙方在收到甲方书面通知之日起【3】日内不予以答复，则视为同意甲方的意见，乙方需在同意之日起【7】日内</w:t>
      </w:r>
      <w:r>
        <w:rPr>
          <w:rFonts w:hint="eastAsia" w:ascii="仿宋_GB2312" w:eastAsia="仿宋_GB2312"/>
          <w:sz w:val="28"/>
          <w:szCs w:val="28"/>
        </w:rPr>
        <w:t>作出新的人员调整。若乙方在同意之日起【</w:t>
      </w:r>
      <w:r>
        <w:rPr>
          <w:rFonts w:ascii="仿宋_GB2312" w:eastAsia="仿宋_GB2312"/>
          <w:sz w:val="28"/>
          <w:szCs w:val="28"/>
        </w:rPr>
        <w:t>7】日内未</w:t>
      </w:r>
      <w:r>
        <w:rPr>
          <w:rFonts w:hint="eastAsia" w:ascii="仿宋_GB2312" w:eastAsia="仿宋_GB2312"/>
          <w:sz w:val="28"/>
          <w:szCs w:val="28"/>
        </w:rPr>
        <w:t>作出新的调整，甲方有权解除合同，并要求乙方承担【全部】违约责任，甲方有权先从履约保证金中扣除，不足部分由乙方予以补足。</w:t>
      </w:r>
    </w:p>
    <w:p>
      <w:pPr>
        <w:adjustRightInd w:val="0"/>
        <w:snapToGrid w:val="0"/>
        <w:spacing w:line="360" w:lineRule="auto"/>
        <w:ind w:firstLine="560" w:firstLineChars="200"/>
        <w:rPr>
          <w:rFonts w:ascii="仿宋_GB2312" w:eastAsia="仿宋_GB2312"/>
          <w:sz w:val="28"/>
          <w:szCs w:val="28"/>
        </w:rPr>
      </w:pPr>
      <w:r>
        <w:rPr>
          <w:rFonts w:ascii="仿宋_GB2312" w:eastAsia="仿宋_GB2312"/>
          <w:sz w:val="28"/>
          <w:szCs w:val="28"/>
        </w:rPr>
        <w:t>2、乙方应及时完成本合同项下的花堆摆放、更换与养护工作，服从甲方的日常管理，配合甲方定期的考核。</w:t>
      </w:r>
    </w:p>
    <w:p>
      <w:pPr>
        <w:adjustRightInd w:val="0"/>
        <w:snapToGrid w:val="0"/>
        <w:spacing w:line="360" w:lineRule="auto"/>
        <w:ind w:firstLine="560" w:firstLineChars="200"/>
        <w:rPr>
          <w:rFonts w:ascii="仿宋_GB2312" w:eastAsia="仿宋_GB2312"/>
          <w:sz w:val="28"/>
          <w:szCs w:val="28"/>
        </w:rPr>
      </w:pPr>
      <w:r>
        <w:rPr>
          <w:rFonts w:ascii="仿宋_GB2312" w:eastAsia="仿宋_GB2312"/>
          <w:sz w:val="28"/>
          <w:szCs w:val="28"/>
        </w:rPr>
        <w:t>3、乙方必须严格按本合同条款、招投标要求、租摆服务质量标准及相关规定，精心组织摆放，确保服务质量，承担设施、人员安全和公共安全责任。严格履行投标书中优惠承诺、投标书及询标答复有关承诺。</w:t>
      </w:r>
    </w:p>
    <w:p>
      <w:pPr>
        <w:adjustRightInd w:val="0"/>
        <w:snapToGrid w:val="0"/>
        <w:spacing w:line="360" w:lineRule="auto"/>
        <w:ind w:firstLine="560" w:firstLineChars="200"/>
        <w:rPr>
          <w:rFonts w:ascii="仿宋_GB2312" w:eastAsia="仿宋_GB2312"/>
          <w:sz w:val="28"/>
          <w:szCs w:val="28"/>
        </w:rPr>
      </w:pPr>
      <w:r>
        <w:rPr>
          <w:rFonts w:ascii="仿宋_GB2312" w:eastAsia="仿宋_GB2312"/>
          <w:sz w:val="28"/>
          <w:szCs w:val="28"/>
        </w:rPr>
        <w:t>4、乙方制定每个节假日的花堆摆放工作计划，包括各类养护管理措施（如施肥、修剪、病虫害防治等）、质量安全保证、应急管理（抗旱、防汛、抗台、抗寒、抗雪、防火安全、作业安全等）、重点技术措施；上述计划需提前【7】日向甲方提出书面申请，经甲方审核通过后【3】日内开始实施。若发现上述计划存在不合理之处，甲方提出修改意见，乙方在收到甲方修改意见之日起【2】日内需整改完成，若整改仍不合理或者未按时完成整改，甲方有权扣除乙方【0.5%】的履约保证金。</w:t>
      </w:r>
    </w:p>
    <w:p>
      <w:pPr>
        <w:adjustRightInd w:val="0"/>
        <w:snapToGrid w:val="0"/>
        <w:spacing w:line="360" w:lineRule="auto"/>
        <w:ind w:firstLine="560" w:firstLineChars="200"/>
        <w:rPr>
          <w:rFonts w:ascii="仿宋_GB2312" w:eastAsia="仿宋_GB2312"/>
          <w:sz w:val="28"/>
          <w:szCs w:val="28"/>
        </w:rPr>
      </w:pPr>
      <w:r>
        <w:rPr>
          <w:rFonts w:ascii="仿宋_GB2312" w:eastAsia="仿宋_GB2312"/>
          <w:sz w:val="28"/>
          <w:szCs w:val="28"/>
        </w:rPr>
        <w:t>5、乙方根据甲方招标文件、甲方的要求及乙方投标文件的要求，安排摆放管理力量，制定劳动力计划表，做好作业人员及数量的投入、机械设备的投入，做好突击性工作的应急安排等，落实项目经理及摆放作业人员名单。</w:t>
      </w:r>
    </w:p>
    <w:p>
      <w:pPr>
        <w:adjustRightInd w:val="0"/>
        <w:snapToGrid w:val="0"/>
        <w:spacing w:line="360" w:lineRule="auto"/>
        <w:ind w:firstLine="560" w:firstLineChars="200"/>
        <w:rPr>
          <w:rFonts w:ascii="仿宋_GB2312" w:eastAsia="仿宋_GB2312"/>
          <w:sz w:val="28"/>
          <w:szCs w:val="28"/>
        </w:rPr>
      </w:pPr>
      <w:r>
        <w:rPr>
          <w:rFonts w:ascii="仿宋_GB2312" w:eastAsia="仿宋_GB2312"/>
          <w:sz w:val="28"/>
          <w:szCs w:val="28"/>
        </w:rPr>
        <w:t>6、乙方的工作人员必须穿统一工作服</w:t>
      </w:r>
      <w:r>
        <w:rPr>
          <w:rFonts w:hint="eastAsia" w:ascii="仿宋_GB2312" w:eastAsia="仿宋_GB2312"/>
          <w:sz w:val="28"/>
          <w:szCs w:val="28"/>
        </w:rPr>
        <w:t>，在本合同履行期限内，乙方应定期与不定期为其工作人员进行安全知识培训。</w:t>
      </w:r>
    </w:p>
    <w:p>
      <w:pPr>
        <w:adjustRightInd w:val="0"/>
        <w:snapToGrid w:val="0"/>
        <w:spacing w:line="360" w:lineRule="auto"/>
        <w:ind w:firstLine="560" w:firstLineChars="200"/>
        <w:rPr>
          <w:rFonts w:ascii="仿宋_GB2312" w:eastAsia="仿宋_GB2312"/>
          <w:sz w:val="28"/>
          <w:szCs w:val="28"/>
        </w:rPr>
      </w:pPr>
      <w:r>
        <w:rPr>
          <w:rFonts w:ascii="仿宋_GB2312" w:eastAsia="仿宋_GB2312"/>
          <w:sz w:val="28"/>
          <w:szCs w:val="28"/>
        </w:rPr>
        <w:t>7、乙方在中标后【3】日内①必须办理以下特殊保险，该等保险内容包括但不限于因人为或意外引发挂箱坠落而造成的人和物的损失；②高空作业工作</w:t>
      </w:r>
      <w:r>
        <w:rPr>
          <w:rFonts w:hint="eastAsia" w:ascii="仿宋_GB2312" w:eastAsia="仿宋_GB2312"/>
          <w:sz w:val="28"/>
          <w:szCs w:val="28"/>
        </w:rPr>
        <w:t>人员的人身意外伤害保险；③乙方在办理完上述保险之日起【</w:t>
      </w:r>
      <w:r>
        <w:rPr>
          <w:rFonts w:ascii="仿宋_GB2312" w:eastAsia="仿宋_GB2312"/>
          <w:sz w:val="28"/>
          <w:szCs w:val="28"/>
        </w:rPr>
        <w:t>3】日内将保险单复印件报甲方备案。若乙方未在本合同约定的时间内办理完毕上述保险，甲方有权解除本合同，并全额扣除乙方的履约保证金。</w:t>
      </w:r>
    </w:p>
    <w:p>
      <w:pPr>
        <w:adjustRightInd w:val="0"/>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8、乙方在搬运盆花（包含花器等物品）过程中需遵守甲方相关规章制度的要求，不得在机场范围内随意丢弃杂物，若导致甲方遭受第三方投诉或者因乙方丢弃行为导致第三方遭受财产、人身损害，使得甲方被第三方索赔，甲方有权在承担该等责任后向乙方追偿，乙方必须向甲方承担该等实际损失，甲方有权先扣除履约保证金，若履约保证金不足以弥补该等损失，则不足部分乙方予以补足。</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9、乙方必须与其委派到甲方的工作人员或者委派人员依法缔结劳动合同关系，遵守《中华人民共和国劳动法》、《中华人民共和国劳动合同法》及相关法律法规，履行用人单位义务，包括但不限于依约支付工资，依法为每一位员工办理和缴纳社会保险</w:t>
      </w:r>
      <w:r>
        <w:rPr>
          <w:rFonts w:ascii="仿宋_GB2312" w:eastAsia="仿宋_GB2312"/>
          <w:sz w:val="28"/>
          <w:szCs w:val="28"/>
        </w:rPr>
        <w:t xml:space="preserve">(养老保险、失业保险、工作保险、生育保险、医疗保险) </w:t>
      </w:r>
      <w:r>
        <w:rPr>
          <w:rFonts w:hint="eastAsia" w:ascii="仿宋_GB2312" w:eastAsia="仿宋_GB2312"/>
          <w:sz w:val="28"/>
          <w:szCs w:val="28"/>
        </w:rPr>
        <w:t>，提供劳动合同规定的劳动条件和福利待遇。乙方工作人员或者委派人员与乙方发生的一切劳动纠纷及其它争议均由乙方妥善处理，与甲方无任何关系。</w:t>
      </w:r>
    </w:p>
    <w:p>
      <w:pPr>
        <w:spacing w:line="360" w:lineRule="auto"/>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0、乙方应当按照甲方的要求定期与不定期给乙方的工作人员开展培训，培训内容除了与业务有关的内容外，还包括安全、通行证的使用等各种培训，并定期做好相关台账，以便甲方进行检查。</w:t>
      </w:r>
    </w:p>
    <w:p>
      <w:pPr>
        <w:spacing w:line="360" w:lineRule="auto"/>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1、乙方按照甲方相关规章制度的要求，若需要办理相关通行证、停车证等证件，乙方根据甲方相关部门的要求统一进行考试、审查，经甲方相关部门认可后方可申请该等证件，办理这些证件产生的费用均由乙方自行承担。在获得该等证件后，乙方应按照甲方的相关规章制度执行，若因违法甲方相关规章制度而被处罚，乙方也应及时处理该等处罚事宜。甲方有权扣除乙方年度总费用的</w:t>
      </w:r>
      <w:r>
        <w:rPr>
          <w:rFonts w:ascii="仿宋_GB2312" w:eastAsia="仿宋_GB2312"/>
          <w:sz w:val="28"/>
          <w:szCs w:val="28"/>
        </w:rPr>
        <w:t>0.5%。</w:t>
      </w:r>
    </w:p>
    <w:p>
      <w:pPr>
        <w:spacing w:line="560" w:lineRule="exact"/>
        <w:ind w:firstLine="560" w:firstLineChars="200"/>
        <w:rPr>
          <w:rFonts w:ascii="仿宋_GB2312" w:eastAsia="仿宋_GB2312"/>
          <w:sz w:val="28"/>
          <w:szCs w:val="28"/>
        </w:rPr>
      </w:pPr>
    </w:p>
    <w:p>
      <w:pPr>
        <w:spacing w:line="560" w:lineRule="exact"/>
        <w:rPr>
          <w:rFonts w:ascii="仿宋_GB2312" w:eastAsia="仿宋_GB2312"/>
          <w:sz w:val="28"/>
          <w:szCs w:val="28"/>
        </w:rPr>
      </w:pPr>
      <w:r>
        <w:rPr>
          <w:rFonts w:hint="eastAsia" w:ascii="仿宋_GB2312" w:eastAsia="仿宋_GB2312"/>
          <w:sz w:val="28"/>
          <w:szCs w:val="28"/>
        </w:rPr>
        <w:t xml:space="preserve">    第五条：甲方向乙方支付技术服务报酬及支付方式为：</w:t>
      </w:r>
    </w:p>
    <w:p>
      <w:pPr>
        <w:tabs>
          <w:tab w:val="left" w:pos="1321"/>
        </w:tabs>
        <w:spacing w:line="360" w:lineRule="auto"/>
        <w:ind w:firstLine="560" w:firstLineChars="200"/>
        <w:jc w:val="left"/>
        <w:rPr>
          <w:rFonts w:ascii="仿宋_GB2312" w:eastAsia="仿宋_GB2312"/>
          <w:sz w:val="28"/>
          <w:szCs w:val="28"/>
          <w:u w:val="single"/>
        </w:rPr>
      </w:pPr>
      <w:r>
        <w:rPr>
          <w:rFonts w:hint="eastAsia" w:ascii="仿宋_GB2312" w:eastAsia="仿宋_GB2312"/>
          <w:sz w:val="28"/>
          <w:szCs w:val="28"/>
        </w:rPr>
        <w:t xml:space="preserve">     1．本项目报酬（手册编制及整体优化设计经费）：小写：人民币    元，大写：     元整（其中：不含税金额为：     元，税额为：   元。），本合同为总价合同，包括开展项目所需的调研、资料、评审等所有费用。甲方不再向乙方支付其他任何费用。乙方开具增值税专用发票，在合同有效期限内，若因国家税收政策调整而引起的增值税税率变化的，应按照国家税收政策调整，合同总价变更为合同不含增值税咨询服务费与新增值税税率计算的合计金额。</w:t>
      </w:r>
    </w:p>
    <w:p>
      <w:pPr>
        <w:spacing w:line="560" w:lineRule="exact"/>
        <w:rPr>
          <w:rFonts w:ascii="仿宋_GB2312" w:eastAsia="仿宋_GB2312"/>
          <w:sz w:val="28"/>
          <w:szCs w:val="28"/>
        </w:rPr>
      </w:pPr>
      <w:r>
        <w:rPr>
          <w:rFonts w:hint="eastAsia" w:ascii="仿宋_GB2312" w:eastAsia="仿宋_GB2312"/>
          <w:sz w:val="28"/>
          <w:szCs w:val="28"/>
        </w:rPr>
        <w:t xml:space="preserve">     2．技术服务费由甲方</w:t>
      </w:r>
      <w:r>
        <w:rPr>
          <w:rFonts w:hint="eastAsia" w:ascii="仿宋_GB2312" w:eastAsia="仿宋_GB2312"/>
          <w:sz w:val="28"/>
          <w:szCs w:val="28"/>
          <w:u w:val="single"/>
        </w:rPr>
        <w:t xml:space="preserve">     一次     </w:t>
      </w:r>
      <w:r>
        <w:rPr>
          <w:rFonts w:hint="eastAsia" w:ascii="仿宋_GB2312" w:eastAsia="仿宋_GB2312"/>
          <w:sz w:val="28"/>
          <w:szCs w:val="28"/>
        </w:rPr>
        <w:t xml:space="preserve">（一次或分期）支付乙方。 </w:t>
      </w:r>
    </w:p>
    <w:p>
      <w:pPr>
        <w:spacing w:line="560" w:lineRule="exact"/>
        <w:rPr>
          <w:rFonts w:ascii="仿宋_GB2312" w:eastAsia="仿宋_GB2312"/>
          <w:sz w:val="28"/>
          <w:szCs w:val="28"/>
          <w:u w:val="single"/>
        </w:rPr>
      </w:pPr>
      <w:r>
        <w:rPr>
          <w:rFonts w:hint="eastAsia" w:ascii="仿宋_GB2312" w:eastAsia="仿宋_GB2312"/>
          <w:sz w:val="28"/>
          <w:szCs w:val="28"/>
        </w:rPr>
        <w:t xml:space="preserve">     具体支付方式和时间如下：</w:t>
      </w:r>
    </w:p>
    <w:p>
      <w:pPr>
        <w:spacing w:line="560" w:lineRule="exact"/>
        <w:ind w:left="840" w:hanging="840" w:hangingChars="300"/>
        <w:jc w:val="left"/>
        <w:rPr>
          <w:rFonts w:ascii="仿宋_GB2312" w:hAnsi="Times New Roman" w:eastAsia="仿宋_GB2312"/>
          <w:sz w:val="28"/>
          <w:szCs w:val="28"/>
        </w:rPr>
      </w:pPr>
      <w:r>
        <w:rPr>
          <w:rFonts w:hint="eastAsia" w:ascii="仿宋_GB2312" w:eastAsia="仿宋_GB2312"/>
          <w:sz w:val="28"/>
          <w:szCs w:val="28"/>
        </w:rPr>
        <w:t xml:space="preserve">      在合同服务期到期前10天，</w:t>
      </w:r>
      <w:r>
        <w:rPr>
          <w:rFonts w:hint="eastAsia" w:ascii="仿宋_GB2312" w:hAnsi="Times New Roman" w:eastAsia="仿宋_GB2312"/>
          <w:sz w:val="28"/>
          <w:szCs w:val="28"/>
        </w:rPr>
        <w:t>乙方得到甲方书面认可后一次性付款。</w:t>
      </w:r>
    </w:p>
    <w:p>
      <w:pPr>
        <w:spacing w:line="560" w:lineRule="exact"/>
        <w:rPr>
          <w:rFonts w:ascii="仿宋_GB2312" w:eastAsia="仿宋_GB2312"/>
          <w:sz w:val="28"/>
          <w:szCs w:val="28"/>
          <w:u w:val="single"/>
        </w:rPr>
      </w:pPr>
    </w:p>
    <w:p>
      <w:pPr>
        <w:spacing w:line="560" w:lineRule="exact"/>
        <w:rPr>
          <w:rFonts w:ascii="仿宋_GB2312" w:eastAsia="仿宋_GB2312"/>
          <w:sz w:val="28"/>
          <w:szCs w:val="28"/>
        </w:rPr>
      </w:pPr>
      <w:r>
        <w:rPr>
          <w:rFonts w:hint="eastAsia" w:ascii="仿宋_GB2312" w:eastAsia="仿宋_GB2312"/>
          <w:sz w:val="28"/>
          <w:szCs w:val="28"/>
        </w:rPr>
        <w:t xml:space="preserve">      乙方开户银行名称、地址和帐号为：</w:t>
      </w:r>
    </w:p>
    <w:p>
      <w:pPr>
        <w:spacing w:line="560" w:lineRule="exact"/>
        <w:rPr>
          <w:rFonts w:ascii="仿宋_GB2312" w:eastAsia="仿宋_GB2312"/>
          <w:sz w:val="28"/>
          <w:szCs w:val="28"/>
          <w:u w:val="single"/>
        </w:rPr>
      </w:pPr>
      <w:r>
        <w:rPr>
          <w:rFonts w:hint="eastAsia" w:ascii="仿宋_GB2312" w:eastAsia="仿宋_GB2312"/>
          <w:sz w:val="28"/>
          <w:szCs w:val="28"/>
        </w:rPr>
        <w:t xml:space="preserve">         开户银行：</w:t>
      </w:r>
      <w:r>
        <w:rPr>
          <w:rFonts w:hint="eastAsia" w:ascii="仿宋_GB2312" w:eastAsia="仿宋_GB2312"/>
          <w:sz w:val="28"/>
          <w:szCs w:val="28"/>
          <w:u w:val="single"/>
        </w:rPr>
        <w:t xml:space="preserve">                                       </w:t>
      </w:r>
    </w:p>
    <w:p>
      <w:pPr>
        <w:spacing w:line="560" w:lineRule="exact"/>
        <w:rPr>
          <w:rFonts w:ascii="仿宋_GB2312" w:eastAsia="仿宋_GB2312"/>
          <w:sz w:val="28"/>
          <w:szCs w:val="28"/>
          <w:u w:val="single"/>
        </w:rPr>
      </w:pPr>
      <w:r>
        <w:rPr>
          <w:rFonts w:hint="eastAsia" w:ascii="仿宋_GB2312" w:eastAsia="仿宋_GB2312"/>
          <w:sz w:val="28"/>
          <w:szCs w:val="28"/>
        </w:rPr>
        <w:t xml:space="preserve">         地址：</w:t>
      </w:r>
      <w:r>
        <w:rPr>
          <w:rFonts w:hint="eastAsia" w:ascii="仿宋_GB2312" w:eastAsia="仿宋_GB2312"/>
          <w:sz w:val="28"/>
          <w:szCs w:val="28"/>
          <w:u w:val="single"/>
        </w:rPr>
        <w:t xml:space="preserve">                                           </w:t>
      </w:r>
    </w:p>
    <w:p>
      <w:pPr>
        <w:spacing w:line="560" w:lineRule="exact"/>
        <w:rPr>
          <w:rFonts w:ascii="仿宋_GB2312" w:eastAsia="仿宋_GB2312"/>
          <w:sz w:val="28"/>
          <w:szCs w:val="28"/>
          <w:u w:val="single"/>
        </w:rPr>
      </w:pPr>
      <w:r>
        <w:rPr>
          <w:rFonts w:hint="eastAsia" w:ascii="仿宋_GB2312" w:eastAsia="仿宋_GB2312"/>
          <w:sz w:val="28"/>
          <w:szCs w:val="28"/>
        </w:rPr>
        <w:t xml:space="preserve">         帐号：</w:t>
      </w:r>
      <w:r>
        <w:rPr>
          <w:rFonts w:hint="eastAsia" w:ascii="仿宋_GB2312" w:eastAsia="仿宋_GB2312"/>
          <w:sz w:val="28"/>
          <w:szCs w:val="28"/>
          <w:u w:val="single"/>
        </w:rPr>
        <w:t xml:space="preserve">                                           </w:t>
      </w:r>
    </w:p>
    <w:p>
      <w:pPr>
        <w:spacing w:line="560" w:lineRule="exact"/>
        <w:rPr>
          <w:rFonts w:ascii="仿宋_GB2312" w:eastAsia="仿宋_GB2312"/>
          <w:sz w:val="28"/>
          <w:szCs w:val="28"/>
        </w:rPr>
      </w:pPr>
      <w:r>
        <w:rPr>
          <w:rFonts w:hint="eastAsia" w:ascii="仿宋_GB2312" w:eastAsia="仿宋_GB2312"/>
          <w:sz w:val="28"/>
          <w:szCs w:val="28"/>
        </w:rPr>
        <w:t xml:space="preserve">    第六条：履行本合同应遵守的保密义务如下：</w:t>
      </w:r>
    </w:p>
    <w:p>
      <w:pPr>
        <w:spacing w:line="560" w:lineRule="exact"/>
        <w:jc w:val="left"/>
        <w:rPr>
          <w:rFonts w:ascii="仿宋_GB2312" w:hAnsi="Times New Roman" w:eastAsia="仿宋_GB2312"/>
          <w:sz w:val="28"/>
          <w:szCs w:val="28"/>
        </w:rPr>
      </w:pPr>
      <w:r>
        <w:rPr>
          <w:rFonts w:hint="eastAsia" w:ascii="仿宋_GB2312" w:hAnsi="Times New Roman" w:eastAsia="仿宋_GB2312"/>
          <w:sz w:val="28"/>
          <w:szCs w:val="28"/>
        </w:rPr>
        <w:t>1、没有甲方事先书面同意，乙方不得将成果</w:t>
      </w:r>
      <w:r>
        <w:rPr>
          <w:rFonts w:hint="eastAsia" w:ascii="仿宋_GB2312" w:eastAsia="仿宋_GB2312"/>
          <w:sz w:val="28"/>
          <w:szCs w:val="28"/>
        </w:rPr>
        <w:t>文件以及涉及到本项目的所有资料提</w:t>
      </w:r>
      <w:r>
        <w:rPr>
          <w:rFonts w:hint="eastAsia" w:ascii="仿宋_GB2312" w:hAnsi="Times New Roman" w:eastAsia="仿宋_GB2312"/>
          <w:sz w:val="28"/>
          <w:szCs w:val="28"/>
        </w:rPr>
        <w:t>供给与履行本合同无关的任何人。即使向与履行本合同有关的人员提供，也必须保密并限于履行合同必须的范围。</w:t>
      </w:r>
    </w:p>
    <w:p>
      <w:pPr>
        <w:spacing w:line="560" w:lineRule="exact"/>
        <w:jc w:val="left"/>
        <w:rPr>
          <w:rFonts w:ascii="仿宋_GB2312" w:hAnsi="Times New Roman" w:eastAsia="仿宋_GB2312"/>
          <w:sz w:val="28"/>
          <w:szCs w:val="28"/>
        </w:rPr>
      </w:pPr>
      <w:r>
        <w:rPr>
          <w:rFonts w:hint="eastAsia" w:ascii="仿宋_GB2312" w:hAnsi="Times New Roman" w:eastAsia="仿宋_GB2312"/>
          <w:sz w:val="28"/>
          <w:szCs w:val="28"/>
        </w:rPr>
        <w:t>2、没有甲方事先书面同意，除了履行本合同之外，乙方不应使用与本项目有关的任何文件和资料。</w:t>
      </w:r>
    </w:p>
    <w:p>
      <w:pPr>
        <w:spacing w:line="560" w:lineRule="exact"/>
        <w:jc w:val="left"/>
        <w:rPr>
          <w:rFonts w:ascii="仿宋_GB2312" w:hAnsi="Times New Roman" w:eastAsia="仿宋_GB2312"/>
          <w:sz w:val="28"/>
          <w:szCs w:val="28"/>
        </w:rPr>
      </w:pPr>
      <w:r>
        <w:rPr>
          <w:rFonts w:hint="eastAsia" w:ascii="仿宋_GB2312" w:hAnsi="Times New Roman" w:eastAsia="仿宋_GB2312"/>
          <w:sz w:val="28"/>
          <w:szCs w:val="28"/>
        </w:rPr>
        <w:t>3、本项目所涉及的文件和资料是甲方的财产。如果甲方有要求，乙方在完成合同后应将这些文件及全部复制件还给甲方。</w:t>
      </w:r>
    </w:p>
    <w:p>
      <w:pPr>
        <w:spacing w:line="560" w:lineRule="exact"/>
        <w:rPr>
          <w:rFonts w:ascii="仿宋_GB2312" w:eastAsia="仿宋_GB2312"/>
          <w:sz w:val="28"/>
          <w:szCs w:val="28"/>
        </w:rPr>
      </w:pPr>
      <w:r>
        <w:rPr>
          <w:rFonts w:hint="eastAsia" w:ascii="仿宋_GB2312" w:hAnsi="Times New Roman" w:eastAsia="仿宋_GB2312"/>
          <w:sz w:val="28"/>
          <w:szCs w:val="28"/>
        </w:rPr>
        <w:t>4、因乙方泄密造成甲方损失的，甲方将追究其法律责任，并要求乙方赔偿损失，支付甲方违约金人民币十五万元，甲方不承担保密措施费。</w:t>
      </w:r>
      <w:r>
        <w:rPr>
          <w:rFonts w:hint="eastAsia" w:ascii="仿宋_GB2312" w:eastAsia="仿宋_GB2312"/>
          <w:sz w:val="28"/>
          <w:szCs w:val="28"/>
        </w:rPr>
        <w:t xml:space="preserve">  </w:t>
      </w:r>
    </w:p>
    <w:p>
      <w:pPr>
        <w:spacing w:line="560" w:lineRule="exact"/>
        <w:rPr>
          <w:rFonts w:ascii="仿宋_GB2312" w:eastAsia="仿宋_GB2312"/>
          <w:sz w:val="28"/>
          <w:szCs w:val="28"/>
        </w:rPr>
      </w:pPr>
      <w:r>
        <w:rPr>
          <w:rFonts w:hint="eastAsia" w:ascii="仿宋_GB2312" w:eastAsia="仿宋_GB2312"/>
          <w:sz w:val="28"/>
          <w:szCs w:val="28"/>
        </w:rPr>
        <w:t xml:space="preserve">    第七条：本合同的变更必须由双方协商一致，并以书面形式确定。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第八条：双方确定以下列标准和方式对乙方的技术服务工作成果进行验收：</w:t>
      </w:r>
    </w:p>
    <w:p>
      <w:pPr>
        <w:spacing w:line="560" w:lineRule="exact"/>
        <w:jc w:val="left"/>
        <w:rPr>
          <w:rFonts w:ascii="仿宋_GB2312" w:eastAsia="仿宋_GB2312"/>
          <w:sz w:val="28"/>
          <w:szCs w:val="28"/>
        </w:rPr>
      </w:pPr>
      <w:r>
        <w:rPr>
          <w:rFonts w:hint="eastAsia" w:ascii="仿宋_GB2312" w:eastAsia="仿宋_GB2312"/>
          <w:sz w:val="28"/>
          <w:szCs w:val="28"/>
        </w:rPr>
        <w:t xml:space="preserve">     以通过甲方评审为准。若甲方评审通过后，视为验收合格，若甲方评审不通过，视为不合格，则乙方需继续为甲方提供咨询服务，直至通过甲方的评审。</w:t>
      </w:r>
    </w:p>
    <w:p>
      <w:pPr>
        <w:spacing w:line="560" w:lineRule="exact"/>
        <w:rPr>
          <w:rFonts w:ascii="仿宋_GB2312" w:eastAsia="仿宋_GB2312"/>
          <w:sz w:val="28"/>
          <w:szCs w:val="28"/>
        </w:rPr>
      </w:pPr>
      <w:r>
        <w:rPr>
          <w:rFonts w:hint="eastAsia" w:ascii="仿宋_GB2312" w:eastAsia="仿宋_GB2312"/>
          <w:sz w:val="28"/>
          <w:szCs w:val="28"/>
        </w:rPr>
        <w:t xml:space="preserve">   第九条：双方确定：</w:t>
      </w:r>
    </w:p>
    <w:p>
      <w:pPr>
        <w:spacing w:line="560" w:lineRule="exact"/>
        <w:rPr>
          <w:rFonts w:ascii="仿宋_GB2312" w:eastAsia="仿宋_GB2312"/>
          <w:sz w:val="28"/>
          <w:szCs w:val="28"/>
        </w:rPr>
      </w:pPr>
      <w:r>
        <w:rPr>
          <w:rFonts w:hint="eastAsia" w:ascii="仿宋_GB2312" w:eastAsia="仿宋_GB2312"/>
          <w:sz w:val="28"/>
          <w:szCs w:val="28"/>
        </w:rPr>
        <w:t xml:space="preserve">      1．在本合同有效期内，甲方利用乙方提交的技术服务工作成果所完成的新的技术成果，归</w:t>
      </w:r>
      <w:r>
        <w:rPr>
          <w:rFonts w:hint="eastAsia" w:ascii="仿宋_GB2312" w:eastAsia="仿宋_GB2312"/>
          <w:sz w:val="28"/>
          <w:szCs w:val="28"/>
          <w:u w:val="single"/>
        </w:rPr>
        <w:t xml:space="preserve">   </w:t>
      </w:r>
      <w:r>
        <w:rPr>
          <w:rFonts w:hint="eastAsia" w:ascii="仿宋_GB2312" w:eastAsia="仿宋_GB2312"/>
          <w:sz w:val="28"/>
          <w:szCs w:val="28"/>
        </w:rPr>
        <w:t>甲</w:t>
      </w:r>
      <w:r>
        <w:rPr>
          <w:rFonts w:hint="eastAsia" w:ascii="仿宋_GB2312" w:eastAsia="仿宋_GB2312"/>
          <w:sz w:val="28"/>
          <w:szCs w:val="28"/>
          <w:u w:val="single"/>
        </w:rPr>
        <w:t xml:space="preserve">    </w:t>
      </w:r>
      <w:r>
        <w:rPr>
          <w:rFonts w:hint="eastAsia" w:ascii="仿宋_GB2312" w:eastAsia="仿宋_GB2312"/>
          <w:sz w:val="28"/>
          <w:szCs w:val="28"/>
        </w:rPr>
        <w:t>方所有。</w:t>
      </w:r>
    </w:p>
    <w:p>
      <w:pPr>
        <w:spacing w:line="560" w:lineRule="exact"/>
        <w:rPr>
          <w:rFonts w:ascii="仿宋_GB2312" w:eastAsia="仿宋_GB2312"/>
          <w:sz w:val="28"/>
          <w:szCs w:val="28"/>
        </w:rPr>
      </w:pPr>
      <w:r>
        <w:rPr>
          <w:rFonts w:hint="eastAsia" w:ascii="仿宋_GB2312" w:eastAsia="仿宋_GB2312"/>
          <w:sz w:val="28"/>
          <w:szCs w:val="28"/>
        </w:rPr>
        <w:t xml:space="preserve">      2．在本合同有效期内，乙方利用甲方提供的技术资料和工作条件所完成的新的技术成果，归</w:t>
      </w:r>
      <w:r>
        <w:rPr>
          <w:rFonts w:hint="eastAsia" w:ascii="仿宋_GB2312" w:eastAsia="仿宋_GB2312"/>
          <w:sz w:val="28"/>
          <w:szCs w:val="28"/>
          <w:u w:val="single"/>
        </w:rPr>
        <w:t xml:space="preserve">   甲    </w:t>
      </w:r>
      <w:r>
        <w:rPr>
          <w:rFonts w:hint="eastAsia" w:ascii="仿宋_GB2312" w:eastAsia="仿宋_GB2312"/>
          <w:sz w:val="28"/>
          <w:szCs w:val="28"/>
        </w:rPr>
        <w:t>方所有。</w:t>
      </w:r>
    </w:p>
    <w:p>
      <w:pPr>
        <w:spacing w:line="560" w:lineRule="exact"/>
        <w:rPr>
          <w:rFonts w:ascii="仿宋_GB2312" w:eastAsia="仿宋_GB2312"/>
          <w:sz w:val="28"/>
          <w:szCs w:val="28"/>
        </w:rPr>
      </w:pPr>
      <w:r>
        <w:rPr>
          <w:rFonts w:hint="eastAsia" w:ascii="仿宋_GB2312" w:eastAsia="仿宋_GB2312"/>
          <w:sz w:val="28"/>
          <w:szCs w:val="28"/>
        </w:rPr>
        <w:t xml:space="preserve">    第十条：双方确定，按以下约定承担各自的违约责任：</w:t>
      </w:r>
    </w:p>
    <w:p>
      <w:pPr>
        <w:spacing w:line="560" w:lineRule="exact"/>
        <w:rPr>
          <w:rFonts w:ascii="仿宋_GB2312" w:eastAsia="仿宋_GB2312"/>
          <w:sz w:val="28"/>
          <w:szCs w:val="28"/>
        </w:rPr>
      </w:pPr>
      <w:r>
        <w:rPr>
          <w:rFonts w:hint="eastAsia" w:ascii="仿宋_GB2312" w:eastAsia="仿宋_GB2312"/>
          <w:sz w:val="28"/>
          <w:szCs w:val="28"/>
        </w:rPr>
        <w:t>1、违反本合同约定，违约方应当按合同法第一百一十四条、第一百一十六条及其相应的规定承担违约责任。</w:t>
      </w:r>
    </w:p>
    <w:p>
      <w:pPr>
        <w:spacing w:line="560" w:lineRule="exact"/>
        <w:rPr>
          <w:rFonts w:ascii="仿宋_GB2312" w:eastAsia="仿宋_GB2312"/>
          <w:sz w:val="28"/>
          <w:szCs w:val="28"/>
        </w:rPr>
      </w:pPr>
      <w:r>
        <w:rPr>
          <w:rFonts w:hint="eastAsia" w:ascii="仿宋_GB2312" w:eastAsia="仿宋_GB2312"/>
          <w:sz w:val="28"/>
          <w:szCs w:val="28"/>
        </w:rPr>
        <w:t>2、除合同条款规定的情况外，如果乙方没有按照合同规定的时间提供服务并造成后果的，甲方可视乙方配合整改态度酌情从合同价中扣除误期赔偿费。每延误一周的赔偿费按合同总价的百分之一(1％)计收，直至提供合格服务为止。误期赔偿费的最高限额为合同价格的百分之十(10％)。一旦达到误期赔偿费的最高限额不再赔付，甲方有权单方面终止合同，乙方应退还已经收取的所有服务费。</w:t>
      </w:r>
    </w:p>
    <w:p>
      <w:pPr>
        <w:spacing w:line="560" w:lineRule="exact"/>
        <w:rPr>
          <w:rFonts w:ascii="仿宋_GB2312" w:eastAsia="仿宋_GB2312"/>
          <w:sz w:val="28"/>
          <w:szCs w:val="28"/>
        </w:rPr>
      </w:pPr>
      <w:r>
        <w:rPr>
          <w:rFonts w:hint="eastAsia" w:ascii="仿宋_GB2312" w:eastAsia="仿宋_GB2312"/>
          <w:sz w:val="28"/>
          <w:szCs w:val="28"/>
        </w:rPr>
        <w:t>3、除本合同另有规定外，任何一方违反本合同项下义务，应按照我国《合同法》相关规定承担违约责任，向守约方承担赔偿责任。</w:t>
      </w:r>
    </w:p>
    <w:p>
      <w:pPr>
        <w:spacing w:line="560" w:lineRule="exact"/>
        <w:rPr>
          <w:rFonts w:ascii="仿宋_GB2312" w:eastAsia="仿宋_GB2312"/>
          <w:sz w:val="28"/>
          <w:szCs w:val="28"/>
          <w:u w:val="single"/>
        </w:rPr>
      </w:pPr>
      <w:r>
        <w:rPr>
          <w:rFonts w:hint="eastAsia" w:ascii="仿宋_GB2312" w:eastAsia="仿宋_GB2312"/>
          <w:sz w:val="28"/>
          <w:szCs w:val="28"/>
        </w:rPr>
        <w:t xml:space="preserve">   第十一条：双方确定，在本合同有效期内，甲方指定</w:t>
      </w:r>
      <w:r>
        <w:rPr>
          <w:rFonts w:hint="eastAsia" w:ascii="仿宋_GB2312" w:eastAsia="仿宋_GB2312"/>
          <w:sz w:val="28"/>
          <w:szCs w:val="28"/>
          <w:u w:val="single"/>
        </w:rPr>
        <w:t>　　　　　　</w:t>
      </w:r>
    </w:p>
    <w:p>
      <w:pPr>
        <w:spacing w:line="560" w:lineRule="exact"/>
        <w:rPr>
          <w:rFonts w:ascii="仿宋_GB2312" w:eastAsia="仿宋_GB2312"/>
          <w:sz w:val="28"/>
          <w:szCs w:val="28"/>
        </w:rPr>
      </w:pPr>
      <w:r>
        <w:rPr>
          <w:rFonts w:hint="eastAsia" w:ascii="仿宋_GB2312" w:eastAsia="仿宋_GB2312"/>
          <w:sz w:val="28"/>
          <w:szCs w:val="28"/>
        </w:rPr>
        <w:t>为甲方项目联系人，乙方指定</w:t>
      </w:r>
      <w:r>
        <w:rPr>
          <w:rFonts w:hint="eastAsia" w:ascii="仿宋_GB2312" w:eastAsia="仿宋_GB2312"/>
          <w:sz w:val="28"/>
          <w:szCs w:val="28"/>
          <w:u w:val="single"/>
        </w:rPr>
        <w:t>　　　　　　　</w:t>
      </w:r>
      <w:r>
        <w:rPr>
          <w:rFonts w:hint="eastAsia" w:ascii="仿宋_GB2312" w:eastAsia="仿宋_GB2312"/>
          <w:sz w:val="28"/>
          <w:szCs w:val="28"/>
        </w:rPr>
        <w:t>为乙方项目联系人。项目联系人承担以下责任：</w:t>
      </w:r>
    </w:p>
    <w:p>
      <w:pPr>
        <w:spacing w:line="560" w:lineRule="exact"/>
        <w:rPr>
          <w:rFonts w:ascii="仿宋_GB2312" w:eastAsia="仿宋_GB2312"/>
          <w:sz w:val="28"/>
          <w:szCs w:val="28"/>
          <w:u w:val="single"/>
        </w:rPr>
      </w:pPr>
      <w:r>
        <w:rPr>
          <w:rFonts w:hint="eastAsia" w:ascii="仿宋_GB2312" w:eastAsia="仿宋_GB2312"/>
          <w:sz w:val="28"/>
          <w:szCs w:val="28"/>
        </w:rPr>
        <w:t xml:space="preserve">      1．甲方联系人对项目进行全程跟踪，提供乙方相关需求资料，及时沟通满足乙方项目设计相关所需需求，安排项目阶段性汇报及验收。</w:t>
      </w:r>
      <w:r>
        <w:rPr>
          <w:rFonts w:hint="eastAsia" w:ascii="仿宋_GB2312" w:eastAsia="仿宋_GB2312"/>
          <w:sz w:val="28"/>
          <w:szCs w:val="28"/>
          <w:u w:val="single"/>
        </w:rPr>
        <w:t>　　　　 　　　　　　　　　　　　　　　</w:t>
      </w:r>
    </w:p>
    <w:p>
      <w:pPr>
        <w:spacing w:line="560" w:lineRule="exact"/>
        <w:rPr>
          <w:rFonts w:ascii="仿宋_GB2312" w:eastAsia="仿宋_GB2312"/>
          <w:sz w:val="28"/>
          <w:szCs w:val="28"/>
          <w:u w:val="single"/>
        </w:rPr>
      </w:pPr>
      <w:r>
        <w:rPr>
          <w:rFonts w:hint="eastAsia" w:ascii="仿宋_GB2312" w:eastAsia="仿宋_GB2312"/>
          <w:sz w:val="28"/>
          <w:szCs w:val="28"/>
        </w:rPr>
        <w:t xml:space="preserve">      2．乙方联系人要全面了解项目内容、进程，把控项目质量，及时与甲方沟通满足甲方项目设计相关需求，及时反馈甲方项目优化意见。</w:t>
      </w:r>
      <w:r>
        <w:rPr>
          <w:rFonts w:hint="eastAsia" w:ascii="仿宋_GB2312" w:eastAsia="仿宋_GB2312"/>
          <w:sz w:val="28"/>
          <w:szCs w:val="28"/>
          <w:u w:val="single"/>
        </w:rPr>
        <w:t xml:space="preserve">                                               </w:t>
      </w:r>
    </w:p>
    <w:p>
      <w:pPr>
        <w:spacing w:line="560" w:lineRule="exact"/>
        <w:rPr>
          <w:rFonts w:ascii="仿宋_GB2312" w:eastAsia="仿宋_GB2312"/>
          <w:sz w:val="28"/>
          <w:szCs w:val="28"/>
        </w:rPr>
      </w:pPr>
      <w:r>
        <w:rPr>
          <w:rFonts w:hint="eastAsia" w:ascii="仿宋_GB2312" w:eastAsia="仿宋_GB2312"/>
          <w:sz w:val="28"/>
          <w:szCs w:val="28"/>
        </w:rPr>
        <w:t>　　一方变更项目联系人的，应当及时以书面形式通知另一方，未及时通知并影响本合同履行或造成损失的，应承担相应的责任。</w:t>
      </w:r>
    </w:p>
    <w:p>
      <w:pPr>
        <w:spacing w:line="560" w:lineRule="exact"/>
        <w:rPr>
          <w:rFonts w:ascii="仿宋_GB2312" w:eastAsia="仿宋_GB2312"/>
          <w:sz w:val="28"/>
          <w:szCs w:val="28"/>
        </w:rPr>
      </w:pPr>
      <w:r>
        <w:rPr>
          <w:rFonts w:hint="eastAsia" w:ascii="仿宋_GB2312" w:eastAsia="仿宋_GB2312"/>
          <w:sz w:val="28"/>
          <w:szCs w:val="28"/>
        </w:rPr>
        <w:t>第十二条：</w:t>
      </w:r>
    </w:p>
    <w:p>
      <w:pPr>
        <w:spacing w:line="560" w:lineRule="exact"/>
        <w:rPr>
          <w:rFonts w:ascii="仿宋_GB2312" w:eastAsia="仿宋_GB2312"/>
          <w:sz w:val="28"/>
          <w:szCs w:val="28"/>
        </w:rPr>
      </w:pPr>
      <w:r>
        <w:rPr>
          <w:rFonts w:hint="eastAsia" w:ascii="仿宋_GB2312" w:eastAsia="仿宋_GB2312"/>
          <w:sz w:val="28"/>
          <w:szCs w:val="28"/>
        </w:rPr>
        <w:t>1. 在合同有效期内，任何一方因不可抗力事件导致不能履行合同，则合同履行期可延长，其延长期与不可抗力影响期相同。</w:t>
      </w:r>
    </w:p>
    <w:p>
      <w:pPr>
        <w:spacing w:line="560" w:lineRule="exact"/>
        <w:rPr>
          <w:rFonts w:ascii="仿宋_GB2312" w:eastAsia="仿宋_GB2312"/>
          <w:sz w:val="28"/>
          <w:szCs w:val="28"/>
        </w:rPr>
      </w:pPr>
      <w:r>
        <w:rPr>
          <w:rFonts w:hint="eastAsia" w:ascii="仿宋_GB2312" w:eastAsia="仿宋_GB2312"/>
          <w:sz w:val="28"/>
          <w:szCs w:val="28"/>
        </w:rPr>
        <w:t>2. 不可抗力事件发生后，遭遇不可抗力的一方应立即通知对方，并寄送有关官方权威机构出具的证明。</w:t>
      </w:r>
    </w:p>
    <w:p>
      <w:pPr>
        <w:adjustRightInd w:val="0"/>
        <w:snapToGrid w:val="0"/>
        <w:spacing w:line="560" w:lineRule="exact"/>
        <w:rPr>
          <w:rFonts w:ascii="仿宋_GB2312" w:eastAsia="仿宋_GB2312"/>
          <w:sz w:val="28"/>
          <w:szCs w:val="28"/>
        </w:rPr>
      </w:pPr>
      <w:r>
        <w:rPr>
          <w:rFonts w:hint="eastAsia" w:ascii="仿宋_GB2312" w:eastAsia="仿宋_GB2312"/>
          <w:sz w:val="28"/>
          <w:szCs w:val="28"/>
        </w:rPr>
        <w:t xml:space="preserve">3. 不可抗力事件延续【30】天以上，双方应通过友好协商，确定是否继续履行合同；协商无法达成一致的，本合同自动终止，双方互不承担赔偿或违约责任。    </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eastAsia="仿宋_GB2312"/>
          <w:sz w:val="28"/>
          <w:szCs w:val="28"/>
        </w:rPr>
        <w:t>第十三条：</w:t>
      </w:r>
    </w:p>
    <w:p>
      <w:pPr>
        <w:adjustRightInd w:val="0"/>
        <w:snapToGrid w:val="0"/>
        <w:spacing w:line="560" w:lineRule="exact"/>
        <w:ind w:firstLine="560" w:firstLineChars="200"/>
        <w:rPr>
          <w:rFonts w:ascii="仿宋_GB2312" w:hAnsi="宋体" w:eastAsia="仿宋_GB2312"/>
          <w:sz w:val="28"/>
          <w:szCs w:val="28"/>
        </w:rPr>
      </w:pPr>
      <w:r>
        <w:rPr>
          <w:rFonts w:hint="eastAsia" w:ascii="仿宋_GB2312" w:hAnsi="宋体" w:eastAsia="仿宋_GB2312"/>
          <w:sz w:val="28"/>
          <w:szCs w:val="28"/>
        </w:rPr>
        <w:t>双方在执行合同中所发生的一切争议，应通过协商解决。如协商不成，由甲方所在地的人民法院管辖审理。</w:t>
      </w:r>
    </w:p>
    <w:p>
      <w:pPr>
        <w:spacing w:line="560" w:lineRule="exact"/>
        <w:rPr>
          <w:rFonts w:ascii="仿宋_GB2312" w:eastAsia="仿宋_GB2312"/>
          <w:sz w:val="28"/>
          <w:szCs w:val="28"/>
        </w:rPr>
      </w:pPr>
      <w:r>
        <w:rPr>
          <w:rFonts w:hint="eastAsia" w:ascii="仿宋_GB2312" w:eastAsia="仿宋_GB2312"/>
          <w:sz w:val="28"/>
          <w:szCs w:val="28"/>
        </w:rPr>
        <w:t xml:space="preserve">     第十四条：与履行本合同有关的下列技术文件，经双方确认后，</w:t>
      </w:r>
      <w:r>
        <w:rPr>
          <w:rFonts w:hint="eastAsia" w:ascii="仿宋_GB2312" w:eastAsia="仿宋_GB2312"/>
          <w:sz w:val="28"/>
          <w:szCs w:val="28"/>
          <w:u w:val="single"/>
        </w:rPr>
        <w:t xml:space="preserve">                     </w:t>
      </w:r>
      <w:r>
        <w:rPr>
          <w:rFonts w:hint="eastAsia" w:ascii="仿宋_GB2312" w:eastAsia="仿宋_GB2312"/>
          <w:sz w:val="28"/>
          <w:szCs w:val="28"/>
        </w:rPr>
        <w:t>为本合同的组成部分，</w:t>
      </w:r>
      <w:r>
        <w:rPr>
          <w:rFonts w:hint="eastAsia" w:ascii="仿宋_GB2312" w:hAnsi="Times New Roman" w:eastAsia="仿宋_GB2312"/>
          <w:sz w:val="28"/>
          <w:szCs w:val="28"/>
        </w:rPr>
        <w:t>合同与招投标文件不一致解释顺序如下</w:t>
      </w:r>
      <w:r>
        <w:rPr>
          <w:rFonts w:hint="eastAsia" w:ascii="仿宋_GB2312" w:eastAsia="仿宋_GB2312"/>
          <w:sz w:val="28"/>
          <w:szCs w:val="28"/>
        </w:rPr>
        <w:t>：</w:t>
      </w:r>
    </w:p>
    <w:p>
      <w:pPr>
        <w:spacing w:line="560" w:lineRule="exact"/>
        <w:ind w:firstLine="420"/>
        <w:rPr>
          <w:rFonts w:ascii="仿宋_GB2312" w:hAnsi="Times New Roman" w:eastAsia="仿宋_GB2312"/>
          <w:sz w:val="28"/>
          <w:szCs w:val="28"/>
        </w:rPr>
      </w:pPr>
      <w:r>
        <w:rPr>
          <w:rFonts w:hint="eastAsia" w:ascii="仿宋_GB2312" w:hAnsi="Times New Roman" w:eastAsia="仿宋_GB2312"/>
          <w:sz w:val="28"/>
          <w:szCs w:val="28"/>
        </w:rPr>
        <w:t>1.本合同协议书</w:t>
      </w:r>
    </w:p>
    <w:p>
      <w:pPr>
        <w:spacing w:line="560" w:lineRule="exact"/>
        <w:ind w:firstLine="420"/>
        <w:rPr>
          <w:rFonts w:ascii="仿宋_GB2312" w:hAnsi="Times New Roman" w:eastAsia="仿宋_GB2312"/>
          <w:sz w:val="28"/>
          <w:szCs w:val="28"/>
        </w:rPr>
      </w:pPr>
      <w:r>
        <w:rPr>
          <w:rFonts w:hint="eastAsia" w:ascii="仿宋_GB2312" w:hAnsi="Times New Roman" w:eastAsia="仿宋_GB2312"/>
          <w:sz w:val="28"/>
          <w:szCs w:val="28"/>
        </w:rPr>
        <w:t>2.中标通知书</w:t>
      </w:r>
    </w:p>
    <w:p>
      <w:pPr>
        <w:spacing w:line="560" w:lineRule="exact"/>
        <w:ind w:firstLine="420"/>
        <w:rPr>
          <w:rFonts w:ascii="仿宋_GB2312" w:hAnsi="Times New Roman" w:eastAsia="仿宋_GB2312"/>
          <w:sz w:val="28"/>
          <w:szCs w:val="28"/>
        </w:rPr>
      </w:pPr>
      <w:r>
        <w:rPr>
          <w:rFonts w:hint="eastAsia" w:ascii="仿宋_GB2312" w:hAnsi="Times New Roman" w:eastAsia="仿宋_GB2312"/>
          <w:sz w:val="28"/>
          <w:szCs w:val="28"/>
        </w:rPr>
        <w:t>3.投标书及其附件</w:t>
      </w:r>
    </w:p>
    <w:p>
      <w:pPr>
        <w:spacing w:line="560" w:lineRule="exact"/>
        <w:ind w:firstLine="420"/>
        <w:rPr>
          <w:rFonts w:ascii="仿宋_GB2312" w:hAnsi="Times New Roman" w:eastAsia="仿宋_GB2312"/>
          <w:sz w:val="28"/>
          <w:szCs w:val="28"/>
        </w:rPr>
      </w:pPr>
      <w:r>
        <w:rPr>
          <w:rFonts w:hint="eastAsia" w:ascii="仿宋_GB2312" w:hAnsi="Times New Roman" w:eastAsia="仿宋_GB2312"/>
          <w:sz w:val="28"/>
          <w:szCs w:val="28"/>
        </w:rPr>
        <w:t>4.招标文件</w:t>
      </w:r>
    </w:p>
    <w:p>
      <w:pPr>
        <w:spacing w:line="560" w:lineRule="exact"/>
        <w:rPr>
          <w:rFonts w:ascii="仿宋_GB2312" w:eastAsia="仿宋_GB2312"/>
          <w:sz w:val="28"/>
          <w:szCs w:val="28"/>
        </w:rPr>
      </w:pPr>
      <w:r>
        <w:rPr>
          <w:rFonts w:hint="eastAsia" w:ascii="仿宋_GB2312" w:hAnsi="Times New Roman" w:eastAsia="仿宋_GB2312"/>
          <w:sz w:val="28"/>
          <w:szCs w:val="28"/>
        </w:rPr>
        <w:t>5.标准、规范及有关技术文件</w:t>
      </w:r>
    </w:p>
    <w:p>
      <w:pPr>
        <w:spacing w:line="560" w:lineRule="exact"/>
        <w:rPr>
          <w:rFonts w:ascii="仿宋_GB2312" w:eastAsia="仿宋_GB2312"/>
          <w:sz w:val="28"/>
          <w:szCs w:val="28"/>
          <w:u w:val="single"/>
        </w:rPr>
      </w:pPr>
      <w:r>
        <w:rPr>
          <w:rFonts w:hint="eastAsia" w:ascii="仿宋_GB2312" w:eastAsia="仿宋_GB2312"/>
          <w:sz w:val="28"/>
          <w:szCs w:val="28"/>
        </w:rPr>
        <w:t xml:space="preserve">      第十五条：双方约定本合同其他相关事项为：</w:t>
      </w:r>
    </w:p>
    <w:p>
      <w:pPr>
        <w:spacing w:line="560" w:lineRule="exact"/>
        <w:ind w:firstLine="840" w:firstLineChars="300"/>
        <w:rPr>
          <w:rFonts w:ascii="仿宋_GB2312" w:eastAsia="仿宋_GB2312"/>
          <w:sz w:val="28"/>
          <w:szCs w:val="28"/>
          <w:u w:val="single"/>
        </w:rPr>
      </w:pPr>
      <w:r>
        <w:rPr>
          <w:rFonts w:hint="eastAsia" w:ascii="仿宋_GB2312" w:eastAsia="仿宋_GB2312"/>
          <w:sz w:val="28"/>
          <w:szCs w:val="28"/>
          <w:u w:val="single"/>
        </w:rPr>
        <w:t>1．乙方应在收到甲方中标通知书后【3】日内，向甲方支付合同总价的【10%】作为履约保证金。如果逾期未缴纳，甲方有权解除本合同，并要求乙方承担由此给甲方造成的损失。</w:t>
      </w:r>
    </w:p>
    <w:p>
      <w:pPr>
        <w:spacing w:line="560" w:lineRule="exact"/>
        <w:ind w:firstLine="840" w:firstLineChars="300"/>
        <w:rPr>
          <w:rFonts w:ascii="仿宋_GB2312" w:eastAsia="仿宋_GB2312"/>
          <w:sz w:val="28"/>
          <w:szCs w:val="28"/>
          <w:u w:val="single"/>
        </w:rPr>
      </w:pPr>
      <w:r>
        <w:rPr>
          <w:rFonts w:hint="eastAsia" w:ascii="仿宋_GB2312" w:eastAsia="仿宋_GB2312"/>
          <w:sz w:val="28"/>
          <w:szCs w:val="28"/>
          <w:u w:val="single"/>
        </w:rPr>
        <w:t>2．在合同履行期间，如果乙方存在违约情形，甲方有权优先从履约保证金中扣除相应款项，并书面通知乙方。乙方自收到书面通知之日起【7】日内补足履约保证金。如果乙方不及时补足履约保证金，视为乙方违约，甲方有权解除合同，并要求乙方承担相应的违约责任。待合同约定服务内容全部履行并完毕，乙方不存在任何违约情形并收到甲方书面认可后【15】日内，甲方无息返还履约保证金。</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第十六条：本合同一式</w:t>
      </w:r>
      <w:r>
        <w:rPr>
          <w:rFonts w:hint="eastAsia" w:ascii="仿宋_GB2312" w:eastAsia="仿宋_GB2312"/>
          <w:sz w:val="28"/>
          <w:szCs w:val="28"/>
          <w:u w:val="single"/>
        </w:rPr>
        <w:t xml:space="preserve">  　陆  </w:t>
      </w:r>
      <w:r>
        <w:rPr>
          <w:rFonts w:hint="eastAsia" w:ascii="仿宋_GB2312" w:eastAsia="仿宋_GB2312"/>
          <w:sz w:val="28"/>
          <w:szCs w:val="28"/>
        </w:rPr>
        <w:t>份，甲方执肆份，乙方执贰份，具有同等法律效力。</w:t>
      </w:r>
    </w:p>
    <w:p>
      <w:pPr>
        <w:spacing w:line="560" w:lineRule="exact"/>
        <w:ind w:firstLine="560"/>
        <w:rPr>
          <w:rFonts w:ascii="仿宋_GB2312" w:eastAsia="仿宋_GB2312"/>
          <w:sz w:val="28"/>
          <w:szCs w:val="28"/>
        </w:rPr>
      </w:pPr>
      <w:r>
        <w:rPr>
          <w:rFonts w:hint="eastAsia" w:ascii="仿宋_GB2312" w:eastAsia="仿宋_GB2312"/>
          <w:sz w:val="28"/>
          <w:szCs w:val="28"/>
        </w:rPr>
        <w:t>第十七条：本合同经双方法定代表人或者委托代理人签字盖章之日起生效。</w:t>
      </w: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rPr>
      </w:pPr>
      <w:r>
        <w:rPr>
          <w:rFonts w:hint="eastAsia" w:ascii="仿宋_GB2312" w:eastAsia="仿宋_GB2312"/>
          <w:sz w:val="28"/>
          <w:szCs w:val="28"/>
        </w:rPr>
        <w:t>第十八条：未尽事宜，经双方协商一致，签订补充协议，补充协议与本合同具有同等效力。</w:t>
      </w:r>
    </w:p>
    <w:p>
      <w:pPr>
        <w:spacing w:line="560" w:lineRule="exact"/>
        <w:ind w:firstLine="560"/>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r>
        <w:rPr>
          <w:rFonts w:hint="eastAsia" w:ascii="仿宋_GB2312" w:eastAsia="仿宋_GB2312"/>
          <w:sz w:val="28"/>
          <w:szCs w:val="28"/>
        </w:rPr>
        <w:t>（以下为签署页）</w:t>
      </w:r>
    </w:p>
    <w:p>
      <w:pPr>
        <w:spacing w:line="560" w:lineRule="exact"/>
        <w:rPr>
          <w:rFonts w:ascii="仿宋_GB2312" w:eastAsia="仿宋_GB2312"/>
          <w:sz w:val="28"/>
          <w:szCs w:val="28"/>
        </w:rPr>
      </w:pPr>
    </w:p>
    <w:p>
      <w:pPr>
        <w:spacing w:line="560" w:lineRule="exact"/>
        <w:jc w:val="left"/>
        <w:rPr>
          <w:rFonts w:ascii="仿宋_GB2312" w:eastAsia="仿宋_GB2312"/>
          <w:sz w:val="28"/>
          <w:szCs w:val="28"/>
          <w:u w:val="single"/>
        </w:rPr>
      </w:pPr>
      <w:r>
        <w:rPr>
          <w:rFonts w:hint="eastAsia" w:ascii="仿宋_GB2312" w:eastAsia="仿宋_GB2312"/>
          <w:sz w:val="28"/>
          <w:szCs w:val="28"/>
        </w:rPr>
        <w:t xml:space="preserve">    甲方：</w:t>
      </w:r>
      <w:r>
        <w:rPr>
          <w:rFonts w:hint="eastAsia" w:ascii="仿宋_GB2312" w:eastAsia="仿宋_GB2312"/>
          <w:sz w:val="28"/>
          <w:szCs w:val="28"/>
          <w:u w:val="single"/>
        </w:rPr>
        <w:t xml:space="preserve">杭州萧山国际机场有限公司    （盖章）   </w:t>
      </w:r>
      <w:r>
        <w:rPr>
          <w:rFonts w:hint="eastAsia" w:ascii="仿宋_GB2312" w:eastAsia="仿宋_GB2312"/>
          <w:sz w:val="28"/>
          <w:szCs w:val="28"/>
        </w:rPr>
        <w:t xml:space="preserve">                </w:t>
      </w:r>
    </w:p>
    <w:p>
      <w:pPr>
        <w:spacing w:line="560" w:lineRule="exact"/>
        <w:ind w:firstLine="570"/>
        <w:rPr>
          <w:rFonts w:ascii="仿宋_GB2312" w:eastAsia="仿宋_GB2312"/>
          <w:sz w:val="28"/>
          <w:szCs w:val="28"/>
        </w:rPr>
      </w:pPr>
      <w:r>
        <w:rPr>
          <w:rFonts w:hint="eastAsia" w:ascii="仿宋_GB2312" w:eastAsia="仿宋_GB2312"/>
          <w:sz w:val="28"/>
          <w:szCs w:val="28"/>
        </w:rPr>
        <w:t>法定代表人：</w:t>
      </w:r>
      <w:r>
        <w:rPr>
          <w:rFonts w:hint="eastAsia" w:ascii="仿宋_GB2312" w:eastAsia="仿宋_GB2312"/>
          <w:sz w:val="28"/>
          <w:szCs w:val="28"/>
          <w:u w:val="single"/>
        </w:rPr>
        <w:t>　　　　  　　　      　（签名）</w:t>
      </w:r>
      <w:r>
        <w:rPr>
          <w:rFonts w:hint="eastAsia" w:ascii="仿宋_GB2312" w:eastAsia="仿宋_GB2312"/>
          <w:sz w:val="28"/>
          <w:szCs w:val="28"/>
        </w:rPr>
        <w:t>　</w:t>
      </w:r>
    </w:p>
    <w:p>
      <w:pPr>
        <w:spacing w:line="560" w:lineRule="exact"/>
        <w:ind w:firstLine="570"/>
        <w:rPr>
          <w:rFonts w:ascii="仿宋_GB2312" w:eastAsia="仿宋_GB2312"/>
          <w:sz w:val="28"/>
          <w:szCs w:val="28"/>
        </w:rPr>
      </w:pPr>
      <w:r>
        <w:rPr>
          <w:rFonts w:hint="eastAsia" w:ascii="仿宋_GB2312" w:eastAsia="仿宋_GB2312"/>
          <w:sz w:val="28"/>
          <w:szCs w:val="28"/>
        </w:rPr>
        <w:t>或</w:t>
      </w:r>
    </w:p>
    <w:p>
      <w:pPr>
        <w:spacing w:line="560" w:lineRule="exact"/>
        <w:ind w:firstLine="570"/>
        <w:rPr>
          <w:rFonts w:ascii="仿宋_GB2312" w:eastAsia="仿宋_GB2312"/>
          <w:sz w:val="28"/>
          <w:szCs w:val="28"/>
        </w:rPr>
      </w:pPr>
      <w:r>
        <w:rPr>
          <w:rFonts w:hint="eastAsia" w:ascii="仿宋_GB2312" w:eastAsia="仿宋_GB2312"/>
          <w:sz w:val="28"/>
          <w:szCs w:val="28"/>
        </w:rPr>
        <w:t>委托代理人：</w:t>
      </w:r>
      <w:r>
        <w:rPr>
          <w:rFonts w:hint="eastAsia" w:ascii="仿宋_GB2312" w:eastAsia="仿宋_GB2312"/>
          <w:sz w:val="28"/>
          <w:szCs w:val="28"/>
          <w:u w:val="single"/>
        </w:rPr>
        <w:t>　　　　  　　　      　（签名）</w:t>
      </w:r>
      <w:r>
        <w:rPr>
          <w:rFonts w:hint="eastAsia" w:ascii="仿宋_GB2312" w:eastAsia="仿宋_GB2312"/>
          <w:sz w:val="28"/>
          <w:szCs w:val="28"/>
        </w:rPr>
        <w:t>　</w:t>
      </w:r>
    </w:p>
    <w:p>
      <w:pPr>
        <w:spacing w:line="560" w:lineRule="exact"/>
        <w:ind w:firstLine="570"/>
        <w:rPr>
          <w:rFonts w:ascii="仿宋_GB2312" w:eastAsia="仿宋_GB2312"/>
          <w:sz w:val="28"/>
          <w:szCs w:val="28"/>
        </w:rPr>
      </w:pPr>
      <w:r>
        <w:rPr>
          <w:rFonts w:hint="eastAsia" w:ascii="仿宋_GB2312" w:eastAsia="仿宋_GB2312"/>
          <w:sz w:val="28"/>
          <w:szCs w:val="28"/>
        </w:rPr>
        <w:t>签字日期：</w:t>
      </w:r>
    </w:p>
    <w:p>
      <w:pPr>
        <w:spacing w:line="560" w:lineRule="exact"/>
        <w:rPr>
          <w:rFonts w:ascii="仿宋_GB2312" w:eastAsia="仿宋_GB2312"/>
          <w:sz w:val="28"/>
          <w:szCs w:val="28"/>
        </w:rPr>
      </w:pPr>
      <w:r>
        <w:rPr>
          <w:rFonts w:hint="eastAsia" w:ascii="仿宋_GB2312" w:eastAsia="仿宋_GB2312"/>
          <w:sz w:val="28"/>
          <w:szCs w:val="28"/>
        </w:rPr>
        <w:t xml:space="preserve">                                    年     月     日</w:t>
      </w: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u w:val="single"/>
        </w:rPr>
      </w:pPr>
      <w:r>
        <w:rPr>
          <w:rFonts w:hint="eastAsia" w:ascii="仿宋_GB2312" w:eastAsia="仿宋_GB2312"/>
          <w:sz w:val="28"/>
          <w:szCs w:val="28"/>
        </w:rPr>
        <w:t xml:space="preserve">     乙方：</w:t>
      </w:r>
      <w:r>
        <w:rPr>
          <w:rFonts w:hint="eastAsia" w:ascii="仿宋_GB2312" w:eastAsia="仿宋_GB2312"/>
          <w:sz w:val="28"/>
          <w:szCs w:val="28"/>
          <w:u w:val="single"/>
        </w:rPr>
        <w:t xml:space="preserve">                                          （盖章）</w:t>
      </w:r>
      <w:r>
        <w:rPr>
          <w:rFonts w:hint="eastAsia" w:ascii="仿宋_GB2312" w:eastAsia="仿宋_GB2312"/>
          <w:sz w:val="28"/>
          <w:szCs w:val="28"/>
        </w:rPr>
        <w:t xml:space="preserve">                </w:t>
      </w:r>
    </w:p>
    <w:p>
      <w:pPr>
        <w:spacing w:line="560" w:lineRule="exact"/>
        <w:ind w:firstLine="570"/>
        <w:rPr>
          <w:rFonts w:ascii="仿宋_GB2312" w:eastAsia="仿宋_GB2312"/>
          <w:sz w:val="28"/>
          <w:szCs w:val="28"/>
        </w:rPr>
      </w:pPr>
      <w:r>
        <w:rPr>
          <w:rFonts w:hint="eastAsia" w:ascii="仿宋_GB2312" w:eastAsia="仿宋_GB2312"/>
          <w:sz w:val="28"/>
          <w:szCs w:val="28"/>
        </w:rPr>
        <w:t>法定代表人：</w:t>
      </w:r>
      <w:r>
        <w:rPr>
          <w:rFonts w:hint="eastAsia" w:ascii="仿宋_GB2312" w:eastAsia="仿宋_GB2312"/>
          <w:sz w:val="28"/>
          <w:szCs w:val="28"/>
          <w:u w:val="single"/>
        </w:rPr>
        <w:t>　　　　  　　　      　（签名）</w:t>
      </w:r>
      <w:r>
        <w:rPr>
          <w:rFonts w:hint="eastAsia" w:ascii="仿宋_GB2312" w:eastAsia="仿宋_GB2312"/>
          <w:sz w:val="28"/>
          <w:szCs w:val="28"/>
        </w:rPr>
        <w:t>　</w:t>
      </w:r>
    </w:p>
    <w:p>
      <w:pPr>
        <w:spacing w:line="560" w:lineRule="exact"/>
        <w:ind w:firstLine="570"/>
        <w:rPr>
          <w:rFonts w:ascii="仿宋_GB2312" w:eastAsia="仿宋_GB2312"/>
          <w:sz w:val="28"/>
          <w:szCs w:val="28"/>
        </w:rPr>
      </w:pPr>
      <w:r>
        <w:rPr>
          <w:rFonts w:hint="eastAsia" w:ascii="仿宋_GB2312" w:eastAsia="仿宋_GB2312"/>
          <w:sz w:val="28"/>
          <w:szCs w:val="28"/>
        </w:rPr>
        <w:t>或</w:t>
      </w:r>
    </w:p>
    <w:p>
      <w:pPr>
        <w:spacing w:line="560" w:lineRule="exact"/>
        <w:ind w:firstLine="570"/>
        <w:rPr>
          <w:rFonts w:ascii="仿宋_GB2312" w:eastAsia="仿宋_GB2312"/>
          <w:sz w:val="28"/>
          <w:szCs w:val="28"/>
          <w:u w:val="single"/>
        </w:rPr>
      </w:pPr>
      <w:r>
        <w:rPr>
          <w:rFonts w:hint="eastAsia" w:ascii="仿宋_GB2312" w:eastAsia="仿宋_GB2312"/>
          <w:sz w:val="28"/>
          <w:szCs w:val="28"/>
        </w:rPr>
        <w:t>委托代理人：</w:t>
      </w:r>
      <w:r>
        <w:rPr>
          <w:rFonts w:hint="eastAsia" w:ascii="仿宋_GB2312" w:eastAsia="仿宋_GB2312"/>
          <w:sz w:val="28"/>
          <w:szCs w:val="28"/>
          <w:u w:val="single"/>
        </w:rPr>
        <w:t>　　　　  　　      　　（签名）</w:t>
      </w:r>
    </w:p>
    <w:p>
      <w:pPr>
        <w:spacing w:line="560" w:lineRule="exact"/>
        <w:ind w:firstLine="570"/>
        <w:rPr>
          <w:rFonts w:ascii="仿宋_GB2312" w:eastAsia="仿宋_GB2312"/>
          <w:sz w:val="28"/>
          <w:szCs w:val="28"/>
          <w:u w:val="single"/>
        </w:rPr>
      </w:pPr>
      <w:r>
        <w:rPr>
          <w:rFonts w:hint="eastAsia" w:ascii="仿宋_GB2312" w:eastAsia="仿宋_GB2312"/>
          <w:sz w:val="28"/>
          <w:szCs w:val="28"/>
          <w:u w:val="single"/>
        </w:rPr>
        <w:t>签字日期：</w:t>
      </w:r>
    </w:p>
    <w:p>
      <w:pPr>
        <w:spacing w:line="560" w:lineRule="exact"/>
        <w:rPr>
          <w:rFonts w:ascii="仿宋_GB2312" w:eastAsia="仿宋_GB2312"/>
          <w:sz w:val="28"/>
          <w:szCs w:val="28"/>
        </w:rPr>
      </w:pPr>
      <w:r>
        <w:rPr>
          <w:rFonts w:hint="eastAsia" w:ascii="仿宋_GB2312" w:eastAsia="仿宋_GB2312"/>
          <w:sz w:val="28"/>
          <w:szCs w:val="28"/>
        </w:rPr>
        <w:t xml:space="preserve">                                     年     月     日</w:t>
      </w:r>
    </w:p>
    <w:p>
      <w:pPr>
        <w:spacing w:line="560" w:lineRule="exact"/>
        <w:rPr>
          <w:rFonts w:ascii="仿宋_GB2312" w:eastAsia="仿宋_GB2312"/>
          <w:sz w:val="28"/>
          <w:szCs w:val="28"/>
        </w:rPr>
      </w:pPr>
    </w:p>
    <w:p>
      <w:pPr>
        <w:pStyle w:val="21"/>
        <w:spacing w:line="560" w:lineRule="exact"/>
        <w:ind w:right="400"/>
        <w:rPr>
          <w:rFonts w:ascii="Calibri" w:hAnsi="Calibri" w:cs="Calibri"/>
          <w:bCs/>
          <w:szCs w:val="32"/>
        </w:rPr>
      </w:pPr>
    </w:p>
    <w:p>
      <w:pPr>
        <w:pStyle w:val="21"/>
        <w:spacing w:line="560" w:lineRule="exact"/>
        <w:ind w:right="400"/>
        <w:rPr>
          <w:rFonts w:ascii="Calibri" w:hAnsi="Calibri" w:cs="Calibri"/>
          <w:bCs/>
          <w:szCs w:val="32"/>
        </w:rPr>
      </w:pPr>
    </w:p>
    <w:p>
      <w:pPr>
        <w:pStyle w:val="21"/>
        <w:spacing w:line="560" w:lineRule="exact"/>
        <w:ind w:right="400"/>
        <w:rPr>
          <w:rFonts w:ascii="Calibri" w:hAnsi="Calibri" w:cs="Calibri"/>
          <w:bCs/>
          <w:szCs w:val="32"/>
        </w:rPr>
      </w:pPr>
    </w:p>
    <w:p>
      <w:pPr>
        <w:pStyle w:val="21"/>
        <w:spacing w:line="560" w:lineRule="exact"/>
        <w:ind w:right="400"/>
        <w:rPr>
          <w:rFonts w:ascii="Calibri" w:hAnsi="Calibri" w:cs="Calibri"/>
          <w:bCs/>
          <w:szCs w:val="32"/>
        </w:rPr>
      </w:pPr>
    </w:p>
    <w:p>
      <w:pPr>
        <w:spacing w:line="560" w:lineRule="exact"/>
        <w:rPr>
          <w:rFonts w:ascii="仿宋_GB2312" w:hAnsi="Times New Roman" w:eastAsia="仿宋_GB2312"/>
          <w:sz w:val="28"/>
          <w:szCs w:val="28"/>
        </w:rPr>
      </w:pPr>
      <w:r>
        <w:rPr>
          <w:rFonts w:hint="eastAsia" w:ascii="仿宋_GB2312" w:hAnsi="Times New Roman" w:eastAsia="仿宋_GB2312"/>
          <w:sz w:val="28"/>
          <w:szCs w:val="28"/>
        </w:rPr>
        <w:t>附件1：</w:t>
      </w:r>
    </w:p>
    <w:p>
      <w:pPr>
        <w:spacing w:line="440" w:lineRule="exact"/>
        <w:jc w:val="center"/>
        <w:rPr>
          <w:rFonts w:ascii="仿宋_GB2312" w:hAnsi="Times New Roman" w:eastAsia="仿宋_GB2312"/>
          <w:sz w:val="28"/>
          <w:szCs w:val="28"/>
        </w:rPr>
      </w:pPr>
      <w:r>
        <w:rPr>
          <w:rFonts w:hint="eastAsia" w:ascii="仿宋_GB2312" w:hAnsi="Times New Roman" w:eastAsia="仿宋_GB2312"/>
          <w:sz w:val="28"/>
          <w:szCs w:val="28"/>
        </w:rPr>
        <w:t>廉洁自律承诺书</w:t>
      </w:r>
    </w:p>
    <w:p>
      <w:pPr>
        <w:pStyle w:val="127"/>
        <w:spacing w:line="360" w:lineRule="exact"/>
        <w:ind w:firstLine="560"/>
        <w:rPr>
          <w:rFonts w:ascii="仿宋_GB2312" w:hAnsi="Times New Roman" w:eastAsia="仿宋_GB2312"/>
          <w:color w:val="auto"/>
          <w:sz w:val="28"/>
          <w:szCs w:val="28"/>
        </w:rPr>
      </w:pPr>
    </w:p>
    <w:p>
      <w:pPr>
        <w:pStyle w:val="21"/>
        <w:spacing w:line="360" w:lineRule="exact"/>
        <w:rPr>
          <w:rFonts w:ascii="仿宋_GB2312" w:hAnsi="Times New Roman" w:eastAsia="仿宋_GB2312"/>
          <w:kern w:val="2"/>
          <w:sz w:val="28"/>
          <w:szCs w:val="28"/>
        </w:rPr>
      </w:pPr>
      <w:r>
        <w:rPr>
          <w:rFonts w:hint="eastAsia" w:ascii="仿宋_GB2312" w:hAnsi="Times New Roman" w:eastAsia="仿宋_GB2312"/>
          <w:kern w:val="2"/>
          <w:sz w:val="28"/>
          <w:szCs w:val="28"/>
        </w:rPr>
        <w:t>杭州萧山国际机场有限公司：</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我单位响应贵公司项目招标要求，参加项目投标。在投标过程中及中标后，我们将严格遵守国家法律法规和贵司招标文件要求，并郑重作出如下承诺和保证：</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二、不以任何名义为贵公司有关人员或项目第三方人员报销应由贵公司或个人支付的费用；</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三、不向贵公司有关人员或项目第三方人员提供宴请、旅游、和健身娱乐等活动；</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四、不为贵公司有关人员或项目第三方人员出国（境）、旅游等提供方便；</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五、不为贵公司有关人员或项目第三方人员个人装修住房、婚丧嫁娶、配偶子女工作安排等提供好处或便利条件；</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六、严格遵守国家招标投标法、合同法等法律规定，诚实守信，合法经营，坚决杜绝各种违法违纪行为。</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八、如违反上述廉洁自律承诺，贵公司有权：</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（1）立即取消我单位投标、中标或在建项目的实施资格；</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（2）扣除我方向贵公司缴纳的履约保证金的10%作为违反廉洁自律承诺的违约金。如该违约金不足以弥补贵公司损失的，我单位仍将承担实际损失赔偿责任。</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（3）拒绝我单位在一定时期内进入贵公司进行项目建设或其它经营活动；</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（4）由此引起的相应损失均由我单位承担。</w:t>
      </w:r>
    </w:p>
    <w:p>
      <w:pPr>
        <w:pStyle w:val="21"/>
        <w:spacing w:line="360" w:lineRule="exact"/>
        <w:ind w:firstLine="560" w:firstLineChars="200"/>
        <w:rPr>
          <w:rFonts w:ascii="仿宋_GB2312" w:hAnsi="Times New Roman" w:eastAsia="仿宋_GB2312"/>
          <w:kern w:val="2"/>
          <w:sz w:val="28"/>
          <w:szCs w:val="28"/>
        </w:rPr>
      </w:pP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 xml:space="preserve">承诺人单位名称（盖章）：            </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 xml:space="preserve">法定代表人 ：                    </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 xml:space="preserve">或                            </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 xml:space="preserve">委托代理人：                   </w:t>
      </w:r>
    </w:p>
    <w:p>
      <w:pPr>
        <w:pStyle w:val="21"/>
        <w:spacing w:line="360" w:lineRule="exact"/>
        <w:ind w:firstLine="560" w:firstLineChars="200"/>
        <w:rPr>
          <w:rFonts w:ascii="仿宋_GB2312" w:hAnsi="Times New Roman" w:eastAsia="仿宋_GB2312"/>
          <w:kern w:val="2"/>
          <w:sz w:val="28"/>
          <w:szCs w:val="28"/>
        </w:rPr>
      </w:pP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 xml:space="preserve">                           年     月     日</w:t>
      </w:r>
    </w:p>
    <w:p>
      <w:pPr>
        <w:pStyle w:val="127"/>
        <w:spacing w:line="360" w:lineRule="exact"/>
        <w:ind w:firstLine="560"/>
        <w:rPr>
          <w:rFonts w:ascii="仿宋_GB2312" w:hAnsi="Times New Roman" w:eastAsia="仿宋_GB2312"/>
          <w:color w:val="auto"/>
          <w:sz w:val="28"/>
          <w:szCs w:val="28"/>
        </w:rPr>
        <w:sectPr>
          <w:footerReference r:id="rId7" w:type="even"/>
          <w:pgSz w:w="11906" w:h="16838"/>
          <w:pgMar w:top="1134" w:right="1247" w:bottom="1134" w:left="1247" w:header="851" w:footer="992" w:gutter="0"/>
          <w:pgNumType w:fmt="numberInDash"/>
          <w:cols w:space="720" w:num="1"/>
          <w:docGrid w:linePitch="312" w:charSpace="0"/>
        </w:sectPr>
      </w:pPr>
    </w:p>
    <w:p>
      <w:pPr>
        <w:pStyle w:val="127"/>
        <w:spacing w:line="360" w:lineRule="exact"/>
        <w:ind w:firstLine="560"/>
        <w:rPr>
          <w:rFonts w:ascii="仿宋_GB2312" w:hAnsi="Times New Roman" w:eastAsia="仿宋_GB2312"/>
          <w:color w:val="auto"/>
          <w:sz w:val="28"/>
          <w:szCs w:val="28"/>
        </w:rPr>
      </w:pPr>
    </w:p>
    <w:p>
      <w:pPr>
        <w:rPr>
          <w:rFonts w:ascii="仿宋_GB2312" w:hAnsi="Times New Roman" w:eastAsia="仿宋_GB2312"/>
          <w:sz w:val="28"/>
          <w:szCs w:val="28"/>
        </w:rPr>
      </w:pPr>
      <w:r>
        <w:rPr>
          <w:rFonts w:hint="eastAsia" w:ascii="仿宋_GB2312" w:hAnsi="Times New Roman" w:eastAsia="仿宋_GB2312"/>
          <w:sz w:val="28"/>
          <w:szCs w:val="28"/>
        </w:rPr>
        <w:t xml:space="preserve">附件2： </w:t>
      </w:r>
    </w:p>
    <w:p>
      <w:pPr>
        <w:spacing w:line="560" w:lineRule="exact"/>
        <w:jc w:val="center"/>
        <w:rPr>
          <w:rFonts w:ascii="仿宋_GB2312" w:hAnsi="Times New Roman" w:eastAsia="仿宋_GB2312"/>
          <w:sz w:val="28"/>
          <w:szCs w:val="28"/>
        </w:rPr>
      </w:pPr>
      <w:r>
        <w:rPr>
          <w:rFonts w:hint="eastAsia" w:ascii="仿宋_GB2312" w:hAnsi="Times New Roman" w:eastAsia="仿宋_GB2312"/>
          <w:sz w:val="28"/>
          <w:szCs w:val="28"/>
        </w:rPr>
        <w:t>保密承诺书</w:t>
      </w:r>
    </w:p>
    <w:p>
      <w:pPr>
        <w:spacing w:line="560" w:lineRule="exact"/>
        <w:jc w:val="center"/>
        <w:rPr>
          <w:rFonts w:ascii="仿宋_GB2312" w:hAnsi="Times New Roman" w:eastAsia="仿宋_GB2312"/>
          <w:sz w:val="28"/>
          <w:szCs w:val="28"/>
        </w:rPr>
      </w:pP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鉴于我方愿成为杭州萧山国际机场有限公司（以下简称“机场公司”）的供应商或潜在供应商候选人，为机场公司提供【航站区花堆（硬质景观及名贵花木项）提升】项目的服务。在上述业务来往过程中，机场公司可能向我方提供经营、业务、服务等有关的文件、资料、软件等信息，为维护机场公司的利益，我方就保密事宜做出如下承诺：</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1.商业秘密</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1.1商业秘密是指机场公司（包括机场公司关联公司）一切专有、不对外公开的资料和信息。包括但不限于以下方面：</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（1）经营信息（发展规划、运营状况、客户资源、货源情报、投融资计划、开发计划、标书等）；</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（2）管理信息（管理方法、管理制度、员工管理、合同管理、纠纷管理等）；</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（3）产品及技术信息（设计及图纸、样品及服务、技术方案、质量标准、技术标准、计算机程序等）；</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（4）财务信息（财务收支、固定资产、流动资金、成本核算等）；</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（5）我方单独或机场公司（包括机场公司关联公司）和我方共同为机场公司开发、设计、生产的产品、资料及相关信息；</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（6）其他机场公司未对外公开的有关营运、计划、航班数据、标准、开发、生产、经营、质量管理控制和租赁的资料和数据等信息以及对供应商的管理文件。</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1.3、对于上述提及的商业秘密，不能仅因为公开发表的文章或资讯中包含其内容，就认为是可对外公开的特殊情况。</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1.4、以下资料不属于本承诺所指的商业秘密：</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（1）我方从机场公司拟获悉之前已持有的我方无需承担保密义务的机场公司有关资料(但通过其它违约或侵权行为而获得的资料除外)；</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（2）已经公开或已成为常识性的资料，且该等公开并非因违反本承诺所致。</w:t>
      </w:r>
    </w:p>
    <w:p>
      <w:pPr>
        <w:pStyle w:val="21"/>
        <w:spacing w:line="360" w:lineRule="exact"/>
        <w:ind w:firstLine="560" w:firstLineChars="200"/>
        <w:rPr>
          <w:rFonts w:ascii="仿宋_GB2312" w:hAnsi="Times New Roman" w:eastAsia="仿宋_GB2312"/>
          <w:kern w:val="2"/>
          <w:sz w:val="28"/>
          <w:szCs w:val="28"/>
        </w:rPr>
      </w:pP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Style w:val="21"/>
        <w:spacing w:line="360" w:lineRule="exact"/>
        <w:ind w:firstLine="560" w:firstLineChars="200"/>
        <w:rPr>
          <w:rFonts w:ascii="仿宋_GB2312" w:hAnsi="Times New Roman" w:eastAsia="仿宋_GB2312"/>
          <w:kern w:val="2"/>
          <w:sz w:val="28"/>
          <w:szCs w:val="28"/>
        </w:rPr>
      </w:pP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pStyle w:val="21"/>
        <w:spacing w:line="360" w:lineRule="exact"/>
        <w:ind w:firstLine="560" w:firstLineChars="200"/>
        <w:rPr>
          <w:rFonts w:ascii="仿宋_GB2312" w:hAnsi="Times New Roman" w:eastAsia="仿宋_GB2312"/>
          <w:kern w:val="2"/>
          <w:sz w:val="28"/>
          <w:szCs w:val="28"/>
        </w:rPr>
      </w:pP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（1）披露、使用或者允许他人以不正当手段获取的商业秘密；</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（2）为机场公司以外的第三人窃取、刺探、收买、非法提供商业秘密。</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（3）在电子公告系统、聊天系统、电子邮箱、论坛等计算机网络系统上传递、转发、抄送、发布、谈论和传播商业秘密；</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 xml:space="preserve">（4）在私人交往和通信中，向亲属、朋友以及与工作无关人员泄露商业秘密，或在公共场所谈论商业秘密； </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（5）擅自将属于商业秘密的文件、资料和其他物品携带、传递、寄运出机场公司办公场所或国（境）外。</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（6）未经机场公司同意就以任何方式私自保存、截留含有机场公司商业秘密的任何形式资料、文件和物品的复印件、复制品、副本。</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（7）将含有机场公司商业秘密的产品、技术或其他资料、信息向第三人销售、使用或以任何方式提供。</w:t>
      </w:r>
    </w:p>
    <w:p>
      <w:pPr>
        <w:pStyle w:val="21"/>
        <w:spacing w:line="360" w:lineRule="exact"/>
        <w:ind w:firstLine="560" w:firstLineChars="200"/>
        <w:rPr>
          <w:rFonts w:ascii="仿宋_GB2312" w:hAnsi="Times New Roman" w:eastAsia="仿宋_GB2312"/>
          <w:kern w:val="2"/>
          <w:sz w:val="28"/>
          <w:szCs w:val="28"/>
        </w:rPr>
      </w:pP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Style w:val="21"/>
        <w:spacing w:line="360" w:lineRule="exact"/>
        <w:ind w:firstLine="560" w:firstLineChars="200"/>
        <w:rPr>
          <w:rFonts w:ascii="仿宋_GB2312" w:hAnsi="Times New Roman" w:eastAsia="仿宋_GB2312"/>
          <w:kern w:val="2"/>
          <w:sz w:val="28"/>
          <w:szCs w:val="28"/>
        </w:rPr>
      </w:pP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Style w:val="21"/>
        <w:spacing w:line="360" w:lineRule="exact"/>
        <w:ind w:firstLine="560" w:firstLineChars="200"/>
        <w:rPr>
          <w:rFonts w:ascii="仿宋_GB2312" w:hAnsi="Times New Roman" w:eastAsia="仿宋_GB2312"/>
          <w:kern w:val="2"/>
          <w:sz w:val="28"/>
          <w:szCs w:val="28"/>
        </w:rPr>
      </w:pP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pStyle w:val="21"/>
        <w:spacing w:line="360" w:lineRule="exact"/>
        <w:ind w:firstLine="560" w:firstLineChars="200"/>
        <w:rPr>
          <w:rFonts w:ascii="仿宋_GB2312" w:hAnsi="Times New Roman" w:eastAsia="仿宋_GB2312"/>
          <w:kern w:val="2"/>
          <w:sz w:val="28"/>
          <w:szCs w:val="28"/>
        </w:rPr>
      </w:pP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8、违约责任</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8.1因我方违反保密义务的行为造成机场公司的一切损失，我方应当全部予以赔偿。</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8.2如我方违反本承诺书下保密义务，应当承担违约责任，除赔偿损失外，还应依据合同向机场公司支付相应的违约金；</w:t>
      </w:r>
    </w:p>
    <w:p>
      <w:pPr>
        <w:pStyle w:val="21"/>
        <w:spacing w:line="360" w:lineRule="exact"/>
        <w:ind w:firstLine="560" w:firstLineChars="200"/>
        <w:rPr>
          <w:rFonts w:ascii="仿宋_GB2312" w:hAnsi="Times New Roman" w:eastAsia="仿宋_GB2312"/>
          <w:kern w:val="2"/>
          <w:sz w:val="28"/>
          <w:szCs w:val="28"/>
        </w:rPr>
      </w:pPr>
      <w:r>
        <w:rPr>
          <w:rFonts w:hint="eastAsia" w:ascii="仿宋_GB2312" w:hAnsi="Times New Roman" w:eastAsia="仿宋_GB2312"/>
          <w:kern w:val="2"/>
          <w:sz w:val="28"/>
          <w:szCs w:val="28"/>
        </w:rPr>
        <w:t>9、本承诺书适用中华人民共和国法律，如因履行本承诺书发生争议，则双方均有权向机场公司所在地法院提起诉讼。</w:t>
      </w:r>
    </w:p>
    <w:p>
      <w:pPr>
        <w:pStyle w:val="21"/>
        <w:spacing w:line="360" w:lineRule="exact"/>
        <w:ind w:firstLine="560" w:firstLineChars="200"/>
        <w:rPr>
          <w:rFonts w:ascii="仿宋_GB2312" w:hAnsi="Times New Roman" w:eastAsia="仿宋_GB2312"/>
          <w:kern w:val="2"/>
          <w:sz w:val="28"/>
          <w:szCs w:val="28"/>
        </w:rPr>
      </w:pPr>
    </w:p>
    <w:p>
      <w:pPr>
        <w:spacing w:line="560" w:lineRule="exact"/>
        <w:rPr>
          <w:rFonts w:ascii="仿宋_GB2312" w:hAnsi="Times New Roman" w:eastAsia="仿宋_GB2312"/>
          <w:sz w:val="28"/>
          <w:szCs w:val="28"/>
        </w:rPr>
      </w:pPr>
    </w:p>
    <w:p>
      <w:pPr>
        <w:spacing w:line="560" w:lineRule="exact"/>
        <w:rPr>
          <w:rFonts w:ascii="仿宋_GB2312" w:hAnsi="Times New Roman" w:eastAsia="仿宋_GB2312"/>
          <w:sz w:val="28"/>
          <w:szCs w:val="28"/>
        </w:rPr>
      </w:pPr>
      <w:r>
        <w:rPr>
          <w:rFonts w:hint="eastAsia" w:ascii="仿宋_GB2312" w:hAnsi="Times New Roman" w:eastAsia="仿宋_GB2312"/>
          <w:sz w:val="28"/>
          <w:szCs w:val="28"/>
        </w:rPr>
        <w:t xml:space="preserve">                     </w:t>
      </w:r>
      <w:r>
        <w:rPr>
          <w:rFonts w:hint="eastAsia" w:ascii="仿宋_GB2312" w:hAnsi="Times New Roman" w:eastAsia="仿宋_GB2312"/>
          <w:sz w:val="28"/>
          <w:szCs w:val="28"/>
        </w:rPr>
        <w:tab/>
      </w:r>
      <w:r>
        <w:rPr>
          <w:rFonts w:hint="eastAsia" w:ascii="仿宋_GB2312" w:hAnsi="Times New Roman" w:eastAsia="仿宋_GB2312"/>
          <w:sz w:val="28"/>
          <w:szCs w:val="28"/>
        </w:rPr>
        <w:t>供应商(盖章):</w:t>
      </w:r>
    </w:p>
    <w:p>
      <w:pPr>
        <w:spacing w:line="560" w:lineRule="exact"/>
        <w:ind w:left="2100" w:firstLine="420"/>
        <w:rPr>
          <w:rFonts w:ascii="仿宋_GB2312" w:hAnsi="Times New Roman" w:eastAsia="仿宋_GB2312"/>
          <w:sz w:val="28"/>
          <w:szCs w:val="28"/>
        </w:rPr>
      </w:pPr>
      <w:r>
        <w:rPr>
          <w:rFonts w:hint="eastAsia" w:ascii="仿宋_GB2312" w:hAnsi="Times New Roman" w:eastAsia="仿宋_GB2312"/>
          <w:sz w:val="28"/>
          <w:szCs w:val="28"/>
        </w:rPr>
        <w:t>法定代表人或授权代表：</w:t>
      </w:r>
    </w:p>
    <w:p>
      <w:pPr>
        <w:spacing w:line="560" w:lineRule="exact"/>
        <w:jc w:val="center"/>
        <w:rPr>
          <w:rFonts w:ascii="仿宋_GB2312" w:hAnsi="Times New Roman" w:eastAsia="仿宋_GB2312"/>
          <w:sz w:val="28"/>
          <w:szCs w:val="28"/>
        </w:rPr>
      </w:pPr>
    </w:p>
    <w:p>
      <w:pPr>
        <w:spacing w:line="560" w:lineRule="exact"/>
        <w:jc w:val="center"/>
        <w:rPr>
          <w:rFonts w:ascii="仿宋_GB2312" w:hAnsi="Times New Roman" w:eastAsia="仿宋_GB2312"/>
          <w:sz w:val="28"/>
          <w:szCs w:val="28"/>
        </w:rPr>
      </w:pPr>
    </w:p>
    <w:p>
      <w:pPr>
        <w:spacing w:line="560" w:lineRule="exact"/>
        <w:jc w:val="center"/>
        <w:rPr>
          <w:rFonts w:ascii="仿宋_GB2312" w:hAnsi="Times New Roman" w:eastAsia="仿宋_GB2312"/>
          <w:sz w:val="28"/>
          <w:szCs w:val="28"/>
        </w:rPr>
      </w:pPr>
    </w:p>
    <w:p>
      <w:pPr>
        <w:spacing w:line="560" w:lineRule="exact"/>
        <w:rPr>
          <w:rFonts w:ascii="仿宋_GB2312" w:hAnsi="Times New Roman" w:eastAsia="仿宋_GB2312"/>
          <w:sz w:val="28"/>
          <w:szCs w:val="28"/>
        </w:rPr>
      </w:pPr>
      <w:r>
        <w:rPr>
          <w:rFonts w:hint="eastAsia" w:ascii="仿宋_GB2312" w:hAnsi="Times New Roman" w:eastAsia="仿宋_GB2312"/>
          <w:sz w:val="28"/>
          <w:szCs w:val="28"/>
        </w:rPr>
        <w:t xml:space="preserve">                       电话/传真：</w:t>
      </w:r>
    </w:p>
    <w:p>
      <w:pPr>
        <w:spacing w:line="560" w:lineRule="exact"/>
        <w:jc w:val="center"/>
        <w:rPr>
          <w:rFonts w:ascii="仿宋_GB2312" w:hAnsi="Times New Roman" w:eastAsia="仿宋_GB2312"/>
          <w:sz w:val="28"/>
          <w:szCs w:val="28"/>
        </w:rPr>
      </w:pPr>
    </w:p>
    <w:p>
      <w:pPr>
        <w:spacing w:line="560" w:lineRule="exact"/>
        <w:rPr>
          <w:rFonts w:ascii="仿宋_GB2312" w:hAnsi="Times New Roman" w:eastAsia="仿宋_GB2312"/>
          <w:sz w:val="28"/>
          <w:szCs w:val="28"/>
        </w:rPr>
      </w:pPr>
      <w:r>
        <w:rPr>
          <w:rFonts w:hint="eastAsia" w:ascii="仿宋_GB2312" w:hAnsi="Times New Roman" w:eastAsia="仿宋_GB2312"/>
          <w:sz w:val="28"/>
          <w:szCs w:val="28"/>
        </w:rPr>
        <w:t xml:space="preserve">                       地址：</w:t>
      </w:r>
    </w:p>
    <w:p>
      <w:pPr>
        <w:spacing w:line="560" w:lineRule="exact"/>
        <w:rPr>
          <w:rFonts w:ascii="仿宋_GB2312" w:hAnsi="Times New Roman" w:eastAsia="仿宋_GB2312"/>
          <w:sz w:val="28"/>
          <w:szCs w:val="28"/>
        </w:rPr>
      </w:pPr>
    </w:p>
    <w:p>
      <w:pPr>
        <w:spacing w:line="560" w:lineRule="exact"/>
        <w:rPr>
          <w:rFonts w:ascii="仿宋_GB2312" w:hAnsi="Times New Roman" w:eastAsia="仿宋_GB2312"/>
          <w:sz w:val="28"/>
          <w:szCs w:val="28"/>
        </w:rPr>
      </w:pPr>
    </w:p>
    <w:p>
      <w:pPr>
        <w:snapToGrid w:val="0"/>
        <w:spacing w:line="560" w:lineRule="exact"/>
        <w:ind w:left="2100" w:firstLine="420"/>
        <w:rPr>
          <w:rFonts w:ascii="仿宋_GB2312" w:hAnsi="Times New Roman" w:eastAsia="仿宋_GB2312"/>
          <w:sz w:val="28"/>
          <w:szCs w:val="28"/>
        </w:rPr>
      </w:pPr>
      <w:r>
        <w:rPr>
          <w:rFonts w:hint="eastAsia" w:ascii="仿宋_GB2312" w:hAnsi="Times New Roman" w:eastAsia="仿宋_GB2312"/>
          <w:sz w:val="28"/>
          <w:szCs w:val="28"/>
        </w:rPr>
        <w:t>日期：     年   月   日</w:t>
      </w:r>
    </w:p>
    <w:p>
      <w:pPr>
        <w:pStyle w:val="21"/>
        <w:spacing w:line="560" w:lineRule="exact"/>
        <w:ind w:firstLine="420"/>
        <w:jc w:val="right"/>
        <w:rPr>
          <w:rFonts w:ascii="Calibri" w:hAnsi="Calibri" w:cs="Calibri"/>
          <w:bCs/>
          <w:szCs w:val="32"/>
        </w:rPr>
      </w:pPr>
    </w:p>
    <w:p>
      <w:pPr>
        <w:adjustRightInd w:val="0"/>
        <w:snapToGrid w:val="0"/>
        <w:spacing w:line="360" w:lineRule="auto"/>
        <w:ind w:left="1" w:firstLine="560" w:firstLineChars="200"/>
        <w:rPr>
          <w:rFonts w:ascii="宋体" w:hAnsi="宋体"/>
          <w:b/>
          <w:sz w:val="24"/>
          <w:highlight w:val="yellow"/>
        </w:rPr>
      </w:pPr>
      <w:r>
        <w:rPr>
          <w:rFonts w:hint="eastAsia" w:ascii="仿宋_GB2312" w:hAnsi="Times New Roman" w:eastAsia="仿宋_GB2312"/>
          <w:sz w:val="28"/>
          <w:szCs w:val="28"/>
        </w:rPr>
        <w:t>附件3：</w:t>
      </w:r>
    </w:p>
    <w:p>
      <w:pPr>
        <w:spacing w:line="560" w:lineRule="exact"/>
        <w:ind w:firstLine="560"/>
        <w:jc w:val="center"/>
        <w:rPr>
          <w:rFonts w:ascii="仿宋_GB2312" w:hAnsi="Times New Roman" w:eastAsia="仿宋_GB2312"/>
          <w:sz w:val="28"/>
          <w:szCs w:val="28"/>
        </w:rPr>
      </w:pPr>
      <w:r>
        <w:rPr>
          <w:rFonts w:hint="eastAsia" w:ascii="仿宋_GB2312" w:hAnsi="Times New Roman" w:eastAsia="仿宋_GB2312"/>
          <w:sz w:val="28"/>
          <w:szCs w:val="28"/>
        </w:rPr>
        <w:t>航站楼花堆提升项目外包服务质量年度考核制度</w:t>
      </w:r>
    </w:p>
    <w:p>
      <w:pPr>
        <w:spacing w:line="560" w:lineRule="exact"/>
        <w:ind w:firstLine="560"/>
        <w:jc w:val="center"/>
        <w:rPr>
          <w:rFonts w:ascii="仿宋_GB2312" w:hAnsi="Times New Roman" w:eastAsia="仿宋_GB2312"/>
          <w:sz w:val="28"/>
          <w:szCs w:val="28"/>
        </w:rPr>
      </w:pPr>
    </w:p>
    <w:p>
      <w:pPr>
        <w:adjustRightInd w:val="0"/>
        <w:snapToGrid w:val="0"/>
        <w:spacing w:line="360" w:lineRule="auto"/>
        <w:ind w:left="1" w:firstLine="560" w:firstLineChars="200"/>
        <w:rPr>
          <w:rFonts w:ascii="仿宋_GB2312" w:hAnsi="Times New Roman" w:eastAsia="仿宋_GB2312"/>
          <w:sz w:val="28"/>
          <w:szCs w:val="28"/>
        </w:rPr>
      </w:pPr>
      <w:r>
        <w:rPr>
          <w:rFonts w:hint="eastAsia" w:ascii="仿宋_GB2312" w:hAnsi="Times New Roman" w:eastAsia="仿宋_GB2312"/>
          <w:sz w:val="28"/>
          <w:szCs w:val="28"/>
        </w:rPr>
        <w:t>为进一步提升杭州萧山机场航站楼花堆提升项目外包服务服务质量，规范盆花租摆合同管理，杭州萧山国际机场有限公司（以下简称甲方）根据与</w:t>
      </w:r>
      <w:r>
        <w:rPr>
          <w:rFonts w:ascii="仿宋_GB2312" w:hAnsi="Times New Roman" w:eastAsia="仿宋_GB2312"/>
          <w:sz w:val="28"/>
          <w:szCs w:val="28"/>
        </w:rPr>
        <w:t xml:space="preserve">                     </w:t>
      </w:r>
      <w:r>
        <w:rPr>
          <w:rFonts w:hint="eastAsia" w:ascii="仿宋_GB2312" w:hAnsi="Times New Roman" w:eastAsia="仿宋_GB2312"/>
          <w:sz w:val="28"/>
          <w:szCs w:val="28"/>
        </w:rPr>
        <w:t>（以下简称乙方）签订之航站楼花堆提升项目合同（下称“花堆提升合同”）的有关条款，特制定以下航站楼花堆提升项目外包服务质量年度考核制度。</w:t>
      </w:r>
    </w:p>
    <w:p>
      <w:pPr>
        <w:adjustRightInd w:val="0"/>
        <w:snapToGrid w:val="0"/>
        <w:spacing w:line="360" w:lineRule="auto"/>
        <w:ind w:left="1" w:firstLine="560" w:firstLineChars="200"/>
        <w:rPr>
          <w:rFonts w:ascii="仿宋_GB2312" w:hAnsi="Times New Roman" w:eastAsia="仿宋_GB2312"/>
          <w:sz w:val="28"/>
          <w:szCs w:val="28"/>
        </w:rPr>
      </w:pPr>
      <w:r>
        <w:rPr>
          <w:rFonts w:hint="eastAsia" w:ascii="仿宋_GB2312" w:hAnsi="Times New Roman" w:eastAsia="仿宋_GB2312"/>
          <w:sz w:val="28"/>
          <w:szCs w:val="28"/>
        </w:rPr>
        <w:t>一、考核内容</w:t>
      </w:r>
    </w:p>
    <w:p>
      <w:pPr>
        <w:adjustRightInd w:val="0"/>
        <w:snapToGrid w:val="0"/>
        <w:spacing w:line="360" w:lineRule="auto"/>
        <w:ind w:left="1" w:firstLine="560" w:firstLineChars="200"/>
        <w:rPr>
          <w:rFonts w:ascii="仿宋_GB2312" w:hAnsi="Times New Roman" w:eastAsia="仿宋_GB2312"/>
          <w:sz w:val="28"/>
          <w:szCs w:val="28"/>
        </w:rPr>
      </w:pPr>
      <w:r>
        <w:rPr>
          <w:rFonts w:hint="eastAsia" w:ascii="仿宋_GB2312" w:hAnsi="Times New Roman" w:eastAsia="仿宋_GB2312"/>
          <w:sz w:val="28"/>
          <w:szCs w:val="28"/>
        </w:rPr>
        <w:t>航站楼花堆提升项目外包服务质量年度考核是指甲方根据乙方投标文件中提供的花堆摆放及养护的承诺，对乙方的现场花堆摆放服务质量和公司管理情况两方面进行综合考核，并设定否决性指标。其中：</w:t>
      </w:r>
    </w:p>
    <w:p>
      <w:pPr>
        <w:adjustRightInd w:val="0"/>
        <w:snapToGrid w:val="0"/>
        <w:spacing w:line="360" w:lineRule="auto"/>
        <w:ind w:left="1" w:firstLine="560" w:firstLineChars="200"/>
        <w:rPr>
          <w:rFonts w:ascii="仿宋_GB2312" w:hAnsi="Times New Roman" w:eastAsia="仿宋_GB2312"/>
          <w:sz w:val="28"/>
          <w:szCs w:val="28"/>
        </w:rPr>
      </w:pPr>
      <w:r>
        <w:rPr>
          <w:rFonts w:ascii="仿宋_GB2312" w:hAnsi="Times New Roman" w:eastAsia="仿宋_GB2312"/>
          <w:sz w:val="28"/>
          <w:szCs w:val="28"/>
        </w:rPr>
        <w:t>1</w:t>
      </w:r>
      <w:r>
        <w:rPr>
          <w:rFonts w:hint="eastAsia" w:ascii="仿宋_GB2312" w:hAnsi="Times New Roman" w:eastAsia="仿宋_GB2312"/>
          <w:sz w:val="28"/>
          <w:szCs w:val="28"/>
        </w:rPr>
        <w:t>、现场花堆摆放服务质量，是指甲方根据招标文件、合同条款及乙方提供的作业标准、质量要求，结合日常检查和专项检查情况，对乙方所承包的花堆摆放范围进行质量考核。</w:t>
      </w:r>
    </w:p>
    <w:p>
      <w:pPr>
        <w:adjustRightInd w:val="0"/>
        <w:snapToGrid w:val="0"/>
        <w:spacing w:line="360" w:lineRule="auto"/>
        <w:ind w:left="1" w:firstLine="560" w:firstLineChars="200"/>
        <w:rPr>
          <w:rFonts w:ascii="仿宋_GB2312" w:hAnsi="Times New Roman" w:eastAsia="仿宋_GB2312"/>
          <w:sz w:val="28"/>
          <w:szCs w:val="28"/>
        </w:rPr>
      </w:pPr>
      <w:r>
        <w:rPr>
          <w:rFonts w:ascii="仿宋_GB2312" w:hAnsi="Times New Roman" w:eastAsia="仿宋_GB2312"/>
          <w:sz w:val="28"/>
          <w:szCs w:val="28"/>
        </w:rPr>
        <w:t>2</w:t>
      </w:r>
      <w:r>
        <w:rPr>
          <w:rFonts w:hint="eastAsia" w:ascii="仿宋_GB2312" w:hAnsi="Times New Roman" w:eastAsia="仿宋_GB2312"/>
          <w:sz w:val="28"/>
          <w:szCs w:val="28"/>
        </w:rPr>
        <w:t>、公司管理情况考核，是指甲方根据招标文件、合同条款以及对乙方提供的航站楼花堆摆放方案与实施计划、人力配置、各项管理制度等对乙方的安全管理情况、行政、管理、培训和人力配置、投诉、事件处理、员工行为及形象管理、机器设备管理情况进行检查和考核。</w:t>
      </w:r>
    </w:p>
    <w:p>
      <w:pPr>
        <w:adjustRightInd w:val="0"/>
        <w:snapToGrid w:val="0"/>
        <w:spacing w:line="360" w:lineRule="auto"/>
        <w:ind w:left="1" w:firstLine="560" w:firstLineChars="200"/>
        <w:rPr>
          <w:rFonts w:ascii="仿宋_GB2312" w:hAnsi="Times New Roman" w:eastAsia="仿宋_GB2312"/>
          <w:sz w:val="28"/>
          <w:szCs w:val="28"/>
        </w:rPr>
      </w:pPr>
      <w:r>
        <w:rPr>
          <w:rFonts w:ascii="仿宋_GB2312" w:hAnsi="Times New Roman" w:eastAsia="仿宋_GB2312"/>
          <w:sz w:val="28"/>
          <w:szCs w:val="28"/>
        </w:rPr>
        <w:t>3</w:t>
      </w:r>
      <w:r>
        <w:rPr>
          <w:rFonts w:hint="eastAsia" w:ascii="仿宋_GB2312" w:hAnsi="Times New Roman" w:eastAsia="仿宋_GB2312"/>
          <w:sz w:val="28"/>
          <w:szCs w:val="28"/>
        </w:rPr>
        <w:t>、否决性指标，是指因乙方责任原因，使甲方产生重大安全隐患或发生重大安全事故，造成重大影响的，甲方有权判定乙方本年度考核不合格，同时乙方须承担所造成的一切损失及相关责任。主要为以下几类：</w:t>
      </w:r>
    </w:p>
    <w:p>
      <w:pPr>
        <w:adjustRightInd w:val="0"/>
        <w:snapToGrid w:val="0"/>
        <w:spacing w:line="360" w:lineRule="auto"/>
        <w:ind w:left="1" w:firstLine="560" w:firstLineChars="200"/>
        <w:rPr>
          <w:rFonts w:ascii="仿宋_GB2312" w:hAnsi="Times New Roman" w:eastAsia="仿宋_GB2312"/>
          <w:sz w:val="28"/>
          <w:szCs w:val="28"/>
        </w:rPr>
      </w:pPr>
      <w:r>
        <w:rPr>
          <w:rFonts w:ascii="仿宋_GB2312" w:hAnsi="Times New Roman" w:eastAsia="仿宋_GB2312"/>
          <w:sz w:val="28"/>
          <w:szCs w:val="28"/>
        </w:rPr>
        <w:t xml:space="preserve">    </w:t>
      </w:r>
      <w:r>
        <w:rPr>
          <w:rFonts w:hint="eastAsia" w:ascii="仿宋_GB2312" w:hAnsi="Times New Roman" w:eastAsia="仿宋_GB2312"/>
          <w:sz w:val="28"/>
          <w:szCs w:val="28"/>
        </w:rPr>
        <w:t>（</w:t>
      </w:r>
      <w:r>
        <w:rPr>
          <w:rFonts w:ascii="仿宋_GB2312" w:hAnsi="Times New Roman" w:eastAsia="仿宋_GB2312"/>
          <w:sz w:val="28"/>
          <w:szCs w:val="28"/>
        </w:rPr>
        <w:t>1</w:t>
      </w:r>
      <w:r>
        <w:rPr>
          <w:rFonts w:hint="eastAsia" w:ascii="仿宋_GB2312" w:hAnsi="Times New Roman" w:eastAsia="仿宋_GB2312"/>
          <w:sz w:val="28"/>
          <w:szCs w:val="28"/>
        </w:rPr>
        <w:t>）其所负责的花堆摆放区域因责任原因发生火灾的；</w:t>
      </w:r>
    </w:p>
    <w:p>
      <w:pPr>
        <w:adjustRightInd w:val="0"/>
        <w:snapToGrid w:val="0"/>
        <w:spacing w:line="360" w:lineRule="auto"/>
        <w:ind w:left="1" w:firstLine="560" w:firstLineChars="200"/>
        <w:rPr>
          <w:rFonts w:ascii="仿宋_GB2312" w:hAnsi="Times New Roman" w:eastAsia="仿宋_GB2312"/>
          <w:sz w:val="28"/>
          <w:szCs w:val="28"/>
        </w:rPr>
      </w:pPr>
      <w:r>
        <w:rPr>
          <w:rFonts w:ascii="仿宋_GB2312" w:hAnsi="Times New Roman" w:eastAsia="仿宋_GB2312"/>
          <w:sz w:val="28"/>
          <w:szCs w:val="28"/>
        </w:rPr>
        <w:t xml:space="preserve">    </w:t>
      </w:r>
      <w:r>
        <w:rPr>
          <w:rFonts w:hint="eastAsia" w:ascii="仿宋_GB2312" w:hAnsi="Times New Roman" w:eastAsia="仿宋_GB2312"/>
          <w:sz w:val="28"/>
          <w:szCs w:val="28"/>
        </w:rPr>
        <w:t>（</w:t>
      </w:r>
      <w:r>
        <w:rPr>
          <w:rFonts w:ascii="仿宋_GB2312" w:hAnsi="Times New Roman" w:eastAsia="仿宋_GB2312"/>
          <w:sz w:val="28"/>
          <w:szCs w:val="28"/>
        </w:rPr>
        <w:t>2</w:t>
      </w:r>
      <w:r>
        <w:rPr>
          <w:rFonts w:hint="eastAsia" w:ascii="仿宋_GB2312" w:hAnsi="Times New Roman" w:eastAsia="仿宋_GB2312"/>
          <w:sz w:val="28"/>
          <w:szCs w:val="28"/>
        </w:rPr>
        <w:t>）因其责任原因导致通行证遗失等造成空防事故隐患的；</w:t>
      </w:r>
    </w:p>
    <w:p>
      <w:pPr>
        <w:adjustRightInd w:val="0"/>
        <w:snapToGrid w:val="0"/>
        <w:spacing w:line="360" w:lineRule="auto"/>
        <w:ind w:left="1" w:firstLine="560" w:firstLineChars="200"/>
        <w:rPr>
          <w:rFonts w:ascii="仿宋_GB2312" w:hAnsi="Times New Roman" w:eastAsia="仿宋_GB2312"/>
          <w:sz w:val="28"/>
          <w:szCs w:val="28"/>
        </w:rPr>
      </w:pPr>
      <w:r>
        <w:rPr>
          <w:rFonts w:ascii="仿宋_GB2312" w:hAnsi="Times New Roman" w:eastAsia="仿宋_GB2312"/>
          <w:sz w:val="28"/>
          <w:szCs w:val="28"/>
        </w:rPr>
        <w:t xml:space="preserve">    </w:t>
      </w:r>
      <w:r>
        <w:rPr>
          <w:rFonts w:hint="eastAsia" w:ascii="仿宋_GB2312" w:hAnsi="Times New Roman" w:eastAsia="仿宋_GB2312"/>
          <w:sz w:val="28"/>
          <w:szCs w:val="28"/>
        </w:rPr>
        <w:t>（</w:t>
      </w:r>
      <w:r>
        <w:rPr>
          <w:rFonts w:ascii="仿宋_GB2312" w:hAnsi="Times New Roman" w:eastAsia="仿宋_GB2312"/>
          <w:sz w:val="28"/>
          <w:szCs w:val="28"/>
        </w:rPr>
        <w:t>3</w:t>
      </w:r>
      <w:r>
        <w:rPr>
          <w:rFonts w:hint="eastAsia" w:ascii="仿宋_GB2312" w:hAnsi="Times New Roman" w:eastAsia="仿宋_GB2312"/>
          <w:sz w:val="28"/>
          <w:szCs w:val="28"/>
        </w:rPr>
        <w:t>）花堆摆放区域内存放易燃易爆及危险物品隐瞒不报的；</w:t>
      </w:r>
    </w:p>
    <w:p>
      <w:pPr>
        <w:adjustRightInd w:val="0"/>
        <w:snapToGrid w:val="0"/>
        <w:spacing w:line="360" w:lineRule="auto"/>
        <w:ind w:left="1" w:firstLine="560" w:firstLineChars="200"/>
        <w:rPr>
          <w:rFonts w:ascii="仿宋_GB2312" w:hAnsi="Times New Roman" w:eastAsia="仿宋_GB2312"/>
          <w:sz w:val="28"/>
          <w:szCs w:val="28"/>
        </w:rPr>
      </w:pPr>
      <w:r>
        <w:rPr>
          <w:rFonts w:ascii="仿宋_GB2312" w:hAnsi="Times New Roman" w:eastAsia="仿宋_GB2312"/>
          <w:sz w:val="28"/>
          <w:szCs w:val="28"/>
        </w:rPr>
        <w:t xml:space="preserve">    </w:t>
      </w:r>
      <w:r>
        <w:rPr>
          <w:rFonts w:hint="eastAsia" w:ascii="仿宋_GB2312" w:hAnsi="Times New Roman" w:eastAsia="仿宋_GB2312"/>
          <w:sz w:val="28"/>
          <w:szCs w:val="28"/>
        </w:rPr>
        <w:t>（</w:t>
      </w:r>
      <w:r>
        <w:rPr>
          <w:rFonts w:ascii="仿宋_GB2312" w:hAnsi="Times New Roman" w:eastAsia="仿宋_GB2312"/>
          <w:sz w:val="28"/>
          <w:szCs w:val="28"/>
        </w:rPr>
        <w:t>4</w:t>
      </w:r>
      <w:r>
        <w:rPr>
          <w:rFonts w:hint="eastAsia" w:ascii="仿宋_GB2312" w:hAnsi="Times New Roman" w:eastAsia="仿宋_GB2312"/>
          <w:sz w:val="28"/>
          <w:szCs w:val="28"/>
        </w:rPr>
        <w:t>）所负责花堆摆放区域内因责任原因发生旅客或员工重伤、死亡的。</w:t>
      </w:r>
    </w:p>
    <w:p>
      <w:pPr>
        <w:adjustRightInd w:val="0"/>
        <w:snapToGrid w:val="0"/>
        <w:spacing w:line="360" w:lineRule="auto"/>
        <w:ind w:left="1" w:firstLine="560" w:firstLineChars="200"/>
        <w:rPr>
          <w:rFonts w:ascii="仿宋_GB2312" w:hAnsi="Times New Roman" w:eastAsia="仿宋_GB2312"/>
          <w:sz w:val="28"/>
          <w:szCs w:val="28"/>
        </w:rPr>
      </w:pPr>
      <w:r>
        <w:rPr>
          <w:rFonts w:hint="eastAsia" w:ascii="仿宋_GB2312" w:hAnsi="Times New Roman" w:eastAsia="仿宋_GB2312"/>
          <w:sz w:val="28"/>
          <w:szCs w:val="28"/>
        </w:rPr>
        <w:t>二、考核周期</w:t>
      </w:r>
    </w:p>
    <w:p>
      <w:pPr>
        <w:adjustRightInd w:val="0"/>
        <w:snapToGrid w:val="0"/>
        <w:spacing w:line="360" w:lineRule="auto"/>
        <w:ind w:left="1" w:firstLine="560" w:firstLineChars="200"/>
        <w:rPr>
          <w:rFonts w:ascii="仿宋_GB2312" w:hAnsi="Times New Roman" w:eastAsia="仿宋_GB2312"/>
          <w:sz w:val="28"/>
          <w:szCs w:val="28"/>
        </w:rPr>
      </w:pPr>
      <w:r>
        <w:rPr>
          <w:rFonts w:hint="eastAsia" w:ascii="仿宋_GB2312" w:hAnsi="Times New Roman" w:eastAsia="仿宋_GB2312"/>
          <w:sz w:val="28"/>
          <w:szCs w:val="28"/>
        </w:rPr>
        <w:t>采用节假日考核形式。</w:t>
      </w:r>
    </w:p>
    <w:p>
      <w:pPr>
        <w:adjustRightInd w:val="0"/>
        <w:snapToGrid w:val="0"/>
        <w:spacing w:line="360" w:lineRule="auto"/>
        <w:ind w:left="1" w:firstLine="560" w:firstLineChars="200"/>
        <w:rPr>
          <w:rFonts w:ascii="仿宋_GB2312" w:hAnsi="Times New Roman" w:eastAsia="仿宋_GB2312"/>
          <w:sz w:val="28"/>
          <w:szCs w:val="28"/>
        </w:rPr>
      </w:pPr>
      <w:r>
        <w:rPr>
          <w:rFonts w:hint="eastAsia" w:ascii="仿宋_GB2312" w:hAnsi="Times New Roman" w:eastAsia="仿宋_GB2312"/>
          <w:sz w:val="28"/>
          <w:szCs w:val="28"/>
        </w:rPr>
        <w:t>三、考核方法</w:t>
      </w:r>
    </w:p>
    <w:p>
      <w:pPr>
        <w:adjustRightInd w:val="0"/>
        <w:snapToGrid w:val="0"/>
        <w:spacing w:line="360" w:lineRule="auto"/>
        <w:ind w:left="1" w:firstLine="560" w:firstLineChars="200"/>
        <w:rPr>
          <w:rFonts w:ascii="仿宋_GB2312" w:hAnsi="Times New Roman" w:eastAsia="仿宋_GB2312"/>
          <w:sz w:val="28"/>
          <w:szCs w:val="28"/>
        </w:rPr>
      </w:pPr>
      <w:r>
        <w:rPr>
          <w:rFonts w:hint="eastAsia" w:ascii="仿宋_GB2312" w:hAnsi="Times New Roman" w:eastAsia="仿宋_GB2312"/>
          <w:sz w:val="28"/>
          <w:szCs w:val="28"/>
        </w:rPr>
        <w:t>每一个节假日后</w:t>
      </w:r>
      <w:r>
        <w:rPr>
          <w:rFonts w:ascii="仿宋_GB2312" w:hAnsi="Times New Roman" w:eastAsia="仿宋_GB2312"/>
          <w:sz w:val="28"/>
          <w:szCs w:val="28"/>
        </w:rPr>
        <w:t>3天，甲方组成考核小组，甲方根据招标文件、合同、投标文件及《航站楼花堆摆放项目外包服务质量年度考核制度》（附件七）对乙方进行考核。</w:t>
      </w:r>
    </w:p>
    <w:p>
      <w:pPr>
        <w:adjustRightInd w:val="0"/>
        <w:snapToGrid w:val="0"/>
        <w:spacing w:line="360" w:lineRule="auto"/>
        <w:ind w:left="1" w:firstLine="560" w:firstLineChars="200"/>
        <w:rPr>
          <w:rFonts w:ascii="仿宋_GB2312" w:hAnsi="Times New Roman" w:eastAsia="仿宋_GB2312"/>
          <w:sz w:val="28"/>
          <w:szCs w:val="28"/>
        </w:rPr>
      </w:pPr>
      <w:r>
        <w:rPr>
          <w:rFonts w:hint="eastAsia" w:ascii="仿宋_GB2312" w:hAnsi="Times New Roman" w:eastAsia="仿宋_GB2312"/>
          <w:sz w:val="28"/>
          <w:szCs w:val="28"/>
        </w:rPr>
        <w:t>四、考核计分</w:t>
      </w:r>
    </w:p>
    <w:p>
      <w:pPr>
        <w:adjustRightInd w:val="0"/>
        <w:snapToGrid w:val="0"/>
        <w:spacing w:line="360" w:lineRule="auto"/>
        <w:ind w:left="1" w:firstLine="560" w:firstLineChars="200"/>
        <w:rPr>
          <w:rFonts w:ascii="仿宋_GB2312" w:hAnsi="Times New Roman" w:eastAsia="仿宋_GB2312"/>
          <w:sz w:val="28"/>
          <w:szCs w:val="28"/>
        </w:rPr>
      </w:pPr>
      <w:r>
        <w:rPr>
          <w:rFonts w:hint="eastAsia" w:ascii="仿宋_GB2312" w:hAnsi="Times New Roman" w:eastAsia="仿宋_GB2312"/>
          <w:sz w:val="28"/>
          <w:szCs w:val="28"/>
        </w:rPr>
        <w:t>航站楼花堆提升项目外包服务质量年度考核采取百分制，甲方将考核内容，按一定权重及比例换算成考核成绩。考核成绩主要由现场花堆摆放服务质量和公司管理情况两部分组成，分别占总分的</w:t>
      </w:r>
      <w:r>
        <w:rPr>
          <w:rFonts w:ascii="仿宋_GB2312" w:hAnsi="Times New Roman" w:eastAsia="仿宋_GB2312"/>
          <w:sz w:val="28"/>
          <w:szCs w:val="28"/>
        </w:rPr>
        <w:t>70%</w:t>
      </w:r>
      <w:r>
        <w:rPr>
          <w:rFonts w:hint="eastAsia" w:ascii="仿宋_GB2312" w:hAnsi="Times New Roman" w:eastAsia="仿宋_GB2312"/>
          <w:sz w:val="28"/>
          <w:szCs w:val="28"/>
        </w:rPr>
        <w:t>和</w:t>
      </w:r>
      <w:r>
        <w:rPr>
          <w:rFonts w:ascii="仿宋_GB2312" w:hAnsi="Times New Roman" w:eastAsia="仿宋_GB2312"/>
          <w:sz w:val="28"/>
          <w:szCs w:val="28"/>
        </w:rPr>
        <w:t>30%</w:t>
      </w:r>
      <w:r>
        <w:rPr>
          <w:rFonts w:hint="eastAsia" w:ascii="仿宋_GB2312" w:hAnsi="Times New Roman" w:eastAsia="仿宋_GB2312"/>
          <w:sz w:val="28"/>
          <w:szCs w:val="28"/>
        </w:rPr>
        <w:t>。总分</w:t>
      </w:r>
      <w:r>
        <w:rPr>
          <w:rFonts w:ascii="仿宋_GB2312" w:hAnsi="Times New Roman" w:eastAsia="仿宋_GB2312"/>
          <w:sz w:val="28"/>
          <w:szCs w:val="28"/>
        </w:rPr>
        <w:t>75分为合格。</w:t>
      </w:r>
    </w:p>
    <w:p>
      <w:pPr>
        <w:adjustRightInd w:val="0"/>
        <w:snapToGrid w:val="0"/>
        <w:spacing w:line="360" w:lineRule="auto"/>
        <w:ind w:left="1" w:firstLine="560" w:firstLineChars="200"/>
        <w:rPr>
          <w:rFonts w:ascii="仿宋_GB2312" w:hAnsi="Times New Roman" w:eastAsia="仿宋_GB2312"/>
          <w:sz w:val="28"/>
          <w:szCs w:val="28"/>
        </w:rPr>
      </w:pPr>
      <w:r>
        <w:rPr>
          <w:rFonts w:hint="eastAsia" w:ascii="仿宋_GB2312" w:hAnsi="Times New Roman" w:eastAsia="仿宋_GB2312"/>
          <w:sz w:val="28"/>
          <w:szCs w:val="28"/>
        </w:rPr>
        <w:t>五、考核依据</w:t>
      </w:r>
    </w:p>
    <w:p>
      <w:pPr>
        <w:adjustRightInd w:val="0"/>
        <w:snapToGrid w:val="0"/>
        <w:spacing w:line="360" w:lineRule="auto"/>
        <w:ind w:left="1" w:firstLine="560" w:firstLineChars="200"/>
        <w:rPr>
          <w:rFonts w:ascii="仿宋_GB2312" w:hAnsi="Times New Roman" w:eastAsia="仿宋_GB2312"/>
          <w:sz w:val="28"/>
          <w:szCs w:val="28"/>
        </w:rPr>
      </w:pPr>
      <w:r>
        <w:rPr>
          <w:rFonts w:ascii="仿宋_GB2312" w:hAnsi="Times New Roman" w:eastAsia="仿宋_GB2312"/>
          <w:sz w:val="28"/>
          <w:szCs w:val="28"/>
        </w:rPr>
        <w:t>1、甲方依据《航站楼花堆摆放项目外包服务质量考评标准》（附件五）对乙方租</w:t>
      </w:r>
      <w:r>
        <w:rPr>
          <w:rFonts w:hint="eastAsia" w:ascii="仿宋_GB2312" w:hAnsi="Times New Roman" w:eastAsia="仿宋_GB2312"/>
          <w:sz w:val="28"/>
          <w:szCs w:val="28"/>
        </w:rPr>
        <w:t>摆管理进行月度百分制考评，其考核年度月度百分制考评得分的算术平均分作为“现场花堆摆放服务质量”考核得分。</w:t>
      </w:r>
    </w:p>
    <w:p>
      <w:pPr>
        <w:adjustRightInd w:val="0"/>
        <w:snapToGrid w:val="0"/>
        <w:spacing w:line="360" w:lineRule="auto"/>
        <w:ind w:left="1" w:firstLine="560" w:firstLineChars="200"/>
        <w:rPr>
          <w:rFonts w:ascii="仿宋_GB2312" w:hAnsi="Times New Roman" w:eastAsia="仿宋_GB2312"/>
          <w:sz w:val="28"/>
          <w:szCs w:val="28"/>
        </w:rPr>
      </w:pPr>
      <w:r>
        <w:rPr>
          <w:rFonts w:ascii="仿宋_GB2312" w:hAnsi="Times New Roman" w:eastAsia="仿宋_GB2312"/>
          <w:sz w:val="28"/>
          <w:szCs w:val="28"/>
        </w:rPr>
        <w:t>2、“公司管理情况”考核依据为：乙方向甲方申报审核的月度工作计划、组织方案和季度工作报告；按照ISO9001</w:t>
      </w:r>
      <w:r>
        <w:rPr>
          <w:rFonts w:hint="eastAsia" w:ascii="仿宋_GB2312" w:hAnsi="Times New Roman" w:eastAsia="仿宋_GB2312"/>
          <w:sz w:val="28"/>
          <w:szCs w:val="28"/>
        </w:rPr>
        <w:t>、公司</w:t>
      </w:r>
      <w:r>
        <w:rPr>
          <w:rFonts w:ascii="仿宋_GB2312" w:hAnsi="Times New Roman" w:eastAsia="仿宋_GB2312"/>
          <w:sz w:val="28"/>
          <w:szCs w:val="28"/>
        </w:rPr>
        <w:t>ASQ</w:t>
      </w:r>
      <w:r>
        <w:rPr>
          <w:rFonts w:hint="eastAsia" w:ascii="仿宋_GB2312" w:hAnsi="Times New Roman" w:eastAsia="仿宋_GB2312"/>
          <w:sz w:val="28"/>
          <w:szCs w:val="28"/>
        </w:rPr>
        <w:t>年度测评目标、公司服务质量管理的要求，根据日常管理和服务需要，按照《航站楼绿化管理标准》（附件二）、《航站楼景观布置管理标准》（附件三）、《杭州萧山国际机场航站楼花堆摆放规范要求》（附件四）要求，编制适宜、可行的日常操作文件、盆花租摆流程标准和相应的记录表式；相应的盆花租摆养护记录。</w:t>
      </w:r>
    </w:p>
    <w:p>
      <w:pPr>
        <w:adjustRightInd w:val="0"/>
        <w:snapToGrid w:val="0"/>
        <w:spacing w:line="360" w:lineRule="auto"/>
        <w:ind w:left="1" w:firstLine="560" w:firstLineChars="200"/>
        <w:rPr>
          <w:rFonts w:ascii="仿宋_GB2312" w:hAnsi="Times New Roman" w:eastAsia="仿宋_GB2312"/>
          <w:sz w:val="28"/>
          <w:szCs w:val="28"/>
        </w:rPr>
      </w:pPr>
      <w:r>
        <w:rPr>
          <w:rFonts w:ascii="仿宋_GB2312" w:hAnsi="Times New Roman" w:eastAsia="仿宋_GB2312"/>
          <w:sz w:val="28"/>
          <w:szCs w:val="28"/>
        </w:rPr>
        <w:t>3、乙方在服务期内在其盆花租摆服务区域内发生否决性指标所指向的任何情况，甲方即判定乙方当年考核不合格。</w:t>
      </w:r>
    </w:p>
    <w:p>
      <w:pPr>
        <w:adjustRightInd w:val="0"/>
        <w:snapToGrid w:val="0"/>
        <w:spacing w:line="360" w:lineRule="auto"/>
        <w:ind w:left="1" w:firstLine="560" w:firstLineChars="200"/>
        <w:rPr>
          <w:rFonts w:ascii="仿宋_GB2312" w:hAnsi="Times New Roman" w:eastAsia="仿宋_GB2312"/>
          <w:sz w:val="28"/>
          <w:szCs w:val="28"/>
        </w:rPr>
      </w:pPr>
      <w:r>
        <w:rPr>
          <w:rFonts w:hint="eastAsia" w:ascii="仿宋_GB2312" w:hAnsi="Times New Roman" w:eastAsia="仿宋_GB2312"/>
          <w:sz w:val="28"/>
          <w:szCs w:val="28"/>
        </w:rPr>
        <w:t>六、其他</w:t>
      </w:r>
    </w:p>
    <w:p>
      <w:pPr>
        <w:adjustRightInd w:val="0"/>
        <w:snapToGrid w:val="0"/>
        <w:spacing w:line="360" w:lineRule="auto"/>
        <w:ind w:left="1" w:firstLine="560" w:firstLineChars="200"/>
        <w:rPr>
          <w:rFonts w:ascii="仿宋_GB2312" w:hAnsi="Times New Roman" w:eastAsia="仿宋_GB2312"/>
          <w:sz w:val="28"/>
          <w:szCs w:val="28"/>
        </w:rPr>
      </w:pPr>
      <w:r>
        <w:rPr>
          <w:rFonts w:hint="eastAsia" w:ascii="仿宋_GB2312" w:hAnsi="Times New Roman" w:eastAsia="仿宋_GB2312"/>
          <w:sz w:val="28"/>
          <w:szCs w:val="28"/>
        </w:rPr>
        <w:t>该考核制度最终解释权归甲方。</w:t>
      </w:r>
    </w:p>
    <w:p>
      <w:pPr>
        <w:widowControl/>
        <w:jc w:val="left"/>
        <w:rPr>
          <w:rFonts w:cs="Calibri"/>
          <w:bCs/>
          <w:kern w:val="0"/>
          <w:sz w:val="20"/>
          <w:szCs w:val="32"/>
        </w:rPr>
      </w:pPr>
      <w:r>
        <w:rPr>
          <w:rFonts w:cs="Calibri"/>
          <w:bCs/>
          <w:szCs w:val="32"/>
        </w:rPr>
        <w:br w:type="page"/>
      </w:r>
    </w:p>
    <w:p>
      <w:pPr>
        <w:pStyle w:val="21"/>
        <w:spacing w:line="560" w:lineRule="exact"/>
        <w:ind w:firstLine="420"/>
        <w:jc w:val="right"/>
        <w:rPr>
          <w:rFonts w:ascii="Calibri" w:hAnsi="Calibri" w:cs="Calibri"/>
          <w:bCs/>
          <w:szCs w:val="32"/>
        </w:rPr>
        <w:sectPr>
          <w:pgSz w:w="11906" w:h="16838"/>
          <w:pgMar w:top="1134" w:right="1247" w:bottom="1134" w:left="1247" w:header="851" w:footer="1134" w:gutter="0"/>
          <w:pgNumType w:fmt="numberInDash"/>
          <w:cols w:space="720" w:num="1"/>
          <w:docGrid w:linePitch="312" w:charSpace="0"/>
        </w:sectPr>
      </w:pPr>
    </w:p>
    <w:p>
      <w:pPr>
        <w:adjustRightInd w:val="0"/>
        <w:snapToGrid w:val="0"/>
        <w:spacing w:line="360" w:lineRule="auto"/>
        <w:ind w:left="1" w:firstLine="560" w:firstLineChars="200"/>
        <w:rPr>
          <w:rFonts w:ascii="仿宋_GB2312" w:hAnsi="Times New Roman" w:eastAsia="仿宋_GB2312"/>
          <w:sz w:val="28"/>
          <w:szCs w:val="28"/>
        </w:rPr>
      </w:pPr>
      <w:r>
        <w:rPr>
          <w:rFonts w:hint="eastAsia" w:ascii="仿宋_GB2312" w:hAnsi="Times New Roman" w:eastAsia="仿宋_GB2312"/>
          <w:sz w:val="28"/>
          <w:szCs w:val="28"/>
        </w:rPr>
        <w:t>附件4：</w:t>
      </w:r>
    </w:p>
    <w:p>
      <w:pPr>
        <w:jc w:val="center"/>
        <w:rPr>
          <w:rFonts w:ascii="仿宋_GB2312" w:hAnsi="Times New Roman" w:eastAsia="仿宋_GB2312"/>
          <w:sz w:val="28"/>
          <w:szCs w:val="28"/>
        </w:rPr>
      </w:pPr>
      <w:r>
        <w:rPr>
          <w:rFonts w:hint="eastAsia" w:ascii="仿宋_GB2312" w:hAnsi="Times New Roman" w:eastAsia="仿宋_GB2312"/>
          <w:sz w:val="28"/>
          <w:szCs w:val="28"/>
        </w:rPr>
        <w:t>《航站楼花堆提升项目外包服务质量考评标准》</w:t>
      </w:r>
    </w:p>
    <w:p>
      <w:pPr>
        <w:adjustRightInd w:val="0"/>
        <w:snapToGrid w:val="0"/>
        <w:spacing w:line="360" w:lineRule="auto"/>
        <w:ind w:left="1" w:firstLine="480" w:firstLineChars="200"/>
        <w:jc w:val="center"/>
        <w:rPr>
          <w:rFonts w:ascii="宋体" w:hAnsi="宋体"/>
          <w:b/>
          <w:sz w:val="24"/>
          <w:highlight w:val="yellow"/>
        </w:rPr>
      </w:pPr>
    </w:p>
    <w:tbl>
      <w:tblPr>
        <w:tblStyle w:val="53"/>
        <w:tblW w:w="14174" w:type="dxa"/>
        <w:tblInd w:w="0" w:type="dxa"/>
        <w:tblLayout w:type="fixed"/>
        <w:tblCellMar>
          <w:top w:w="0" w:type="dxa"/>
          <w:left w:w="108" w:type="dxa"/>
          <w:bottom w:w="0" w:type="dxa"/>
          <w:right w:w="108" w:type="dxa"/>
        </w:tblCellMar>
      </w:tblPr>
      <w:tblGrid>
        <w:gridCol w:w="1224"/>
        <w:gridCol w:w="1719"/>
        <w:gridCol w:w="9639"/>
        <w:gridCol w:w="1592"/>
      </w:tblGrid>
      <w:tr>
        <w:tblPrEx>
          <w:tblLayout w:type="fixed"/>
          <w:tblCellMar>
            <w:top w:w="0" w:type="dxa"/>
            <w:left w:w="108" w:type="dxa"/>
            <w:bottom w:w="0" w:type="dxa"/>
            <w:right w:w="108" w:type="dxa"/>
          </w:tblCellMar>
        </w:tblPrEx>
        <w:trPr>
          <w:trHeight w:val="285" w:hRule="atLeast"/>
          <w:tblHeader/>
        </w:trPr>
        <w:tc>
          <w:tcPr>
            <w:tcW w:w="1224" w:type="dxa"/>
            <w:tcBorders>
              <w:top w:val="single" w:color="auto" w:sz="8" w:space="0"/>
              <w:left w:val="single" w:color="auto" w:sz="8" w:space="0"/>
              <w:bottom w:val="single" w:color="000000" w:sz="8" w:space="0"/>
              <w:right w:val="single" w:color="auto" w:sz="8" w:space="0"/>
            </w:tcBorders>
            <w:shd w:val="clear" w:color="000000" w:fill="C0C0C0"/>
            <w:vAlign w:val="center"/>
          </w:tcPr>
          <w:p>
            <w:pPr>
              <w:widowControl/>
              <w:ind w:left="451" w:hanging="451"/>
              <w:jc w:val="center"/>
              <w:rPr>
                <w:rFonts w:ascii="宋体" w:hAnsi="宋体" w:cs="宋体"/>
                <w:b/>
                <w:bCs/>
                <w:kern w:val="0"/>
                <w:sz w:val="24"/>
              </w:rPr>
            </w:pPr>
            <w:r>
              <w:rPr>
                <w:rFonts w:hint="eastAsia" w:ascii="宋体" w:hAnsi="宋体" w:cs="宋体"/>
                <w:b/>
                <w:bCs/>
                <w:kern w:val="0"/>
                <w:sz w:val="24"/>
              </w:rPr>
              <w:t>考评项目</w:t>
            </w:r>
          </w:p>
        </w:tc>
        <w:tc>
          <w:tcPr>
            <w:tcW w:w="1719" w:type="dxa"/>
            <w:tcBorders>
              <w:top w:val="single" w:color="auto" w:sz="8" w:space="0"/>
              <w:left w:val="nil"/>
              <w:bottom w:val="single" w:color="000000" w:sz="8" w:space="0"/>
              <w:right w:val="single" w:color="000000" w:sz="8" w:space="0"/>
            </w:tcBorders>
            <w:shd w:val="clear" w:color="000000" w:fill="C0C0C0"/>
            <w:vAlign w:val="center"/>
          </w:tcPr>
          <w:p>
            <w:pPr>
              <w:widowControl/>
              <w:ind w:left="451" w:hanging="451"/>
              <w:jc w:val="center"/>
              <w:rPr>
                <w:rFonts w:ascii="宋体" w:hAnsi="宋体" w:cs="宋体"/>
                <w:b/>
                <w:bCs/>
                <w:kern w:val="0"/>
                <w:sz w:val="24"/>
              </w:rPr>
            </w:pPr>
            <w:r>
              <w:rPr>
                <w:rFonts w:hint="eastAsia" w:ascii="宋体" w:hAnsi="宋体" w:cs="宋体"/>
                <w:b/>
                <w:bCs/>
                <w:kern w:val="0"/>
                <w:sz w:val="24"/>
              </w:rPr>
              <w:t>考评内容</w:t>
            </w:r>
          </w:p>
        </w:tc>
        <w:tc>
          <w:tcPr>
            <w:tcW w:w="9639" w:type="dxa"/>
            <w:tcBorders>
              <w:top w:val="single" w:color="auto" w:sz="8" w:space="0"/>
              <w:left w:val="nil"/>
              <w:bottom w:val="single" w:color="000000" w:sz="8" w:space="0"/>
              <w:right w:val="single" w:color="000000" w:sz="8" w:space="0"/>
            </w:tcBorders>
            <w:shd w:val="clear" w:color="000000" w:fill="C0C0C0"/>
            <w:vAlign w:val="center"/>
          </w:tcPr>
          <w:p>
            <w:pPr>
              <w:widowControl/>
              <w:ind w:left="451" w:hanging="451"/>
              <w:jc w:val="center"/>
              <w:rPr>
                <w:rFonts w:ascii="宋体" w:hAnsi="宋体" w:cs="宋体"/>
                <w:b/>
                <w:bCs/>
                <w:kern w:val="0"/>
                <w:sz w:val="24"/>
              </w:rPr>
            </w:pPr>
            <w:r>
              <w:rPr>
                <w:rFonts w:hint="eastAsia" w:ascii="宋体" w:hAnsi="宋体" w:cs="宋体"/>
                <w:b/>
                <w:bCs/>
                <w:kern w:val="0"/>
                <w:sz w:val="24"/>
              </w:rPr>
              <w:t>评分标准</w:t>
            </w:r>
          </w:p>
        </w:tc>
        <w:tc>
          <w:tcPr>
            <w:tcW w:w="1592" w:type="dxa"/>
            <w:tcBorders>
              <w:top w:val="single" w:color="auto" w:sz="8" w:space="0"/>
              <w:left w:val="nil"/>
              <w:bottom w:val="single" w:color="auto" w:sz="8" w:space="0"/>
              <w:right w:val="single" w:color="000000" w:sz="8" w:space="0"/>
            </w:tcBorders>
            <w:shd w:val="clear" w:color="000000" w:fill="C0C0C0"/>
            <w:vAlign w:val="center"/>
          </w:tcPr>
          <w:p>
            <w:pPr>
              <w:widowControl/>
              <w:ind w:left="451" w:hanging="451"/>
              <w:jc w:val="center"/>
              <w:rPr>
                <w:rFonts w:ascii="宋体" w:hAnsi="宋体" w:cs="宋体"/>
                <w:b/>
                <w:bCs/>
                <w:kern w:val="0"/>
                <w:sz w:val="24"/>
              </w:rPr>
            </w:pPr>
            <w:r>
              <w:rPr>
                <w:rFonts w:hint="eastAsia" w:ascii="宋体" w:hAnsi="宋体" w:cs="宋体"/>
                <w:b/>
                <w:bCs/>
                <w:kern w:val="0"/>
                <w:sz w:val="24"/>
              </w:rPr>
              <w:t>评分说明</w:t>
            </w:r>
          </w:p>
        </w:tc>
      </w:tr>
      <w:tr>
        <w:tblPrEx>
          <w:tblLayout w:type="fixed"/>
          <w:tblCellMar>
            <w:top w:w="0" w:type="dxa"/>
            <w:left w:w="108" w:type="dxa"/>
            <w:bottom w:w="0" w:type="dxa"/>
            <w:right w:w="108" w:type="dxa"/>
          </w:tblCellMar>
        </w:tblPrEx>
        <w:trPr>
          <w:trHeight w:val="105" w:hRule="atLeast"/>
        </w:trPr>
        <w:tc>
          <w:tcPr>
            <w:tcW w:w="1224" w:type="dxa"/>
            <w:vMerge w:val="restart"/>
            <w:tcBorders>
              <w:top w:val="nil"/>
              <w:left w:val="single" w:color="auto" w:sz="8" w:space="0"/>
              <w:bottom w:val="single" w:color="000000"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A安全类</w:t>
            </w:r>
          </w:p>
        </w:tc>
        <w:tc>
          <w:tcPr>
            <w:tcW w:w="1719" w:type="dxa"/>
            <w:vMerge w:val="restart"/>
            <w:tcBorders>
              <w:top w:val="single" w:color="auto" w:sz="8" w:space="0"/>
              <w:left w:val="nil"/>
              <w:right w:val="single" w:color="auto" w:sz="4" w:space="0"/>
            </w:tcBorders>
          </w:tcPr>
          <w:p>
            <w:pPr>
              <w:widowControl/>
              <w:jc w:val="left"/>
              <w:rPr>
                <w:rFonts w:ascii="宋体" w:hAnsi="宋体" w:cs="宋体"/>
                <w:kern w:val="0"/>
                <w:sz w:val="24"/>
              </w:rPr>
            </w:pPr>
            <w:r>
              <w:rPr>
                <w:rFonts w:hint="eastAsia" w:ascii="宋体" w:hAnsi="宋体" w:cs="宋体"/>
                <w:kern w:val="0"/>
                <w:sz w:val="24"/>
              </w:rPr>
              <w:t>1.遵守安全生产规定</w:t>
            </w:r>
          </w:p>
        </w:tc>
        <w:tc>
          <w:tcPr>
            <w:tcW w:w="9639" w:type="dxa"/>
            <w:tcBorders>
              <w:top w:val="single" w:color="auto" w:sz="8" w:space="0"/>
              <w:left w:val="single" w:color="auto" w:sz="4" w:space="0"/>
              <w:bottom w:val="single" w:color="auto" w:sz="8" w:space="0"/>
              <w:right w:val="nil"/>
            </w:tcBorders>
          </w:tcPr>
          <w:p>
            <w:pPr>
              <w:widowControl/>
              <w:jc w:val="left"/>
              <w:rPr>
                <w:rFonts w:ascii="宋体" w:hAnsi="宋体" w:cs="宋体"/>
                <w:kern w:val="0"/>
                <w:sz w:val="24"/>
              </w:rPr>
            </w:pPr>
            <w:r>
              <w:rPr>
                <w:rFonts w:hint="eastAsia" w:ascii="宋体" w:hAnsi="宋体" w:cs="宋体"/>
                <w:kern w:val="0"/>
                <w:sz w:val="24"/>
              </w:rPr>
              <w:t>1.1员工通行证遗失或申办通行证材料虚假。</w:t>
            </w:r>
          </w:p>
        </w:tc>
        <w:tc>
          <w:tcPr>
            <w:tcW w:w="1592" w:type="dxa"/>
            <w:tcBorders>
              <w:top w:val="single" w:color="auto" w:sz="8" w:space="0"/>
              <w:left w:val="single" w:color="auto" w:sz="8" w:space="0"/>
              <w:bottom w:val="nil"/>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扣2分/次</w:t>
            </w:r>
          </w:p>
        </w:tc>
      </w:tr>
      <w:tr>
        <w:tblPrEx>
          <w:tblLayout w:type="fixed"/>
          <w:tblCellMar>
            <w:top w:w="0" w:type="dxa"/>
            <w:left w:w="108" w:type="dxa"/>
            <w:bottom w:w="0" w:type="dxa"/>
            <w:right w:w="108" w:type="dxa"/>
          </w:tblCellMar>
        </w:tblPrEx>
        <w:trPr>
          <w:trHeight w:val="310" w:hRule="atLeast"/>
        </w:trPr>
        <w:tc>
          <w:tcPr>
            <w:tcW w:w="12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kern w:val="0"/>
                <w:sz w:val="24"/>
              </w:rPr>
            </w:pPr>
          </w:p>
        </w:tc>
        <w:tc>
          <w:tcPr>
            <w:tcW w:w="1719" w:type="dxa"/>
            <w:vMerge w:val="continue"/>
            <w:tcBorders>
              <w:left w:val="nil"/>
              <w:right w:val="single" w:color="auto" w:sz="4" w:space="0"/>
            </w:tcBorders>
          </w:tcPr>
          <w:p>
            <w:pPr>
              <w:widowControl/>
              <w:jc w:val="left"/>
              <w:rPr>
                <w:rFonts w:ascii="宋体" w:hAnsi="宋体" w:cs="宋体"/>
                <w:kern w:val="0"/>
                <w:sz w:val="24"/>
              </w:rPr>
            </w:pPr>
          </w:p>
        </w:tc>
        <w:tc>
          <w:tcPr>
            <w:tcW w:w="9639" w:type="dxa"/>
            <w:tcBorders>
              <w:top w:val="single" w:color="auto" w:sz="8" w:space="0"/>
              <w:left w:val="single" w:color="auto" w:sz="4" w:space="0"/>
              <w:bottom w:val="single" w:color="auto" w:sz="8" w:space="0"/>
              <w:right w:val="nil"/>
            </w:tcBorders>
          </w:tcPr>
          <w:p>
            <w:pPr>
              <w:widowControl/>
              <w:jc w:val="left"/>
              <w:rPr>
                <w:rFonts w:ascii="宋体" w:hAnsi="宋体" w:cs="宋体"/>
                <w:kern w:val="0"/>
                <w:sz w:val="24"/>
              </w:rPr>
            </w:pPr>
            <w:r>
              <w:rPr>
                <w:rFonts w:hint="eastAsia" w:ascii="宋体" w:hAnsi="宋体" w:cs="宋体"/>
                <w:kern w:val="0"/>
                <w:sz w:val="24"/>
              </w:rPr>
              <w:t>1.2员工有私拿旅客遗留物品、打架、偷窃等违反综合治理指标的行为。</w:t>
            </w:r>
          </w:p>
        </w:tc>
        <w:tc>
          <w:tcPr>
            <w:tcW w:w="1592" w:type="dxa"/>
            <w:vMerge w:val="restart"/>
            <w:tcBorders>
              <w:top w:val="single" w:color="auto" w:sz="8" w:space="0"/>
              <w:left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扣5分/项/次</w:t>
            </w:r>
          </w:p>
        </w:tc>
      </w:tr>
      <w:tr>
        <w:tblPrEx>
          <w:tblLayout w:type="fixed"/>
          <w:tblCellMar>
            <w:top w:w="0" w:type="dxa"/>
            <w:left w:w="108" w:type="dxa"/>
            <w:bottom w:w="0" w:type="dxa"/>
            <w:right w:w="108" w:type="dxa"/>
          </w:tblCellMar>
        </w:tblPrEx>
        <w:trPr>
          <w:trHeight w:val="105" w:hRule="atLeast"/>
        </w:trPr>
        <w:tc>
          <w:tcPr>
            <w:tcW w:w="12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kern w:val="0"/>
                <w:sz w:val="24"/>
              </w:rPr>
            </w:pPr>
          </w:p>
        </w:tc>
        <w:tc>
          <w:tcPr>
            <w:tcW w:w="1719" w:type="dxa"/>
            <w:vMerge w:val="continue"/>
            <w:tcBorders>
              <w:left w:val="nil"/>
              <w:right w:val="single" w:color="auto" w:sz="4" w:space="0"/>
            </w:tcBorders>
          </w:tcPr>
          <w:p>
            <w:pPr>
              <w:widowControl/>
              <w:jc w:val="left"/>
              <w:rPr>
                <w:rFonts w:ascii="宋体" w:hAnsi="宋体" w:cs="宋体"/>
                <w:kern w:val="0"/>
                <w:sz w:val="24"/>
              </w:rPr>
            </w:pPr>
          </w:p>
        </w:tc>
        <w:tc>
          <w:tcPr>
            <w:tcW w:w="9639" w:type="dxa"/>
            <w:tcBorders>
              <w:top w:val="single" w:color="auto" w:sz="8" w:space="0"/>
              <w:left w:val="nil"/>
              <w:bottom w:val="single" w:color="auto" w:sz="8" w:space="0"/>
              <w:right w:val="single" w:color="auto" w:sz="8" w:space="0"/>
            </w:tcBorders>
          </w:tcPr>
          <w:p>
            <w:pPr>
              <w:widowControl/>
              <w:jc w:val="left"/>
              <w:rPr>
                <w:rFonts w:ascii="宋体" w:hAnsi="宋体" w:cs="宋体"/>
                <w:kern w:val="0"/>
                <w:sz w:val="24"/>
              </w:rPr>
            </w:pPr>
            <w:r>
              <w:rPr>
                <w:rFonts w:hint="eastAsia" w:ascii="宋体" w:hAnsi="宋体" w:cs="宋体"/>
                <w:kern w:val="0"/>
                <w:sz w:val="24"/>
              </w:rPr>
              <w:t>1.3责任区域内因责任原因造成旅客或员工轻微伤害的。</w:t>
            </w:r>
          </w:p>
        </w:tc>
        <w:tc>
          <w:tcPr>
            <w:tcW w:w="1592" w:type="dxa"/>
            <w:vMerge w:val="continue"/>
            <w:tcBorders>
              <w:left w:val="single" w:color="auto" w:sz="8"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105" w:hRule="atLeast"/>
        </w:trPr>
        <w:tc>
          <w:tcPr>
            <w:tcW w:w="12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kern w:val="0"/>
                <w:sz w:val="24"/>
              </w:rPr>
            </w:pPr>
          </w:p>
        </w:tc>
        <w:tc>
          <w:tcPr>
            <w:tcW w:w="1719" w:type="dxa"/>
            <w:vMerge w:val="continue"/>
            <w:tcBorders>
              <w:left w:val="nil"/>
              <w:right w:val="single" w:color="auto" w:sz="4" w:space="0"/>
            </w:tcBorders>
          </w:tcPr>
          <w:p>
            <w:pPr>
              <w:widowControl/>
              <w:jc w:val="left"/>
              <w:rPr>
                <w:rFonts w:ascii="宋体" w:hAnsi="宋体" w:cs="宋体"/>
                <w:kern w:val="0"/>
                <w:sz w:val="24"/>
              </w:rPr>
            </w:pPr>
          </w:p>
        </w:tc>
        <w:tc>
          <w:tcPr>
            <w:tcW w:w="9639" w:type="dxa"/>
            <w:tcBorders>
              <w:top w:val="single" w:color="auto" w:sz="8" w:space="0"/>
              <w:left w:val="nil"/>
              <w:bottom w:val="single" w:color="auto" w:sz="8" w:space="0"/>
              <w:right w:val="single" w:color="auto" w:sz="8" w:space="0"/>
            </w:tcBorders>
          </w:tcPr>
          <w:p>
            <w:pPr>
              <w:widowControl/>
              <w:jc w:val="left"/>
              <w:rPr>
                <w:rFonts w:ascii="宋体" w:hAnsi="宋体" w:cs="宋体"/>
                <w:kern w:val="0"/>
                <w:sz w:val="24"/>
              </w:rPr>
            </w:pPr>
            <w:r>
              <w:rPr>
                <w:rFonts w:hint="eastAsia" w:ascii="宋体" w:hAnsi="宋体" w:cs="宋体"/>
                <w:kern w:val="0"/>
                <w:sz w:val="24"/>
              </w:rPr>
              <w:t>1.4施工单位未签订航站楼安保及消防安全责任书。</w:t>
            </w:r>
          </w:p>
        </w:tc>
        <w:tc>
          <w:tcPr>
            <w:tcW w:w="1592" w:type="dxa"/>
            <w:vMerge w:val="continue"/>
            <w:tcBorders>
              <w:left w:val="single" w:color="auto" w:sz="8" w:space="0"/>
              <w:bottom w:val="single" w:color="auto" w:sz="8"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86" w:hRule="atLeast"/>
        </w:trPr>
        <w:tc>
          <w:tcPr>
            <w:tcW w:w="12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kern w:val="0"/>
                <w:sz w:val="24"/>
              </w:rPr>
            </w:pPr>
          </w:p>
        </w:tc>
        <w:tc>
          <w:tcPr>
            <w:tcW w:w="1719" w:type="dxa"/>
            <w:vMerge w:val="continue"/>
            <w:tcBorders>
              <w:left w:val="nil"/>
              <w:right w:val="single" w:color="auto" w:sz="4" w:space="0"/>
            </w:tcBorders>
            <w:vAlign w:val="center"/>
          </w:tcPr>
          <w:p>
            <w:pPr>
              <w:widowControl/>
              <w:jc w:val="left"/>
              <w:rPr>
                <w:rFonts w:ascii="宋体" w:hAnsi="宋体" w:cs="宋体"/>
                <w:kern w:val="0"/>
                <w:sz w:val="24"/>
              </w:rPr>
            </w:pPr>
          </w:p>
        </w:tc>
        <w:tc>
          <w:tcPr>
            <w:tcW w:w="9639" w:type="dxa"/>
            <w:tcBorders>
              <w:top w:val="single" w:color="auto" w:sz="8" w:space="0"/>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1.5门禁使用不当，发生旅客尾随进入机坪、办公区等。</w:t>
            </w:r>
          </w:p>
        </w:tc>
        <w:tc>
          <w:tcPr>
            <w:tcW w:w="1592" w:type="dxa"/>
            <w:vMerge w:val="restart"/>
            <w:tcBorders>
              <w:top w:val="single" w:color="auto" w:sz="8" w:space="0"/>
              <w:left w:val="nil"/>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扣10分/项/次</w:t>
            </w:r>
          </w:p>
        </w:tc>
      </w:tr>
      <w:tr>
        <w:tblPrEx>
          <w:tblLayout w:type="fixed"/>
          <w:tblCellMar>
            <w:top w:w="0" w:type="dxa"/>
            <w:left w:w="108" w:type="dxa"/>
            <w:bottom w:w="0" w:type="dxa"/>
            <w:right w:w="108" w:type="dxa"/>
          </w:tblCellMar>
        </w:tblPrEx>
        <w:trPr>
          <w:trHeight w:val="86" w:hRule="atLeast"/>
        </w:trPr>
        <w:tc>
          <w:tcPr>
            <w:tcW w:w="12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kern w:val="0"/>
                <w:sz w:val="24"/>
              </w:rPr>
            </w:pPr>
          </w:p>
        </w:tc>
        <w:tc>
          <w:tcPr>
            <w:tcW w:w="1719" w:type="dxa"/>
            <w:vMerge w:val="continue"/>
            <w:tcBorders>
              <w:left w:val="nil"/>
              <w:right w:val="single" w:color="auto" w:sz="4" w:space="0"/>
            </w:tcBorders>
            <w:vAlign w:val="center"/>
          </w:tcPr>
          <w:p>
            <w:pPr>
              <w:widowControl/>
              <w:jc w:val="left"/>
              <w:rPr>
                <w:rFonts w:ascii="宋体" w:hAnsi="宋体" w:cs="宋体"/>
                <w:kern w:val="0"/>
                <w:sz w:val="24"/>
              </w:rPr>
            </w:pPr>
          </w:p>
        </w:tc>
        <w:tc>
          <w:tcPr>
            <w:tcW w:w="9639" w:type="dxa"/>
            <w:tcBorders>
              <w:top w:val="single" w:color="auto" w:sz="8" w:space="0"/>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1.6员工意图携带违禁品进入隔离区。</w:t>
            </w:r>
          </w:p>
        </w:tc>
        <w:tc>
          <w:tcPr>
            <w:tcW w:w="1592" w:type="dxa"/>
            <w:vMerge w:val="continue"/>
            <w:tcBorders>
              <w:left w:val="nil"/>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86" w:hRule="atLeast"/>
        </w:trPr>
        <w:tc>
          <w:tcPr>
            <w:tcW w:w="1224" w:type="dxa"/>
            <w:vMerge w:val="continue"/>
            <w:tcBorders>
              <w:top w:val="nil"/>
              <w:left w:val="single" w:color="auto" w:sz="8" w:space="0"/>
              <w:bottom w:val="single" w:color="000000" w:sz="8" w:space="0"/>
              <w:right w:val="single" w:color="auto" w:sz="8" w:space="0"/>
            </w:tcBorders>
            <w:vAlign w:val="center"/>
          </w:tcPr>
          <w:p>
            <w:pPr>
              <w:widowControl/>
              <w:jc w:val="left"/>
              <w:rPr>
                <w:rFonts w:ascii="宋体" w:hAnsi="宋体" w:cs="宋体"/>
                <w:kern w:val="0"/>
                <w:sz w:val="24"/>
              </w:rPr>
            </w:pPr>
          </w:p>
        </w:tc>
        <w:tc>
          <w:tcPr>
            <w:tcW w:w="1719" w:type="dxa"/>
            <w:vMerge w:val="continue"/>
            <w:tcBorders>
              <w:left w:val="nil"/>
              <w:bottom w:val="single" w:color="auto" w:sz="8" w:space="0"/>
              <w:right w:val="single" w:color="auto" w:sz="4" w:space="0"/>
            </w:tcBorders>
            <w:vAlign w:val="center"/>
          </w:tcPr>
          <w:p>
            <w:pPr>
              <w:widowControl/>
              <w:jc w:val="left"/>
              <w:rPr>
                <w:rFonts w:ascii="宋体" w:hAnsi="宋体" w:cs="宋体"/>
                <w:kern w:val="0"/>
                <w:sz w:val="24"/>
              </w:rPr>
            </w:pPr>
          </w:p>
        </w:tc>
        <w:tc>
          <w:tcPr>
            <w:tcW w:w="9639" w:type="dxa"/>
            <w:tcBorders>
              <w:top w:val="single" w:color="auto" w:sz="8" w:space="0"/>
              <w:left w:val="nil"/>
              <w:bottom w:val="single" w:color="auto" w:sz="8" w:space="0"/>
              <w:right w:val="single" w:color="000000" w:sz="8" w:space="0"/>
            </w:tcBorders>
            <w:vAlign w:val="center"/>
          </w:tcPr>
          <w:p>
            <w:pPr>
              <w:widowControl/>
              <w:jc w:val="left"/>
              <w:rPr>
                <w:rFonts w:ascii="宋体" w:hAnsi="宋体" w:cs="宋体"/>
                <w:kern w:val="0"/>
                <w:sz w:val="24"/>
              </w:rPr>
            </w:pPr>
            <w:r>
              <w:rPr>
                <w:rFonts w:hint="eastAsia" w:ascii="宋体" w:hAnsi="宋体" w:cs="宋体"/>
                <w:kern w:val="0"/>
                <w:sz w:val="24"/>
              </w:rPr>
              <w:t>1.7员工违规使用大功率电器。</w:t>
            </w:r>
          </w:p>
        </w:tc>
        <w:tc>
          <w:tcPr>
            <w:tcW w:w="1592" w:type="dxa"/>
            <w:vMerge w:val="continue"/>
            <w:tcBorders>
              <w:left w:val="nil"/>
              <w:bottom w:val="single" w:color="auto" w:sz="8"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129" w:hRule="atLeast"/>
        </w:trPr>
        <w:tc>
          <w:tcPr>
            <w:tcW w:w="1224" w:type="dxa"/>
            <w:vMerge w:val="restart"/>
            <w:tcBorders>
              <w:top w:val="nil"/>
              <w:left w:val="single" w:color="auto"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B服务类</w:t>
            </w:r>
          </w:p>
          <w:p>
            <w:pPr>
              <w:widowControl/>
              <w:jc w:val="left"/>
              <w:rPr>
                <w:rFonts w:ascii="宋体" w:hAnsi="宋体" w:cs="宋体"/>
                <w:kern w:val="0"/>
                <w:sz w:val="24"/>
              </w:rPr>
            </w:pPr>
          </w:p>
          <w:p>
            <w:pPr>
              <w:jc w:val="left"/>
              <w:rPr>
                <w:rFonts w:ascii="宋体" w:hAnsi="宋体" w:cs="宋体"/>
                <w:kern w:val="0"/>
                <w:sz w:val="24"/>
              </w:rPr>
            </w:pPr>
          </w:p>
        </w:tc>
        <w:tc>
          <w:tcPr>
            <w:tcW w:w="1719" w:type="dxa"/>
            <w:vMerge w:val="restart"/>
            <w:tcBorders>
              <w:top w:val="single" w:color="auto" w:sz="8" w:space="0"/>
              <w:left w:val="nil"/>
              <w:right w:val="single" w:color="000000" w:sz="8" w:space="0"/>
            </w:tcBorders>
          </w:tcPr>
          <w:p>
            <w:pPr>
              <w:widowControl/>
              <w:jc w:val="left"/>
              <w:rPr>
                <w:rFonts w:ascii="宋体" w:hAnsi="宋体" w:cs="宋体"/>
                <w:kern w:val="0"/>
                <w:sz w:val="24"/>
              </w:rPr>
            </w:pPr>
            <w:r>
              <w:rPr>
                <w:rFonts w:hint="eastAsia" w:ascii="宋体" w:hAnsi="宋体" w:cs="宋体"/>
                <w:kern w:val="0"/>
                <w:sz w:val="24"/>
              </w:rPr>
              <w:t>1.投诉</w:t>
            </w:r>
          </w:p>
        </w:tc>
        <w:tc>
          <w:tcPr>
            <w:tcW w:w="9639" w:type="dxa"/>
            <w:tcBorders>
              <w:top w:val="single" w:color="auto" w:sz="8" w:space="0"/>
              <w:left w:val="nil"/>
              <w:bottom w:val="single" w:color="auto" w:sz="8" w:space="0"/>
              <w:right w:val="single" w:color="000000" w:sz="8" w:space="0"/>
            </w:tcBorders>
          </w:tcPr>
          <w:p>
            <w:pPr>
              <w:widowControl/>
              <w:jc w:val="left"/>
              <w:rPr>
                <w:rFonts w:ascii="宋体" w:hAnsi="宋体" w:cs="宋体"/>
                <w:kern w:val="0"/>
                <w:sz w:val="24"/>
              </w:rPr>
            </w:pPr>
            <w:r>
              <w:rPr>
                <w:rFonts w:hint="eastAsia" w:ascii="宋体" w:hAnsi="宋体" w:cs="宋体"/>
                <w:kern w:val="0"/>
                <w:sz w:val="24"/>
              </w:rPr>
              <w:t>1.1因摆放原因造成旅客有效投诉。</w:t>
            </w:r>
          </w:p>
        </w:tc>
        <w:tc>
          <w:tcPr>
            <w:tcW w:w="1592" w:type="dxa"/>
            <w:tcBorders>
              <w:top w:val="single" w:color="auto" w:sz="8" w:space="0"/>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扣5分/次</w:t>
            </w:r>
          </w:p>
        </w:tc>
      </w:tr>
      <w:tr>
        <w:tblPrEx>
          <w:tblLayout w:type="fixed"/>
          <w:tblCellMar>
            <w:top w:w="0" w:type="dxa"/>
            <w:left w:w="108" w:type="dxa"/>
            <w:bottom w:w="0" w:type="dxa"/>
            <w:right w:w="108" w:type="dxa"/>
          </w:tblCellMar>
        </w:tblPrEx>
        <w:trPr>
          <w:trHeight w:val="232" w:hRule="atLeast"/>
        </w:trPr>
        <w:tc>
          <w:tcPr>
            <w:tcW w:w="1224" w:type="dxa"/>
            <w:vMerge w:val="continue"/>
            <w:tcBorders>
              <w:left w:val="single" w:color="auto" w:sz="8" w:space="0"/>
              <w:right w:val="single" w:color="auto" w:sz="8" w:space="0"/>
            </w:tcBorders>
            <w:vAlign w:val="center"/>
          </w:tcPr>
          <w:p>
            <w:pPr>
              <w:jc w:val="left"/>
              <w:rPr>
                <w:rFonts w:ascii="宋体" w:hAnsi="宋体" w:cs="宋体"/>
                <w:kern w:val="0"/>
                <w:sz w:val="24"/>
              </w:rPr>
            </w:pPr>
          </w:p>
        </w:tc>
        <w:tc>
          <w:tcPr>
            <w:tcW w:w="1719" w:type="dxa"/>
            <w:vMerge w:val="continue"/>
            <w:tcBorders>
              <w:left w:val="nil"/>
              <w:bottom w:val="single" w:color="auto" w:sz="4" w:space="0"/>
              <w:right w:val="single" w:color="000000" w:sz="8" w:space="0"/>
            </w:tcBorders>
            <w:vAlign w:val="center"/>
          </w:tcPr>
          <w:p>
            <w:pPr>
              <w:widowControl/>
              <w:jc w:val="left"/>
              <w:rPr>
                <w:rFonts w:ascii="宋体" w:hAnsi="宋体" w:cs="宋体"/>
                <w:kern w:val="0"/>
                <w:sz w:val="24"/>
              </w:rPr>
            </w:pPr>
          </w:p>
        </w:tc>
        <w:tc>
          <w:tcPr>
            <w:tcW w:w="9639" w:type="dxa"/>
            <w:tcBorders>
              <w:top w:val="single" w:color="auto" w:sz="8" w:space="0"/>
              <w:left w:val="nil"/>
              <w:bottom w:val="single" w:color="auto" w:sz="8" w:space="0"/>
              <w:right w:val="single" w:color="000000" w:sz="8" w:space="0"/>
            </w:tcBorders>
            <w:vAlign w:val="center"/>
          </w:tcPr>
          <w:p>
            <w:pPr>
              <w:widowControl/>
              <w:jc w:val="left"/>
              <w:rPr>
                <w:rFonts w:ascii="宋体" w:hAnsi="宋体" w:cs="宋体"/>
                <w:kern w:val="0"/>
                <w:sz w:val="24"/>
              </w:rPr>
            </w:pPr>
            <w:r>
              <w:rPr>
                <w:rFonts w:hint="eastAsia" w:ascii="宋体" w:hAnsi="宋体" w:cs="宋体"/>
                <w:kern w:val="0"/>
                <w:sz w:val="24"/>
              </w:rPr>
              <w:t>1.2因工作质量问题受到各类报刊、广播、电视等新闻媒体批评的。</w:t>
            </w:r>
          </w:p>
        </w:tc>
        <w:tc>
          <w:tcPr>
            <w:tcW w:w="1592" w:type="dxa"/>
            <w:tcBorders>
              <w:top w:val="single" w:color="auto" w:sz="8" w:space="0"/>
              <w:left w:val="nil"/>
              <w:bottom w:val="nil"/>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扣5-15分/次</w:t>
            </w:r>
          </w:p>
        </w:tc>
      </w:tr>
      <w:tr>
        <w:tblPrEx>
          <w:tblLayout w:type="fixed"/>
          <w:tblCellMar>
            <w:top w:w="0" w:type="dxa"/>
            <w:left w:w="108" w:type="dxa"/>
            <w:bottom w:w="0" w:type="dxa"/>
            <w:right w:w="108" w:type="dxa"/>
          </w:tblCellMar>
        </w:tblPrEx>
        <w:trPr>
          <w:trHeight w:val="181" w:hRule="atLeast"/>
        </w:trPr>
        <w:tc>
          <w:tcPr>
            <w:tcW w:w="1224" w:type="dxa"/>
            <w:vMerge w:val="continue"/>
            <w:tcBorders>
              <w:left w:val="single" w:color="auto" w:sz="8" w:space="0"/>
              <w:right w:val="single" w:color="auto" w:sz="8" w:space="0"/>
            </w:tcBorders>
            <w:vAlign w:val="center"/>
          </w:tcPr>
          <w:p>
            <w:pPr>
              <w:jc w:val="left"/>
              <w:rPr>
                <w:rFonts w:ascii="宋体" w:hAnsi="宋体" w:cs="宋体"/>
                <w:kern w:val="0"/>
                <w:sz w:val="24"/>
              </w:rPr>
            </w:pPr>
          </w:p>
        </w:tc>
        <w:tc>
          <w:tcPr>
            <w:tcW w:w="1719" w:type="dxa"/>
            <w:vMerge w:val="restart"/>
            <w:tcBorders>
              <w:top w:val="single" w:color="auto" w:sz="4" w:space="0"/>
              <w:left w:val="single" w:color="auto" w:sz="8" w:space="0"/>
              <w:right w:val="single" w:color="auto" w:sz="4" w:space="0"/>
            </w:tcBorders>
          </w:tcPr>
          <w:p>
            <w:pPr>
              <w:jc w:val="left"/>
              <w:rPr>
                <w:rFonts w:ascii="宋体" w:hAnsi="宋体" w:cs="宋体"/>
                <w:kern w:val="0"/>
                <w:sz w:val="24"/>
              </w:rPr>
            </w:pPr>
            <w:r>
              <w:rPr>
                <w:rFonts w:hint="eastAsia" w:ascii="宋体" w:hAnsi="宋体" w:cs="宋体"/>
                <w:kern w:val="0"/>
                <w:sz w:val="24"/>
              </w:rPr>
              <w:t>2.遵守摆放基本原则</w:t>
            </w:r>
          </w:p>
        </w:tc>
        <w:tc>
          <w:tcPr>
            <w:tcW w:w="9639" w:type="dxa"/>
            <w:tcBorders>
              <w:top w:val="single" w:color="auto" w:sz="8" w:space="0"/>
              <w:left w:val="single" w:color="auto" w:sz="4" w:space="0"/>
              <w:bottom w:val="single" w:color="auto" w:sz="8" w:space="0"/>
              <w:right w:val="single" w:color="000000" w:sz="8" w:space="0"/>
            </w:tcBorders>
            <w:vAlign w:val="center"/>
          </w:tcPr>
          <w:p>
            <w:pPr>
              <w:widowControl/>
              <w:jc w:val="left"/>
              <w:rPr>
                <w:rFonts w:ascii="宋体" w:hAnsi="宋体" w:cs="宋体"/>
                <w:kern w:val="0"/>
                <w:sz w:val="24"/>
              </w:rPr>
            </w:pPr>
            <w:r>
              <w:rPr>
                <w:rFonts w:hint="eastAsia" w:ascii="宋体" w:hAnsi="宋体" w:cs="宋体"/>
                <w:kern w:val="0"/>
                <w:sz w:val="24"/>
              </w:rPr>
              <w:t>2.1没有更换时花</w:t>
            </w:r>
          </w:p>
        </w:tc>
        <w:tc>
          <w:tcPr>
            <w:tcW w:w="1592" w:type="dxa"/>
            <w:tcBorders>
              <w:top w:val="single" w:color="auto" w:sz="8" w:space="0"/>
              <w:left w:val="nil"/>
              <w:bottom w:val="single" w:color="auto" w:sz="8"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扣15分/次</w:t>
            </w:r>
          </w:p>
        </w:tc>
      </w:tr>
      <w:tr>
        <w:tblPrEx>
          <w:tblLayout w:type="fixed"/>
          <w:tblCellMar>
            <w:top w:w="0" w:type="dxa"/>
            <w:left w:w="108" w:type="dxa"/>
            <w:bottom w:w="0" w:type="dxa"/>
            <w:right w:w="108" w:type="dxa"/>
          </w:tblCellMar>
        </w:tblPrEx>
        <w:trPr>
          <w:trHeight w:val="181" w:hRule="atLeast"/>
        </w:trPr>
        <w:tc>
          <w:tcPr>
            <w:tcW w:w="1224" w:type="dxa"/>
            <w:vMerge w:val="continue"/>
            <w:tcBorders>
              <w:left w:val="single" w:color="auto" w:sz="8" w:space="0"/>
              <w:right w:val="single" w:color="auto" w:sz="8" w:space="0"/>
            </w:tcBorders>
            <w:vAlign w:val="center"/>
          </w:tcPr>
          <w:p>
            <w:pPr>
              <w:jc w:val="left"/>
              <w:rPr>
                <w:rFonts w:ascii="宋体" w:hAnsi="宋体" w:cs="宋体"/>
                <w:kern w:val="0"/>
                <w:sz w:val="24"/>
              </w:rPr>
            </w:pPr>
          </w:p>
        </w:tc>
        <w:tc>
          <w:tcPr>
            <w:tcW w:w="1719" w:type="dxa"/>
            <w:vMerge w:val="continue"/>
            <w:tcBorders>
              <w:left w:val="single" w:color="auto" w:sz="8" w:space="0"/>
              <w:right w:val="single" w:color="auto" w:sz="4" w:space="0"/>
            </w:tcBorders>
          </w:tcPr>
          <w:p>
            <w:pPr>
              <w:widowControl/>
              <w:jc w:val="left"/>
              <w:rPr>
                <w:rFonts w:ascii="宋体" w:hAnsi="宋体" w:cs="宋体"/>
                <w:kern w:val="0"/>
                <w:sz w:val="24"/>
              </w:rPr>
            </w:pPr>
          </w:p>
        </w:tc>
        <w:tc>
          <w:tcPr>
            <w:tcW w:w="9639" w:type="dxa"/>
            <w:tcBorders>
              <w:top w:val="single" w:color="auto" w:sz="8" w:space="0"/>
              <w:left w:val="single" w:color="auto" w:sz="4" w:space="0"/>
              <w:bottom w:val="single" w:color="auto" w:sz="8" w:space="0"/>
              <w:right w:val="single" w:color="000000" w:sz="8" w:space="0"/>
            </w:tcBorders>
            <w:vAlign w:val="center"/>
          </w:tcPr>
          <w:p>
            <w:pPr>
              <w:widowControl/>
              <w:jc w:val="left"/>
              <w:rPr>
                <w:rFonts w:ascii="宋体" w:hAnsi="宋体" w:cs="宋体"/>
                <w:kern w:val="0"/>
                <w:sz w:val="24"/>
              </w:rPr>
            </w:pPr>
            <w:r>
              <w:rPr>
                <w:rFonts w:hint="eastAsia" w:ascii="宋体" w:hAnsi="宋体" w:cs="宋体"/>
                <w:kern w:val="0"/>
                <w:sz w:val="24"/>
              </w:rPr>
              <w:t>2.2租摆植物的布置未按航站楼内整体绿化规划进行摆放，未做到布局合理，层次分明，疏密有度，高低错落有致。</w:t>
            </w:r>
          </w:p>
        </w:tc>
        <w:tc>
          <w:tcPr>
            <w:tcW w:w="1592" w:type="dxa"/>
            <w:vMerge w:val="restart"/>
            <w:tcBorders>
              <w:top w:val="single" w:color="auto" w:sz="8" w:space="0"/>
              <w:left w:val="nil"/>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扣0.2分/项/次</w:t>
            </w:r>
          </w:p>
        </w:tc>
      </w:tr>
      <w:tr>
        <w:tblPrEx>
          <w:tblLayout w:type="fixed"/>
          <w:tblCellMar>
            <w:top w:w="0" w:type="dxa"/>
            <w:left w:w="108" w:type="dxa"/>
            <w:bottom w:w="0" w:type="dxa"/>
            <w:right w:w="108" w:type="dxa"/>
          </w:tblCellMar>
        </w:tblPrEx>
        <w:trPr>
          <w:trHeight w:val="285" w:hRule="atLeast"/>
        </w:trPr>
        <w:tc>
          <w:tcPr>
            <w:tcW w:w="1224" w:type="dxa"/>
            <w:vMerge w:val="continue"/>
            <w:tcBorders>
              <w:left w:val="single" w:color="auto" w:sz="8" w:space="0"/>
              <w:right w:val="single" w:color="auto" w:sz="8" w:space="0"/>
            </w:tcBorders>
            <w:vAlign w:val="center"/>
          </w:tcPr>
          <w:p>
            <w:pPr>
              <w:jc w:val="left"/>
              <w:rPr>
                <w:rFonts w:ascii="宋体" w:hAnsi="宋体" w:cs="宋体"/>
                <w:kern w:val="0"/>
                <w:sz w:val="24"/>
              </w:rPr>
            </w:pPr>
          </w:p>
        </w:tc>
        <w:tc>
          <w:tcPr>
            <w:tcW w:w="1719" w:type="dxa"/>
            <w:vMerge w:val="continue"/>
            <w:tcBorders>
              <w:left w:val="single" w:color="auto" w:sz="8" w:space="0"/>
              <w:right w:val="single" w:color="auto" w:sz="4" w:space="0"/>
            </w:tcBorders>
            <w:vAlign w:val="center"/>
          </w:tcPr>
          <w:p>
            <w:pPr>
              <w:widowControl/>
              <w:jc w:val="left"/>
              <w:rPr>
                <w:rFonts w:ascii="宋体" w:hAnsi="宋体" w:cs="宋体"/>
                <w:kern w:val="0"/>
                <w:sz w:val="24"/>
              </w:rPr>
            </w:pPr>
          </w:p>
        </w:tc>
        <w:tc>
          <w:tcPr>
            <w:tcW w:w="9639" w:type="dxa"/>
            <w:tcBorders>
              <w:top w:val="single" w:color="auto" w:sz="8" w:space="0"/>
              <w:left w:val="single" w:color="auto" w:sz="4" w:space="0"/>
              <w:bottom w:val="single" w:color="auto" w:sz="8" w:space="0"/>
              <w:right w:val="single" w:color="000000" w:sz="8" w:space="0"/>
            </w:tcBorders>
            <w:vAlign w:val="center"/>
          </w:tcPr>
          <w:p>
            <w:pPr>
              <w:widowControl/>
              <w:jc w:val="left"/>
              <w:rPr>
                <w:rFonts w:ascii="宋体" w:hAnsi="宋体" w:cs="宋体"/>
                <w:kern w:val="0"/>
                <w:sz w:val="24"/>
              </w:rPr>
            </w:pPr>
            <w:r>
              <w:rPr>
                <w:rFonts w:hint="eastAsia" w:ascii="宋体" w:hAnsi="宋体" w:cs="宋体"/>
                <w:kern w:val="0"/>
                <w:sz w:val="24"/>
              </w:rPr>
              <w:t>2.3租摆植物的色彩、形态、气质未与空间大小、装饰氛围及功能相协调。</w:t>
            </w:r>
          </w:p>
        </w:tc>
        <w:tc>
          <w:tcPr>
            <w:tcW w:w="1592" w:type="dxa"/>
            <w:vMerge w:val="continue"/>
            <w:tcBorders>
              <w:left w:val="nil"/>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43" w:hRule="atLeast"/>
        </w:trPr>
        <w:tc>
          <w:tcPr>
            <w:tcW w:w="1224" w:type="dxa"/>
            <w:vMerge w:val="continue"/>
            <w:tcBorders>
              <w:left w:val="single" w:color="auto" w:sz="8" w:space="0"/>
              <w:right w:val="single" w:color="auto" w:sz="8" w:space="0"/>
            </w:tcBorders>
            <w:vAlign w:val="center"/>
          </w:tcPr>
          <w:p>
            <w:pPr>
              <w:jc w:val="left"/>
              <w:rPr>
                <w:rFonts w:ascii="宋体" w:hAnsi="宋体" w:cs="宋体"/>
                <w:kern w:val="0"/>
                <w:sz w:val="24"/>
              </w:rPr>
            </w:pPr>
          </w:p>
        </w:tc>
        <w:tc>
          <w:tcPr>
            <w:tcW w:w="1719" w:type="dxa"/>
            <w:vMerge w:val="continue"/>
            <w:tcBorders>
              <w:left w:val="single" w:color="auto" w:sz="8" w:space="0"/>
              <w:right w:val="single" w:color="auto" w:sz="4" w:space="0"/>
            </w:tcBorders>
            <w:vAlign w:val="center"/>
          </w:tcPr>
          <w:p>
            <w:pPr>
              <w:widowControl/>
              <w:jc w:val="left"/>
              <w:rPr>
                <w:rFonts w:ascii="宋体" w:hAnsi="宋体" w:cs="宋体"/>
                <w:kern w:val="0"/>
                <w:sz w:val="24"/>
              </w:rPr>
            </w:pPr>
          </w:p>
        </w:tc>
        <w:tc>
          <w:tcPr>
            <w:tcW w:w="9639" w:type="dxa"/>
            <w:tcBorders>
              <w:top w:val="single" w:color="auto" w:sz="8" w:space="0"/>
              <w:left w:val="single" w:color="auto" w:sz="4" w:space="0"/>
              <w:bottom w:val="single" w:color="auto" w:sz="4" w:space="0"/>
              <w:right w:val="single" w:color="000000" w:sz="8" w:space="0"/>
            </w:tcBorders>
            <w:vAlign w:val="center"/>
          </w:tcPr>
          <w:p>
            <w:pPr>
              <w:widowControl/>
              <w:jc w:val="left"/>
              <w:rPr>
                <w:rFonts w:ascii="宋体" w:hAnsi="宋体" w:cs="宋体"/>
                <w:kern w:val="0"/>
                <w:sz w:val="24"/>
              </w:rPr>
            </w:pPr>
            <w:r>
              <w:rPr>
                <w:rFonts w:hint="eastAsia" w:ascii="宋体" w:hAnsi="宋体" w:cs="宋体"/>
                <w:kern w:val="0"/>
                <w:sz w:val="24"/>
              </w:rPr>
              <w:t>2.4未做到植物群落完整。</w:t>
            </w:r>
          </w:p>
        </w:tc>
        <w:tc>
          <w:tcPr>
            <w:tcW w:w="1592" w:type="dxa"/>
            <w:vMerge w:val="continue"/>
            <w:tcBorders>
              <w:left w:val="nil"/>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52" w:hRule="atLeast"/>
        </w:trPr>
        <w:tc>
          <w:tcPr>
            <w:tcW w:w="1224" w:type="dxa"/>
            <w:vMerge w:val="continue"/>
            <w:tcBorders>
              <w:left w:val="single" w:color="auto" w:sz="8" w:space="0"/>
              <w:right w:val="single" w:color="auto" w:sz="8" w:space="0"/>
            </w:tcBorders>
            <w:vAlign w:val="center"/>
          </w:tcPr>
          <w:p>
            <w:pPr>
              <w:jc w:val="left"/>
              <w:rPr>
                <w:rFonts w:ascii="宋体" w:hAnsi="宋体" w:cs="宋体"/>
                <w:kern w:val="0"/>
                <w:sz w:val="24"/>
              </w:rPr>
            </w:pPr>
          </w:p>
        </w:tc>
        <w:tc>
          <w:tcPr>
            <w:tcW w:w="1719" w:type="dxa"/>
            <w:vMerge w:val="continue"/>
            <w:tcBorders>
              <w:left w:val="single" w:color="auto" w:sz="8" w:space="0"/>
              <w:right w:val="single" w:color="auto" w:sz="4" w:space="0"/>
            </w:tcBorders>
            <w:vAlign w:val="center"/>
          </w:tcPr>
          <w:p>
            <w:pPr>
              <w:widowControl/>
              <w:jc w:val="left"/>
              <w:rPr>
                <w:rFonts w:ascii="宋体" w:hAnsi="宋体" w:cs="宋体"/>
                <w:kern w:val="0"/>
                <w:sz w:val="24"/>
              </w:rPr>
            </w:pPr>
          </w:p>
        </w:tc>
        <w:tc>
          <w:tcPr>
            <w:tcW w:w="96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2.5租摆植物直线摆放时未做到间距相等、横平竖直，有歪斜现象。</w:t>
            </w:r>
          </w:p>
        </w:tc>
        <w:tc>
          <w:tcPr>
            <w:tcW w:w="1592" w:type="dxa"/>
            <w:vMerge w:val="continue"/>
            <w:tcBorders>
              <w:left w:val="single" w:color="auto"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223" w:hRule="atLeast"/>
        </w:trPr>
        <w:tc>
          <w:tcPr>
            <w:tcW w:w="1224" w:type="dxa"/>
            <w:vMerge w:val="continue"/>
            <w:tcBorders>
              <w:left w:val="single" w:color="auto" w:sz="8" w:space="0"/>
              <w:right w:val="single" w:color="auto" w:sz="8" w:space="0"/>
            </w:tcBorders>
            <w:vAlign w:val="center"/>
          </w:tcPr>
          <w:p>
            <w:pPr>
              <w:jc w:val="left"/>
              <w:rPr>
                <w:rFonts w:ascii="宋体" w:hAnsi="宋体" w:cs="宋体"/>
                <w:kern w:val="0"/>
                <w:sz w:val="24"/>
              </w:rPr>
            </w:pPr>
          </w:p>
        </w:tc>
        <w:tc>
          <w:tcPr>
            <w:tcW w:w="1719" w:type="dxa"/>
            <w:vMerge w:val="continue"/>
            <w:tcBorders>
              <w:left w:val="single" w:color="auto" w:sz="8" w:space="0"/>
              <w:right w:val="single" w:color="auto" w:sz="4" w:space="0"/>
            </w:tcBorders>
            <w:vAlign w:val="center"/>
          </w:tcPr>
          <w:p>
            <w:pPr>
              <w:widowControl/>
              <w:jc w:val="left"/>
              <w:rPr>
                <w:rFonts w:ascii="宋体" w:hAnsi="宋体" w:cs="宋体"/>
                <w:kern w:val="0"/>
                <w:sz w:val="24"/>
              </w:rPr>
            </w:pPr>
          </w:p>
        </w:tc>
        <w:tc>
          <w:tcPr>
            <w:tcW w:w="9639" w:type="dxa"/>
            <w:tcBorders>
              <w:top w:val="single" w:color="auto" w:sz="4" w:space="0"/>
              <w:left w:val="single" w:color="auto" w:sz="4" w:space="0"/>
              <w:bottom w:val="single" w:color="auto" w:sz="8" w:space="0"/>
              <w:right w:val="single" w:color="000000" w:sz="8" w:space="0"/>
            </w:tcBorders>
            <w:vAlign w:val="center"/>
          </w:tcPr>
          <w:p>
            <w:pPr>
              <w:widowControl/>
              <w:jc w:val="left"/>
              <w:rPr>
                <w:rFonts w:ascii="宋体" w:hAnsi="宋体" w:cs="宋体"/>
                <w:kern w:val="0"/>
                <w:sz w:val="24"/>
              </w:rPr>
            </w:pPr>
            <w:r>
              <w:rPr>
                <w:rFonts w:hint="eastAsia" w:ascii="宋体" w:hAnsi="宋体" w:cs="宋体"/>
                <w:kern w:val="0"/>
                <w:sz w:val="24"/>
              </w:rPr>
              <w:t>2.6租摆植物未组合摆放，未能品种多样、造型美观、色泽光亮、协调整齐。</w:t>
            </w:r>
          </w:p>
        </w:tc>
        <w:tc>
          <w:tcPr>
            <w:tcW w:w="1592" w:type="dxa"/>
            <w:vMerge w:val="continue"/>
            <w:tcBorders>
              <w:left w:val="nil"/>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600" w:hRule="atLeast"/>
        </w:trPr>
        <w:tc>
          <w:tcPr>
            <w:tcW w:w="1224" w:type="dxa"/>
            <w:vMerge w:val="continue"/>
            <w:tcBorders>
              <w:left w:val="single" w:color="auto" w:sz="8" w:space="0"/>
              <w:right w:val="single" w:color="auto" w:sz="8" w:space="0"/>
            </w:tcBorders>
            <w:vAlign w:val="center"/>
          </w:tcPr>
          <w:p>
            <w:pPr>
              <w:jc w:val="left"/>
              <w:rPr>
                <w:rFonts w:ascii="宋体" w:hAnsi="宋体" w:cs="宋体"/>
                <w:kern w:val="0"/>
                <w:sz w:val="24"/>
              </w:rPr>
            </w:pPr>
          </w:p>
        </w:tc>
        <w:tc>
          <w:tcPr>
            <w:tcW w:w="1719" w:type="dxa"/>
            <w:vMerge w:val="continue"/>
            <w:tcBorders>
              <w:left w:val="single" w:color="auto" w:sz="8" w:space="0"/>
              <w:right w:val="single" w:color="auto" w:sz="4" w:space="0"/>
            </w:tcBorders>
            <w:vAlign w:val="center"/>
          </w:tcPr>
          <w:p>
            <w:pPr>
              <w:widowControl/>
              <w:jc w:val="left"/>
              <w:rPr>
                <w:rFonts w:ascii="宋体" w:hAnsi="宋体" w:cs="宋体"/>
                <w:kern w:val="0"/>
                <w:sz w:val="24"/>
              </w:rPr>
            </w:pPr>
          </w:p>
        </w:tc>
        <w:tc>
          <w:tcPr>
            <w:tcW w:w="9639" w:type="dxa"/>
            <w:tcBorders>
              <w:top w:val="single" w:color="auto" w:sz="8" w:space="0"/>
              <w:left w:val="single" w:color="auto" w:sz="4" w:space="0"/>
              <w:bottom w:val="single" w:color="auto" w:sz="8"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2.7花堆设置未与整体环境相协调，未做到既庄重典雅，充满艺术情趣，又能显现出自然温馨、生机盎然之感。</w:t>
            </w:r>
          </w:p>
        </w:tc>
        <w:tc>
          <w:tcPr>
            <w:tcW w:w="1592" w:type="dxa"/>
            <w:vMerge w:val="continue"/>
            <w:tcBorders>
              <w:left w:val="single" w:color="auto"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523" w:hRule="atLeast"/>
        </w:trPr>
        <w:tc>
          <w:tcPr>
            <w:tcW w:w="1224" w:type="dxa"/>
            <w:vMerge w:val="continue"/>
            <w:tcBorders>
              <w:left w:val="single" w:color="auto" w:sz="8" w:space="0"/>
              <w:right w:val="single" w:color="auto" w:sz="8" w:space="0"/>
            </w:tcBorders>
            <w:vAlign w:val="center"/>
          </w:tcPr>
          <w:p>
            <w:pPr>
              <w:jc w:val="left"/>
              <w:rPr>
                <w:rFonts w:ascii="宋体" w:hAnsi="宋体" w:cs="宋体"/>
                <w:kern w:val="0"/>
                <w:sz w:val="24"/>
              </w:rPr>
            </w:pPr>
          </w:p>
        </w:tc>
        <w:tc>
          <w:tcPr>
            <w:tcW w:w="1719" w:type="dxa"/>
            <w:vMerge w:val="continue"/>
            <w:tcBorders>
              <w:left w:val="single" w:color="auto" w:sz="8" w:space="0"/>
              <w:bottom w:val="single" w:color="auto" w:sz="4" w:space="0"/>
              <w:right w:val="single" w:color="auto" w:sz="4" w:space="0"/>
            </w:tcBorders>
            <w:vAlign w:val="center"/>
          </w:tcPr>
          <w:p>
            <w:pPr>
              <w:widowControl/>
              <w:jc w:val="left"/>
              <w:rPr>
                <w:rFonts w:ascii="宋体" w:hAnsi="宋体" w:cs="宋体"/>
                <w:kern w:val="0"/>
                <w:sz w:val="24"/>
              </w:rPr>
            </w:pPr>
          </w:p>
        </w:tc>
        <w:tc>
          <w:tcPr>
            <w:tcW w:w="9639" w:type="dxa"/>
            <w:tcBorders>
              <w:top w:val="single" w:color="auto" w:sz="8" w:space="0"/>
              <w:left w:val="single" w:color="auto" w:sz="4" w:space="0"/>
              <w:bottom w:val="single" w:color="auto" w:sz="8" w:space="0"/>
              <w:right w:val="single" w:color="000000" w:sz="8" w:space="0"/>
            </w:tcBorders>
            <w:vAlign w:val="center"/>
          </w:tcPr>
          <w:p>
            <w:pPr>
              <w:widowControl/>
              <w:jc w:val="left"/>
              <w:rPr>
                <w:rFonts w:ascii="宋体" w:hAnsi="宋体" w:cs="宋体"/>
                <w:kern w:val="0"/>
                <w:sz w:val="24"/>
              </w:rPr>
            </w:pPr>
            <w:r>
              <w:rPr>
                <w:rFonts w:hint="eastAsia" w:ascii="宋体" w:hAnsi="宋体" w:cs="宋体"/>
                <w:kern w:val="0"/>
                <w:sz w:val="24"/>
              </w:rPr>
              <w:t>2.8临时绿化区域、特殊空间、特殊环境租摆植物的摆放未做到与整体环境相协调，未突出造型特色，设计方案未报机场公司及相关部门审定批准后实施。</w:t>
            </w:r>
          </w:p>
        </w:tc>
        <w:tc>
          <w:tcPr>
            <w:tcW w:w="1592" w:type="dxa"/>
            <w:vMerge w:val="continue"/>
            <w:tcBorders>
              <w:left w:val="nil"/>
              <w:bottom w:val="nil"/>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1021" w:hRule="atLeast"/>
        </w:trPr>
        <w:tc>
          <w:tcPr>
            <w:tcW w:w="1224" w:type="dxa"/>
            <w:vMerge w:val="continue"/>
            <w:tcBorders>
              <w:left w:val="single" w:color="auto" w:sz="8" w:space="0"/>
              <w:right w:val="single" w:color="auto" w:sz="8" w:space="0"/>
            </w:tcBorders>
            <w:vAlign w:val="center"/>
          </w:tcPr>
          <w:p>
            <w:pPr>
              <w:jc w:val="left"/>
              <w:rPr>
                <w:rFonts w:ascii="宋体" w:hAnsi="宋体" w:cs="宋体"/>
                <w:kern w:val="0"/>
                <w:sz w:val="24"/>
              </w:rPr>
            </w:pPr>
          </w:p>
        </w:tc>
        <w:tc>
          <w:tcPr>
            <w:tcW w:w="1719" w:type="dxa"/>
            <w:vMerge w:val="restart"/>
            <w:tcBorders>
              <w:top w:val="single" w:color="auto" w:sz="4" w:space="0"/>
              <w:left w:val="nil"/>
              <w:bottom w:val="single" w:color="auto" w:sz="4" w:space="0"/>
              <w:right w:val="single" w:color="000000" w:sz="8" w:space="0"/>
            </w:tcBorders>
          </w:tcPr>
          <w:p>
            <w:pPr>
              <w:widowControl/>
              <w:rPr>
                <w:rFonts w:ascii="宋体" w:hAnsi="宋体" w:cs="宋体"/>
                <w:kern w:val="0"/>
                <w:sz w:val="24"/>
              </w:rPr>
            </w:pPr>
            <w:r>
              <w:rPr>
                <w:rFonts w:hint="eastAsia" w:ascii="宋体" w:hAnsi="宋体" w:cs="宋体"/>
                <w:kern w:val="0"/>
                <w:sz w:val="24"/>
              </w:rPr>
              <w:t>3.遵守摆放细则</w:t>
            </w:r>
          </w:p>
        </w:tc>
        <w:tc>
          <w:tcPr>
            <w:tcW w:w="9639" w:type="dxa"/>
            <w:tcBorders>
              <w:top w:val="single" w:color="auto" w:sz="8" w:space="0"/>
              <w:left w:val="nil"/>
              <w:bottom w:val="single" w:color="auto" w:sz="8" w:space="0"/>
              <w:right w:val="single" w:color="000000" w:sz="8" w:space="0"/>
            </w:tcBorders>
            <w:vAlign w:val="center"/>
          </w:tcPr>
          <w:p>
            <w:pPr>
              <w:widowControl/>
              <w:jc w:val="left"/>
              <w:rPr>
                <w:rFonts w:ascii="宋体" w:hAnsi="宋体" w:cs="宋体"/>
                <w:kern w:val="0"/>
                <w:sz w:val="24"/>
              </w:rPr>
            </w:pPr>
            <w:r>
              <w:rPr>
                <w:rFonts w:hint="eastAsia" w:ascii="宋体" w:hAnsi="宋体" w:cs="宋体"/>
                <w:kern w:val="0"/>
                <w:sz w:val="24"/>
              </w:rPr>
              <w:t>3.1航站楼楼前门口未做到钵内放置颜色鲜亮、花卉密集的低成本普通四季花卉，石花钵围栏放置高度不符合花木租摆技术规范要求（放置高度不超过80厘米的中小型绿植/花卉）。</w:t>
            </w:r>
          </w:p>
        </w:tc>
        <w:tc>
          <w:tcPr>
            <w:tcW w:w="1592" w:type="dxa"/>
            <w:vMerge w:val="restart"/>
            <w:tcBorders>
              <w:top w:val="single" w:color="auto" w:sz="8" w:space="0"/>
              <w:left w:val="nil"/>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扣0.2分/项/次</w:t>
            </w:r>
          </w:p>
        </w:tc>
      </w:tr>
      <w:tr>
        <w:tblPrEx>
          <w:tblLayout w:type="fixed"/>
          <w:tblCellMar>
            <w:top w:w="0" w:type="dxa"/>
            <w:left w:w="108" w:type="dxa"/>
            <w:bottom w:w="0" w:type="dxa"/>
            <w:right w:w="108" w:type="dxa"/>
          </w:tblCellMar>
        </w:tblPrEx>
        <w:trPr>
          <w:trHeight w:val="90" w:hRule="atLeast"/>
        </w:trPr>
        <w:tc>
          <w:tcPr>
            <w:tcW w:w="1224" w:type="dxa"/>
            <w:vMerge w:val="continue"/>
            <w:tcBorders>
              <w:left w:val="single" w:color="auto" w:sz="8" w:space="0"/>
              <w:right w:val="single" w:color="auto" w:sz="8" w:space="0"/>
            </w:tcBorders>
            <w:vAlign w:val="center"/>
          </w:tcPr>
          <w:p>
            <w:pPr>
              <w:jc w:val="left"/>
              <w:rPr>
                <w:rFonts w:ascii="宋体" w:hAnsi="宋体" w:cs="宋体"/>
                <w:kern w:val="0"/>
                <w:sz w:val="24"/>
              </w:rPr>
            </w:pPr>
          </w:p>
        </w:tc>
        <w:tc>
          <w:tcPr>
            <w:tcW w:w="1719" w:type="dxa"/>
            <w:vMerge w:val="continue"/>
            <w:tcBorders>
              <w:top w:val="single" w:color="auto" w:sz="4" w:space="0"/>
              <w:left w:val="nil"/>
              <w:bottom w:val="single" w:color="auto" w:sz="4" w:space="0"/>
              <w:right w:val="single" w:color="000000" w:sz="8" w:space="0"/>
            </w:tcBorders>
            <w:vAlign w:val="center"/>
          </w:tcPr>
          <w:p>
            <w:pPr>
              <w:widowControl/>
              <w:jc w:val="left"/>
              <w:rPr>
                <w:rFonts w:ascii="宋体" w:hAnsi="宋体" w:cs="宋体"/>
                <w:kern w:val="0"/>
                <w:sz w:val="24"/>
              </w:rPr>
            </w:pPr>
          </w:p>
        </w:tc>
        <w:tc>
          <w:tcPr>
            <w:tcW w:w="9639" w:type="dxa"/>
            <w:tcBorders>
              <w:top w:val="single" w:color="auto" w:sz="8" w:space="0"/>
              <w:left w:val="nil"/>
              <w:bottom w:val="single" w:color="auto" w:sz="8" w:space="0"/>
              <w:right w:val="single" w:color="000000" w:sz="8" w:space="0"/>
            </w:tcBorders>
            <w:vAlign w:val="center"/>
          </w:tcPr>
          <w:p>
            <w:pPr>
              <w:widowControl/>
              <w:jc w:val="left"/>
              <w:rPr>
                <w:rFonts w:ascii="宋体" w:hAnsi="宋体" w:cs="宋体"/>
                <w:kern w:val="0"/>
                <w:sz w:val="24"/>
              </w:rPr>
            </w:pPr>
            <w:r>
              <w:rPr>
                <w:rFonts w:hint="eastAsia" w:ascii="宋体" w:hAnsi="宋体" w:cs="宋体"/>
                <w:kern w:val="0"/>
                <w:sz w:val="24"/>
              </w:rPr>
              <w:t>3.2航站楼前门口未放置组合型植物，植物高度不符合花木租摆技术规范要求（大型观叶植物高度不超过400厘米，周围以中小型绿植及普通花卉围绕，高度不超过80厘米）。</w:t>
            </w:r>
          </w:p>
        </w:tc>
        <w:tc>
          <w:tcPr>
            <w:tcW w:w="1592" w:type="dxa"/>
            <w:vMerge w:val="continue"/>
            <w:tcBorders>
              <w:left w:val="nil"/>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731" w:hRule="atLeast"/>
        </w:trPr>
        <w:tc>
          <w:tcPr>
            <w:tcW w:w="1224" w:type="dxa"/>
            <w:vMerge w:val="continue"/>
            <w:tcBorders>
              <w:left w:val="single" w:color="auto" w:sz="8" w:space="0"/>
              <w:right w:val="single" w:color="auto" w:sz="8" w:space="0"/>
            </w:tcBorders>
            <w:vAlign w:val="center"/>
          </w:tcPr>
          <w:p>
            <w:pPr>
              <w:jc w:val="left"/>
              <w:rPr>
                <w:rFonts w:ascii="宋体" w:hAnsi="宋体" w:cs="宋体"/>
                <w:kern w:val="0"/>
                <w:sz w:val="24"/>
              </w:rPr>
            </w:pPr>
          </w:p>
        </w:tc>
        <w:tc>
          <w:tcPr>
            <w:tcW w:w="1719" w:type="dxa"/>
            <w:vMerge w:val="continue"/>
            <w:tcBorders>
              <w:top w:val="single" w:color="auto" w:sz="4" w:space="0"/>
              <w:left w:val="nil"/>
              <w:bottom w:val="single" w:color="auto" w:sz="4" w:space="0"/>
              <w:right w:val="single" w:color="000000" w:sz="8" w:space="0"/>
            </w:tcBorders>
            <w:vAlign w:val="center"/>
          </w:tcPr>
          <w:p>
            <w:pPr>
              <w:widowControl/>
              <w:jc w:val="left"/>
              <w:rPr>
                <w:rFonts w:ascii="宋体" w:hAnsi="宋体" w:cs="宋体"/>
                <w:kern w:val="0"/>
                <w:sz w:val="24"/>
              </w:rPr>
            </w:pPr>
          </w:p>
        </w:tc>
        <w:tc>
          <w:tcPr>
            <w:tcW w:w="9639" w:type="dxa"/>
            <w:tcBorders>
              <w:top w:val="single" w:color="auto" w:sz="8" w:space="0"/>
              <w:left w:val="nil"/>
              <w:bottom w:val="single" w:color="auto" w:sz="8" w:space="0"/>
              <w:right w:val="single" w:color="000000" w:sz="8" w:space="0"/>
            </w:tcBorders>
            <w:vAlign w:val="center"/>
          </w:tcPr>
          <w:p>
            <w:pPr>
              <w:widowControl/>
              <w:jc w:val="left"/>
              <w:rPr>
                <w:rFonts w:ascii="宋体" w:hAnsi="宋体" w:cs="宋体"/>
                <w:kern w:val="0"/>
                <w:sz w:val="24"/>
              </w:rPr>
            </w:pPr>
            <w:r>
              <w:rPr>
                <w:rFonts w:hint="eastAsia" w:ascii="宋体" w:hAnsi="宋体" w:cs="宋体"/>
                <w:kern w:val="0"/>
                <w:sz w:val="24"/>
              </w:rPr>
              <w:t>3.3航站楼大厅入口未放置大型常绿观叶植物、常绿灌木或小乔木，高度不符合花木租摆技术规范要求（不超过300厘米）。</w:t>
            </w:r>
          </w:p>
        </w:tc>
        <w:tc>
          <w:tcPr>
            <w:tcW w:w="1592" w:type="dxa"/>
            <w:vMerge w:val="continue"/>
            <w:tcBorders>
              <w:left w:val="nil"/>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156" w:hRule="atLeast"/>
        </w:trPr>
        <w:tc>
          <w:tcPr>
            <w:tcW w:w="1224" w:type="dxa"/>
            <w:vMerge w:val="continue"/>
            <w:tcBorders>
              <w:left w:val="single" w:color="auto" w:sz="8" w:space="0"/>
              <w:right w:val="single" w:color="auto" w:sz="8" w:space="0"/>
            </w:tcBorders>
            <w:vAlign w:val="center"/>
          </w:tcPr>
          <w:p>
            <w:pPr>
              <w:jc w:val="left"/>
              <w:rPr>
                <w:rFonts w:ascii="宋体" w:hAnsi="宋体" w:cs="宋体"/>
                <w:kern w:val="0"/>
                <w:sz w:val="24"/>
              </w:rPr>
            </w:pPr>
          </w:p>
        </w:tc>
        <w:tc>
          <w:tcPr>
            <w:tcW w:w="1719" w:type="dxa"/>
            <w:vMerge w:val="continue"/>
            <w:tcBorders>
              <w:top w:val="single" w:color="auto" w:sz="4" w:space="0"/>
              <w:left w:val="nil"/>
              <w:bottom w:val="single" w:color="auto" w:sz="4" w:space="0"/>
              <w:right w:val="single" w:color="000000" w:sz="8" w:space="0"/>
            </w:tcBorders>
            <w:vAlign w:val="center"/>
          </w:tcPr>
          <w:p>
            <w:pPr>
              <w:widowControl/>
              <w:jc w:val="left"/>
              <w:rPr>
                <w:rFonts w:ascii="宋体" w:hAnsi="宋体" w:cs="宋体"/>
                <w:kern w:val="0"/>
                <w:sz w:val="24"/>
              </w:rPr>
            </w:pPr>
          </w:p>
        </w:tc>
        <w:tc>
          <w:tcPr>
            <w:tcW w:w="9639" w:type="dxa"/>
            <w:tcBorders>
              <w:top w:val="single" w:color="auto" w:sz="8" w:space="0"/>
              <w:left w:val="nil"/>
              <w:bottom w:val="single" w:color="auto" w:sz="4" w:space="0"/>
              <w:right w:val="single" w:color="000000" w:sz="8" w:space="0"/>
            </w:tcBorders>
            <w:vAlign w:val="center"/>
          </w:tcPr>
          <w:p>
            <w:pPr>
              <w:widowControl/>
              <w:jc w:val="left"/>
              <w:rPr>
                <w:rFonts w:ascii="宋体" w:hAnsi="宋体" w:cs="宋体"/>
                <w:kern w:val="0"/>
                <w:sz w:val="24"/>
              </w:rPr>
            </w:pPr>
            <w:r>
              <w:rPr>
                <w:rFonts w:hint="eastAsia" w:ascii="宋体" w:hAnsi="宋体" w:cs="宋体"/>
                <w:kern w:val="0"/>
                <w:sz w:val="24"/>
              </w:rPr>
              <w:t>3.4航站楼内电、扶梯边未放置喜阴、喜温暖湿润的丛生常绿灌木或观叶植物，高度不符合花木租摆技术规范要求（不超过300厘米）。</w:t>
            </w:r>
          </w:p>
        </w:tc>
        <w:tc>
          <w:tcPr>
            <w:tcW w:w="1592" w:type="dxa"/>
            <w:vMerge w:val="continue"/>
            <w:tcBorders>
              <w:left w:val="nil"/>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121" w:hRule="atLeast"/>
        </w:trPr>
        <w:tc>
          <w:tcPr>
            <w:tcW w:w="1224" w:type="dxa"/>
            <w:vMerge w:val="continue"/>
            <w:tcBorders>
              <w:left w:val="single" w:color="auto" w:sz="8" w:space="0"/>
              <w:right w:val="single" w:color="auto" w:sz="8" w:space="0"/>
            </w:tcBorders>
            <w:vAlign w:val="center"/>
          </w:tcPr>
          <w:p>
            <w:pPr>
              <w:jc w:val="left"/>
              <w:rPr>
                <w:rFonts w:ascii="宋体" w:hAnsi="宋体" w:cs="宋体"/>
                <w:kern w:val="0"/>
                <w:sz w:val="24"/>
              </w:rPr>
            </w:pPr>
          </w:p>
        </w:tc>
        <w:tc>
          <w:tcPr>
            <w:tcW w:w="1719" w:type="dxa"/>
            <w:vMerge w:val="continue"/>
            <w:tcBorders>
              <w:top w:val="single" w:color="auto" w:sz="4" w:space="0"/>
              <w:left w:val="single" w:color="auto" w:sz="8" w:space="0"/>
              <w:bottom w:val="single" w:color="auto" w:sz="4" w:space="0"/>
              <w:right w:val="single" w:color="000000" w:sz="8" w:space="0"/>
            </w:tcBorders>
            <w:vAlign w:val="center"/>
          </w:tcPr>
          <w:p>
            <w:pPr>
              <w:widowControl/>
              <w:jc w:val="left"/>
              <w:rPr>
                <w:rFonts w:ascii="宋体" w:hAnsi="宋体" w:cs="宋体"/>
                <w:kern w:val="0"/>
                <w:sz w:val="24"/>
              </w:rPr>
            </w:pPr>
          </w:p>
        </w:tc>
        <w:tc>
          <w:tcPr>
            <w:tcW w:w="96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 xml:space="preserve">3.5航站楼内自助值机柜台附近未放置喜温暖湿润、耐受力较佳的常绿灌木、乔木或观叶植物，高度不符合花木租摆技术规范要求（不超过200厘米）。 </w:t>
            </w:r>
          </w:p>
        </w:tc>
        <w:tc>
          <w:tcPr>
            <w:tcW w:w="1592" w:type="dxa"/>
            <w:vMerge w:val="continue"/>
            <w:tcBorders>
              <w:left w:val="single" w:color="auto"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121" w:hRule="atLeast"/>
        </w:trPr>
        <w:tc>
          <w:tcPr>
            <w:tcW w:w="1224" w:type="dxa"/>
            <w:vMerge w:val="continue"/>
            <w:tcBorders>
              <w:left w:val="single" w:color="auto" w:sz="8" w:space="0"/>
              <w:right w:val="single" w:color="auto" w:sz="8" w:space="0"/>
            </w:tcBorders>
            <w:vAlign w:val="center"/>
          </w:tcPr>
          <w:p>
            <w:pPr>
              <w:jc w:val="left"/>
              <w:rPr>
                <w:rFonts w:ascii="宋体" w:hAnsi="宋体" w:cs="宋体"/>
                <w:kern w:val="0"/>
                <w:sz w:val="24"/>
              </w:rPr>
            </w:pPr>
          </w:p>
        </w:tc>
        <w:tc>
          <w:tcPr>
            <w:tcW w:w="1719" w:type="dxa"/>
            <w:vMerge w:val="continue"/>
            <w:tcBorders>
              <w:top w:val="single" w:color="auto" w:sz="4" w:space="0"/>
              <w:left w:val="single" w:color="auto" w:sz="8" w:space="0"/>
              <w:bottom w:val="single" w:color="auto" w:sz="4" w:space="0"/>
              <w:right w:val="single" w:color="000000" w:sz="8" w:space="0"/>
            </w:tcBorders>
            <w:vAlign w:val="center"/>
          </w:tcPr>
          <w:p>
            <w:pPr>
              <w:widowControl/>
              <w:jc w:val="left"/>
              <w:rPr>
                <w:rFonts w:ascii="宋体" w:hAnsi="宋体" w:cs="宋体"/>
                <w:kern w:val="0"/>
                <w:sz w:val="24"/>
              </w:rPr>
            </w:pPr>
          </w:p>
        </w:tc>
        <w:tc>
          <w:tcPr>
            <w:tcW w:w="96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3.6航站楼问询台前未放置观赏性强的高档花卉及组合，摆放不符合花木租摆技术规范要求（高度不超过80厘米，放置于柜台内工作人员的左前方台面，单个底盘直径不超过50厘米）。</w:t>
            </w:r>
          </w:p>
        </w:tc>
        <w:tc>
          <w:tcPr>
            <w:tcW w:w="1592" w:type="dxa"/>
            <w:vMerge w:val="continue"/>
            <w:tcBorders>
              <w:left w:val="single" w:color="auto"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121" w:hRule="atLeast"/>
        </w:trPr>
        <w:tc>
          <w:tcPr>
            <w:tcW w:w="1224" w:type="dxa"/>
            <w:vMerge w:val="continue"/>
            <w:tcBorders>
              <w:left w:val="single" w:color="auto" w:sz="8" w:space="0"/>
              <w:right w:val="single" w:color="auto" w:sz="8" w:space="0"/>
            </w:tcBorders>
            <w:vAlign w:val="center"/>
          </w:tcPr>
          <w:p>
            <w:pPr>
              <w:jc w:val="left"/>
              <w:rPr>
                <w:rFonts w:ascii="宋体" w:hAnsi="宋体" w:cs="宋体"/>
                <w:kern w:val="0"/>
                <w:sz w:val="24"/>
              </w:rPr>
            </w:pPr>
          </w:p>
        </w:tc>
        <w:tc>
          <w:tcPr>
            <w:tcW w:w="1719" w:type="dxa"/>
            <w:vMerge w:val="continue"/>
            <w:tcBorders>
              <w:top w:val="single" w:color="auto" w:sz="4" w:space="0"/>
              <w:left w:val="single" w:color="auto" w:sz="8" w:space="0"/>
              <w:bottom w:val="single" w:color="auto" w:sz="4" w:space="0"/>
              <w:right w:val="single" w:color="000000" w:sz="8" w:space="0"/>
            </w:tcBorders>
            <w:vAlign w:val="center"/>
          </w:tcPr>
          <w:p>
            <w:pPr>
              <w:widowControl/>
              <w:jc w:val="left"/>
              <w:rPr>
                <w:rFonts w:ascii="宋体" w:hAnsi="宋体" w:cs="宋体"/>
                <w:kern w:val="0"/>
                <w:sz w:val="24"/>
              </w:rPr>
            </w:pPr>
          </w:p>
        </w:tc>
        <w:tc>
          <w:tcPr>
            <w:tcW w:w="96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3.7航站楼内头等舱或商务舱柜台前、高端会员柜台前未放置观赏性强、品质优良的高档花卉，摆放不符合花木租摆技术规范要求（高度不超过80厘米，放置于柜台内工作人员的左前方台面或者两侧台面，单个底盘直径不超过50厘米）。</w:t>
            </w:r>
          </w:p>
        </w:tc>
        <w:tc>
          <w:tcPr>
            <w:tcW w:w="1592" w:type="dxa"/>
            <w:vMerge w:val="continue"/>
            <w:tcBorders>
              <w:left w:val="single" w:color="auto"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121" w:hRule="atLeast"/>
        </w:trPr>
        <w:tc>
          <w:tcPr>
            <w:tcW w:w="1224" w:type="dxa"/>
            <w:vMerge w:val="continue"/>
            <w:tcBorders>
              <w:left w:val="single" w:color="auto" w:sz="8" w:space="0"/>
              <w:right w:val="single" w:color="auto" w:sz="8" w:space="0"/>
            </w:tcBorders>
            <w:vAlign w:val="center"/>
          </w:tcPr>
          <w:p>
            <w:pPr>
              <w:jc w:val="left"/>
              <w:rPr>
                <w:rFonts w:ascii="宋体" w:hAnsi="宋体" w:cs="宋体"/>
                <w:kern w:val="0"/>
                <w:sz w:val="24"/>
              </w:rPr>
            </w:pPr>
          </w:p>
        </w:tc>
        <w:tc>
          <w:tcPr>
            <w:tcW w:w="1719" w:type="dxa"/>
            <w:vMerge w:val="continue"/>
            <w:tcBorders>
              <w:top w:val="single" w:color="auto" w:sz="4" w:space="0"/>
              <w:left w:val="single" w:color="auto" w:sz="8" w:space="0"/>
              <w:bottom w:val="single" w:color="auto" w:sz="4" w:space="0"/>
              <w:right w:val="single" w:color="000000" w:sz="8" w:space="0"/>
            </w:tcBorders>
            <w:vAlign w:val="center"/>
          </w:tcPr>
          <w:p>
            <w:pPr>
              <w:widowControl/>
              <w:jc w:val="left"/>
              <w:rPr>
                <w:rFonts w:ascii="宋体" w:hAnsi="宋体" w:cs="宋体"/>
                <w:kern w:val="0"/>
                <w:sz w:val="24"/>
              </w:rPr>
            </w:pPr>
          </w:p>
        </w:tc>
        <w:tc>
          <w:tcPr>
            <w:tcW w:w="96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3.8航站楼内值班主任柜台、安检优先通道前未放置花期较长、观赏性佳的中高档花卉，摆放不符合花木租摆技术规范要求（高度不超过80厘米，放置于柜台内工作人员的左前方台面或者两侧台面，单个底盘直径不超过40厘米）。</w:t>
            </w:r>
          </w:p>
        </w:tc>
        <w:tc>
          <w:tcPr>
            <w:tcW w:w="1592" w:type="dxa"/>
            <w:vMerge w:val="continue"/>
            <w:tcBorders>
              <w:left w:val="single" w:color="auto"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121" w:hRule="atLeast"/>
        </w:trPr>
        <w:tc>
          <w:tcPr>
            <w:tcW w:w="1224" w:type="dxa"/>
            <w:vMerge w:val="continue"/>
            <w:tcBorders>
              <w:left w:val="single" w:color="auto" w:sz="8" w:space="0"/>
              <w:right w:val="single" w:color="auto" w:sz="8" w:space="0"/>
            </w:tcBorders>
            <w:vAlign w:val="center"/>
          </w:tcPr>
          <w:p>
            <w:pPr>
              <w:jc w:val="left"/>
              <w:rPr>
                <w:rFonts w:ascii="宋体" w:hAnsi="宋体" w:cs="宋体"/>
                <w:kern w:val="0"/>
                <w:sz w:val="24"/>
              </w:rPr>
            </w:pPr>
          </w:p>
        </w:tc>
        <w:tc>
          <w:tcPr>
            <w:tcW w:w="1719" w:type="dxa"/>
            <w:vMerge w:val="continue"/>
            <w:tcBorders>
              <w:top w:val="single" w:color="auto" w:sz="4" w:space="0"/>
              <w:left w:val="single" w:color="auto" w:sz="8" w:space="0"/>
              <w:bottom w:val="single" w:color="auto" w:sz="4" w:space="0"/>
              <w:right w:val="single" w:color="000000" w:sz="8" w:space="0"/>
            </w:tcBorders>
            <w:vAlign w:val="center"/>
          </w:tcPr>
          <w:p>
            <w:pPr>
              <w:widowControl/>
              <w:jc w:val="left"/>
              <w:rPr>
                <w:rFonts w:ascii="宋体" w:hAnsi="宋体" w:cs="宋体"/>
                <w:kern w:val="0"/>
                <w:sz w:val="24"/>
              </w:rPr>
            </w:pPr>
          </w:p>
        </w:tc>
        <w:tc>
          <w:tcPr>
            <w:tcW w:w="96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3.9航站楼大厅中间柱前未放置常绿观叶植物、常绿灌木或小乔木，高度不符合花木租摆技术规范要求（高度不超过300厘米）。</w:t>
            </w:r>
          </w:p>
        </w:tc>
        <w:tc>
          <w:tcPr>
            <w:tcW w:w="1592" w:type="dxa"/>
            <w:vMerge w:val="continue"/>
            <w:tcBorders>
              <w:left w:val="single" w:color="auto"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121" w:hRule="atLeast"/>
        </w:trPr>
        <w:tc>
          <w:tcPr>
            <w:tcW w:w="1224" w:type="dxa"/>
            <w:vMerge w:val="continue"/>
            <w:tcBorders>
              <w:left w:val="single" w:color="auto" w:sz="8" w:space="0"/>
              <w:right w:val="single" w:color="auto" w:sz="8" w:space="0"/>
            </w:tcBorders>
            <w:vAlign w:val="center"/>
          </w:tcPr>
          <w:p>
            <w:pPr>
              <w:jc w:val="left"/>
              <w:rPr>
                <w:rFonts w:ascii="宋体" w:hAnsi="宋体" w:cs="宋体"/>
                <w:kern w:val="0"/>
                <w:sz w:val="24"/>
              </w:rPr>
            </w:pPr>
          </w:p>
        </w:tc>
        <w:tc>
          <w:tcPr>
            <w:tcW w:w="1719" w:type="dxa"/>
            <w:vMerge w:val="continue"/>
            <w:tcBorders>
              <w:top w:val="single" w:color="auto" w:sz="4" w:space="0"/>
              <w:left w:val="single" w:color="auto" w:sz="8" w:space="0"/>
              <w:bottom w:val="single" w:color="auto" w:sz="4" w:space="0"/>
              <w:right w:val="single" w:color="000000" w:sz="8" w:space="0"/>
            </w:tcBorders>
            <w:vAlign w:val="center"/>
          </w:tcPr>
          <w:p>
            <w:pPr>
              <w:widowControl/>
              <w:jc w:val="left"/>
              <w:rPr>
                <w:rFonts w:ascii="宋体" w:hAnsi="宋体" w:cs="宋体"/>
                <w:kern w:val="0"/>
                <w:sz w:val="24"/>
              </w:rPr>
            </w:pPr>
          </w:p>
        </w:tc>
        <w:tc>
          <w:tcPr>
            <w:tcW w:w="96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3.10航站楼旅客座椅旁未放置中小型观叶植物或普通花卉，高度不符合花木租摆技术规范要求（高度不超过80厘米）。</w:t>
            </w:r>
          </w:p>
        </w:tc>
        <w:tc>
          <w:tcPr>
            <w:tcW w:w="1592" w:type="dxa"/>
            <w:vMerge w:val="continue"/>
            <w:tcBorders>
              <w:left w:val="single" w:color="auto"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121" w:hRule="atLeast"/>
        </w:trPr>
        <w:tc>
          <w:tcPr>
            <w:tcW w:w="1224" w:type="dxa"/>
            <w:vMerge w:val="continue"/>
            <w:tcBorders>
              <w:left w:val="single" w:color="auto" w:sz="8" w:space="0"/>
              <w:right w:val="single" w:color="auto" w:sz="8" w:space="0"/>
            </w:tcBorders>
            <w:vAlign w:val="center"/>
          </w:tcPr>
          <w:p>
            <w:pPr>
              <w:jc w:val="left"/>
              <w:rPr>
                <w:rFonts w:ascii="宋体" w:hAnsi="宋体" w:cs="宋体"/>
                <w:kern w:val="0"/>
                <w:sz w:val="24"/>
              </w:rPr>
            </w:pPr>
          </w:p>
        </w:tc>
        <w:tc>
          <w:tcPr>
            <w:tcW w:w="1719" w:type="dxa"/>
            <w:vMerge w:val="continue"/>
            <w:tcBorders>
              <w:top w:val="single" w:color="auto" w:sz="4" w:space="0"/>
              <w:left w:val="single" w:color="auto" w:sz="8" w:space="0"/>
              <w:bottom w:val="single" w:color="auto" w:sz="4" w:space="0"/>
              <w:right w:val="single" w:color="000000" w:sz="8" w:space="0"/>
            </w:tcBorders>
            <w:vAlign w:val="center"/>
          </w:tcPr>
          <w:p>
            <w:pPr>
              <w:widowControl/>
              <w:jc w:val="left"/>
              <w:rPr>
                <w:rFonts w:ascii="宋体" w:hAnsi="宋体" w:cs="宋体"/>
                <w:kern w:val="0"/>
                <w:sz w:val="24"/>
              </w:rPr>
            </w:pPr>
          </w:p>
        </w:tc>
        <w:tc>
          <w:tcPr>
            <w:tcW w:w="96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3.11航站楼内墙边未做到在恰当位置放置喜阴的大中型常绿观叶植物，高度不符合花木租摆技术规范要求（高度不超过300厘米）。</w:t>
            </w:r>
          </w:p>
        </w:tc>
        <w:tc>
          <w:tcPr>
            <w:tcW w:w="1592" w:type="dxa"/>
            <w:vMerge w:val="continue"/>
            <w:tcBorders>
              <w:left w:val="single" w:color="auto"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121" w:hRule="atLeast"/>
        </w:trPr>
        <w:tc>
          <w:tcPr>
            <w:tcW w:w="1224" w:type="dxa"/>
            <w:vMerge w:val="continue"/>
            <w:tcBorders>
              <w:left w:val="single" w:color="auto" w:sz="8" w:space="0"/>
              <w:right w:val="single" w:color="auto" w:sz="8" w:space="0"/>
            </w:tcBorders>
            <w:vAlign w:val="center"/>
          </w:tcPr>
          <w:p>
            <w:pPr>
              <w:jc w:val="left"/>
              <w:rPr>
                <w:rFonts w:ascii="宋体" w:hAnsi="宋体" w:cs="宋体"/>
                <w:kern w:val="0"/>
                <w:sz w:val="24"/>
              </w:rPr>
            </w:pPr>
          </w:p>
        </w:tc>
        <w:tc>
          <w:tcPr>
            <w:tcW w:w="1719" w:type="dxa"/>
            <w:vMerge w:val="continue"/>
            <w:tcBorders>
              <w:top w:val="single" w:color="auto" w:sz="4" w:space="0"/>
              <w:left w:val="single" w:color="auto" w:sz="8" w:space="0"/>
              <w:bottom w:val="single" w:color="auto" w:sz="4" w:space="0"/>
              <w:right w:val="single" w:color="000000" w:sz="8" w:space="0"/>
            </w:tcBorders>
            <w:vAlign w:val="center"/>
          </w:tcPr>
          <w:p>
            <w:pPr>
              <w:widowControl/>
              <w:jc w:val="left"/>
              <w:rPr>
                <w:rFonts w:ascii="宋体" w:hAnsi="宋体" w:cs="宋体"/>
                <w:kern w:val="0"/>
                <w:sz w:val="24"/>
              </w:rPr>
            </w:pPr>
          </w:p>
        </w:tc>
        <w:tc>
          <w:tcPr>
            <w:tcW w:w="96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3.12航站楼内连廊处中间位置未放置绿植/花卉组合，未选择花色艳丽的中档花卉及常绿观叶植物，摆放不符合花木租摆技术规范要求（高度不超过180厘米，单个组合面积不大于5平方米）；连廊靠墙处未做到每隔五米放置喜阳的大中型常绿乔木、灌木或观叶植物，高度不符合花木租摆技术规范要求（高度不超过300厘米）。</w:t>
            </w:r>
          </w:p>
        </w:tc>
        <w:tc>
          <w:tcPr>
            <w:tcW w:w="1592" w:type="dxa"/>
            <w:vMerge w:val="continue"/>
            <w:tcBorders>
              <w:left w:val="single" w:color="auto"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121" w:hRule="atLeast"/>
        </w:trPr>
        <w:tc>
          <w:tcPr>
            <w:tcW w:w="1224" w:type="dxa"/>
            <w:vMerge w:val="continue"/>
            <w:tcBorders>
              <w:left w:val="single" w:color="auto" w:sz="8" w:space="0"/>
              <w:right w:val="single" w:color="auto" w:sz="8" w:space="0"/>
            </w:tcBorders>
            <w:vAlign w:val="center"/>
          </w:tcPr>
          <w:p>
            <w:pPr>
              <w:jc w:val="left"/>
              <w:rPr>
                <w:rFonts w:ascii="宋体" w:hAnsi="宋体" w:cs="宋体"/>
                <w:kern w:val="0"/>
                <w:sz w:val="24"/>
              </w:rPr>
            </w:pPr>
          </w:p>
        </w:tc>
        <w:tc>
          <w:tcPr>
            <w:tcW w:w="1719" w:type="dxa"/>
            <w:vMerge w:val="continue"/>
            <w:tcBorders>
              <w:top w:val="single" w:color="auto" w:sz="4" w:space="0"/>
              <w:left w:val="single" w:color="auto" w:sz="8" w:space="0"/>
              <w:bottom w:val="single" w:color="auto" w:sz="4" w:space="0"/>
              <w:right w:val="single" w:color="000000" w:sz="8" w:space="0"/>
            </w:tcBorders>
            <w:vAlign w:val="center"/>
          </w:tcPr>
          <w:p>
            <w:pPr>
              <w:widowControl/>
              <w:jc w:val="left"/>
              <w:rPr>
                <w:rFonts w:ascii="宋体" w:hAnsi="宋体" w:cs="宋体"/>
                <w:kern w:val="0"/>
                <w:sz w:val="24"/>
              </w:rPr>
            </w:pPr>
          </w:p>
        </w:tc>
        <w:tc>
          <w:tcPr>
            <w:tcW w:w="96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3.13航站楼内安检工作人员通道、安检优先通道及门口未放置常绿的灌木、乔木或观叶植物，高度不符合花木租摆技术规范要求（高度不超过300厘米）。</w:t>
            </w:r>
          </w:p>
        </w:tc>
        <w:tc>
          <w:tcPr>
            <w:tcW w:w="1592" w:type="dxa"/>
            <w:vMerge w:val="continue"/>
            <w:tcBorders>
              <w:left w:val="single" w:color="auto"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121" w:hRule="atLeast"/>
        </w:trPr>
        <w:tc>
          <w:tcPr>
            <w:tcW w:w="1224" w:type="dxa"/>
            <w:vMerge w:val="continue"/>
            <w:tcBorders>
              <w:left w:val="single" w:color="auto" w:sz="8" w:space="0"/>
              <w:right w:val="single" w:color="auto" w:sz="8" w:space="0"/>
            </w:tcBorders>
            <w:vAlign w:val="center"/>
          </w:tcPr>
          <w:p>
            <w:pPr>
              <w:jc w:val="left"/>
              <w:rPr>
                <w:rFonts w:ascii="宋体" w:hAnsi="宋体" w:cs="宋体"/>
                <w:kern w:val="0"/>
                <w:sz w:val="24"/>
              </w:rPr>
            </w:pPr>
          </w:p>
        </w:tc>
        <w:tc>
          <w:tcPr>
            <w:tcW w:w="1719" w:type="dxa"/>
            <w:vMerge w:val="continue"/>
            <w:tcBorders>
              <w:top w:val="single" w:color="auto" w:sz="4" w:space="0"/>
              <w:left w:val="single" w:color="auto" w:sz="8" w:space="0"/>
              <w:bottom w:val="single" w:color="auto" w:sz="4" w:space="0"/>
              <w:right w:val="single" w:color="000000" w:sz="8" w:space="0"/>
            </w:tcBorders>
            <w:vAlign w:val="center"/>
          </w:tcPr>
          <w:p>
            <w:pPr>
              <w:widowControl/>
              <w:jc w:val="left"/>
              <w:rPr>
                <w:rFonts w:ascii="宋体" w:hAnsi="宋体" w:cs="宋体"/>
                <w:kern w:val="0"/>
                <w:sz w:val="24"/>
              </w:rPr>
            </w:pPr>
          </w:p>
        </w:tc>
        <w:tc>
          <w:tcPr>
            <w:tcW w:w="96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3.14航站楼内自动步道未做到两侧每隔5米应放置中小型普通花卉或常绿观叶植物，高度不符合花木租摆技术规范要求（高度不超过80厘米）。</w:t>
            </w:r>
          </w:p>
        </w:tc>
        <w:tc>
          <w:tcPr>
            <w:tcW w:w="1592" w:type="dxa"/>
            <w:vMerge w:val="continue"/>
            <w:tcBorders>
              <w:left w:val="single" w:color="auto"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121" w:hRule="atLeast"/>
        </w:trPr>
        <w:tc>
          <w:tcPr>
            <w:tcW w:w="1224" w:type="dxa"/>
            <w:vMerge w:val="continue"/>
            <w:tcBorders>
              <w:left w:val="single" w:color="auto" w:sz="8" w:space="0"/>
              <w:right w:val="single" w:color="auto" w:sz="8" w:space="0"/>
            </w:tcBorders>
            <w:vAlign w:val="center"/>
          </w:tcPr>
          <w:p>
            <w:pPr>
              <w:widowControl/>
              <w:jc w:val="left"/>
              <w:rPr>
                <w:rFonts w:ascii="宋体" w:hAnsi="宋体" w:cs="宋体"/>
                <w:kern w:val="0"/>
                <w:sz w:val="24"/>
              </w:rPr>
            </w:pPr>
          </w:p>
        </w:tc>
        <w:tc>
          <w:tcPr>
            <w:tcW w:w="1719" w:type="dxa"/>
            <w:vMerge w:val="continue"/>
            <w:tcBorders>
              <w:top w:val="single" w:color="auto" w:sz="4" w:space="0"/>
              <w:left w:val="single" w:color="auto" w:sz="8" w:space="0"/>
              <w:bottom w:val="single" w:color="auto" w:sz="4" w:space="0"/>
              <w:right w:val="single" w:color="000000" w:sz="8" w:space="0"/>
            </w:tcBorders>
            <w:vAlign w:val="center"/>
          </w:tcPr>
          <w:p>
            <w:pPr>
              <w:widowControl/>
              <w:jc w:val="left"/>
              <w:rPr>
                <w:rFonts w:ascii="宋体" w:hAnsi="宋体" w:cs="宋体"/>
                <w:kern w:val="0"/>
                <w:sz w:val="24"/>
              </w:rPr>
            </w:pPr>
          </w:p>
        </w:tc>
        <w:tc>
          <w:tcPr>
            <w:tcW w:w="96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3.15航站楼内行李提取转盘上未放置中小型普通花卉及喜阴、生命力旺盛的绿植，高度不符合花木租摆技术规范要求（高度不超过200厘米）。</w:t>
            </w:r>
          </w:p>
        </w:tc>
        <w:tc>
          <w:tcPr>
            <w:tcW w:w="1592" w:type="dxa"/>
            <w:vMerge w:val="continue"/>
            <w:tcBorders>
              <w:left w:val="single" w:color="auto"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121" w:hRule="atLeast"/>
        </w:trPr>
        <w:tc>
          <w:tcPr>
            <w:tcW w:w="1224" w:type="dxa"/>
            <w:vMerge w:val="continue"/>
            <w:tcBorders>
              <w:left w:val="single" w:color="auto" w:sz="8" w:space="0"/>
              <w:right w:val="single" w:color="auto" w:sz="8" w:space="0"/>
            </w:tcBorders>
            <w:vAlign w:val="center"/>
          </w:tcPr>
          <w:p>
            <w:pPr>
              <w:widowControl/>
              <w:jc w:val="left"/>
              <w:rPr>
                <w:rFonts w:ascii="宋体" w:hAnsi="宋体" w:cs="宋体"/>
                <w:kern w:val="0"/>
                <w:sz w:val="24"/>
              </w:rPr>
            </w:pPr>
          </w:p>
        </w:tc>
        <w:tc>
          <w:tcPr>
            <w:tcW w:w="1719" w:type="dxa"/>
            <w:vMerge w:val="continue"/>
            <w:tcBorders>
              <w:top w:val="single" w:color="auto" w:sz="4" w:space="0"/>
              <w:left w:val="single" w:color="auto" w:sz="8" w:space="0"/>
              <w:bottom w:val="single" w:color="auto" w:sz="4" w:space="0"/>
              <w:right w:val="single" w:color="000000" w:sz="8" w:space="0"/>
            </w:tcBorders>
            <w:vAlign w:val="center"/>
          </w:tcPr>
          <w:p>
            <w:pPr>
              <w:widowControl/>
              <w:jc w:val="left"/>
              <w:rPr>
                <w:rFonts w:ascii="宋体" w:hAnsi="宋体" w:cs="宋体"/>
                <w:kern w:val="0"/>
                <w:sz w:val="24"/>
              </w:rPr>
            </w:pPr>
          </w:p>
        </w:tc>
        <w:tc>
          <w:tcPr>
            <w:tcW w:w="96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3.16办公区域的植物摆放未做到简洁、朴实，未烘托出生态办公环境。</w:t>
            </w:r>
          </w:p>
        </w:tc>
        <w:tc>
          <w:tcPr>
            <w:tcW w:w="1592" w:type="dxa"/>
            <w:vMerge w:val="continue"/>
            <w:tcBorders>
              <w:left w:val="single" w:color="auto" w:sz="4" w:space="0"/>
              <w:bottom w:val="single" w:color="auto"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34" w:hRule="atLeast"/>
        </w:trPr>
        <w:tc>
          <w:tcPr>
            <w:tcW w:w="1224" w:type="dxa"/>
            <w:vMerge w:val="continue"/>
            <w:tcBorders>
              <w:left w:val="single" w:color="auto" w:sz="8" w:space="0"/>
              <w:right w:val="single" w:color="auto" w:sz="8" w:space="0"/>
            </w:tcBorders>
            <w:vAlign w:val="center"/>
          </w:tcPr>
          <w:p>
            <w:pPr>
              <w:widowControl/>
              <w:jc w:val="center"/>
              <w:rPr>
                <w:rFonts w:ascii="宋体" w:hAnsi="宋体" w:cs="宋体"/>
                <w:kern w:val="0"/>
                <w:sz w:val="24"/>
              </w:rPr>
            </w:pPr>
          </w:p>
        </w:tc>
        <w:tc>
          <w:tcPr>
            <w:tcW w:w="1719" w:type="dxa"/>
            <w:vMerge w:val="restart"/>
            <w:tcBorders>
              <w:top w:val="single" w:color="auto" w:sz="4" w:space="0"/>
              <w:left w:val="single" w:color="auto" w:sz="8" w:space="0"/>
              <w:bottom w:val="single" w:color="auto" w:sz="4" w:space="0"/>
              <w:right w:val="single" w:color="000000" w:sz="8" w:space="0"/>
            </w:tcBorders>
          </w:tcPr>
          <w:p>
            <w:pPr>
              <w:widowControl/>
              <w:jc w:val="left"/>
              <w:rPr>
                <w:rFonts w:ascii="宋体" w:hAnsi="宋体" w:cs="宋体"/>
                <w:kern w:val="0"/>
                <w:sz w:val="24"/>
              </w:rPr>
            </w:pPr>
            <w:r>
              <w:rPr>
                <w:rFonts w:hint="eastAsia" w:ascii="宋体" w:hAnsi="宋体" w:cs="宋体"/>
                <w:kern w:val="0"/>
                <w:sz w:val="24"/>
              </w:rPr>
              <w:t>4.遵守绿植景观小品的布置要求</w:t>
            </w:r>
          </w:p>
        </w:tc>
        <w:tc>
          <w:tcPr>
            <w:tcW w:w="9639" w:type="dxa"/>
            <w:tcBorders>
              <w:top w:val="single" w:color="auto" w:sz="4" w:space="0"/>
              <w:left w:val="nil"/>
              <w:bottom w:val="single" w:color="auto" w:sz="8" w:space="0"/>
              <w:right w:val="single" w:color="000000" w:sz="8" w:space="0"/>
            </w:tcBorders>
          </w:tcPr>
          <w:p>
            <w:pPr>
              <w:widowControl/>
              <w:jc w:val="left"/>
              <w:rPr>
                <w:rFonts w:ascii="宋体" w:hAnsi="宋体" w:cs="宋体"/>
                <w:kern w:val="0"/>
                <w:sz w:val="24"/>
              </w:rPr>
            </w:pPr>
            <w:r>
              <w:rPr>
                <w:rFonts w:hint="eastAsia" w:ascii="宋体" w:hAnsi="宋体" w:cs="宋体"/>
                <w:kern w:val="0"/>
                <w:sz w:val="24"/>
              </w:rPr>
              <w:t>4.1未按规定布置航站楼内绿植景观小品。</w:t>
            </w:r>
          </w:p>
        </w:tc>
        <w:tc>
          <w:tcPr>
            <w:tcW w:w="1592" w:type="dxa"/>
            <w:vMerge w:val="restart"/>
            <w:tcBorders>
              <w:top w:val="single" w:color="auto" w:sz="4" w:space="0"/>
              <w:left w:val="nil"/>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扣5分/项/次</w:t>
            </w:r>
          </w:p>
        </w:tc>
      </w:tr>
      <w:tr>
        <w:tblPrEx>
          <w:tblLayout w:type="fixed"/>
          <w:tblCellMar>
            <w:top w:w="0" w:type="dxa"/>
            <w:left w:w="108" w:type="dxa"/>
            <w:bottom w:w="0" w:type="dxa"/>
            <w:right w:w="108" w:type="dxa"/>
          </w:tblCellMar>
        </w:tblPrEx>
        <w:trPr>
          <w:trHeight w:val="428" w:hRule="atLeast"/>
        </w:trPr>
        <w:tc>
          <w:tcPr>
            <w:tcW w:w="1224" w:type="dxa"/>
            <w:vMerge w:val="continue"/>
            <w:tcBorders>
              <w:left w:val="single" w:color="auto" w:sz="8" w:space="0"/>
              <w:right w:val="single" w:color="auto" w:sz="8" w:space="0"/>
            </w:tcBorders>
            <w:vAlign w:val="center"/>
          </w:tcPr>
          <w:p>
            <w:pPr>
              <w:widowControl/>
              <w:jc w:val="center"/>
              <w:rPr>
                <w:rFonts w:ascii="宋体" w:hAnsi="宋体" w:cs="宋体"/>
                <w:kern w:val="0"/>
                <w:sz w:val="24"/>
              </w:rPr>
            </w:pPr>
          </w:p>
        </w:tc>
        <w:tc>
          <w:tcPr>
            <w:tcW w:w="1719" w:type="dxa"/>
            <w:vMerge w:val="continue"/>
            <w:tcBorders>
              <w:top w:val="single" w:color="auto" w:sz="4" w:space="0"/>
              <w:left w:val="single" w:color="auto" w:sz="8" w:space="0"/>
              <w:bottom w:val="single" w:color="auto" w:sz="4" w:space="0"/>
              <w:right w:val="single" w:color="000000" w:sz="8" w:space="0"/>
            </w:tcBorders>
          </w:tcPr>
          <w:p>
            <w:pPr>
              <w:widowControl/>
              <w:jc w:val="left"/>
              <w:rPr>
                <w:rFonts w:ascii="宋体" w:hAnsi="宋体" w:cs="宋体"/>
                <w:kern w:val="0"/>
                <w:sz w:val="24"/>
              </w:rPr>
            </w:pPr>
          </w:p>
        </w:tc>
        <w:tc>
          <w:tcPr>
            <w:tcW w:w="9639" w:type="dxa"/>
            <w:tcBorders>
              <w:top w:val="single" w:color="auto" w:sz="4" w:space="0"/>
              <w:left w:val="nil"/>
              <w:bottom w:val="single" w:color="auto" w:sz="8" w:space="0"/>
              <w:right w:val="single" w:color="000000" w:sz="8" w:space="0"/>
            </w:tcBorders>
          </w:tcPr>
          <w:p>
            <w:pPr>
              <w:widowControl/>
              <w:jc w:val="left"/>
              <w:rPr>
                <w:rFonts w:ascii="宋体" w:hAnsi="宋体" w:cs="宋体"/>
                <w:kern w:val="0"/>
                <w:sz w:val="24"/>
              </w:rPr>
            </w:pPr>
            <w:r>
              <w:rPr>
                <w:rFonts w:hint="eastAsia" w:ascii="宋体" w:hAnsi="宋体" w:cs="宋体"/>
                <w:kern w:val="0"/>
                <w:sz w:val="24"/>
              </w:rPr>
              <w:t>4.2摆放单位未积极按航站楼管理部要求进行前期组织、按计划实施及后期场地复原。</w:t>
            </w:r>
          </w:p>
        </w:tc>
        <w:tc>
          <w:tcPr>
            <w:tcW w:w="1592" w:type="dxa"/>
            <w:vMerge w:val="continue"/>
            <w:tcBorders>
              <w:left w:val="nil"/>
              <w:bottom w:val="nil"/>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92" w:hRule="atLeast"/>
        </w:trPr>
        <w:tc>
          <w:tcPr>
            <w:tcW w:w="1224" w:type="dxa"/>
            <w:vMerge w:val="continue"/>
            <w:tcBorders>
              <w:left w:val="single" w:color="auto" w:sz="8" w:space="0"/>
              <w:right w:val="single" w:color="auto" w:sz="8" w:space="0"/>
            </w:tcBorders>
            <w:vAlign w:val="center"/>
          </w:tcPr>
          <w:p>
            <w:pPr>
              <w:widowControl/>
              <w:jc w:val="center"/>
              <w:rPr>
                <w:rFonts w:ascii="宋体" w:hAnsi="宋体" w:cs="宋体"/>
                <w:kern w:val="0"/>
                <w:sz w:val="24"/>
              </w:rPr>
            </w:pPr>
          </w:p>
        </w:tc>
        <w:tc>
          <w:tcPr>
            <w:tcW w:w="1719" w:type="dxa"/>
            <w:vMerge w:val="continue"/>
            <w:tcBorders>
              <w:top w:val="single" w:color="auto" w:sz="4" w:space="0"/>
              <w:left w:val="single" w:color="auto" w:sz="8" w:space="0"/>
              <w:bottom w:val="single" w:color="auto" w:sz="4" w:space="0"/>
              <w:right w:val="single" w:color="000000" w:sz="8" w:space="0"/>
            </w:tcBorders>
          </w:tcPr>
          <w:p>
            <w:pPr>
              <w:widowControl/>
              <w:jc w:val="left"/>
              <w:rPr>
                <w:rFonts w:ascii="宋体" w:hAnsi="宋体" w:cs="宋体"/>
                <w:kern w:val="0"/>
                <w:sz w:val="24"/>
              </w:rPr>
            </w:pPr>
          </w:p>
        </w:tc>
        <w:tc>
          <w:tcPr>
            <w:tcW w:w="9639" w:type="dxa"/>
            <w:tcBorders>
              <w:top w:val="single" w:color="auto" w:sz="4" w:space="0"/>
              <w:left w:val="nil"/>
              <w:bottom w:val="single" w:color="auto" w:sz="8" w:space="0"/>
              <w:right w:val="single" w:color="000000" w:sz="8" w:space="0"/>
            </w:tcBorders>
          </w:tcPr>
          <w:p>
            <w:pPr>
              <w:widowControl/>
              <w:jc w:val="left"/>
              <w:rPr>
                <w:rFonts w:ascii="宋体" w:hAnsi="宋体" w:cs="宋体"/>
                <w:kern w:val="0"/>
                <w:sz w:val="24"/>
              </w:rPr>
            </w:pPr>
            <w:r>
              <w:rPr>
                <w:rFonts w:hint="eastAsia" w:ascii="宋体" w:hAnsi="宋体" w:cs="宋体"/>
                <w:kern w:val="0"/>
                <w:sz w:val="24"/>
              </w:rPr>
              <w:t>4.3航站楼内绿植景观小品无专人维护，未做到每日定时巡视。</w:t>
            </w:r>
          </w:p>
        </w:tc>
        <w:tc>
          <w:tcPr>
            <w:tcW w:w="1592" w:type="dxa"/>
            <w:vMerge w:val="restart"/>
            <w:tcBorders>
              <w:top w:val="single" w:color="auto" w:sz="4" w:space="0"/>
              <w:left w:val="nil"/>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扣2分/项/次</w:t>
            </w:r>
          </w:p>
        </w:tc>
      </w:tr>
      <w:tr>
        <w:tblPrEx>
          <w:tblLayout w:type="fixed"/>
          <w:tblCellMar>
            <w:top w:w="0" w:type="dxa"/>
            <w:left w:w="108" w:type="dxa"/>
            <w:bottom w:w="0" w:type="dxa"/>
            <w:right w:w="108" w:type="dxa"/>
          </w:tblCellMar>
        </w:tblPrEx>
        <w:trPr>
          <w:trHeight w:val="398" w:hRule="atLeast"/>
        </w:trPr>
        <w:tc>
          <w:tcPr>
            <w:tcW w:w="1224" w:type="dxa"/>
            <w:vMerge w:val="continue"/>
            <w:tcBorders>
              <w:left w:val="single" w:color="auto" w:sz="8" w:space="0"/>
              <w:right w:val="single" w:color="auto" w:sz="8" w:space="0"/>
            </w:tcBorders>
            <w:vAlign w:val="center"/>
          </w:tcPr>
          <w:p>
            <w:pPr>
              <w:widowControl/>
              <w:jc w:val="center"/>
              <w:rPr>
                <w:rFonts w:ascii="宋体" w:hAnsi="宋体" w:cs="宋体"/>
                <w:kern w:val="0"/>
                <w:sz w:val="24"/>
              </w:rPr>
            </w:pPr>
          </w:p>
        </w:tc>
        <w:tc>
          <w:tcPr>
            <w:tcW w:w="1719" w:type="dxa"/>
            <w:vMerge w:val="continue"/>
            <w:tcBorders>
              <w:top w:val="single" w:color="auto" w:sz="4" w:space="0"/>
              <w:left w:val="single" w:color="auto" w:sz="8" w:space="0"/>
              <w:bottom w:val="single" w:color="auto" w:sz="4" w:space="0"/>
              <w:right w:val="single" w:color="000000" w:sz="8" w:space="0"/>
            </w:tcBorders>
          </w:tcPr>
          <w:p>
            <w:pPr>
              <w:widowControl/>
              <w:jc w:val="left"/>
              <w:rPr>
                <w:rFonts w:ascii="宋体" w:hAnsi="宋体" w:cs="宋体"/>
                <w:kern w:val="0"/>
                <w:sz w:val="24"/>
              </w:rPr>
            </w:pPr>
          </w:p>
        </w:tc>
        <w:tc>
          <w:tcPr>
            <w:tcW w:w="9639" w:type="dxa"/>
            <w:tcBorders>
              <w:top w:val="single" w:color="auto" w:sz="4" w:space="0"/>
              <w:left w:val="nil"/>
              <w:bottom w:val="single" w:color="auto" w:sz="8" w:space="0"/>
              <w:right w:val="single" w:color="000000" w:sz="8" w:space="0"/>
            </w:tcBorders>
          </w:tcPr>
          <w:p>
            <w:pPr>
              <w:widowControl/>
              <w:jc w:val="left"/>
              <w:rPr>
                <w:rFonts w:ascii="宋体" w:hAnsi="宋体" w:cs="宋体"/>
                <w:kern w:val="0"/>
                <w:sz w:val="24"/>
              </w:rPr>
            </w:pPr>
            <w:r>
              <w:rPr>
                <w:rFonts w:hint="eastAsia" w:ascii="宋体" w:hAnsi="宋体" w:cs="宋体"/>
                <w:kern w:val="0"/>
                <w:sz w:val="24"/>
              </w:rPr>
              <w:t>4.4出现破损缺失，未做到在当日修补或拆除。</w:t>
            </w:r>
          </w:p>
        </w:tc>
        <w:tc>
          <w:tcPr>
            <w:tcW w:w="1592" w:type="dxa"/>
            <w:vMerge w:val="continue"/>
            <w:tcBorders>
              <w:left w:val="nil"/>
              <w:bottom w:val="nil"/>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90" w:hRule="atLeast"/>
        </w:trPr>
        <w:tc>
          <w:tcPr>
            <w:tcW w:w="1224" w:type="dxa"/>
            <w:vMerge w:val="continue"/>
            <w:tcBorders>
              <w:left w:val="single" w:color="auto" w:sz="8" w:space="0"/>
              <w:right w:val="single" w:color="auto" w:sz="8" w:space="0"/>
            </w:tcBorders>
            <w:vAlign w:val="center"/>
          </w:tcPr>
          <w:p>
            <w:pPr>
              <w:widowControl/>
              <w:jc w:val="center"/>
              <w:rPr>
                <w:rFonts w:ascii="宋体" w:hAnsi="宋体" w:cs="宋体"/>
                <w:kern w:val="0"/>
                <w:sz w:val="24"/>
              </w:rPr>
            </w:pPr>
          </w:p>
        </w:tc>
        <w:tc>
          <w:tcPr>
            <w:tcW w:w="1719" w:type="dxa"/>
            <w:vMerge w:val="continue"/>
            <w:tcBorders>
              <w:top w:val="single" w:color="auto" w:sz="4" w:space="0"/>
              <w:left w:val="single" w:color="auto" w:sz="8" w:space="0"/>
              <w:bottom w:val="single" w:color="auto" w:sz="4" w:space="0"/>
              <w:right w:val="single" w:color="000000" w:sz="8" w:space="0"/>
            </w:tcBorders>
          </w:tcPr>
          <w:p>
            <w:pPr>
              <w:widowControl/>
              <w:jc w:val="left"/>
              <w:rPr>
                <w:rFonts w:ascii="宋体" w:hAnsi="宋体" w:cs="宋体"/>
                <w:kern w:val="0"/>
                <w:sz w:val="24"/>
              </w:rPr>
            </w:pPr>
          </w:p>
        </w:tc>
        <w:tc>
          <w:tcPr>
            <w:tcW w:w="9639" w:type="dxa"/>
            <w:tcBorders>
              <w:top w:val="single" w:color="auto" w:sz="4" w:space="0"/>
              <w:left w:val="nil"/>
              <w:bottom w:val="single" w:color="auto" w:sz="8" w:space="0"/>
              <w:right w:val="single" w:color="000000" w:sz="8" w:space="0"/>
            </w:tcBorders>
          </w:tcPr>
          <w:p>
            <w:pPr>
              <w:widowControl/>
              <w:jc w:val="left"/>
              <w:rPr>
                <w:rFonts w:ascii="宋体" w:hAnsi="宋体" w:cs="宋体"/>
                <w:kern w:val="0"/>
                <w:sz w:val="24"/>
              </w:rPr>
            </w:pPr>
            <w:r>
              <w:rPr>
                <w:rFonts w:hint="eastAsia" w:ascii="宋体" w:hAnsi="宋体" w:cs="宋体"/>
                <w:kern w:val="0"/>
                <w:sz w:val="24"/>
              </w:rPr>
              <w:t>4.5安装未做到由具有专业资质的公司执行。</w:t>
            </w:r>
          </w:p>
        </w:tc>
        <w:tc>
          <w:tcPr>
            <w:tcW w:w="1592" w:type="dxa"/>
            <w:vMerge w:val="restart"/>
            <w:tcBorders>
              <w:top w:val="single" w:color="auto" w:sz="4" w:space="0"/>
              <w:left w:val="nil"/>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扣5分/项/次</w:t>
            </w:r>
          </w:p>
        </w:tc>
      </w:tr>
      <w:tr>
        <w:tblPrEx>
          <w:tblLayout w:type="fixed"/>
          <w:tblCellMar>
            <w:top w:w="0" w:type="dxa"/>
            <w:left w:w="108" w:type="dxa"/>
            <w:bottom w:w="0" w:type="dxa"/>
            <w:right w:w="108" w:type="dxa"/>
          </w:tblCellMar>
        </w:tblPrEx>
        <w:trPr>
          <w:trHeight w:val="90" w:hRule="atLeast"/>
        </w:trPr>
        <w:tc>
          <w:tcPr>
            <w:tcW w:w="1224" w:type="dxa"/>
            <w:vMerge w:val="continue"/>
            <w:tcBorders>
              <w:left w:val="single" w:color="auto" w:sz="8" w:space="0"/>
              <w:right w:val="single" w:color="auto" w:sz="8" w:space="0"/>
            </w:tcBorders>
            <w:vAlign w:val="center"/>
          </w:tcPr>
          <w:p>
            <w:pPr>
              <w:widowControl/>
              <w:jc w:val="center"/>
              <w:rPr>
                <w:rFonts w:ascii="宋体" w:hAnsi="宋体" w:cs="宋体"/>
                <w:kern w:val="0"/>
                <w:sz w:val="24"/>
              </w:rPr>
            </w:pPr>
          </w:p>
        </w:tc>
        <w:tc>
          <w:tcPr>
            <w:tcW w:w="1719" w:type="dxa"/>
            <w:vMerge w:val="continue"/>
            <w:tcBorders>
              <w:top w:val="single" w:color="auto" w:sz="4" w:space="0"/>
              <w:left w:val="single" w:color="auto" w:sz="8" w:space="0"/>
              <w:bottom w:val="single" w:color="auto" w:sz="4" w:space="0"/>
              <w:right w:val="single" w:color="000000" w:sz="8" w:space="0"/>
            </w:tcBorders>
          </w:tcPr>
          <w:p>
            <w:pPr>
              <w:widowControl/>
              <w:jc w:val="left"/>
              <w:rPr>
                <w:rFonts w:ascii="宋体" w:hAnsi="宋体" w:cs="宋体"/>
                <w:kern w:val="0"/>
                <w:sz w:val="24"/>
              </w:rPr>
            </w:pPr>
          </w:p>
        </w:tc>
        <w:tc>
          <w:tcPr>
            <w:tcW w:w="9639" w:type="dxa"/>
            <w:tcBorders>
              <w:top w:val="single" w:color="auto" w:sz="4" w:space="0"/>
              <w:left w:val="nil"/>
              <w:bottom w:val="single" w:color="auto" w:sz="8" w:space="0"/>
              <w:right w:val="single" w:color="000000" w:sz="8" w:space="0"/>
            </w:tcBorders>
          </w:tcPr>
          <w:p>
            <w:pPr>
              <w:widowControl/>
              <w:jc w:val="left"/>
              <w:rPr>
                <w:rFonts w:ascii="宋体" w:hAnsi="宋体" w:cs="宋体"/>
                <w:kern w:val="0"/>
                <w:sz w:val="24"/>
              </w:rPr>
            </w:pPr>
            <w:r>
              <w:rPr>
                <w:rFonts w:hint="eastAsia" w:ascii="宋体" w:hAnsi="宋体" w:cs="宋体"/>
                <w:kern w:val="0"/>
                <w:sz w:val="24"/>
              </w:rPr>
              <w:t>4.6绿植景观小品的安装改变航站楼结构。</w:t>
            </w:r>
          </w:p>
        </w:tc>
        <w:tc>
          <w:tcPr>
            <w:tcW w:w="1592" w:type="dxa"/>
            <w:vMerge w:val="continue"/>
            <w:tcBorders>
              <w:left w:val="nil"/>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90" w:hRule="atLeast"/>
        </w:trPr>
        <w:tc>
          <w:tcPr>
            <w:tcW w:w="1224" w:type="dxa"/>
            <w:vMerge w:val="continue"/>
            <w:tcBorders>
              <w:left w:val="single" w:color="auto" w:sz="8" w:space="0"/>
              <w:right w:val="single" w:color="auto" w:sz="8" w:space="0"/>
            </w:tcBorders>
            <w:vAlign w:val="center"/>
          </w:tcPr>
          <w:p>
            <w:pPr>
              <w:widowControl/>
              <w:jc w:val="center"/>
              <w:rPr>
                <w:rFonts w:ascii="宋体" w:hAnsi="宋体" w:cs="宋体"/>
                <w:kern w:val="0"/>
                <w:sz w:val="24"/>
              </w:rPr>
            </w:pPr>
          </w:p>
        </w:tc>
        <w:tc>
          <w:tcPr>
            <w:tcW w:w="1719" w:type="dxa"/>
            <w:vMerge w:val="continue"/>
            <w:tcBorders>
              <w:top w:val="single" w:color="auto" w:sz="4" w:space="0"/>
              <w:left w:val="single" w:color="auto" w:sz="8" w:space="0"/>
              <w:bottom w:val="single" w:color="auto" w:sz="4" w:space="0"/>
              <w:right w:val="single" w:color="000000" w:sz="8" w:space="0"/>
            </w:tcBorders>
          </w:tcPr>
          <w:p>
            <w:pPr>
              <w:widowControl/>
              <w:jc w:val="left"/>
              <w:rPr>
                <w:rFonts w:ascii="宋体" w:hAnsi="宋体" w:cs="宋体"/>
                <w:kern w:val="0"/>
                <w:sz w:val="24"/>
              </w:rPr>
            </w:pPr>
          </w:p>
        </w:tc>
        <w:tc>
          <w:tcPr>
            <w:tcW w:w="9639" w:type="dxa"/>
            <w:tcBorders>
              <w:top w:val="single" w:color="auto" w:sz="4" w:space="0"/>
              <w:left w:val="nil"/>
              <w:bottom w:val="single" w:color="auto" w:sz="8" w:space="0"/>
              <w:right w:val="single" w:color="000000" w:sz="8" w:space="0"/>
            </w:tcBorders>
          </w:tcPr>
          <w:p>
            <w:pPr>
              <w:widowControl/>
              <w:jc w:val="left"/>
              <w:rPr>
                <w:rFonts w:ascii="宋体" w:hAnsi="宋体" w:cs="宋体"/>
                <w:kern w:val="0"/>
                <w:sz w:val="24"/>
              </w:rPr>
            </w:pPr>
            <w:r>
              <w:rPr>
                <w:rFonts w:hint="eastAsia" w:ascii="宋体" w:hAnsi="宋体" w:cs="宋体"/>
                <w:kern w:val="0"/>
                <w:sz w:val="24"/>
              </w:rPr>
              <w:t>4.7安装过程未由航站楼管理部监管。</w:t>
            </w:r>
          </w:p>
        </w:tc>
        <w:tc>
          <w:tcPr>
            <w:tcW w:w="1592" w:type="dxa"/>
            <w:vMerge w:val="continue"/>
            <w:tcBorders>
              <w:left w:val="nil"/>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90" w:hRule="atLeast"/>
        </w:trPr>
        <w:tc>
          <w:tcPr>
            <w:tcW w:w="1224" w:type="dxa"/>
            <w:vMerge w:val="continue"/>
            <w:tcBorders>
              <w:left w:val="single" w:color="auto" w:sz="8" w:space="0"/>
              <w:right w:val="single" w:color="auto" w:sz="8" w:space="0"/>
            </w:tcBorders>
            <w:vAlign w:val="center"/>
          </w:tcPr>
          <w:p>
            <w:pPr>
              <w:widowControl/>
              <w:jc w:val="center"/>
              <w:rPr>
                <w:rFonts w:ascii="宋体" w:hAnsi="宋体" w:cs="宋体"/>
                <w:kern w:val="0"/>
                <w:sz w:val="24"/>
              </w:rPr>
            </w:pPr>
          </w:p>
        </w:tc>
        <w:tc>
          <w:tcPr>
            <w:tcW w:w="1719" w:type="dxa"/>
            <w:vMerge w:val="continue"/>
            <w:tcBorders>
              <w:top w:val="single" w:color="auto" w:sz="4" w:space="0"/>
              <w:left w:val="single" w:color="auto" w:sz="8" w:space="0"/>
              <w:bottom w:val="single" w:color="auto" w:sz="4" w:space="0"/>
              <w:right w:val="single" w:color="000000" w:sz="8" w:space="0"/>
            </w:tcBorders>
          </w:tcPr>
          <w:p>
            <w:pPr>
              <w:widowControl/>
              <w:jc w:val="left"/>
              <w:rPr>
                <w:rFonts w:ascii="宋体" w:hAnsi="宋体" w:cs="宋体"/>
                <w:kern w:val="0"/>
                <w:sz w:val="24"/>
              </w:rPr>
            </w:pPr>
          </w:p>
        </w:tc>
        <w:tc>
          <w:tcPr>
            <w:tcW w:w="9639" w:type="dxa"/>
            <w:tcBorders>
              <w:top w:val="single" w:color="auto" w:sz="4" w:space="0"/>
              <w:left w:val="nil"/>
              <w:bottom w:val="single" w:color="auto" w:sz="8" w:space="0"/>
              <w:right w:val="single" w:color="000000" w:sz="8" w:space="0"/>
            </w:tcBorders>
          </w:tcPr>
          <w:p>
            <w:pPr>
              <w:widowControl/>
              <w:jc w:val="left"/>
              <w:rPr>
                <w:rFonts w:ascii="宋体" w:hAnsi="宋体" w:cs="宋体"/>
                <w:kern w:val="0"/>
                <w:sz w:val="24"/>
              </w:rPr>
            </w:pPr>
            <w:r>
              <w:rPr>
                <w:rFonts w:hint="eastAsia" w:ascii="宋体" w:hAnsi="宋体" w:cs="宋体"/>
                <w:kern w:val="0"/>
                <w:sz w:val="24"/>
              </w:rPr>
              <w:t>4.8未做到在安装区域无航班或航班结束后进行，干扰正常的航站楼运行。</w:t>
            </w:r>
          </w:p>
        </w:tc>
        <w:tc>
          <w:tcPr>
            <w:tcW w:w="1592" w:type="dxa"/>
            <w:vMerge w:val="continue"/>
            <w:tcBorders>
              <w:left w:val="nil"/>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90" w:hRule="atLeast"/>
        </w:trPr>
        <w:tc>
          <w:tcPr>
            <w:tcW w:w="1224" w:type="dxa"/>
            <w:vMerge w:val="continue"/>
            <w:tcBorders>
              <w:left w:val="single" w:color="auto" w:sz="8" w:space="0"/>
              <w:right w:val="single" w:color="auto" w:sz="8" w:space="0"/>
            </w:tcBorders>
            <w:vAlign w:val="center"/>
          </w:tcPr>
          <w:p>
            <w:pPr>
              <w:widowControl/>
              <w:jc w:val="center"/>
              <w:rPr>
                <w:rFonts w:ascii="宋体" w:hAnsi="宋体" w:cs="宋体"/>
                <w:kern w:val="0"/>
                <w:sz w:val="24"/>
              </w:rPr>
            </w:pPr>
          </w:p>
        </w:tc>
        <w:tc>
          <w:tcPr>
            <w:tcW w:w="1719" w:type="dxa"/>
            <w:vMerge w:val="continue"/>
            <w:tcBorders>
              <w:top w:val="single" w:color="auto" w:sz="4" w:space="0"/>
              <w:left w:val="single" w:color="auto" w:sz="8" w:space="0"/>
              <w:bottom w:val="single" w:color="auto" w:sz="4" w:space="0"/>
              <w:right w:val="single" w:color="000000" w:sz="8" w:space="0"/>
            </w:tcBorders>
          </w:tcPr>
          <w:p>
            <w:pPr>
              <w:widowControl/>
              <w:jc w:val="left"/>
              <w:rPr>
                <w:rFonts w:ascii="宋体" w:hAnsi="宋体" w:cs="宋体"/>
                <w:kern w:val="0"/>
                <w:sz w:val="24"/>
              </w:rPr>
            </w:pPr>
          </w:p>
        </w:tc>
        <w:tc>
          <w:tcPr>
            <w:tcW w:w="9639" w:type="dxa"/>
            <w:tcBorders>
              <w:top w:val="single" w:color="auto" w:sz="4" w:space="0"/>
              <w:left w:val="nil"/>
              <w:bottom w:val="single" w:color="auto" w:sz="8" w:space="0"/>
              <w:right w:val="single" w:color="000000" w:sz="8" w:space="0"/>
            </w:tcBorders>
          </w:tcPr>
          <w:p>
            <w:pPr>
              <w:widowControl/>
              <w:jc w:val="left"/>
              <w:rPr>
                <w:rFonts w:ascii="宋体" w:hAnsi="宋体" w:cs="宋体"/>
                <w:kern w:val="0"/>
                <w:sz w:val="24"/>
              </w:rPr>
            </w:pPr>
            <w:r>
              <w:rPr>
                <w:rFonts w:hint="eastAsia" w:ascii="宋体" w:hAnsi="宋体" w:cs="宋体"/>
                <w:kern w:val="0"/>
                <w:sz w:val="24"/>
              </w:rPr>
              <w:t>4.9长期、短期绿植景观小品在摆放期满后，未在3日内拆除。</w:t>
            </w:r>
          </w:p>
        </w:tc>
        <w:tc>
          <w:tcPr>
            <w:tcW w:w="1592" w:type="dxa"/>
            <w:vMerge w:val="continue"/>
            <w:tcBorders>
              <w:left w:val="nil"/>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90" w:hRule="atLeast"/>
        </w:trPr>
        <w:tc>
          <w:tcPr>
            <w:tcW w:w="1224" w:type="dxa"/>
            <w:vMerge w:val="continue"/>
            <w:tcBorders>
              <w:left w:val="single" w:color="auto" w:sz="8" w:space="0"/>
              <w:right w:val="single" w:color="auto" w:sz="8" w:space="0"/>
            </w:tcBorders>
            <w:vAlign w:val="center"/>
          </w:tcPr>
          <w:p>
            <w:pPr>
              <w:widowControl/>
              <w:jc w:val="center"/>
              <w:rPr>
                <w:rFonts w:ascii="宋体" w:hAnsi="宋体" w:cs="宋体"/>
                <w:kern w:val="0"/>
                <w:sz w:val="24"/>
              </w:rPr>
            </w:pPr>
          </w:p>
        </w:tc>
        <w:tc>
          <w:tcPr>
            <w:tcW w:w="1719" w:type="dxa"/>
            <w:vMerge w:val="continue"/>
            <w:tcBorders>
              <w:top w:val="single" w:color="auto" w:sz="4" w:space="0"/>
              <w:left w:val="single" w:color="auto" w:sz="8" w:space="0"/>
              <w:bottom w:val="single" w:color="auto" w:sz="4" w:space="0"/>
              <w:right w:val="single" w:color="000000" w:sz="8" w:space="0"/>
            </w:tcBorders>
          </w:tcPr>
          <w:p>
            <w:pPr>
              <w:widowControl/>
              <w:jc w:val="left"/>
              <w:rPr>
                <w:rFonts w:ascii="宋体" w:hAnsi="宋体" w:cs="宋体"/>
                <w:kern w:val="0"/>
                <w:sz w:val="24"/>
              </w:rPr>
            </w:pPr>
          </w:p>
        </w:tc>
        <w:tc>
          <w:tcPr>
            <w:tcW w:w="9639" w:type="dxa"/>
            <w:tcBorders>
              <w:top w:val="single" w:color="auto" w:sz="4" w:space="0"/>
              <w:left w:val="nil"/>
              <w:bottom w:val="single" w:color="auto" w:sz="8" w:space="0"/>
              <w:right w:val="single" w:color="000000" w:sz="8" w:space="0"/>
            </w:tcBorders>
          </w:tcPr>
          <w:p>
            <w:pPr>
              <w:widowControl/>
              <w:jc w:val="left"/>
              <w:rPr>
                <w:rFonts w:ascii="宋体" w:hAnsi="宋体" w:cs="宋体"/>
                <w:kern w:val="0"/>
                <w:sz w:val="24"/>
              </w:rPr>
            </w:pPr>
            <w:r>
              <w:rPr>
                <w:rFonts w:hint="eastAsia" w:ascii="宋体" w:hAnsi="宋体" w:cs="宋体"/>
                <w:kern w:val="0"/>
                <w:sz w:val="24"/>
              </w:rPr>
              <w:t>4.10拆除未由具有专业资质的公司执行。</w:t>
            </w:r>
          </w:p>
        </w:tc>
        <w:tc>
          <w:tcPr>
            <w:tcW w:w="1592" w:type="dxa"/>
            <w:vMerge w:val="continue"/>
            <w:tcBorders>
              <w:left w:val="nil"/>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90" w:hRule="atLeast"/>
        </w:trPr>
        <w:tc>
          <w:tcPr>
            <w:tcW w:w="1224" w:type="dxa"/>
            <w:vMerge w:val="continue"/>
            <w:tcBorders>
              <w:left w:val="single" w:color="auto" w:sz="8" w:space="0"/>
              <w:right w:val="single" w:color="auto" w:sz="8" w:space="0"/>
            </w:tcBorders>
            <w:vAlign w:val="center"/>
          </w:tcPr>
          <w:p>
            <w:pPr>
              <w:widowControl/>
              <w:jc w:val="center"/>
              <w:rPr>
                <w:rFonts w:ascii="宋体" w:hAnsi="宋体" w:cs="宋体"/>
                <w:kern w:val="0"/>
                <w:sz w:val="24"/>
              </w:rPr>
            </w:pPr>
          </w:p>
        </w:tc>
        <w:tc>
          <w:tcPr>
            <w:tcW w:w="1719" w:type="dxa"/>
            <w:vMerge w:val="continue"/>
            <w:tcBorders>
              <w:top w:val="single" w:color="auto" w:sz="4" w:space="0"/>
              <w:left w:val="single" w:color="auto" w:sz="8" w:space="0"/>
              <w:bottom w:val="single" w:color="auto" w:sz="4" w:space="0"/>
              <w:right w:val="single" w:color="000000" w:sz="8" w:space="0"/>
            </w:tcBorders>
          </w:tcPr>
          <w:p>
            <w:pPr>
              <w:widowControl/>
              <w:jc w:val="left"/>
              <w:rPr>
                <w:rFonts w:ascii="宋体" w:hAnsi="宋体" w:cs="宋体"/>
                <w:kern w:val="0"/>
                <w:sz w:val="24"/>
              </w:rPr>
            </w:pPr>
          </w:p>
        </w:tc>
        <w:tc>
          <w:tcPr>
            <w:tcW w:w="9639" w:type="dxa"/>
            <w:tcBorders>
              <w:top w:val="single" w:color="auto" w:sz="4" w:space="0"/>
              <w:left w:val="nil"/>
              <w:bottom w:val="single" w:color="auto" w:sz="8" w:space="0"/>
              <w:right w:val="single" w:color="000000" w:sz="8" w:space="0"/>
            </w:tcBorders>
          </w:tcPr>
          <w:p>
            <w:pPr>
              <w:widowControl/>
              <w:jc w:val="left"/>
              <w:rPr>
                <w:rFonts w:ascii="宋体" w:hAnsi="宋体" w:cs="宋体"/>
                <w:color w:val="FF0000"/>
                <w:kern w:val="0"/>
                <w:sz w:val="24"/>
              </w:rPr>
            </w:pPr>
            <w:r>
              <w:rPr>
                <w:rFonts w:hint="eastAsia" w:ascii="宋体" w:hAnsi="宋体" w:cs="宋体"/>
                <w:color w:val="FF0000"/>
                <w:kern w:val="0"/>
                <w:sz w:val="24"/>
              </w:rPr>
              <w:t>4.11未在该区域无航班或航班结束后进行，干扰正常的航站楼运行。</w:t>
            </w:r>
          </w:p>
        </w:tc>
        <w:tc>
          <w:tcPr>
            <w:tcW w:w="1592" w:type="dxa"/>
            <w:vMerge w:val="continue"/>
            <w:tcBorders>
              <w:left w:val="nil"/>
              <w:bottom w:val="single" w:color="auto"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90" w:hRule="atLeast"/>
        </w:trPr>
        <w:tc>
          <w:tcPr>
            <w:tcW w:w="1224" w:type="dxa"/>
            <w:vMerge w:val="continue"/>
            <w:tcBorders>
              <w:left w:val="single" w:color="auto" w:sz="8" w:space="0"/>
              <w:right w:val="single" w:color="auto" w:sz="8" w:space="0"/>
            </w:tcBorders>
            <w:vAlign w:val="center"/>
          </w:tcPr>
          <w:p>
            <w:pPr>
              <w:widowControl/>
              <w:jc w:val="center"/>
              <w:rPr>
                <w:rFonts w:ascii="宋体" w:hAnsi="宋体" w:cs="宋体"/>
                <w:kern w:val="0"/>
                <w:sz w:val="24"/>
              </w:rPr>
            </w:pPr>
          </w:p>
        </w:tc>
        <w:tc>
          <w:tcPr>
            <w:tcW w:w="1719" w:type="dxa"/>
            <w:vMerge w:val="continue"/>
            <w:tcBorders>
              <w:top w:val="single" w:color="auto" w:sz="4" w:space="0"/>
              <w:left w:val="single" w:color="auto" w:sz="8" w:space="0"/>
              <w:bottom w:val="single" w:color="auto" w:sz="4" w:space="0"/>
              <w:right w:val="single" w:color="000000" w:sz="8" w:space="0"/>
            </w:tcBorders>
          </w:tcPr>
          <w:p>
            <w:pPr>
              <w:widowControl/>
              <w:jc w:val="left"/>
              <w:rPr>
                <w:rFonts w:ascii="宋体" w:hAnsi="宋体" w:cs="宋体"/>
                <w:kern w:val="0"/>
                <w:sz w:val="24"/>
              </w:rPr>
            </w:pPr>
          </w:p>
        </w:tc>
        <w:tc>
          <w:tcPr>
            <w:tcW w:w="9639" w:type="dxa"/>
            <w:tcBorders>
              <w:top w:val="single" w:color="auto" w:sz="4" w:space="0"/>
              <w:left w:val="nil"/>
              <w:bottom w:val="single" w:color="auto" w:sz="8" w:space="0"/>
              <w:right w:val="single" w:color="000000" w:sz="8" w:space="0"/>
            </w:tcBorders>
          </w:tcPr>
          <w:p>
            <w:pPr>
              <w:widowControl/>
              <w:jc w:val="left"/>
              <w:rPr>
                <w:rFonts w:ascii="宋体" w:hAnsi="宋体" w:cs="宋体"/>
                <w:color w:val="FF0000"/>
                <w:kern w:val="0"/>
                <w:sz w:val="24"/>
              </w:rPr>
            </w:pPr>
            <w:r>
              <w:rPr>
                <w:rFonts w:hint="eastAsia" w:ascii="宋体" w:hAnsi="宋体" w:cs="宋体"/>
                <w:color w:val="FF0000"/>
                <w:kern w:val="0"/>
                <w:sz w:val="24"/>
              </w:rPr>
              <w:t>4.12拆除景观后，未恢复该区域原状。</w:t>
            </w:r>
          </w:p>
        </w:tc>
        <w:tc>
          <w:tcPr>
            <w:tcW w:w="1592" w:type="dxa"/>
            <w:tcBorders>
              <w:left w:val="nil"/>
              <w:bottom w:val="single" w:color="auto" w:sz="4" w:space="0"/>
              <w:right w:val="single" w:color="auto" w:sz="8"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1080" w:hRule="atLeast"/>
        </w:trPr>
        <w:tc>
          <w:tcPr>
            <w:tcW w:w="1224" w:type="dxa"/>
            <w:vMerge w:val="continue"/>
            <w:tcBorders>
              <w:left w:val="single" w:color="auto" w:sz="8" w:space="0"/>
              <w:right w:val="single" w:color="auto" w:sz="8" w:space="0"/>
            </w:tcBorders>
            <w:vAlign w:val="center"/>
          </w:tcPr>
          <w:p>
            <w:pPr>
              <w:widowControl/>
              <w:jc w:val="left"/>
              <w:rPr>
                <w:rFonts w:ascii="宋体" w:hAnsi="宋体" w:cs="宋体"/>
                <w:kern w:val="0"/>
                <w:sz w:val="24"/>
              </w:rPr>
            </w:pPr>
          </w:p>
        </w:tc>
        <w:tc>
          <w:tcPr>
            <w:tcW w:w="1719" w:type="dxa"/>
            <w:vMerge w:val="restart"/>
            <w:tcBorders>
              <w:top w:val="single" w:color="auto" w:sz="4" w:space="0"/>
              <w:left w:val="single" w:color="auto" w:sz="8" w:space="0"/>
              <w:bottom w:val="single" w:color="auto" w:sz="4" w:space="0"/>
              <w:right w:val="single" w:color="000000" w:sz="8" w:space="0"/>
            </w:tcBorders>
          </w:tcPr>
          <w:p>
            <w:pPr>
              <w:widowControl/>
              <w:jc w:val="left"/>
              <w:rPr>
                <w:rFonts w:ascii="宋体" w:hAnsi="宋体" w:cs="宋体"/>
                <w:kern w:val="0"/>
                <w:sz w:val="24"/>
              </w:rPr>
            </w:pPr>
            <w:r>
              <w:rPr>
                <w:rFonts w:hint="eastAsia" w:ascii="宋体" w:hAnsi="宋体" w:cs="宋体"/>
                <w:kern w:val="0"/>
                <w:sz w:val="24"/>
              </w:rPr>
              <w:t>5.遵守租摆植物的维护要求</w:t>
            </w:r>
          </w:p>
        </w:tc>
        <w:tc>
          <w:tcPr>
            <w:tcW w:w="9639" w:type="dxa"/>
            <w:tcBorders>
              <w:top w:val="single" w:color="auto" w:sz="4" w:space="0"/>
              <w:left w:val="nil"/>
              <w:bottom w:val="single" w:color="auto" w:sz="8" w:space="0"/>
              <w:right w:val="single" w:color="auto" w:sz="4" w:space="0"/>
            </w:tcBorders>
          </w:tcPr>
          <w:p>
            <w:pPr>
              <w:widowControl/>
              <w:jc w:val="left"/>
              <w:rPr>
                <w:rFonts w:ascii="宋体" w:hAnsi="宋体" w:cs="宋体"/>
                <w:kern w:val="0"/>
                <w:sz w:val="24"/>
              </w:rPr>
            </w:pPr>
            <w:r>
              <w:rPr>
                <w:rFonts w:hint="eastAsia" w:ascii="宋体" w:hAnsi="宋体" w:cs="宋体"/>
                <w:kern w:val="0"/>
                <w:sz w:val="24"/>
              </w:rPr>
              <w:t>5.1植株不符合花木租摆技术规范要求：</w:t>
            </w:r>
          </w:p>
          <w:p>
            <w:pPr>
              <w:widowControl/>
              <w:jc w:val="left"/>
              <w:rPr>
                <w:rFonts w:ascii="宋体" w:hAnsi="宋体" w:cs="宋体"/>
                <w:kern w:val="0"/>
                <w:sz w:val="24"/>
              </w:rPr>
            </w:pPr>
            <w:r>
              <w:rPr>
                <w:rFonts w:hint="eastAsia" w:ascii="宋体" w:hAnsi="宋体" w:cs="宋体"/>
                <w:kern w:val="0"/>
                <w:sz w:val="24"/>
              </w:rPr>
              <w:t>5.1.1、航站楼内租摆植物选择适宜品种。</w:t>
            </w:r>
          </w:p>
          <w:p>
            <w:pPr>
              <w:widowControl/>
              <w:jc w:val="left"/>
              <w:rPr>
                <w:rFonts w:ascii="宋体" w:hAnsi="宋体" w:cs="宋体"/>
                <w:kern w:val="0"/>
                <w:sz w:val="24"/>
              </w:rPr>
            </w:pPr>
            <w:r>
              <w:rPr>
                <w:rFonts w:hint="eastAsia" w:ascii="宋体" w:hAnsi="宋体" w:cs="宋体"/>
                <w:kern w:val="0"/>
                <w:sz w:val="24"/>
              </w:rPr>
              <w:t>5.1.2、航站楼内租摆植物应布局合理层次分明；植物季相分明。</w:t>
            </w:r>
          </w:p>
          <w:p>
            <w:pPr>
              <w:widowControl/>
              <w:jc w:val="left"/>
              <w:rPr>
                <w:rFonts w:ascii="宋体" w:hAnsi="宋体" w:cs="宋体"/>
                <w:kern w:val="0"/>
                <w:sz w:val="24"/>
              </w:rPr>
            </w:pPr>
            <w:r>
              <w:rPr>
                <w:rFonts w:hint="eastAsia" w:ascii="宋体" w:hAnsi="宋体" w:cs="宋体"/>
                <w:kern w:val="0"/>
                <w:sz w:val="24"/>
              </w:rPr>
              <w:t>5.1.3、租摆植物应长势良好，枝叶茂盛，叶色翠绿，花色鲜艳。</w:t>
            </w:r>
          </w:p>
          <w:p>
            <w:pPr>
              <w:widowControl/>
              <w:jc w:val="left"/>
              <w:rPr>
                <w:rFonts w:ascii="宋体" w:hAnsi="宋体" w:cs="宋体"/>
                <w:kern w:val="0"/>
                <w:sz w:val="24"/>
              </w:rPr>
            </w:pPr>
            <w:r>
              <w:rPr>
                <w:rFonts w:hint="eastAsia" w:ascii="宋体" w:hAnsi="宋体" w:cs="宋体"/>
                <w:kern w:val="0"/>
                <w:sz w:val="24"/>
              </w:rPr>
              <w:t>5.1.4、租摆植物无枯枝、病叶、黄叶、黑叶、无虫咬的孔洞，茎秆和叶子不霉。</w:t>
            </w:r>
          </w:p>
          <w:p>
            <w:pPr>
              <w:widowControl/>
              <w:jc w:val="left"/>
              <w:rPr>
                <w:rFonts w:ascii="宋体" w:hAnsi="宋体" w:cs="宋体"/>
                <w:kern w:val="0"/>
                <w:sz w:val="24"/>
              </w:rPr>
            </w:pPr>
            <w:r>
              <w:rPr>
                <w:rFonts w:hint="eastAsia" w:ascii="宋体" w:hAnsi="宋体" w:cs="宋体"/>
                <w:kern w:val="0"/>
                <w:sz w:val="24"/>
              </w:rPr>
              <w:t>5.1.5、租摆植物的叶面无尘土、污物，保持洁净光亮。</w:t>
            </w:r>
          </w:p>
          <w:p>
            <w:pPr>
              <w:widowControl/>
              <w:jc w:val="left"/>
              <w:rPr>
                <w:rFonts w:ascii="宋体" w:hAnsi="宋体" w:cs="宋体"/>
                <w:kern w:val="0"/>
                <w:sz w:val="24"/>
              </w:rPr>
            </w:pPr>
            <w:r>
              <w:rPr>
                <w:rFonts w:hint="eastAsia" w:ascii="宋体" w:hAnsi="宋体" w:cs="宋体"/>
                <w:kern w:val="0"/>
                <w:sz w:val="24"/>
              </w:rPr>
              <w:t>5.1.6、枝干正常，无明显枯枝、死干，树冠基本完整。</w:t>
            </w:r>
          </w:p>
          <w:p>
            <w:pPr>
              <w:widowControl/>
              <w:jc w:val="left"/>
              <w:rPr>
                <w:rFonts w:ascii="宋体" w:hAnsi="宋体" w:cs="宋体"/>
                <w:kern w:val="0"/>
                <w:sz w:val="24"/>
              </w:rPr>
            </w:pPr>
            <w:r>
              <w:rPr>
                <w:rFonts w:hint="eastAsia" w:ascii="宋体" w:hAnsi="宋体" w:cs="宋体"/>
                <w:kern w:val="0"/>
                <w:sz w:val="24"/>
              </w:rPr>
              <w:t>5.1.7、绿植修剪平整，冠幅整洁，线条优美。</w:t>
            </w:r>
          </w:p>
          <w:p>
            <w:pPr>
              <w:widowControl/>
              <w:jc w:val="left"/>
              <w:rPr>
                <w:rFonts w:ascii="宋体" w:hAnsi="宋体" w:cs="宋体"/>
                <w:kern w:val="0"/>
                <w:sz w:val="24"/>
              </w:rPr>
            </w:pPr>
            <w:r>
              <w:rPr>
                <w:rFonts w:hint="eastAsia" w:ascii="宋体" w:hAnsi="宋体" w:cs="宋体"/>
                <w:kern w:val="0"/>
                <w:sz w:val="24"/>
              </w:rPr>
              <w:t>5.1.8、土壤干湿适度，洁净，无杂物、杂草、纸屑等。</w:t>
            </w:r>
          </w:p>
          <w:p>
            <w:pPr>
              <w:widowControl/>
              <w:jc w:val="left"/>
              <w:rPr>
                <w:rFonts w:ascii="宋体" w:hAnsi="宋体" w:cs="宋体"/>
                <w:kern w:val="0"/>
                <w:sz w:val="24"/>
              </w:rPr>
            </w:pPr>
            <w:r>
              <w:rPr>
                <w:rFonts w:hint="eastAsia" w:ascii="宋体" w:hAnsi="宋体" w:cs="宋体"/>
                <w:kern w:val="0"/>
                <w:sz w:val="24"/>
              </w:rPr>
              <w:t>5.1.9、陶粒铺设平整均匀。</w:t>
            </w:r>
          </w:p>
          <w:p>
            <w:pPr>
              <w:widowControl/>
              <w:jc w:val="left"/>
              <w:rPr>
                <w:rFonts w:ascii="宋体" w:hAnsi="宋体" w:cs="宋体"/>
                <w:kern w:val="0"/>
                <w:sz w:val="24"/>
              </w:rPr>
            </w:pPr>
            <w:r>
              <w:rPr>
                <w:rFonts w:hint="eastAsia" w:ascii="宋体" w:hAnsi="宋体" w:cs="宋体"/>
                <w:kern w:val="0"/>
                <w:sz w:val="24"/>
              </w:rPr>
              <w:t>5.1.10、租摆植物的整体造型应与所选品种的观赏效果一致。</w:t>
            </w:r>
          </w:p>
          <w:p>
            <w:pPr>
              <w:widowControl/>
              <w:jc w:val="left"/>
              <w:rPr>
                <w:rFonts w:ascii="宋体" w:hAnsi="宋体" w:cs="宋体"/>
                <w:kern w:val="0"/>
                <w:sz w:val="24"/>
              </w:rPr>
            </w:pPr>
            <w:r>
              <w:rPr>
                <w:rFonts w:hint="eastAsia" w:ascii="宋体" w:hAnsi="宋体" w:cs="宋体"/>
                <w:kern w:val="0"/>
                <w:sz w:val="24"/>
              </w:rPr>
              <w:t>5.1.11、定期浇水、施肥、松土。</w:t>
            </w:r>
          </w:p>
          <w:p>
            <w:pPr>
              <w:widowControl/>
              <w:jc w:val="left"/>
              <w:rPr>
                <w:rFonts w:ascii="宋体" w:hAnsi="宋体" w:cs="宋体"/>
                <w:kern w:val="0"/>
                <w:sz w:val="24"/>
              </w:rPr>
            </w:pPr>
            <w:r>
              <w:rPr>
                <w:rFonts w:hint="eastAsia" w:ascii="宋体" w:hAnsi="宋体" w:cs="宋体"/>
                <w:kern w:val="0"/>
                <w:sz w:val="24"/>
              </w:rPr>
              <w:t>5.1.12、及时扶正加固植株，按规范做好综合防护措施。</w:t>
            </w:r>
          </w:p>
          <w:p>
            <w:pPr>
              <w:widowControl/>
              <w:jc w:val="left"/>
              <w:rPr>
                <w:rFonts w:ascii="宋体" w:hAnsi="宋体" w:cs="宋体"/>
                <w:kern w:val="0"/>
                <w:sz w:val="24"/>
              </w:rPr>
            </w:pPr>
            <w:r>
              <w:rPr>
                <w:rFonts w:hint="eastAsia" w:ascii="宋体" w:hAnsi="宋体" w:cs="宋体"/>
                <w:kern w:val="0"/>
                <w:sz w:val="24"/>
              </w:rPr>
              <w:t>5.1.13、注意租摆植物的病虫害防治，防止病虫害侵蚀花草树木。</w:t>
            </w:r>
          </w:p>
          <w:p>
            <w:pPr>
              <w:widowControl/>
              <w:jc w:val="left"/>
              <w:rPr>
                <w:rFonts w:ascii="宋体" w:hAnsi="宋体" w:cs="宋体"/>
                <w:kern w:val="0"/>
                <w:sz w:val="24"/>
              </w:rPr>
            </w:pPr>
            <w:r>
              <w:rPr>
                <w:rFonts w:hint="eastAsia" w:ascii="宋体" w:hAnsi="宋体" w:cs="宋体"/>
                <w:kern w:val="0"/>
                <w:sz w:val="24"/>
              </w:rPr>
              <w:t>5.1.14、杀虫药水、植物肥料符合国家安全标准，无严重刺激性气味。</w:t>
            </w:r>
          </w:p>
        </w:tc>
        <w:tc>
          <w:tcPr>
            <w:tcW w:w="159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扣0.2分/项/次</w:t>
            </w:r>
          </w:p>
        </w:tc>
      </w:tr>
      <w:tr>
        <w:tblPrEx>
          <w:tblLayout w:type="fixed"/>
          <w:tblCellMar>
            <w:top w:w="0" w:type="dxa"/>
            <w:left w:w="108" w:type="dxa"/>
            <w:bottom w:w="0" w:type="dxa"/>
            <w:right w:w="108" w:type="dxa"/>
          </w:tblCellMar>
        </w:tblPrEx>
        <w:trPr>
          <w:trHeight w:val="2479" w:hRule="atLeast"/>
        </w:trPr>
        <w:tc>
          <w:tcPr>
            <w:tcW w:w="1224" w:type="dxa"/>
            <w:vMerge w:val="continue"/>
            <w:tcBorders>
              <w:left w:val="single" w:color="auto" w:sz="8" w:space="0"/>
              <w:right w:val="single" w:color="auto" w:sz="8" w:space="0"/>
            </w:tcBorders>
            <w:vAlign w:val="center"/>
          </w:tcPr>
          <w:p>
            <w:pPr>
              <w:widowControl/>
              <w:jc w:val="left"/>
              <w:rPr>
                <w:rFonts w:ascii="宋体" w:hAnsi="宋体" w:cs="宋体"/>
                <w:kern w:val="0"/>
                <w:sz w:val="24"/>
              </w:rPr>
            </w:pPr>
          </w:p>
        </w:tc>
        <w:tc>
          <w:tcPr>
            <w:tcW w:w="1719" w:type="dxa"/>
            <w:vMerge w:val="continue"/>
            <w:tcBorders>
              <w:top w:val="single" w:color="auto" w:sz="4" w:space="0"/>
              <w:left w:val="single" w:color="auto" w:sz="8" w:space="0"/>
              <w:bottom w:val="single" w:color="auto" w:sz="4" w:space="0"/>
              <w:right w:val="single" w:color="000000" w:sz="8" w:space="0"/>
            </w:tcBorders>
          </w:tcPr>
          <w:p>
            <w:pPr>
              <w:widowControl/>
              <w:jc w:val="left"/>
              <w:rPr>
                <w:rFonts w:ascii="宋体" w:hAnsi="宋体" w:cs="宋体"/>
                <w:kern w:val="0"/>
                <w:sz w:val="24"/>
              </w:rPr>
            </w:pPr>
          </w:p>
        </w:tc>
        <w:tc>
          <w:tcPr>
            <w:tcW w:w="9639" w:type="dxa"/>
            <w:tcBorders>
              <w:top w:val="single" w:color="auto" w:sz="4" w:space="0"/>
              <w:left w:val="nil"/>
              <w:bottom w:val="single" w:color="auto" w:sz="4" w:space="0"/>
              <w:right w:val="single" w:color="auto" w:sz="4" w:space="0"/>
            </w:tcBorders>
          </w:tcPr>
          <w:p>
            <w:pPr>
              <w:widowControl/>
              <w:jc w:val="left"/>
              <w:rPr>
                <w:rFonts w:ascii="宋体" w:hAnsi="宋体" w:cs="宋体"/>
                <w:kern w:val="0"/>
                <w:sz w:val="24"/>
              </w:rPr>
            </w:pPr>
            <w:r>
              <w:rPr>
                <w:rFonts w:hint="eastAsia" w:ascii="宋体" w:hAnsi="宋体" w:cs="宋体"/>
                <w:kern w:val="0"/>
                <w:sz w:val="24"/>
              </w:rPr>
              <w:t>5.2花器/套盆不符合花木租摆技术规范要求：</w:t>
            </w:r>
          </w:p>
          <w:p>
            <w:pPr>
              <w:widowControl/>
              <w:jc w:val="left"/>
              <w:rPr>
                <w:rFonts w:ascii="宋体" w:hAnsi="宋体" w:cs="宋体"/>
                <w:kern w:val="0"/>
                <w:sz w:val="24"/>
              </w:rPr>
            </w:pPr>
            <w:r>
              <w:rPr>
                <w:rFonts w:hint="eastAsia" w:ascii="宋体" w:hAnsi="宋体" w:cs="宋体"/>
                <w:kern w:val="0"/>
                <w:sz w:val="24"/>
              </w:rPr>
              <w:t>5.2.1、航站楼严禁用简易裸露的套盆直接放置布景。</w:t>
            </w:r>
          </w:p>
          <w:p>
            <w:pPr>
              <w:widowControl/>
              <w:jc w:val="left"/>
              <w:rPr>
                <w:rFonts w:ascii="宋体" w:hAnsi="宋体" w:cs="宋体"/>
                <w:kern w:val="0"/>
                <w:sz w:val="24"/>
              </w:rPr>
            </w:pPr>
            <w:r>
              <w:rPr>
                <w:rFonts w:hint="eastAsia" w:ascii="宋体" w:hAnsi="宋体" w:cs="宋体"/>
                <w:kern w:val="0"/>
                <w:sz w:val="24"/>
              </w:rPr>
              <w:t>5.2.2、同一区域的花器/套盆种类、花色、大小相同。</w:t>
            </w:r>
          </w:p>
          <w:p>
            <w:pPr>
              <w:widowControl/>
              <w:jc w:val="left"/>
              <w:rPr>
                <w:rFonts w:ascii="宋体" w:hAnsi="宋体" w:cs="宋体"/>
                <w:kern w:val="0"/>
                <w:sz w:val="24"/>
              </w:rPr>
            </w:pPr>
            <w:r>
              <w:rPr>
                <w:rFonts w:hint="eastAsia" w:ascii="宋体" w:hAnsi="宋体" w:cs="宋体"/>
                <w:kern w:val="0"/>
                <w:sz w:val="24"/>
              </w:rPr>
              <w:t>5.2.3、套盆与植物的比例适当，套盆需与外部容器规格一致。</w:t>
            </w:r>
          </w:p>
          <w:p>
            <w:pPr>
              <w:widowControl/>
              <w:jc w:val="left"/>
              <w:rPr>
                <w:rFonts w:ascii="宋体" w:hAnsi="宋体" w:cs="宋体"/>
                <w:kern w:val="0"/>
                <w:sz w:val="24"/>
              </w:rPr>
            </w:pPr>
            <w:r>
              <w:rPr>
                <w:rFonts w:hint="eastAsia" w:ascii="宋体" w:hAnsi="宋体" w:cs="宋体"/>
                <w:kern w:val="0"/>
                <w:sz w:val="24"/>
              </w:rPr>
              <w:t>5.2.4、花器/套盆内外洁净整齐，无纸屑、烟头等污物。</w:t>
            </w:r>
            <w:r>
              <w:rPr>
                <w:rFonts w:ascii="宋体" w:hAnsi="宋体" w:cs="宋体"/>
                <w:kern w:val="0"/>
                <w:sz w:val="24"/>
              </w:rPr>
              <w:t xml:space="preserve"> </w:t>
            </w:r>
          </w:p>
          <w:p>
            <w:pPr>
              <w:widowControl/>
              <w:jc w:val="left"/>
              <w:rPr>
                <w:rFonts w:ascii="宋体" w:hAnsi="宋体" w:cs="宋体"/>
                <w:kern w:val="0"/>
                <w:sz w:val="24"/>
              </w:rPr>
            </w:pPr>
            <w:r>
              <w:rPr>
                <w:rFonts w:hint="eastAsia" w:ascii="宋体" w:hAnsi="宋体" w:cs="宋体"/>
                <w:kern w:val="0"/>
                <w:sz w:val="24"/>
              </w:rPr>
              <w:t>5.2.5、注意花器/套盆的维护，花器/套盆完整，无破损、残痕。</w:t>
            </w:r>
          </w:p>
          <w:p>
            <w:pPr>
              <w:widowControl/>
              <w:jc w:val="left"/>
              <w:rPr>
                <w:rFonts w:ascii="宋体" w:hAnsi="宋体" w:cs="宋体"/>
                <w:kern w:val="0"/>
                <w:sz w:val="24"/>
              </w:rPr>
            </w:pPr>
            <w:r>
              <w:rPr>
                <w:rFonts w:hint="eastAsia" w:ascii="宋体" w:hAnsi="宋体" w:cs="宋体"/>
                <w:kern w:val="0"/>
                <w:sz w:val="24"/>
              </w:rPr>
              <w:t>5.2.6、更换花器/套盆时，花泥及污物的散落。</w:t>
            </w:r>
          </w:p>
          <w:p>
            <w:pPr>
              <w:widowControl/>
              <w:jc w:val="left"/>
              <w:rPr>
                <w:rFonts w:ascii="宋体" w:hAnsi="宋体" w:cs="宋体"/>
                <w:kern w:val="0"/>
                <w:sz w:val="24"/>
              </w:rPr>
            </w:pPr>
            <w:r>
              <w:rPr>
                <w:rFonts w:hint="eastAsia" w:ascii="宋体" w:hAnsi="宋体" w:cs="宋体"/>
                <w:kern w:val="0"/>
                <w:sz w:val="24"/>
              </w:rPr>
              <w:t>5.2.7、花器/套盆内不留有积水，套盆底盘无污渍。</w:t>
            </w:r>
          </w:p>
        </w:tc>
        <w:tc>
          <w:tcPr>
            <w:tcW w:w="159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扣0.2分/项/次</w:t>
            </w:r>
          </w:p>
        </w:tc>
      </w:tr>
      <w:tr>
        <w:tblPrEx>
          <w:tblLayout w:type="fixed"/>
          <w:tblCellMar>
            <w:top w:w="0" w:type="dxa"/>
            <w:left w:w="108" w:type="dxa"/>
            <w:bottom w:w="0" w:type="dxa"/>
            <w:right w:w="108" w:type="dxa"/>
          </w:tblCellMar>
        </w:tblPrEx>
        <w:trPr>
          <w:trHeight w:val="381" w:hRule="atLeast"/>
        </w:trPr>
        <w:tc>
          <w:tcPr>
            <w:tcW w:w="1224" w:type="dxa"/>
            <w:vMerge w:val="continue"/>
            <w:tcBorders>
              <w:left w:val="single" w:color="auto" w:sz="8" w:space="0"/>
              <w:right w:val="single" w:color="auto" w:sz="8" w:space="0"/>
            </w:tcBorders>
            <w:vAlign w:val="center"/>
          </w:tcPr>
          <w:p>
            <w:pPr>
              <w:widowControl/>
              <w:jc w:val="left"/>
              <w:rPr>
                <w:rFonts w:ascii="宋体" w:hAnsi="宋体" w:cs="宋体"/>
                <w:kern w:val="0"/>
                <w:sz w:val="24"/>
              </w:rPr>
            </w:pPr>
          </w:p>
        </w:tc>
        <w:tc>
          <w:tcPr>
            <w:tcW w:w="1719" w:type="dxa"/>
            <w:tcBorders>
              <w:top w:val="single" w:color="auto" w:sz="4" w:space="0"/>
              <w:left w:val="single" w:color="auto" w:sz="8" w:space="0"/>
              <w:bottom w:val="single" w:color="auto" w:sz="4" w:space="0"/>
              <w:right w:val="single" w:color="000000" w:sz="8" w:space="0"/>
            </w:tcBorders>
          </w:tcPr>
          <w:p>
            <w:pPr>
              <w:widowControl/>
              <w:jc w:val="left"/>
              <w:rPr>
                <w:rFonts w:ascii="宋体" w:hAnsi="宋体" w:cs="宋体"/>
                <w:kern w:val="0"/>
                <w:sz w:val="24"/>
              </w:rPr>
            </w:pPr>
            <w:r>
              <w:rPr>
                <w:rFonts w:hint="eastAsia" w:ascii="宋体" w:hAnsi="宋体" w:cs="宋体"/>
                <w:kern w:val="0"/>
                <w:sz w:val="24"/>
              </w:rPr>
              <w:t>6.遵守租摆植物的更新要求</w:t>
            </w:r>
          </w:p>
        </w:tc>
        <w:tc>
          <w:tcPr>
            <w:tcW w:w="9639" w:type="dxa"/>
            <w:tcBorders>
              <w:top w:val="single" w:color="auto" w:sz="4" w:space="0"/>
              <w:left w:val="nil"/>
              <w:bottom w:val="single" w:color="auto" w:sz="8" w:space="0"/>
              <w:right w:val="single" w:color="000000" w:sz="8" w:space="0"/>
            </w:tcBorders>
          </w:tcPr>
          <w:p>
            <w:pPr>
              <w:widowControl/>
              <w:jc w:val="left"/>
              <w:rPr>
                <w:rFonts w:ascii="宋体" w:hAnsi="宋体" w:cs="宋体"/>
                <w:kern w:val="0"/>
                <w:sz w:val="24"/>
              </w:rPr>
            </w:pPr>
            <w:r>
              <w:rPr>
                <w:rFonts w:hint="eastAsia" w:ascii="宋体" w:hAnsi="宋体" w:cs="宋体"/>
                <w:kern w:val="0"/>
                <w:sz w:val="24"/>
              </w:rPr>
              <w:t>6.1租摆植物的更新不符合花木租摆技术规范要求：</w:t>
            </w:r>
          </w:p>
          <w:p>
            <w:pPr>
              <w:widowControl/>
              <w:jc w:val="left"/>
              <w:rPr>
                <w:rFonts w:ascii="宋体" w:hAnsi="宋体" w:cs="宋体"/>
                <w:kern w:val="0"/>
                <w:sz w:val="24"/>
              </w:rPr>
            </w:pPr>
            <w:r>
              <w:rPr>
                <w:rFonts w:hint="eastAsia" w:ascii="宋体" w:hAnsi="宋体" w:cs="宋体"/>
                <w:kern w:val="0"/>
                <w:sz w:val="24"/>
              </w:rPr>
              <w:t>6.1.1、特大型植物每年必须更换1次或以上。</w:t>
            </w:r>
          </w:p>
          <w:p>
            <w:pPr>
              <w:widowControl/>
              <w:jc w:val="left"/>
              <w:rPr>
                <w:rFonts w:ascii="宋体" w:hAnsi="宋体" w:cs="宋体"/>
                <w:kern w:val="0"/>
                <w:sz w:val="24"/>
              </w:rPr>
            </w:pPr>
            <w:r>
              <w:rPr>
                <w:rFonts w:hint="eastAsia" w:ascii="宋体" w:hAnsi="宋体" w:cs="宋体"/>
                <w:kern w:val="0"/>
                <w:sz w:val="24"/>
              </w:rPr>
              <w:t>6.1.2、超大型、大型植物每年必须更换2次或以上。</w:t>
            </w:r>
          </w:p>
          <w:p>
            <w:pPr>
              <w:widowControl/>
              <w:jc w:val="left"/>
              <w:rPr>
                <w:rFonts w:ascii="宋体" w:hAnsi="宋体" w:cs="宋体"/>
                <w:kern w:val="0"/>
                <w:sz w:val="24"/>
              </w:rPr>
            </w:pPr>
            <w:r>
              <w:rPr>
                <w:rFonts w:hint="eastAsia" w:ascii="宋体" w:hAnsi="宋体" w:cs="宋体"/>
                <w:kern w:val="0"/>
                <w:sz w:val="24"/>
              </w:rPr>
              <w:t>6.1.3、中型、小型植物每年必须更换3次或以上。</w:t>
            </w:r>
          </w:p>
          <w:p>
            <w:pPr>
              <w:widowControl/>
              <w:jc w:val="left"/>
              <w:rPr>
                <w:rFonts w:ascii="宋体" w:hAnsi="宋体" w:cs="宋体"/>
                <w:kern w:val="0"/>
                <w:sz w:val="24"/>
              </w:rPr>
            </w:pPr>
            <w:r>
              <w:rPr>
                <w:rFonts w:hint="eastAsia" w:ascii="宋体" w:hAnsi="宋体" w:cs="宋体"/>
                <w:kern w:val="0"/>
                <w:sz w:val="24"/>
              </w:rPr>
              <w:t>6.1.4、花卉类植物每年必须更换6-8次或以上。</w:t>
            </w:r>
          </w:p>
          <w:p>
            <w:pPr>
              <w:widowControl/>
              <w:jc w:val="left"/>
              <w:rPr>
                <w:rFonts w:ascii="宋体" w:hAnsi="宋体" w:cs="宋体"/>
                <w:kern w:val="0"/>
                <w:sz w:val="24"/>
              </w:rPr>
            </w:pPr>
            <w:r>
              <w:rPr>
                <w:rFonts w:hint="eastAsia" w:ascii="宋体" w:hAnsi="宋体" w:cs="宋体"/>
                <w:kern w:val="0"/>
                <w:sz w:val="24"/>
              </w:rPr>
              <w:t>6.1.5、所有盆花在质量不符合甲方要求时，必须在24小时之内完成更换。</w:t>
            </w:r>
          </w:p>
        </w:tc>
        <w:tc>
          <w:tcPr>
            <w:tcW w:w="1592" w:type="dxa"/>
            <w:tcBorders>
              <w:top w:val="single" w:color="auto" w:sz="4" w:space="0"/>
              <w:left w:val="nil"/>
              <w:bottom w:val="nil"/>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扣0.2分/项/次</w:t>
            </w:r>
          </w:p>
        </w:tc>
      </w:tr>
      <w:tr>
        <w:tblPrEx>
          <w:tblLayout w:type="fixed"/>
          <w:tblCellMar>
            <w:top w:w="0" w:type="dxa"/>
            <w:left w:w="108" w:type="dxa"/>
            <w:bottom w:w="0" w:type="dxa"/>
            <w:right w:w="108" w:type="dxa"/>
          </w:tblCellMar>
        </w:tblPrEx>
        <w:trPr>
          <w:trHeight w:val="926" w:hRule="atLeast"/>
        </w:trPr>
        <w:tc>
          <w:tcPr>
            <w:tcW w:w="1224"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C管理类</w:t>
            </w:r>
          </w:p>
        </w:tc>
        <w:tc>
          <w:tcPr>
            <w:tcW w:w="1719" w:type="dxa"/>
            <w:tcBorders>
              <w:top w:val="single" w:color="auto" w:sz="4" w:space="0"/>
              <w:left w:val="nil"/>
              <w:bottom w:val="single" w:color="auto" w:sz="8" w:space="0"/>
              <w:right w:val="single" w:color="000000" w:sz="8" w:space="0"/>
            </w:tcBorders>
          </w:tcPr>
          <w:p>
            <w:pPr>
              <w:widowControl/>
              <w:jc w:val="left"/>
              <w:rPr>
                <w:rFonts w:ascii="宋体" w:hAnsi="宋体" w:cs="宋体"/>
                <w:kern w:val="0"/>
                <w:sz w:val="24"/>
              </w:rPr>
            </w:pPr>
            <w:r>
              <w:rPr>
                <w:rFonts w:hint="eastAsia" w:ascii="宋体" w:hAnsi="宋体" w:cs="宋体"/>
                <w:kern w:val="0"/>
                <w:sz w:val="24"/>
              </w:rPr>
              <w:t>1.做好员工培训</w:t>
            </w:r>
          </w:p>
        </w:tc>
        <w:tc>
          <w:tcPr>
            <w:tcW w:w="9639" w:type="dxa"/>
            <w:tcBorders>
              <w:top w:val="single" w:color="auto" w:sz="8" w:space="0"/>
              <w:left w:val="nil"/>
              <w:bottom w:val="single" w:color="auto" w:sz="4" w:space="0"/>
              <w:right w:val="single" w:color="000000" w:sz="8" w:space="0"/>
            </w:tcBorders>
          </w:tcPr>
          <w:p>
            <w:pPr>
              <w:widowControl/>
              <w:jc w:val="left"/>
              <w:rPr>
                <w:rFonts w:ascii="宋体" w:hAnsi="宋体" w:cs="宋体"/>
                <w:kern w:val="0"/>
                <w:sz w:val="24"/>
              </w:rPr>
            </w:pPr>
            <w:r>
              <w:rPr>
                <w:rFonts w:hint="eastAsia" w:ascii="宋体" w:hAnsi="宋体" w:cs="宋体"/>
                <w:kern w:val="0"/>
                <w:sz w:val="24"/>
              </w:rPr>
              <w:t>1.1、未接受航站楼管理部相应培训。</w:t>
            </w:r>
            <w:r>
              <w:rPr>
                <w:rFonts w:hint="eastAsia" w:ascii="宋体" w:hAnsi="宋体" w:cs="宋体"/>
                <w:kern w:val="0"/>
                <w:sz w:val="24"/>
              </w:rPr>
              <w:br w:type="textWrapping"/>
            </w:r>
            <w:r>
              <w:rPr>
                <w:rFonts w:hint="eastAsia" w:ascii="宋体" w:hAnsi="宋体" w:cs="宋体"/>
                <w:kern w:val="0"/>
                <w:sz w:val="24"/>
              </w:rPr>
              <w:t>1.2、员工无正当理由不参加由乙方或甲方组织的培训课程。</w:t>
            </w:r>
            <w:r>
              <w:rPr>
                <w:rFonts w:hint="eastAsia" w:ascii="宋体" w:hAnsi="宋体" w:cs="宋体"/>
                <w:kern w:val="0"/>
                <w:sz w:val="24"/>
              </w:rPr>
              <w:br w:type="textWrapping"/>
            </w:r>
            <w:r>
              <w:rPr>
                <w:rFonts w:hint="eastAsia" w:ascii="宋体" w:hAnsi="宋体" w:cs="宋体"/>
                <w:kern w:val="0"/>
                <w:sz w:val="24"/>
              </w:rPr>
              <w:t>1.3、未及时做培训台账。</w:t>
            </w:r>
          </w:p>
        </w:tc>
        <w:tc>
          <w:tcPr>
            <w:tcW w:w="1592" w:type="dxa"/>
            <w:tcBorders>
              <w:top w:val="single" w:color="auto" w:sz="4" w:space="0"/>
              <w:left w:val="nil"/>
              <w:bottom w:val="nil"/>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扣0.5分/项/次</w:t>
            </w:r>
          </w:p>
        </w:tc>
      </w:tr>
      <w:tr>
        <w:tblPrEx>
          <w:tblLayout w:type="fixed"/>
          <w:tblCellMar>
            <w:top w:w="0" w:type="dxa"/>
            <w:left w:w="108" w:type="dxa"/>
            <w:bottom w:w="0" w:type="dxa"/>
            <w:right w:w="108" w:type="dxa"/>
          </w:tblCellMar>
        </w:tblPrEx>
        <w:trPr>
          <w:trHeight w:val="1440" w:hRule="atLeast"/>
        </w:trPr>
        <w:tc>
          <w:tcPr>
            <w:tcW w:w="122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kern w:val="0"/>
                <w:sz w:val="24"/>
              </w:rPr>
            </w:pPr>
          </w:p>
        </w:tc>
        <w:tc>
          <w:tcPr>
            <w:tcW w:w="1719" w:type="dxa"/>
            <w:tcBorders>
              <w:top w:val="single" w:color="auto" w:sz="8" w:space="0"/>
              <w:left w:val="nil"/>
              <w:bottom w:val="single" w:color="auto" w:sz="4" w:space="0"/>
              <w:right w:val="single" w:color="000000" w:sz="8" w:space="0"/>
            </w:tcBorders>
          </w:tcPr>
          <w:p>
            <w:pPr>
              <w:widowControl/>
              <w:jc w:val="left"/>
              <w:rPr>
                <w:rFonts w:ascii="宋体" w:hAnsi="宋体" w:cs="宋体"/>
                <w:kern w:val="0"/>
                <w:sz w:val="24"/>
              </w:rPr>
            </w:pPr>
            <w:r>
              <w:rPr>
                <w:rFonts w:hint="eastAsia" w:ascii="宋体" w:hAnsi="宋体" w:cs="宋体"/>
                <w:kern w:val="0"/>
                <w:sz w:val="24"/>
              </w:rPr>
              <w:t>2.遵守现场管理要求</w:t>
            </w:r>
          </w:p>
        </w:tc>
        <w:tc>
          <w:tcPr>
            <w:tcW w:w="9639"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4"/>
              </w:rPr>
            </w:pPr>
            <w:r>
              <w:rPr>
                <w:rFonts w:hint="eastAsia" w:ascii="宋体" w:hAnsi="宋体" w:cs="宋体"/>
                <w:kern w:val="0"/>
                <w:sz w:val="24"/>
              </w:rPr>
              <w:t>2.1现场管理未遵守花木租摆技术规范要求：</w:t>
            </w:r>
          </w:p>
          <w:p>
            <w:pPr>
              <w:widowControl/>
              <w:jc w:val="left"/>
              <w:rPr>
                <w:rFonts w:ascii="宋体" w:hAnsi="宋体" w:cs="宋体"/>
                <w:kern w:val="0"/>
                <w:sz w:val="24"/>
              </w:rPr>
            </w:pPr>
            <w:r>
              <w:rPr>
                <w:rFonts w:hint="eastAsia" w:ascii="宋体" w:hAnsi="宋体" w:cs="宋体"/>
                <w:kern w:val="0"/>
                <w:sz w:val="24"/>
              </w:rPr>
              <w:t>2.1.1、定期对航站楼内的租摆植物生长情况进行巡视， 定期对植物进行浇水、松土、施肥、修剪、换盆、防虫害等养护工作，做到花草繁茂，树木旺盛。</w:t>
            </w:r>
          </w:p>
          <w:p>
            <w:pPr>
              <w:widowControl/>
              <w:jc w:val="left"/>
              <w:rPr>
                <w:rFonts w:ascii="宋体" w:hAnsi="宋体" w:cs="宋体"/>
                <w:kern w:val="0"/>
                <w:sz w:val="24"/>
              </w:rPr>
            </w:pPr>
            <w:r>
              <w:rPr>
                <w:rFonts w:hint="eastAsia" w:ascii="宋体" w:hAnsi="宋体" w:cs="宋体"/>
                <w:kern w:val="0"/>
                <w:sz w:val="24"/>
              </w:rPr>
              <w:t>2.1.2、进出航站楼的养护人员应佩戴有效工作证件，着装应整齐，携带相应的养护器具。</w:t>
            </w:r>
          </w:p>
          <w:p>
            <w:pPr>
              <w:widowControl/>
              <w:jc w:val="left"/>
              <w:rPr>
                <w:rFonts w:ascii="宋体" w:hAnsi="宋体" w:cs="宋体"/>
                <w:kern w:val="0"/>
                <w:sz w:val="24"/>
              </w:rPr>
            </w:pPr>
            <w:r>
              <w:rPr>
                <w:rFonts w:hint="eastAsia" w:ascii="宋体" w:hAnsi="宋体" w:cs="宋体"/>
                <w:kern w:val="0"/>
                <w:sz w:val="24"/>
              </w:rPr>
              <w:t>2.1.3、掌握植物养护器械的正确使用方法，对租摆植物进行日常维护和保养时应使用专用工具，严格执行器械、药品保管和保养的程序。</w:t>
            </w:r>
          </w:p>
          <w:p>
            <w:pPr>
              <w:widowControl/>
              <w:jc w:val="left"/>
              <w:rPr>
                <w:rFonts w:ascii="宋体" w:hAnsi="宋体" w:cs="宋体"/>
                <w:kern w:val="0"/>
                <w:sz w:val="24"/>
              </w:rPr>
            </w:pPr>
            <w:r>
              <w:rPr>
                <w:rFonts w:hint="eastAsia" w:ascii="宋体" w:hAnsi="宋体" w:cs="宋体"/>
                <w:kern w:val="0"/>
                <w:sz w:val="24"/>
              </w:rPr>
              <w:t>2.1.4、按计划及时做好租摆植物的调换、填充。</w:t>
            </w:r>
          </w:p>
          <w:p>
            <w:pPr>
              <w:widowControl/>
              <w:jc w:val="left"/>
              <w:rPr>
                <w:rFonts w:ascii="宋体" w:hAnsi="宋体" w:cs="宋体"/>
                <w:kern w:val="0"/>
                <w:sz w:val="24"/>
              </w:rPr>
            </w:pPr>
            <w:r>
              <w:rPr>
                <w:rFonts w:hint="eastAsia" w:ascii="宋体" w:hAnsi="宋体" w:cs="宋体"/>
                <w:kern w:val="0"/>
                <w:sz w:val="24"/>
              </w:rPr>
              <w:t>2.1.5、租摆植物无枯枝、残花，发现后1日内清理更换。</w:t>
            </w:r>
          </w:p>
          <w:p>
            <w:pPr>
              <w:widowControl/>
              <w:jc w:val="left"/>
              <w:rPr>
                <w:rFonts w:ascii="宋体" w:hAnsi="宋体" w:cs="宋体"/>
                <w:kern w:val="0"/>
                <w:sz w:val="24"/>
              </w:rPr>
            </w:pPr>
            <w:r>
              <w:rPr>
                <w:rFonts w:hint="eastAsia" w:ascii="宋体" w:hAnsi="宋体" w:cs="宋体"/>
                <w:kern w:val="0"/>
                <w:sz w:val="24"/>
              </w:rPr>
              <w:t>2.1.6、养护修剪的树枝、残花、枯枝落叶等垃圾必须及时清理，做到工完料清，严禁养护垃圾过夜。</w:t>
            </w:r>
          </w:p>
          <w:p>
            <w:pPr>
              <w:widowControl/>
              <w:jc w:val="left"/>
              <w:rPr>
                <w:rFonts w:ascii="宋体" w:hAnsi="宋体" w:cs="宋体"/>
                <w:kern w:val="0"/>
                <w:sz w:val="24"/>
              </w:rPr>
            </w:pPr>
            <w:r>
              <w:rPr>
                <w:rFonts w:hint="eastAsia" w:ascii="宋体" w:hAnsi="宋体" w:cs="宋体"/>
                <w:kern w:val="0"/>
                <w:sz w:val="24"/>
              </w:rPr>
              <w:t>2.1.7、养护人员按规定每日进行巡视、养护，并将养护内容进行记录，对疑问或事故情况及时向主管或相关人员汇报。</w:t>
            </w:r>
          </w:p>
          <w:p>
            <w:pPr>
              <w:widowControl/>
              <w:jc w:val="left"/>
              <w:rPr>
                <w:rFonts w:ascii="宋体" w:hAnsi="宋体" w:cs="宋体"/>
                <w:kern w:val="0"/>
                <w:sz w:val="24"/>
              </w:rPr>
            </w:pPr>
            <w:r>
              <w:rPr>
                <w:rFonts w:hint="eastAsia" w:ascii="宋体" w:hAnsi="宋体" w:cs="宋体"/>
                <w:kern w:val="0"/>
                <w:sz w:val="24"/>
              </w:rPr>
              <w:t>2.1.8、日常维护（修剪、浇水）可在白天工作时间内进行，但要尽量避开旅客高峰时段，需要时放置提示牌，避免滑倒旅客，不影响周围环境秩序和卫生,严禁浇水过程中，将水溢出公共区。</w:t>
            </w:r>
          </w:p>
          <w:p>
            <w:pPr>
              <w:widowControl/>
              <w:jc w:val="left"/>
              <w:rPr>
                <w:rFonts w:ascii="宋体" w:hAnsi="宋体" w:cs="宋体"/>
                <w:kern w:val="0"/>
                <w:sz w:val="24"/>
              </w:rPr>
            </w:pPr>
            <w:r>
              <w:rPr>
                <w:rFonts w:hint="eastAsia" w:ascii="宋体" w:hAnsi="宋体" w:cs="宋体"/>
                <w:kern w:val="0"/>
                <w:sz w:val="24"/>
              </w:rPr>
              <w:t>2.1.9、日常维护工作中，应以旅客先行为主，避让旅客，使用礼貌用语，提示过往旅客注意安全。</w:t>
            </w:r>
          </w:p>
          <w:p>
            <w:pPr>
              <w:widowControl/>
              <w:jc w:val="left"/>
              <w:rPr>
                <w:rFonts w:ascii="宋体" w:hAnsi="宋体" w:cs="宋体"/>
                <w:kern w:val="0"/>
                <w:sz w:val="24"/>
              </w:rPr>
            </w:pPr>
            <w:r>
              <w:rPr>
                <w:rFonts w:hint="eastAsia" w:ascii="宋体" w:hAnsi="宋体" w:cs="宋体"/>
                <w:kern w:val="0"/>
                <w:sz w:val="24"/>
              </w:rPr>
              <w:t>2.1.10、养护期间加强日常监督工作，防止人为因素破坏。</w:t>
            </w:r>
          </w:p>
          <w:p>
            <w:pPr>
              <w:widowControl/>
              <w:jc w:val="left"/>
              <w:rPr>
                <w:rFonts w:ascii="宋体" w:hAnsi="宋体" w:cs="宋体"/>
                <w:kern w:val="0"/>
                <w:sz w:val="24"/>
              </w:rPr>
            </w:pPr>
            <w:r>
              <w:rPr>
                <w:rFonts w:hint="eastAsia" w:ascii="宋体" w:hAnsi="宋体" w:cs="宋体"/>
                <w:kern w:val="0"/>
                <w:sz w:val="24"/>
              </w:rPr>
              <w:t>2.1.11、搬运摆放花卉和冲洗养护大型绿植时应选择航班结束后进行，特殊情况下在得到航站楼管理部同意后方可进行，但必须避开旅客高峰期。</w:t>
            </w:r>
          </w:p>
          <w:p>
            <w:pPr>
              <w:widowControl/>
              <w:jc w:val="left"/>
              <w:rPr>
                <w:rFonts w:ascii="宋体" w:hAnsi="宋体" w:cs="宋体"/>
                <w:kern w:val="0"/>
                <w:sz w:val="24"/>
              </w:rPr>
            </w:pPr>
            <w:r>
              <w:rPr>
                <w:rFonts w:hint="eastAsia" w:ascii="宋体" w:hAnsi="宋体" w:cs="宋体"/>
                <w:kern w:val="0"/>
                <w:sz w:val="24"/>
              </w:rPr>
              <w:t>2.1.12、影响周围环境卫生的（如运输、养护、摆放等），应及时处理，达到保洁要求。</w:t>
            </w:r>
          </w:p>
          <w:p>
            <w:pPr>
              <w:widowControl/>
              <w:jc w:val="left"/>
              <w:rPr>
                <w:rFonts w:ascii="宋体" w:hAnsi="宋体" w:cs="宋体"/>
                <w:kern w:val="0"/>
                <w:sz w:val="24"/>
              </w:rPr>
            </w:pPr>
            <w:r>
              <w:rPr>
                <w:rFonts w:hint="eastAsia" w:ascii="宋体" w:hAnsi="宋体" w:cs="宋体"/>
                <w:kern w:val="0"/>
                <w:sz w:val="24"/>
              </w:rPr>
              <w:t>2.1.13、绿化运输过程中不得占用手推车，运输工具车不得阻碍旅客通道，保证公共通道的畅通。</w:t>
            </w:r>
          </w:p>
          <w:p>
            <w:pPr>
              <w:widowControl/>
              <w:jc w:val="left"/>
              <w:rPr>
                <w:rFonts w:ascii="宋体" w:hAnsi="宋体" w:cs="宋体"/>
                <w:kern w:val="0"/>
                <w:sz w:val="24"/>
              </w:rPr>
            </w:pPr>
            <w:r>
              <w:rPr>
                <w:rFonts w:hint="eastAsia" w:ascii="宋体" w:hAnsi="宋体" w:cs="宋体"/>
                <w:kern w:val="0"/>
                <w:sz w:val="24"/>
              </w:rPr>
              <w:t>2.1.14、对遇到相关内容的服务质量、环境检查、投诉意见等需进行整改的问题，维保单位应在规定的期限内完成整改，并将整改情况及时向航站楼管理部反馈。</w:t>
            </w:r>
          </w:p>
        </w:tc>
        <w:tc>
          <w:tcPr>
            <w:tcW w:w="1592" w:type="dxa"/>
            <w:tcBorders>
              <w:top w:val="single" w:color="auto" w:sz="8" w:space="0"/>
              <w:left w:val="nil"/>
              <w:bottom w:val="single" w:color="auto" w:sz="4" w:space="0"/>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扣0.2分/项/次</w:t>
            </w:r>
          </w:p>
        </w:tc>
      </w:tr>
      <w:tr>
        <w:tblPrEx>
          <w:tblLayout w:type="fixed"/>
          <w:tblCellMar>
            <w:top w:w="0" w:type="dxa"/>
            <w:left w:w="108" w:type="dxa"/>
            <w:bottom w:w="0" w:type="dxa"/>
            <w:right w:w="108" w:type="dxa"/>
          </w:tblCellMar>
        </w:tblPrEx>
        <w:trPr>
          <w:trHeight w:val="677" w:hRule="atLeast"/>
        </w:trPr>
        <w:tc>
          <w:tcPr>
            <w:tcW w:w="1224" w:type="dxa"/>
            <w:vMerge w:val="continue"/>
            <w:tcBorders>
              <w:top w:val="single" w:color="auto" w:sz="8" w:space="0"/>
              <w:left w:val="single" w:color="auto" w:sz="8" w:space="0"/>
              <w:bottom w:val="single" w:color="000000" w:sz="8" w:space="0"/>
              <w:right w:val="single" w:color="auto" w:sz="4" w:space="0"/>
            </w:tcBorders>
            <w:vAlign w:val="center"/>
          </w:tcPr>
          <w:p>
            <w:pPr>
              <w:widowControl/>
              <w:jc w:val="left"/>
              <w:rPr>
                <w:rFonts w:ascii="宋体" w:hAnsi="宋体" w:cs="宋体"/>
                <w:kern w:val="0"/>
                <w:sz w:val="24"/>
              </w:rPr>
            </w:pPr>
          </w:p>
        </w:tc>
        <w:tc>
          <w:tcPr>
            <w:tcW w:w="1719" w:type="dxa"/>
            <w:tcBorders>
              <w:top w:val="single" w:color="auto" w:sz="4" w:space="0"/>
              <w:left w:val="single" w:color="auto" w:sz="4" w:space="0"/>
              <w:bottom w:val="single" w:color="auto" w:sz="4" w:space="0"/>
              <w:right w:val="single" w:color="auto" w:sz="4" w:space="0"/>
            </w:tcBorders>
          </w:tcPr>
          <w:p>
            <w:pPr>
              <w:widowControl/>
              <w:jc w:val="left"/>
              <w:rPr>
                <w:rFonts w:ascii="宋体" w:hAnsi="宋体" w:cs="宋体"/>
                <w:kern w:val="0"/>
                <w:sz w:val="24"/>
              </w:rPr>
            </w:pPr>
            <w:r>
              <w:rPr>
                <w:rFonts w:hint="eastAsia" w:ascii="宋体" w:hAnsi="宋体" w:cs="宋体"/>
                <w:kern w:val="0"/>
                <w:sz w:val="24"/>
              </w:rPr>
              <w:t>3.遵守养护人员管理</w:t>
            </w:r>
          </w:p>
        </w:tc>
        <w:tc>
          <w:tcPr>
            <w:tcW w:w="9639" w:type="dxa"/>
            <w:tcBorders>
              <w:top w:val="single" w:color="auto" w:sz="4" w:space="0"/>
              <w:left w:val="nil"/>
              <w:bottom w:val="single" w:color="auto" w:sz="8" w:space="0"/>
              <w:right w:val="nil"/>
            </w:tcBorders>
          </w:tcPr>
          <w:p>
            <w:pPr>
              <w:widowControl/>
              <w:jc w:val="left"/>
              <w:rPr>
                <w:rFonts w:ascii="宋体" w:hAnsi="宋体" w:cs="宋体"/>
                <w:kern w:val="0"/>
                <w:sz w:val="24"/>
              </w:rPr>
            </w:pPr>
            <w:r>
              <w:rPr>
                <w:rFonts w:hint="eastAsia" w:ascii="宋体" w:hAnsi="宋体" w:cs="宋体"/>
                <w:kern w:val="0"/>
                <w:sz w:val="24"/>
              </w:rPr>
              <w:t>3.1养护人员管理未遵守花木租摆技术规范要求：</w:t>
            </w:r>
            <w:r>
              <w:rPr>
                <w:rFonts w:ascii="宋体" w:hAnsi="宋体" w:cs="宋体"/>
                <w:kern w:val="0"/>
                <w:sz w:val="24"/>
              </w:rPr>
              <w:br w:type="textWrapping"/>
            </w:r>
            <w:r>
              <w:rPr>
                <w:rFonts w:hint="eastAsia" w:ascii="宋体" w:hAnsi="宋体" w:cs="宋体"/>
                <w:kern w:val="0"/>
                <w:sz w:val="24"/>
              </w:rPr>
              <w:t>3.1.1、养护人员应满足航站楼对花卉养护的一切合理要求。</w:t>
            </w:r>
          </w:p>
          <w:p>
            <w:pPr>
              <w:widowControl/>
              <w:jc w:val="left"/>
              <w:rPr>
                <w:rFonts w:ascii="宋体" w:hAnsi="宋体" w:cs="宋体"/>
                <w:kern w:val="0"/>
                <w:sz w:val="24"/>
              </w:rPr>
            </w:pPr>
            <w:r>
              <w:rPr>
                <w:rFonts w:hint="eastAsia" w:ascii="宋体" w:hAnsi="宋体" w:cs="宋体"/>
                <w:kern w:val="0"/>
                <w:sz w:val="24"/>
              </w:rPr>
              <w:t>3.1.2、养护内容包括根据植物生长状况进行的浇灌、喷雾、修株整形、营养供给、病虫害防治等。</w:t>
            </w:r>
          </w:p>
          <w:p>
            <w:pPr>
              <w:widowControl/>
              <w:jc w:val="left"/>
              <w:rPr>
                <w:rFonts w:ascii="宋体" w:hAnsi="宋体" w:cs="宋体"/>
                <w:kern w:val="0"/>
                <w:sz w:val="24"/>
              </w:rPr>
            </w:pPr>
            <w:r>
              <w:rPr>
                <w:rFonts w:hint="eastAsia" w:ascii="宋体" w:hAnsi="宋体" w:cs="宋体"/>
                <w:kern w:val="0"/>
                <w:sz w:val="24"/>
              </w:rPr>
              <w:t>3.1.3、养护人员在养护过程中应做到植物造形保持美观，摆放合理，叶色自然。铺垫的石子及陶粒保持整齐、干净。</w:t>
            </w:r>
          </w:p>
          <w:p>
            <w:pPr>
              <w:widowControl/>
              <w:jc w:val="left"/>
              <w:rPr>
                <w:rFonts w:ascii="宋体" w:hAnsi="宋体" w:cs="宋体"/>
                <w:kern w:val="0"/>
                <w:sz w:val="24"/>
              </w:rPr>
            </w:pPr>
            <w:r>
              <w:rPr>
                <w:rFonts w:hint="eastAsia" w:ascii="宋体" w:hAnsi="宋体" w:cs="宋体"/>
                <w:kern w:val="0"/>
                <w:sz w:val="24"/>
              </w:rPr>
              <w:t>3.1.4、养护人员进行养护时要随身携带干净抹布、剪刀、塑料布、营养液、小喷壶及基本杀虫药剂；发现植物有黄叶、破损叶、多余枝叶要及时修剪，保证花卉定期修剪、无病虫害及花卉无单面长时间缺光。</w:t>
            </w:r>
          </w:p>
          <w:p>
            <w:pPr>
              <w:widowControl/>
              <w:jc w:val="left"/>
              <w:rPr>
                <w:rFonts w:ascii="宋体" w:hAnsi="宋体" w:cs="宋体"/>
                <w:kern w:val="0"/>
                <w:sz w:val="24"/>
              </w:rPr>
            </w:pPr>
            <w:r>
              <w:rPr>
                <w:rFonts w:hint="eastAsia" w:ascii="宋体" w:hAnsi="宋体" w:cs="宋体"/>
                <w:kern w:val="0"/>
                <w:sz w:val="24"/>
              </w:rPr>
              <w:t>3.1.5、养护人员在进行养护时，要保证鞋底干净无泥水；桌面、地面及周围设施不被污染及损伤；保证浇完水或浸泡完毕的花卉，没有污水溢流现象。</w:t>
            </w:r>
          </w:p>
          <w:p>
            <w:pPr>
              <w:widowControl/>
              <w:jc w:val="left"/>
              <w:rPr>
                <w:rFonts w:ascii="宋体" w:hAnsi="宋体" w:cs="宋体"/>
                <w:kern w:val="0"/>
                <w:sz w:val="24"/>
              </w:rPr>
            </w:pPr>
            <w:r>
              <w:rPr>
                <w:rFonts w:hint="eastAsia" w:ascii="宋体" w:hAnsi="宋体" w:cs="宋体"/>
                <w:kern w:val="0"/>
                <w:sz w:val="24"/>
              </w:rPr>
              <w:t>3.1.6、养护人员在养护工作中，要遵守规章制度，不做与养护无关的事，不妨碍航站楼正常运行。</w:t>
            </w:r>
          </w:p>
          <w:p>
            <w:pPr>
              <w:widowControl/>
              <w:jc w:val="left"/>
              <w:rPr>
                <w:rFonts w:ascii="宋体" w:hAnsi="宋体" w:cs="宋体"/>
                <w:kern w:val="0"/>
                <w:sz w:val="24"/>
              </w:rPr>
            </w:pPr>
            <w:r>
              <w:rPr>
                <w:rFonts w:hint="eastAsia" w:ascii="宋体" w:hAnsi="宋体" w:cs="宋体"/>
                <w:kern w:val="0"/>
                <w:sz w:val="24"/>
              </w:rPr>
              <w:t>3.1.7、养护期间如植物出现严重黄叶、枯萎死亡现象，随时以相同同种或相近的植物进行替换确保航站楼环境不受影响。</w:t>
            </w:r>
          </w:p>
          <w:p>
            <w:pPr>
              <w:widowControl/>
              <w:jc w:val="left"/>
              <w:rPr>
                <w:rFonts w:ascii="宋体" w:hAnsi="宋体" w:cs="宋体"/>
                <w:kern w:val="0"/>
                <w:sz w:val="24"/>
              </w:rPr>
            </w:pPr>
            <w:r>
              <w:rPr>
                <w:rFonts w:hint="eastAsia" w:ascii="宋体" w:hAnsi="宋体" w:cs="宋体"/>
                <w:kern w:val="0"/>
                <w:sz w:val="24"/>
              </w:rPr>
              <w:t>3.1.8、养护人员应按操作规程完成绿化作业，符合专业化操作。</w:t>
            </w:r>
          </w:p>
          <w:p>
            <w:pPr>
              <w:widowControl/>
              <w:jc w:val="left"/>
              <w:rPr>
                <w:rFonts w:ascii="宋体" w:hAnsi="宋体" w:cs="宋体"/>
                <w:kern w:val="0"/>
                <w:sz w:val="24"/>
              </w:rPr>
            </w:pPr>
            <w:r>
              <w:rPr>
                <w:rFonts w:hint="eastAsia" w:ascii="宋体" w:hAnsi="宋体" w:cs="宋体"/>
                <w:kern w:val="0"/>
                <w:sz w:val="24"/>
              </w:rPr>
              <w:t>3.1.9、养护人员擦拭叶面时应做到下手轻、顺叶脉方向。</w:t>
            </w:r>
          </w:p>
        </w:tc>
        <w:tc>
          <w:tcPr>
            <w:tcW w:w="159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扣0.2分/项/次</w:t>
            </w:r>
          </w:p>
        </w:tc>
      </w:tr>
      <w:tr>
        <w:tblPrEx>
          <w:tblLayout w:type="fixed"/>
          <w:tblCellMar>
            <w:top w:w="0" w:type="dxa"/>
            <w:left w:w="108" w:type="dxa"/>
            <w:bottom w:w="0" w:type="dxa"/>
            <w:right w:w="108" w:type="dxa"/>
          </w:tblCellMar>
        </w:tblPrEx>
        <w:trPr>
          <w:trHeight w:val="1160" w:hRule="atLeast"/>
        </w:trPr>
        <w:tc>
          <w:tcPr>
            <w:tcW w:w="1224"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cs="宋体"/>
                <w:kern w:val="0"/>
                <w:sz w:val="24"/>
              </w:rPr>
            </w:pPr>
          </w:p>
        </w:tc>
        <w:tc>
          <w:tcPr>
            <w:tcW w:w="1719" w:type="dxa"/>
            <w:tcBorders>
              <w:top w:val="single" w:color="auto" w:sz="4" w:space="0"/>
              <w:left w:val="nil"/>
              <w:bottom w:val="single" w:color="auto" w:sz="8" w:space="0"/>
              <w:right w:val="single" w:color="auto" w:sz="4" w:space="0"/>
            </w:tcBorders>
          </w:tcPr>
          <w:p>
            <w:pPr>
              <w:rPr>
                <w:rFonts w:ascii="宋体" w:hAnsi="宋体" w:cs="宋体"/>
                <w:kern w:val="0"/>
                <w:sz w:val="24"/>
              </w:rPr>
            </w:pPr>
            <w:r>
              <w:rPr>
                <w:rFonts w:hint="eastAsia" w:ascii="宋体" w:hAnsi="宋体" w:cs="宋体"/>
                <w:kern w:val="0"/>
                <w:sz w:val="24"/>
              </w:rPr>
              <w:t>4.遵守其他管理要求</w:t>
            </w:r>
          </w:p>
        </w:tc>
        <w:tc>
          <w:tcPr>
            <w:tcW w:w="9639" w:type="dxa"/>
            <w:tcBorders>
              <w:top w:val="single" w:color="auto" w:sz="8" w:space="0"/>
              <w:left w:val="single" w:color="auto" w:sz="4" w:space="0"/>
              <w:bottom w:val="single" w:color="auto" w:sz="8"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4.1未遵守其他管理要求：</w:t>
            </w:r>
          </w:p>
          <w:p>
            <w:pPr>
              <w:widowControl/>
              <w:jc w:val="left"/>
              <w:rPr>
                <w:rFonts w:ascii="宋体" w:hAnsi="宋体" w:cs="宋体"/>
                <w:kern w:val="0"/>
                <w:sz w:val="24"/>
              </w:rPr>
            </w:pPr>
            <w:r>
              <w:rPr>
                <w:rFonts w:hint="eastAsia" w:ascii="宋体" w:hAnsi="宋体" w:cs="宋体"/>
                <w:kern w:val="0"/>
                <w:sz w:val="24"/>
              </w:rPr>
              <w:t>4.1.1、做好服务区域内租摆植物相关工作的自查，及安排整改。</w:t>
            </w:r>
          </w:p>
          <w:p>
            <w:pPr>
              <w:widowControl/>
              <w:jc w:val="left"/>
              <w:rPr>
                <w:rFonts w:ascii="宋体" w:hAnsi="宋体" w:cs="宋体"/>
                <w:kern w:val="0"/>
                <w:sz w:val="24"/>
              </w:rPr>
            </w:pPr>
            <w:r>
              <w:rPr>
                <w:rFonts w:hint="eastAsia" w:ascii="宋体" w:hAnsi="宋体" w:cs="宋体"/>
                <w:kern w:val="0"/>
                <w:sz w:val="24"/>
              </w:rPr>
              <w:t>4.1.2、完成盆花租摆所有服务区域的布置。</w:t>
            </w:r>
          </w:p>
          <w:p>
            <w:pPr>
              <w:widowControl/>
              <w:jc w:val="left"/>
              <w:rPr>
                <w:rFonts w:ascii="宋体" w:hAnsi="宋体" w:cs="宋体"/>
                <w:kern w:val="0"/>
                <w:sz w:val="24"/>
              </w:rPr>
            </w:pPr>
            <w:r>
              <w:rPr>
                <w:rFonts w:hint="eastAsia" w:ascii="宋体" w:hAnsi="宋体" w:cs="宋体"/>
                <w:kern w:val="0"/>
                <w:sz w:val="24"/>
              </w:rPr>
              <w:t>4.1.3、做好航站楼节日庆典布置和临时会议布置等任务。</w:t>
            </w:r>
          </w:p>
        </w:tc>
        <w:tc>
          <w:tcPr>
            <w:tcW w:w="1592" w:type="dxa"/>
            <w:tcBorders>
              <w:top w:val="single" w:color="auto" w:sz="4" w:space="0"/>
              <w:left w:val="single" w:color="auto" w:sz="4" w:space="0"/>
              <w:bottom w:val="nil"/>
              <w:right w:val="single" w:color="auto" w:sz="8" w:space="0"/>
            </w:tcBorders>
            <w:vAlign w:val="center"/>
          </w:tcPr>
          <w:p>
            <w:pPr>
              <w:widowControl/>
              <w:jc w:val="left"/>
              <w:rPr>
                <w:rFonts w:ascii="宋体" w:hAnsi="宋体" w:cs="宋体"/>
                <w:kern w:val="0"/>
                <w:sz w:val="24"/>
              </w:rPr>
            </w:pPr>
            <w:r>
              <w:rPr>
                <w:rFonts w:hint="eastAsia" w:ascii="宋体" w:hAnsi="宋体" w:cs="宋体"/>
                <w:kern w:val="0"/>
                <w:sz w:val="24"/>
              </w:rPr>
              <w:t>扣2-10分/项/次</w:t>
            </w:r>
          </w:p>
        </w:tc>
      </w:tr>
      <w:tr>
        <w:tblPrEx>
          <w:tblLayout w:type="fixed"/>
          <w:tblCellMar>
            <w:top w:w="0" w:type="dxa"/>
            <w:left w:w="108" w:type="dxa"/>
            <w:bottom w:w="0" w:type="dxa"/>
            <w:right w:w="108" w:type="dxa"/>
          </w:tblCellMar>
        </w:tblPrEx>
        <w:trPr>
          <w:trHeight w:val="288" w:hRule="atLeast"/>
        </w:trPr>
        <w:tc>
          <w:tcPr>
            <w:tcW w:w="1224" w:type="dxa"/>
            <w:vMerge w:val="restart"/>
            <w:tcBorders>
              <w:top w:val="nil"/>
              <w:left w:val="single" w:color="auto" w:sz="8" w:space="0"/>
              <w:bottom w:val="single" w:color="000000" w:sz="8"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好人好事H（加分项）</w:t>
            </w:r>
          </w:p>
        </w:tc>
        <w:tc>
          <w:tcPr>
            <w:tcW w:w="11358" w:type="dxa"/>
            <w:gridSpan w:val="2"/>
            <w:tcBorders>
              <w:top w:val="single" w:color="auto" w:sz="8" w:space="0"/>
              <w:left w:val="nil"/>
              <w:bottom w:val="single" w:color="auto" w:sz="8"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1.员工拾金不昧，得到旅客或航站楼部表扬的。</w:t>
            </w:r>
          </w:p>
        </w:tc>
        <w:tc>
          <w:tcPr>
            <w:tcW w:w="1592" w:type="dxa"/>
            <w:tcBorders>
              <w:top w:val="single" w:color="auto" w:sz="8" w:space="0"/>
              <w:left w:val="single" w:color="auto" w:sz="4" w:space="0"/>
              <w:bottom w:val="single" w:color="auto" w:sz="8" w:space="0"/>
              <w:right w:val="single" w:color="000000" w:sz="8" w:space="0"/>
            </w:tcBorders>
            <w:vAlign w:val="center"/>
          </w:tcPr>
          <w:p>
            <w:pPr>
              <w:widowControl/>
              <w:jc w:val="left"/>
              <w:rPr>
                <w:rFonts w:ascii="宋体" w:hAnsi="宋体" w:cs="宋体"/>
                <w:kern w:val="0"/>
                <w:sz w:val="24"/>
              </w:rPr>
            </w:pPr>
            <w:r>
              <w:rPr>
                <w:rFonts w:hint="eastAsia" w:ascii="宋体" w:hAnsi="宋体" w:cs="宋体"/>
                <w:kern w:val="0"/>
                <w:sz w:val="24"/>
              </w:rPr>
              <w:t>加0.</w:t>
            </w:r>
            <w:r>
              <w:rPr>
                <w:rFonts w:ascii="宋体" w:hAnsi="宋体" w:cs="宋体"/>
                <w:kern w:val="0"/>
                <w:sz w:val="24"/>
              </w:rPr>
              <w:t>5</w:t>
            </w:r>
            <w:r>
              <w:rPr>
                <w:rFonts w:hint="eastAsia" w:ascii="宋体" w:hAnsi="宋体" w:cs="宋体"/>
                <w:kern w:val="0"/>
                <w:sz w:val="24"/>
              </w:rPr>
              <w:t>分</w:t>
            </w:r>
          </w:p>
        </w:tc>
      </w:tr>
      <w:tr>
        <w:tblPrEx>
          <w:tblLayout w:type="fixed"/>
          <w:tblCellMar>
            <w:top w:w="0" w:type="dxa"/>
            <w:left w:w="108" w:type="dxa"/>
            <w:bottom w:w="0" w:type="dxa"/>
            <w:right w:w="108" w:type="dxa"/>
          </w:tblCellMar>
        </w:tblPrEx>
        <w:trPr>
          <w:trHeight w:val="320" w:hRule="atLeast"/>
        </w:trPr>
        <w:tc>
          <w:tcPr>
            <w:tcW w:w="1224" w:type="dxa"/>
            <w:vMerge w:val="continue"/>
            <w:tcBorders>
              <w:top w:val="nil"/>
              <w:left w:val="single" w:color="auto" w:sz="8" w:space="0"/>
              <w:bottom w:val="single" w:color="000000" w:sz="8" w:space="0"/>
              <w:right w:val="single" w:color="auto" w:sz="8" w:space="0"/>
            </w:tcBorders>
            <w:vAlign w:val="center"/>
          </w:tcPr>
          <w:p>
            <w:pPr>
              <w:widowControl/>
              <w:jc w:val="center"/>
              <w:rPr>
                <w:rFonts w:ascii="宋体" w:hAnsi="宋体" w:cs="宋体"/>
                <w:kern w:val="0"/>
                <w:sz w:val="24"/>
              </w:rPr>
            </w:pPr>
          </w:p>
        </w:tc>
        <w:tc>
          <w:tcPr>
            <w:tcW w:w="11358" w:type="dxa"/>
            <w:gridSpan w:val="2"/>
            <w:tcBorders>
              <w:top w:val="single" w:color="auto" w:sz="8" w:space="0"/>
              <w:left w:val="nil"/>
              <w:bottom w:val="single" w:color="auto" w:sz="8"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2.得到机场公司表扬的。</w:t>
            </w:r>
          </w:p>
        </w:tc>
        <w:tc>
          <w:tcPr>
            <w:tcW w:w="1592" w:type="dxa"/>
            <w:tcBorders>
              <w:top w:val="single" w:color="auto" w:sz="8" w:space="0"/>
              <w:left w:val="single" w:color="auto" w:sz="4" w:space="0"/>
              <w:bottom w:val="single" w:color="auto" w:sz="8" w:space="0"/>
              <w:right w:val="single" w:color="000000" w:sz="8" w:space="0"/>
            </w:tcBorders>
            <w:vAlign w:val="center"/>
          </w:tcPr>
          <w:p>
            <w:pPr>
              <w:widowControl/>
              <w:jc w:val="left"/>
              <w:rPr>
                <w:rFonts w:ascii="宋体" w:hAnsi="宋体" w:cs="宋体"/>
                <w:kern w:val="0"/>
                <w:sz w:val="24"/>
              </w:rPr>
            </w:pPr>
            <w:r>
              <w:rPr>
                <w:rFonts w:hint="eastAsia" w:ascii="宋体" w:hAnsi="宋体" w:cs="宋体"/>
                <w:kern w:val="0"/>
                <w:sz w:val="24"/>
              </w:rPr>
              <w:t>加1分</w:t>
            </w:r>
          </w:p>
        </w:tc>
      </w:tr>
      <w:tr>
        <w:tblPrEx>
          <w:tblLayout w:type="fixed"/>
          <w:tblCellMar>
            <w:top w:w="0" w:type="dxa"/>
            <w:left w:w="108" w:type="dxa"/>
            <w:bottom w:w="0" w:type="dxa"/>
            <w:right w:w="108" w:type="dxa"/>
          </w:tblCellMar>
        </w:tblPrEx>
        <w:trPr>
          <w:trHeight w:val="320" w:hRule="atLeast"/>
        </w:trPr>
        <w:tc>
          <w:tcPr>
            <w:tcW w:w="1224" w:type="dxa"/>
            <w:vMerge w:val="continue"/>
            <w:tcBorders>
              <w:top w:val="nil"/>
              <w:left w:val="single" w:color="auto" w:sz="8" w:space="0"/>
              <w:bottom w:val="single" w:color="000000" w:sz="8" w:space="0"/>
              <w:right w:val="single" w:color="auto" w:sz="8" w:space="0"/>
            </w:tcBorders>
            <w:vAlign w:val="center"/>
          </w:tcPr>
          <w:p>
            <w:pPr>
              <w:widowControl/>
              <w:jc w:val="center"/>
              <w:rPr>
                <w:rFonts w:ascii="宋体" w:hAnsi="宋体" w:cs="宋体"/>
                <w:kern w:val="0"/>
                <w:sz w:val="24"/>
              </w:rPr>
            </w:pPr>
          </w:p>
        </w:tc>
        <w:tc>
          <w:tcPr>
            <w:tcW w:w="11358" w:type="dxa"/>
            <w:gridSpan w:val="2"/>
            <w:tcBorders>
              <w:top w:val="single" w:color="auto" w:sz="8" w:space="0"/>
              <w:left w:val="nil"/>
              <w:bottom w:val="single" w:color="auto" w:sz="8"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3.得到新闻媒体表扬的。</w:t>
            </w:r>
          </w:p>
        </w:tc>
        <w:tc>
          <w:tcPr>
            <w:tcW w:w="1592" w:type="dxa"/>
            <w:tcBorders>
              <w:top w:val="single" w:color="auto" w:sz="8" w:space="0"/>
              <w:left w:val="single" w:color="auto" w:sz="4" w:space="0"/>
              <w:bottom w:val="single" w:color="auto" w:sz="8" w:space="0"/>
              <w:right w:val="single" w:color="000000" w:sz="8" w:space="0"/>
            </w:tcBorders>
            <w:vAlign w:val="center"/>
          </w:tcPr>
          <w:p>
            <w:pPr>
              <w:widowControl/>
              <w:jc w:val="left"/>
              <w:rPr>
                <w:rFonts w:ascii="宋体" w:hAnsi="宋体" w:cs="宋体"/>
                <w:kern w:val="0"/>
                <w:sz w:val="24"/>
              </w:rPr>
            </w:pPr>
            <w:r>
              <w:rPr>
                <w:rFonts w:hint="eastAsia" w:ascii="宋体" w:hAnsi="宋体" w:cs="宋体"/>
                <w:kern w:val="0"/>
                <w:sz w:val="24"/>
              </w:rPr>
              <w:t>加1.5分</w:t>
            </w:r>
          </w:p>
        </w:tc>
      </w:tr>
      <w:tr>
        <w:tblPrEx>
          <w:tblLayout w:type="fixed"/>
          <w:tblCellMar>
            <w:top w:w="0" w:type="dxa"/>
            <w:left w:w="108" w:type="dxa"/>
            <w:bottom w:w="0" w:type="dxa"/>
            <w:right w:w="108" w:type="dxa"/>
          </w:tblCellMar>
        </w:tblPrEx>
        <w:trPr>
          <w:trHeight w:val="434" w:hRule="atLeast"/>
        </w:trPr>
        <w:tc>
          <w:tcPr>
            <w:tcW w:w="1224" w:type="dxa"/>
            <w:vMerge w:val="continue"/>
            <w:tcBorders>
              <w:top w:val="nil"/>
              <w:left w:val="single" w:color="auto" w:sz="8" w:space="0"/>
              <w:bottom w:val="single" w:color="auto" w:sz="4" w:space="0"/>
              <w:right w:val="single" w:color="auto" w:sz="8" w:space="0"/>
            </w:tcBorders>
            <w:vAlign w:val="center"/>
          </w:tcPr>
          <w:p>
            <w:pPr>
              <w:widowControl/>
              <w:jc w:val="left"/>
              <w:rPr>
                <w:rFonts w:ascii="宋体" w:hAnsi="宋体" w:cs="宋体"/>
                <w:kern w:val="0"/>
                <w:sz w:val="24"/>
              </w:rPr>
            </w:pPr>
          </w:p>
        </w:tc>
        <w:tc>
          <w:tcPr>
            <w:tcW w:w="11358" w:type="dxa"/>
            <w:gridSpan w:val="2"/>
            <w:tcBorders>
              <w:top w:val="single" w:color="auto" w:sz="8" w:space="0"/>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4.盆花租摆员工发现航站楼内安全隐患并及时上报。</w:t>
            </w:r>
          </w:p>
        </w:tc>
        <w:tc>
          <w:tcPr>
            <w:tcW w:w="1592" w:type="dxa"/>
            <w:tcBorders>
              <w:top w:val="single" w:color="auto" w:sz="8" w:space="0"/>
              <w:left w:val="single" w:color="auto" w:sz="4" w:space="0"/>
              <w:bottom w:val="single" w:color="auto" w:sz="4" w:space="0"/>
              <w:right w:val="single" w:color="000000" w:sz="8" w:space="0"/>
            </w:tcBorders>
            <w:vAlign w:val="center"/>
          </w:tcPr>
          <w:p>
            <w:pPr>
              <w:widowControl/>
              <w:jc w:val="left"/>
              <w:rPr>
                <w:rFonts w:ascii="宋体" w:hAnsi="宋体" w:cs="宋体"/>
                <w:kern w:val="0"/>
                <w:sz w:val="24"/>
              </w:rPr>
            </w:pPr>
            <w:r>
              <w:rPr>
                <w:rFonts w:hint="eastAsia" w:ascii="宋体" w:hAnsi="宋体" w:cs="宋体"/>
                <w:kern w:val="0"/>
                <w:sz w:val="24"/>
              </w:rPr>
              <w:t>加0.</w:t>
            </w:r>
            <w:r>
              <w:rPr>
                <w:rFonts w:ascii="宋体" w:hAnsi="宋体" w:cs="宋体"/>
                <w:kern w:val="0"/>
                <w:sz w:val="24"/>
              </w:rPr>
              <w:t>5</w:t>
            </w:r>
            <w:r>
              <w:rPr>
                <w:rFonts w:hint="eastAsia" w:ascii="宋体" w:hAnsi="宋体" w:cs="宋体"/>
                <w:kern w:val="0"/>
                <w:sz w:val="24"/>
              </w:rPr>
              <w:t>分</w:t>
            </w:r>
          </w:p>
        </w:tc>
      </w:tr>
      <w:tr>
        <w:tblPrEx>
          <w:tblLayout w:type="fixed"/>
          <w:tblCellMar>
            <w:top w:w="0" w:type="dxa"/>
            <w:left w:w="108" w:type="dxa"/>
            <w:bottom w:w="0" w:type="dxa"/>
            <w:right w:w="108" w:type="dxa"/>
          </w:tblCellMar>
        </w:tblPrEx>
        <w:trPr>
          <w:trHeight w:val="300" w:hRule="atLeast"/>
        </w:trPr>
        <w:tc>
          <w:tcPr>
            <w:tcW w:w="1224" w:type="dxa"/>
            <w:vMerge w:val="restart"/>
            <w:tcBorders>
              <w:top w:val="single" w:color="auto" w:sz="4" w:space="0"/>
              <w:left w:val="single" w:color="auto" w:sz="4" w:space="0"/>
              <w:right w:val="single" w:color="auto" w:sz="8" w:space="0"/>
            </w:tcBorders>
            <w:vAlign w:val="center"/>
          </w:tcPr>
          <w:p>
            <w:pPr>
              <w:widowControl/>
              <w:jc w:val="center"/>
              <w:rPr>
                <w:rFonts w:ascii="宋体" w:hAnsi="宋体" w:cs="宋体"/>
                <w:kern w:val="0"/>
                <w:sz w:val="24"/>
              </w:rPr>
            </w:pPr>
            <w:r>
              <w:rPr>
                <w:rFonts w:hint="eastAsia" w:ascii="宋体" w:hAnsi="宋体" w:cs="宋体"/>
                <w:kern w:val="0"/>
                <w:sz w:val="24"/>
              </w:rPr>
              <w:t>否决性指标F</w:t>
            </w:r>
          </w:p>
        </w:tc>
        <w:tc>
          <w:tcPr>
            <w:tcW w:w="11358"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1.所负责区域内因责任原因发生旅客或员工重伤、死亡的。</w:t>
            </w:r>
          </w:p>
        </w:tc>
        <w:tc>
          <w:tcPr>
            <w:tcW w:w="1592" w:type="dxa"/>
            <w:vMerge w:val="restart"/>
            <w:tcBorders>
              <w:top w:val="single" w:color="auto" w:sz="4" w:space="0"/>
              <w:left w:val="nil"/>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扣100分/项/次</w:t>
            </w:r>
          </w:p>
          <w:p>
            <w:pPr>
              <w:jc w:val="left"/>
              <w:rPr>
                <w:rFonts w:ascii="宋体" w:hAnsi="宋体" w:cs="宋体"/>
                <w:kern w:val="0"/>
                <w:sz w:val="24"/>
              </w:rPr>
            </w:pPr>
          </w:p>
        </w:tc>
      </w:tr>
      <w:tr>
        <w:tblPrEx>
          <w:tblLayout w:type="fixed"/>
          <w:tblCellMar>
            <w:top w:w="0" w:type="dxa"/>
            <w:left w:w="108" w:type="dxa"/>
            <w:bottom w:w="0" w:type="dxa"/>
            <w:right w:w="108" w:type="dxa"/>
          </w:tblCellMar>
        </w:tblPrEx>
        <w:trPr>
          <w:trHeight w:val="300" w:hRule="atLeast"/>
        </w:trPr>
        <w:tc>
          <w:tcPr>
            <w:tcW w:w="1224" w:type="dxa"/>
            <w:vMerge w:val="continue"/>
            <w:tcBorders>
              <w:left w:val="single" w:color="auto" w:sz="4" w:space="0"/>
              <w:right w:val="single" w:color="auto" w:sz="8" w:space="0"/>
            </w:tcBorders>
            <w:vAlign w:val="center"/>
          </w:tcPr>
          <w:p>
            <w:pPr>
              <w:widowControl/>
              <w:jc w:val="left"/>
              <w:rPr>
                <w:rFonts w:ascii="宋体" w:hAnsi="宋体" w:cs="宋体"/>
                <w:kern w:val="0"/>
                <w:sz w:val="24"/>
              </w:rPr>
            </w:pPr>
          </w:p>
        </w:tc>
        <w:tc>
          <w:tcPr>
            <w:tcW w:w="11358"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cs="宋体"/>
                <w:kern w:val="0"/>
                <w:sz w:val="24"/>
              </w:rPr>
              <w:t>2.所负责区域内因责任原因发生火灾的。</w:t>
            </w:r>
          </w:p>
        </w:tc>
        <w:tc>
          <w:tcPr>
            <w:tcW w:w="1592" w:type="dxa"/>
            <w:vMerge w:val="continue"/>
            <w:tcBorders>
              <w:left w:val="nil"/>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00" w:hRule="atLeast"/>
        </w:trPr>
        <w:tc>
          <w:tcPr>
            <w:tcW w:w="1224" w:type="dxa"/>
            <w:vMerge w:val="continue"/>
            <w:tcBorders>
              <w:left w:val="single" w:color="auto" w:sz="4" w:space="0"/>
              <w:right w:val="single" w:color="auto" w:sz="8" w:space="0"/>
            </w:tcBorders>
            <w:vAlign w:val="center"/>
          </w:tcPr>
          <w:p>
            <w:pPr>
              <w:widowControl/>
              <w:jc w:val="left"/>
              <w:rPr>
                <w:rFonts w:ascii="宋体" w:hAnsi="宋体" w:cs="宋体"/>
                <w:kern w:val="0"/>
                <w:sz w:val="24"/>
              </w:rPr>
            </w:pPr>
          </w:p>
        </w:tc>
        <w:tc>
          <w:tcPr>
            <w:tcW w:w="11358"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sz w:val="24"/>
              </w:rPr>
              <w:t>3.因其责任原因导致通行证遗失等造成空防事故隐患的；</w:t>
            </w:r>
          </w:p>
        </w:tc>
        <w:tc>
          <w:tcPr>
            <w:tcW w:w="1592" w:type="dxa"/>
            <w:vMerge w:val="continue"/>
            <w:tcBorders>
              <w:left w:val="nil"/>
              <w:right w:val="single" w:color="auto" w:sz="4" w:space="0"/>
            </w:tcBorders>
            <w:vAlign w:val="center"/>
          </w:tcPr>
          <w:p>
            <w:pPr>
              <w:widowControl/>
              <w:jc w:val="left"/>
              <w:rPr>
                <w:rFonts w:ascii="宋体" w:hAnsi="宋体" w:cs="宋体"/>
                <w:kern w:val="0"/>
                <w:sz w:val="24"/>
              </w:rPr>
            </w:pPr>
          </w:p>
        </w:tc>
      </w:tr>
      <w:tr>
        <w:tblPrEx>
          <w:tblLayout w:type="fixed"/>
          <w:tblCellMar>
            <w:top w:w="0" w:type="dxa"/>
            <w:left w:w="108" w:type="dxa"/>
            <w:bottom w:w="0" w:type="dxa"/>
            <w:right w:w="108" w:type="dxa"/>
          </w:tblCellMar>
        </w:tblPrEx>
        <w:trPr>
          <w:trHeight w:val="300" w:hRule="atLeast"/>
        </w:trPr>
        <w:tc>
          <w:tcPr>
            <w:tcW w:w="1224" w:type="dxa"/>
            <w:vMerge w:val="continue"/>
            <w:tcBorders>
              <w:left w:val="single" w:color="auto" w:sz="4" w:space="0"/>
              <w:bottom w:val="single" w:color="auto" w:sz="4" w:space="0"/>
              <w:right w:val="single" w:color="auto" w:sz="8" w:space="0"/>
            </w:tcBorders>
            <w:vAlign w:val="center"/>
          </w:tcPr>
          <w:p>
            <w:pPr>
              <w:widowControl/>
              <w:jc w:val="left"/>
              <w:rPr>
                <w:rFonts w:ascii="宋体" w:hAnsi="宋体" w:cs="宋体"/>
                <w:kern w:val="0"/>
                <w:sz w:val="24"/>
              </w:rPr>
            </w:pPr>
          </w:p>
        </w:tc>
        <w:tc>
          <w:tcPr>
            <w:tcW w:w="11358"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rPr>
            </w:pPr>
            <w:r>
              <w:rPr>
                <w:rFonts w:hint="eastAsia" w:ascii="宋体" w:hAnsi="宋体"/>
                <w:sz w:val="24"/>
              </w:rPr>
              <w:t>4.盆花租摆区域内存放易燃易爆及危险物品隐瞒不报的</w:t>
            </w:r>
          </w:p>
        </w:tc>
        <w:tc>
          <w:tcPr>
            <w:tcW w:w="1592" w:type="dxa"/>
            <w:vMerge w:val="continue"/>
            <w:tcBorders>
              <w:left w:val="nil"/>
              <w:bottom w:val="single" w:color="auto" w:sz="4" w:space="0"/>
              <w:right w:val="single" w:color="auto" w:sz="4" w:space="0"/>
            </w:tcBorders>
            <w:vAlign w:val="center"/>
          </w:tcPr>
          <w:p>
            <w:pPr>
              <w:widowControl/>
              <w:jc w:val="left"/>
              <w:rPr>
                <w:rFonts w:ascii="宋体" w:hAnsi="宋体" w:cs="宋体"/>
                <w:kern w:val="0"/>
                <w:sz w:val="24"/>
              </w:rPr>
            </w:pPr>
          </w:p>
        </w:tc>
      </w:tr>
    </w:tbl>
    <w:p>
      <w:pPr>
        <w:pStyle w:val="21"/>
        <w:spacing w:line="560" w:lineRule="exact"/>
        <w:ind w:firstLine="420"/>
        <w:jc w:val="right"/>
        <w:rPr>
          <w:rFonts w:ascii="Calibri" w:hAnsi="Calibri" w:cs="Calibri"/>
          <w:bCs/>
          <w:szCs w:val="32"/>
        </w:rPr>
      </w:pPr>
    </w:p>
    <w:p>
      <w:pPr>
        <w:pStyle w:val="21"/>
        <w:spacing w:line="360" w:lineRule="exact"/>
        <w:ind w:firstLine="420"/>
        <w:rPr>
          <w:rFonts w:ascii="Calibri" w:hAnsi="Calibri" w:cs="Calibri"/>
          <w:bCs/>
          <w:szCs w:val="32"/>
        </w:rPr>
        <w:sectPr>
          <w:pgSz w:w="16838" w:h="11906" w:orient="landscape"/>
          <w:pgMar w:top="1247" w:right="1134" w:bottom="1247" w:left="1134" w:header="851" w:footer="1134" w:gutter="0"/>
          <w:pgNumType w:fmt="numberInDash"/>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13"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3"/>
    </w:p>
    <w:p>
      <w:pPr>
        <w:pStyle w:val="21"/>
        <w:spacing w:line="360" w:lineRule="exact"/>
        <w:ind w:firstLine="420"/>
        <w:rPr>
          <w:rFonts w:hAnsi="宋体" w:cs="Calibri"/>
          <w:bCs/>
          <w:sz w:val="22"/>
          <w:szCs w:val="22"/>
        </w:rPr>
      </w:pPr>
      <w:bookmarkStart w:id="114"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hAnsi="宋体" w:cs="Calibri"/>
          <w:b/>
          <w:bCs/>
          <w:sz w:val="22"/>
          <w:szCs w:val="22"/>
        </w:rPr>
      </w:pPr>
      <w:r>
        <w:rPr>
          <w:rFonts w:hAnsi="宋体" w:cs="Calibri"/>
          <w:b/>
          <w:bCs/>
          <w:sz w:val="22"/>
          <w:szCs w:val="22"/>
        </w:rPr>
        <w:t>一、评标原则</w:t>
      </w:r>
    </w:p>
    <w:p>
      <w:pPr>
        <w:pStyle w:val="21"/>
        <w:spacing w:line="360" w:lineRule="exact"/>
        <w:ind w:firstLine="420"/>
        <w:rPr>
          <w:rFonts w:hAnsi="宋体" w:cs="Calibri"/>
          <w:sz w:val="22"/>
          <w:szCs w:val="22"/>
        </w:rPr>
      </w:pPr>
      <w:r>
        <w:rPr>
          <w:rFonts w:hAnsi="宋体" w:cs="Calibri"/>
          <w:bCs/>
          <w:sz w:val="22"/>
          <w:szCs w:val="22"/>
        </w:rPr>
        <w:t>评标应遵循公平、公正、科学、择优的原则。</w:t>
      </w:r>
    </w:p>
    <w:p>
      <w:pPr>
        <w:pStyle w:val="21"/>
        <w:spacing w:line="360" w:lineRule="exact"/>
        <w:rPr>
          <w:rFonts w:hAnsi="宋体" w:cs="Calibri"/>
          <w:b/>
          <w:bCs/>
          <w:sz w:val="22"/>
          <w:szCs w:val="22"/>
        </w:rPr>
      </w:pPr>
      <w:r>
        <w:rPr>
          <w:rFonts w:hAnsi="宋体" w:cs="Calibri"/>
          <w:b/>
          <w:bCs/>
          <w:sz w:val="22"/>
          <w:szCs w:val="22"/>
        </w:rPr>
        <w:t>二、评标组织</w:t>
      </w:r>
    </w:p>
    <w:p>
      <w:pPr>
        <w:pStyle w:val="21"/>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评标委员由招标人自行组建。</w:t>
      </w:r>
    </w:p>
    <w:p>
      <w:pPr>
        <w:pStyle w:val="21"/>
        <w:spacing w:line="360" w:lineRule="exact"/>
        <w:rPr>
          <w:rFonts w:hAnsi="宋体" w:cs="Calibri"/>
          <w:b/>
          <w:bCs/>
          <w:sz w:val="22"/>
          <w:szCs w:val="22"/>
        </w:rPr>
      </w:pPr>
      <w:r>
        <w:rPr>
          <w:rFonts w:hAnsi="宋体" w:cs="Calibri"/>
          <w:b/>
          <w:bCs/>
          <w:sz w:val="22"/>
          <w:szCs w:val="22"/>
        </w:rPr>
        <w:t>三、投标文件的评审</w:t>
      </w:r>
    </w:p>
    <w:p>
      <w:pPr>
        <w:pStyle w:val="21"/>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1" w:firstLineChars="214"/>
        <w:rPr>
          <w:rFonts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4" w:firstLineChars="202"/>
        <w:rPr>
          <w:rFonts w:ascii="宋体" w:hAnsi="宋体" w:cs="Calibri"/>
          <w:b/>
          <w:sz w:val="22"/>
        </w:rPr>
      </w:pPr>
      <w:r>
        <w:rPr>
          <w:rFonts w:ascii="宋体" w:hAnsi="宋体" w:cs="Calibri"/>
          <w:b/>
          <w:sz w:val="22"/>
        </w:rPr>
        <w:t>3.1.2 报价算术性修正</w:t>
      </w:r>
    </w:p>
    <w:p>
      <w:pPr>
        <w:pStyle w:val="21"/>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1"/>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1"/>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21"/>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1"/>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每个投标人最终得分=商务报价分+资信及技术分</w:t>
      </w:r>
    </w:p>
    <w:p>
      <w:pPr>
        <w:pStyle w:val="21"/>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21"/>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2、资信及技术评分  40分</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p>
      <w:pPr>
        <w:widowControl/>
        <w:jc w:val="left"/>
        <w:rPr>
          <w:rFonts w:ascii="宋体" w:hAnsi="宋体" w:cs="Calibri"/>
          <w:kern w:val="0"/>
          <w:sz w:val="22"/>
        </w:rPr>
      </w:pPr>
      <w:r>
        <w:rPr>
          <w:rFonts w:hAnsi="宋体" w:cs="Calibri"/>
          <w:sz w:val="22"/>
        </w:rPr>
        <w:br w:type="page"/>
      </w:r>
    </w:p>
    <w:p>
      <w:pPr>
        <w:pStyle w:val="21"/>
        <w:adjustRightInd w:val="0"/>
        <w:snapToGrid w:val="0"/>
        <w:spacing w:line="360" w:lineRule="exact"/>
        <w:ind w:firstLine="440" w:firstLineChars="200"/>
        <w:rPr>
          <w:rFonts w:hAnsi="宋体" w:cs="Calibri"/>
          <w:sz w:val="22"/>
          <w:szCs w:val="22"/>
        </w:rPr>
      </w:pPr>
    </w:p>
    <w:tbl>
      <w:tblPr>
        <w:tblStyle w:val="5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Pr>
          <w:p>
            <w:pPr>
              <w:pStyle w:val="21"/>
              <w:adjustRightInd w:val="0"/>
              <w:snapToGrid w:val="0"/>
              <w:spacing w:line="360" w:lineRule="exact"/>
              <w:jc w:val="center"/>
              <w:rPr>
                <w:rFonts w:hAnsi="宋体" w:cs="Courier New"/>
                <w:color w:val="000000"/>
                <w:kern w:val="2"/>
                <w:sz w:val="21"/>
              </w:rPr>
            </w:pPr>
            <w:r>
              <w:rPr>
                <w:rFonts w:hAnsi="宋体" w:cs="Courier New"/>
                <w:color w:val="000000"/>
                <w:kern w:val="2"/>
                <w:sz w:val="21"/>
              </w:rPr>
              <w:t>评定项目</w:t>
            </w:r>
          </w:p>
        </w:tc>
        <w:tc>
          <w:tcPr>
            <w:tcW w:w="2410" w:type="dxa"/>
          </w:tcPr>
          <w:p>
            <w:pPr>
              <w:pStyle w:val="21"/>
              <w:adjustRightInd w:val="0"/>
              <w:snapToGrid w:val="0"/>
              <w:spacing w:line="360" w:lineRule="exact"/>
              <w:jc w:val="center"/>
              <w:rPr>
                <w:rFonts w:hAnsi="宋体" w:cs="Courier New"/>
                <w:color w:val="000000"/>
                <w:kern w:val="2"/>
                <w:sz w:val="21"/>
              </w:rPr>
            </w:pPr>
            <w:r>
              <w:rPr>
                <w:rFonts w:hAnsi="宋体" w:cs="Courier New"/>
                <w:color w:val="000000"/>
                <w:kern w:val="2"/>
                <w:sz w:val="21"/>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olor w:val="000000"/>
                <w:szCs w:val="21"/>
              </w:rPr>
            </w:pPr>
            <w:r>
              <w:rPr>
                <w:rFonts w:hint="eastAsia" w:ascii="宋体" w:hAnsi="宋体"/>
                <w:szCs w:val="21"/>
              </w:rPr>
              <w:t>投标人提供的花堆效果图（面积约30平方米）至少一个节假日2套方案，评委根据</w:t>
            </w:r>
            <w:r>
              <w:rPr>
                <w:rFonts w:ascii="宋体" w:hAnsi="宋体"/>
                <w:szCs w:val="21"/>
              </w:rPr>
              <w:t>每个节日的</w:t>
            </w:r>
            <w:r>
              <w:rPr>
                <w:rFonts w:hint="eastAsia" w:ascii="宋体" w:hAnsi="宋体"/>
                <w:szCs w:val="21"/>
              </w:rPr>
              <w:t>方案</w:t>
            </w:r>
            <w:r>
              <w:rPr>
                <w:rFonts w:ascii="宋体" w:hAnsi="宋体"/>
                <w:szCs w:val="21"/>
              </w:rPr>
              <w:t>进行横向对比打分，每个节日</w:t>
            </w:r>
            <w:r>
              <w:rPr>
                <w:rFonts w:hint="eastAsia" w:ascii="宋体" w:hAnsi="宋体"/>
                <w:szCs w:val="21"/>
              </w:rPr>
              <w:t>方案评比</w:t>
            </w:r>
            <w:r>
              <w:rPr>
                <w:rFonts w:ascii="宋体" w:hAnsi="宋体"/>
                <w:szCs w:val="21"/>
              </w:rPr>
              <w:t>最高得</w:t>
            </w:r>
            <w:r>
              <w:rPr>
                <w:rFonts w:hint="eastAsia" w:ascii="宋体" w:hAnsi="宋体"/>
                <w:szCs w:val="21"/>
              </w:rPr>
              <w:t>2分。（本项共四个</w:t>
            </w:r>
            <w:r>
              <w:rPr>
                <w:rFonts w:ascii="宋体" w:hAnsi="宋体"/>
                <w:szCs w:val="21"/>
              </w:rPr>
              <w:t>节日</w:t>
            </w:r>
            <w:r>
              <w:rPr>
                <w:rFonts w:hint="eastAsia" w:ascii="宋体" w:hAnsi="宋体"/>
                <w:szCs w:val="21"/>
              </w:rPr>
              <w:t>，最高</w:t>
            </w:r>
            <w:r>
              <w:rPr>
                <w:rFonts w:ascii="宋体" w:hAnsi="宋体"/>
                <w:szCs w:val="21"/>
              </w:rPr>
              <w:t>得8</w:t>
            </w:r>
            <w:r>
              <w:rPr>
                <w:rFonts w:hint="eastAsia" w:ascii="宋体" w:hAnsi="宋体"/>
                <w:szCs w:val="21"/>
              </w:rPr>
              <w:t>分）</w:t>
            </w:r>
            <w:r>
              <w:rPr>
                <w:rFonts w:hint="eastAsia" w:ascii="宋体" w:hAnsi="宋体"/>
                <w:color w:val="000000"/>
                <w:szCs w:val="21"/>
              </w:rPr>
              <w:t xml:space="preserve"> </w:t>
            </w:r>
          </w:p>
        </w:tc>
        <w:tc>
          <w:tcPr>
            <w:tcW w:w="2410" w:type="dxa"/>
            <w:vAlign w:val="center"/>
          </w:tcPr>
          <w:p>
            <w:pPr>
              <w:widowControl/>
              <w:snapToGrid w:val="0"/>
              <w:spacing w:line="360" w:lineRule="exact"/>
              <w:jc w:val="center"/>
              <w:rPr>
                <w:rFonts w:ascii="宋体" w:hAnsi="宋体"/>
                <w:color w:val="000000"/>
                <w:szCs w:val="21"/>
              </w:rPr>
            </w:pPr>
            <w:r>
              <w:rPr>
                <w:rFonts w:hint="eastAsia" w:ascii="宋体" w:hAnsi="宋体" w:cs="宋体"/>
                <w:kern w:val="0"/>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szCs w:val="21"/>
              </w:rPr>
            </w:pPr>
            <w:r>
              <w:rPr>
                <w:rFonts w:hint="eastAsia" w:ascii="宋体" w:hAnsi="宋体"/>
                <w:szCs w:val="21"/>
              </w:rPr>
              <w:t xml:space="preserve">硬质景观的设计效果 </w:t>
            </w:r>
          </w:p>
        </w:tc>
        <w:tc>
          <w:tcPr>
            <w:tcW w:w="2410" w:type="dxa"/>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cs="Calibri" w:asciiTheme="minorEastAsia" w:hAnsiTheme="minorEastAsia"/>
                <w:color w:val="000000"/>
                <w:sz w:val="22"/>
              </w:rPr>
              <w:t>投标人自2018年1月1日以来完成类似盆花摆放业绩，最高单项合同每年盆花摆放金额在150万元及以上的得4分，100万元及以上的得2分，50万元及以上的得1分，</w:t>
            </w:r>
            <w:r>
              <w:rPr>
                <w:rFonts w:cs="Calibri" w:asciiTheme="minorEastAsia" w:hAnsiTheme="minorEastAsia"/>
                <w:color w:val="000000"/>
                <w:sz w:val="22"/>
              </w:rPr>
              <w:t>本项</w:t>
            </w:r>
            <w:r>
              <w:rPr>
                <w:rFonts w:hint="eastAsia" w:cs="Calibri" w:asciiTheme="minorEastAsia" w:hAnsiTheme="minorEastAsia"/>
                <w:color w:val="000000"/>
                <w:sz w:val="22"/>
              </w:rPr>
              <w:t>不</w:t>
            </w:r>
            <w:r>
              <w:rPr>
                <w:rFonts w:cs="Calibri" w:asciiTheme="minorEastAsia" w:hAnsiTheme="minorEastAsia"/>
                <w:color w:val="000000"/>
                <w:sz w:val="22"/>
              </w:rPr>
              <w:t>重复得分。</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花堆摆放</w:t>
            </w:r>
            <w:r>
              <w:rPr>
                <w:rFonts w:cs="Calibri" w:asciiTheme="minorEastAsia" w:hAnsiTheme="minorEastAsia"/>
                <w:color w:val="000000"/>
                <w:sz w:val="22"/>
              </w:rPr>
              <w:t>人员的作业安排和进场计划</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cs="Calibri" w:asciiTheme="minorEastAsia" w:hAnsiTheme="minorEastAsia"/>
                <w:color w:val="000000"/>
                <w:sz w:val="22"/>
              </w:rPr>
            </w:pPr>
            <w:r>
              <w:rPr>
                <w:rFonts w:hint="eastAsia" w:cs="Calibri" w:asciiTheme="minorEastAsia" w:hAnsiTheme="minorEastAsia"/>
                <w:color w:val="000000"/>
                <w:sz w:val="22"/>
              </w:rPr>
              <w:t>花卉品种在要求的基础上每增加3种加1分，最高2分，花卉数量在要求的基础上每增加3种加1分，最高2分。</w:t>
            </w:r>
            <w:r>
              <w:rPr>
                <w:rFonts w:cs="Calibri" w:asciiTheme="minorEastAsia" w:hAnsiTheme="minorEastAsia"/>
                <w:color w:val="000000"/>
                <w:sz w:val="22"/>
              </w:rPr>
              <w:t>本项</w:t>
            </w:r>
            <w:r>
              <w:rPr>
                <w:rFonts w:hint="eastAsia" w:cs="Calibri" w:asciiTheme="minorEastAsia" w:hAnsiTheme="minorEastAsia"/>
                <w:color w:val="000000"/>
                <w:sz w:val="22"/>
              </w:rPr>
              <w:t>最高得4分</w:t>
            </w:r>
            <w:r>
              <w:rPr>
                <w:rFonts w:cs="Calibri" w:asciiTheme="minorEastAsia" w:hAnsiTheme="minorEastAsia"/>
                <w:color w:val="000000"/>
                <w:sz w:val="22"/>
              </w:rPr>
              <w:t>。</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hint="eastAsia" w:cs="Calibri" w:asciiTheme="minorEastAsia" w:hAnsiTheme="minorEastAsia"/>
                <w:color w:val="000000"/>
                <w:sz w:val="22"/>
              </w:rPr>
              <w:t>花堆摆放、安全等相关管理方案</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Cs w:val="21"/>
              </w:rPr>
            </w:pPr>
            <w:r>
              <w:rPr>
                <w:rFonts w:cs="Calibri" w:asciiTheme="minorEastAsia" w:hAnsiTheme="minorEastAsia"/>
                <w:color w:val="000000"/>
                <w:sz w:val="22"/>
              </w:rPr>
              <w:t>对本项目的实施意见及重点</w:t>
            </w:r>
            <w:r>
              <w:rPr>
                <w:rFonts w:hint="eastAsia" w:cs="Calibri" w:asciiTheme="minorEastAsia" w:hAnsiTheme="minorEastAsia"/>
                <w:color w:val="000000"/>
                <w:sz w:val="22"/>
              </w:rPr>
              <w:t>、</w:t>
            </w:r>
            <w:r>
              <w:rPr>
                <w:rFonts w:cs="Calibri" w:asciiTheme="minorEastAsia" w:hAnsiTheme="minorEastAsia"/>
                <w:color w:val="000000"/>
                <w:sz w:val="22"/>
              </w:rPr>
              <w:t>难点控制</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widowControl/>
              <w:snapToGrid w:val="0"/>
              <w:spacing w:line="360" w:lineRule="exact"/>
              <w:rPr>
                <w:rFonts w:ascii="宋体" w:hAnsi="宋体"/>
                <w:color w:val="000000"/>
                <w:szCs w:val="21"/>
              </w:rPr>
            </w:pPr>
            <w:r>
              <w:rPr>
                <w:rFonts w:hint="eastAsia" w:cs="Calibri" w:asciiTheme="minorEastAsia" w:hAnsiTheme="minorEastAsia"/>
                <w:color w:val="000000"/>
                <w:sz w:val="22"/>
              </w:rPr>
              <w:t>投标人在合同履行过程中为招标人提供的设计服务从成果质量、对后期的指导等方面作出书面承诺，依据服务承诺的优劣进行评分，最高4分</w:t>
            </w:r>
          </w:p>
        </w:tc>
        <w:tc>
          <w:tcPr>
            <w:tcW w:w="2410" w:type="dxa"/>
            <w:vAlign w:val="center"/>
          </w:tcPr>
          <w:p>
            <w:pPr>
              <w:widowControl/>
              <w:snapToGrid w:val="0"/>
              <w:spacing w:line="360" w:lineRule="exact"/>
              <w:jc w:val="center"/>
              <w:rPr>
                <w:rFonts w:ascii="宋体" w:hAnsi="宋体"/>
                <w:color w:val="000000"/>
                <w:szCs w:val="21"/>
              </w:rPr>
            </w:pPr>
            <w:r>
              <w:rPr>
                <w:rFonts w:hint="eastAsia" w:ascii="宋体" w:hAnsi="宋体" w:cs="宋体"/>
                <w:kern w:val="0"/>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196" w:type="dxa"/>
            <w:vAlign w:val="center"/>
          </w:tcPr>
          <w:p>
            <w:pPr>
              <w:spacing w:line="360" w:lineRule="auto"/>
              <w:rPr>
                <w:rFonts w:cs="Calibri" w:asciiTheme="minorEastAsia" w:hAnsiTheme="minorEastAsia"/>
                <w:color w:val="000000"/>
                <w:sz w:val="22"/>
              </w:rPr>
            </w:pPr>
            <w:r>
              <w:rPr>
                <w:rFonts w:hint="eastAsia" w:cs="Calibri" w:asciiTheme="minorEastAsia" w:hAnsiTheme="minorEastAsia"/>
                <w:color w:val="000000"/>
                <w:sz w:val="22"/>
              </w:rPr>
              <w:t>（1）拟投入项目负责人具备园林工程师证书或园艺师的得2分；具备园林助理工程师证书得0.5分（最高</w:t>
            </w:r>
            <w:r>
              <w:rPr>
                <w:rFonts w:cs="Calibri" w:asciiTheme="minorEastAsia" w:hAnsiTheme="minorEastAsia"/>
                <w:color w:val="000000"/>
                <w:sz w:val="22"/>
              </w:rPr>
              <w:t>2</w:t>
            </w:r>
            <w:r>
              <w:rPr>
                <w:rFonts w:hint="eastAsia" w:cs="Calibri" w:asciiTheme="minorEastAsia" w:hAnsiTheme="minorEastAsia"/>
                <w:color w:val="000000"/>
                <w:sz w:val="22"/>
              </w:rPr>
              <w:t>分）</w:t>
            </w:r>
          </w:p>
          <w:p>
            <w:pPr>
              <w:spacing w:line="360" w:lineRule="auto"/>
              <w:rPr>
                <w:rFonts w:cs="Calibri" w:asciiTheme="minorEastAsia" w:hAnsiTheme="minorEastAsia"/>
                <w:color w:val="000000"/>
                <w:sz w:val="22"/>
              </w:rPr>
            </w:pPr>
            <w:r>
              <w:rPr>
                <w:rFonts w:hint="eastAsia" w:cs="Calibri" w:asciiTheme="minorEastAsia" w:hAnsiTheme="minorEastAsia"/>
                <w:color w:val="000000"/>
                <w:sz w:val="22"/>
              </w:rPr>
              <w:t>（2）拟投入盆花摆放管理人员具备园林技师证书得1分；具备园林高级工证书得0.5分（最高2分）</w:t>
            </w:r>
          </w:p>
        </w:tc>
        <w:tc>
          <w:tcPr>
            <w:tcW w:w="2410" w:type="dxa"/>
            <w:vAlign w:val="center"/>
          </w:tcPr>
          <w:p>
            <w:pPr>
              <w:widowControl/>
              <w:snapToGrid w:val="0"/>
              <w:spacing w:line="360" w:lineRule="exact"/>
              <w:jc w:val="center"/>
              <w:rPr>
                <w:rFonts w:ascii="宋体" w:hAnsi="宋体" w:cs="宋体"/>
                <w:kern w:val="0"/>
                <w:szCs w:val="21"/>
              </w:rPr>
            </w:pPr>
            <w:r>
              <w:rPr>
                <w:rFonts w:hint="eastAsia" w:ascii="宋体" w:hAnsi="宋体" w:cs="宋体"/>
                <w:kern w:val="0"/>
                <w:szCs w:val="21"/>
              </w:rPr>
              <w:t>0-4</w:t>
            </w:r>
          </w:p>
        </w:tc>
      </w:tr>
    </w:tbl>
    <w:p>
      <w:pPr>
        <w:pStyle w:val="21"/>
        <w:spacing w:line="360" w:lineRule="exact"/>
        <w:rPr>
          <w:rFonts w:hAnsi="宋体" w:cs="Calibri"/>
          <w:b/>
          <w:sz w:val="22"/>
          <w:szCs w:val="22"/>
        </w:rPr>
      </w:pPr>
      <w:r>
        <w:rPr>
          <w:rFonts w:hAnsi="宋体" w:cs="Calibri"/>
          <w:b/>
          <w:sz w:val="22"/>
          <w:szCs w:val="22"/>
        </w:rPr>
        <w:t>3.4推荐中标候选人</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3.4.3当有效投标文件只有一名时，则由评标委员会确定是否推荐为中标候选人。</w:t>
      </w:r>
    </w:p>
    <w:p>
      <w:pPr>
        <w:pStyle w:val="21"/>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1"/>
        <w:adjustRightInd w:val="0"/>
        <w:snapToGrid w:val="0"/>
        <w:spacing w:line="360" w:lineRule="exact"/>
        <w:ind w:firstLine="442" w:firstLineChars="200"/>
        <w:rPr>
          <w:rFonts w:hAnsi="宋体" w:cs="Calibri"/>
          <w:b/>
          <w:sz w:val="22"/>
          <w:szCs w:val="22"/>
        </w:rPr>
      </w:pPr>
      <w:r>
        <w:rPr>
          <w:rFonts w:hint="eastAsia" w:hAnsi="宋体" w:cs="Calibri"/>
          <w:b/>
          <w:sz w:val="22"/>
          <w:szCs w:val="22"/>
        </w:rPr>
        <w:t>4.4</w:t>
      </w:r>
      <w:r>
        <w:rPr>
          <w:rFonts w:hint="eastAsia" w:cs="Calibri" w:asciiTheme="minorEastAsia" w:hAnsiTheme="minorEastAsia" w:eastAsiaTheme="minorEastAsia"/>
          <w:b/>
          <w:color w:val="000000"/>
          <w:sz w:val="22"/>
        </w:rPr>
        <w:t>招标人对评标、定标结果不负责解释。</w:t>
      </w:r>
    </w:p>
    <w:bookmarkEnd w:id="114"/>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15" w:name="_Toc448002988"/>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投标文件格式</w:t>
      </w:r>
      <w:bookmarkEnd w:id="115"/>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一、</w:t>
      </w:r>
      <w:r>
        <w:rPr>
          <w:rFonts w:cs="Calibri" w:asciiTheme="minorEastAsia" w:hAnsiTheme="minorEastAsia"/>
          <w:color w:val="000000"/>
          <w:sz w:val="22"/>
        </w:rPr>
        <w:t>投标函；</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二、</w:t>
      </w:r>
      <w:r>
        <w:rPr>
          <w:rFonts w:cs="Calibri" w:asciiTheme="minorEastAsia" w:hAnsiTheme="minorEastAsia"/>
          <w:color w:val="000000"/>
          <w:sz w:val="22"/>
        </w:rPr>
        <w:t>投标报价表；</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三、</w:t>
      </w:r>
      <w:r>
        <w:rPr>
          <w:rFonts w:cs="Calibri" w:asciiTheme="minorEastAsia" w:hAnsi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四、</w:t>
      </w:r>
      <w:r>
        <w:rPr>
          <w:rFonts w:cs="Calibri" w:asciiTheme="minorEastAsia" w:hAnsiTheme="minorEastAsia"/>
          <w:color w:val="000000"/>
          <w:sz w:val="22"/>
        </w:rPr>
        <w:t>授权委托书；</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五、</w:t>
      </w:r>
      <w:r>
        <w:rPr>
          <w:rFonts w:cs="Calibri" w:asciiTheme="minorEastAsia" w:hAnsi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（1）投标人一般情况</w:t>
      </w:r>
      <w:r>
        <w:rPr>
          <w:rFonts w:hint="eastAsia" w:cs="Calibri" w:asciiTheme="minorEastAsia" w:hAnsiTheme="minorEastAsia"/>
          <w:color w:val="000000"/>
          <w:sz w:val="22"/>
        </w:rPr>
        <w:t>及</w:t>
      </w:r>
      <w:r>
        <w:rPr>
          <w:rFonts w:cs="Calibri" w:asciiTheme="minorEastAsia" w:hAnsiTheme="minorEastAsia"/>
          <w:color w:val="000000"/>
          <w:sz w:val="22"/>
        </w:rPr>
        <w:t>有关证明投标人法律地位的文件（包括营业执照</w:t>
      </w:r>
      <w:r>
        <w:rPr>
          <w:rFonts w:hint="eastAsia" w:cs="Calibri" w:asciiTheme="minorEastAsia" w:hAnsiTheme="minorEastAsia"/>
          <w:color w:val="000000"/>
          <w:sz w:val="22"/>
        </w:rPr>
        <w:t>、</w:t>
      </w:r>
      <w:r>
        <w:rPr>
          <w:rFonts w:hint="eastAsia" w:ascii="宋体" w:hAnsi="宋体" w:cs="Calibri"/>
          <w:sz w:val="22"/>
        </w:rPr>
        <w:t>税务登记证、</w:t>
      </w:r>
      <w:r>
        <w:rPr>
          <w:rFonts w:cs="Calibri" w:asciiTheme="minorEastAsia" w:hAnsiTheme="minorEastAsia"/>
          <w:color w:val="000000"/>
          <w:sz w:val="22"/>
        </w:rPr>
        <w:t>资质</w:t>
      </w:r>
      <w:r>
        <w:rPr>
          <w:rFonts w:hint="eastAsia" w:cs="Calibri" w:asciiTheme="minorEastAsia" w:hAnsiTheme="minorEastAsia"/>
          <w:color w:val="000000"/>
          <w:sz w:val="22"/>
        </w:rPr>
        <w:t>证书</w:t>
      </w:r>
      <w:r>
        <w:rPr>
          <w:rFonts w:cs="Calibri" w:asciiTheme="minorEastAsia" w:hAnsiTheme="minorEastAsia"/>
          <w:color w:val="000000"/>
          <w:sz w:val="22"/>
        </w:rPr>
        <w:t>等），说明投标人的注册地点和主要经营范围；</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（2）信用中国网站www.creditchina.gov.cn 、中国裁判文书网http://wenshu.court.gov.cn查询结果证材料。</w:t>
      </w:r>
    </w:p>
    <w:p>
      <w:pPr>
        <w:adjustRightInd w:val="0"/>
        <w:snapToGrid w:val="0"/>
        <w:spacing w:line="40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（3）有关证明投标人的企业信誉及获得各种奖励等资料；</w:t>
      </w:r>
    </w:p>
    <w:p>
      <w:pPr>
        <w:adjustRightInd w:val="0"/>
        <w:snapToGrid w:val="0"/>
        <w:spacing w:line="40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（4）投标人经济实力：包括企业注册资金、财务报告与报表中反映的财务状况</w:t>
      </w:r>
      <w:r>
        <w:rPr>
          <w:rFonts w:hint="eastAsia" w:cs="Calibri" w:asciiTheme="minorEastAsia" w:hAnsiTheme="minorEastAsia"/>
          <w:color w:val="000000"/>
          <w:sz w:val="22"/>
        </w:rPr>
        <w:t>；</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w:t>
      </w:r>
      <w:r>
        <w:rPr>
          <w:rFonts w:cs="Calibri" w:asciiTheme="minorEastAsia" w:hAnsiTheme="minorEastAsia"/>
          <w:color w:val="000000"/>
          <w:sz w:val="22"/>
        </w:rPr>
        <w:t>5</w:t>
      </w:r>
      <w:r>
        <w:rPr>
          <w:rFonts w:hint="eastAsia" w:cs="Calibri" w:asciiTheme="minorEastAsia" w:hAnsiTheme="minorEastAsia"/>
          <w:color w:val="000000"/>
          <w:sz w:val="22"/>
        </w:rPr>
        <w:t>）</w:t>
      </w:r>
      <w:r>
        <w:rPr>
          <w:rFonts w:cs="Calibri" w:asciiTheme="minorEastAsia" w:hAnsiTheme="minorEastAsia"/>
          <w:color w:val="000000"/>
          <w:sz w:val="22"/>
        </w:rPr>
        <w:t>近三年完成类似项目业绩情况</w:t>
      </w:r>
      <w:r>
        <w:rPr>
          <w:rFonts w:hint="eastAsia" w:cs="Calibri" w:asciiTheme="minorEastAsia" w:hAnsiTheme="minorEastAsia"/>
          <w:color w:val="000000"/>
          <w:sz w:val="22"/>
        </w:rPr>
        <w:t>；</w:t>
      </w:r>
    </w:p>
    <w:p>
      <w:pPr>
        <w:adjustRightInd w:val="0"/>
        <w:snapToGrid w:val="0"/>
        <w:spacing w:line="40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w:t>
      </w:r>
      <w:r>
        <w:rPr>
          <w:rFonts w:cs="Calibri" w:asciiTheme="minorEastAsia" w:hAnsiTheme="minorEastAsia"/>
          <w:color w:val="000000"/>
          <w:sz w:val="22"/>
        </w:rPr>
        <w:t>6</w:t>
      </w:r>
      <w:r>
        <w:rPr>
          <w:rFonts w:hint="eastAsia" w:cs="Calibri" w:asciiTheme="minorEastAsia" w:hAnsiTheme="minorEastAsia"/>
          <w:color w:val="000000"/>
          <w:sz w:val="22"/>
        </w:rPr>
        <w:t>）招标文件投标人资格要求中提供的相关材料。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（1）本项目概况；</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（3）</w:t>
      </w:r>
      <w:r>
        <w:rPr>
          <w:rFonts w:hint="eastAsia" w:cs="Calibri" w:asciiTheme="minorEastAsia" w:hAnsiTheme="minorEastAsia"/>
          <w:color w:val="000000"/>
          <w:sz w:val="22"/>
        </w:rPr>
        <w:t>现场机构、人力、物资设备配置</w:t>
      </w:r>
      <w:r>
        <w:rPr>
          <w:rFonts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（5）</w:t>
      </w:r>
      <w:r>
        <w:rPr>
          <w:rFonts w:hint="eastAsia" w:cs="Calibri" w:asciiTheme="minorEastAsia" w:hAnsiTheme="minorEastAsia"/>
          <w:color w:val="000000"/>
          <w:sz w:val="22"/>
        </w:rPr>
        <w:t>运行、安全、服务等相关管理方案</w:t>
      </w:r>
      <w:r>
        <w:rPr>
          <w:rFonts w:cs="Calibri" w:asciiTheme="minorEastAsia" w:hAnsiTheme="minorEastAsia"/>
          <w:color w:val="000000"/>
          <w:sz w:val="22"/>
        </w:rPr>
        <w:t>；</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（6）对本项目的实施意见及重点</w:t>
      </w:r>
      <w:r>
        <w:rPr>
          <w:rFonts w:hint="eastAsia" w:cs="Calibri" w:asciiTheme="minorEastAsia" w:hAnsiTheme="minorEastAsia"/>
          <w:color w:val="000000"/>
          <w:sz w:val="22"/>
        </w:rPr>
        <w:t>、</w:t>
      </w:r>
      <w:r>
        <w:rPr>
          <w:rFonts w:cs="Calibri" w:asciiTheme="minorEastAsia" w:hAnsiTheme="minorEastAsia"/>
          <w:color w:val="000000"/>
          <w:sz w:val="22"/>
        </w:rPr>
        <w:t>难点控制；</w:t>
      </w:r>
    </w:p>
    <w:p>
      <w:pPr>
        <w:adjustRightInd w:val="0"/>
        <w:snapToGrid w:val="0"/>
        <w:spacing w:line="360" w:lineRule="exact"/>
        <w:ind w:firstLine="440" w:firstLineChars="200"/>
        <w:rPr>
          <w:rFonts w:cs="Calibri" w:asciiTheme="minorEastAsia" w:hAnsiTheme="minorEastAsia"/>
          <w:color w:val="000000"/>
          <w:sz w:val="22"/>
        </w:rPr>
      </w:pPr>
      <w:r>
        <w:rPr>
          <w:rFonts w:hint="eastAsia" w:cs="Calibri" w:asciiTheme="minorEastAsia" w:hAnsi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w:t>
      </w:r>
      <w:r>
        <w:rPr>
          <w:rFonts w:hint="eastAsia" w:cs="Calibri" w:asciiTheme="minorEastAsia" w:hAnsiTheme="minorEastAsia"/>
          <w:color w:val="000000"/>
          <w:sz w:val="22"/>
        </w:rPr>
        <w:t>8</w:t>
      </w:r>
      <w:r>
        <w:rPr>
          <w:rFonts w:cs="Calibri" w:asciiTheme="minorEastAsia" w:hAnsi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color w:val="000000"/>
          <w:sz w:val="22"/>
        </w:rPr>
      </w:pPr>
      <w:r>
        <w:rPr>
          <w:rFonts w:cs="Calibri" w:asciiTheme="minorEastAsia" w:hAnsiTheme="minorEastAsia"/>
          <w:color w:val="000000"/>
          <w:sz w:val="22"/>
        </w:rPr>
        <w:t>（</w:t>
      </w:r>
      <w:r>
        <w:rPr>
          <w:rFonts w:hint="eastAsia" w:cs="Calibri" w:asciiTheme="minorEastAsia" w:hAnsiTheme="minorEastAsia"/>
          <w:color w:val="000000"/>
          <w:sz w:val="22"/>
        </w:rPr>
        <w:t>9</w:t>
      </w:r>
      <w:r>
        <w:rPr>
          <w:rFonts w:cs="Calibri" w:asciiTheme="minorEastAsia" w:hAnsiTheme="minorEastAsia"/>
          <w:color w:val="000000"/>
          <w:sz w:val="22"/>
        </w:rPr>
        <w:t>）投入本项目服务的仪器、仪表、设备及交通工具汇总表</w:t>
      </w:r>
      <w:r>
        <w:rPr>
          <w:rFonts w:hint="eastAsia" w:cs="Calibri" w:asciiTheme="minorEastAsia" w:hAnsiTheme="minorEastAsia"/>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color w:val="000000"/>
          <w:sz w:val="22"/>
        </w:rPr>
        <w:t>七、</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cs="Arial" w:asciiTheme="minorEastAsia" w:hAnsi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16" w:name="_Toc171421958"/>
      <w:r>
        <w:rPr>
          <w:rFonts w:cs="Calibri"/>
          <w:color w:val="000000"/>
        </w:rPr>
        <w:t>封面</w:t>
      </w:r>
      <w:bookmarkEnd w:id="116"/>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b/>
          <w:bCs/>
          <w:sz w:val="24"/>
          <w:szCs w:val="24"/>
        </w:rPr>
      </w:pPr>
      <w:r>
        <w:rPr>
          <w:rFonts w:hint="eastAsia" w:ascii="宋体" w:hAnsi="宋体"/>
          <w:sz w:val="24"/>
          <w:szCs w:val="24"/>
        </w:rPr>
        <w:t>致：杭州萧山国际机场有限公司</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1、根据已收到的</w:t>
      </w:r>
      <w:r>
        <w:rPr>
          <w:rFonts w:hint="eastAsia" w:cs="Calibri" w:asciiTheme="minorEastAsia" w:hAnsiTheme="minorEastAsia"/>
          <w:sz w:val="24"/>
          <w:u w:val="single"/>
        </w:rPr>
        <w:t xml:space="preserve">                           </w:t>
      </w:r>
      <w:r>
        <w:rPr>
          <w:rFonts w:hint="eastAsia" w:cs="Calibri" w:asciiTheme="minorEastAsia" w:hAnsiTheme="minorEastAsia"/>
          <w:sz w:val="24"/>
        </w:rPr>
        <w:t>招标文件，遵照《中华人民共和国招标投标法》等有关规定，经考察现场和研究上述招标文件后，我方愿以投标总价为人民币 (大写)：</w:t>
      </w:r>
      <w:r>
        <w:rPr>
          <w:rFonts w:hint="eastAsia" w:cs="Calibri" w:asciiTheme="minorEastAsia" w:hAnsiTheme="minorEastAsia"/>
          <w:sz w:val="24"/>
          <w:u w:val="single"/>
        </w:rPr>
        <w:t xml:space="preserve">               </w:t>
      </w:r>
      <w:r>
        <w:rPr>
          <w:rFonts w:hint="eastAsia" w:cs="Calibri" w:asciiTheme="minorEastAsia" w:hAnsiTheme="minorEastAsia"/>
          <w:sz w:val="24"/>
        </w:rPr>
        <w:t>元（RMB</w:t>
      </w:r>
      <w:r>
        <w:rPr>
          <w:rFonts w:hint="eastAsia" w:cs="Calibri" w:asciiTheme="minorEastAsia" w:hAnsiTheme="minorEastAsia"/>
          <w:sz w:val="24"/>
          <w:u w:val="single"/>
        </w:rPr>
        <w:t xml:space="preserve">         </w:t>
      </w:r>
      <w:r>
        <w:rPr>
          <w:rFonts w:hint="eastAsia" w:cs="Calibri" w:asciiTheme="minorEastAsia" w:hAnsiTheme="minorEastAsia"/>
          <w:sz w:val="24"/>
        </w:rPr>
        <w:t>元）报价并按上述招标文件要求承揽上述项目</w:t>
      </w:r>
      <w:r>
        <w:rPr>
          <w:rFonts w:hint="eastAsia" w:cs="Calibri" w:asciiTheme="minorEastAsia" w:hAnsiTheme="minorEastAsia"/>
          <w:bCs/>
          <w:sz w:val="24"/>
        </w:rPr>
        <w:t>所有等工作</w:t>
      </w:r>
      <w:r>
        <w:rPr>
          <w:rFonts w:hint="eastAsia" w:cs="Calibri" w:asciiTheme="minorEastAsia" w:hAnsiTheme="minorEastAsia"/>
          <w:sz w:val="24"/>
          <w:szCs w:val="21"/>
        </w:rPr>
        <w:t>。</w:t>
      </w:r>
      <w:r>
        <w:rPr>
          <w:rFonts w:hint="eastAsia" w:cs="Calibri" w:asciiTheme="minorEastAsia" w:hAnsiTheme="minorEastAsia"/>
          <w:sz w:val="24"/>
        </w:rPr>
        <w:t xml:space="preserve"> </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2. 我方承诺：</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（1）我方不是失信被执行人；</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（2）我方在规定期限内无行贿犯罪记录；</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（3）我方具有一般纳税人资格，可提供增值税专用发票。</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3．如我方中标，我方承诺：</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(1)在收到中标通知书后，在中标通知书规定的期限内与你方签订合同；</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(2)在签订合同时不向你方提出附加条件；</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(3)按照招标文件要求提交履约保证金；</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(4)在合同约定的期限内完成合同规定的全部义务。</w:t>
      </w:r>
    </w:p>
    <w:p>
      <w:pPr>
        <w:snapToGrid w:val="0"/>
        <w:spacing w:line="360" w:lineRule="auto"/>
        <w:rPr>
          <w:rFonts w:cs="Calibri" w:asciiTheme="minorEastAsia" w:hAnsiTheme="minorEastAsia"/>
          <w:sz w:val="24"/>
          <w:szCs w:val="20"/>
        </w:rPr>
      </w:pPr>
      <w:r>
        <w:rPr>
          <w:rFonts w:hint="eastAsia" w:cs="Calibri" w:asciiTheme="minorEastAsia" w:hAnsiTheme="minorEastAsia"/>
          <w:sz w:val="24"/>
        </w:rPr>
        <w:t>　　 4、我方同意所递交的投标文件在“前附表”规定的投标有效期内有效，在此期间内我方的投标有可能中标，我方将受此约束。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sz w:val="24"/>
          <w:szCs w:val="20"/>
        </w:rPr>
      </w:pPr>
      <w:r>
        <w:rPr>
          <w:rFonts w:hint="eastAsia" w:cs="Calibri" w:asciiTheme="minorEastAsia" w:hAnsiTheme="minorEastAsia"/>
          <w:sz w:val="24"/>
        </w:rPr>
        <w:t xml:space="preserve">     5、除非另外达成协议并生效，你方的中标通知书和本投标文件将构成约束我们双方的合同。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600" w:firstLineChars="250"/>
        <w:rPr>
          <w:rFonts w:cs="Calibri" w:asciiTheme="minorEastAsia" w:hAnsiTheme="minorEastAsia"/>
          <w:sz w:val="24"/>
        </w:rPr>
      </w:pPr>
      <w:r>
        <w:rPr>
          <w:rFonts w:hint="eastAsia" w:cs="Calibri" w:asciiTheme="minorEastAsia" w:hAnsiTheme="minorEastAsia"/>
          <w:sz w:val="24"/>
        </w:rPr>
        <w:t>7、我方同意按照你方可能提出的要求，提供有关的任何其它数字或资料，并对贵方可能不接受最低报价及任何报价表示理解。</w:t>
      </w:r>
    </w:p>
    <w:p>
      <w:pPr>
        <w:snapToGrid w:val="0"/>
        <w:spacing w:line="440" w:lineRule="exact"/>
        <w:rPr>
          <w:rFonts w:cs="Calibri" w:asciiTheme="minorEastAsia" w:hAnsiTheme="minorEastAsia"/>
          <w:color w:val="000000"/>
          <w:szCs w:val="21"/>
        </w:rPr>
      </w:pPr>
    </w:p>
    <w:p>
      <w:pPr>
        <w:snapToGrid w:val="0"/>
        <w:spacing w:line="440" w:lineRule="exact"/>
        <w:rPr>
          <w:rFonts w:cs="Calibri" w:asciiTheme="minorEastAsia" w:hAnsiTheme="minorEastAsia"/>
          <w:color w:val="000000"/>
          <w:szCs w:val="21"/>
        </w:rPr>
      </w:pPr>
    </w:p>
    <w:p>
      <w:pPr>
        <w:snapToGrid w:val="0"/>
        <w:spacing w:line="440" w:lineRule="exact"/>
        <w:rPr>
          <w:rFonts w:cs="Calibri" w:asciiTheme="minorEastAsia" w:hAnsiTheme="minorEastAsia"/>
          <w:color w:val="000000"/>
          <w:szCs w:val="21"/>
        </w:rPr>
      </w:pPr>
    </w:p>
    <w:p>
      <w:pPr>
        <w:snapToGrid w:val="0"/>
        <w:spacing w:line="440" w:lineRule="exact"/>
        <w:ind w:firstLine="3600" w:firstLineChars="1500"/>
        <w:rPr>
          <w:rFonts w:cs="Calibri" w:asciiTheme="minorEastAsia" w:hAnsiTheme="minorEastAsia"/>
          <w:color w:val="000000"/>
          <w:sz w:val="24"/>
        </w:rPr>
      </w:pPr>
      <w:r>
        <w:rPr>
          <w:rFonts w:hint="eastAsia" w:cs="Calibri" w:asciiTheme="minorEastAsia" w:hAnsiTheme="minorEastAsia"/>
          <w:color w:val="000000"/>
          <w:sz w:val="24"/>
        </w:rPr>
        <w:t>投标人：（盖单位章）</w:t>
      </w:r>
    </w:p>
    <w:p>
      <w:pPr>
        <w:snapToGrid w:val="0"/>
        <w:spacing w:line="440" w:lineRule="exact"/>
        <w:ind w:firstLine="3600" w:firstLineChars="1500"/>
        <w:rPr>
          <w:rFonts w:cs="Calibri" w:asciiTheme="minorEastAsia" w:hAnsiTheme="minorEastAsia"/>
          <w:color w:val="000000"/>
          <w:sz w:val="24"/>
        </w:rPr>
      </w:pPr>
      <w:r>
        <w:rPr>
          <w:rFonts w:hint="eastAsia" w:cs="Calibri" w:asciiTheme="minorEastAsia" w:hAnsi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color w:val="000000"/>
          <w:sz w:val="24"/>
        </w:rPr>
      </w:pPr>
      <w:r>
        <w:rPr>
          <w:rFonts w:hint="eastAsia" w:cs="Calibri" w:asciiTheme="minorEastAsia" w:hAnsiTheme="minorEastAsia"/>
          <w:color w:val="000000"/>
          <w:sz w:val="24"/>
        </w:rPr>
        <w:t>地    址：</w:t>
      </w:r>
    </w:p>
    <w:p>
      <w:pPr>
        <w:snapToGrid w:val="0"/>
        <w:spacing w:line="440" w:lineRule="exact"/>
        <w:ind w:firstLine="3600" w:firstLineChars="1500"/>
        <w:rPr>
          <w:rFonts w:cs="Calibri" w:asciiTheme="minorEastAsia" w:hAnsiTheme="minorEastAsia"/>
          <w:color w:val="000000"/>
          <w:sz w:val="24"/>
        </w:rPr>
      </w:pPr>
      <w:r>
        <w:rPr>
          <w:rFonts w:hint="eastAsia" w:cs="Calibri" w:asciiTheme="minorEastAsia" w:hAnsiTheme="minorEastAsia"/>
          <w:color w:val="000000"/>
          <w:sz w:val="24"/>
        </w:rPr>
        <w:t>邮政编码：</w:t>
      </w:r>
    </w:p>
    <w:p>
      <w:pPr>
        <w:snapToGrid w:val="0"/>
        <w:spacing w:line="440" w:lineRule="exact"/>
        <w:ind w:firstLine="3600" w:firstLineChars="1500"/>
        <w:rPr>
          <w:rFonts w:cs="Calibri" w:asciiTheme="minorEastAsia" w:hAnsiTheme="minorEastAsia"/>
          <w:color w:val="000000"/>
          <w:sz w:val="24"/>
        </w:rPr>
      </w:pPr>
      <w:r>
        <w:rPr>
          <w:rFonts w:hint="eastAsia" w:cs="Calibri" w:asciiTheme="minorEastAsia" w:hAnsiTheme="minorEastAsia"/>
          <w:color w:val="000000"/>
          <w:sz w:val="24"/>
        </w:rPr>
        <w:t>电    话：</w:t>
      </w:r>
    </w:p>
    <w:p>
      <w:pPr>
        <w:snapToGrid w:val="0"/>
        <w:spacing w:line="440" w:lineRule="exact"/>
        <w:ind w:firstLine="3600" w:firstLineChars="1500"/>
        <w:rPr>
          <w:rFonts w:cs="Calibri" w:asciiTheme="minorEastAsia" w:hAnsiTheme="minorEastAsia"/>
          <w:color w:val="000000"/>
          <w:sz w:val="24"/>
        </w:rPr>
      </w:pPr>
      <w:r>
        <w:rPr>
          <w:rFonts w:hint="eastAsia" w:cs="Calibri" w:asciiTheme="minorEastAsia" w:hAnsiTheme="minorEastAsia"/>
          <w:color w:val="000000"/>
          <w:sz w:val="24"/>
        </w:rPr>
        <w:t>传    真：</w:t>
      </w:r>
    </w:p>
    <w:p>
      <w:pPr>
        <w:snapToGrid w:val="0"/>
        <w:spacing w:line="440" w:lineRule="exact"/>
        <w:ind w:firstLine="3600" w:firstLineChars="1500"/>
        <w:rPr>
          <w:rFonts w:cs="Calibri" w:asciiTheme="minorEastAsia" w:hAnsiTheme="minorEastAsia"/>
          <w:color w:val="000000"/>
          <w:sz w:val="24"/>
        </w:rPr>
      </w:pPr>
      <w:r>
        <w:rPr>
          <w:rFonts w:hint="eastAsia" w:cs="Calibri" w:asciiTheme="minorEastAsia" w:hAnsiTheme="minorEastAsia"/>
          <w:color w:val="000000"/>
          <w:sz w:val="24"/>
        </w:rPr>
        <w:t>开户银行：</w:t>
      </w:r>
    </w:p>
    <w:p>
      <w:pPr>
        <w:snapToGrid w:val="0"/>
        <w:spacing w:line="440" w:lineRule="exact"/>
        <w:ind w:firstLine="3600" w:firstLineChars="1500"/>
        <w:rPr>
          <w:rFonts w:cs="Calibri" w:asciiTheme="minorEastAsia" w:hAnsiTheme="minorEastAsia"/>
          <w:color w:val="000000"/>
          <w:sz w:val="24"/>
        </w:rPr>
      </w:pPr>
      <w:r>
        <w:rPr>
          <w:rFonts w:hint="eastAsia" w:cs="Calibri" w:asciiTheme="minorEastAsia" w:hAnsiTheme="minorEastAsia"/>
          <w:color w:val="000000"/>
          <w:sz w:val="24"/>
        </w:rPr>
        <w:t>账    号：</w:t>
      </w:r>
    </w:p>
    <w:p>
      <w:pPr>
        <w:snapToGrid w:val="0"/>
        <w:spacing w:line="440" w:lineRule="exact"/>
        <w:ind w:firstLine="3600" w:firstLineChars="1500"/>
        <w:rPr>
          <w:rFonts w:eastAsia="黑体" w:cs="Calibri"/>
          <w:color w:val="000000"/>
          <w:sz w:val="32"/>
          <w:szCs w:val="32"/>
        </w:rPr>
      </w:pPr>
      <w:r>
        <w:rPr>
          <w:rFonts w:hint="eastAsia" w:cs="Calibri" w:asciiTheme="minorEastAsia" w:hAnsiTheme="minorEastAsia"/>
          <w:color w:val="000000"/>
          <w:sz w:val="24"/>
        </w:rPr>
        <w:t>日    期：    年     月     日</w:t>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16" w:firstLineChars="2960"/>
        <w:rPr>
          <w:rFonts w:cs="Calibri"/>
          <w:b/>
          <w:color w:val="000000"/>
          <w:szCs w:val="21"/>
        </w:rPr>
      </w:pPr>
      <w:r>
        <w:rPr>
          <w:rFonts w:cs="Calibri"/>
          <w:b/>
          <w:color w:val="000000"/>
          <w:szCs w:val="21"/>
        </w:rPr>
        <w:pict>
          <v:shape id="Text Box 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">
            <v:path/>
            <v:fill on="t" color2="#FFFFFF"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">
            <v:path/>
            <v:fill on="t" color2="#FFFFFF"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p>
      <w:pPr>
        <w:jc w:val="right"/>
        <w:rPr>
          <w:rFonts w:cs="Calibri"/>
          <w:bCs/>
          <w:sz w:val="24"/>
        </w:rPr>
      </w:pPr>
      <w:r>
        <w:rPr>
          <w:rFonts w:hint="eastAsia" w:cs="Calibri"/>
          <w:bCs/>
          <w:sz w:val="24"/>
        </w:rPr>
        <w:t>单位：万元</w:t>
      </w:r>
    </w:p>
    <w:tbl>
      <w:tblPr>
        <w:tblStyle w:val="5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206"/>
        <w:gridCol w:w="2911"/>
        <w:gridCol w:w="3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355" w:type="dxa"/>
            <w:vAlign w:val="center"/>
          </w:tcPr>
          <w:p>
            <w:pPr>
              <w:jc w:val="center"/>
              <w:rPr>
                <w:rFonts w:cs="Calibri"/>
                <w:szCs w:val="21"/>
              </w:rPr>
            </w:pPr>
            <w:r>
              <w:rPr>
                <w:rFonts w:cs="Calibri"/>
                <w:szCs w:val="21"/>
              </w:rPr>
              <w:t>序号</w:t>
            </w:r>
          </w:p>
        </w:tc>
        <w:tc>
          <w:tcPr>
            <w:tcW w:w="2206" w:type="dxa"/>
            <w:vAlign w:val="center"/>
          </w:tcPr>
          <w:p>
            <w:pPr>
              <w:jc w:val="center"/>
              <w:rPr>
                <w:rFonts w:cs="Calibri"/>
                <w:szCs w:val="21"/>
              </w:rPr>
            </w:pPr>
            <w:r>
              <w:rPr>
                <w:rFonts w:cs="Calibri"/>
                <w:szCs w:val="21"/>
              </w:rPr>
              <w:t>费用名称</w:t>
            </w:r>
          </w:p>
        </w:tc>
        <w:tc>
          <w:tcPr>
            <w:tcW w:w="2911" w:type="dxa"/>
            <w:tcBorders>
              <w:right w:val="single" w:color="auto" w:sz="4" w:space="0"/>
            </w:tcBorders>
            <w:vAlign w:val="center"/>
          </w:tcPr>
          <w:p>
            <w:pPr>
              <w:jc w:val="center"/>
              <w:rPr>
                <w:rFonts w:cs="Calibri"/>
                <w:szCs w:val="21"/>
              </w:rPr>
            </w:pPr>
            <w:r>
              <w:rPr>
                <w:rFonts w:hint="eastAsia" w:cs="Calibri"/>
                <w:szCs w:val="21"/>
              </w:rPr>
              <w:t>投标报价（不含税）</w:t>
            </w:r>
          </w:p>
        </w:tc>
        <w:tc>
          <w:tcPr>
            <w:tcW w:w="315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355" w:type="dxa"/>
            <w:vAlign w:val="center"/>
          </w:tcPr>
          <w:p>
            <w:pPr>
              <w:jc w:val="center"/>
              <w:rPr>
                <w:rFonts w:cs="Calibri"/>
                <w:b/>
                <w:bCs/>
                <w:szCs w:val="21"/>
              </w:rPr>
            </w:pPr>
            <w:r>
              <w:rPr>
                <w:rFonts w:cs="Calibri"/>
                <w:bCs/>
                <w:szCs w:val="21"/>
              </w:rPr>
              <w:t>1</w:t>
            </w:r>
          </w:p>
        </w:tc>
        <w:tc>
          <w:tcPr>
            <w:tcW w:w="2206" w:type="dxa"/>
            <w:vAlign w:val="center"/>
          </w:tcPr>
          <w:p>
            <w:pPr>
              <w:jc w:val="center"/>
              <w:rPr>
                <w:rFonts w:cs="Calibri"/>
                <w:szCs w:val="21"/>
              </w:rPr>
            </w:pPr>
          </w:p>
        </w:tc>
        <w:tc>
          <w:tcPr>
            <w:tcW w:w="2911" w:type="dxa"/>
            <w:tcBorders>
              <w:right w:val="single" w:color="auto" w:sz="4" w:space="0"/>
            </w:tcBorders>
          </w:tcPr>
          <w:p>
            <w:pPr>
              <w:jc w:val="right"/>
              <w:rPr>
                <w:rFonts w:cs="Calibri"/>
                <w:bCs/>
                <w:szCs w:val="21"/>
              </w:rPr>
            </w:pPr>
          </w:p>
        </w:tc>
        <w:tc>
          <w:tcPr>
            <w:tcW w:w="315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355" w:type="dxa"/>
            <w:vAlign w:val="center"/>
          </w:tcPr>
          <w:p>
            <w:pPr>
              <w:jc w:val="center"/>
              <w:rPr>
                <w:rFonts w:cs="Calibri"/>
                <w:bCs/>
                <w:szCs w:val="21"/>
              </w:rPr>
            </w:pPr>
            <w:r>
              <w:rPr>
                <w:rFonts w:hint="eastAsia" w:cs="Calibri"/>
                <w:bCs/>
                <w:szCs w:val="21"/>
              </w:rPr>
              <w:t>2</w:t>
            </w:r>
          </w:p>
        </w:tc>
        <w:tc>
          <w:tcPr>
            <w:tcW w:w="2206" w:type="dxa"/>
            <w:vAlign w:val="center"/>
          </w:tcPr>
          <w:p>
            <w:pPr>
              <w:jc w:val="center"/>
              <w:rPr>
                <w:rFonts w:cs="Calibri"/>
                <w:color w:val="000000"/>
                <w:szCs w:val="21"/>
              </w:rPr>
            </w:pPr>
          </w:p>
        </w:tc>
        <w:tc>
          <w:tcPr>
            <w:tcW w:w="2911" w:type="dxa"/>
            <w:tcBorders>
              <w:right w:val="single" w:color="auto" w:sz="4" w:space="0"/>
            </w:tcBorders>
          </w:tcPr>
          <w:p>
            <w:pPr>
              <w:jc w:val="right"/>
              <w:rPr>
                <w:rFonts w:cs="Calibri"/>
                <w:bCs/>
                <w:szCs w:val="21"/>
              </w:rPr>
            </w:pPr>
          </w:p>
        </w:tc>
        <w:tc>
          <w:tcPr>
            <w:tcW w:w="315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355" w:type="dxa"/>
            <w:vAlign w:val="center"/>
          </w:tcPr>
          <w:p>
            <w:pPr>
              <w:jc w:val="center"/>
              <w:rPr>
                <w:rFonts w:cs="Calibri"/>
                <w:bCs/>
                <w:szCs w:val="21"/>
              </w:rPr>
            </w:pPr>
            <w:r>
              <w:rPr>
                <w:rFonts w:hint="eastAsia" w:cs="Calibri"/>
                <w:bCs/>
                <w:szCs w:val="21"/>
              </w:rPr>
              <w:t>3</w:t>
            </w:r>
          </w:p>
        </w:tc>
        <w:tc>
          <w:tcPr>
            <w:tcW w:w="2206" w:type="dxa"/>
            <w:vAlign w:val="center"/>
          </w:tcPr>
          <w:p>
            <w:pPr>
              <w:jc w:val="center"/>
              <w:rPr>
                <w:rFonts w:cs="Calibri"/>
                <w:color w:val="000000"/>
                <w:szCs w:val="21"/>
              </w:rPr>
            </w:pPr>
          </w:p>
        </w:tc>
        <w:tc>
          <w:tcPr>
            <w:tcW w:w="2911" w:type="dxa"/>
            <w:tcBorders>
              <w:right w:val="single" w:color="auto" w:sz="4" w:space="0"/>
            </w:tcBorders>
          </w:tcPr>
          <w:p>
            <w:pPr>
              <w:jc w:val="right"/>
              <w:rPr>
                <w:rFonts w:cs="Calibri"/>
                <w:bCs/>
                <w:szCs w:val="21"/>
              </w:rPr>
            </w:pPr>
          </w:p>
        </w:tc>
        <w:tc>
          <w:tcPr>
            <w:tcW w:w="315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355" w:type="dxa"/>
            <w:vAlign w:val="center"/>
          </w:tcPr>
          <w:p>
            <w:pPr>
              <w:jc w:val="center"/>
              <w:rPr>
                <w:rFonts w:cs="Calibri"/>
                <w:bCs/>
                <w:szCs w:val="21"/>
              </w:rPr>
            </w:pPr>
            <w:r>
              <w:rPr>
                <w:rFonts w:hint="eastAsia" w:cs="Calibri"/>
                <w:bCs/>
                <w:szCs w:val="21"/>
              </w:rPr>
              <w:t>4</w:t>
            </w:r>
          </w:p>
        </w:tc>
        <w:tc>
          <w:tcPr>
            <w:tcW w:w="2206" w:type="dxa"/>
            <w:vAlign w:val="center"/>
          </w:tcPr>
          <w:p>
            <w:pPr>
              <w:jc w:val="center"/>
              <w:rPr>
                <w:rFonts w:cs="Calibri"/>
                <w:color w:val="000000"/>
                <w:szCs w:val="21"/>
              </w:rPr>
            </w:pPr>
          </w:p>
        </w:tc>
        <w:tc>
          <w:tcPr>
            <w:tcW w:w="2911" w:type="dxa"/>
            <w:tcBorders>
              <w:right w:val="single" w:color="auto" w:sz="4" w:space="0"/>
            </w:tcBorders>
          </w:tcPr>
          <w:p>
            <w:pPr>
              <w:jc w:val="right"/>
              <w:rPr>
                <w:rFonts w:cs="Calibri"/>
                <w:bCs/>
                <w:szCs w:val="21"/>
              </w:rPr>
            </w:pPr>
          </w:p>
        </w:tc>
        <w:tc>
          <w:tcPr>
            <w:tcW w:w="315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355" w:type="dxa"/>
            <w:vAlign w:val="center"/>
          </w:tcPr>
          <w:p>
            <w:pPr>
              <w:jc w:val="center"/>
              <w:rPr>
                <w:rFonts w:cs="Calibri"/>
                <w:bCs/>
                <w:szCs w:val="21"/>
              </w:rPr>
            </w:pPr>
          </w:p>
        </w:tc>
        <w:tc>
          <w:tcPr>
            <w:tcW w:w="2206" w:type="dxa"/>
            <w:vAlign w:val="center"/>
          </w:tcPr>
          <w:p>
            <w:pPr>
              <w:jc w:val="center"/>
              <w:rPr>
                <w:rFonts w:cs="Calibri"/>
                <w:color w:val="000000"/>
                <w:szCs w:val="21"/>
              </w:rPr>
            </w:pPr>
          </w:p>
        </w:tc>
        <w:tc>
          <w:tcPr>
            <w:tcW w:w="2911" w:type="dxa"/>
            <w:tcBorders>
              <w:right w:val="single" w:color="auto" w:sz="4" w:space="0"/>
            </w:tcBorders>
          </w:tcPr>
          <w:p>
            <w:pPr>
              <w:jc w:val="right"/>
              <w:rPr>
                <w:rFonts w:cs="Calibri"/>
                <w:bCs/>
                <w:szCs w:val="21"/>
              </w:rPr>
            </w:pPr>
          </w:p>
        </w:tc>
        <w:tc>
          <w:tcPr>
            <w:tcW w:w="315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355" w:type="dxa"/>
            <w:vAlign w:val="center"/>
          </w:tcPr>
          <w:p>
            <w:pPr>
              <w:jc w:val="center"/>
              <w:rPr>
                <w:rFonts w:cs="Calibri"/>
                <w:bCs/>
                <w:szCs w:val="21"/>
              </w:rPr>
            </w:pPr>
          </w:p>
        </w:tc>
        <w:tc>
          <w:tcPr>
            <w:tcW w:w="2206" w:type="dxa"/>
            <w:vAlign w:val="center"/>
          </w:tcPr>
          <w:p>
            <w:pPr>
              <w:jc w:val="center"/>
              <w:rPr>
                <w:rFonts w:cs="Calibri"/>
                <w:szCs w:val="21"/>
              </w:rPr>
            </w:pPr>
            <w:r>
              <w:rPr>
                <w:rFonts w:hint="eastAsia" w:cs="Calibri"/>
                <w:szCs w:val="21"/>
              </w:rPr>
              <w:t>合  计（不含税）</w:t>
            </w:r>
          </w:p>
        </w:tc>
        <w:tc>
          <w:tcPr>
            <w:tcW w:w="2911" w:type="dxa"/>
            <w:tcBorders>
              <w:right w:val="single" w:color="auto" w:sz="4" w:space="0"/>
            </w:tcBorders>
          </w:tcPr>
          <w:p>
            <w:pPr>
              <w:jc w:val="right"/>
              <w:rPr>
                <w:rFonts w:cs="Calibri"/>
                <w:bCs/>
                <w:szCs w:val="21"/>
              </w:rPr>
            </w:pPr>
          </w:p>
        </w:tc>
        <w:tc>
          <w:tcPr>
            <w:tcW w:w="315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355" w:type="dxa"/>
            <w:vAlign w:val="center"/>
          </w:tcPr>
          <w:p>
            <w:pPr>
              <w:jc w:val="center"/>
              <w:rPr>
                <w:rFonts w:cs="Calibri"/>
                <w:bCs/>
                <w:szCs w:val="21"/>
              </w:rPr>
            </w:pPr>
          </w:p>
        </w:tc>
        <w:tc>
          <w:tcPr>
            <w:tcW w:w="2206" w:type="dxa"/>
            <w:vAlign w:val="center"/>
          </w:tcPr>
          <w:p>
            <w:pPr>
              <w:jc w:val="center"/>
              <w:rPr>
                <w:rFonts w:cs="Calibri"/>
                <w:szCs w:val="21"/>
              </w:rPr>
            </w:pPr>
            <w:r>
              <w:rPr>
                <w:rFonts w:hint="eastAsia" w:cs="Calibri"/>
                <w:szCs w:val="21"/>
              </w:rPr>
              <w:t>税率</w:t>
            </w:r>
          </w:p>
        </w:tc>
        <w:tc>
          <w:tcPr>
            <w:tcW w:w="2911" w:type="dxa"/>
            <w:tcBorders>
              <w:right w:val="single" w:color="auto" w:sz="4" w:space="0"/>
            </w:tcBorders>
          </w:tcPr>
          <w:p>
            <w:pPr>
              <w:jc w:val="right"/>
              <w:rPr>
                <w:rFonts w:cs="Calibri"/>
                <w:bCs/>
                <w:szCs w:val="21"/>
              </w:rPr>
            </w:pPr>
          </w:p>
        </w:tc>
        <w:tc>
          <w:tcPr>
            <w:tcW w:w="315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355" w:type="dxa"/>
            <w:vAlign w:val="center"/>
          </w:tcPr>
          <w:p>
            <w:pPr>
              <w:jc w:val="center"/>
              <w:rPr>
                <w:rFonts w:cs="Calibri"/>
                <w:bCs/>
                <w:szCs w:val="21"/>
              </w:rPr>
            </w:pPr>
          </w:p>
        </w:tc>
        <w:tc>
          <w:tcPr>
            <w:tcW w:w="2206" w:type="dxa"/>
            <w:vAlign w:val="center"/>
          </w:tcPr>
          <w:p>
            <w:pPr>
              <w:jc w:val="center"/>
              <w:rPr>
                <w:rFonts w:cs="Calibri"/>
                <w:szCs w:val="21"/>
              </w:rPr>
            </w:pPr>
            <w:r>
              <w:rPr>
                <w:rFonts w:hint="eastAsia" w:cs="Calibri"/>
                <w:szCs w:val="21"/>
              </w:rPr>
              <w:t>合  计（含税）</w:t>
            </w:r>
          </w:p>
        </w:tc>
        <w:tc>
          <w:tcPr>
            <w:tcW w:w="2911" w:type="dxa"/>
            <w:tcBorders>
              <w:right w:val="single" w:color="auto" w:sz="4" w:space="0"/>
            </w:tcBorders>
          </w:tcPr>
          <w:p>
            <w:pPr>
              <w:jc w:val="right"/>
              <w:rPr>
                <w:rFonts w:cs="Calibri"/>
                <w:bCs/>
                <w:szCs w:val="21"/>
              </w:rPr>
            </w:pPr>
          </w:p>
        </w:tc>
        <w:tc>
          <w:tcPr>
            <w:tcW w:w="315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9" w:firstLineChars="1890"/>
        <w:rPr>
          <w:rFonts w:cs="Calibri"/>
          <w:color w:val="000000"/>
          <w:szCs w:val="21"/>
        </w:rPr>
      </w:pPr>
      <w:r>
        <w:rPr>
          <w:rFonts w:cs="Calibri"/>
          <w:color w:val="000000"/>
          <w:szCs w:val="21"/>
        </w:rPr>
        <w:t>投标人：（盖单位章）</w:t>
      </w:r>
    </w:p>
    <w:p>
      <w:pPr>
        <w:snapToGrid w:val="0"/>
        <w:spacing w:line="440" w:lineRule="exact"/>
        <w:ind w:firstLine="3969"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9"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5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（二）近三年完成类似</w:t>
      </w:r>
      <w:r>
        <w:rPr>
          <w:rFonts w:hint="eastAsia" w:eastAsia="黑体" w:cs="Calibri"/>
          <w:color w:val="000000"/>
          <w:sz w:val="32"/>
          <w:szCs w:val="32"/>
        </w:rPr>
        <w:t>项目业绩</w:t>
      </w:r>
      <w:r>
        <w:rPr>
          <w:rFonts w:eastAsia="黑体" w:cs="Calibri"/>
          <w:color w:val="000000"/>
          <w:sz w:val="32"/>
          <w:szCs w:val="32"/>
        </w:rPr>
        <w:t>情况</w:t>
      </w:r>
    </w:p>
    <w:tbl>
      <w:tblPr>
        <w:tblStyle w:val="5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24"/>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5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5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241"/>
              <w:jc w:val="center"/>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pPr>
        <w:rPr>
          <w:rFonts w:hint="eastAsia"/>
        </w:rPr>
      </w:pPr>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7"/>
          <w:jc w:val="center"/>
        </w:pPr>
        <w:r>
          <w:fldChar w:fldCharType="begin"/>
        </w:r>
        <w:r>
          <w:instrText xml:space="preserve"> PAGE   \* MERGEFORMAT </w:instrText>
        </w:r>
        <w:r>
          <w:fldChar w:fldCharType="separate"/>
        </w:r>
        <w:r>
          <w:rPr>
            <w:lang w:val="zh-CN"/>
          </w:rPr>
          <w:t>-</w:t>
        </w:r>
        <w:r>
          <w:t xml:space="preserve"> 23 -</w:t>
        </w:r>
        <w:r>
          <w:fldChar w:fldCharType="end"/>
        </w:r>
      </w:p>
    </w:sdtContent>
  </w:sdt>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pPr>
    <w:r>
      <w:rPr>
        <w:rFonts w:hint="eastAsia"/>
      </w:rPr>
      <w:t>杭州萧山国际机场航站区花堆（硬质景观及名贵花木项）提升</w:t>
    </w:r>
    <w:r>
      <w:t>项目</w:t>
    </w:r>
    <w:r>
      <w:rPr>
        <w:rFonts w:hint="eastAsia"/>
      </w:rPr>
      <w:t>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5E37F3"/>
    <w:rsid w:val="1CC2137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qFormat="1" w:uiPriority="0" w:name="index 1"/>
    <w:lsdException w:uiPriority="0" w:name="index 2"/>
    <w:lsdException w:uiPriority="0"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qFormat="1" w:uiPriority="39" w:name="toc 3"/>
    <w:lsdException w:qFormat="1" w:uiPriority="0" w:name="toc 4"/>
    <w:lsdException w:qFormat="1" w:uiPriority="0" w:name="toc 5"/>
    <w:lsdException w:qFormat="1" w:uiPriority="0" w:name="toc 6"/>
    <w:lsdException w:qFormat="1" w:uiPriority="0" w:name="toc 7"/>
    <w:lsdException w:uiPriority="0" w:name="toc 8"/>
    <w:lsdException w:qFormat="1" w:uiPriority="0" w:name="toc 9"/>
    <w:lsdException w:qFormat="1" w:uiPriority="0" w:name="Normal Indent"/>
    <w:lsdException w:qFormat="1" w:uiPriority="0" w:name="footnote text"/>
    <w:lsdException w:qFormat="1" w:uiPriority="0" w:name="annotation text"/>
    <w:lsdException w:uiPriority="99" w:name="header"/>
    <w:lsdException w:qFormat="1" w:uiPriority="99" w:name="footer"/>
    <w:lsdException w:uiPriority="99" w:name="index heading"/>
    <w:lsdException w:qFormat="1" w:uiPriority="0" w:name="caption"/>
    <w:lsdException w:qFormat="1" w:uiPriority="0" w:name="table of figures"/>
    <w:lsdException w:uiPriority="99" w:name="envelope address"/>
    <w:lsdException w:uiPriority="99" w:name="envelope return"/>
    <w:lsdException w:uiPriority="0" w:name="footnote reference"/>
    <w:lsdException w:qFormat="1" w:uiPriority="0"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0" w:name="toa heading"/>
    <w:lsdException w:qFormat="1" w:uiPriority="0" w:name="List"/>
    <w:lsdException w:uiPriority="99" w:name="List Bullet"/>
    <w:lsdException w:uiPriority="99" w:name="List Number"/>
    <w:lsdException w:uiPriority="0" w:name="List 2"/>
    <w:lsdException w:qFormat="1" w:uiPriority="0" w:name="List 3"/>
    <w:lsdException w:uiPriority="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0" w:name="Body Text"/>
    <w:lsdException w:uiPriority="0" w:name="Body Text Indent"/>
    <w:lsdException w:uiPriority="99" w:name="List Continue"/>
    <w:lsdException w:uiPriority="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uiPriority="0" w:name="Body Text First Indent"/>
    <w:lsdException w:uiPriority="0" w:name="Body Text First Indent 2"/>
    <w:lsdException w:uiPriority="99" w:name="Note Heading"/>
    <w:lsdException w:qFormat="1" w:uiPriority="0" w:name="Body Text 2"/>
    <w:lsdException w:uiPriority="99" w:name="Body Text 3"/>
    <w:lsdException w:qFormat="1" w:uiPriority="0" w:name="Body Text Indent 2"/>
    <w:lsdException w:uiPriority="0" w:name="Body Text Indent 3"/>
    <w:lsdException w:uiPriority="99" w:name="Block Text"/>
    <w:lsdException w:uiPriority="99"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6"/>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77"/>
    <w:unhideWhenUsed/>
    <w:qFormat/>
    <w:uiPriority w:val="0"/>
    <w:pPr>
      <w:keepNext/>
      <w:keepLines/>
      <w:spacing w:before="260" w:after="260" w:line="413" w:lineRule="auto"/>
      <w:outlineLvl w:val="1"/>
    </w:pPr>
    <w:rPr>
      <w:rFonts w:ascii="Arial" w:hAnsi="Arial" w:eastAsia="黑体" w:cs="Times New Roman"/>
      <w:b/>
      <w:bCs/>
      <w:kern w:val="0"/>
      <w:sz w:val="32"/>
      <w:szCs w:val="32"/>
    </w:rPr>
  </w:style>
  <w:style w:type="paragraph" w:styleId="4">
    <w:name w:val="heading 3"/>
    <w:basedOn w:val="1"/>
    <w:next w:val="1"/>
    <w:link w:val="78"/>
    <w:unhideWhenUsed/>
    <w:qFormat/>
    <w:uiPriority w:val="0"/>
    <w:pPr>
      <w:spacing w:line="440" w:lineRule="atLeast"/>
      <w:outlineLvl w:val="2"/>
    </w:pPr>
    <w:rPr>
      <w:rFonts w:ascii="Times New Roman" w:hAnsi="Times New Roman" w:eastAsia="楷体_GB2312" w:cs="Times New Roman"/>
      <w:kern w:val="0"/>
      <w:sz w:val="28"/>
      <w:szCs w:val="20"/>
    </w:rPr>
  </w:style>
  <w:style w:type="paragraph" w:styleId="5">
    <w:name w:val="heading 4"/>
    <w:basedOn w:val="1"/>
    <w:next w:val="1"/>
    <w:link w:val="79"/>
    <w:unhideWhenUsed/>
    <w:qFormat/>
    <w:uiPriority w:val="0"/>
    <w:pPr>
      <w:keepNext/>
      <w:keepLines/>
      <w:spacing w:before="280" w:after="290" w:line="372" w:lineRule="auto"/>
      <w:outlineLvl w:val="3"/>
    </w:pPr>
    <w:rPr>
      <w:rFonts w:ascii="Arial" w:hAnsi="Arial" w:eastAsia="黑体" w:cs="Times New Roman"/>
      <w:b/>
      <w:bCs/>
      <w:kern w:val="0"/>
      <w:sz w:val="28"/>
      <w:szCs w:val="28"/>
    </w:rPr>
  </w:style>
  <w:style w:type="paragraph" w:styleId="6">
    <w:name w:val="heading 5"/>
    <w:basedOn w:val="1"/>
    <w:next w:val="1"/>
    <w:link w:val="80"/>
    <w:unhideWhenUsed/>
    <w:qFormat/>
    <w:uiPriority w:val="0"/>
    <w:pPr>
      <w:keepNext/>
      <w:keepLines/>
      <w:spacing w:before="280" w:after="290" w:line="372" w:lineRule="auto"/>
      <w:outlineLvl w:val="4"/>
    </w:pPr>
    <w:rPr>
      <w:rFonts w:ascii="Times New Roman" w:hAnsi="Times New Roman" w:eastAsia="宋体" w:cs="Times New Roman"/>
      <w:b/>
      <w:bCs/>
      <w:kern w:val="0"/>
      <w:sz w:val="28"/>
      <w:szCs w:val="28"/>
    </w:rPr>
  </w:style>
  <w:style w:type="character" w:default="1" w:styleId="46">
    <w:name w:val="Default Paragraph Font"/>
    <w:unhideWhenUsed/>
    <w:uiPriority w:val="1"/>
  </w:style>
  <w:style w:type="table" w:default="1" w:styleId="53">
    <w:name w:val="Normal Table"/>
    <w:unhideWhenUsed/>
    <w:uiPriority w:val="99"/>
    <w:tblPr>
      <w:tblLayout w:type="fixed"/>
      <w:tblCellMar>
        <w:top w:w="0" w:type="dxa"/>
        <w:left w:w="108" w:type="dxa"/>
        <w:bottom w:w="0" w:type="dxa"/>
        <w:right w:w="108" w:type="dxa"/>
      </w:tblCellMar>
    </w:tblPr>
  </w:style>
  <w:style w:type="paragraph" w:styleId="7">
    <w:name w:val="List 3"/>
    <w:basedOn w:val="1"/>
    <w:unhideWhenUsed/>
    <w:qFormat/>
    <w:uiPriority w:val="0"/>
    <w:pPr>
      <w:ind w:left="100" w:leftChars="400" w:hanging="200" w:hangingChars="200"/>
    </w:pPr>
    <w:rPr>
      <w:rFonts w:ascii="Times New Roman" w:hAnsi="Times New Roman" w:eastAsia="宋体" w:cs="Times New Roman"/>
      <w:szCs w:val="24"/>
    </w:rPr>
  </w:style>
  <w:style w:type="paragraph" w:styleId="8">
    <w:name w:val="annotation subject"/>
    <w:basedOn w:val="9"/>
    <w:next w:val="9"/>
    <w:link w:val="60"/>
    <w:unhideWhenUsed/>
    <w:qFormat/>
    <w:uiPriority w:val="0"/>
    <w:rPr>
      <w:rFonts w:ascii="Times New Roman" w:hAnsi="Times New Roman" w:eastAsia="宋体" w:cs="Times New Roman"/>
      <w:b/>
      <w:bCs/>
      <w:kern w:val="0"/>
      <w:sz w:val="20"/>
      <w:szCs w:val="24"/>
    </w:rPr>
  </w:style>
  <w:style w:type="paragraph" w:styleId="9">
    <w:name w:val="annotation text"/>
    <w:basedOn w:val="1"/>
    <w:link w:val="59"/>
    <w:unhideWhenUsed/>
    <w:qFormat/>
    <w:uiPriority w:val="0"/>
    <w:pPr>
      <w:jc w:val="left"/>
    </w:pPr>
  </w:style>
  <w:style w:type="paragraph" w:styleId="10">
    <w:name w:val="toc 7"/>
    <w:basedOn w:val="1"/>
    <w:next w:val="1"/>
    <w:unhideWhenUsed/>
    <w:qFormat/>
    <w:uiPriority w:val="0"/>
    <w:pPr>
      <w:ind w:left="2520"/>
    </w:pPr>
    <w:rPr>
      <w:rFonts w:ascii="Times New Roman" w:hAnsi="Times New Roman" w:eastAsia="宋体" w:cs="Times New Roman"/>
      <w:szCs w:val="24"/>
    </w:rPr>
  </w:style>
  <w:style w:type="paragraph" w:styleId="11">
    <w:name w:val="Body Text First Indent"/>
    <w:basedOn w:val="12"/>
    <w:link w:val="115"/>
    <w:unhideWhenUsed/>
    <w:uiPriority w:val="0"/>
    <w:pPr>
      <w:ind w:firstLine="420" w:firstLineChars="100"/>
    </w:pPr>
    <w:rPr>
      <w:rFonts w:ascii="Times New Roman" w:hAnsi="Times New Roman" w:eastAsia="宋体" w:cs="Times New Roman"/>
      <w:kern w:val="0"/>
      <w:sz w:val="20"/>
      <w:szCs w:val="24"/>
    </w:rPr>
  </w:style>
  <w:style w:type="paragraph" w:styleId="12">
    <w:name w:val="Body Text"/>
    <w:basedOn w:val="1"/>
    <w:link w:val="61"/>
    <w:unhideWhenUsed/>
    <w:uiPriority w:val="0"/>
    <w:pPr>
      <w:spacing w:after="120"/>
    </w:pPr>
  </w:style>
  <w:style w:type="paragraph" w:styleId="13">
    <w:name w:val="Normal Indent"/>
    <w:basedOn w:val="1"/>
    <w:link w:val="135"/>
    <w:unhideWhenUsed/>
    <w:qFormat/>
    <w:uiPriority w:val="0"/>
    <w:pPr>
      <w:autoSpaceDE w:val="0"/>
      <w:autoSpaceDN w:val="0"/>
      <w:adjustRightInd w:val="0"/>
      <w:ind w:firstLine="420"/>
      <w:jc w:val="left"/>
    </w:pPr>
    <w:rPr>
      <w:rFonts w:ascii="宋体" w:hAnsi="Times New Roman" w:eastAsia="宋体" w:cs="Times New Roman"/>
      <w:kern w:val="0"/>
      <w:sz w:val="34"/>
      <w:szCs w:val="20"/>
    </w:rPr>
  </w:style>
  <w:style w:type="paragraph" w:styleId="14">
    <w:name w:val="caption"/>
    <w:basedOn w:val="1"/>
    <w:next w:val="1"/>
    <w:unhideWhenUsed/>
    <w:qFormat/>
    <w:uiPriority w:val="0"/>
    <w:rPr>
      <w:rFonts w:ascii="Arial" w:hAnsi="Arial" w:eastAsia="黑体" w:cs="Arial"/>
      <w:sz w:val="20"/>
      <w:szCs w:val="20"/>
    </w:rPr>
  </w:style>
  <w:style w:type="paragraph" w:styleId="15">
    <w:name w:val="Document Map"/>
    <w:basedOn w:val="1"/>
    <w:link w:val="86"/>
    <w:unhideWhenUsed/>
    <w:uiPriority w:val="0"/>
    <w:pPr>
      <w:shd w:val="clear" w:color="auto" w:fill="000080"/>
    </w:pPr>
    <w:rPr>
      <w:rFonts w:ascii="Times New Roman" w:hAnsi="Times New Roman" w:eastAsia="宋体" w:cs="Times New Roman"/>
      <w:kern w:val="0"/>
      <w:sz w:val="20"/>
      <w:szCs w:val="24"/>
    </w:rPr>
  </w:style>
  <w:style w:type="paragraph" w:styleId="16">
    <w:name w:val="toa heading"/>
    <w:basedOn w:val="1"/>
    <w:next w:val="1"/>
    <w:unhideWhenUsed/>
    <w:uiPriority w:val="0"/>
    <w:pPr>
      <w:spacing w:before="120"/>
    </w:pPr>
    <w:rPr>
      <w:rFonts w:ascii="Arial" w:hAnsi="Arial" w:eastAsia="宋体" w:cs="Arial"/>
      <w:sz w:val="24"/>
      <w:szCs w:val="24"/>
    </w:rPr>
  </w:style>
  <w:style w:type="paragraph" w:styleId="17">
    <w:name w:val="Body Text Indent"/>
    <w:basedOn w:val="1"/>
    <w:link w:val="83"/>
    <w:unhideWhenUsed/>
    <w:uiPriority w:val="0"/>
    <w:pPr>
      <w:spacing w:after="120"/>
      <w:ind w:left="420" w:leftChars="200"/>
    </w:pPr>
    <w:rPr>
      <w:rFonts w:ascii="Calibri" w:hAnsi="Calibri" w:eastAsia="宋体" w:cs="Times New Roman"/>
      <w:kern w:val="0"/>
      <w:sz w:val="20"/>
      <w:szCs w:val="20"/>
    </w:rPr>
  </w:style>
  <w:style w:type="paragraph" w:styleId="18">
    <w:name w:val="List 2"/>
    <w:basedOn w:val="1"/>
    <w:unhideWhenUsed/>
    <w:uiPriority w:val="0"/>
    <w:pPr>
      <w:ind w:left="100" w:leftChars="200" w:hanging="200" w:hangingChars="200"/>
    </w:pPr>
    <w:rPr>
      <w:rFonts w:ascii="Times New Roman" w:hAnsi="Times New Roman" w:eastAsia="宋体" w:cs="Times New Roman"/>
      <w:szCs w:val="24"/>
    </w:rPr>
  </w:style>
  <w:style w:type="paragraph" w:styleId="19">
    <w:name w:val="toc 5"/>
    <w:basedOn w:val="1"/>
    <w:next w:val="1"/>
    <w:unhideWhenUsed/>
    <w:qFormat/>
    <w:uiPriority w:val="0"/>
    <w:pPr>
      <w:ind w:left="1680"/>
    </w:pPr>
    <w:rPr>
      <w:rFonts w:ascii="Times New Roman" w:hAnsi="Times New Roman" w:eastAsia="宋体" w:cs="Times New Roman"/>
      <w:szCs w:val="24"/>
    </w:rPr>
  </w:style>
  <w:style w:type="paragraph" w:styleId="20">
    <w:name w:val="toc 3"/>
    <w:basedOn w:val="1"/>
    <w:next w:val="1"/>
    <w:unhideWhenUsed/>
    <w:qFormat/>
    <w:uiPriority w:val="39"/>
    <w:pPr>
      <w:spacing w:line="360" w:lineRule="auto"/>
      <w:ind w:left="400" w:leftChars="400"/>
    </w:pPr>
    <w:rPr>
      <w:rFonts w:ascii="Times New Roman" w:hAnsi="Times New Roman" w:eastAsia="宋体" w:cs="Times New Roman"/>
      <w:szCs w:val="24"/>
    </w:rPr>
  </w:style>
  <w:style w:type="paragraph" w:styleId="21">
    <w:name w:val="Plain Text"/>
    <w:basedOn w:val="1"/>
    <w:link w:val="118"/>
    <w:unhideWhenUsed/>
    <w:qFormat/>
    <w:uiPriority w:val="0"/>
    <w:rPr>
      <w:rFonts w:ascii="宋体" w:hAnsi="Courier New" w:eastAsia="宋体" w:cs="Times New Roman"/>
      <w:kern w:val="0"/>
      <w:sz w:val="20"/>
      <w:szCs w:val="21"/>
    </w:rPr>
  </w:style>
  <w:style w:type="paragraph" w:styleId="22">
    <w:name w:val="toc 8"/>
    <w:basedOn w:val="1"/>
    <w:next w:val="1"/>
    <w:unhideWhenUsed/>
    <w:uiPriority w:val="0"/>
    <w:pPr>
      <w:ind w:left="2940"/>
    </w:pPr>
    <w:rPr>
      <w:rFonts w:ascii="Times New Roman" w:hAnsi="Times New Roman" w:eastAsia="宋体" w:cs="Times New Roman"/>
      <w:szCs w:val="24"/>
    </w:rPr>
  </w:style>
  <w:style w:type="paragraph" w:styleId="23">
    <w:name w:val="index 3"/>
    <w:basedOn w:val="1"/>
    <w:next w:val="1"/>
    <w:unhideWhenUsed/>
    <w:uiPriority w:val="0"/>
    <w:pPr>
      <w:ind w:left="400" w:leftChars="400"/>
    </w:pPr>
    <w:rPr>
      <w:rFonts w:ascii="Times New Roman" w:hAnsi="Times New Roman" w:eastAsia="宋体" w:cs="Times New Roman"/>
      <w:szCs w:val="24"/>
    </w:rPr>
  </w:style>
  <w:style w:type="paragraph" w:styleId="24">
    <w:name w:val="Date"/>
    <w:basedOn w:val="1"/>
    <w:next w:val="1"/>
    <w:link w:val="87"/>
    <w:unhideWhenUsed/>
    <w:qFormat/>
    <w:uiPriority w:val="0"/>
    <w:pPr>
      <w:ind w:left="100" w:leftChars="2500"/>
    </w:pPr>
    <w:rPr>
      <w:rFonts w:ascii="Times New Roman" w:hAnsi="Times New Roman" w:eastAsia="宋体" w:cs="Times New Roman"/>
      <w:b/>
      <w:bCs/>
      <w:kern w:val="0"/>
      <w:sz w:val="36"/>
      <w:szCs w:val="24"/>
    </w:rPr>
  </w:style>
  <w:style w:type="paragraph" w:styleId="25">
    <w:name w:val="Body Text Indent 2"/>
    <w:basedOn w:val="1"/>
    <w:link w:val="123"/>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26">
    <w:name w:val="Balloon Text"/>
    <w:basedOn w:val="1"/>
    <w:link w:val="116"/>
    <w:unhideWhenUsed/>
    <w:qFormat/>
    <w:uiPriority w:val="0"/>
    <w:rPr>
      <w:rFonts w:ascii="Times New Roman" w:hAnsi="Times New Roman" w:eastAsia="宋体" w:cs="Times New Roman"/>
      <w:kern w:val="0"/>
      <w:sz w:val="18"/>
      <w:szCs w:val="18"/>
    </w:rPr>
  </w:style>
  <w:style w:type="paragraph" w:styleId="27">
    <w:name w:val="footer"/>
    <w:basedOn w:val="1"/>
    <w:link w:val="124"/>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8">
    <w:name w:val="Body Text First Indent 2"/>
    <w:basedOn w:val="17"/>
    <w:link w:val="84"/>
    <w:unhideWhenUsed/>
    <w:uiPriority w:val="0"/>
    <w:pPr>
      <w:ind w:firstLine="420" w:firstLineChars="200"/>
    </w:pPr>
    <w:rPr>
      <w:rFonts w:ascii="Times New Roman" w:hAnsi="Times New Roman"/>
      <w:szCs w:val="24"/>
    </w:rPr>
  </w:style>
  <w:style w:type="paragraph" w:styleId="29">
    <w:name w:val="header"/>
    <w:basedOn w:val="1"/>
    <w:link w:val="85"/>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30">
    <w:name w:val="toc 1"/>
    <w:basedOn w:val="2"/>
    <w:next w:val="1"/>
    <w:unhideWhenUsed/>
    <w:uiPriority w:val="39"/>
    <w:pPr>
      <w:tabs>
        <w:tab w:val="right" w:leader="dot" w:pos="8659"/>
      </w:tabs>
      <w:spacing w:before="0" w:after="0" w:line="240" w:lineRule="auto"/>
      <w:jc w:val="center"/>
    </w:pPr>
    <w:rPr>
      <w:b w:val="0"/>
      <w:sz w:val="21"/>
    </w:rPr>
  </w:style>
  <w:style w:type="paragraph" w:styleId="31">
    <w:name w:val="toc 4"/>
    <w:basedOn w:val="1"/>
    <w:next w:val="1"/>
    <w:unhideWhenUsed/>
    <w:qFormat/>
    <w:uiPriority w:val="0"/>
    <w:pPr>
      <w:ind w:left="1260"/>
    </w:pPr>
    <w:rPr>
      <w:rFonts w:ascii="Times New Roman" w:hAnsi="Times New Roman" w:eastAsia="宋体" w:cs="Times New Roman"/>
      <w:szCs w:val="24"/>
    </w:rPr>
  </w:style>
  <w:style w:type="paragraph" w:styleId="32">
    <w:name w:val="List"/>
    <w:basedOn w:val="1"/>
    <w:unhideWhenUsed/>
    <w:qFormat/>
    <w:uiPriority w:val="0"/>
    <w:pPr>
      <w:ind w:left="200" w:hanging="200" w:hangingChars="200"/>
    </w:pPr>
    <w:rPr>
      <w:rFonts w:ascii="Times New Roman" w:hAnsi="Times New Roman" w:eastAsia="宋体" w:cs="Times New Roman"/>
      <w:szCs w:val="24"/>
    </w:rPr>
  </w:style>
  <w:style w:type="paragraph" w:styleId="33">
    <w:name w:val="footnote text"/>
    <w:basedOn w:val="1"/>
    <w:link w:val="117"/>
    <w:unhideWhenUsed/>
    <w:qFormat/>
    <w:uiPriority w:val="0"/>
    <w:pPr>
      <w:snapToGrid w:val="0"/>
      <w:jc w:val="left"/>
    </w:pPr>
    <w:rPr>
      <w:rFonts w:ascii="Times New Roman" w:hAnsi="Times New Roman" w:eastAsia="宋体" w:cs="Times New Roman"/>
      <w:kern w:val="0"/>
      <w:sz w:val="18"/>
      <w:szCs w:val="18"/>
    </w:rPr>
  </w:style>
  <w:style w:type="paragraph" w:styleId="34">
    <w:name w:val="toc 6"/>
    <w:basedOn w:val="1"/>
    <w:next w:val="1"/>
    <w:unhideWhenUsed/>
    <w:qFormat/>
    <w:uiPriority w:val="0"/>
    <w:pPr>
      <w:ind w:left="2100"/>
    </w:pPr>
    <w:rPr>
      <w:rFonts w:ascii="Times New Roman" w:hAnsi="Times New Roman" w:eastAsia="宋体" w:cs="Times New Roman"/>
      <w:szCs w:val="24"/>
    </w:rPr>
  </w:style>
  <w:style w:type="paragraph" w:styleId="35">
    <w:name w:val="Body Text Indent 3"/>
    <w:basedOn w:val="1"/>
    <w:link w:val="82"/>
    <w:unhideWhenUsed/>
    <w:uiPriority w:val="0"/>
    <w:pPr>
      <w:spacing w:line="540" w:lineRule="atLeast"/>
      <w:ind w:firstLine="480" w:firstLineChars="200"/>
    </w:pPr>
    <w:rPr>
      <w:rFonts w:ascii="Times New Roman" w:hAnsi="Times New Roman" w:eastAsia="宋体" w:cs="Times New Roman"/>
      <w:kern w:val="0"/>
      <w:sz w:val="24"/>
      <w:szCs w:val="24"/>
    </w:rPr>
  </w:style>
  <w:style w:type="paragraph" w:styleId="36">
    <w:name w:val="table of figures"/>
    <w:basedOn w:val="1"/>
    <w:next w:val="1"/>
    <w:unhideWhenUsed/>
    <w:qFormat/>
    <w:uiPriority w:val="0"/>
    <w:pPr>
      <w:ind w:left="200" w:leftChars="200" w:hanging="200" w:hangingChars="200"/>
    </w:pPr>
    <w:rPr>
      <w:rFonts w:ascii="Times New Roman" w:hAnsi="Times New Roman" w:eastAsia="宋体" w:cs="Times New Roman"/>
      <w:szCs w:val="24"/>
    </w:rPr>
  </w:style>
  <w:style w:type="paragraph" w:styleId="37">
    <w:name w:val="toc 2"/>
    <w:basedOn w:val="1"/>
    <w:next w:val="1"/>
    <w:unhideWhenUsed/>
    <w:qFormat/>
    <w:uiPriority w:val="39"/>
    <w:pPr>
      <w:spacing w:line="360" w:lineRule="auto"/>
      <w:ind w:left="200" w:leftChars="200"/>
    </w:pPr>
    <w:rPr>
      <w:rFonts w:ascii="Times New Roman" w:hAnsi="Times New Roman" w:eastAsia="宋体" w:cs="Times New Roman"/>
      <w:szCs w:val="24"/>
    </w:rPr>
  </w:style>
  <w:style w:type="paragraph" w:styleId="38">
    <w:name w:val="toc 9"/>
    <w:basedOn w:val="1"/>
    <w:next w:val="1"/>
    <w:unhideWhenUsed/>
    <w:qFormat/>
    <w:uiPriority w:val="0"/>
    <w:pPr>
      <w:ind w:left="3360"/>
    </w:pPr>
    <w:rPr>
      <w:rFonts w:ascii="Times New Roman" w:hAnsi="Times New Roman" w:eastAsia="宋体" w:cs="Times New Roman"/>
      <w:szCs w:val="24"/>
    </w:rPr>
  </w:style>
  <w:style w:type="paragraph" w:styleId="39">
    <w:name w:val="Body Text 2"/>
    <w:basedOn w:val="1"/>
    <w:link w:val="122"/>
    <w:unhideWhenUsed/>
    <w:qFormat/>
    <w:uiPriority w:val="0"/>
    <w:pPr>
      <w:spacing w:after="120" w:line="480" w:lineRule="auto"/>
    </w:pPr>
    <w:rPr>
      <w:rFonts w:ascii="Times New Roman" w:hAnsi="Times New Roman" w:eastAsia="宋体" w:cs="Times New Roman"/>
      <w:kern w:val="0"/>
      <w:sz w:val="20"/>
      <w:szCs w:val="24"/>
    </w:rPr>
  </w:style>
  <w:style w:type="paragraph" w:styleId="40">
    <w:name w:val="List 4"/>
    <w:basedOn w:val="1"/>
    <w:unhideWhenUsed/>
    <w:uiPriority w:val="0"/>
    <w:pPr>
      <w:ind w:left="100" w:leftChars="600" w:hanging="200" w:hangingChars="200"/>
    </w:pPr>
    <w:rPr>
      <w:rFonts w:ascii="Times New Roman" w:hAnsi="Times New Roman" w:eastAsia="宋体" w:cs="Times New Roman"/>
      <w:szCs w:val="24"/>
    </w:rPr>
  </w:style>
  <w:style w:type="paragraph" w:styleId="41">
    <w:name w:val="List Continue 2"/>
    <w:basedOn w:val="1"/>
    <w:unhideWhenUsed/>
    <w:uiPriority w:val="0"/>
    <w:pPr>
      <w:spacing w:after="120"/>
      <w:ind w:left="840" w:leftChars="400"/>
    </w:pPr>
    <w:rPr>
      <w:rFonts w:ascii="Times New Roman" w:hAnsi="Times New Roman" w:eastAsia="宋体" w:cs="Times New Roman"/>
      <w:szCs w:val="24"/>
    </w:rPr>
  </w:style>
  <w:style w:type="paragraph" w:styleId="4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3">
    <w:name w:val="index 1"/>
    <w:basedOn w:val="1"/>
    <w:next w:val="1"/>
    <w:unhideWhenUsed/>
    <w:qFormat/>
    <w:uiPriority w:val="0"/>
    <w:pPr>
      <w:spacing w:line="320" w:lineRule="exact"/>
    </w:pPr>
    <w:rPr>
      <w:rFonts w:ascii="Times New Roman" w:hAnsi="Times New Roman" w:eastAsia="宋体" w:cs="Times New Roman"/>
      <w:snapToGrid w:val="0"/>
      <w:color w:val="FF6600"/>
      <w:kern w:val="0"/>
      <w:sz w:val="18"/>
      <w:szCs w:val="21"/>
    </w:rPr>
  </w:style>
  <w:style w:type="paragraph" w:styleId="44">
    <w:name w:val="index 2"/>
    <w:basedOn w:val="1"/>
    <w:next w:val="1"/>
    <w:unhideWhenUsed/>
    <w:uiPriority w:val="0"/>
    <w:pPr>
      <w:ind w:left="200" w:leftChars="200"/>
    </w:pPr>
    <w:rPr>
      <w:rFonts w:ascii="Times New Roman" w:hAnsi="Times New Roman" w:eastAsia="宋体" w:cs="Times New Roman"/>
      <w:szCs w:val="24"/>
    </w:rPr>
  </w:style>
  <w:style w:type="paragraph" w:styleId="45">
    <w:name w:val="Title"/>
    <w:basedOn w:val="1"/>
    <w:link w:val="88"/>
    <w:qFormat/>
    <w:uiPriority w:val="0"/>
    <w:pPr>
      <w:spacing w:before="240" w:after="60"/>
      <w:jc w:val="center"/>
      <w:outlineLvl w:val="0"/>
    </w:pPr>
    <w:rPr>
      <w:rFonts w:ascii="Arial" w:hAnsi="Arial" w:eastAsia="宋体" w:cs="Times New Roman"/>
      <w:b/>
      <w:bCs/>
      <w:kern w:val="0"/>
      <w:sz w:val="32"/>
      <w:szCs w:val="32"/>
    </w:rPr>
  </w:style>
  <w:style w:type="character" w:styleId="47">
    <w:name w:val="page number"/>
    <w:unhideWhenUsed/>
    <w:qFormat/>
    <w:uiPriority w:val="0"/>
    <w:rPr>
      <w:rFonts w:asciiTheme="minorHAnsi" w:hAnsiTheme="minorHAnsi" w:eastAsiaTheme="minorEastAsia" w:cstheme="minorBidi"/>
      <w:kern w:val="2"/>
      <w:sz w:val="21"/>
      <w:szCs w:val="22"/>
      <w:lang w:val="en-US" w:eastAsia="zh-CN" w:bidi="ar-SA"/>
    </w:rPr>
  </w:style>
  <w:style w:type="character" w:styleId="48">
    <w:name w:val="FollowedHyperlink"/>
    <w:unhideWhenUsed/>
    <w:uiPriority w:val="0"/>
    <w:rPr>
      <w:rFonts w:asciiTheme="minorHAnsi" w:hAnsiTheme="minorHAnsi" w:eastAsiaTheme="minorEastAsia" w:cstheme="minorBidi"/>
      <w:color w:val="800080"/>
      <w:kern w:val="2"/>
      <w:sz w:val="21"/>
      <w:szCs w:val="22"/>
      <w:u w:val="single"/>
      <w:lang w:val="en-US" w:eastAsia="zh-CN" w:bidi="ar-SA"/>
    </w:rPr>
  </w:style>
  <w:style w:type="character" w:styleId="49">
    <w:name w:val="Emphasis"/>
    <w:qFormat/>
    <w:uiPriority w:val="20"/>
    <w:rPr>
      <w:rFonts w:asciiTheme="minorHAnsi" w:hAnsiTheme="minorHAnsi" w:eastAsiaTheme="minorEastAsia" w:cstheme="minorBidi"/>
      <w:i/>
      <w:iCs/>
      <w:kern w:val="2"/>
      <w:sz w:val="21"/>
      <w:szCs w:val="22"/>
      <w:lang w:val="en-US" w:eastAsia="zh-CN" w:bidi="ar-SA"/>
    </w:rPr>
  </w:style>
  <w:style w:type="character" w:styleId="50">
    <w:name w:val="Hyperlink"/>
    <w:unhideWhenUsed/>
    <w:uiPriority w:val="99"/>
    <w:rPr>
      <w:rFonts w:asciiTheme="minorHAnsi" w:hAnsiTheme="minorHAnsi" w:eastAsiaTheme="minorEastAsia" w:cstheme="minorBidi"/>
      <w:color w:val="0000FF"/>
      <w:kern w:val="2"/>
      <w:sz w:val="21"/>
      <w:szCs w:val="22"/>
      <w:u w:val="single"/>
      <w:lang w:val="en-US" w:eastAsia="zh-CN" w:bidi="ar-SA"/>
    </w:rPr>
  </w:style>
  <w:style w:type="character" w:styleId="51">
    <w:name w:val="annotation reference"/>
    <w:unhideWhenUsed/>
    <w:qFormat/>
    <w:uiPriority w:val="0"/>
    <w:rPr>
      <w:rFonts w:asciiTheme="minorHAnsi" w:hAnsiTheme="minorHAnsi" w:eastAsiaTheme="minorEastAsia" w:cstheme="minorBidi"/>
      <w:kern w:val="2"/>
      <w:sz w:val="21"/>
      <w:szCs w:val="21"/>
      <w:lang w:val="en-US" w:eastAsia="zh-CN" w:bidi="ar-SA"/>
    </w:rPr>
  </w:style>
  <w:style w:type="character" w:styleId="52">
    <w:name w:val="footnote reference"/>
    <w:unhideWhenUsed/>
    <w:uiPriority w:val="0"/>
    <w:rPr>
      <w:rFonts w:asciiTheme="minorHAnsi" w:hAnsiTheme="minorHAnsi" w:eastAsiaTheme="minorEastAsia" w:cstheme="minorBidi"/>
      <w:kern w:val="2"/>
      <w:sz w:val="21"/>
      <w:szCs w:val="22"/>
      <w:vertAlign w:val="superscript"/>
      <w:lang w:val="en-US" w:eastAsia="zh-CN" w:bidi="ar-SA"/>
    </w:rPr>
  </w:style>
  <w:style w:type="character" w:customStyle="1" w:styleId="54">
    <w:name w:val="标题 1 字符"/>
    <w:basedOn w:val="46"/>
    <w:qFormat/>
    <w:uiPriority w:val="9"/>
    <w:rPr>
      <w:rFonts w:asciiTheme="minorHAnsi" w:hAnsiTheme="minorHAnsi" w:eastAsiaTheme="minorEastAsia" w:cstheme="minorBidi"/>
      <w:b/>
      <w:bCs/>
      <w:kern w:val="44"/>
      <w:sz w:val="44"/>
      <w:szCs w:val="44"/>
      <w:lang w:val="en-US" w:eastAsia="zh-CN" w:bidi="ar-SA"/>
    </w:rPr>
  </w:style>
  <w:style w:type="character" w:customStyle="1" w:styleId="55">
    <w:name w:val="标题 2 字符"/>
    <w:basedOn w:val="46"/>
    <w:semiHidden/>
    <w:uiPriority w:val="9"/>
    <w:rPr>
      <w:rFonts w:asciiTheme="majorHAnsi" w:hAnsiTheme="majorHAnsi" w:eastAsiaTheme="majorEastAsia" w:cstheme="majorBidi"/>
      <w:b/>
      <w:bCs/>
      <w:kern w:val="2"/>
      <w:sz w:val="32"/>
      <w:szCs w:val="32"/>
      <w:lang w:val="en-US" w:eastAsia="zh-CN" w:bidi="ar-SA"/>
    </w:rPr>
  </w:style>
  <w:style w:type="character" w:customStyle="1" w:styleId="56">
    <w:name w:val="标题 3 字符"/>
    <w:basedOn w:val="46"/>
    <w:semiHidden/>
    <w:uiPriority w:val="9"/>
    <w:rPr>
      <w:rFonts w:asciiTheme="minorHAnsi" w:hAnsiTheme="minorHAnsi" w:eastAsiaTheme="minorEastAsia" w:cstheme="minorBidi"/>
      <w:b/>
      <w:bCs/>
      <w:kern w:val="2"/>
      <w:sz w:val="32"/>
      <w:szCs w:val="32"/>
      <w:lang w:val="en-US" w:eastAsia="zh-CN" w:bidi="ar-SA"/>
    </w:rPr>
  </w:style>
  <w:style w:type="character" w:customStyle="1" w:styleId="57">
    <w:name w:val="标题 4 字符"/>
    <w:basedOn w:val="46"/>
    <w:semiHidden/>
    <w:uiPriority w:val="9"/>
    <w:rPr>
      <w:rFonts w:asciiTheme="majorHAnsi" w:hAnsiTheme="majorHAnsi" w:eastAsiaTheme="majorEastAsia" w:cstheme="majorBidi"/>
      <w:b/>
      <w:bCs/>
      <w:kern w:val="2"/>
      <w:sz w:val="28"/>
      <w:szCs w:val="28"/>
      <w:lang w:val="en-US" w:eastAsia="zh-CN" w:bidi="ar-SA"/>
    </w:rPr>
  </w:style>
  <w:style w:type="character" w:customStyle="1" w:styleId="58">
    <w:name w:val="标题 5 字符"/>
    <w:basedOn w:val="46"/>
    <w:semiHidden/>
    <w:uiPriority w:val="9"/>
    <w:rPr>
      <w:rFonts w:asciiTheme="minorHAnsi" w:hAnsiTheme="minorHAnsi" w:eastAsiaTheme="minorEastAsia" w:cstheme="minorBidi"/>
      <w:b/>
      <w:bCs/>
      <w:kern w:val="2"/>
      <w:sz w:val="28"/>
      <w:szCs w:val="28"/>
      <w:lang w:val="en-US" w:eastAsia="zh-CN" w:bidi="ar-SA"/>
    </w:rPr>
  </w:style>
  <w:style w:type="character" w:customStyle="1" w:styleId="59">
    <w:name w:val="批注文字 字符"/>
    <w:basedOn w:val="46"/>
    <w:link w:val="9"/>
    <w:semiHidden/>
    <w:qFormat/>
    <w:uiPriority w:val="99"/>
    <w:rPr>
      <w:rFonts w:asciiTheme="minorHAnsi" w:hAnsiTheme="minorHAnsi" w:eastAsiaTheme="minorEastAsia" w:cstheme="minorBidi"/>
      <w:kern w:val="2"/>
      <w:sz w:val="21"/>
      <w:szCs w:val="22"/>
      <w:lang w:val="en-US" w:eastAsia="zh-CN" w:bidi="ar-SA"/>
    </w:rPr>
  </w:style>
  <w:style w:type="character" w:customStyle="1" w:styleId="60">
    <w:name w:val="批注主题 字符"/>
    <w:basedOn w:val="59"/>
    <w:link w:val="8"/>
    <w:semiHidden/>
    <w:qFormat/>
    <w:uiPriority w:val="0"/>
    <w:rPr>
      <w:rFonts w:ascii="Times New Roman" w:hAnsi="Times New Roman" w:eastAsia="宋体" w:cs="Times New Roman"/>
      <w:b/>
      <w:bCs/>
      <w:kern w:val="0"/>
      <w:sz w:val="20"/>
      <w:szCs w:val="24"/>
    </w:rPr>
  </w:style>
  <w:style w:type="character" w:customStyle="1" w:styleId="61">
    <w:name w:val="正文文本 字符"/>
    <w:basedOn w:val="46"/>
    <w:link w:val="12"/>
    <w:semiHidden/>
    <w:qFormat/>
    <w:uiPriority w:val="99"/>
    <w:rPr>
      <w:rFonts w:asciiTheme="minorHAnsi" w:hAnsiTheme="minorHAnsi" w:eastAsiaTheme="minorEastAsia" w:cstheme="minorBidi"/>
      <w:kern w:val="2"/>
      <w:sz w:val="21"/>
      <w:szCs w:val="22"/>
      <w:lang w:val="en-US" w:eastAsia="zh-CN" w:bidi="ar-SA"/>
    </w:rPr>
  </w:style>
  <w:style w:type="character" w:customStyle="1" w:styleId="62">
    <w:name w:val="正文首行缩进 字符"/>
    <w:basedOn w:val="61"/>
    <w:semiHidden/>
    <w:qFormat/>
    <w:uiPriority w:val="99"/>
  </w:style>
  <w:style w:type="character" w:customStyle="1" w:styleId="63">
    <w:name w:val="文档结构图 字符"/>
    <w:basedOn w:val="46"/>
    <w:semiHidden/>
    <w:uiPriority w:val="99"/>
    <w:rPr>
      <w:rFonts w:ascii="Microsoft YaHei UI" w:eastAsia="Microsoft YaHei UI" w:hAnsiTheme="minorHAnsi" w:cstheme="minorBidi"/>
      <w:kern w:val="2"/>
      <w:sz w:val="18"/>
      <w:szCs w:val="18"/>
      <w:lang w:val="en-US" w:eastAsia="zh-CN" w:bidi="ar-SA"/>
    </w:rPr>
  </w:style>
  <w:style w:type="character" w:customStyle="1" w:styleId="64">
    <w:name w:val="正文文本缩进 字符"/>
    <w:basedOn w:val="46"/>
    <w:semiHidden/>
    <w:uiPriority w:val="99"/>
    <w:rPr>
      <w:rFonts w:asciiTheme="minorHAnsi" w:hAnsiTheme="minorHAnsi" w:eastAsiaTheme="minorEastAsia" w:cstheme="minorBidi"/>
      <w:kern w:val="2"/>
      <w:sz w:val="21"/>
      <w:szCs w:val="22"/>
      <w:lang w:val="en-US" w:eastAsia="zh-CN" w:bidi="ar-SA"/>
    </w:rPr>
  </w:style>
  <w:style w:type="character" w:customStyle="1" w:styleId="65">
    <w:name w:val="纯文本 字符"/>
    <w:basedOn w:val="46"/>
    <w:semiHidden/>
    <w:qFormat/>
    <w:uiPriority w:val="99"/>
    <w:rPr>
      <w:rFonts w:hAnsi="Courier New" w:cs="Courier New" w:asciiTheme="minorEastAsia" w:eastAsiaTheme="minorEastAsia"/>
      <w:kern w:val="2"/>
      <w:sz w:val="21"/>
      <w:szCs w:val="22"/>
      <w:lang w:val="en-US" w:eastAsia="zh-CN" w:bidi="ar-SA"/>
    </w:rPr>
  </w:style>
  <w:style w:type="character" w:customStyle="1" w:styleId="66">
    <w:name w:val="日期 字符"/>
    <w:basedOn w:val="46"/>
    <w:semiHidden/>
    <w:uiPriority w:val="99"/>
    <w:rPr>
      <w:rFonts w:asciiTheme="minorHAnsi" w:hAnsiTheme="minorHAnsi" w:eastAsiaTheme="minorEastAsia" w:cstheme="minorBidi"/>
      <w:kern w:val="2"/>
      <w:sz w:val="21"/>
      <w:szCs w:val="22"/>
      <w:lang w:val="en-US" w:eastAsia="zh-CN" w:bidi="ar-SA"/>
    </w:rPr>
  </w:style>
  <w:style w:type="character" w:customStyle="1" w:styleId="67">
    <w:name w:val="正文文本缩进 2 字符"/>
    <w:basedOn w:val="46"/>
    <w:semiHidden/>
    <w:qFormat/>
    <w:uiPriority w:val="99"/>
    <w:rPr>
      <w:rFonts w:asciiTheme="minorHAnsi" w:hAnsiTheme="minorHAnsi" w:eastAsiaTheme="minorEastAsia" w:cstheme="minorBidi"/>
      <w:kern w:val="2"/>
      <w:sz w:val="21"/>
      <w:szCs w:val="22"/>
      <w:lang w:val="en-US" w:eastAsia="zh-CN" w:bidi="ar-SA"/>
    </w:rPr>
  </w:style>
  <w:style w:type="character" w:customStyle="1" w:styleId="68">
    <w:name w:val="批注框文本 字符"/>
    <w:basedOn w:val="46"/>
    <w:semiHidden/>
    <w:qFormat/>
    <w:uiPriority w:val="99"/>
    <w:rPr>
      <w:rFonts w:asciiTheme="minorHAnsi" w:hAnsiTheme="minorHAnsi" w:eastAsiaTheme="minorEastAsia" w:cstheme="minorBidi"/>
      <w:kern w:val="2"/>
      <w:sz w:val="18"/>
      <w:szCs w:val="18"/>
      <w:lang w:val="en-US" w:eastAsia="zh-CN" w:bidi="ar-SA"/>
    </w:rPr>
  </w:style>
  <w:style w:type="character" w:customStyle="1" w:styleId="69">
    <w:name w:val="页脚 字符"/>
    <w:basedOn w:val="46"/>
    <w:semiHidden/>
    <w:qFormat/>
    <w:uiPriority w:val="99"/>
    <w:rPr>
      <w:rFonts w:asciiTheme="minorHAnsi" w:hAnsiTheme="minorHAnsi" w:eastAsiaTheme="minorEastAsia" w:cstheme="minorBidi"/>
      <w:kern w:val="2"/>
      <w:sz w:val="18"/>
      <w:szCs w:val="18"/>
      <w:lang w:val="en-US" w:eastAsia="zh-CN" w:bidi="ar-SA"/>
    </w:rPr>
  </w:style>
  <w:style w:type="character" w:customStyle="1" w:styleId="70">
    <w:name w:val="正文首行缩进 2 字符"/>
    <w:basedOn w:val="64"/>
    <w:semiHidden/>
    <w:uiPriority w:val="99"/>
  </w:style>
  <w:style w:type="character" w:customStyle="1" w:styleId="71">
    <w:name w:val="页眉 字符"/>
    <w:basedOn w:val="46"/>
    <w:semiHidden/>
    <w:uiPriority w:val="99"/>
    <w:rPr>
      <w:rFonts w:asciiTheme="minorHAnsi" w:hAnsiTheme="minorHAnsi" w:eastAsiaTheme="minorEastAsia" w:cstheme="minorBidi"/>
      <w:kern w:val="2"/>
      <w:sz w:val="18"/>
      <w:szCs w:val="18"/>
      <w:lang w:val="en-US" w:eastAsia="zh-CN" w:bidi="ar-SA"/>
    </w:rPr>
  </w:style>
  <w:style w:type="character" w:customStyle="1" w:styleId="72">
    <w:name w:val="脚注文本 字符"/>
    <w:basedOn w:val="46"/>
    <w:semiHidden/>
    <w:uiPriority w:val="99"/>
    <w:rPr>
      <w:rFonts w:asciiTheme="minorHAnsi" w:hAnsiTheme="minorHAnsi" w:eastAsiaTheme="minorEastAsia" w:cstheme="minorBidi"/>
      <w:kern w:val="2"/>
      <w:sz w:val="18"/>
      <w:szCs w:val="18"/>
      <w:lang w:val="en-US" w:eastAsia="zh-CN" w:bidi="ar-SA"/>
    </w:rPr>
  </w:style>
  <w:style w:type="character" w:customStyle="1" w:styleId="73">
    <w:name w:val="正文文本缩进 3 字符"/>
    <w:basedOn w:val="46"/>
    <w:semiHidden/>
    <w:uiPriority w:val="99"/>
    <w:rPr>
      <w:rFonts w:asciiTheme="minorHAnsi" w:hAnsiTheme="minorHAnsi" w:eastAsiaTheme="minorEastAsia" w:cstheme="minorBidi"/>
      <w:kern w:val="2"/>
      <w:sz w:val="16"/>
      <w:szCs w:val="16"/>
      <w:lang w:val="en-US" w:eastAsia="zh-CN" w:bidi="ar-SA"/>
    </w:rPr>
  </w:style>
  <w:style w:type="character" w:customStyle="1" w:styleId="74">
    <w:name w:val="正文文本 2 字符"/>
    <w:basedOn w:val="46"/>
    <w:semiHidden/>
    <w:qFormat/>
    <w:uiPriority w:val="99"/>
    <w:rPr>
      <w:rFonts w:asciiTheme="minorHAnsi" w:hAnsiTheme="minorHAnsi" w:eastAsiaTheme="minorEastAsia" w:cstheme="minorBidi"/>
      <w:kern w:val="2"/>
      <w:sz w:val="21"/>
      <w:szCs w:val="22"/>
      <w:lang w:val="en-US" w:eastAsia="zh-CN" w:bidi="ar-SA"/>
    </w:rPr>
  </w:style>
  <w:style w:type="character" w:customStyle="1" w:styleId="75">
    <w:name w:val="标题 字符"/>
    <w:basedOn w:val="46"/>
    <w:uiPriority w:val="10"/>
    <w:rPr>
      <w:rFonts w:asciiTheme="majorHAnsi" w:hAnsiTheme="majorHAnsi" w:eastAsiaTheme="majorEastAsia" w:cstheme="majorBidi"/>
      <w:b/>
      <w:bCs/>
      <w:kern w:val="2"/>
      <w:sz w:val="32"/>
      <w:szCs w:val="32"/>
      <w:lang w:val="en-US" w:eastAsia="zh-CN" w:bidi="ar-SA"/>
    </w:rPr>
  </w:style>
  <w:style w:type="character" w:customStyle="1" w:styleId="76">
    <w:name w:val="标题 1 字符1"/>
    <w:link w:val="2"/>
    <w:uiPriority w:val="0"/>
    <w:rPr>
      <w:rFonts w:ascii="Times New Roman" w:hAnsi="Times New Roman" w:eastAsia="宋体" w:cs="Times New Roman"/>
      <w:b/>
      <w:bCs/>
      <w:kern w:val="44"/>
      <w:sz w:val="44"/>
      <w:szCs w:val="44"/>
      <w:lang w:val="en-US" w:eastAsia="zh-CN" w:bidi="ar-SA"/>
    </w:rPr>
  </w:style>
  <w:style w:type="character" w:customStyle="1" w:styleId="77">
    <w:name w:val="标题 2 字符1"/>
    <w:link w:val="3"/>
    <w:uiPriority w:val="0"/>
    <w:rPr>
      <w:rFonts w:ascii="Arial" w:hAnsi="Arial" w:eastAsia="黑体" w:cs="Times New Roman"/>
      <w:b/>
      <w:bCs/>
      <w:kern w:val="0"/>
      <w:sz w:val="32"/>
      <w:szCs w:val="32"/>
      <w:lang w:val="en-US" w:eastAsia="zh-CN" w:bidi="ar-SA"/>
    </w:rPr>
  </w:style>
  <w:style w:type="character" w:customStyle="1" w:styleId="78">
    <w:name w:val="标题 3 字符1"/>
    <w:link w:val="4"/>
    <w:uiPriority w:val="0"/>
    <w:rPr>
      <w:rFonts w:ascii="Times New Roman" w:hAnsi="Times New Roman" w:eastAsia="楷体_GB2312" w:cs="Times New Roman"/>
      <w:kern w:val="0"/>
      <w:sz w:val="28"/>
      <w:szCs w:val="20"/>
      <w:lang w:val="en-US" w:eastAsia="zh-CN" w:bidi="ar-SA"/>
    </w:rPr>
  </w:style>
  <w:style w:type="character" w:customStyle="1" w:styleId="79">
    <w:name w:val="标题 4 字符1"/>
    <w:link w:val="5"/>
    <w:qFormat/>
    <w:uiPriority w:val="0"/>
    <w:rPr>
      <w:rFonts w:ascii="Arial" w:hAnsi="Arial" w:eastAsia="黑体" w:cs="Times New Roman"/>
      <w:b/>
      <w:bCs/>
      <w:kern w:val="0"/>
      <w:sz w:val="28"/>
      <w:szCs w:val="28"/>
      <w:lang w:val="en-US" w:eastAsia="zh-CN" w:bidi="ar-SA"/>
    </w:rPr>
  </w:style>
  <w:style w:type="character" w:customStyle="1" w:styleId="80">
    <w:name w:val="标题 5 字符1"/>
    <w:link w:val="6"/>
    <w:uiPriority w:val="0"/>
    <w:rPr>
      <w:rFonts w:ascii="Times New Roman" w:hAnsi="Times New Roman" w:eastAsia="宋体" w:cs="Times New Roman"/>
      <w:b/>
      <w:bCs/>
      <w:kern w:val="0"/>
      <w:sz w:val="28"/>
      <w:szCs w:val="28"/>
      <w:lang w:val="en-US" w:eastAsia="zh-CN" w:bidi="ar-SA"/>
    </w:rPr>
  </w:style>
  <w:style w:type="character" w:customStyle="1" w:styleId="81">
    <w:name w:val="zbggmain style9"/>
    <w:uiPriority w:val="0"/>
    <w:rPr>
      <w:rFonts w:asciiTheme="minorHAnsi" w:hAnsiTheme="minorHAnsi" w:eastAsiaTheme="minorEastAsia" w:cstheme="minorBidi"/>
      <w:kern w:val="2"/>
      <w:sz w:val="21"/>
      <w:szCs w:val="22"/>
      <w:lang w:val="en-US" w:eastAsia="zh-CN" w:bidi="ar-SA"/>
    </w:rPr>
  </w:style>
  <w:style w:type="character" w:customStyle="1" w:styleId="82">
    <w:name w:val="正文文本缩进 3 字符1"/>
    <w:link w:val="35"/>
    <w:uiPriority w:val="0"/>
    <w:rPr>
      <w:rFonts w:ascii="Times New Roman" w:hAnsi="Times New Roman" w:eastAsia="宋体" w:cs="Times New Roman"/>
      <w:kern w:val="0"/>
      <w:sz w:val="24"/>
      <w:szCs w:val="24"/>
      <w:lang w:val="en-US" w:eastAsia="zh-CN" w:bidi="ar-SA"/>
    </w:rPr>
  </w:style>
  <w:style w:type="character" w:customStyle="1" w:styleId="83">
    <w:name w:val="正文文本缩进 字符1"/>
    <w:link w:val="17"/>
    <w:uiPriority w:val="0"/>
    <w:rPr>
      <w:rFonts w:ascii="Calibri" w:hAnsi="Calibri" w:eastAsia="宋体" w:cs="Times New Roman"/>
      <w:kern w:val="0"/>
      <w:sz w:val="20"/>
      <w:szCs w:val="20"/>
      <w:lang w:val="en-US" w:eastAsia="zh-CN" w:bidi="ar-SA"/>
    </w:rPr>
  </w:style>
  <w:style w:type="character" w:customStyle="1" w:styleId="84">
    <w:name w:val="正文首行缩进 2 字符1"/>
    <w:link w:val="28"/>
    <w:uiPriority w:val="0"/>
    <w:rPr>
      <w:rFonts w:ascii="Times New Roman" w:hAnsi="Times New Roman" w:eastAsiaTheme="minorEastAsia" w:cstheme="minorBidi"/>
      <w:kern w:val="2"/>
      <w:sz w:val="21"/>
      <w:szCs w:val="24"/>
      <w:lang w:val="en-US" w:eastAsia="zh-CN" w:bidi="ar-SA"/>
    </w:rPr>
  </w:style>
  <w:style w:type="character" w:customStyle="1" w:styleId="85">
    <w:name w:val="页眉 字符1"/>
    <w:link w:val="29"/>
    <w:uiPriority w:val="99"/>
    <w:rPr>
      <w:rFonts w:ascii="Times New Roman" w:hAnsi="Times New Roman" w:eastAsia="宋体" w:cs="Times New Roman"/>
      <w:kern w:val="0"/>
      <w:sz w:val="18"/>
      <w:szCs w:val="18"/>
      <w:lang w:val="en-US" w:eastAsia="zh-CN" w:bidi="ar-SA"/>
    </w:rPr>
  </w:style>
  <w:style w:type="character" w:customStyle="1" w:styleId="86">
    <w:name w:val="文档结构图 字符1"/>
    <w:link w:val="15"/>
    <w:uiPriority w:val="0"/>
    <w:rPr>
      <w:rFonts w:ascii="Times New Roman" w:hAnsi="Times New Roman" w:eastAsia="宋体" w:cs="Times New Roman"/>
      <w:kern w:val="0"/>
      <w:sz w:val="20"/>
      <w:szCs w:val="24"/>
      <w:lang w:val="en-US" w:eastAsia="zh-CN" w:bidi="ar-SA"/>
    </w:rPr>
  </w:style>
  <w:style w:type="character" w:customStyle="1" w:styleId="87">
    <w:name w:val="日期 字符1"/>
    <w:link w:val="24"/>
    <w:qFormat/>
    <w:uiPriority w:val="0"/>
    <w:rPr>
      <w:rFonts w:ascii="Times New Roman" w:hAnsi="Times New Roman" w:eastAsia="宋体" w:cs="Times New Roman"/>
      <w:b/>
      <w:bCs/>
      <w:kern w:val="0"/>
      <w:sz w:val="36"/>
      <w:szCs w:val="24"/>
      <w:lang w:val="en-US" w:eastAsia="zh-CN" w:bidi="ar-SA"/>
    </w:rPr>
  </w:style>
  <w:style w:type="character" w:customStyle="1" w:styleId="88">
    <w:name w:val="标题 字符1"/>
    <w:link w:val="45"/>
    <w:qFormat/>
    <w:uiPriority w:val="0"/>
    <w:rPr>
      <w:rFonts w:ascii="Arial" w:hAnsi="Arial" w:eastAsia="宋体" w:cs="Times New Roman"/>
      <w:b/>
      <w:bCs/>
      <w:kern w:val="0"/>
      <w:sz w:val="32"/>
      <w:szCs w:val="32"/>
      <w:lang w:val="en-US" w:eastAsia="zh-CN" w:bidi="ar-SA"/>
    </w:rPr>
  </w:style>
  <w:style w:type="paragraph" w:customStyle="1" w:styleId="89">
    <w:name w:val="样式2"/>
    <w:basedOn w:val="36"/>
    <w:qFormat/>
    <w:uiPriority w:val="0"/>
    <w:pPr>
      <w:ind w:firstLine="2720"/>
    </w:pPr>
    <w:rPr>
      <w:bCs/>
    </w:rPr>
  </w:style>
  <w:style w:type="paragraph" w:customStyle="1" w:styleId="90">
    <w:name w:val="0"/>
    <w:basedOn w:val="1"/>
    <w:qFormat/>
    <w:uiPriority w:val="0"/>
    <w:pPr>
      <w:widowControl/>
    </w:pPr>
    <w:rPr>
      <w:rFonts w:ascii="Times New Roman" w:hAnsi="Times New Roman" w:eastAsia="宋体" w:cs="Times New Roman"/>
      <w:kern w:val="0"/>
      <w:szCs w:val="20"/>
    </w:rPr>
  </w:style>
  <w:style w:type="paragraph" w:customStyle="1" w:styleId="91">
    <w:name w:val="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92">
    <w:name w:val="Blockquote"/>
    <w:basedOn w:val="1"/>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93">
    <w:name w:val="表1"/>
    <w:basedOn w:val="1"/>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宋体" w:cs="Times New Roman"/>
      <w:kern w:val="0"/>
      <w:sz w:val="24"/>
      <w:szCs w:val="20"/>
    </w:rPr>
  </w:style>
  <w:style w:type="paragraph" w:customStyle="1" w:styleId="94">
    <w:name w:val="Char"/>
    <w:basedOn w:val="1"/>
    <w:qFormat/>
    <w:uiPriority w:val="0"/>
    <w:pPr>
      <w:spacing w:line="360" w:lineRule="auto"/>
    </w:pPr>
    <w:rPr>
      <w:rFonts w:ascii="黑体" w:hAnsi="黑体" w:eastAsia="宋体" w:cs="Times New Roman"/>
      <w:sz w:val="24"/>
      <w:szCs w:val="24"/>
      <w:lang w:val="zh-CN"/>
    </w:rPr>
  </w:style>
  <w:style w:type="paragraph" w:customStyle="1" w:styleId="95">
    <w:name w:val="1 Char Char Char"/>
    <w:basedOn w:val="1"/>
    <w:next w:val="4"/>
    <w:uiPriority w:val="0"/>
    <w:pPr>
      <w:spacing w:line="500" w:lineRule="exact"/>
      <w:ind w:firstLine="200"/>
      <w:jc w:val="center"/>
    </w:pPr>
    <w:rPr>
      <w:rFonts w:ascii="仿宋_GB2312" w:hAnsi="Arial" w:eastAsia="仿宋_GB2312" w:cs="Arial"/>
      <w:bCs/>
      <w:sz w:val="32"/>
      <w:szCs w:val="32"/>
    </w:rPr>
  </w:style>
  <w:style w:type="paragraph" w:customStyle="1" w:styleId="96">
    <w:name w:val="z-窗体顶端1"/>
    <w:basedOn w:val="1"/>
    <w:next w:val="1"/>
    <w:link w:val="98"/>
    <w:qFormat/>
    <w:uiPriority w:val="0"/>
    <w:pPr>
      <w:pBdr>
        <w:bottom w:val="single" w:color="auto" w:sz="6" w:space="1"/>
      </w:pBdr>
      <w:jc w:val="center"/>
    </w:pPr>
    <w:rPr>
      <w:rFonts w:ascii="Arial" w:hAnsi="Arial" w:eastAsia="宋体" w:cs="Times New Roman"/>
      <w:vanish/>
      <w:kern w:val="0"/>
      <w:sz w:val="16"/>
      <w:szCs w:val="16"/>
    </w:rPr>
  </w:style>
  <w:style w:type="character" w:customStyle="1" w:styleId="97">
    <w:name w:val="z-窗体顶端 字符"/>
    <w:semiHidden/>
    <w:qFormat/>
    <w:uiPriority w:val="99"/>
    <w:rPr>
      <w:rFonts w:ascii="Arial" w:hAnsi="Arial" w:cs="Arial" w:eastAsiaTheme="minorEastAsia"/>
      <w:vanish/>
      <w:kern w:val="2"/>
      <w:sz w:val="16"/>
      <w:szCs w:val="16"/>
      <w:lang w:val="en-US" w:eastAsia="zh-CN" w:bidi="ar-SA"/>
    </w:rPr>
  </w:style>
  <w:style w:type="character" w:customStyle="1" w:styleId="98">
    <w:name w:val="z-窗体顶端 Char"/>
    <w:link w:val="96"/>
    <w:uiPriority w:val="0"/>
    <w:rPr>
      <w:rFonts w:ascii="Arial" w:hAnsi="Arial" w:eastAsia="宋体" w:cs="Times New Roman"/>
      <w:vanish/>
      <w:kern w:val="0"/>
      <w:sz w:val="16"/>
      <w:szCs w:val="16"/>
      <w:lang w:val="en-US" w:eastAsia="zh-CN" w:bidi="ar-SA"/>
    </w:rPr>
  </w:style>
  <w:style w:type="paragraph" w:customStyle="1" w:styleId="99">
    <w:name w:val="_Style 10"/>
    <w:basedOn w:val="1"/>
    <w:next w:val="1"/>
    <w:qFormat/>
    <w:uiPriority w:val="0"/>
    <w:rPr>
      <w:rFonts w:ascii="Times New Roman" w:hAnsi="Times New Roman" w:eastAsia="宋体" w:cs="Times New Roman"/>
      <w:szCs w:val="24"/>
    </w:rPr>
  </w:style>
  <w:style w:type="paragraph" w:customStyle="1" w:styleId="100">
    <w:name w:val="Char Char"/>
    <w:basedOn w:val="1"/>
    <w:uiPriority w:val="0"/>
    <w:rPr>
      <w:rFonts w:ascii="Tahoma" w:hAnsi="Tahoma" w:eastAsia="宋体" w:cs="Times New Roman"/>
      <w:sz w:val="24"/>
      <w:szCs w:val="20"/>
    </w:rPr>
  </w:style>
  <w:style w:type="paragraph" w:customStyle="1" w:styleId="101">
    <w:name w:val="默认段落字体 Para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102">
    <w:name w:val="Char Char Char Char"/>
    <w:basedOn w:val="1"/>
    <w:qFormat/>
    <w:uiPriority w:val="0"/>
    <w:rPr>
      <w:rFonts w:ascii="仿宋_GB2312" w:hAnsi="Times New Roman" w:eastAsia="仿宋_GB2312" w:cs="Times New Roman"/>
      <w:b/>
      <w:sz w:val="32"/>
      <w:szCs w:val="32"/>
    </w:rPr>
  </w:style>
  <w:style w:type="paragraph" w:customStyle="1" w:styleId="103">
    <w:name w:val="末级"/>
    <w:basedOn w:val="1"/>
    <w:uiPriority w:val="0"/>
    <w:pPr>
      <w:tabs>
        <w:tab w:val="left" w:pos="851"/>
      </w:tabs>
      <w:spacing w:line="360" w:lineRule="auto"/>
      <w:ind w:firstLine="510"/>
    </w:pPr>
    <w:rPr>
      <w:rFonts w:ascii="Times New Roman" w:hAnsi="Times New Roman" w:eastAsia="宋体" w:cs="Times New Roman"/>
      <w:sz w:val="24"/>
      <w:szCs w:val="24"/>
    </w:rPr>
  </w:style>
  <w:style w:type="paragraph" w:customStyle="1" w:styleId="104">
    <w:name w:val="样式1"/>
    <w:basedOn w:val="1"/>
    <w:qFormat/>
    <w:uiPriority w:val="0"/>
    <w:pPr>
      <w:spacing w:line="360" w:lineRule="auto"/>
      <w:jc w:val="center"/>
    </w:pPr>
    <w:rPr>
      <w:rFonts w:ascii="宋体" w:hAnsi="宋体" w:eastAsia="宋体" w:cs="Times New Roman"/>
      <w:sz w:val="32"/>
      <w:szCs w:val="30"/>
    </w:rPr>
  </w:style>
  <w:style w:type="paragraph" w:customStyle="1" w:styleId="105">
    <w:name w:val="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06">
    <w:name w:val="19"/>
    <w:basedOn w:val="1"/>
    <w:qFormat/>
    <w:uiPriority w:val="0"/>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107">
    <w:name w:val="正文段"/>
    <w:basedOn w:val="1"/>
    <w:qFormat/>
    <w:uiPriority w:val="0"/>
    <w:pPr>
      <w:spacing w:line="360" w:lineRule="auto"/>
      <w:ind w:firstLine="420"/>
    </w:pPr>
    <w:rPr>
      <w:rFonts w:ascii="宋体" w:hAnsi="Times New Roman" w:eastAsia="宋体" w:cs="Times New Roman"/>
      <w:sz w:val="24"/>
      <w:szCs w:val="24"/>
    </w:rPr>
  </w:style>
  <w:style w:type="paragraph" w:customStyle="1" w:styleId="108">
    <w:name w:val="表格一"/>
    <w:basedOn w:val="1"/>
    <w:uiPriority w:val="0"/>
    <w:pPr>
      <w:spacing w:line="240" w:lineRule="exact"/>
      <w:ind w:left="105" w:leftChars="50"/>
    </w:pPr>
    <w:rPr>
      <w:rFonts w:ascii="Times New Roman" w:hAnsi="Times New Roman" w:eastAsia="宋体" w:cs="Times New Roman"/>
      <w:sz w:val="18"/>
      <w:szCs w:val="21"/>
    </w:rPr>
  </w:style>
  <w:style w:type="paragraph" w:customStyle="1" w:styleId="109">
    <w:name w:val="样式 一号 加粗 居中"/>
    <w:basedOn w:val="1"/>
    <w:qFormat/>
    <w:uiPriority w:val="0"/>
    <w:pPr>
      <w:jc w:val="center"/>
    </w:pPr>
    <w:rPr>
      <w:rFonts w:ascii="Times New Roman" w:hAnsi="Times New Roman" w:eastAsia="宋体" w:cs="宋体"/>
      <w:bCs/>
      <w:sz w:val="52"/>
      <w:szCs w:val="20"/>
    </w:rPr>
  </w:style>
  <w:style w:type="paragraph" w:customStyle="1" w:styleId="110">
    <w:name w:val="Char 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11">
    <w:name w:val="z-窗体底端1"/>
    <w:basedOn w:val="1"/>
    <w:next w:val="1"/>
    <w:link w:val="113"/>
    <w:qFormat/>
    <w:uiPriority w:val="0"/>
    <w:pPr>
      <w:pBdr>
        <w:top w:val="single" w:color="auto" w:sz="6" w:space="1"/>
      </w:pBdr>
      <w:jc w:val="center"/>
    </w:pPr>
    <w:rPr>
      <w:rFonts w:ascii="Arial" w:hAnsi="Arial" w:eastAsia="宋体" w:cs="Times New Roman"/>
      <w:vanish/>
      <w:kern w:val="0"/>
      <w:sz w:val="16"/>
      <w:szCs w:val="16"/>
    </w:rPr>
  </w:style>
  <w:style w:type="character" w:customStyle="1" w:styleId="112">
    <w:name w:val="z-窗体底端 字符"/>
    <w:semiHidden/>
    <w:uiPriority w:val="99"/>
    <w:rPr>
      <w:rFonts w:ascii="Arial" w:hAnsi="Arial" w:cs="Arial" w:eastAsiaTheme="minorEastAsia"/>
      <w:vanish/>
      <w:kern w:val="2"/>
      <w:sz w:val="16"/>
      <w:szCs w:val="16"/>
      <w:lang w:val="en-US" w:eastAsia="zh-CN" w:bidi="ar-SA"/>
    </w:rPr>
  </w:style>
  <w:style w:type="character" w:customStyle="1" w:styleId="113">
    <w:name w:val="z-窗体底端 Char"/>
    <w:link w:val="111"/>
    <w:qFormat/>
    <w:uiPriority w:val="0"/>
    <w:rPr>
      <w:rFonts w:ascii="Arial" w:hAnsi="Arial" w:eastAsia="宋体" w:cs="Times New Roman"/>
      <w:vanish/>
      <w:kern w:val="0"/>
      <w:sz w:val="16"/>
      <w:szCs w:val="16"/>
      <w:lang w:val="en-US" w:eastAsia="zh-CN" w:bidi="ar-SA"/>
    </w:rPr>
  </w:style>
  <w:style w:type="character" w:customStyle="1" w:styleId="114">
    <w:name w:val="正文文本 字符1"/>
    <w:qFormat/>
    <w:uiPriority w:val="0"/>
    <w:rPr>
      <w:rFonts w:ascii="Calibri" w:hAnsi="Calibri" w:eastAsia="宋体" w:cs="Times New Roman"/>
      <w:kern w:val="2"/>
      <w:sz w:val="21"/>
      <w:szCs w:val="22"/>
      <w:lang w:val="en-US" w:eastAsia="zh-CN" w:bidi="ar-SA"/>
    </w:rPr>
  </w:style>
  <w:style w:type="character" w:customStyle="1" w:styleId="115">
    <w:name w:val="正文首行缩进 字符1"/>
    <w:link w:val="11"/>
    <w:uiPriority w:val="0"/>
    <w:rPr>
      <w:rFonts w:ascii="Times New Roman" w:hAnsi="Times New Roman" w:eastAsia="宋体" w:cs="Times New Roman"/>
      <w:kern w:val="0"/>
      <w:sz w:val="20"/>
      <w:szCs w:val="24"/>
      <w:lang w:val="en-US" w:eastAsia="zh-CN" w:bidi="ar-SA"/>
    </w:rPr>
  </w:style>
  <w:style w:type="character" w:customStyle="1" w:styleId="116">
    <w:name w:val="批注框文本 字符1"/>
    <w:link w:val="26"/>
    <w:uiPriority w:val="0"/>
    <w:rPr>
      <w:rFonts w:ascii="Times New Roman" w:hAnsi="Times New Roman" w:eastAsia="宋体" w:cs="Times New Roman"/>
      <w:kern w:val="0"/>
      <w:sz w:val="18"/>
      <w:szCs w:val="18"/>
      <w:lang w:val="en-US" w:eastAsia="zh-CN" w:bidi="ar-SA"/>
    </w:rPr>
  </w:style>
  <w:style w:type="character" w:customStyle="1" w:styleId="117">
    <w:name w:val="脚注文本 字符1"/>
    <w:link w:val="33"/>
    <w:qFormat/>
    <w:uiPriority w:val="0"/>
    <w:rPr>
      <w:rFonts w:ascii="Times New Roman" w:hAnsi="Times New Roman" w:eastAsia="宋体" w:cs="Times New Roman"/>
      <w:kern w:val="0"/>
      <w:sz w:val="18"/>
      <w:szCs w:val="18"/>
      <w:lang w:val="en-US" w:eastAsia="zh-CN" w:bidi="ar-SA"/>
    </w:rPr>
  </w:style>
  <w:style w:type="character" w:customStyle="1" w:styleId="118">
    <w:name w:val="纯文本 字符1"/>
    <w:link w:val="21"/>
    <w:qFormat/>
    <w:uiPriority w:val="0"/>
    <w:rPr>
      <w:rFonts w:ascii="宋体" w:hAnsi="Courier New" w:eastAsia="宋体" w:cs="Times New Roman"/>
      <w:kern w:val="0"/>
      <w:sz w:val="20"/>
      <w:szCs w:val="21"/>
      <w:lang w:val="en-US" w:eastAsia="zh-CN" w:bidi="ar-SA"/>
    </w:rPr>
  </w:style>
  <w:style w:type="paragraph" w:customStyle="1" w:styleId="119">
    <w:name w:val="Char1"/>
    <w:basedOn w:val="1"/>
    <w:qFormat/>
    <w:uiPriority w:val="0"/>
    <w:pPr>
      <w:widowControl/>
      <w:spacing w:after="160" w:line="240" w:lineRule="exact"/>
      <w:jc w:val="left"/>
    </w:pPr>
    <w:rPr>
      <w:rFonts w:ascii="Tahoma" w:hAnsi="Tahoma" w:eastAsia="宋体" w:cs="Times New Roman"/>
      <w:kern w:val="0"/>
      <w:sz w:val="24"/>
      <w:szCs w:val="24"/>
      <w:lang w:eastAsia="en-US"/>
    </w:rPr>
  </w:style>
  <w:style w:type="paragraph" w:customStyle="1" w:styleId="120">
    <w:name w:val="样式3"/>
    <w:basedOn w:val="4"/>
    <w:qFormat/>
    <w:uiPriority w:val="0"/>
    <w:pPr>
      <w:keepNext/>
      <w:keepLines/>
      <w:spacing w:before="120" w:after="120" w:line="360" w:lineRule="auto"/>
    </w:pPr>
    <w:rPr>
      <w:rFonts w:eastAsia="宋体"/>
      <w:sz w:val="24"/>
      <w:szCs w:val="24"/>
    </w:rPr>
  </w:style>
  <w:style w:type="paragraph" w:customStyle="1" w:styleId="121">
    <w:name w:val="表"/>
    <w:basedOn w:val="1"/>
    <w:uiPriority w:val="0"/>
    <w:pPr>
      <w:spacing w:line="360" w:lineRule="auto"/>
      <w:jc w:val="center"/>
    </w:pPr>
    <w:rPr>
      <w:rFonts w:ascii="Times New Roman" w:hAnsi="Times New Roman" w:eastAsia="宋体" w:cs="Times New Roman"/>
      <w:color w:val="000000"/>
      <w:szCs w:val="21"/>
    </w:rPr>
  </w:style>
  <w:style w:type="character" w:customStyle="1" w:styleId="122">
    <w:name w:val="正文文本 2 字符1"/>
    <w:link w:val="39"/>
    <w:qFormat/>
    <w:uiPriority w:val="0"/>
    <w:rPr>
      <w:rFonts w:ascii="Times New Roman" w:hAnsi="Times New Roman" w:eastAsia="宋体" w:cs="Times New Roman"/>
      <w:kern w:val="0"/>
      <w:sz w:val="20"/>
      <w:szCs w:val="24"/>
      <w:lang w:val="en-US" w:eastAsia="zh-CN" w:bidi="ar-SA"/>
    </w:rPr>
  </w:style>
  <w:style w:type="character" w:customStyle="1" w:styleId="123">
    <w:name w:val="正文文本缩进 2 字符1"/>
    <w:link w:val="25"/>
    <w:qFormat/>
    <w:uiPriority w:val="0"/>
    <w:rPr>
      <w:rFonts w:ascii="Times New Roman" w:hAnsi="Times New Roman" w:eastAsia="宋体" w:cs="Times New Roman"/>
      <w:kern w:val="0"/>
      <w:sz w:val="20"/>
      <w:szCs w:val="24"/>
      <w:lang w:val="en-US" w:eastAsia="zh-CN" w:bidi="ar-SA"/>
    </w:rPr>
  </w:style>
  <w:style w:type="character" w:customStyle="1" w:styleId="124">
    <w:name w:val="页脚 字符1"/>
    <w:link w:val="27"/>
    <w:qFormat/>
    <w:uiPriority w:val="99"/>
    <w:rPr>
      <w:rFonts w:ascii="Times New Roman" w:hAnsi="Times New Roman" w:eastAsia="宋体" w:cs="Times New Roman"/>
      <w:kern w:val="0"/>
      <w:sz w:val="18"/>
      <w:szCs w:val="18"/>
      <w:lang w:val="en-US" w:eastAsia="zh-CN" w:bidi="ar-SA"/>
    </w:rPr>
  </w:style>
  <w:style w:type="paragraph" w:customStyle="1" w:styleId="125">
    <w:name w:val="列出段落1"/>
    <w:basedOn w:val="1"/>
    <w:qFormat/>
    <w:uiPriority w:val="0"/>
    <w:pPr>
      <w:spacing w:before="100" w:beforeAutospacing="1" w:after="100" w:afterAutospacing="1" w:line="300" w:lineRule="auto"/>
      <w:ind w:firstLine="420" w:firstLineChars="200"/>
    </w:pPr>
    <w:rPr>
      <w:rFonts w:ascii="Calibri" w:hAnsi="Calibri" w:eastAsia="宋体" w:cs="Times New Roman"/>
    </w:rPr>
  </w:style>
  <w:style w:type="paragraph" w:customStyle="1" w:styleId="126">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0"/>
      <w:lang w:val="en-US" w:eastAsia="zh-CN" w:bidi="ar-SA"/>
    </w:rPr>
  </w:style>
  <w:style w:type="paragraph" w:customStyle="1" w:styleId="127">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character" w:customStyle="1" w:styleId="128">
    <w:name w:val="样式 样式1 + 首行缩进:  2 字符 Char"/>
    <w:link w:val="129"/>
    <w:qFormat/>
    <w:uiPriority w:val="0"/>
    <w:rPr>
      <w:rFonts w:ascii="Arial" w:hAnsi="Arial" w:eastAsiaTheme="minorEastAsia" w:cstheme="minorBidi"/>
      <w:kern w:val="2"/>
      <w:sz w:val="24"/>
      <w:szCs w:val="22"/>
      <w:lang w:val="en-US" w:eastAsia="zh-CN" w:bidi="ar-SA"/>
    </w:rPr>
  </w:style>
  <w:style w:type="paragraph" w:customStyle="1" w:styleId="129">
    <w:name w:val="样式 样式1 + 首行缩进:  2 字符"/>
    <w:basedOn w:val="104"/>
    <w:link w:val="128"/>
    <w:qFormat/>
    <w:uiPriority w:val="0"/>
    <w:pPr>
      <w:spacing w:line="360" w:lineRule="exact"/>
      <w:ind w:firstLine="420" w:firstLineChars="200"/>
      <w:jc w:val="both"/>
    </w:pPr>
    <w:rPr>
      <w:rFonts w:ascii="Arial" w:hAnsi="Arial" w:eastAsiaTheme="minorEastAsia" w:cstheme="minorBidi"/>
      <w:sz w:val="24"/>
      <w:szCs w:val="22"/>
    </w:rPr>
  </w:style>
  <w:style w:type="paragraph" w:customStyle="1" w:styleId="130">
    <w:name w:val="样式 标题 1 + (符号) Arial 三号"/>
    <w:basedOn w:val="2"/>
    <w:qFormat/>
    <w:uiPriority w:val="0"/>
    <w:pPr>
      <w:snapToGrid w:val="0"/>
      <w:spacing w:before="0" w:after="0" w:line="360" w:lineRule="auto"/>
    </w:pPr>
    <w:rPr>
      <w:sz w:val="32"/>
    </w:rPr>
  </w:style>
  <w:style w:type="character" w:customStyle="1" w:styleId="131">
    <w:name w:val="Char Char14"/>
    <w:qFormat/>
    <w:uiPriority w:val="0"/>
    <w:rPr>
      <w:rFonts w:ascii="宋体" w:hAnsi="Courier New" w:eastAsia="宋体" w:cs="Courier New"/>
      <w:kern w:val="2"/>
      <w:sz w:val="21"/>
      <w:szCs w:val="21"/>
      <w:lang w:val="en-US" w:eastAsia="zh-CN" w:bidi="ar-SA"/>
    </w:rPr>
  </w:style>
  <w:style w:type="paragraph" w:customStyle="1" w:styleId="132">
    <w:name w:val="_Style 5"/>
    <w:basedOn w:val="1"/>
    <w:next w:val="1"/>
    <w:qFormat/>
    <w:uiPriority w:val="0"/>
    <w:rPr>
      <w:rFonts w:ascii="Times New Roman" w:hAnsi="Times New Roman" w:eastAsia="宋体" w:cs="Times New Roman"/>
      <w:szCs w:val="20"/>
    </w:rPr>
  </w:style>
  <w:style w:type="paragraph" w:customStyle="1" w:styleId="133">
    <w:name w:val="reader-word-lay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4">
    <w:name w:val="!机场正文"/>
    <w:basedOn w:val="1"/>
    <w:qFormat/>
    <w:uiPriority w:val="0"/>
    <w:pPr>
      <w:spacing w:line="560" w:lineRule="exact"/>
      <w:ind w:firstLine="200" w:firstLineChars="200"/>
    </w:pPr>
    <w:rPr>
      <w:rFonts w:ascii="仿宋_GB2312" w:hAnsi="仿宋_GB2312" w:eastAsia="仿宋_GB2312" w:cs="Times New Roman"/>
      <w:sz w:val="32"/>
    </w:rPr>
  </w:style>
  <w:style w:type="character" w:customStyle="1" w:styleId="135">
    <w:name w:val="正文缩进 字符"/>
    <w:link w:val="13"/>
    <w:uiPriority w:val="0"/>
    <w:rPr>
      <w:rFonts w:ascii="宋体" w:hAnsi="Times New Roman" w:eastAsia="宋体" w:cs="Times New Roman"/>
      <w:kern w:val="0"/>
      <w:sz w:val="34"/>
      <w:szCs w:val="20"/>
      <w:lang w:val="en-US" w:eastAsia="zh-CN" w:bidi="ar-SA"/>
    </w:rPr>
  </w:style>
  <w:style w:type="character" w:customStyle="1" w:styleId="136">
    <w:name w:val="批注主题 Char1"/>
    <w:basedOn w:val="59"/>
    <w:semiHidden/>
    <w:qFormat/>
    <w:uiPriority w:val="99"/>
    <w:rPr>
      <w:b/>
      <w:bCs/>
      <w:kern w:val="2"/>
      <w:sz w:val="21"/>
      <w:szCs w:val="22"/>
    </w:rPr>
  </w:style>
  <w:style w:type="paragraph" w:customStyle="1" w:styleId="137">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38">
    <w:name w:val="列出段落21"/>
    <w:basedOn w:val="1"/>
    <w:qFormat/>
    <w:uiPriority w:val="0"/>
    <w:pPr>
      <w:ind w:firstLine="420" w:firstLineChars="200"/>
    </w:pPr>
    <w:rPr>
      <w:rFonts w:ascii="Calibri" w:hAnsi="Calibri" w:eastAsia="宋体" w:cs="Times New Roman"/>
    </w:rPr>
  </w:style>
  <w:style w:type="character" w:customStyle="1" w:styleId="139">
    <w:name w:val="批注文字 Char1"/>
    <w:basedOn w:val="46"/>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5556</Words>
  <Characters>31670</Characters>
  <Lines>263</Lines>
  <Paragraphs>74</Paragraphs>
  <TotalTime>0</TotalTime>
  <ScaleCrop>false</ScaleCrop>
  <LinksUpToDate>false</LinksUpToDate>
  <CharactersWithSpaces>37152</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2019-09-04T06:36:00Z</dcterms:created>
  <dc:creator>张治</dc:creator>
  <cp:lastModifiedBy>zbzx-jsx</cp:lastModifiedBy>
  <dcterms:modified xsi:type="dcterms:W3CDTF">2019-09-06T09:33:07Z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