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hint="eastAsia" w:ascii="黑体" w:hAnsi="黑体" w:eastAsia="黑体"/>
          <w:b/>
          <w:sz w:val="44"/>
          <w:szCs w:val="44"/>
          <w:lang w:eastAsia="zh-CN"/>
        </w:rPr>
      </w:pPr>
      <w:r>
        <w:rPr>
          <w:rFonts w:hint="eastAsia" w:eastAsia="黑体" w:cs="Calibri"/>
          <w:b/>
          <w:sz w:val="44"/>
          <w:szCs w:val="44"/>
          <w:u w:val="single"/>
          <w:lang w:eastAsia="zh-CN"/>
        </w:rPr>
        <w:t>飞行区围界防鼠网项目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w:t>
      </w:r>
      <w:r>
        <w:rPr>
          <w:rFonts w:hint="eastAsia" w:ascii="Calibri" w:hAnsi="Calibri" w:eastAsia="黑体" w:cs="Calibri"/>
          <w:sz w:val="32"/>
          <w:szCs w:val="32"/>
          <w:lang w:eastAsia="zh-CN"/>
        </w:rPr>
        <w:t>九</w:t>
      </w:r>
      <w:r>
        <w:rPr>
          <w:rFonts w:hint="eastAsia" w:ascii="Calibri" w:hAnsi="Calibri" w:eastAsia="黑体" w:cs="Calibri"/>
          <w:sz w:val="32"/>
          <w:szCs w:val="32"/>
        </w:rPr>
        <w:t>年</w:t>
      </w:r>
      <w:r>
        <w:rPr>
          <w:rFonts w:hint="eastAsia" w:ascii="Calibri" w:hAnsi="Calibri" w:eastAsia="黑体" w:cs="Calibri"/>
          <w:sz w:val="32"/>
          <w:szCs w:val="32"/>
          <w:lang w:eastAsia="zh-CN"/>
        </w:rPr>
        <w:t>九</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p>
    <w:p>
      <w:pPr>
        <w:spacing w:line="560" w:lineRule="exact"/>
        <w:jc w:val="center"/>
        <w:rPr>
          <w:b/>
          <w:bCs/>
          <w:sz w:val="44"/>
          <w:szCs w:val="44"/>
        </w:r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360" w:lineRule="auto"/>
        <w:rPr>
          <w:rFonts w:asciiTheme="minorEastAsia" w:hAnsiTheme="minorEastAsia" w:eastAsiaTheme="minorEastAsia" w:cstheme="minorBidi"/>
          <w:szCs w:val="22"/>
        </w:rPr>
      </w:pPr>
      <w:r>
        <w:rPr>
          <w:rFonts w:hint="eastAsia" w:asciiTheme="minorEastAsia" w:hAnsiTheme="minorEastAsia" w:eastAsiaTheme="minorEastAsia"/>
          <w:b/>
          <w:sz w:val="22"/>
          <w:szCs w:val="22"/>
        </w:rPr>
        <w:fldChar w:fldCharType="begin"/>
      </w:r>
      <w:r>
        <w:rPr>
          <w:rFonts w:hint="eastAsia" w:asciiTheme="minorEastAsia" w:hAnsiTheme="minorEastAsia" w:eastAsiaTheme="minorEastAsia"/>
          <w:b/>
          <w:sz w:val="22"/>
          <w:szCs w:val="22"/>
        </w:rPr>
        <w:instrText xml:space="preserve"> TOC \o "1-1" \h \z \u </w:instrText>
      </w:r>
      <w:r>
        <w:rPr>
          <w:rFonts w:hint="eastAsia" w:asciiTheme="minorEastAsia" w:hAnsiTheme="minorEastAsia" w:eastAsiaTheme="minorEastAsia"/>
          <w:b/>
          <w:sz w:val="22"/>
          <w:szCs w:val="22"/>
        </w:rPr>
        <w:fldChar w:fldCharType="separate"/>
      </w:r>
      <w:r>
        <w:fldChar w:fldCharType="begin"/>
      </w:r>
      <w:r>
        <w:instrText xml:space="preserve"> HYPERLINK \l "_Toc450630556" </w:instrText>
      </w:r>
      <w:r>
        <w:fldChar w:fldCharType="separate"/>
      </w:r>
      <w:r>
        <w:rPr>
          <w:rStyle w:val="56"/>
          <w:rFonts w:hint="eastAsia" w:asciiTheme="minorEastAsia" w:hAnsiTheme="minorEastAsia" w:eastAsiaTheme="minorEastAsia"/>
        </w:rPr>
        <w:t>第一章</w:t>
      </w:r>
      <w:r>
        <w:rPr>
          <w:rStyle w:val="56"/>
          <w:rFonts w:asciiTheme="minorEastAsia" w:hAnsiTheme="minorEastAsia" w:eastAsiaTheme="minorEastAsia"/>
        </w:rPr>
        <w:t xml:space="preserve"> </w:t>
      </w:r>
      <w:r>
        <w:rPr>
          <w:rStyle w:val="56"/>
          <w:rFonts w:hint="eastAsia" w:asciiTheme="minorEastAsia" w:hAnsiTheme="minorEastAsia" w:eastAsiaTheme="minorEastAsia"/>
        </w:rPr>
        <w:t xml:space="preserve"> 招标公告</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_Toc450630556 \h </w:instrText>
      </w:r>
      <w:r>
        <w:rPr>
          <w:rFonts w:asciiTheme="minorEastAsia" w:hAnsiTheme="minorEastAsia" w:eastAsiaTheme="minorEastAsia"/>
        </w:rPr>
        <w:fldChar w:fldCharType="separate"/>
      </w:r>
      <w:r>
        <w:rPr>
          <w:rFonts w:asciiTheme="minorEastAsia" w:hAnsiTheme="minorEastAsia" w:eastAsiaTheme="minorEastAsia"/>
        </w:rPr>
        <w:t>- 2 -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9"/>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"_Toc450630558" </w:instrText>
      </w:r>
      <w:r>
        <w:fldChar w:fldCharType="separate"/>
      </w:r>
      <w:r>
        <w:rPr>
          <w:rStyle w:val="56"/>
          <w:rFonts w:hint="eastAsia" w:asciiTheme="minorEastAsia" w:hAnsiTheme="minorEastAsia" w:eastAsiaTheme="minorEastAsia"/>
        </w:rPr>
        <w:t>第二章</w:t>
      </w:r>
      <w:r>
        <w:rPr>
          <w:rStyle w:val="56"/>
          <w:rFonts w:asciiTheme="minorEastAsia" w:hAnsiTheme="minorEastAsia" w:eastAsiaTheme="minorEastAsia"/>
        </w:rPr>
        <w:t xml:space="preserve">  </w:t>
      </w:r>
      <w:r>
        <w:rPr>
          <w:rStyle w:val="56"/>
          <w:rFonts w:hint="eastAsia" w:asciiTheme="minorEastAsia" w:hAnsiTheme="minorEastAsia" w:eastAsiaTheme="minorEastAsia"/>
        </w:rPr>
        <w:t>投标人须知</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_Toc450630558 \h </w:instrText>
      </w:r>
      <w:r>
        <w:rPr>
          <w:rFonts w:asciiTheme="minorEastAsia" w:hAnsiTheme="minorEastAsia" w:eastAsiaTheme="minorEastAsia"/>
        </w:rPr>
        <w:fldChar w:fldCharType="separate"/>
      </w:r>
      <w:r>
        <w:rPr>
          <w:rFonts w:asciiTheme="minorEastAsia" w:hAnsiTheme="minorEastAsia" w:eastAsiaTheme="minorEastAsia"/>
        </w:rPr>
        <w:t>- 3 -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9"/>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"_Toc450630559" </w:instrText>
      </w:r>
      <w:r>
        <w:fldChar w:fldCharType="separate"/>
      </w:r>
      <w:r>
        <w:rPr>
          <w:rStyle w:val="56"/>
          <w:rFonts w:hint="eastAsia" w:asciiTheme="minorEastAsia" w:hAnsiTheme="minorEastAsia" w:eastAsiaTheme="minorEastAsia"/>
        </w:rPr>
        <w:t>第三章</w:t>
      </w:r>
      <w:r>
        <w:rPr>
          <w:rStyle w:val="56"/>
          <w:rFonts w:asciiTheme="minorEastAsia" w:hAnsiTheme="minorEastAsia" w:eastAsiaTheme="minorEastAsia"/>
        </w:rPr>
        <w:t xml:space="preserve">  </w:t>
      </w:r>
      <w:r>
        <w:rPr>
          <w:rStyle w:val="56"/>
          <w:rFonts w:hint="eastAsia" w:asciiTheme="minorEastAsia" w:hAnsiTheme="minorEastAsia" w:eastAsiaTheme="minorEastAsia"/>
        </w:rPr>
        <w:t>合同条款及格式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_Toc450630559 \h </w:instrText>
      </w:r>
      <w:r>
        <w:rPr>
          <w:rFonts w:asciiTheme="minorEastAsia" w:hAnsiTheme="minorEastAsia" w:eastAsiaTheme="minorEastAsia"/>
        </w:rPr>
        <w:fldChar w:fldCharType="separate"/>
      </w:r>
      <w:r>
        <w:rPr>
          <w:rFonts w:asciiTheme="minorEastAsia" w:hAnsiTheme="minorEastAsia" w:eastAsiaTheme="minorEastAsia"/>
        </w:rPr>
        <w:t>- 11 -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9"/>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"_Toc450630562" </w:instrText>
      </w:r>
      <w:r>
        <w:fldChar w:fldCharType="separate"/>
      </w:r>
      <w:r>
        <w:rPr>
          <w:rStyle w:val="56"/>
          <w:rFonts w:hint="eastAsia" w:asciiTheme="minorEastAsia" w:hAnsiTheme="minorEastAsia" w:eastAsiaTheme="minorEastAsia"/>
        </w:rPr>
        <w:t>第四章</w:t>
      </w:r>
      <w:r>
        <w:rPr>
          <w:rStyle w:val="56"/>
          <w:rFonts w:asciiTheme="minorEastAsia" w:hAnsiTheme="minorEastAsia" w:eastAsiaTheme="minorEastAsia"/>
        </w:rPr>
        <w:t xml:space="preserve">  </w:t>
      </w:r>
      <w:r>
        <w:rPr>
          <w:rStyle w:val="56"/>
          <w:rFonts w:hint="eastAsia" w:asciiTheme="minorEastAsia" w:hAnsiTheme="minorEastAsia" w:eastAsiaTheme="minorEastAsia"/>
        </w:rPr>
        <w:t>工程量清单</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_Toc450630562 \h </w:instrText>
      </w:r>
      <w:r>
        <w:rPr>
          <w:rFonts w:asciiTheme="minorEastAsia" w:hAnsiTheme="minorEastAsia" w:eastAsiaTheme="minorEastAsia"/>
        </w:rPr>
        <w:fldChar w:fldCharType="separate"/>
      </w:r>
      <w:r>
        <w:rPr>
          <w:rFonts w:asciiTheme="minorEastAsia" w:hAnsiTheme="minorEastAsia" w:eastAsiaTheme="minorEastAsia"/>
        </w:rPr>
        <w:t>- 30 -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9"/>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"_Toc450630563" </w:instrText>
      </w:r>
      <w:r>
        <w:fldChar w:fldCharType="separate"/>
      </w:r>
      <w:r>
        <w:rPr>
          <w:rStyle w:val="56"/>
          <w:rFonts w:hint="eastAsia" w:asciiTheme="minorEastAsia" w:hAnsiTheme="minorEastAsia" w:eastAsiaTheme="minorEastAsia"/>
        </w:rPr>
        <w:t>第五章</w:t>
      </w:r>
      <w:r>
        <w:rPr>
          <w:rStyle w:val="56"/>
          <w:rFonts w:asciiTheme="minorEastAsia" w:hAnsiTheme="minorEastAsia" w:eastAsiaTheme="minorEastAsia"/>
        </w:rPr>
        <w:t xml:space="preserve">  </w:t>
      </w:r>
      <w:r>
        <w:rPr>
          <w:rStyle w:val="56"/>
          <w:rFonts w:hint="eastAsia" w:asciiTheme="minorEastAsia" w:hAnsiTheme="minorEastAsia" w:eastAsiaTheme="minorEastAsia"/>
        </w:rPr>
        <w:t>技术标准和要求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_Toc450630563 \h </w:instrText>
      </w:r>
      <w:r>
        <w:rPr>
          <w:rFonts w:asciiTheme="minorEastAsia" w:hAnsiTheme="minorEastAsia" w:eastAsiaTheme="minorEastAsia"/>
        </w:rPr>
        <w:fldChar w:fldCharType="separate"/>
      </w:r>
      <w:r>
        <w:rPr>
          <w:rFonts w:asciiTheme="minorEastAsia" w:hAnsiTheme="minorEastAsia" w:eastAsiaTheme="minorEastAsia"/>
        </w:rPr>
        <w:t>- 31 -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9"/>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"_Toc450630564" </w:instrText>
      </w:r>
      <w:r>
        <w:fldChar w:fldCharType="separate"/>
      </w:r>
      <w:r>
        <w:rPr>
          <w:rStyle w:val="56"/>
          <w:rFonts w:hint="eastAsia" w:asciiTheme="minorEastAsia" w:hAnsiTheme="minorEastAsia" w:eastAsiaTheme="minorEastAsia"/>
        </w:rPr>
        <w:t>第六章</w:t>
      </w:r>
      <w:r>
        <w:rPr>
          <w:rStyle w:val="56"/>
          <w:rFonts w:asciiTheme="minorEastAsia" w:hAnsiTheme="minorEastAsia" w:eastAsiaTheme="minorEastAsia"/>
        </w:rPr>
        <w:t xml:space="preserve">  </w:t>
      </w:r>
      <w:r>
        <w:rPr>
          <w:rStyle w:val="56"/>
          <w:rFonts w:hint="eastAsia" w:asciiTheme="minorEastAsia" w:hAnsiTheme="minorEastAsia" w:eastAsiaTheme="minorEastAsia"/>
        </w:rPr>
        <w:t>评标办法及标准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_Toc450630564 \h </w:instrText>
      </w:r>
      <w:r>
        <w:rPr>
          <w:rFonts w:asciiTheme="minorEastAsia" w:hAnsiTheme="minorEastAsia" w:eastAsiaTheme="minorEastAsia"/>
        </w:rPr>
        <w:fldChar w:fldCharType="separate"/>
      </w:r>
      <w:r>
        <w:rPr>
          <w:rFonts w:asciiTheme="minorEastAsia" w:hAnsiTheme="minorEastAsia" w:eastAsiaTheme="minorEastAsia"/>
        </w:rPr>
        <w:t>- 32 -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9"/>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"_Toc450630565" </w:instrText>
      </w:r>
      <w:r>
        <w:fldChar w:fldCharType="separate"/>
      </w:r>
      <w:r>
        <w:rPr>
          <w:rStyle w:val="56"/>
          <w:rFonts w:hint="eastAsia" w:asciiTheme="minorEastAsia" w:hAnsiTheme="minorEastAsia" w:eastAsiaTheme="minorEastAsia"/>
        </w:rPr>
        <w:t>第七章</w:t>
      </w:r>
      <w:r>
        <w:rPr>
          <w:rStyle w:val="56"/>
          <w:rFonts w:asciiTheme="minorEastAsia" w:hAnsiTheme="minorEastAsia" w:eastAsiaTheme="minorEastAsia"/>
        </w:rPr>
        <w:t xml:space="preserve">  </w:t>
      </w:r>
      <w:r>
        <w:rPr>
          <w:rStyle w:val="56"/>
          <w:rFonts w:hint="eastAsia" w:asciiTheme="minorEastAsia" w:hAnsiTheme="minorEastAsia" w:eastAsiaTheme="minorEastAsia"/>
        </w:rPr>
        <w:t>投标文件格式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_Toc450630565 \h </w:instrText>
      </w:r>
      <w:r>
        <w:rPr>
          <w:rFonts w:asciiTheme="minorEastAsia" w:hAnsiTheme="minorEastAsia" w:eastAsiaTheme="minorEastAsia"/>
        </w:rPr>
        <w:fldChar w:fldCharType="separate"/>
      </w:r>
      <w:r>
        <w:rPr>
          <w:rFonts w:asciiTheme="minorEastAsia" w:hAnsiTheme="minorEastAsia" w:eastAsiaTheme="minorEastAsia"/>
        </w:rPr>
        <w:t>- 35 -</w:t>
      </w:r>
      <w:r>
        <w:rPr>
          <w:rFonts w:asciiTheme="minorEastAsia" w:hAnsiTheme="minorEastAsia" w:eastAsiaTheme="minorEastAsia"/>
        </w:rPr>
        <w:fldChar w:fldCharType="end"/>
      </w:r>
      <w:r>
        <w:rPr>
          <w:rFonts w:asciiTheme="minorEastAsia" w:hAnsiTheme="minorEastAsia" w:eastAsiaTheme="minorEastAsia"/>
        </w:rPr>
        <w:fldChar w:fldCharType="end"/>
      </w:r>
    </w:p>
    <w:p>
      <w:pPr>
        <w:tabs>
          <w:tab w:val="right" w:leader="dot" w:pos="8364"/>
        </w:tabs>
        <w:spacing w:line="360" w:lineRule="auto"/>
        <w:rPr>
          <w:b/>
        </w:rPr>
      </w:pPr>
      <w:r>
        <w:rPr>
          <w:rFonts w:hint="eastAsia" w:asciiTheme="minorEastAsia" w:hAnsiTheme="minorEastAsia"/>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450630556"/>
      <w:r>
        <w:rPr>
          <w:rFonts w:hint="eastAsia"/>
        </w:rPr>
        <w:t>第一章 招标公告</w:t>
      </w:r>
      <w:bookmarkEnd w:id="0"/>
    </w:p>
    <w:p>
      <w:pPr>
        <w:widowControl/>
        <w:snapToGrid w:val="0"/>
        <w:spacing w:line="360" w:lineRule="exact"/>
        <w:jc w:val="left"/>
        <w:rPr>
          <w:rFonts w:cs="Arial" w:asciiTheme="minorEastAsia" w:hAnsiTheme="minorEastAsia"/>
          <w:b/>
          <w:bCs/>
          <w:kern w:val="0"/>
          <w:sz w:val="22"/>
        </w:rPr>
      </w:pPr>
    </w:p>
    <w:p>
      <w:pPr>
        <w:widowControl/>
        <w:snapToGrid w:val="0"/>
        <w:spacing w:line="340" w:lineRule="exact"/>
        <w:jc w:val="left"/>
        <w:rPr>
          <w:rFonts w:cs="Arial" w:asciiTheme="minorEastAsia" w:hAnsiTheme="minorEastAsia"/>
          <w:b/>
          <w:bCs/>
          <w:kern w:val="0"/>
          <w:sz w:val="22"/>
        </w:rPr>
      </w:pPr>
      <w:bookmarkStart w:id="183" w:name="_GoBack"/>
      <w:bookmarkStart w:id="1" w:name="OLE_LINK2"/>
      <w:r>
        <w:rPr>
          <w:rFonts w:hint="eastAsia" w:cs="Arial" w:asciiTheme="minorEastAsia" w:hAnsiTheme="minorEastAsia"/>
          <w:b/>
          <w:bCs/>
          <w:kern w:val="0"/>
          <w:sz w:val="22"/>
        </w:rPr>
        <w:t>一、招标内容</w:t>
      </w:r>
    </w:p>
    <w:p>
      <w:pPr>
        <w:widowControl/>
        <w:snapToGrid w:val="0"/>
        <w:spacing w:line="360" w:lineRule="exact"/>
        <w:ind w:firstLine="440" w:firstLineChars="200"/>
        <w:jc w:val="left"/>
        <w:rPr>
          <w:rFonts w:ascii="宋体" w:hAnsi="宋体" w:cs="Arial"/>
          <w:kern w:val="0"/>
          <w:sz w:val="22"/>
        </w:rPr>
      </w:pPr>
      <w:r>
        <w:rPr>
          <w:rFonts w:hint="eastAsia" w:ascii="宋体" w:hAnsi="宋体" w:cs="Arial"/>
          <w:kern w:val="0"/>
          <w:sz w:val="22"/>
        </w:rPr>
        <w:t>杭州萧山国际机场</w:t>
      </w:r>
      <w:r>
        <w:rPr>
          <w:rFonts w:hint="eastAsia" w:ascii="宋体" w:hAnsi="宋体" w:cs="Arial"/>
          <w:kern w:val="0"/>
          <w:sz w:val="22"/>
          <w:lang w:eastAsia="zh-CN"/>
        </w:rPr>
        <w:t>飞行区围界防鼠网项目</w:t>
      </w:r>
      <w:r>
        <w:rPr>
          <w:rFonts w:hint="eastAsia" w:ascii="宋体" w:hAnsi="宋体" w:cs="Arial"/>
          <w:kern w:val="0"/>
          <w:sz w:val="22"/>
        </w:rPr>
        <w:t>已批准建设，项目业主为杭州萧山国际机场有限公司，建设资金来源为自筹。项目已具备招标条件，现对本项目进行公开招标。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项目名称：杭州萧山国际机场</w:t>
      </w:r>
      <w:r>
        <w:rPr>
          <w:rFonts w:hint="eastAsia" w:ascii="宋体" w:hAnsi="宋体" w:cs="Arial"/>
          <w:kern w:val="0"/>
          <w:sz w:val="22"/>
          <w:lang w:eastAsia="zh-CN"/>
        </w:rPr>
        <w:t>飞行区围界防鼠网项目</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施工地点：杭州萧山国际机场飞行区内</w:t>
      </w:r>
    </w:p>
    <w:p>
      <w:pPr>
        <w:widowControl/>
        <w:snapToGrid w:val="0"/>
        <w:spacing w:line="360" w:lineRule="exact"/>
        <w:ind w:firstLine="440" w:firstLineChars="200"/>
        <w:jc w:val="left"/>
        <w:rPr>
          <w:rFonts w:hint="eastAsia" w:ascii="宋体" w:hAnsi="宋体" w:cs="Arial"/>
          <w:kern w:val="0"/>
          <w:sz w:val="22"/>
          <w:lang w:val="en-US" w:eastAsia="zh-CN"/>
        </w:rPr>
      </w:pPr>
      <w:r>
        <w:rPr>
          <w:rFonts w:hint="eastAsia" w:ascii="宋体" w:hAnsi="宋体" w:cs="Arial"/>
          <w:kern w:val="0"/>
          <w:sz w:val="22"/>
        </w:rPr>
        <w:t>主要内容：</w:t>
      </w:r>
      <w:r>
        <w:rPr>
          <w:rFonts w:hint="eastAsia" w:ascii="宋体" w:hAnsi="宋体" w:cs="Arial"/>
          <w:kern w:val="0"/>
          <w:sz w:val="22"/>
          <w:lang w:val="en-US" w:eastAsia="zh-CN"/>
        </w:rPr>
        <w:t>在杭州萧山国际机场空陆侧交界的重点区域（包括配餐公司用房、二次供水站、垃圾站等）靠近飞行区侧的围界加装防鼠网。</w:t>
      </w:r>
    </w:p>
    <w:p>
      <w:pPr>
        <w:widowControl/>
        <w:snapToGrid w:val="0"/>
        <w:spacing w:line="360" w:lineRule="exact"/>
        <w:ind w:firstLine="440" w:firstLineChars="200"/>
        <w:jc w:val="left"/>
        <w:rPr>
          <w:rFonts w:hint="eastAsia" w:ascii="宋体" w:hAnsi="宋体" w:cs="Arial"/>
          <w:kern w:val="0"/>
          <w:sz w:val="22"/>
        </w:rPr>
      </w:pPr>
      <w:r>
        <w:rPr>
          <w:rFonts w:hint="eastAsia" w:ascii="宋体" w:hAnsi="宋体" w:cs="Arial"/>
          <w:kern w:val="0"/>
          <w:sz w:val="22"/>
        </w:rPr>
        <w:t>（2）招标内容：</w:t>
      </w:r>
      <w:r>
        <w:rPr>
          <w:rFonts w:hint="eastAsia" w:ascii="宋体" w:hAnsi="宋体" w:cs="Arial"/>
          <w:kern w:val="0"/>
          <w:sz w:val="22"/>
          <w:lang w:val="en-US" w:eastAsia="zh-CN"/>
        </w:rPr>
        <w:t>安装防鼠网总长度4813米，高度0.6米，面积为2887.8平方米。</w:t>
      </w:r>
      <w:r>
        <w:rPr>
          <w:rFonts w:hint="eastAsia" w:ascii="宋体" w:hAnsi="宋体" w:cs="Arial"/>
          <w:kern w:val="0"/>
          <w:sz w:val="22"/>
        </w:rPr>
        <w:t>具体招标内容及工程量见《第四章工程量清单》</w:t>
      </w:r>
      <w:r>
        <w:rPr>
          <w:rFonts w:hint="eastAsia" w:ascii="宋体" w:hAnsi="宋体" w:cs="Arial"/>
          <w:kern w:val="0"/>
          <w:sz w:val="22"/>
          <w:lang w:eastAsia="zh-CN"/>
        </w:rPr>
        <w:t>，</w:t>
      </w:r>
      <w:r>
        <w:rPr>
          <w:rFonts w:hint="eastAsia" w:ascii="宋体" w:hAnsi="宋体" w:cs="Arial"/>
          <w:kern w:val="0"/>
          <w:sz w:val="22"/>
          <w:lang w:val="en-US" w:eastAsia="zh-CN"/>
        </w:rPr>
        <w:t>具体要求见《第五章技术标准和要求》，</w:t>
      </w:r>
      <w:r>
        <w:rPr>
          <w:rFonts w:hint="eastAsia" w:ascii="宋体" w:hAnsi="宋体" w:cs="Arial"/>
          <w:kern w:val="0"/>
          <w:sz w:val="22"/>
        </w:rPr>
        <w:t>报价方式见《第七章投标文件格式》</w:t>
      </w:r>
      <w:r>
        <w:rPr>
          <w:rFonts w:hint="eastAsia" w:ascii="宋体" w:hAnsi="宋体" w:cs="Arial"/>
          <w:kern w:val="0"/>
          <w:sz w:val="22"/>
          <w:lang w:eastAsia="zh-CN"/>
        </w:rPr>
        <w:t>。</w:t>
      </w:r>
    </w:p>
    <w:p>
      <w:pPr>
        <w:widowControl/>
        <w:snapToGrid w:val="0"/>
        <w:spacing w:line="360" w:lineRule="exact"/>
        <w:ind w:firstLine="440" w:firstLineChars="200"/>
        <w:jc w:val="left"/>
        <w:rPr>
          <w:rFonts w:ascii="宋体" w:hAnsi="宋体" w:cs="Arial"/>
          <w:kern w:val="0"/>
          <w:sz w:val="22"/>
        </w:rPr>
      </w:pPr>
      <w:r>
        <w:rPr>
          <w:rFonts w:hint="eastAsia" w:ascii="宋体" w:hAnsi="宋体" w:cs="Arial"/>
          <w:kern w:val="0"/>
          <w:sz w:val="22"/>
        </w:rPr>
        <w:t>（3）本工程设一个标段，要求</w:t>
      </w:r>
      <w:r>
        <w:rPr>
          <w:rFonts w:hint="eastAsia" w:ascii="宋体" w:hAnsi="宋体" w:cs="Arial"/>
          <w:kern w:val="0"/>
          <w:sz w:val="22"/>
          <w:lang w:eastAsia="zh-CN"/>
        </w:rPr>
        <w:t>在</w:t>
      </w:r>
      <w:r>
        <w:rPr>
          <w:rFonts w:hint="eastAsia" w:ascii="宋体" w:hAnsi="宋体" w:cs="Arial"/>
          <w:kern w:val="0"/>
          <w:sz w:val="22"/>
        </w:rPr>
        <w:t>合同签订后</w:t>
      </w:r>
      <w:r>
        <w:rPr>
          <w:rFonts w:hint="eastAsia" w:ascii="宋体" w:hAnsi="宋体" w:cs="Arial"/>
          <w:kern w:val="0"/>
          <w:sz w:val="22"/>
          <w:lang w:eastAsia="zh-CN"/>
        </w:rPr>
        <w:t>，得到发包人开工指令后</w:t>
      </w:r>
      <w:r>
        <w:rPr>
          <w:rFonts w:hint="eastAsia" w:ascii="宋体" w:hAnsi="宋体" w:cs="Arial"/>
          <w:kern w:val="0"/>
          <w:sz w:val="22"/>
          <w:lang w:val="en-US" w:eastAsia="zh-CN"/>
        </w:rPr>
        <w:t>60</w:t>
      </w:r>
      <w:r>
        <w:rPr>
          <w:rFonts w:hint="eastAsia" w:ascii="宋体" w:hAnsi="宋体" w:cs="Arial"/>
          <w:kern w:val="0"/>
          <w:sz w:val="22"/>
        </w:rPr>
        <w:t>日历天内完工。</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二、投标人资格要求</w:t>
      </w:r>
      <w:r>
        <w:rPr>
          <w:rFonts w:cs="Arial" w:asciiTheme="minorEastAsia" w:hAnsiTheme="minorEastAsia"/>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cs="Arial" w:asciiTheme="minorEastAsia" w:hAnsiTheme="minorEastAsia"/>
          <w:kern w:val="0"/>
          <w:sz w:val="22"/>
        </w:rPr>
        <w:t>（1）</w:t>
      </w:r>
      <w:r>
        <w:rPr>
          <w:rFonts w:ascii="宋体" w:hAnsi="宋体" w:cs="Arial"/>
          <w:kern w:val="0"/>
          <w:sz w:val="22"/>
        </w:rPr>
        <w:t>具有独立法人资格，持有有效营业执照；</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（2）近年（201</w:t>
      </w:r>
      <w:r>
        <w:rPr>
          <w:rFonts w:hint="eastAsia" w:ascii="宋体" w:hAnsi="宋体" w:cs="Arial"/>
          <w:kern w:val="0"/>
          <w:sz w:val="22"/>
          <w:lang w:val="en-US" w:eastAsia="zh-CN"/>
        </w:rPr>
        <w:t>6</w:t>
      </w:r>
      <w:r>
        <w:rPr>
          <w:rFonts w:hint="eastAsia" w:ascii="宋体" w:hAnsi="宋体" w:cs="Arial"/>
          <w:kern w:val="0"/>
          <w:sz w:val="22"/>
        </w:rPr>
        <w:t xml:space="preserve">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 </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w:t>
      </w:r>
      <w:r>
        <w:rPr>
          <w:rFonts w:hint="eastAsia" w:cs="Arial" w:asciiTheme="minorEastAsia" w:hAnsiTheme="minorEastAsia"/>
          <w:kern w:val="0"/>
          <w:sz w:val="22"/>
          <w:lang w:val="en-US" w:eastAsia="zh-CN"/>
        </w:rPr>
        <w:t>3</w:t>
      </w:r>
      <w:r>
        <w:rPr>
          <w:rFonts w:hint="eastAsia" w:cs="Arial" w:asciiTheme="minorEastAsia" w:hAnsiTheme="minorEastAsia"/>
          <w:kern w:val="0"/>
          <w:sz w:val="22"/>
        </w:rPr>
        <w:t>）</w:t>
      </w:r>
      <w:r>
        <w:rPr>
          <w:rFonts w:cs="Arial" w:asciiTheme="minorEastAsia" w:hAnsiTheme="minorEastAsia"/>
          <w:kern w:val="0"/>
          <w:sz w:val="22"/>
        </w:rPr>
        <w:t>本项目不接受联合</w:t>
      </w:r>
      <w:r>
        <w:rPr>
          <w:rFonts w:hint="eastAsia" w:cs="Arial" w:asciiTheme="minorEastAsia" w:hAnsiTheme="minorEastAsia"/>
          <w:kern w:val="0"/>
          <w:sz w:val="22"/>
        </w:rPr>
        <w:t>体</w:t>
      </w:r>
      <w:r>
        <w:rPr>
          <w:rFonts w:cs="Arial" w:asciiTheme="minorEastAsia" w:hAnsiTheme="minorEastAsia"/>
          <w:kern w:val="0"/>
          <w:sz w:val="22"/>
        </w:rPr>
        <w:t>投标</w:t>
      </w:r>
      <w:r>
        <w:rPr>
          <w:rFonts w:hint="eastAsia" w:cs="Arial" w:asciiTheme="minorEastAsia" w:hAnsiTheme="minorEastAsia"/>
          <w:kern w:val="0"/>
          <w:sz w:val="22"/>
        </w:rPr>
        <w:t>。</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三、招标文件获取</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w:t>
      </w:r>
      <w:bookmarkStart w:id="2" w:name="OLE_LINK1"/>
      <w:r>
        <w:rPr>
          <w:rFonts w:hint="eastAsia" w:ascii="宋体" w:hAnsi="宋体" w:cs="Arial"/>
          <w:kern w:val="0"/>
          <w:sz w:val="22"/>
        </w:rPr>
        <w:t>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29</w:t>
      </w:r>
      <w:r>
        <w:rPr>
          <w:rFonts w:hint="eastAsia" w:ascii="宋体" w:hAnsi="宋体" w:cs="Arial"/>
          <w:kern w:val="0"/>
          <w:sz w:val="22"/>
        </w:rPr>
        <w:t>日上午</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w:t>
      </w:r>
      <w:bookmarkEnd w:id="2"/>
      <w:r>
        <w:rPr>
          <w:rFonts w:hint="eastAsia" w:ascii="宋体" w:hAnsi="宋体" w:cs="Arial"/>
          <w:kern w:val="0"/>
          <w:sz w:val="22"/>
        </w:rPr>
        <w:t>（北京时间）。投标文件在封口处加盖公章，并派专人于201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29</w:t>
      </w:r>
      <w:r>
        <w:rPr>
          <w:rFonts w:hint="eastAsia" w:ascii="宋体" w:hAnsi="宋体" w:cs="Arial"/>
          <w:kern w:val="0"/>
          <w:sz w:val="22"/>
        </w:rPr>
        <w:t>日上午</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分（北京时间）前送至杭州萧山国际机场翔越路综合服务楼园区招标中心，逾期无效；若采用投递方式的，请于201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29</w:t>
      </w:r>
      <w:r>
        <w:rPr>
          <w:rFonts w:hint="eastAsia" w:ascii="宋体" w:hAnsi="宋体" w:cs="Arial"/>
          <w:kern w:val="0"/>
          <w:sz w:val="22"/>
        </w:rPr>
        <w:t>日上午</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分（北京时间）前投递至杭州萧山国际机场AOC楼813室，逾期无效。</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五、发布公告的媒介</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本次招标公告在</w:t>
      </w:r>
      <w:r>
        <w:rPr>
          <w:rFonts w:hint="eastAsia" w:cs="Arial" w:asciiTheme="minorEastAsia" w:hAnsiTheme="minorEastAsia"/>
          <w:b/>
          <w:kern w:val="0"/>
          <w:sz w:val="22"/>
        </w:rPr>
        <w:t>中国采购与招标网和杭州萧山机场有限公司</w:t>
      </w:r>
      <w:r>
        <w:rPr>
          <w:rFonts w:hint="eastAsia" w:cs="Arial" w:asciiTheme="minorEastAsia" w:hAnsiTheme="minorEastAsia"/>
          <w:kern w:val="0"/>
          <w:sz w:val="22"/>
        </w:rPr>
        <w:t>主页上发布</w:t>
      </w:r>
    </w:p>
    <w:p>
      <w:pPr>
        <w:widowControl/>
        <w:adjustRightInd w:val="0"/>
        <w:snapToGrid w:val="0"/>
        <w:spacing w:line="340" w:lineRule="exact"/>
        <w:ind w:firstLine="440" w:firstLineChars="200"/>
        <w:rPr>
          <w:rFonts w:cs="Arial" w:asciiTheme="minorEastAsia" w:hAnsiTheme="minorEastAsia"/>
          <w:kern w:val="0"/>
          <w:sz w:val="22"/>
        </w:rPr>
      </w:pPr>
      <w:r>
        <w:rPr>
          <w:rFonts w:hint="eastAsia" w:asciiTheme="minorEastAsia" w:hAnsiTheme="minorEastAsia"/>
          <w:sz w:val="22"/>
        </w:rPr>
        <w:t>中国采购与招标网</w:t>
      </w:r>
      <w:r>
        <w:rPr>
          <w:rFonts w:asciiTheme="minorEastAsia" w:hAnsiTheme="minorEastAsia"/>
          <w:sz w:val="22"/>
        </w:rPr>
        <w:t xml:space="preserve">  </w:t>
      </w:r>
      <w:r>
        <w:fldChar w:fldCharType="begin"/>
      </w:r>
      <w:r>
        <w:instrText xml:space="preserve"> HYPERLINK "http://www.chinabidding.com.cn" </w:instrText>
      </w:r>
      <w:r>
        <w:fldChar w:fldCharType="separate"/>
      </w:r>
      <w:r>
        <w:rPr>
          <w:rFonts w:asciiTheme="minorEastAsia" w:hAnsiTheme="minorEastAsia"/>
          <w:sz w:val="22"/>
        </w:rPr>
        <w:t>http://www.chinabidding.com.cn</w:t>
      </w:r>
      <w:r>
        <w:rPr>
          <w:rFonts w:asciiTheme="minorEastAsia" w:hAnsiTheme="minorEastAsia"/>
          <w:sz w:val="22"/>
        </w:rPr>
        <w:fldChar w:fldCharType="end"/>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杭州萧山机场有限公司主页http://www.hzairport.com</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w:t>
      </w:r>
      <w:r>
        <w:rPr>
          <w:rFonts w:hint="eastAsia" w:ascii="宋体" w:hAnsi="宋体"/>
          <w:sz w:val="22"/>
          <w:lang w:eastAsia="zh-CN"/>
        </w:rPr>
        <w:t>朱芸</w:t>
      </w:r>
      <w:r>
        <w:rPr>
          <w:rFonts w:hint="eastAsia" w:ascii="宋体" w:hAnsi="宋体"/>
          <w:sz w:val="22"/>
        </w:rPr>
        <w:t xml:space="preserve">        联系电话： 0571-8383778</w:t>
      </w:r>
      <w:r>
        <w:rPr>
          <w:rFonts w:hint="eastAsia" w:ascii="宋体" w:hAnsi="宋体"/>
          <w:sz w:val="22"/>
          <w:lang w:val="en-US" w:eastAsia="zh-CN"/>
        </w:rPr>
        <w:t>7</w:t>
      </w:r>
    </w:p>
    <w:p>
      <w:pPr>
        <w:widowControl/>
        <w:adjustRightInd w:val="0"/>
        <w:snapToGrid w:val="0"/>
        <w:spacing w:line="340" w:lineRule="exact"/>
        <w:ind w:firstLine="440" w:firstLineChars="200"/>
        <w:rPr>
          <w:rFonts w:ascii="宋体" w:hAnsi="宋体"/>
          <w:sz w:val="22"/>
        </w:rPr>
      </w:pPr>
      <w:r>
        <w:rPr>
          <w:rFonts w:hint="eastAsia" w:ascii="宋体" w:hAnsi="宋体"/>
          <w:sz w:val="22"/>
        </w:rPr>
        <w:t>技术联系人：王之钧         联系电话： 0571-86662376</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招标监督人：邓飞  </w:t>
      </w:r>
      <w:r>
        <w:rPr>
          <w:rFonts w:ascii="宋体" w:hAnsi="宋体"/>
          <w:sz w:val="22"/>
        </w:rPr>
        <w:t xml:space="preserve">     </w:t>
      </w:r>
      <w:r>
        <w:rPr>
          <w:rFonts w:hint="eastAsia" w:ascii="宋体" w:hAnsi="宋体"/>
          <w:sz w:val="22"/>
        </w:rPr>
        <w:t xml:space="preserve">  </w:t>
      </w:r>
      <w:r>
        <w:rPr>
          <w:rFonts w:ascii="宋体" w:hAnsi="宋体"/>
          <w:sz w:val="22"/>
        </w:rPr>
        <w:t xml:space="preserve">  联系电话：</w:t>
      </w:r>
      <w:r>
        <w:rPr>
          <w:rFonts w:hint="eastAsia" w:ascii="宋体" w:hAnsi="宋体"/>
          <w:sz w:val="22"/>
        </w:rPr>
        <w:t xml:space="preserve"> </w:t>
      </w:r>
      <w:r>
        <w:rPr>
          <w:rFonts w:ascii="宋体" w:hAnsi="宋体"/>
          <w:sz w:val="22"/>
        </w:rPr>
        <w:t>0571-</w:t>
      </w:r>
      <w:r>
        <w:rPr>
          <w:rFonts w:hint="eastAsia" w:ascii="宋体" w:hAnsi="宋体"/>
          <w:sz w:val="22"/>
        </w:rPr>
        <w:t>83837891</w:t>
      </w:r>
      <w:bookmarkEnd w:id="1"/>
    </w:p>
    <w:bookmarkEnd w:id="183"/>
    <w:p>
      <w:pPr>
        <w:pStyle w:val="51"/>
      </w:pPr>
      <w:r>
        <w:rPr>
          <w:rFonts w:hint="eastAsia" w:asciiTheme="minorEastAsia" w:hAnsiTheme="minorEastAsia"/>
          <w:bCs w:val="0"/>
          <w:sz w:val="22"/>
          <w:szCs w:val="22"/>
        </w:rPr>
        <w:t xml:space="preserve"> </w:t>
      </w:r>
      <w:r>
        <w:rPr>
          <w:rFonts w:asciiTheme="minorEastAsia" w:hAnsiTheme="minorEastAsia"/>
          <w:bCs w:val="0"/>
          <w:sz w:val="22"/>
          <w:szCs w:val="22"/>
        </w:rPr>
        <w:br w:type="page"/>
      </w:r>
      <w:bookmarkStart w:id="3" w:name="_Toc450630557"/>
      <w:bookmarkStart w:id="4" w:name="_Toc450630558"/>
      <w:r>
        <w:t>第</w:t>
      </w:r>
      <w:r>
        <w:rPr>
          <w:rFonts w:hint="eastAsia"/>
        </w:rPr>
        <w:t>二</w:t>
      </w:r>
      <w:r>
        <w:t>章  投标</w:t>
      </w:r>
      <w:r>
        <w:rPr>
          <w:rFonts w:hint="eastAsia"/>
        </w:rPr>
        <w:t>人须知</w:t>
      </w:r>
      <w:bookmarkEnd w:id="3"/>
      <w:bookmarkEnd w:id="4"/>
    </w:p>
    <w:p>
      <w:pPr>
        <w:pStyle w:val="34"/>
        <w:spacing w:line="240" w:lineRule="auto"/>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w:t>
            </w:r>
            <w:r>
              <w:rPr>
                <w:rFonts w:hint="eastAsia" w:ascii="宋体" w:hAnsi="宋体" w:cs="Arial"/>
                <w:kern w:val="0"/>
                <w:sz w:val="22"/>
                <w:lang w:eastAsia="zh-CN"/>
              </w:rPr>
              <w:t>飞行区围界防鼠网项目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要求</w:t>
            </w:r>
            <w:r>
              <w:rPr>
                <w:rFonts w:hint="eastAsia" w:ascii="宋体" w:hAnsi="宋体" w:cs="Arial"/>
                <w:kern w:val="0"/>
                <w:sz w:val="22"/>
                <w:lang w:eastAsia="zh-CN"/>
              </w:rPr>
              <w:t>在</w:t>
            </w:r>
            <w:r>
              <w:rPr>
                <w:rFonts w:hint="eastAsia" w:ascii="宋体" w:hAnsi="宋体" w:cs="Arial"/>
                <w:kern w:val="0"/>
                <w:sz w:val="22"/>
              </w:rPr>
              <w:t>合同签订后</w:t>
            </w:r>
            <w:r>
              <w:rPr>
                <w:rFonts w:hint="eastAsia" w:ascii="宋体" w:hAnsi="宋体" w:cs="Arial"/>
                <w:kern w:val="0"/>
                <w:sz w:val="22"/>
                <w:lang w:eastAsia="zh-CN"/>
              </w:rPr>
              <w:t>，得到发包人开工指令后</w:t>
            </w:r>
            <w:r>
              <w:rPr>
                <w:rFonts w:hint="eastAsia" w:ascii="宋体" w:hAnsi="宋体" w:cs="Arial"/>
                <w:kern w:val="0"/>
                <w:sz w:val="22"/>
                <w:u w:val="single"/>
                <w:lang w:val="en-US" w:eastAsia="zh-CN"/>
              </w:rPr>
              <w:t>60</w:t>
            </w:r>
            <w:r>
              <w:rPr>
                <w:rFonts w:hint="eastAsia" w:ascii="宋体" w:hAnsi="宋体" w:cs="Arial"/>
                <w:kern w:val="0"/>
                <w:sz w:val="22"/>
              </w:rPr>
              <w:t>日历天内完工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autoSpaceDE w:val="0"/>
              <w:autoSpaceDN w:val="0"/>
              <w:adjustRightInd w:val="0"/>
              <w:snapToGrid w:val="0"/>
              <w:rPr>
                <w:rFonts w:asciiTheme="minorEastAsia" w:hAnsiTheme="minorEastAsia"/>
                <w:color w:val="000000"/>
                <w:sz w:val="22"/>
              </w:rPr>
            </w:pPr>
            <w:r>
              <w:rPr>
                <w:rFonts w:hint="eastAsia" w:hAnsi="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hint="eastAsia" w:ascii="宋体" w:hAnsi="宋体" w:cs="Calibri"/>
                <w:kern w:val="0"/>
                <w:sz w:val="22"/>
              </w:rPr>
              <w:t>不组织</w:t>
            </w:r>
          </w:p>
          <w:p>
            <w:pPr>
              <w:autoSpaceDE w:val="0"/>
              <w:autoSpaceDN w:val="0"/>
              <w:adjustRightInd w:val="0"/>
              <w:snapToGrid w:val="0"/>
              <w:rPr>
                <w:rFonts w:ascii="宋体" w:hAnsi="宋体" w:cs="Calibri"/>
                <w:kern w:val="0"/>
                <w:sz w:val="22"/>
              </w:rPr>
            </w:pPr>
            <w:r>
              <w:rPr>
                <w:rFonts w:hint="eastAsia" w:ascii="宋体" w:hAnsi="宋体" w:cs="Calibri"/>
                <w:kern w:val="0"/>
                <w:sz w:val="22"/>
              </w:rPr>
              <w:t>□组织，踏勘时间：</w:t>
            </w:r>
            <w:r>
              <w:rPr>
                <w:rFonts w:hint="eastAsia" w:ascii="宋体" w:hAnsi="宋体" w:cs="Calibri"/>
                <w:kern w:val="0"/>
                <w:sz w:val="22"/>
                <w:lang w:val="en-US" w:eastAsia="zh-CN"/>
              </w:rPr>
              <w:t xml:space="preserve">    </w:t>
            </w:r>
            <w:r>
              <w:rPr>
                <w:rFonts w:hint="eastAsia" w:ascii="宋体" w:hAnsi="宋体" w:cs="Calibri"/>
                <w:kern w:val="0"/>
                <w:sz w:val="22"/>
              </w:rPr>
              <w:t>年</w:t>
            </w:r>
            <w:r>
              <w:rPr>
                <w:rFonts w:hint="eastAsia" w:ascii="宋体" w:hAnsi="宋体" w:cs="Calibri"/>
                <w:kern w:val="0"/>
                <w:sz w:val="22"/>
                <w:lang w:val="en-US" w:eastAsia="zh-CN"/>
              </w:rPr>
              <w:t xml:space="preserve">  </w:t>
            </w:r>
            <w:r>
              <w:rPr>
                <w:rFonts w:hint="eastAsia" w:ascii="宋体" w:hAnsi="宋体" w:cs="Calibri"/>
                <w:kern w:val="0"/>
                <w:sz w:val="22"/>
              </w:rPr>
              <w:t>月</w:t>
            </w:r>
            <w:r>
              <w:rPr>
                <w:rFonts w:hint="eastAsia" w:ascii="宋体" w:hAnsi="宋体" w:cs="Calibri"/>
                <w:kern w:val="0"/>
                <w:sz w:val="22"/>
                <w:lang w:val="en-US" w:eastAsia="zh-CN"/>
              </w:rPr>
              <w:t xml:space="preserve">  </w:t>
            </w:r>
            <w:r>
              <w:rPr>
                <w:rFonts w:hint="eastAsia" w:ascii="宋体" w:hAnsi="宋体" w:cs="Calibri"/>
                <w:kern w:val="0"/>
                <w:sz w:val="22"/>
              </w:rPr>
              <w:t>日</w:t>
            </w:r>
          </w:p>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踏勘集中地点：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lang w:val="en-US" w:eastAsia="zh-CN"/>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9</w:t>
            </w:r>
            <w:r>
              <w:rPr>
                <w:rFonts w:cs="Calibri" w:asciiTheme="minorEastAsia" w:hAnsiTheme="minorEastAsia"/>
                <w:kern w:val="0"/>
                <w:sz w:val="22"/>
              </w:rPr>
              <w:t>月</w:t>
            </w:r>
            <w:r>
              <w:rPr>
                <w:rFonts w:hint="eastAsia" w:cs="Calibri" w:asciiTheme="minorEastAsia" w:hAnsiTheme="minorEastAsia"/>
                <w:kern w:val="0"/>
                <w:sz w:val="22"/>
                <w:lang w:val="en-US" w:eastAsia="zh-CN"/>
              </w:rPr>
              <w:t>20</w:t>
            </w:r>
            <w:r>
              <w:rPr>
                <w:rFonts w:cs="Calibri" w:asciiTheme="minorEastAsia" w:hAnsiTheme="minorEastAsia"/>
                <w:kern w:val="0"/>
                <w:sz w:val="22"/>
              </w:rPr>
              <w:t>日11：30前，以E-mail及书面（传真）形式提交给招标</w:t>
            </w:r>
            <w:r>
              <w:rPr>
                <w:rFonts w:hint="eastAsia" w:cs="Calibri" w:asciiTheme="minorEastAsia" w:hAnsiTheme="minorEastAsia"/>
                <w:kern w:val="0"/>
                <w:sz w:val="22"/>
              </w:rPr>
              <w:t>人</w:t>
            </w:r>
            <w:r>
              <w:rPr>
                <w:rFonts w:hint="eastAsia" w:ascii="宋体" w:hAnsi="宋体" w:cs="Calibri"/>
                <w:kern w:val="0"/>
                <w:sz w:val="22"/>
              </w:rPr>
              <w:t>（技术联系人:王工，电话0571-86662376；电子邮箱：345344790@qq.com）</w:t>
            </w:r>
            <w:r>
              <w:rPr>
                <w:rFonts w:cs="Calibri" w:asciiTheme="minorEastAsia" w:hAnsiTheme="minorEastAsia"/>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w:t>
            </w:r>
            <w:r>
              <w:rPr>
                <w:rFonts w:hint="eastAsia" w:cs="Calibri" w:asciiTheme="minorEastAsia" w:hAnsiTheme="minorEastAsia"/>
                <w:b/>
                <w:kern w:val="0"/>
                <w:sz w:val="22"/>
                <w:lang w:val="en-US" w:eastAsia="zh-CN"/>
              </w:rPr>
              <w:t>9</w:t>
            </w:r>
            <w:r>
              <w:rPr>
                <w:rFonts w:hint="eastAsia" w:cs="Calibri" w:asciiTheme="minorEastAsia" w:hAnsiTheme="minorEastAsia"/>
                <w:b/>
                <w:kern w:val="0"/>
                <w:sz w:val="22"/>
              </w:rPr>
              <w:t>年</w:t>
            </w:r>
            <w:r>
              <w:rPr>
                <w:rFonts w:hint="eastAsia" w:cs="Calibri" w:asciiTheme="minorEastAsia" w:hAnsiTheme="minorEastAsia"/>
                <w:b/>
                <w:kern w:val="0"/>
                <w:sz w:val="22"/>
                <w:lang w:val="en-US" w:eastAsia="zh-CN"/>
              </w:rPr>
              <w:t>9</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29</w:t>
            </w:r>
            <w:r>
              <w:rPr>
                <w:rFonts w:hint="eastAsia" w:cs="Calibri" w:asciiTheme="minorEastAsia" w:hAnsiTheme="minorEastAsia"/>
                <w:b/>
                <w:kern w:val="0"/>
                <w:sz w:val="22"/>
              </w:rPr>
              <w:t>日上午</w:t>
            </w:r>
            <w:r>
              <w:rPr>
                <w:rFonts w:hint="eastAsia" w:cs="Calibri" w:asciiTheme="minorEastAsia" w:hAnsiTheme="minorEastAsia"/>
                <w:b/>
                <w:kern w:val="0"/>
                <w:sz w:val="22"/>
                <w:lang w:val="en-US" w:eastAsia="zh-CN"/>
              </w:rPr>
              <w:t>9</w:t>
            </w:r>
            <w:r>
              <w:rPr>
                <w:rFonts w:hint="eastAsia" w:cs="Calibri" w:asciiTheme="minorEastAsia" w:hAnsiTheme="minorEastAsia"/>
                <w:b/>
                <w:kern w:val="0"/>
                <w:sz w:val="22"/>
              </w:rPr>
              <w:t>时</w:t>
            </w:r>
            <w:r>
              <w:rPr>
                <w:rFonts w:hint="eastAsia" w:cs="Calibri" w:asciiTheme="minorEastAsia" w:hAnsiTheme="minorEastAsia"/>
                <w:b/>
                <w:kern w:val="0"/>
                <w:sz w:val="22"/>
                <w:lang w:val="en-US" w:eastAsia="zh-CN"/>
              </w:rPr>
              <w:t>00</w:t>
            </w:r>
            <w:r>
              <w:rPr>
                <w:rFonts w:hint="eastAsia" w:cs="Calibri" w:asciiTheme="minorEastAsia" w:hAnsiTheme="minorEastAsia"/>
                <w:b/>
                <w:kern w:val="0"/>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5" w:name="_Toc226175287"/>
            <w:bookmarkStart w:id="6"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5"/>
            <w:bookmarkEnd w:id="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宋体" w:asciiTheme="minorEastAsia" w:hAnsiTheme="minorEastAsia"/>
                <w:sz w:val="22"/>
                <w:u w:val="single"/>
              </w:rPr>
              <w:t>杭州萧山国际机场</w:t>
            </w:r>
            <w:r>
              <w:rPr>
                <w:rFonts w:hint="eastAsia" w:cs="宋体" w:asciiTheme="minorEastAsia" w:hAnsiTheme="minorEastAsia"/>
                <w:sz w:val="22"/>
                <w:u w:val="single"/>
                <w:lang w:eastAsia="zh-CN"/>
              </w:rPr>
              <w:t>飞行区围界防鼠网项目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hint="eastAsia" w:cs="Calibri" w:asciiTheme="minorEastAsia" w:hAnsiTheme="minorEastAsia"/>
                <w:kern w:val="0"/>
                <w:sz w:val="22"/>
                <w:u w:val="single"/>
              </w:rPr>
              <w:t>201</w:t>
            </w:r>
            <w:r>
              <w:rPr>
                <w:rFonts w:hint="eastAsia" w:cs="Calibri" w:asciiTheme="minorEastAsia" w:hAnsiTheme="minorEastAsia"/>
                <w:kern w:val="0"/>
                <w:sz w:val="22"/>
                <w:u w:val="single"/>
                <w:lang w:val="en-US" w:eastAsia="zh-CN"/>
              </w:rPr>
              <w:t>9</w:t>
            </w:r>
            <w:r>
              <w:rPr>
                <w:rFonts w:cs="Calibri" w:asciiTheme="minorEastAsia" w:hAnsiTheme="minorEastAsia"/>
                <w:kern w:val="0"/>
                <w:sz w:val="22"/>
              </w:rPr>
              <w:t>年</w:t>
            </w:r>
            <w:r>
              <w:rPr>
                <w:rFonts w:hint="eastAsia" w:cs="Calibri" w:asciiTheme="minorEastAsia" w:hAnsiTheme="minorEastAsia"/>
                <w:kern w:val="0"/>
                <w:sz w:val="22"/>
                <w:u w:val="single"/>
                <w:lang w:val="en-US" w:eastAsia="zh-CN"/>
              </w:rPr>
              <w:t xml:space="preserve"> 9 </w:t>
            </w:r>
            <w:r>
              <w:rPr>
                <w:rFonts w:cs="Calibri" w:asciiTheme="minorEastAsia" w:hAnsiTheme="minorEastAsia"/>
                <w:kern w:val="0"/>
                <w:sz w:val="22"/>
              </w:rPr>
              <w:t>月</w:t>
            </w:r>
            <w:r>
              <w:rPr>
                <w:rFonts w:hint="eastAsia" w:cs="Calibri" w:asciiTheme="minorEastAsia" w:hAnsiTheme="minorEastAsia"/>
                <w:kern w:val="0"/>
                <w:sz w:val="22"/>
                <w:u w:val="single"/>
                <w:lang w:val="en-US" w:eastAsia="zh-CN"/>
              </w:rPr>
              <w:t xml:space="preserve"> 29 </w:t>
            </w:r>
            <w:r>
              <w:rPr>
                <w:rFonts w:cs="Calibri" w:asciiTheme="minorEastAsia" w:hAnsiTheme="minorEastAsia"/>
                <w:kern w:val="0"/>
                <w:sz w:val="22"/>
              </w:rPr>
              <w:t>日</w:t>
            </w:r>
            <w:r>
              <w:rPr>
                <w:rFonts w:hint="eastAsia" w:cs="Calibri" w:asciiTheme="minorEastAsia" w:hAnsiTheme="minorEastAsia"/>
                <w:kern w:val="0"/>
                <w:sz w:val="22"/>
                <w:u w:val="single"/>
              </w:rPr>
              <w:t>09</w:t>
            </w:r>
            <w:r>
              <w:rPr>
                <w:rFonts w:cs="Calibri" w:asciiTheme="minorEastAsia" w:hAnsiTheme="minorEastAsia"/>
                <w:kern w:val="0"/>
                <w:sz w:val="22"/>
              </w:rPr>
              <w:t>时</w:t>
            </w:r>
            <w:r>
              <w:rPr>
                <w:rFonts w:hint="eastAsia" w:cs="Calibri" w:asciiTheme="minorEastAsia" w:hAnsiTheme="minorEastAsia"/>
                <w:kern w:val="0"/>
                <w:sz w:val="22"/>
                <w:u w:val="single"/>
              </w:rPr>
              <w:t>30</w:t>
            </w:r>
            <w:r>
              <w:rPr>
                <w:rFonts w:cs="Calibri" w:asciiTheme="minorEastAsia" w:hAnsi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7"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7"/>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1.1.2项目建设地点见投标人须知前附表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8"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9"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9"/>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0"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2"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3"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工期</w:t>
      </w:r>
      <w:bookmarkEnd w:id="1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14"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1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5"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6"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6"/>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不</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7"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8" w:name="_Toc15241"/>
      <w:bookmarkStart w:id="19" w:name="_Toc143421657"/>
      <w:r>
        <w:rPr>
          <w:rFonts w:cs="Calibri" w:asciiTheme="minorEastAsia" w:hAnsiTheme="minorEastAsia"/>
          <w:b/>
          <w:bCs/>
          <w:kern w:val="0"/>
          <w:sz w:val="22"/>
        </w:rPr>
        <w:t>2.招标文件</w:t>
      </w:r>
      <w:bookmarkEnd w:id="18"/>
      <w:bookmarkEnd w:id="19"/>
    </w:p>
    <w:p>
      <w:pPr>
        <w:autoSpaceDE w:val="0"/>
        <w:autoSpaceDN w:val="0"/>
        <w:adjustRightInd w:val="0"/>
        <w:snapToGrid w:val="0"/>
        <w:spacing w:line="360" w:lineRule="exact"/>
        <w:rPr>
          <w:rFonts w:cs="Calibri" w:asciiTheme="minorEastAsia" w:hAnsiTheme="minorEastAsia"/>
          <w:b/>
          <w:bCs/>
          <w:kern w:val="0"/>
          <w:sz w:val="22"/>
        </w:rPr>
      </w:pPr>
      <w:bookmarkStart w:id="20" w:name="_Toc1426"/>
      <w:r>
        <w:rPr>
          <w:rFonts w:cs="Calibri" w:asciiTheme="minorEastAsia" w:hAnsiTheme="minorEastAsia"/>
          <w:b/>
          <w:bCs/>
          <w:kern w:val="0"/>
          <w:sz w:val="22"/>
        </w:rPr>
        <w:t>2.1 招标文件的组成</w:t>
      </w:r>
      <w:bookmarkEnd w:id="20"/>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21" w:name="_Toc18230"/>
      <w:r>
        <w:rPr>
          <w:rFonts w:cs="Calibri" w:asciiTheme="minorEastAsia" w:hAnsiTheme="minorEastAsia"/>
          <w:b/>
          <w:bCs/>
          <w:kern w:val="0"/>
          <w:sz w:val="22"/>
        </w:rPr>
        <w:t>2.2 招标文件的澄清</w:t>
      </w:r>
      <w:bookmarkEnd w:id="2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22" w:name="_Toc18303"/>
      <w:r>
        <w:rPr>
          <w:rFonts w:cs="Calibri" w:asciiTheme="minorEastAsia" w:hAnsiTheme="minorEastAsia"/>
          <w:b/>
          <w:bCs/>
          <w:kern w:val="0"/>
          <w:sz w:val="22"/>
        </w:rPr>
        <w:t>2.3 招标文件的修改</w:t>
      </w:r>
      <w:bookmarkEnd w:id="2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3" w:name="_Toc143421658"/>
      <w:bookmarkStart w:id="24" w:name="_Toc18870"/>
      <w:r>
        <w:rPr>
          <w:rFonts w:ascii="宋体" w:hAnsi="宋体" w:cs="Calibri"/>
          <w:b/>
          <w:bCs/>
          <w:kern w:val="0"/>
          <w:sz w:val="22"/>
        </w:rPr>
        <w:t>3.投标文件</w:t>
      </w:r>
      <w:bookmarkEnd w:id="23"/>
      <w:bookmarkEnd w:id="24"/>
    </w:p>
    <w:p>
      <w:pPr>
        <w:autoSpaceDE w:val="0"/>
        <w:autoSpaceDN w:val="0"/>
        <w:adjustRightInd w:val="0"/>
        <w:snapToGrid w:val="0"/>
        <w:spacing w:line="360" w:lineRule="exact"/>
        <w:rPr>
          <w:rFonts w:ascii="宋体" w:hAnsi="宋体" w:cs="Calibri"/>
          <w:b/>
          <w:bCs/>
          <w:kern w:val="0"/>
          <w:sz w:val="22"/>
        </w:rPr>
      </w:pPr>
      <w:bookmarkStart w:id="25" w:name="_Toc461"/>
      <w:r>
        <w:rPr>
          <w:rFonts w:ascii="宋体" w:hAnsi="宋体" w:cs="Calibri"/>
          <w:b/>
          <w:bCs/>
          <w:kern w:val="0"/>
          <w:sz w:val="22"/>
        </w:rPr>
        <w:t>3.1 投标文件的语言和计量单位</w:t>
      </w:r>
      <w:bookmarkEnd w:id="25"/>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6" w:name="_Toc1411"/>
      <w:r>
        <w:rPr>
          <w:rFonts w:ascii="宋体" w:hAnsi="宋体" w:cs="Calibri"/>
          <w:b/>
          <w:bCs/>
          <w:kern w:val="0"/>
          <w:sz w:val="22"/>
        </w:rPr>
        <w:t>3.2 投标文件的组成</w:t>
      </w:r>
      <w:bookmarkEnd w:id="26"/>
    </w:p>
    <w:p>
      <w:pPr>
        <w:adjustRightInd w:val="0"/>
        <w:snapToGrid w:val="0"/>
        <w:spacing w:line="360" w:lineRule="exact"/>
        <w:ind w:firstLine="440"/>
        <w:rPr>
          <w:rFonts w:ascii="宋体" w:hAnsi="宋体" w:cs="Calibri"/>
          <w:sz w:val="22"/>
        </w:rPr>
      </w:pPr>
      <w:bookmarkStart w:id="27"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4已标价工程量清单</w:t>
      </w:r>
      <w:r>
        <w:rPr>
          <w:rFonts w:cs="Calibri" w:asciiTheme="minorEastAsia" w:hAnsiTheme="minorEastAsia"/>
          <w:color w:val="000000"/>
          <w:sz w:val="22"/>
        </w:rPr>
        <w:t>；</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3.2.5</w:t>
      </w:r>
      <w:r>
        <w:rPr>
          <w:rFonts w:hint="eastAsia" w:cs="Calibri" w:asciiTheme="minorEastAsia" w:hAnsiTheme="minorEastAsia"/>
          <w:color w:val="000000"/>
          <w:sz w:val="22"/>
        </w:rPr>
        <w:t>施工组织设计；</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3.2.6 项目管理机构</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7"/>
    </w:p>
    <w:p>
      <w:pPr>
        <w:adjustRightInd w:val="0"/>
        <w:snapToGrid w:val="0"/>
        <w:spacing w:line="360" w:lineRule="exact"/>
        <w:ind w:firstLine="440"/>
        <w:rPr>
          <w:rFonts w:cs="Arial" w:asciiTheme="minorEastAsia" w:hAnsiTheme="minorEastAsia"/>
          <w:sz w:val="22"/>
        </w:rPr>
      </w:pPr>
      <w:bookmarkStart w:id="28" w:name="_Toc13307"/>
      <w:r>
        <w:rPr>
          <w:rFonts w:cs="Arial" w:asciiTheme="minorEastAsia" w:hAnsiTheme="minorEastAsia"/>
          <w:sz w:val="22"/>
        </w:rPr>
        <w:t>3.3.1</w:t>
      </w:r>
      <w:r>
        <w:rPr>
          <w:rFonts w:hint="eastAsia" w:cs="Arial" w:asciiTheme="minorEastAsia" w:hAnsiTheme="minorEastAsia"/>
          <w:sz w:val="22"/>
        </w:rPr>
        <w:t>投标人应按第七章“投标文件格式”的要求填写相应表格并报价。</w:t>
      </w:r>
    </w:p>
    <w:p>
      <w:pPr>
        <w:adjustRightInd w:val="0"/>
        <w:snapToGrid w:val="0"/>
        <w:spacing w:line="360" w:lineRule="exact"/>
        <w:ind w:firstLine="440"/>
        <w:rPr>
          <w:rFonts w:ascii="宋体" w:hAnsi="宋体" w:cs="Calibri"/>
          <w:b/>
          <w:bCs/>
          <w:sz w:val="22"/>
        </w:rPr>
      </w:pPr>
      <w:r>
        <w:rPr>
          <w:rFonts w:ascii="宋体" w:hAnsi="宋体" w:cs="Calibri"/>
          <w:b/>
          <w:bCs/>
          <w:sz w:val="22"/>
        </w:rPr>
        <w:t xml:space="preserve">3.3.2 </w:t>
      </w:r>
      <w:r>
        <w:rPr>
          <w:rFonts w:hint="eastAsia" w:ascii="宋体" w:hAnsi="宋体" w:cs="Calibri"/>
          <w:b/>
          <w:bCs/>
          <w:sz w:val="22"/>
        </w:rPr>
        <w:t>本工程各项取费标准及相关调整系数，根据《浙江省建设工程施工取费定额》（</w:t>
      </w:r>
      <w:r>
        <w:rPr>
          <w:rFonts w:ascii="宋体" w:hAnsi="宋体" w:cs="Calibri"/>
          <w:b/>
          <w:bCs/>
          <w:sz w:val="22"/>
        </w:rPr>
        <w:t>2010版）及浙江省现行的相关文件规定，请投标人在投标报价中，按照上述文件精神执行。</w:t>
      </w:r>
    </w:p>
    <w:p>
      <w:pPr>
        <w:adjustRightInd w:val="0"/>
        <w:snapToGrid w:val="0"/>
        <w:spacing w:line="360" w:lineRule="exact"/>
        <w:ind w:firstLine="440"/>
        <w:rPr>
          <w:rFonts w:ascii="宋体" w:hAnsi="宋体" w:cs="Calibri"/>
          <w:b/>
          <w:bCs/>
          <w:sz w:val="22"/>
        </w:rPr>
      </w:pPr>
      <w:r>
        <w:rPr>
          <w:rFonts w:hint="eastAsia" w:ascii="宋体" w:hAnsi="宋体" w:cs="Calibri"/>
          <w:sz w:val="22"/>
        </w:rPr>
        <w:t>3.3.3 招标文件提供的工程量清单为参考清单，投标人根据招标文件要求和参考清单自行编制投标报价。</w:t>
      </w:r>
    </w:p>
    <w:p>
      <w:pPr>
        <w:adjustRightInd w:val="0"/>
        <w:snapToGrid w:val="0"/>
        <w:spacing w:line="360" w:lineRule="exact"/>
        <w:ind w:firstLine="440"/>
        <w:rPr>
          <w:rFonts w:ascii="宋体" w:hAnsi="宋体" w:cs="Calibri"/>
          <w:sz w:val="22"/>
        </w:rPr>
      </w:pPr>
      <w:r>
        <w:rPr>
          <w:rFonts w:cs="Arial" w:asciiTheme="minorEastAsia" w:hAnsiTheme="minorEastAsia"/>
          <w:b/>
          <w:sz w:val="22"/>
        </w:rPr>
        <w:t>3.3.</w:t>
      </w:r>
      <w:r>
        <w:rPr>
          <w:rFonts w:hint="eastAsia" w:cs="Arial" w:asciiTheme="minorEastAsia" w:hAnsiTheme="minorEastAsia"/>
          <w:b/>
          <w:sz w:val="22"/>
          <w:lang w:val="en-US" w:eastAsia="zh-CN"/>
        </w:rPr>
        <w:t>4</w:t>
      </w:r>
      <w:r>
        <w:rPr>
          <w:rFonts w:cs="Arial" w:asciiTheme="minorEastAsia" w:hAnsiTheme="minorEastAsia"/>
          <w:b/>
          <w:sz w:val="22"/>
        </w:rPr>
        <w:t xml:space="preserve"> </w:t>
      </w:r>
      <w:r>
        <w:rPr>
          <w:rFonts w:hint="eastAsia" w:ascii="宋体" w:hAnsi="宋体" w:cs="Calibri"/>
          <w:b/>
          <w:bCs/>
          <w:sz w:val="22"/>
        </w:rPr>
        <w:t>本工程为固定单价合同。</w:t>
      </w:r>
      <w:r>
        <w:rPr>
          <w:rFonts w:hint="eastAsia" w:ascii="宋体" w:hAnsi="宋体" w:cs="Calibri"/>
          <w:sz w:val="22"/>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lang w:val="en-US" w:eastAsia="zh-CN"/>
        </w:rPr>
        <w:t>5</w:t>
      </w:r>
      <w:r>
        <w:rPr>
          <w:rFonts w:hint="eastAsia" w:ascii="宋体" w:hAnsi="宋体" w:cs="宋体"/>
          <w:sz w:val="22"/>
        </w:rPr>
        <w:t>投标报价中应包含国家有关部门和地方政府规定交纳的规费和税金。</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lang w:val="en-US" w:eastAsia="zh-CN"/>
        </w:rPr>
        <w:t>6</w:t>
      </w:r>
      <w:r>
        <w:rPr>
          <w:rFonts w:hint="eastAsia" w:ascii="宋体" w:hAnsi="宋体" w:cs="宋体"/>
          <w:b/>
          <w:sz w:val="22"/>
        </w:rPr>
        <w:t>施工组织和技术措施费（含安全文明施工费、水电接入）、其他费用由投标人充分考虑，自行报价，不报视作优惠，中标后不再调整。</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lang w:val="en-US" w:eastAsia="zh-CN"/>
        </w:rPr>
        <w:t>7</w:t>
      </w:r>
      <w:r>
        <w:rPr>
          <w:rFonts w:hint="eastAsia" w:ascii="宋体" w:hAnsi="宋体" w:eastAsia="宋体" w:cs="宋体"/>
          <w:sz w:val="22"/>
        </w:rPr>
        <w:t>★</w:t>
      </w:r>
      <w:r>
        <w:rPr>
          <w:rFonts w:hint="eastAsia" w:ascii="宋体" w:hAnsi="宋体"/>
          <w:b/>
          <w:sz w:val="22"/>
        </w:rPr>
        <w:t>计日工单价最高限价150元/工日。</w:t>
      </w: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lang w:val="en-US" w:eastAsia="zh-CN"/>
        </w:rPr>
        <w:t>8</w:t>
      </w:r>
      <w:r>
        <w:rPr>
          <w:rFonts w:ascii="宋体" w:hAnsi="宋体" w:cs="宋体"/>
          <w:sz w:val="22"/>
        </w:rPr>
        <w:t>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sz w:val="22"/>
        </w:rPr>
      </w:pPr>
      <w:r>
        <w:rPr>
          <w:rFonts w:hint="eastAsia" w:ascii="宋体" w:hAnsi="宋体" w:cs="宋体"/>
          <w:sz w:val="22"/>
        </w:rPr>
        <w:t>a、连续降雨造成窝工；</w:t>
      </w:r>
    </w:p>
    <w:p>
      <w:pPr>
        <w:adjustRightInd w:val="0"/>
        <w:snapToGrid w:val="0"/>
        <w:spacing w:line="360" w:lineRule="exact"/>
        <w:ind w:firstLine="440"/>
        <w:rPr>
          <w:rFonts w:ascii="宋体" w:hAnsi="宋体" w:cs="宋体"/>
          <w:sz w:val="22"/>
        </w:rPr>
      </w:pPr>
      <w:r>
        <w:rPr>
          <w:rFonts w:hint="eastAsia" w:ascii="宋体" w:hAnsi="宋体" w:cs="宋体"/>
          <w:sz w:val="22"/>
        </w:rPr>
        <w:t>b、原材料、人工等价格增长；</w:t>
      </w:r>
    </w:p>
    <w:p>
      <w:pPr>
        <w:adjustRightInd w:val="0"/>
        <w:snapToGrid w:val="0"/>
        <w:spacing w:line="360" w:lineRule="exact"/>
        <w:ind w:firstLine="440"/>
        <w:rPr>
          <w:rFonts w:ascii="宋体" w:hAnsi="宋体" w:cs="宋体"/>
          <w:sz w:val="22"/>
        </w:rPr>
      </w:pPr>
      <w:r>
        <w:rPr>
          <w:rFonts w:hint="eastAsia" w:ascii="宋体" w:hAnsi="宋体" w:cs="宋体"/>
          <w:sz w:val="22"/>
        </w:rPr>
        <w:t>c、施工进出场交通组织。</w:t>
      </w:r>
    </w:p>
    <w:p>
      <w:pPr>
        <w:adjustRightInd w:val="0"/>
        <w:snapToGrid w:val="0"/>
        <w:spacing w:line="360" w:lineRule="exact"/>
        <w:ind w:firstLine="440"/>
        <w:rPr>
          <w:rFonts w:ascii="宋体" w:hAnsi="宋体" w:cs="宋体"/>
          <w:sz w:val="22"/>
        </w:rPr>
      </w:pPr>
      <w:r>
        <w:rPr>
          <w:rFonts w:hint="eastAsia" w:ascii="宋体" w:hAnsi="宋体" w:cs="宋体"/>
          <w:sz w:val="22"/>
        </w:rPr>
        <w:t>d、机场运行需要导致施工时间不足造成窝工或降效，其中包括以下几种情况：</w:t>
      </w:r>
    </w:p>
    <w:p>
      <w:pPr>
        <w:adjustRightInd w:val="0"/>
        <w:snapToGrid w:val="0"/>
        <w:spacing w:line="360" w:lineRule="exact"/>
        <w:ind w:firstLine="440"/>
        <w:rPr>
          <w:rFonts w:ascii="宋体" w:hAnsi="宋体" w:cs="宋体"/>
          <w:sz w:val="22"/>
        </w:rPr>
      </w:pPr>
      <w:r>
        <w:rPr>
          <w:rFonts w:hint="eastAsia" w:ascii="宋体" w:hAnsi="宋体" w:cs="宋体"/>
          <w:sz w:val="22"/>
        </w:rPr>
        <w:t>（1）施工地点位于机场飞行区内，进入施工地点人员、车辆须办理隔离区通行证，同时须机场方引领，施工时间须由发包人决定；</w:t>
      </w:r>
    </w:p>
    <w:p>
      <w:pPr>
        <w:adjustRightInd w:val="0"/>
        <w:snapToGrid w:val="0"/>
        <w:spacing w:line="360" w:lineRule="exact"/>
        <w:ind w:firstLine="440"/>
        <w:rPr>
          <w:rFonts w:ascii="宋体" w:hAnsi="宋体" w:cs="宋体"/>
          <w:sz w:val="22"/>
        </w:rPr>
      </w:pPr>
      <w:r>
        <w:rPr>
          <w:rFonts w:hint="eastAsia" w:ascii="宋体" w:hAnsi="宋体" w:cs="宋体"/>
          <w:sz w:val="22"/>
        </w:rPr>
        <w:t>（2）</w:t>
      </w:r>
      <w:r>
        <w:rPr>
          <w:rFonts w:ascii="宋体" w:hAnsi="宋体" w:cs="宋体"/>
          <w:sz w:val="22"/>
        </w:rPr>
        <w:t>机场为重要的公共服务类功能区，必须严格按要求落实各项文明施工措施，避免因施工作业影响机场的运行秩序及环境卫生</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（3）如施工中有产生大量烟尘、噪音等易引起旅客、机组投诉的工作，如无法有效控制，降低对机坪运行的影响，须安排在每日凌晨01：00-06：00进行；</w:t>
      </w:r>
    </w:p>
    <w:p>
      <w:pPr>
        <w:adjustRightInd w:val="0"/>
        <w:snapToGrid w:val="0"/>
        <w:spacing w:line="360" w:lineRule="exact"/>
        <w:ind w:firstLine="440"/>
        <w:rPr>
          <w:rFonts w:ascii="宋体" w:hAnsi="宋体" w:cs="宋体"/>
          <w:sz w:val="22"/>
        </w:rPr>
      </w:pPr>
      <w:r>
        <w:rPr>
          <w:rFonts w:hint="eastAsia" w:ascii="宋体" w:hAnsi="宋体" w:cs="宋体"/>
          <w:sz w:val="22"/>
        </w:rPr>
        <w:t>（4）施工过程中应对现有设施采取有效的保护措施，如有破坏必须无条件修复至原状；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w:t>
      </w:r>
      <w:r>
        <w:rPr>
          <w:rFonts w:ascii="宋体" w:hAnsi="宋体" w:cs="宋体"/>
          <w:sz w:val="22"/>
        </w:rPr>
        <w:t>遇有机场重要保障任务需临时停工时，中标人必须无条件服从招标人指令</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lang w:val="en-US" w:eastAsia="zh-CN"/>
        </w:rPr>
        <w:t>9</w:t>
      </w:r>
      <w:r>
        <w:rPr>
          <w:rFonts w:hint="eastAsia" w:ascii="宋体" w:hAnsi="宋体" w:cs="宋体"/>
          <w:sz w:val="22"/>
        </w:rPr>
        <w:t>本次报价均应以人民币元为单位，最终以人民币办理结算。</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8"/>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9" w:name="_Toc30464"/>
      <w:r>
        <w:rPr>
          <w:rFonts w:ascii="宋体" w:hAnsi="宋体" w:cs="Calibri"/>
          <w:b/>
          <w:bCs/>
          <w:kern w:val="0"/>
          <w:sz w:val="22"/>
        </w:rPr>
        <w:t>3.5 投标保证金</w:t>
      </w:r>
      <w:bookmarkEnd w:id="29"/>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30" w:name="_Toc29989"/>
      <w:r>
        <w:rPr>
          <w:rFonts w:ascii="宋体" w:hAnsi="宋体" w:cs="Calibri"/>
          <w:b/>
          <w:bCs/>
          <w:kern w:val="0"/>
          <w:sz w:val="22"/>
        </w:rPr>
        <w:t>3.6 投标文件的编制</w:t>
      </w:r>
      <w:bookmarkEnd w:id="30"/>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31" w:name="_Toc143421659"/>
    </w:p>
    <w:p>
      <w:pPr>
        <w:autoSpaceDE w:val="0"/>
        <w:autoSpaceDN w:val="0"/>
        <w:adjustRightInd w:val="0"/>
        <w:snapToGrid w:val="0"/>
        <w:spacing w:line="360" w:lineRule="exact"/>
        <w:rPr>
          <w:rFonts w:ascii="宋体" w:hAnsi="宋体" w:cs="Calibri"/>
          <w:b/>
          <w:bCs/>
          <w:kern w:val="0"/>
          <w:sz w:val="22"/>
        </w:rPr>
      </w:pPr>
      <w:bookmarkStart w:id="32" w:name="_Toc32652"/>
      <w:r>
        <w:rPr>
          <w:rFonts w:ascii="宋体" w:hAnsi="宋体" w:cs="Calibri"/>
          <w:b/>
          <w:bCs/>
          <w:kern w:val="0"/>
          <w:sz w:val="22"/>
        </w:rPr>
        <w:t>4.投标</w:t>
      </w:r>
      <w:bookmarkEnd w:id="31"/>
      <w:bookmarkEnd w:id="32"/>
    </w:p>
    <w:p>
      <w:pPr>
        <w:autoSpaceDE w:val="0"/>
        <w:autoSpaceDN w:val="0"/>
        <w:adjustRightInd w:val="0"/>
        <w:snapToGrid w:val="0"/>
        <w:spacing w:line="360" w:lineRule="exact"/>
        <w:rPr>
          <w:rFonts w:ascii="宋体" w:hAnsi="宋体" w:cs="Calibri"/>
          <w:b/>
          <w:bCs/>
          <w:kern w:val="0"/>
          <w:sz w:val="22"/>
        </w:rPr>
      </w:pPr>
      <w:bookmarkStart w:id="33" w:name="_Toc649"/>
      <w:r>
        <w:rPr>
          <w:rFonts w:ascii="宋体" w:hAnsi="宋体" w:cs="Calibri"/>
          <w:b/>
          <w:bCs/>
          <w:kern w:val="0"/>
          <w:sz w:val="22"/>
        </w:rPr>
        <w:t>4.1 投标文件的密封和标识</w:t>
      </w:r>
      <w:bookmarkEnd w:id="33"/>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4" w:name="_Toc16616"/>
      <w:r>
        <w:rPr>
          <w:rFonts w:ascii="宋体" w:hAnsi="宋体" w:cs="Calibri"/>
          <w:b/>
          <w:bCs/>
          <w:kern w:val="0"/>
          <w:sz w:val="22"/>
        </w:rPr>
        <w:t xml:space="preserve">4.2 投标文件的递交 </w:t>
      </w:r>
      <w:bookmarkEnd w:id="34"/>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5" w:name="_Toc26099"/>
      <w:r>
        <w:rPr>
          <w:rFonts w:ascii="宋体" w:hAnsi="宋体" w:cs="Calibri"/>
          <w:b/>
          <w:bCs/>
          <w:kern w:val="0"/>
          <w:sz w:val="22"/>
        </w:rPr>
        <w:t>4.3 投标文件的修改和撤回</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6" w:name="_Toc29641"/>
      <w:r>
        <w:rPr>
          <w:rFonts w:ascii="宋体" w:hAnsi="宋体" w:cs="Calibri"/>
          <w:b/>
          <w:bCs/>
          <w:kern w:val="0"/>
          <w:sz w:val="22"/>
        </w:rPr>
        <w:t>5.开标</w:t>
      </w:r>
      <w:bookmarkEnd w:id="36"/>
    </w:p>
    <w:p>
      <w:pPr>
        <w:autoSpaceDE w:val="0"/>
        <w:autoSpaceDN w:val="0"/>
        <w:adjustRightInd w:val="0"/>
        <w:snapToGrid w:val="0"/>
        <w:spacing w:line="360" w:lineRule="exact"/>
        <w:rPr>
          <w:rFonts w:ascii="宋体" w:hAnsi="宋体" w:cs="Calibri"/>
          <w:b/>
          <w:bCs/>
          <w:kern w:val="0"/>
          <w:sz w:val="22"/>
        </w:rPr>
      </w:pPr>
      <w:bookmarkStart w:id="37" w:name="_Toc15123"/>
      <w:r>
        <w:rPr>
          <w:rFonts w:ascii="宋体" w:hAnsi="宋体" w:cs="Calibri"/>
          <w:b/>
          <w:bCs/>
          <w:kern w:val="0"/>
          <w:sz w:val="22"/>
        </w:rPr>
        <w:t>5.1 开标时间和地点</w:t>
      </w:r>
      <w:bookmarkEnd w:id="37"/>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8" w:name="_Toc7101"/>
      <w:r>
        <w:rPr>
          <w:rFonts w:ascii="宋体" w:hAnsi="宋体" w:cs="Calibri"/>
          <w:b/>
          <w:bCs/>
          <w:kern w:val="0"/>
          <w:sz w:val="22"/>
        </w:rPr>
        <w:t>5.2 开标程序</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9" w:name="_Toc31578"/>
      <w:r>
        <w:rPr>
          <w:rFonts w:ascii="宋体" w:hAnsi="宋体" w:cs="Calibri"/>
          <w:b/>
          <w:bCs/>
          <w:kern w:val="0"/>
          <w:sz w:val="22"/>
        </w:rPr>
        <w:t>6.评标</w:t>
      </w:r>
      <w:bookmarkEnd w:id="39"/>
    </w:p>
    <w:p>
      <w:pPr>
        <w:autoSpaceDE w:val="0"/>
        <w:autoSpaceDN w:val="0"/>
        <w:adjustRightInd w:val="0"/>
        <w:snapToGrid w:val="0"/>
        <w:spacing w:line="360" w:lineRule="exact"/>
        <w:rPr>
          <w:rFonts w:ascii="宋体" w:hAnsi="宋体" w:cs="Calibri"/>
          <w:b/>
          <w:bCs/>
          <w:kern w:val="0"/>
          <w:sz w:val="22"/>
        </w:rPr>
      </w:pPr>
      <w:bookmarkStart w:id="40" w:name="_Toc10279"/>
      <w:r>
        <w:rPr>
          <w:rFonts w:ascii="宋体" w:hAnsi="宋体" w:cs="Calibri"/>
          <w:b/>
          <w:bCs/>
          <w:kern w:val="0"/>
          <w:sz w:val="22"/>
        </w:rPr>
        <w:t>6.1 评标委员会</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41" w:name="_Toc3460"/>
      <w:r>
        <w:rPr>
          <w:rFonts w:ascii="宋体" w:hAnsi="宋体" w:cs="Calibri"/>
          <w:b/>
          <w:bCs/>
          <w:kern w:val="0"/>
          <w:sz w:val="22"/>
        </w:rPr>
        <w:t>6.2 评标原则</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2" w:name="_Toc28178"/>
      <w:r>
        <w:rPr>
          <w:rFonts w:ascii="宋体" w:hAnsi="宋体" w:cs="Calibri"/>
          <w:b/>
          <w:bCs/>
          <w:kern w:val="0"/>
          <w:sz w:val="22"/>
        </w:rPr>
        <w:t>6.3 评标</w:t>
      </w:r>
      <w:bookmarkEnd w:id="42"/>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3" w:name="_Toc24237"/>
      <w:r>
        <w:rPr>
          <w:rFonts w:ascii="宋体" w:hAnsi="宋体" w:cs="Calibri"/>
          <w:b/>
          <w:bCs/>
          <w:kern w:val="0"/>
          <w:sz w:val="22"/>
        </w:rPr>
        <w:t>7.合同授予</w:t>
      </w:r>
      <w:bookmarkEnd w:id="43"/>
    </w:p>
    <w:p>
      <w:pPr>
        <w:autoSpaceDE w:val="0"/>
        <w:autoSpaceDN w:val="0"/>
        <w:adjustRightInd w:val="0"/>
        <w:snapToGrid w:val="0"/>
        <w:spacing w:line="360" w:lineRule="exact"/>
        <w:rPr>
          <w:rFonts w:ascii="宋体" w:hAnsi="宋体" w:cs="Calibri"/>
          <w:b/>
          <w:bCs/>
          <w:kern w:val="0"/>
          <w:sz w:val="22"/>
        </w:rPr>
      </w:pPr>
      <w:bookmarkStart w:id="44" w:name="_Toc18809"/>
      <w:r>
        <w:rPr>
          <w:rFonts w:ascii="宋体" w:hAnsi="宋体" w:cs="Calibri"/>
          <w:b/>
          <w:bCs/>
          <w:kern w:val="0"/>
          <w:sz w:val="22"/>
        </w:rPr>
        <w:t>7.1 定标方式</w:t>
      </w:r>
      <w:bookmarkEnd w:id="44"/>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5" w:name="_Toc14573"/>
      <w:r>
        <w:rPr>
          <w:rFonts w:ascii="宋体" w:hAnsi="宋体" w:cs="Calibri"/>
          <w:b/>
          <w:bCs/>
          <w:kern w:val="0"/>
          <w:sz w:val="22"/>
        </w:rPr>
        <w:t>7.2 中标通知</w:t>
      </w:r>
      <w:bookmarkEnd w:id="45"/>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6" w:name="_Toc27132"/>
      <w:r>
        <w:rPr>
          <w:rFonts w:ascii="宋体" w:hAnsi="宋体" w:cs="Calibri"/>
          <w:b/>
          <w:bCs/>
          <w:kern w:val="0"/>
          <w:sz w:val="22"/>
        </w:rPr>
        <w:t>7.3 履约</w:t>
      </w:r>
      <w:r>
        <w:rPr>
          <w:rFonts w:hint="eastAsia" w:ascii="宋体" w:hAnsi="宋体" w:cs="Calibri"/>
          <w:b/>
          <w:bCs/>
          <w:kern w:val="0"/>
          <w:sz w:val="22"/>
        </w:rPr>
        <w:t>保证金</w:t>
      </w:r>
      <w:bookmarkEnd w:id="46"/>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7" w:name="_Toc27581"/>
      <w:r>
        <w:rPr>
          <w:rFonts w:ascii="宋体" w:hAnsi="宋体" w:cs="Calibri"/>
          <w:b/>
          <w:bCs/>
          <w:kern w:val="0"/>
          <w:sz w:val="22"/>
        </w:rPr>
        <w:t>7.4 签订合同</w:t>
      </w:r>
      <w:bookmarkEnd w:id="47"/>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8" w:name="_Toc11806"/>
      <w:bookmarkStart w:id="49" w:name="_Toc219809801"/>
      <w:bookmarkStart w:id="50"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8"/>
      <w:bookmarkEnd w:id="49"/>
      <w:bookmarkEnd w:id="50"/>
    </w:p>
    <w:p>
      <w:pPr>
        <w:autoSpaceDE w:val="0"/>
        <w:autoSpaceDN w:val="0"/>
        <w:adjustRightInd w:val="0"/>
        <w:snapToGrid w:val="0"/>
        <w:spacing w:line="360" w:lineRule="exact"/>
        <w:rPr>
          <w:rFonts w:ascii="宋体" w:hAnsi="宋体" w:cs="Calibri"/>
          <w:b/>
          <w:bCs/>
          <w:kern w:val="0"/>
          <w:sz w:val="22"/>
        </w:rPr>
      </w:pPr>
      <w:bookmarkStart w:id="51" w:name="_Toc15553"/>
      <w:bookmarkStart w:id="52" w:name="_Toc219809802"/>
      <w:bookmarkStart w:id="53" w:name="_Toc220123242"/>
      <w:r>
        <w:rPr>
          <w:rFonts w:ascii="宋体" w:hAnsi="宋体" w:cs="Calibri"/>
          <w:b/>
          <w:bCs/>
          <w:kern w:val="0"/>
          <w:sz w:val="22"/>
        </w:rPr>
        <w:t>8.1 重新招标</w:t>
      </w:r>
      <w:bookmarkEnd w:id="51"/>
      <w:bookmarkEnd w:id="52"/>
      <w:bookmarkEnd w:id="5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4" w:name="_Toc18806"/>
      <w:bookmarkStart w:id="55" w:name="_Toc220123243"/>
      <w:bookmarkStart w:id="56" w:name="_Toc219809803"/>
      <w:r>
        <w:rPr>
          <w:rFonts w:ascii="宋体" w:hAnsi="宋体" w:cs="Calibri"/>
          <w:b/>
          <w:bCs/>
          <w:kern w:val="0"/>
          <w:sz w:val="22"/>
        </w:rPr>
        <w:t>8.2 不再招标</w:t>
      </w:r>
      <w:bookmarkEnd w:id="54"/>
      <w:bookmarkEnd w:id="55"/>
      <w:bookmarkEnd w:id="56"/>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7" w:name="_Toc2986"/>
      <w:bookmarkStart w:id="58" w:name="_Toc220123244"/>
      <w:bookmarkStart w:id="59" w:name="_Toc219809804"/>
      <w:bookmarkStart w:id="60" w:name="_Toc215941254"/>
      <w:r>
        <w:rPr>
          <w:rFonts w:ascii="宋体" w:hAnsi="宋体" w:cs="Calibri"/>
          <w:b/>
          <w:bCs/>
          <w:kern w:val="0"/>
          <w:sz w:val="22"/>
        </w:rPr>
        <w:t>9.纪律和监督</w:t>
      </w:r>
      <w:bookmarkEnd w:id="57"/>
      <w:bookmarkEnd w:id="58"/>
      <w:bookmarkEnd w:id="59"/>
      <w:bookmarkEnd w:id="60"/>
    </w:p>
    <w:p>
      <w:pPr>
        <w:autoSpaceDE w:val="0"/>
        <w:autoSpaceDN w:val="0"/>
        <w:adjustRightInd w:val="0"/>
        <w:snapToGrid w:val="0"/>
        <w:spacing w:line="360" w:lineRule="exact"/>
        <w:rPr>
          <w:rFonts w:ascii="宋体" w:hAnsi="宋体" w:cs="Calibri"/>
          <w:b/>
          <w:bCs/>
          <w:kern w:val="0"/>
          <w:sz w:val="22"/>
        </w:rPr>
      </w:pPr>
      <w:bookmarkStart w:id="61" w:name="_Toc220123245"/>
      <w:bookmarkStart w:id="62" w:name="_Toc5509"/>
      <w:bookmarkStart w:id="63" w:name="_Toc219809805"/>
      <w:r>
        <w:rPr>
          <w:rFonts w:ascii="宋体" w:hAnsi="宋体" w:cs="Calibri"/>
          <w:b/>
          <w:bCs/>
          <w:kern w:val="0"/>
          <w:sz w:val="22"/>
        </w:rPr>
        <w:t>9.1 对招标人的纪律要求</w:t>
      </w:r>
      <w:bookmarkEnd w:id="61"/>
      <w:bookmarkEnd w:id="62"/>
      <w:bookmarkEnd w:id="6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4" w:name="_Toc10820"/>
      <w:bookmarkStart w:id="65" w:name="_Toc220123246"/>
      <w:bookmarkStart w:id="66" w:name="_Toc219809806"/>
      <w:r>
        <w:rPr>
          <w:rFonts w:ascii="宋体" w:hAnsi="宋体" w:cs="Calibri"/>
          <w:b/>
          <w:bCs/>
          <w:kern w:val="0"/>
          <w:sz w:val="22"/>
        </w:rPr>
        <w:t>9.2 对投标人的纪律要求</w:t>
      </w:r>
      <w:bookmarkEnd w:id="64"/>
      <w:bookmarkEnd w:id="65"/>
      <w:bookmarkEnd w:id="6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rPr>
          <w:rFonts w:ascii="宋体" w:hAnsi="宋体" w:cs="Calibri"/>
          <w:b/>
          <w:bCs/>
          <w:kern w:val="0"/>
          <w:sz w:val="22"/>
        </w:rPr>
      </w:pPr>
      <w:bookmarkStart w:id="67" w:name="_Toc10756"/>
      <w:bookmarkStart w:id="68" w:name="_Toc219809807"/>
      <w:bookmarkStart w:id="69" w:name="_Toc220123247"/>
      <w:r>
        <w:rPr>
          <w:rFonts w:ascii="宋体" w:hAnsi="宋体" w:cs="Calibri"/>
          <w:b/>
          <w:bCs/>
          <w:kern w:val="0"/>
          <w:sz w:val="22"/>
        </w:rPr>
        <w:t>9.3 对评标委员会成员的纪律要求</w:t>
      </w:r>
      <w:bookmarkEnd w:id="67"/>
      <w:bookmarkEnd w:id="68"/>
      <w:bookmarkEnd w:id="6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六</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70" w:name="_Toc220123248"/>
      <w:bookmarkStart w:id="71" w:name="_Toc12792"/>
      <w:bookmarkStart w:id="72" w:name="_Toc219809808"/>
      <w:r>
        <w:rPr>
          <w:rFonts w:ascii="宋体" w:hAnsi="宋体" w:cs="Calibri"/>
          <w:b/>
          <w:bCs/>
          <w:kern w:val="0"/>
          <w:sz w:val="22"/>
        </w:rPr>
        <w:t>9.4 对评标活动有关的工作人员的纪律要求</w:t>
      </w:r>
      <w:bookmarkEnd w:id="70"/>
      <w:bookmarkEnd w:id="71"/>
      <w:bookmarkEnd w:id="7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3" w:name="_Toc220123249"/>
      <w:bookmarkStart w:id="74" w:name="_Toc219809809"/>
      <w:bookmarkStart w:id="75" w:name="_Toc239"/>
      <w:r>
        <w:rPr>
          <w:rFonts w:ascii="宋体" w:hAnsi="宋体" w:cs="Calibri"/>
          <w:b/>
          <w:bCs/>
          <w:kern w:val="0"/>
          <w:sz w:val="22"/>
        </w:rPr>
        <w:t>9.5 投诉</w:t>
      </w:r>
      <w:bookmarkEnd w:id="73"/>
      <w:bookmarkEnd w:id="74"/>
      <w:bookmarkEnd w:id="7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6" w:name="_Toc10817"/>
      <w:r>
        <w:rPr>
          <w:rFonts w:ascii="宋体" w:hAnsi="宋体" w:cs="Calibri"/>
          <w:b/>
          <w:bCs/>
          <w:kern w:val="0"/>
          <w:sz w:val="22"/>
        </w:rPr>
        <w:t>10. 需要补充的其他内容</w:t>
      </w:r>
      <w:bookmarkEnd w:id="76"/>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pStyle w:val="51"/>
        <w:jc w:val="center"/>
      </w:pPr>
      <w:bookmarkStart w:id="77" w:name="_Toc450630559"/>
      <w:r>
        <w:t>第</w:t>
      </w:r>
      <w:r>
        <w:rPr>
          <w:rFonts w:hint="eastAsia"/>
        </w:rPr>
        <w:t>三</w:t>
      </w:r>
      <w:r>
        <w:t xml:space="preserve">章  </w:t>
      </w:r>
      <w:r>
        <w:rPr>
          <w:rFonts w:hint="eastAsia"/>
        </w:rPr>
        <w:t>合同条款及格式</w:t>
      </w:r>
      <w:bookmarkEnd w:id="77"/>
    </w:p>
    <w:p>
      <w:pPr>
        <w:keepNext/>
        <w:keepLines/>
        <w:spacing w:before="120" w:after="120" w:line="400" w:lineRule="exact"/>
        <w:ind w:right="-16"/>
        <w:jc w:val="center"/>
        <w:outlineLvl w:val="0"/>
        <w:rPr>
          <w:rFonts w:ascii="宋体" w:hAnsi="宋体" w:cs="宋体"/>
          <w:b/>
          <w:sz w:val="28"/>
          <w:szCs w:val="20"/>
        </w:rPr>
      </w:pPr>
      <w:bookmarkStart w:id="78" w:name="_Toc450630560"/>
      <w:bookmarkStart w:id="79" w:name="_Toc448097405"/>
      <w:r>
        <w:rPr>
          <w:rFonts w:hint="eastAsia" w:ascii="宋体" w:hAnsi="宋体" w:cs="宋体"/>
          <w:b/>
          <w:sz w:val="28"/>
          <w:szCs w:val="20"/>
        </w:rPr>
        <w:t>第一部分  合同协议书</w:t>
      </w:r>
      <w:bookmarkEnd w:id="78"/>
      <w:bookmarkEnd w:id="79"/>
    </w:p>
    <w:p>
      <w:pPr>
        <w:spacing w:line="400" w:lineRule="exact"/>
        <w:ind w:firstLine="440" w:firstLineChars="200"/>
        <w:rPr>
          <w:rFonts w:asciiTheme="minorEastAsia" w:hAnsiTheme="minorEastAsia"/>
          <w:sz w:val="22"/>
        </w:rPr>
      </w:pPr>
      <w:r>
        <w:rPr>
          <w:rFonts w:hint="eastAsia" w:asciiTheme="minorEastAsia" w:hAnsiTheme="minorEastAsia"/>
          <w:sz w:val="22"/>
        </w:rPr>
        <w:t>杭州萧山国际机场</w:t>
      </w:r>
      <w:r>
        <w:rPr>
          <w:rFonts w:asciiTheme="minorEastAsia" w:hAnsiTheme="minorEastAsia"/>
          <w:sz w:val="22"/>
        </w:rPr>
        <w:t>有限公司</w:t>
      </w:r>
      <w:r>
        <w:rPr>
          <w:rFonts w:hint="eastAsia" w:asciiTheme="minorEastAsia" w:hAnsiTheme="minorEastAsia"/>
          <w:sz w:val="22"/>
        </w:rPr>
        <w:t>（以下简称“发包人”）为实施</w:t>
      </w:r>
      <w:r>
        <w:rPr>
          <w:rFonts w:hint="eastAsia" w:asciiTheme="minorEastAsia" w:hAnsiTheme="minorEastAsia"/>
          <w:sz w:val="22"/>
          <w:u w:val="single"/>
        </w:rPr>
        <w:t>杭州萧山国际机场</w:t>
      </w:r>
      <w:r>
        <w:rPr>
          <w:rFonts w:hint="eastAsia" w:asciiTheme="minorEastAsia" w:hAnsiTheme="minorEastAsia"/>
          <w:sz w:val="22"/>
          <w:u w:val="single"/>
          <w:lang w:eastAsia="zh-CN"/>
        </w:rPr>
        <w:t>飞行区围界防鼠网项目</w:t>
      </w:r>
      <w:r>
        <w:rPr>
          <w:rFonts w:hint="eastAsia" w:asciiTheme="minorEastAsia" w:hAnsiTheme="minorEastAsia"/>
          <w:sz w:val="22"/>
        </w:rPr>
        <w:t>，已接受</w:t>
      </w:r>
      <w:r>
        <w:rPr>
          <w:rFonts w:hint="eastAsia" w:asciiTheme="minorEastAsia" w:hAnsiTheme="minorEastAsia"/>
          <w:sz w:val="22"/>
          <w:lang w:eastAsia="zh-CN"/>
        </w:rPr>
        <w:t>【】</w:t>
      </w:r>
      <w:r>
        <w:rPr>
          <w:rFonts w:hint="eastAsia" w:asciiTheme="minorEastAsia" w:hAnsiTheme="minorEastAsia"/>
          <w:sz w:val="22"/>
        </w:rPr>
        <w:t>（以下简称“承包人”）对该项目施工的投标。发包人和承包人共同达成如下协议。</w:t>
      </w:r>
    </w:p>
    <w:p>
      <w:pPr>
        <w:spacing w:line="400" w:lineRule="exact"/>
        <w:ind w:firstLine="440" w:firstLineChars="200"/>
        <w:rPr>
          <w:rFonts w:asciiTheme="minorEastAsia" w:hAnsiTheme="minorEastAsia"/>
          <w:sz w:val="22"/>
        </w:rPr>
      </w:pPr>
      <w:bookmarkStart w:id="80" w:name="_Toc144974828"/>
      <w:bookmarkStart w:id="81" w:name="_Toc152042548"/>
      <w:r>
        <w:rPr>
          <w:rFonts w:hint="eastAsia" w:asciiTheme="minorEastAsia" w:hAnsiTheme="minorEastAsia"/>
          <w:sz w:val="22"/>
        </w:rPr>
        <w:t>1. 本协议书与下列文件一起构成合同文件：</w:t>
      </w:r>
      <w:bookmarkEnd w:id="80"/>
      <w:bookmarkEnd w:id="81"/>
    </w:p>
    <w:p>
      <w:pPr>
        <w:spacing w:line="400" w:lineRule="exact"/>
        <w:ind w:firstLine="440" w:firstLineChars="200"/>
        <w:rPr>
          <w:rFonts w:asciiTheme="minorEastAsia" w:hAnsiTheme="minorEastAsia"/>
          <w:sz w:val="22"/>
        </w:rPr>
      </w:pPr>
      <w:r>
        <w:rPr>
          <w:rFonts w:hint="eastAsia" w:asciiTheme="minorEastAsia" w:hAnsiTheme="minorEastAsia"/>
          <w:sz w:val="22"/>
        </w:rPr>
        <w:t>(1)本合同书面（补充）协议以及合同履行中，双方有关工程的洽谈、变更等书面协议或文件；</w:t>
      </w:r>
    </w:p>
    <w:p>
      <w:pPr>
        <w:spacing w:line="400" w:lineRule="exact"/>
        <w:ind w:firstLine="440" w:firstLineChars="200"/>
        <w:rPr>
          <w:rFonts w:asciiTheme="minorEastAsia" w:hAnsiTheme="minorEastAsia"/>
          <w:sz w:val="22"/>
        </w:rPr>
      </w:pPr>
      <w:r>
        <w:rPr>
          <w:rFonts w:hint="eastAsia" w:asciiTheme="minorEastAsia" w:hAnsiTheme="minorEastAsia"/>
          <w:sz w:val="22"/>
        </w:rPr>
        <w:t>（2）本合同协议书（含合同谈判纪要）；</w:t>
      </w:r>
    </w:p>
    <w:p>
      <w:pPr>
        <w:spacing w:line="400" w:lineRule="exact"/>
        <w:ind w:firstLine="440" w:firstLineChars="200"/>
        <w:rPr>
          <w:rFonts w:asciiTheme="minorEastAsia" w:hAnsiTheme="minorEastAsia"/>
          <w:sz w:val="22"/>
        </w:rPr>
      </w:pPr>
      <w:r>
        <w:rPr>
          <w:rFonts w:hint="eastAsia" w:asciiTheme="minorEastAsia" w:hAnsiTheme="minorEastAsia"/>
          <w:sz w:val="22"/>
        </w:rPr>
        <w:t>（3）中标通知书；</w:t>
      </w:r>
    </w:p>
    <w:p>
      <w:pPr>
        <w:spacing w:line="400" w:lineRule="exact"/>
        <w:ind w:firstLine="440" w:firstLineChars="200"/>
        <w:rPr>
          <w:rFonts w:asciiTheme="minorEastAsia" w:hAnsiTheme="minorEastAsia"/>
          <w:sz w:val="22"/>
        </w:rPr>
      </w:pPr>
      <w:r>
        <w:rPr>
          <w:rFonts w:hint="eastAsia" w:asciiTheme="minorEastAsia" w:hAnsiTheme="minorEastAsia"/>
          <w:sz w:val="22"/>
        </w:rPr>
        <w:t>（4）本合同专用条款；</w:t>
      </w:r>
    </w:p>
    <w:p>
      <w:pPr>
        <w:spacing w:line="400" w:lineRule="exact"/>
        <w:ind w:firstLine="440" w:firstLineChars="200"/>
        <w:rPr>
          <w:rFonts w:asciiTheme="minorEastAsia" w:hAnsiTheme="minorEastAsia"/>
          <w:sz w:val="22"/>
        </w:rPr>
      </w:pPr>
      <w:r>
        <w:rPr>
          <w:rFonts w:hint="eastAsia" w:asciiTheme="minorEastAsia" w:hAnsiTheme="minorEastAsia"/>
          <w:sz w:val="22"/>
        </w:rPr>
        <w:t>（5）招标文件及其补充文件（包括询标记录）；</w:t>
      </w:r>
    </w:p>
    <w:p>
      <w:pPr>
        <w:spacing w:line="400" w:lineRule="exact"/>
        <w:ind w:firstLine="440" w:firstLineChars="200"/>
        <w:rPr>
          <w:rFonts w:asciiTheme="minorEastAsia" w:hAnsiTheme="minorEastAsia"/>
          <w:sz w:val="22"/>
        </w:rPr>
      </w:pPr>
      <w:r>
        <w:rPr>
          <w:rFonts w:hint="eastAsia" w:asciiTheme="minorEastAsia" w:hAnsiTheme="minorEastAsia"/>
          <w:sz w:val="22"/>
        </w:rPr>
        <w:t>（6）投标文件及其附件；</w:t>
      </w:r>
    </w:p>
    <w:p>
      <w:pPr>
        <w:spacing w:line="400" w:lineRule="exact"/>
        <w:ind w:firstLine="440" w:firstLineChars="200"/>
        <w:rPr>
          <w:rFonts w:asciiTheme="minorEastAsia" w:hAnsiTheme="minorEastAsia"/>
          <w:sz w:val="22"/>
        </w:rPr>
      </w:pPr>
      <w:r>
        <w:rPr>
          <w:rFonts w:hint="eastAsia" w:asciiTheme="minorEastAsia" w:hAnsiTheme="minorEastAsia"/>
          <w:sz w:val="22"/>
        </w:rPr>
        <w:t>（7）本合同通用条款；</w:t>
      </w:r>
    </w:p>
    <w:p>
      <w:pPr>
        <w:spacing w:line="400" w:lineRule="exact"/>
        <w:ind w:firstLine="440" w:firstLineChars="200"/>
        <w:rPr>
          <w:rFonts w:asciiTheme="minorEastAsia" w:hAnsiTheme="minorEastAsia"/>
          <w:sz w:val="22"/>
        </w:rPr>
      </w:pPr>
      <w:r>
        <w:rPr>
          <w:rFonts w:hint="eastAsia" w:asciiTheme="minorEastAsia" w:hAnsiTheme="minorEastAsia"/>
          <w:sz w:val="22"/>
        </w:rPr>
        <w:t>（8）标准、规范及有关技术文件；</w:t>
      </w:r>
    </w:p>
    <w:p>
      <w:pPr>
        <w:spacing w:line="400" w:lineRule="exact"/>
        <w:ind w:firstLine="440" w:firstLineChars="200"/>
        <w:rPr>
          <w:rFonts w:asciiTheme="minorEastAsia" w:hAnsiTheme="minorEastAsia"/>
          <w:sz w:val="22"/>
        </w:rPr>
      </w:pPr>
      <w:r>
        <w:rPr>
          <w:rFonts w:hint="eastAsia" w:asciiTheme="minorEastAsia" w:hAnsiTheme="minorEastAsia"/>
          <w:sz w:val="22"/>
        </w:rPr>
        <w:t>（9）图纸；</w:t>
      </w:r>
    </w:p>
    <w:p>
      <w:pPr>
        <w:spacing w:line="400" w:lineRule="exact"/>
        <w:ind w:firstLine="440" w:firstLineChars="200"/>
        <w:rPr>
          <w:rFonts w:asciiTheme="minorEastAsia" w:hAnsiTheme="minorEastAsia"/>
          <w:sz w:val="22"/>
        </w:rPr>
      </w:pPr>
      <w:r>
        <w:rPr>
          <w:rFonts w:hint="eastAsia" w:asciiTheme="minorEastAsia" w:hAnsiTheme="minorEastAsia"/>
          <w:sz w:val="22"/>
        </w:rPr>
        <w:t>（10）工程量清单；</w:t>
      </w:r>
    </w:p>
    <w:p>
      <w:pPr>
        <w:spacing w:line="400" w:lineRule="exact"/>
        <w:ind w:firstLine="440" w:firstLineChars="200"/>
        <w:rPr>
          <w:rFonts w:asciiTheme="minorEastAsia" w:hAnsiTheme="minorEastAsia"/>
          <w:sz w:val="22"/>
        </w:rPr>
      </w:pPr>
      <w:r>
        <w:rPr>
          <w:rFonts w:hint="eastAsia" w:asciiTheme="minorEastAsia" w:hAnsiTheme="minorEastAsia"/>
          <w:sz w:val="22"/>
        </w:rPr>
        <w:t>（11）工程报价书。 </w:t>
      </w:r>
    </w:p>
    <w:p>
      <w:pPr>
        <w:spacing w:line="400" w:lineRule="exact"/>
        <w:ind w:firstLine="440" w:firstLineChars="200"/>
        <w:rPr>
          <w:rFonts w:hint="eastAsia" w:asciiTheme="minorEastAsia" w:hAnsiTheme="minorEastAsia"/>
          <w:sz w:val="22"/>
        </w:rPr>
      </w:pPr>
      <w:bookmarkStart w:id="82" w:name="_Toc152042549"/>
      <w:bookmarkStart w:id="83" w:name="_Toc144974829"/>
      <w:r>
        <w:rPr>
          <w:rFonts w:hint="eastAsia" w:asciiTheme="minorEastAsia" w:hAnsiTheme="minorEastAsia"/>
          <w:sz w:val="22"/>
        </w:rPr>
        <w:t>2. 上述文件互相补充和解释，如有不明确或不一致之处，以合同约定次序在先者为准。</w:t>
      </w:r>
      <w:bookmarkEnd w:id="82"/>
      <w:bookmarkEnd w:id="83"/>
    </w:p>
    <w:p>
      <w:pPr>
        <w:spacing w:beforeLines="0" w:afterLines="0" w:line="400" w:lineRule="exact"/>
        <w:ind w:right="315" w:rightChars="150" w:firstLine="440" w:firstLineChars="200"/>
        <w:rPr>
          <w:rFonts w:hint="eastAsia" w:asciiTheme="minorEastAsia" w:hAnsiTheme="minorEastAsia"/>
          <w:sz w:val="22"/>
        </w:rPr>
      </w:pPr>
      <w:r>
        <w:rPr>
          <w:rFonts w:hint="eastAsia" w:asciiTheme="minorEastAsia" w:hAnsiTheme="minorEastAsia"/>
          <w:sz w:val="22"/>
        </w:rPr>
        <w:t>3. 本合同为固定单价合同，签约合同价：人民币（大写）</w:t>
      </w:r>
      <w:r>
        <w:rPr>
          <w:rFonts w:hint="eastAsia" w:asciiTheme="minorEastAsia" w:hAnsiTheme="minorEastAsia"/>
          <w:sz w:val="22"/>
          <w:u w:val="single"/>
        </w:rPr>
        <w:t xml:space="preserve">             </w:t>
      </w:r>
      <w:r>
        <w:rPr>
          <w:rFonts w:hint="eastAsia" w:asciiTheme="minorEastAsia" w:hAnsiTheme="minorEastAsia"/>
          <w:sz w:val="22"/>
        </w:rPr>
        <w:t>元（¥</w:t>
      </w:r>
      <w:r>
        <w:rPr>
          <w:rFonts w:hint="eastAsia" w:asciiTheme="minorEastAsia" w:hAnsiTheme="minorEastAsia"/>
          <w:sz w:val="22"/>
          <w:u w:val="single"/>
        </w:rPr>
        <w:t xml:space="preserve">              </w:t>
      </w:r>
      <w:r>
        <w:rPr>
          <w:rFonts w:hint="eastAsia" w:asciiTheme="minorEastAsia" w:hAnsiTheme="minorEastAsia"/>
          <w:sz w:val="22"/>
        </w:rPr>
        <w:t>元 ）。</w:t>
      </w:r>
    </w:p>
    <w:p>
      <w:pPr>
        <w:spacing w:beforeLines="0" w:afterLines="0" w:line="400" w:lineRule="exact"/>
        <w:ind w:right="315" w:rightChars="150" w:firstLine="440" w:firstLineChars="200"/>
        <w:rPr>
          <w:rFonts w:asciiTheme="minorEastAsia" w:hAnsiTheme="minorEastAsia"/>
          <w:sz w:val="22"/>
        </w:rPr>
      </w:pPr>
      <w:r>
        <w:rPr>
          <w:rFonts w:hint="eastAsia" w:ascii="宋体" w:hAnsi="宋体" w:cs="Arial"/>
          <w:kern w:val="0"/>
          <w:sz w:val="22"/>
          <w:highlight w:val="none"/>
        </w:rPr>
        <w:t>在合同有效期限内，若因国家税收政策调整而引起的增值税税率变化的，应按照国家税收政策调整，合同总金额变更为原合同不含增值税服务价格与调整后税率计算税额的合计金额。</w:t>
      </w:r>
    </w:p>
    <w:p>
      <w:pPr>
        <w:spacing w:line="400" w:lineRule="exact"/>
        <w:ind w:firstLine="440" w:firstLineChars="200"/>
        <w:rPr>
          <w:rFonts w:asciiTheme="minorEastAsia" w:hAnsiTheme="minorEastAsia"/>
          <w:sz w:val="22"/>
        </w:rPr>
      </w:pPr>
      <w:r>
        <w:rPr>
          <w:rFonts w:hint="eastAsia" w:asciiTheme="minorEastAsia" w:hAnsiTheme="minorEastAsia"/>
          <w:sz w:val="22"/>
        </w:rPr>
        <w:t>4. 承包人项目经理：</w:t>
      </w:r>
      <w:r>
        <w:rPr>
          <w:rFonts w:hint="eastAsia" w:asciiTheme="minorEastAsia" w:hAnsiTheme="minorEastAsia"/>
          <w:sz w:val="22"/>
          <w:lang w:eastAsia="zh-CN"/>
        </w:rPr>
        <w:t>身份证号：</w:t>
      </w:r>
      <w:r>
        <w:rPr>
          <w:rFonts w:hint="eastAsia" w:asciiTheme="minorEastAsia" w:hAnsiTheme="minorEastAsia"/>
          <w:sz w:val="22"/>
          <w:lang w:val="en-US" w:eastAsia="zh-CN"/>
        </w:rPr>
        <w:t xml:space="preserve">  </w:t>
      </w:r>
    </w:p>
    <w:p>
      <w:pPr>
        <w:spacing w:line="400" w:lineRule="exact"/>
        <w:ind w:firstLine="440" w:firstLineChars="200"/>
        <w:rPr>
          <w:rFonts w:asciiTheme="minorEastAsia" w:hAnsiTheme="minorEastAsia"/>
          <w:sz w:val="22"/>
        </w:rPr>
      </w:pPr>
      <w:r>
        <w:rPr>
          <w:rFonts w:hint="eastAsia" w:asciiTheme="minorEastAsia" w:hAnsiTheme="minorEastAsia"/>
          <w:sz w:val="22"/>
        </w:rPr>
        <w:t>5. 工程质量符合</w:t>
      </w:r>
      <w:r>
        <w:rPr>
          <w:rFonts w:hint="eastAsia" w:asciiTheme="minorEastAsia" w:hAnsiTheme="minorEastAsia"/>
          <w:sz w:val="22"/>
          <w:u w:val="single"/>
        </w:rPr>
        <w:t xml:space="preserve">  合同约定且达到合格  </w:t>
      </w:r>
      <w:r>
        <w:rPr>
          <w:rFonts w:hint="eastAsia" w:asciiTheme="minorEastAsia" w:hAnsiTheme="minorEastAsia"/>
          <w:sz w:val="22"/>
        </w:rPr>
        <w:t>标准。</w:t>
      </w:r>
    </w:p>
    <w:p>
      <w:pPr>
        <w:spacing w:line="400" w:lineRule="exact"/>
        <w:ind w:firstLine="440" w:firstLineChars="200"/>
        <w:rPr>
          <w:rFonts w:asciiTheme="minorEastAsia" w:hAnsiTheme="minorEastAsia"/>
          <w:sz w:val="22"/>
        </w:rPr>
      </w:pPr>
      <w:r>
        <w:rPr>
          <w:rFonts w:hint="eastAsia" w:asciiTheme="minorEastAsia" w:hAnsiTheme="minorEastAsia"/>
          <w:sz w:val="22"/>
        </w:rPr>
        <w:t>6. 承包人承诺按合同约定承担工程的实施、完成及缺陷修复。</w:t>
      </w:r>
    </w:p>
    <w:p>
      <w:pPr>
        <w:spacing w:line="400" w:lineRule="exact"/>
        <w:ind w:firstLine="440" w:firstLineChars="200"/>
        <w:rPr>
          <w:rFonts w:asciiTheme="minorEastAsia" w:hAnsiTheme="minorEastAsia"/>
          <w:sz w:val="22"/>
        </w:rPr>
      </w:pPr>
      <w:r>
        <w:rPr>
          <w:rFonts w:hint="eastAsia" w:asciiTheme="minorEastAsia" w:hAnsiTheme="minorEastAsia"/>
          <w:sz w:val="22"/>
        </w:rPr>
        <w:t>7. 发包人承诺按合同约定的条件、时间和方式向承包人支付合同价款。</w:t>
      </w:r>
    </w:p>
    <w:p>
      <w:pPr>
        <w:spacing w:line="400" w:lineRule="exact"/>
        <w:ind w:firstLine="440" w:firstLineChars="200"/>
        <w:rPr>
          <w:rFonts w:asciiTheme="minorEastAsia" w:hAnsiTheme="minorEastAsia"/>
          <w:sz w:val="22"/>
        </w:rPr>
      </w:pPr>
      <w:r>
        <w:rPr>
          <w:rFonts w:hint="eastAsia" w:asciiTheme="minorEastAsia" w:hAnsiTheme="minorEastAsia"/>
          <w:sz w:val="22"/>
        </w:rPr>
        <w:t>8.</w:t>
      </w:r>
      <w:r>
        <w:rPr>
          <w:rFonts w:hint="eastAsia" w:ascii="宋体" w:hAnsi="宋体" w:cs="Arial"/>
          <w:kern w:val="0"/>
          <w:sz w:val="22"/>
          <w:lang w:eastAsia="zh-CN"/>
        </w:rPr>
        <w:t>预计开工时间</w:t>
      </w:r>
      <w:r>
        <w:rPr>
          <w:rFonts w:hint="eastAsia" w:ascii="宋体" w:hAnsi="宋体" w:cs="Arial"/>
          <w:kern w:val="0"/>
          <w:sz w:val="22"/>
          <w:lang w:val="en-US" w:eastAsia="zh-CN"/>
        </w:rPr>
        <w:t xml:space="preserve">  年   月   日</w:t>
      </w:r>
      <w:r>
        <w:rPr>
          <w:rFonts w:hint="eastAsia" w:ascii="宋体" w:hAnsi="宋体" w:cs="Arial"/>
          <w:kern w:val="0"/>
          <w:sz w:val="22"/>
          <w:lang w:eastAsia="zh-CN"/>
        </w:rPr>
        <w:t>，承包人最终以发包人开工指令后开工，工期</w:t>
      </w:r>
      <w:r>
        <w:rPr>
          <w:rFonts w:hint="eastAsia" w:ascii="宋体" w:hAnsi="宋体" w:cs="Arial"/>
          <w:kern w:val="0"/>
          <w:sz w:val="22"/>
          <w:u w:val="single"/>
          <w:lang w:val="en-US" w:eastAsia="zh-CN"/>
        </w:rPr>
        <w:t>60</w:t>
      </w:r>
      <w:r>
        <w:rPr>
          <w:rFonts w:hint="eastAsia" w:ascii="宋体" w:hAnsi="宋体" w:cs="Arial"/>
          <w:kern w:val="0"/>
          <w:sz w:val="22"/>
        </w:rPr>
        <w:t>日历天。</w:t>
      </w:r>
    </w:p>
    <w:p>
      <w:pPr>
        <w:spacing w:line="400" w:lineRule="exact"/>
        <w:ind w:firstLine="440" w:firstLineChars="200"/>
        <w:rPr>
          <w:rFonts w:asciiTheme="minorEastAsia" w:hAnsiTheme="minorEastAsia"/>
          <w:sz w:val="22"/>
        </w:rPr>
      </w:pPr>
      <w:r>
        <w:rPr>
          <w:rFonts w:hint="eastAsia" w:asciiTheme="minorEastAsia" w:hAnsiTheme="minorEastAsia"/>
          <w:sz w:val="22"/>
        </w:rPr>
        <w:t>9. 本协议书一式陆份，甲方执肆份，乙方执贰份</w:t>
      </w:r>
      <w:r>
        <w:rPr>
          <w:rFonts w:hint="eastAsia" w:asciiTheme="minorEastAsia" w:hAnsiTheme="minorEastAsia"/>
          <w:sz w:val="22"/>
          <w:lang w:eastAsia="zh-CN"/>
        </w:rPr>
        <w:t>，具有同等法律效力</w:t>
      </w:r>
      <w:r>
        <w:rPr>
          <w:rFonts w:hint="eastAsia" w:asciiTheme="minorEastAsia" w:hAnsiTheme="minorEastAsia"/>
          <w:sz w:val="22"/>
        </w:rPr>
        <w:t>。</w:t>
      </w:r>
    </w:p>
    <w:p>
      <w:pPr>
        <w:spacing w:line="400" w:lineRule="exact"/>
        <w:ind w:firstLine="440" w:firstLineChars="200"/>
        <w:rPr>
          <w:rFonts w:asciiTheme="minorEastAsia" w:hAnsiTheme="minorEastAsia"/>
          <w:sz w:val="22"/>
        </w:rPr>
      </w:pPr>
      <w:bookmarkStart w:id="84" w:name="_Toc144974830"/>
      <w:bookmarkStart w:id="85" w:name="_Toc152042550"/>
      <w:r>
        <w:rPr>
          <w:rFonts w:hint="eastAsia" w:asciiTheme="minorEastAsia" w:hAnsiTheme="minorEastAsia"/>
          <w:sz w:val="22"/>
        </w:rPr>
        <w:t>10. 合同未尽事宜，双方另行签订补充协议。补充协议是合同的组成部分。</w:t>
      </w:r>
      <w:bookmarkEnd w:id="84"/>
      <w:bookmarkEnd w:id="85"/>
    </w:p>
    <w:p>
      <w:pPr>
        <w:spacing w:line="400" w:lineRule="exact"/>
        <w:ind w:firstLine="440" w:firstLineChars="200"/>
        <w:rPr>
          <w:rFonts w:asciiTheme="minorEastAsia" w:hAnsiTheme="minorEastAsia"/>
          <w:sz w:val="22"/>
        </w:rPr>
      </w:pPr>
      <w:r>
        <w:rPr>
          <w:rFonts w:hint="eastAsia" w:asciiTheme="minorEastAsia" w:hAnsiTheme="minorEastAsia"/>
          <w:sz w:val="22"/>
        </w:rPr>
        <w:t>11.合同生效：本合同自双方法定代表人或委托代理人签字盖章之日起生效。</w:t>
      </w:r>
    </w:p>
    <w:p>
      <w:pPr>
        <w:spacing w:line="400" w:lineRule="exact"/>
        <w:ind w:firstLine="440" w:firstLineChars="200"/>
        <w:rPr>
          <w:rFonts w:asciiTheme="minorEastAsia" w:hAnsiTheme="minorEastAsia"/>
          <w:sz w:val="22"/>
        </w:rPr>
      </w:pPr>
    </w:p>
    <w:p>
      <w:pPr>
        <w:spacing w:line="400" w:lineRule="exact"/>
        <w:ind w:firstLine="440" w:firstLineChars="200"/>
        <w:rPr>
          <w:rFonts w:asciiTheme="minorEastAsia" w:hAnsiTheme="minorEastAsia"/>
          <w:sz w:val="22"/>
        </w:rPr>
      </w:pPr>
      <w:r>
        <w:rPr>
          <w:rFonts w:hint="eastAsia" w:asciiTheme="minorEastAsia" w:hAnsiTheme="minorEastAsia"/>
          <w:sz w:val="22"/>
        </w:rPr>
        <w:t>发包人：                （盖单位章）    承包人：                  （盖单位章）</w:t>
      </w:r>
    </w:p>
    <w:p>
      <w:pPr>
        <w:spacing w:line="400" w:lineRule="exact"/>
        <w:ind w:firstLine="440" w:firstLineChars="200"/>
        <w:rPr>
          <w:rFonts w:asciiTheme="minorEastAsia" w:hAnsiTheme="minorEastAsia"/>
          <w:sz w:val="22"/>
        </w:rPr>
      </w:pPr>
    </w:p>
    <w:p>
      <w:pPr>
        <w:spacing w:line="400" w:lineRule="exact"/>
        <w:ind w:firstLine="440" w:firstLineChars="200"/>
        <w:rPr>
          <w:rFonts w:asciiTheme="minorEastAsia" w:hAnsiTheme="minorEastAsia"/>
          <w:sz w:val="22"/>
        </w:rPr>
      </w:pPr>
      <w:r>
        <w:rPr>
          <w:rFonts w:hint="eastAsia" w:asciiTheme="minorEastAsia" w:hAnsiTheme="minorEastAsia"/>
          <w:sz w:val="22"/>
        </w:rPr>
        <w:t xml:space="preserve">法定代表人或其委托代理人：              法定代表人或其委托代理人：          </w:t>
      </w:r>
    </w:p>
    <w:p>
      <w:pPr>
        <w:spacing w:line="400" w:lineRule="exact"/>
        <w:ind w:firstLine="42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86" w:name="_Toc375636693"/>
      <w:bookmarkStart w:id="87" w:name="_Toc448097406"/>
      <w:bookmarkStart w:id="88" w:name="_Toc246392119"/>
      <w:bookmarkStart w:id="89" w:name="_Toc450630561"/>
      <w:bookmarkStart w:id="90" w:name="_Toc375636694"/>
      <w:bookmarkStart w:id="91" w:name="_Toc152042545"/>
      <w:bookmarkStart w:id="92" w:name="_Toc144974736"/>
      <w:bookmarkStart w:id="93" w:name="_Toc152045766"/>
      <w:r>
        <w:rPr>
          <w:rFonts w:hint="eastAsia" w:ascii="宋体" w:hAnsi="宋体" w:cs="宋体"/>
          <w:b/>
          <w:sz w:val="28"/>
          <w:szCs w:val="20"/>
        </w:rPr>
        <w:t>第二部分  通用合同条款</w:t>
      </w:r>
      <w:bookmarkEnd w:id="86"/>
      <w:bookmarkEnd w:id="87"/>
      <w:bookmarkEnd w:id="88"/>
      <w:bookmarkEnd w:id="89"/>
    </w:p>
    <w:p>
      <w:pPr>
        <w:pStyle w:val="156"/>
        <w:jc w:val="center"/>
        <w:rPr>
          <w:rFonts w:hint="eastAsia" w:ascii="宋体" w:hAnsi="宋体" w:eastAsia="宋体"/>
          <w:b/>
        </w:rPr>
      </w:pPr>
      <w:r>
        <w:rPr>
          <w:rFonts w:hint="eastAsia" w:ascii="宋体" w:hAnsi="宋体" w:eastAsia="宋体"/>
          <w:b/>
        </w:rPr>
        <w:t>（略）</w:t>
      </w:r>
    </w:p>
    <w:p>
      <w:pPr>
        <w:pStyle w:val="156"/>
        <w:jc w:val="center"/>
        <w:rPr>
          <w:rFonts w:ascii="宋体" w:hAnsi="宋体" w:eastAsia="宋体"/>
          <w:b/>
        </w:rPr>
      </w:pPr>
      <w:r>
        <w:rPr>
          <w:rFonts w:hint="eastAsia" w:ascii="宋体" w:hAnsi="宋体" w:eastAsia="宋体"/>
          <w:b/>
        </w:rPr>
        <w:t>第三部分  专用合同条款</w:t>
      </w:r>
      <w:bookmarkEnd w:id="90"/>
    </w:p>
    <w:bookmarkEnd w:id="91"/>
    <w:bookmarkEnd w:id="92"/>
    <w:bookmarkEnd w:id="93"/>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hint="eastAsia"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hint="eastAsia" w:ascii="宋体" w:hAnsi="宋体" w:cs="宋体" w:eastAsiaTheme="minorEastAsia"/>
          <w:sz w:val="22"/>
          <w:lang w:val="en-US" w:eastAsia="zh-CN"/>
        </w:rPr>
      </w:pPr>
      <w:r>
        <w:rPr>
          <w:rFonts w:hint="eastAsia" w:ascii="宋体" w:hAnsi="宋体" w:cs="宋体"/>
          <w:sz w:val="22"/>
          <w:lang w:val="en-US" w:eastAsia="zh-CN"/>
        </w:rPr>
        <w:t xml:space="preserve">1.1.2.5分包：  </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r>
        <w:rPr>
          <w:rFonts w:hint="eastAsia" w:ascii="宋体" w:hAnsi="宋体" w:cs="Arial"/>
          <w:kern w:val="0"/>
          <w:sz w:val="22"/>
        </w:rPr>
        <w:t>杭州萧山国际机场</w:t>
      </w:r>
      <w:r>
        <w:rPr>
          <w:rFonts w:hint="eastAsia" w:ascii="宋体" w:hAnsi="宋体" w:cs="Arial"/>
          <w:kern w:val="0"/>
          <w:sz w:val="22"/>
          <w:lang w:eastAsia="zh-CN"/>
        </w:rPr>
        <w:t>飞行区围界防鼠网项目</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ind w:firstLine="440" w:firstLineChars="200"/>
        <w:rPr>
          <w:rFonts w:ascii="宋体" w:hAnsi="宋体" w:cs="宋体"/>
          <w:sz w:val="22"/>
        </w:rPr>
      </w:pPr>
      <w:r>
        <w:rPr>
          <w:rFonts w:hint="eastAsia" w:ascii="宋体" w:hAnsi="宋体" w:cs="宋体"/>
          <w:sz w:val="22"/>
        </w:rPr>
        <w:t>1.1.4 日期</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再者：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ind w:firstLine="440" w:firstLineChars="200"/>
        <w:rPr>
          <w:rFonts w:ascii="宋体" w:hAnsi="宋体" w:cs="宋体"/>
          <w:sz w:val="22"/>
        </w:rPr>
      </w:pPr>
      <w:r>
        <w:rPr>
          <w:rFonts w:hint="eastAsia" w:ascii="宋体" w:hAnsi="宋体" w:cs="宋体"/>
          <w:sz w:val="22"/>
        </w:rPr>
        <w:t>4.1.12 承包人有固定载客汽车负责运送人员，有固定货车负责运送工具设备及施工用料。承包人食宿须自行解决，过程中产生的费用由承包人承担。</w:t>
      </w:r>
    </w:p>
    <w:p>
      <w:pPr>
        <w:adjustRightInd w:val="0"/>
        <w:snapToGrid w:val="0"/>
        <w:spacing w:line="360" w:lineRule="exact"/>
        <w:ind w:firstLine="440"/>
        <w:rPr>
          <w:rFonts w:ascii="宋体" w:hAnsi="宋体" w:cs="宋体"/>
          <w:sz w:val="22"/>
        </w:rPr>
      </w:pPr>
      <w:r>
        <w:rPr>
          <w:rFonts w:hint="eastAsia" w:ascii="宋体" w:hAnsi="宋体" w:cs="宋体"/>
          <w:sz w:val="22"/>
        </w:rPr>
        <w:t>4.1.13土方、建筑垃圾需外运至机场以外地区，地点由承包人自行考虑，实际施工如有变化相关费用不做调整；</w:t>
      </w:r>
    </w:p>
    <w:p>
      <w:pPr>
        <w:snapToGrid w:val="0"/>
        <w:spacing w:line="360" w:lineRule="exact"/>
        <w:ind w:firstLine="440" w:firstLineChars="200"/>
        <w:rPr>
          <w:rFonts w:ascii="宋体" w:hAnsi="宋体" w:cs="宋体"/>
          <w:sz w:val="22"/>
        </w:rPr>
      </w:pPr>
      <w:r>
        <w:rPr>
          <w:rFonts w:hint="eastAsia" w:ascii="宋体" w:hAnsi="宋体" w:cs="宋体"/>
          <w:sz w:val="22"/>
        </w:rPr>
        <w:t>4.1.14施工地点位于机场飞行区内，进入施工地点人员、车辆须办理隔离区通行证，同时须发包人引领，施工时间须由发包人决定。</w:t>
      </w:r>
    </w:p>
    <w:p>
      <w:pPr>
        <w:snapToGrid w:val="0"/>
        <w:spacing w:line="360" w:lineRule="exact"/>
        <w:ind w:firstLine="440" w:firstLineChars="200"/>
        <w:rPr>
          <w:rFonts w:ascii="宋体" w:hAnsi="宋体" w:cs="宋体"/>
          <w:sz w:val="22"/>
        </w:rPr>
      </w:pPr>
      <w:r>
        <w:rPr>
          <w:rFonts w:hint="eastAsia" w:ascii="宋体" w:hAnsi="宋体" w:cs="宋体"/>
          <w:sz w:val="22"/>
        </w:rPr>
        <w:t>4.1.15机场为重要的公共服务类功能区，必须严格按要求落实各项文明施工措施，避免因施工作业影响机场的运行秩序及环境卫生。承包人必须按服从并落实发包人的各项管理要求，做好安全文明施工，不得影响机场的正常运行。施工期间以及结束后，施工场地及周边必须满足临近航空器、车辆正常通行的要求。</w:t>
      </w:r>
    </w:p>
    <w:p>
      <w:pPr>
        <w:adjustRightInd w:val="0"/>
        <w:snapToGrid w:val="0"/>
        <w:spacing w:line="360" w:lineRule="exact"/>
        <w:ind w:firstLine="440"/>
        <w:rPr>
          <w:rFonts w:hint="eastAsia" w:ascii="宋体" w:hAnsi="宋体" w:cs="宋体"/>
          <w:sz w:val="22"/>
        </w:rPr>
      </w:pPr>
      <w:r>
        <w:rPr>
          <w:rFonts w:hint="eastAsia" w:ascii="宋体" w:hAnsi="宋体" w:cs="宋体"/>
          <w:sz w:val="22"/>
        </w:rPr>
        <w:t>4.1.16施工期间，承包人需聘请专业保安公司的保安对施工现场进行全程看护，</w:t>
      </w:r>
      <w:r>
        <w:rPr>
          <w:rFonts w:hint="eastAsia" w:ascii="宋体" w:hAnsi="宋体" w:cs="宋体"/>
          <w:sz w:val="22"/>
          <w:lang w:eastAsia="zh-CN"/>
        </w:rPr>
        <w:t>负责现场的施工安全监管</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4.1.17施工过程中承包人应对现有设施采取有效的保护措施，如有破坏必须无条件修复至原状；</w:t>
      </w:r>
    </w:p>
    <w:p>
      <w:pPr>
        <w:snapToGrid w:val="0"/>
        <w:spacing w:line="360" w:lineRule="exact"/>
        <w:ind w:firstLine="440" w:firstLineChars="200"/>
        <w:rPr>
          <w:rFonts w:ascii="宋体" w:hAnsi="宋体" w:cs="宋体"/>
          <w:sz w:val="22"/>
        </w:rPr>
      </w:pPr>
      <w:r>
        <w:rPr>
          <w:rFonts w:hint="eastAsia" w:ascii="宋体" w:hAnsi="宋体" w:cs="宋体"/>
          <w:sz w:val="22"/>
        </w:rPr>
        <w:t xml:space="preserve">4.1.18遇有机场重要保障任务需临时停工时，承包人必须无条件服从发包人指令。  </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4.2.1承包人向发包人提供履约担保，担保方式为：银行</w:t>
      </w:r>
      <w:r>
        <w:rPr>
          <w:rFonts w:hint="eastAsia" w:ascii="宋体" w:hAnsi="宋体" w:cs="宋体"/>
          <w:sz w:val="22"/>
          <w:lang w:eastAsia="zh-CN"/>
        </w:rPr>
        <w:t>转账</w:t>
      </w:r>
      <w:r>
        <w:rPr>
          <w:rFonts w:hint="eastAsia" w:ascii="宋体" w:hAnsi="宋体" w:cs="宋体"/>
          <w:sz w:val="22"/>
        </w:rPr>
        <w:t>，担保额度：合同总价（扣除暂列金额）的10％。 履约担保包括以下类别：工期担保为履约担保金的25%，质量担保为履约担保金的35%，人员及设备到位率担保为履约担保金的</w:t>
      </w:r>
      <w:r>
        <w:rPr>
          <w:rFonts w:hint="eastAsia" w:ascii="宋体" w:hAnsi="宋体" w:cs="宋体"/>
          <w:sz w:val="22"/>
          <w:lang w:val="en-US" w:eastAsia="zh-CN"/>
        </w:rPr>
        <w:t>2</w:t>
      </w:r>
      <w:r>
        <w:rPr>
          <w:rFonts w:hint="eastAsia" w:ascii="宋体" w:hAnsi="宋体" w:cs="宋体"/>
          <w:sz w:val="22"/>
        </w:rPr>
        <w:t>0%，安全文明施工、治安、交通及机场空防安全担保为履约担保金的20%。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w:t>
      </w:r>
      <w:r>
        <w:rPr>
          <w:rFonts w:hint="eastAsia" w:ascii="宋体" w:hAnsi="宋体" w:cs="宋体"/>
          <w:sz w:val="22"/>
          <w:lang w:val="en-US" w:eastAsia="zh-CN"/>
        </w:rPr>
        <w:t>5</w:t>
      </w:r>
      <w:r>
        <w:rPr>
          <w:rFonts w:hint="eastAsia" w:ascii="宋体" w:hAnsi="宋体" w:cs="宋体"/>
          <w:sz w:val="22"/>
        </w:rPr>
        <w:t>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5～30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9.2.2 承包人须安排安全员负责施工现场的安全管理工作，包括：隔离区通行证的统一管理、施工安全教育、施工现场的各项安全措施的落实等。</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（1）没收履约担保金中相应的工期部分或全部履约保证金；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pacing w:line="360" w:lineRule="exact"/>
        <w:rPr>
          <w:rFonts w:ascii="宋体" w:hAnsi="宋体" w:cs="宋体"/>
          <w:sz w:val="22"/>
        </w:rPr>
      </w:pPr>
      <w:r>
        <w:rPr>
          <w:rFonts w:ascii="宋体" w:hAnsi="宋体" w:cs="宋体"/>
          <w:sz w:val="22"/>
        </w:rPr>
        <w:t>15．变更</w:t>
      </w:r>
      <w:r>
        <w:rPr>
          <w:rFonts w:hint="eastAsia" w:ascii="宋体" w:hAnsi="宋体" w:cs="宋体"/>
          <w:sz w:val="22"/>
        </w:rPr>
        <w:t>（本项目不存在变更）</w:t>
      </w:r>
    </w:p>
    <w:p>
      <w:pPr>
        <w:spacing w:line="360" w:lineRule="exact"/>
        <w:rPr>
          <w:rFonts w:cs="宋体" w:asciiTheme="minorEastAsia" w:hAnsiTheme="minorEastAsia"/>
          <w:sz w:val="22"/>
        </w:rPr>
      </w:pPr>
      <w:r>
        <w:rPr>
          <w:rFonts w:cs="宋体" w:asciiTheme="minorEastAsia" w:hAnsiTheme="minorEastAsia"/>
          <w:sz w:val="22"/>
        </w:rPr>
        <w:t>16．价格调整</w:t>
      </w:r>
    </w:p>
    <w:p>
      <w:pPr>
        <w:spacing w:line="360" w:lineRule="exact"/>
        <w:rPr>
          <w:rFonts w:cs="宋体" w:asciiTheme="minorEastAsia" w:hAnsiTheme="minorEastAsia"/>
          <w:sz w:val="22"/>
        </w:rPr>
      </w:pPr>
      <w:r>
        <w:rPr>
          <w:rFonts w:cs="宋体" w:asciiTheme="minorEastAsia" w:hAnsiTheme="minorEastAsia"/>
          <w:sz w:val="22"/>
        </w:rPr>
        <w:t>16.1物价波动引起的价格调整</w:t>
      </w:r>
    </w:p>
    <w:p>
      <w:pPr>
        <w:spacing w:line="360" w:lineRule="exact"/>
        <w:ind w:firstLine="440" w:firstLineChars="200"/>
        <w:rPr>
          <w:rFonts w:cs="宋体" w:asciiTheme="minorEastAsia" w:hAnsiTheme="minorEastAsia"/>
          <w:sz w:val="22"/>
        </w:rPr>
      </w:pPr>
      <w:r>
        <w:rPr>
          <w:rFonts w:cs="宋体" w:asciiTheme="minorEastAsia" w:hAnsiTheme="minorEastAsia"/>
          <w:sz w:val="22"/>
        </w:rPr>
        <w:t>16.1.1价格调整按下列规定执行：</w:t>
      </w:r>
    </w:p>
    <w:p>
      <w:pPr>
        <w:spacing w:line="360" w:lineRule="exact"/>
        <w:ind w:firstLine="440" w:firstLineChars="200"/>
        <w:rPr>
          <w:rFonts w:cs="宋体" w:asciiTheme="minorEastAsia" w:hAnsiTheme="minorEastAsia"/>
          <w:sz w:val="22"/>
        </w:rPr>
      </w:pPr>
      <w:r>
        <w:rPr>
          <w:rFonts w:hint="eastAsia" w:cs="宋体" w:asciiTheme="minorEastAsia" w:hAnsiTheme="minorEastAsia"/>
          <w:sz w:val="22"/>
        </w:rPr>
        <w:t>（</w:t>
      </w:r>
      <w:r>
        <w:rPr>
          <w:rFonts w:cs="宋体" w:asciiTheme="minorEastAsia" w:hAnsiTheme="minorEastAsia"/>
          <w:sz w:val="22"/>
        </w:rPr>
        <w:t>1）双方约定的因物价波动引起的价格调整范围为：无。</w:t>
      </w:r>
    </w:p>
    <w:p>
      <w:pPr>
        <w:spacing w:line="360" w:lineRule="exact"/>
        <w:ind w:firstLine="440" w:firstLineChars="200"/>
        <w:rPr>
          <w:rFonts w:cs="宋体" w:asciiTheme="minorEastAsia" w:hAnsiTheme="minorEastAsia"/>
          <w:sz w:val="22"/>
        </w:rPr>
      </w:pPr>
      <w:r>
        <w:rPr>
          <w:rFonts w:hint="eastAsia" w:cs="宋体" w:asciiTheme="minorEastAsia" w:hAnsiTheme="minorEastAsia"/>
          <w:sz w:val="22"/>
        </w:rPr>
        <w:t>（</w:t>
      </w:r>
      <w:r>
        <w:rPr>
          <w:rFonts w:cs="宋体" w:asciiTheme="minorEastAsia" w:hAnsiTheme="minorEastAsia"/>
          <w:sz w:val="22"/>
        </w:rPr>
        <w:t>2）计日外的其他所有人工、材料一律不做价格调整。</w:t>
      </w:r>
    </w:p>
    <w:p>
      <w:pPr>
        <w:spacing w:line="360" w:lineRule="exact"/>
        <w:rPr>
          <w:rFonts w:cs="宋体" w:asciiTheme="minorEastAsia" w:hAnsiTheme="minorEastAsia"/>
          <w:sz w:val="22"/>
        </w:rPr>
      </w:pPr>
      <w:r>
        <w:rPr>
          <w:rFonts w:cs="宋体" w:asciiTheme="minorEastAsia" w:hAnsiTheme="minorEastAsia"/>
          <w:sz w:val="22"/>
        </w:rPr>
        <w:t>16.3风险范围以外合同价款调整方法：</w:t>
      </w:r>
    </w:p>
    <w:p>
      <w:pPr>
        <w:spacing w:line="360" w:lineRule="exact"/>
        <w:ind w:firstLine="440" w:firstLineChars="200"/>
        <w:rPr>
          <w:rFonts w:cs="宋体" w:asciiTheme="minorEastAsia" w:hAnsiTheme="minorEastAsia"/>
          <w:sz w:val="22"/>
        </w:rPr>
      </w:pPr>
      <w:r>
        <w:rPr>
          <w:rFonts w:cs="宋体" w:asciiTheme="minorEastAsia" w:hAnsiTheme="minorEastAsia"/>
          <w:sz w:val="22"/>
        </w:rPr>
        <w:t>16.3.1本合同价款采用固定</w:t>
      </w:r>
      <w:r>
        <w:rPr>
          <w:rFonts w:hint="eastAsia" w:cs="宋体" w:asciiTheme="minorEastAsia" w:hAnsiTheme="minorEastAsia"/>
          <w:sz w:val="22"/>
          <w:lang w:eastAsia="zh-CN"/>
        </w:rPr>
        <w:t>单</w:t>
      </w:r>
      <w:r>
        <w:rPr>
          <w:rFonts w:cs="宋体" w:asciiTheme="minorEastAsia" w:hAnsiTheme="minorEastAsia"/>
          <w:sz w:val="22"/>
        </w:rPr>
        <w:t>价合同方式确定。</w:t>
      </w:r>
    </w:p>
    <w:p>
      <w:pPr>
        <w:spacing w:line="360" w:lineRule="exact"/>
        <w:ind w:firstLine="440" w:firstLineChars="200"/>
        <w:rPr>
          <w:rFonts w:cs="宋体" w:asciiTheme="minorEastAsia" w:hAnsiTheme="minorEastAsia"/>
          <w:sz w:val="22"/>
        </w:rPr>
      </w:pPr>
      <w:r>
        <w:rPr>
          <w:rFonts w:hint="eastAsia" w:cs="宋体" w:asciiTheme="minorEastAsia" w:hAnsiTheme="minorEastAsia"/>
          <w:sz w:val="22"/>
        </w:rPr>
        <w:t>合同价款中包括的风险范围：</w:t>
      </w:r>
      <w:r>
        <w:rPr>
          <w:rFonts w:cs="宋体" w:asciiTheme="minorEastAsia" w:hAnsiTheme="minorEastAsia"/>
          <w:sz w:val="22"/>
        </w:rPr>
        <w:t>a、发包范围内招标图纸包含的工程内容；b、合同执行期内，投标材料的市场变化；c、合同执行期内，施工临时停电、停水或因机场运营需要造成的连续8小时内的停工；d、合同执行期内，因承包人原因造成停工、窝工；e、合同执行期内可能发生的其他费用，包括市政、市容、环保、治安等。</w:t>
      </w:r>
    </w:p>
    <w:p>
      <w:pPr>
        <w:spacing w:line="360" w:lineRule="exact"/>
        <w:ind w:firstLine="440" w:firstLineChars="200"/>
        <w:rPr>
          <w:rFonts w:cs="宋体" w:asciiTheme="minorEastAsia" w:hAnsiTheme="minorEastAsia"/>
          <w:sz w:val="22"/>
        </w:rPr>
      </w:pPr>
      <w:r>
        <w:rPr>
          <w:rFonts w:hint="eastAsia" w:cs="宋体" w:asciiTheme="minorEastAsia" w:hAnsiTheme="minorEastAsia"/>
          <w:sz w:val="22"/>
        </w:rPr>
        <w:t>风险费用的计算方法：承包人在投标报价时综合考虑，不再另行计取。</w:t>
      </w:r>
    </w:p>
    <w:p>
      <w:pPr>
        <w:spacing w:line="360" w:lineRule="exact"/>
        <w:ind w:firstLine="440" w:firstLineChars="200"/>
        <w:rPr>
          <w:rFonts w:cs="宋体" w:asciiTheme="minorEastAsia" w:hAnsiTheme="minorEastAsia"/>
          <w:sz w:val="22"/>
        </w:rPr>
      </w:pPr>
      <w:r>
        <w:rPr>
          <w:rFonts w:cs="宋体" w:asciiTheme="minorEastAsia" w:hAnsiTheme="minorEastAsia"/>
          <w:sz w:val="22"/>
        </w:rPr>
        <w:t>16.3.2风险范围以外合同价款调整方法：</w:t>
      </w:r>
    </w:p>
    <w:p>
      <w:pPr>
        <w:spacing w:line="360" w:lineRule="exact"/>
        <w:ind w:firstLine="440" w:firstLineChars="200"/>
        <w:rPr>
          <w:rFonts w:cs="宋体" w:asciiTheme="minorEastAsia" w:hAnsiTheme="minorEastAsia"/>
          <w:sz w:val="22"/>
        </w:rPr>
      </w:pPr>
      <w:r>
        <w:rPr>
          <w:rFonts w:cs="宋体" w:asciiTheme="minorEastAsia" w:hAnsiTheme="minorEastAsia"/>
          <w:sz w:val="22"/>
        </w:rPr>
        <w:t>16.3.2.1工程实施过程中，分部分项工程量清单项目工程量发生增减时，工程量按清单计价规则计算，其单价执行原投标综合单价，并按投标口径计取规费、</w:t>
      </w:r>
      <w:r>
        <w:rPr>
          <w:rFonts w:hint="eastAsia" w:cs="宋体" w:asciiTheme="minorEastAsia" w:hAnsiTheme="minorEastAsia"/>
          <w:sz w:val="22"/>
        </w:rPr>
        <w:t>危险作业意外伤害保险</w:t>
      </w:r>
      <w:r>
        <w:rPr>
          <w:rFonts w:cs="宋体" w:asciiTheme="minorEastAsia" w:hAnsiTheme="minorEastAsia"/>
          <w:sz w:val="22"/>
        </w:rPr>
        <w:t>和税金，不再计其他任何费用（16.3.2.2（7）约定的费用调整除外）。若合价金额占合同价2%及以上的分部分项清单项目，其工程量增减超过本项目工程量清单数量15%及以上时，工程量按清单规则计算，其综合单价按以下规定计算：</w:t>
      </w:r>
    </w:p>
    <w:p>
      <w:pPr>
        <w:spacing w:line="360" w:lineRule="exact"/>
        <w:ind w:firstLine="440" w:firstLineChars="200"/>
        <w:rPr>
          <w:rFonts w:cs="宋体" w:asciiTheme="minorEastAsia" w:hAnsiTheme="minorEastAsia"/>
          <w:sz w:val="22"/>
        </w:rPr>
      </w:pPr>
      <w:r>
        <w:rPr>
          <w:rFonts w:hint="eastAsia" w:cs="宋体" w:asciiTheme="minorEastAsia" w:hAnsiTheme="minorEastAsia"/>
          <w:sz w:val="22"/>
        </w:rPr>
        <w:t>计价依据：</w:t>
      </w:r>
    </w:p>
    <w:p>
      <w:pPr>
        <w:spacing w:line="360" w:lineRule="exact"/>
        <w:ind w:firstLine="440" w:firstLineChars="200"/>
        <w:rPr>
          <w:rFonts w:cs="宋体" w:asciiTheme="minorEastAsia" w:hAnsiTheme="minorEastAsia"/>
          <w:sz w:val="22"/>
        </w:rPr>
      </w:pPr>
      <w:r>
        <w:rPr>
          <w:rFonts w:hint="eastAsia" w:cs="宋体" w:asciiTheme="minorEastAsia" w:hAnsiTheme="minorEastAsia"/>
          <w:sz w:val="22"/>
        </w:rPr>
        <w:t>《浙建站定（201</w:t>
      </w:r>
      <w:r>
        <w:rPr>
          <w:rFonts w:cs="宋体" w:asciiTheme="minorEastAsia" w:hAnsiTheme="minorEastAsia"/>
          <w:sz w:val="22"/>
        </w:rPr>
        <w:t>6</w:t>
      </w:r>
      <w:r>
        <w:rPr>
          <w:rFonts w:hint="eastAsia" w:cs="宋体" w:asciiTheme="minorEastAsia" w:hAnsiTheme="minorEastAsia"/>
          <w:sz w:val="22"/>
        </w:rPr>
        <w:t>）</w:t>
      </w:r>
      <w:r>
        <w:rPr>
          <w:rFonts w:cs="宋体" w:asciiTheme="minorEastAsia" w:hAnsiTheme="minorEastAsia"/>
          <w:sz w:val="22"/>
        </w:rPr>
        <w:t>23</w:t>
      </w:r>
      <w:r>
        <w:rPr>
          <w:rFonts w:hint="eastAsia" w:cs="宋体" w:asciiTheme="minorEastAsia" w:hAnsiTheme="minorEastAsia"/>
          <w:sz w:val="22"/>
        </w:rPr>
        <w:t>号》、《浙建站定（201</w:t>
      </w:r>
      <w:r>
        <w:rPr>
          <w:rFonts w:cs="宋体" w:asciiTheme="minorEastAsia" w:hAnsiTheme="minorEastAsia"/>
          <w:sz w:val="22"/>
        </w:rPr>
        <w:t>6</w:t>
      </w:r>
      <w:r>
        <w:rPr>
          <w:rFonts w:hint="eastAsia" w:cs="宋体" w:asciiTheme="minorEastAsia" w:hAnsiTheme="minorEastAsia"/>
          <w:sz w:val="22"/>
        </w:rPr>
        <w:t>）</w:t>
      </w:r>
      <w:r>
        <w:rPr>
          <w:rFonts w:cs="宋体" w:asciiTheme="minorEastAsia" w:hAnsiTheme="minorEastAsia"/>
          <w:sz w:val="22"/>
        </w:rPr>
        <w:t>35</w:t>
      </w:r>
      <w:r>
        <w:rPr>
          <w:rFonts w:hint="eastAsia" w:cs="宋体" w:asciiTheme="minorEastAsia" w:hAnsiTheme="minorEastAsia"/>
          <w:sz w:val="22"/>
        </w:rPr>
        <w:t>号》、《建建发（201</w:t>
      </w:r>
      <w:r>
        <w:rPr>
          <w:rFonts w:cs="宋体" w:asciiTheme="minorEastAsia" w:hAnsiTheme="minorEastAsia"/>
          <w:sz w:val="22"/>
        </w:rPr>
        <w:t>6</w:t>
      </w:r>
      <w:r>
        <w:rPr>
          <w:rFonts w:hint="eastAsia" w:cs="宋体" w:asciiTheme="minorEastAsia" w:hAnsiTheme="minorEastAsia"/>
          <w:sz w:val="22"/>
        </w:rPr>
        <w:t>）</w:t>
      </w:r>
      <w:r>
        <w:rPr>
          <w:rFonts w:cs="宋体" w:asciiTheme="minorEastAsia" w:hAnsiTheme="minorEastAsia"/>
          <w:sz w:val="22"/>
        </w:rPr>
        <w:t>144</w:t>
      </w:r>
      <w:r>
        <w:rPr>
          <w:rFonts w:hint="eastAsia" w:cs="宋体" w:asciiTheme="minorEastAsia" w:hAnsiTheme="minorEastAsia"/>
          <w:sz w:val="22"/>
        </w:rPr>
        <w:t>号》及《杭建造价投资办[2016]23号》</w:t>
      </w:r>
    </w:p>
    <w:p>
      <w:pPr>
        <w:spacing w:line="360" w:lineRule="exact"/>
        <w:ind w:firstLine="440" w:firstLineChars="200"/>
        <w:rPr>
          <w:rFonts w:cs="宋体" w:asciiTheme="minorEastAsia" w:hAnsiTheme="minorEastAsia"/>
          <w:sz w:val="22"/>
        </w:rPr>
      </w:pPr>
      <w:r>
        <w:rPr>
          <w:rFonts w:hint="eastAsia" w:cs="宋体" w:asciiTheme="minorEastAsia" w:hAnsiTheme="minorEastAsia"/>
          <w:sz w:val="22"/>
        </w:rPr>
        <w:t>《浙江省建设工程施工取费定额（</w:t>
      </w:r>
      <w:r>
        <w:rPr>
          <w:rFonts w:cs="宋体" w:asciiTheme="minorEastAsia" w:hAnsiTheme="minorEastAsia"/>
          <w:sz w:val="22"/>
        </w:rPr>
        <w:t>2010版）》</w:t>
      </w:r>
    </w:p>
    <w:p>
      <w:pPr>
        <w:spacing w:line="360" w:lineRule="exact"/>
        <w:ind w:firstLine="440" w:firstLineChars="200"/>
        <w:rPr>
          <w:rFonts w:cs="宋体" w:asciiTheme="minorEastAsia" w:hAnsiTheme="minorEastAsia"/>
          <w:sz w:val="22"/>
        </w:rPr>
      </w:pPr>
      <w:r>
        <w:rPr>
          <w:rFonts w:hint="eastAsia" w:cs="宋体" w:asciiTheme="minorEastAsia" w:hAnsiTheme="minorEastAsia"/>
          <w:sz w:val="22"/>
        </w:rPr>
        <w:t>《浙江省市政公用工程预算定额（</w:t>
      </w:r>
      <w:r>
        <w:rPr>
          <w:rFonts w:cs="宋体" w:asciiTheme="minorEastAsia" w:hAnsiTheme="minorEastAsia"/>
          <w:sz w:val="22"/>
        </w:rPr>
        <w:t>2010版）》</w:t>
      </w:r>
    </w:p>
    <w:p>
      <w:pPr>
        <w:spacing w:line="360" w:lineRule="exact"/>
        <w:ind w:firstLine="440" w:firstLineChars="200"/>
        <w:rPr>
          <w:rFonts w:cs="宋体" w:asciiTheme="minorEastAsia" w:hAnsiTheme="minorEastAsia"/>
          <w:sz w:val="22"/>
        </w:rPr>
      </w:pPr>
      <w:r>
        <w:rPr>
          <w:rFonts w:hint="eastAsia" w:cs="宋体" w:asciiTheme="minorEastAsia" w:hAnsiTheme="minorEastAsia"/>
          <w:sz w:val="22"/>
        </w:rPr>
        <w:t>《浙江省建筑工程预算定额（</w:t>
      </w:r>
      <w:r>
        <w:rPr>
          <w:rFonts w:cs="宋体" w:asciiTheme="minorEastAsia" w:hAnsiTheme="minorEastAsia"/>
          <w:sz w:val="22"/>
        </w:rPr>
        <w:t>2010版）》</w:t>
      </w:r>
    </w:p>
    <w:p>
      <w:pPr>
        <w:spacing w:line="360" w:lineRule="exact"/>
        <w:ind w:firstLine="440" w:firstLineChars="200"/>
        <w:rPr>
          <w:rFonts w:cs="宋体" w:asciiTheme="minorEastAsia" w:hAnsiTheme="minorEastAsia"/>
          <w:sz w:val="22"/>
        </w:rPr>
      </w:pPr>
      <w:r>
        <w:rPr>
          <w:rFonts w:hint="eastAsia" w:cs="宋体" w:asciiTheme="minorEastAsia" w:hAnsiTheme="minorEastAsia"/>
          <w:sz w:val="22"/>
        </w:rPr>
        <w:t>《浙江省安装工程预算定额（</w:t>
      </w:r>
      <w:r>
        <w:rPr>
          <w:rFonts w:cs="宋体" w:asciiTheme="minorEastAsia" w:hAnsiTheme="minorEastAsia"/>
          <w:sz w:val="22"/>
        </w:rPr>
        <w:t>2010版）》</w:t>
      </w:r>
    </w:p>
    <w:p>
      <w:pPr>
        <w:spacing w:line="360" w:lineRule="exact"/>
        <w:ind w:firstLine="440" w:firstLineChars="200"/>
        <w:rPr>
          <w:rFonts w:cs="宋体" w:asciiTheme="minorEastAsia" w:hAnsiTheme="minorEastAsia"/>
          <w:sz w:val="22"/>
        </w:rPr>
      </w:pPr>
      <w:r>
        <w:rPr>
          <w:rFonts w:hint="eastAsia" w:cs="宋体" w:asciiTheme="minorEastAsia" w:hAnsiTheme="minorEastAsia"/>
          <w:sz w:val="22"/>
        </w:rPr>
        <w:t>综合费率、规费、危险作业意外伤害保险和税金按投标口径计取，措施费用按合同</w:t>
      </w:r>
      <w:r>
        <w:rPr>
          <w:rFonts w:cs="宋体" w:asciiTheme="minorEastAsia" w:hAnsiTheme="minorEastAsia"/>
          <w:sz w:val="22"/>
        </w:rPr>
        <w:t>16.3.2.2（7）约定调整。</w:t>
      </w:r>
    </w:p>
    <w:p>
      <w:pPr>
        <w:spacing w:line="360" w:lineRule="exact"/>
        <w:ind w:firstLine="440" w:firstLineChars="200"/>
        <w:rPr>
          <w:rFonts w:cs="宋体" w:asciiTheme="minorEastAsia" w:hAnsiTheme="minorEastAsia"/>
          <w:sz w:val="22"/>
        </w:rPr>
      </w:pPr>
      <w:r>
        <w:rPr>
          <w:rFonts w:cs="宋体" w:asciiTheme="minorEastAsia" w:hAnsiTheme="minorEastAsia"/>
          <w:sz w:val="22"/>
        </w:rPr>
        <w:t>16.3.2.2其他情况</w:t>
      </w:r>
    </w:p>
    <w:p>
      <w:pPr>
        <w:spacing w:line="360" w:lineRule="exact"/>
        <w:ind w:firstLine="440" w:firstLineChars="200"/>
        <w:rPr>
          <w:rFonts w:cs="宋体" w:asciiTheme="minorEastAsia" w:hAnsiTheme="minorEastAsia"/>
          <w:sz w:val="22"/>
        </w:rPr>
      </w:pPr>
      <w:r>
        <w:rPr>
          <w:rFonts w:hint="eastAsia" w:cs="宋体" w:asciiTheme="minorEastAsia" w:hAnsiTheme="minorEastAsia"/>
          <w:sz w:val="22"/>
        </w:rPr>
        <w:t>（</w:t>
      </w:r>
      <w:r>
        <w:rPr>
          <w:rFonts w:cs="宋体" w:asciiTheme="minorEastAsia" w:hAnsiTheme="minorEastAsia"/>
          <w:sz w:val="22"/>
        </w:rPr>
        <w:t>1）计日工单价无论何种情况均执行投标价，只计取税金，数量按实际签证量计入结算。</w:t>
      </w:r>
    </w:p>
    <w:p>
      <w:pPr>
        <w:spacing w:line="360" w:lineRule="exact"/>
        <w:ind w:firstLine="440" w:firstLineChars="200"/>
        <w:rPr>
          <w:rFonts w:cs="宋体" w:asciiTheme="minorEastAsia" w:hAnsiTheme="minorEastAsia"/>
          <w:sz w:val="22"/>
        </w:rPr>
      </w:pPr>
      <w:r>
        <w:rPr>
          <w:rFonts w:hint="eastAsia" w:cs="宋体" w:asciiTheme="minorEastAsia" w:hAnsiTheme="minorEastAsia"/>
          <w:sz w:val="22"/>
        </w:rPr>
        <w:t>（2</w:t>
      </w:r>
      <w:r>
        <w:rPr>
          <w:rFonts w:cs="宋体" w:asciiTheme="minorEastAsia" w:hAnsiTheme="minorEastAsia"/>
          <w:sz w:val="22"/>
        </w:rPr>
        <w:t>）不可抗力因素造成承包人的直接损失费用，发包方将根据实际情况另行协商，但属于应该预见、预防、承包人没有及时预防或预防不力造成的损失，发包方不负责补偿。</w:t>
      </w:r>
    </w:p>
    <w:p>
      <w:pPr>
        <w:spacing w:line="360" w:lineRule="exact"/>
        <w:ind w:firstLine="440" w:firstLineChars="200"/>
        <w:rPr>
          <w:rFonts w:cs="宋体" w:asciiTheme="minorEastAsia" w:hAnsiTheme="minorEastAsia"/>
          <w:sz w:val="22"/>
        </w:rPr>
      </w:pPr>
      <w:r>
        <w:rPr>
          <w:rFonts w:hint="eastAsia" w:cs="宋体" w:asciiTheme="minorEastAsia" w:hAnsiTheme="minorEastAsia"/>
          <w:sz w:val="22"/>
        </w:rPr>
        <w:t>（3</w:t>
      </w:r>
      <w:r>
        <w:rPr>
          <w:rFonts w:cs="宋体" w:asciiTheme="minorEastAsia" w:hAnsiTheme="minorEastAsia"/>
          <w:sz w:val="22"/>
        </w:rPr>
        <w:t>）经发包人签证的材料单价按签证单价调整。</w:t>
      </w:r>
    </w:p>
    <w:p>
      <w:pPr>
        <w:snapToGrid w:val="0"/>
        <w:spacing w:line="360" w:lineRule="exact"/>
        <w:ind w:firstLine="440" w:firstLineChars="200"/>
        <w:rPr>
          <w:rFonts w:cs="宋体" w:asciiTheme="minorEastAsia" w:hAnsiTheme="minorEastAsia"/>
          <w:sz w:val="22"/>
        </w:rPr>
      </w:pPr>
      <w:r>
        <w:rPr>
          <w:rFonts w:hint="eastAsia" w:cs="宋体" w:asciiTheme="minorEastAsia" w:hAnsiTheme="minorEastAsia"/>
          <w:sz w:val="22"/>
        </w:rPr>
        <w:t>（4</w:t>
      </w:r>
      <w:r>
        <w:rPr>
          <w:rFonts w:cs="宋体" w:asciiTheme="minorEastAsia" w:hAnsiTheme="minorEastAsia"/>
          <w:sz w:val="22"/>
        </w:rPr>
        <w:t>）发包人提出，经双方书面约定的其他调整因素。</w:t>
      </w:r>
    </w:p>
    <w:p>
      <w:pPr>
        <w:snapToGrid w:val="0"/>
        <w:spacing w:line="360" w:lineRule="exact"/>
        <w:ind w:firstLine="440" w:firstLineChars="200"/>
        <w:rPr>
          <w:rFonts w:ascii="宋体" w:hAnsi="宋体" w:cs="宋体"/>
          <w:sz w:val="22"/>
        </w:rPr>
      </w:pPr>
      <w:r>
        <w:rPr>
          <w:rFonts w:hint="eastAsia" w:cs="宋体" w:asciiTheme="minorEastAsia" w:hAnsiTheme="minorEastAsia"/>
          <w:sz w:val="22"/>
        </w:rPr>
        <w:t>（5</w:t>
      </w:r>
      <w:r>
        <w:rPr>
          <w:rFonts w:cs="宋体" w:asciiTheme="minorEastAsia" w:hAnsiTheme="minorEastAsia"/>
          <w:sz w:val="22"/>
        </w:rPr>
        <w:t>）合同执行期内因设计变更和工程签证引起的措施项目费的调整：以“项”为单位的技术措施费项目、由承包人自行测算报价的技术措施费项目、施工组织措施费项目一次性包干，不予调整；发包人提供实物工程量的项目，经发包人及造价咨询单位审核后，按实调整。</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工程款支付</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工程竣工验收通过后，</w:t>
      </w:r>
      <w:r>
        <w:rPr>
          <w:rFonts w:hint="eastAsia" w:ascii="宋体" w:hAnsi="宋体"/>
          <w:kern w:val="0"/>
          <w:sz w:val="22"/>
        </w:rPr>
        <w:t>承包人上报工程结算单，经发包人审核后的结算金额作为结算价。</w:t>
      </w:r>
      <w:r>
        <w:rPr>
          <w:rFonts w:hint="eastAsia" w:ascii="宋体" w:hAnsi="宋体" w:cs="宋体"/>
          <w:sz w:val="22"/>
        </w:rPr>
        <w:t>完成结算审核后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lang w:val="en-US" w:eastAsia="zh-CN"/>
        </w:rPr>
        <w:t>5</w:t>
      </w:r>
      <w:r>
        <w:rPr>
          <w:rFonts w:ascii="宋体" w:hAnsi="宋体" w:cs="宋体"/>
          <w:sz w:val="22"/>
        </w:rPr>
        <w:t>%</w:t>
      </w:r>
      <w:r>
        <w:rPr>
          <w:rFonts w:hint="eastAsia" w:ascii="宋体" w:hAnsi="宋体" w:cs="宋体"/>
          <w:sz w:val="22"/>
        </w:rPr>
        <w:t>，并无息退还承包人履约保证金。结算价的</w:t>
      </w:r>
      <w:r>
        <w:rPr>
          <w:rFonts w:hint="eastAsia" w:ascii="宋体" w:hAnsi="宋体" w:cs="宋体"/>
          <w:sz w:val="22"/>
          <w:lang w:val="en-US" w:eastAsia="zh-CN"/>
        </w:rPr>
        <w:t>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ind w:firstLine="440" w:firstLineChars="200"/>
        <w:rPr>
          <w:rFonts w:ascii="宋体" w:hAnsi="宋体" w:cs="宋体"/>
          <w:sz w:val="22"/>
        </w:rPr>
      </w:pPr>
      <w:r>
        <w:rPr>
          <w:rFonts w:hint="eastAsia" w:ascii="宋体" w:hAnsi="宋体" w:cs="宋体"/>
          <w:sz w:val="22"/>
        </w:rPr>
        <w:t>发包人组织相关单位组成验收组对本项目进行验收，并对其进行质量等级评定。</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w:t>
      </w:r>
      <w:r>
        <w:rPr>
          <w:rFonts w:hint="eastAsia" w:ascii="宋体" w:hAnsi="宋体" w:cs="宋体"/>
          <w:sz w:val="22"/>
          <w:lang w:eastAsia="zh-CN"/>
        </w:rPr>
        <w:t>承包人</w:t>
      </w:r>
      <w:r>
        <w:rPr>
          <w:rFonts w:hint="eastAsia" w:ascii="宋体" w:hAnsi="宋体" w:cs="宋体"/>
          <w:sz w:val="22"/>
        </w:rPr>
        <w:t>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（2）无法定和约定的理由拒绝或懈怠履行合同的。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（3）不符合本合同第7.1条、10.1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w:t>
      </w:r>
      <w:r>
        <w:rPr>
          <w:rFonts w:hint="eastAsia" w:ascii="宋体" w:hAnsi="宋体" w:cs="宋体"/>
          <w:sz w:val="22"/>
          <w:lang w:eastAsia="zh-CN"/>
        </w:rPr>
        <w:t>工程所在地的人民法院起诉，工程所在地为杭州萧山国际机场内</w:t>
      </w:r>
      <w:r>
        <w:rPr>
          <w:rFonts w:hint="eastAsia" w:ascii="宋体" w:hAnsi="宋体" w:cs="宋体"/>
          <w:sz w:val="22"/>
        </w:rPr>
        <w:t>。</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eastAsia="宋体" w:cs="宋体"/>
          <w:sz w:val="22"/>
        </w:rPr>
      </w:pPr>
      <w:r>
        <w:rPr>
          <w:rFonts w:ascii="宋体" w:hAnsi="宋体" w:eastAsia="宋体" w:cs="宋体"/>
          <w:sz w:val="22"/>
        </w:rPr>
        <w:t>25.14施工及生活用水：由发包人提供用水接口，场内接管、安装水表由承包人自行解决，承包人施工前需向机场水电管理部门提出申请并通过。水费以水务集团水价4.4元/吨为基础单价，并在基础单价上加收30%的水费转供设施维护费(加收部分主要是损耗、运行维护、维修费等)。如自来水公司水价调整，水费单价也作相应的调整，收取的30%</w:t>
      </w:r>
      <w:r>
        <w:rPr>
          <w:rFonts w:hint="eastAsia" w:ascii="宋体" w:hAnsi="宋体" w:eastAsia="宋体" w:cs="宋体"/>
          <w:sz w:val="22"/>
        </w:rPr>
        <w:t>费率不变，收费单价保留小数点后两位，四舍五入，用水计量以发包人计量为准。</w:t>
      </w:r>
    </w:p>
    <w:p>
      <w:pPr>
        <w:snapToGrid w:val="0"/>
        <w:spacing w:line="360" w:lineRule="exact"/>
        <w:rPr>
          <w:rFonts w:ascii="宋体" w:hAnsi="宋体" w:eastAsia="宋体" w:cs="宋体"/>
          <w:sz w:val="22"/>
        </w:rPr>
      </w:pPr>
      <w:r>
        <w:rPr>
          <w:rFonts w:ascii="宋体" w:hAnsi="宋体" w:eastAsia="宋体" w:cs="宋体"/>
          <w:sz w:val="22"/>
        </w:rPr>
        <w:t>25.15施工用电：由发包人提供用电接口，场内接管、安装电表由承包人自行解决，承包人施工前需向机场水电管理部门提出申请并通过。电费以供电局电价0.8149元/度为基础单价，并在基础单价上加收20%的电费转供设施维护费(加收部分主要是损耗、运行维护、维修费等)。如供电局电价调整，电费单价也作相应的调整，收取的20%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bCs/>
          <w:sz w:val="22"/>
          <w:u w:val="single"/>
        </w:rPr>
        <w:t>杭州萧山国际机场</w:t>
      </w:r>
      <w:r>
        <w:rPr>
          <w:rFonts w:hint="eastAsia" w:ascii="宋体" w:hAnsi="宋体" w:cs="宋体"/>
          <w:b/>
          <w:bCs/>
          <w:sz w:val="22"/>
          <w:u w:val="single"/>
          <w:lang w:eastAsia="zh-CN"/>
        </w:rPr>
        <w:t>飞行区围界防鼠网项目</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bCs/>
          <w:sz w:val="22"/>
          <w:u w:val="single"/>
        </w:rPr>
        <w:t>杭州萧山国际机场</w:t>
      </w:r>
      <w:r>
        <w:rPr>
          <w:rFonts w:hint="eastAsia" w:ascii="宋体" w:hAnsi="宋体" w:cs="宋体"/>
          <w:b/>
          <w:bCs/>
          <w:sz w:val="22"/>
          <w:u w:val="single"/>
          <w:lang w:eastAsia="zh-CN"/>
        </w:rPr>
        <w:t>飞行区围界防鼠网项目</w:t>
      </w:r>
      <w:r>
        <w:rPr>
          <w:rFonts w:hint="eastAsia" w:ascii="宋体" w:hAnsi="宋体" w:cs="宋体"/>
          <w:kern w:val="0"/>
          <w:sz w:val="22"/>
        </w:rPr>
        <w:t>整体承包范围</w:t>
      </w:r>
      <w:r>
        <w:rPr>
          <w:rFonts w:hint="eastAsia" w:ascii="宋体" w:hAnsi="宋体" w:cs="宋体"/>
          <w:sz w:val="22"/>
        </w:rPr>
        <w:t>。</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Theme="minorEastAsia" w:hAnsiTheme="minorEastAsia"/>
          <w:b/>
          <w:sz w:val="22"/>
        </w:rPr>
      </w:pPr>
      <w:r>
        <w:rPr>
          <w:rFonts w:hint="eastAsia" w:asciiTheme="minorEastAsia" w:hAnsiTheme="minorEastAsia"/>
          <w:b/>
          <w:sz w:val="22"/>
        </w:rPr>
        <w:t>发包人（甲方）：</w:t>
      </w:r>
      <w:r>
        <w:rPr>
          <w:rFonts w:hint="eastAsia" w:asciiTheme="minorEastAsia" w:hAnsiTheme="minorEastAsia"/>
          <w:b/>
          <w:sz w:val="22"/>
          <w:u w:val="single"/>
        </w:rPr>
        <w:t>杭州萧山国际机场有限公司</w:t>
      </w:r>
    </w:p>
    <w:p>
      <w:pPr>
        <w:spacing w:line="360" w:lineRule="exact"/>
        <w:rPr>
          <w:rFonts w:asciiTheme="minorEastAsia" w:hAnsiTheme="minorEastAsia"/>
          <w:b/>
          <w:sz w:val="22"/>
          <w:u w:val="single"/>
        </w:rPr>
      </w:pPr>
      <w:r>
        <w:rPr>
          <w:rFonts w:hint="eastAsia" w:asciiTheme="minorEastAsia" w:hAnsiTheme="minorEastAsia"/>
          <w:b/>
          <w:sz w:val="22"/>
        </w:rPr>
        <w:t>承包人（乙方）：</w:t>
      </w:r>
    </w:p>
    <w:p>
      <w:pPr>
        <w:spacing w:line="360" w:lineRule="exact"/>
        <w:ind w:firstLine="440" w:firstLineChars="200"/>
        <w:rPr>
          <w:rFonts w:asciiTheme="minorEastAsia" w:hAnsiTheme="minorEastAsia"/>
          <w:sz w:val="22"/>
        </w:rPr>
      </w:pPr>
      <w:r>
        <w:rPr>
          <w:rFonts w:asciiTheme="minorEastAsia" w:hAnsiTheme="minorEastAsia"/>
          <w:sz w:val="22"/>
        </w:rPr>
        <w:t>为确保</w:t>
      </w:r>
      <w:r>
        <w:rPr>
          <w:rFonts w:hint="eastAsia" w:ascii="宋体" w:hAnsi="宋体" w:cs="宋体"/>
          <w:b/>
          <w:bCs/>
          <w:sz w:val="22"/>
          <w:u w:val="single"/>
        </w:rPr>
        <w:t>杭州萧山国际机场</w:t>
      </w:r>
      <w:r>
        <w:rPr>
          <w:rFonts w:hint="eastAsia" w:ascii="宋体" w:hAnsi="宋体" w:cs="宋体"/>
          <w:b/>
          <w:bCs/>
          <w:sz w:val="22"/>
          <w:u w:val="single"/>
          <w:lang w:eastAsia="zh-CN"/>
        </w:rPr>
        <w:t>飞行区围界防鼠网项目</w:t>
      </w:r>
      <w:r>
        <w:rPr>
          <w:rFonts w:asciiTheme="minorEastAsia" w:hAnsiTheme="minorEastAsia"/>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rPr>
      </w:pPr>
      <w:r>
        <w:rPr>
          <w:rFonts w:asciiTheme="minorEastAsia" w:hAnsiTheme="minorEastAsia"/>
          <w:b/>
          <w:sz w:val="22"/>
        </w:rPr>
        <w:t>一、甲方对乙方实行安全目标管理，安全目标的具体内容是</w:t>
      </w:r>
      <w:r>
        <w:rPr>
          <w:rFonts w:asciiTheme="minorEastAsia" w:hAnsiTheme="minorEastAsia"/>
          <w:sz w:val="22"/>
        </w:rPr>
        <w:t>：</w:t>
      </w:r>
    </w:p>
    <w:p>
      <w:pPr>
        <w:spacing w:line="360" w:lineRule="exact"/>
        <w:ind w:firstLine="440" w:firstLineChars="200"/>
        <w:rPr>
          <w:rFonts w:asciiTheme="minorEastAsia" w:hAnsiTheme="minorEastAsia"/>
          <w:sz w:val="22"/>
        </w:rPr>
      </w:pPr>
      <w:r>
        <w:rPr>
          <w:rFonts w:asciiTheme="minorEastAsia" w:hAnsiTheme="minorEastAsia"/>
          <w:sz w:val="22"/>
        </w:rPr>
        <w:t>1、无死亡事故和重大伤害事故(含道路交通事故)。</w:t>
      </w:r>
    </w:p>
    <w:p>
      <w:pPr>
        <w:spacing w:line="360" w:lineRule="exact"/>
        <w:ind w:firstLine="440" w:firstLineChars="200"/>
        <w:rPr>
          <w:rFonts w:asciiTheme="minorEastAsia" w:hAnsiTheme="minorEastAsia"/>
          <w:sz w:val="22"/>
        </w:rPr>
      </w:pPr>
      <w:r>
        <w:rPr>
          <w:rFonts w:asciiTheme="minorEastAsia" w:hAnsiTheme="minorEastAsia"/>
          <w:sz w:val="22"/>
        </w:rPr>
        <w:t>2、无重大责任事故。</w:t>
      </w:r>
    </w:p>
    <w:p>
      <w:pPr>
        <w:spacing w:line="360" w:lineRule="exact"/>
        <w:ind w:firstLine="440" w:firstLineChars="200"/>
        <w:rPr>
          <w:rFonts w:asciiTheme="minorEastAsia" w:hAnsiTheme="minorEastAsia"/>
          <w:sz w:val="22"/>
        </w:rPr>
      </w:pPr>
      <w:r>
        <w:rPr>
          <w:rFonts w:asciiTheme="minorEastAsia" w:hAnsiTheme="minorEastAsia"/>
          <w:sz w:val="22"/>
        </w:rPr>
        <w:t>3、无空防安全事故。</w:t>
      </w:r>
    </w:p>
    <w:p>
      <w:pPr>
        <w:spacing w:line="360" w:lineRule="exact"/>
        <w:ind w:firstLine="440" w:firstLineChars="200"/>
        <w:rPr>
          <w:rFonts w:asciiTheme="minorEastAsia" w:hAnsiTheme="minorEastAsia"/>
          <w:sz w:val="22"/>
        </w:rPr>
      </w:pPr>
      <w:r>
        <w:rPr>
          <w:rFonts w:asciiTheme="minorEastAsia" w:hAnsiTheme="minorEastAsia"/>
          <w:sz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rPr>
      </w:pPr>
      <w:r>
        <w:rPr>
          <w:rFonts w:asciiTheme="minorEastAsia" w:hAnsiTheme="minorEastAsia"/>
          <w:sz w:val="22"/>
        </w:rPr>
        <w:t>上述情况的认定按国家和行业的有关规定和标准执行。</w:t>
      </w:r>
    </w:p>
    <w:p>
      <w:pPr>
        <w:spacing w:line="360" w:lineRule="exact"/>
        <w:ind w:firstLine="442" w:firstLineChars="200"/>
        <w:rPr>
          <w:rFonts w:asciiTheme="minorEastAsia" w:hAnsiTheme="minorEastAsia"/>
          <w:b/>
          <w:sz w:val="22"/>
        </w:rPr>
      </w:pPr>
      <w:r>
        <w:rPr>
          <w:rFonts w:asciiTheme="minorEastAsia" w:hAnsiTheme="minorEastAsia"/>
          <w:b/>
          <w:sz w:val="22"/>
        </w:rPr>
        <w:t>二、甲方的协助责任和权利</w:t>
      </w:r>
    </w:p>
    <w:p>
      <w:pPr>
        <w:spacing w:line="360" w:lineRule="exact"/>
        <w:ind w:firstLine="440" w:firstLineChars="200"/>
        <w:rPr>
          <w:rFonts w:asciiTheme="minorEastAsia" w:hAnsiTheme="minorEastAsia"/>
          <w:sz w:val="22"/>
        </w:rPr>
      </w:pPr>
      <w:r>
        <w:rPr>
          <w:rFonts w:asciiTheme="minorEastAsia" w:hAnsiTheme="minorEastAsia"/>
          <w:sz w:val="22"/>
        </w:rPr>
        <w:t xml:space="preserve">5、不得对乙方提出违反国家法律、法规和强制性标准规定的要求。 </w:t>
      </w:r>
    </w:p>
    <w:p>
      <w:pPr>
        <w:spacing w:line="360" w:lineRule="exact"/>
        <w:ind w:firstLine="440" w:firstLineChars="200"/>
        <w:rPr>
          <w:rFonts w:asciiTheme="minorEastAsia" w:hAnsiTheme="minorEastAsia"/>
          <w:sz w:val="22"/>
        </w:rPr>
      </w:pPr>
      <w:r>
        <w:rPr>
          <w:rFonts w:asciiTheme="minorEastAsia" w:hAnsiTheme="minorEastAsia"/>
          <w:sz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rPr>
      </w:pPr>
      <w:r>
        <w:rPr>
          <w:rFonts w:asciiTheme="minorEastAsia" w:hAnsiTheme="minorEastAsia"/>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rPr>
      </w:pPr>
      <w:r>
        <w:rPr>
          <w:rFonts w:asciiTheme="minorEastAsia" w:hAnsiTheme="minorEastAsia"/>
          <w:sz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rPr>
      </w:pPr>
      <w:r>
        <w:rPr>
          <w:rFonts w:asciiTheme="minorEastAsia" w:hAnsiTheme="minorEastAsia"/>
          <w:sz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rPr>
      </w:pPr>
      <w:r>
        <w:rPr>
          <w:rFonts w:asciiTheme="minorEastAsia" w:hAnsiTheme="minorEastAsia"/>
          <w:sz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rPr>
      </w:pPr>
      <w:r>
        <w:rPr>
          <w:rFonts w:asciiTheme="minorEastAsia" w:hAnsiTheme="minorEastAsia"/>
          <w:sz w:val="22"/>
        </w:rPr>
        <w:t>11、甲方有权对乙方各项安全工作进行监督、检查。</w:t>
      </w:r>
    </w:p>
    <w:p>
      <w:pPr>
        <w:spacing w:line="360" w:lineRule="exact"/>
        <w:ind w:firstLine="440" w:firstLineChars="200"/>
        <w:rPr>
          <w:rFonts w:asciiTheme="minorEastAsia" w:hAnsiTheme="minorEastAsia"/>
          <w:sz w:val="22"/>
        </w:rPr>
      </w:pPr>
      <w:r>
        <w:rPr>
          <w:rFonts w:asciiTheme="minorEastAsia" w:hAnsiTheme="minorEastAsia"/>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rPr>
      </w:pPr>
      <w:r>
        <w:rPr>
          <w:rFonts w:asciiTheme="minorEastAsia" w:hAnsiTheme="minorEastAsia"/>
          <w:b/>
          <w:sz w:val="22"/>
        </w:rPr>
        <w:t>三、乙方的安全责任和权利</w:t>
      </w:r>
    </w:p>
    <w:p>
      <w:pPr>
        <w:spacing w:line="360" w:lineRule="exact"/>
        <w:ind w:firstLine="440" w:firstLineChars="200"/>
        <w:rPr>
          <w:rFonts w:asciiTheme="minorEastAsia" w:hAnsiTheme="minorEastAsia"/>
          <w:sz w:val="22"/>
        </w:rPr>
      </w:pPr>
      <w:r>
        <w:rPr>
          <w:rFonts w:asciiTheme="minorEastAsia" w:hAnsiTheme="minorEastAsia"/>
          <w:sz w:val="22"/>
        </w:rPr>
        <w:t>（一）乙方应从事的施工安全管理</w:t>
      </w:r>
    </w:p>
    <w:p>
      <w:pPr>
        <w:spacing w:line="360" w:lineRule="exact"/>
        <w:ind w:firstLine="440" w:firstLineChars="200"/>
        <w:rPr>
          <w:rFonts w:asciiTheme="minorEastAsia" w:hAnsiTheme="minorEastAsia"/>
          <w:sz w:val="22"/>
        </w:rPr>
      </w:pPr>
      <w:r>
        <w:rPr>
          <w:rFonts w:asciiTheme="minorEastAsia" w:hAnsiTheme="minorEastAsia"/>
          <w:sz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rPr>
      </w:pPr>
      <w:r>
        <w:rPr>
          <w:rFonts w:asciiTheme="minorEastAsia" w:hAnsiTheme="minorEastAsia"/>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rPr>
      </w:pPr>
      <w:r>
        <w:rPr>
          <w:rFonts w:asciiTheme="minorEastAsia" w:hAnsiTheme="minorEastAsia"/>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rPr>
      </w:pPr>
      <w:r>
        <w:rPr>
          <w:rFonts w:asciiTheme="minorEastAsia" w:hAnsiTheme="minorEastAsia"/>
          <w:sz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rPr>
      </w:pPr>
      <w:r>
        <w:rPr>
          <w:rFonts w:asciiTheme="minorEastAsia" w:hAnsiTheme="minorEastAsia"/>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rPr>
      </w:pPr>
      <w:r>
        <w:rPr>
          <w:rFonts w:asciiTheme="minorEastAsia" w:hAnsiTheme="minorEastAsia"/>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rPr>
      </w:pPr>
      <w:r>
        <w:rPr>
          <w:rFonts w:asciiTheme="minorEastAsia" w:hAnsiTheme="minorEastAsia"/>
          <w:sz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rPr>
      </w:pPr>
      <w:r>
        <w:rPr>
          <w:rFonts w:asciiTheme="minorEastAsia" w:hAnsiTheme="minorEastAsia"/>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rPr>
      </w:pPr>
      <w:r>
        <w:rPr>
          <w:rFonts w:asciiTheme="minorEastAsia" w:hAnsiTheme="minorEastAsia"/>
          <w:sz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rPr>
      </w:pPr>
      <w:r>
        <w:rPr>
          <w:rFonts w:asciiTheme="minorEastAsia" w:hAnsiTheme="minorEastAsia"/>
          <w:sz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rPr>
      </w:pPr>
      <w:r>
        <w:rPr>
          <w:rFonts w:asciiTheme="minorEastAsia" w:hAnsiTheme="minorEastAsia"/>
          <w:sz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rPr>
      </w:pPr>
      <w:r>
        <w:rPr>
          <w:rFonts w:asciiTheme="minorEastAsia" w:hAnsiTheme="minorEastAsia"/>
          <w:sz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rPr>
      </w:pPr>
      <w:r>
        <w:rPr>
          <w:rFonts w:asciiTheme="minorEastAsia" w:hAnsiTheme="minorEastAsia"/>
          <w:sz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rPr>
      </w:pPr>
      <w:r>
        <w:rPr>
          <w:rFonts w:asciiTheme="minorEastAsia" w:hAnsiTheme="minorEastAsia"/>
          <w:sz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rPr>
      </w:pPr>
      <w:r>
        <w:rPr>
          <w:rFonts w:asciiTheme="minorEastAsia" w:hAnsiTheme="minorEastAsia"/>
          <w:sz w:val="22"/>
        </w:rPr>
        <w:t>（二）乙方应从事的空防安全管理</w:t>
      </w:r>
    </w:p>
    <w:p>
      <w:pPr>
        <w:spacing w:line="360" w:lineRule="exact"/>
        <w:ind w:firstLine="440" w:firstLineChars="200"/>
        <w:rPr>
          <w:rFonts w:asciiTheme="minorEastAsia" w:hAnsiTheme="minorEastAsia"/>
          <w:sz w:val="22"/>
        </w:rPr>
      </w:pPr>
      <w:r>
        <w:rPr>
          <w:rFonts w:asciiTheme="minorEastAsia" w:hAnsiTheme="minorEastAsia"/>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rPr>
      </w:pPr>
      <w:r>
        <w:rPr>
          <w:rFonts w:asciiTheme="minorEastAsia" w:hAnsiTheme="minorEastAsia"/>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rPr>
      </w:pPr>
      <w:r>
        <w:rPr>
          <w:rFonts w:asciiTheme="minorEastAsia" w:hAnsiTheme="minorEastAsia"/>
          <w:sz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rPr>
      </w:pPr>
      <w:r>
        <w:rPr>
          <w:rFonts w:asciiTheme="minorEastAsia" w:hAnsiTheme="minorEastAsia"/>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rPr>
      </w:pPr>
      <w:r>
        <w:rPr>
          <w:rFonts w:asciiTheme="minorEastAsia" w:hAnsiTheme="minorEastAsia"/>
          <w:sz w:val="22"/>
        </w:rPr>
        <w:t>（三）乙方应从事的不停航施工项目安全管理</w:t>
      </w:r>
    </w:p>
    <w:p>
      <w:pPr>
        <w:spacing w:line="360" w:lineRule="exact"/>
        <w:ind w:firstLine="440" w:firstLineChars="200"/>
        <w:rPr>
          <w:rFonts w:asciiTheme="minorEastAsia" w:hAnsiTheme="minorEastAsia"/>
          <w:sz w:val="22"/>
        </w:rPr>
      </w:pPr>
      <w:r>
        <w:rPr>
          <w:rFonts w:asciiTheme="minorEastAsia" w:hAnsiTheme="minorEastAsia"/>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rPr>
      </w:pPr>
      <w:r>
        <w:rPr>
          <w:rFonts w:asciiTheme="minorEastAsia" w:hAnsiTheme="minorEastAsia"/>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rPr>
      </w:pPr>
      <w:r>
        <w:rPr>
          <w:rFonts w:asciiTheme="minorEastAsia" w:hAnsiTheme="minorEastAsia"/>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rPr>
      </w:pPr>
      <w:r>
        <w:rPr>
          <w:rFonts w:asciiTheme="minorEastAsia" w:hAnsiTheme="minorEastAsia"/>
          <w:sz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rPr>
      </w:pPr>
      <w:r>
        <w:rPr>
          <w:rFonts w:asciiTheme="minorEastAsia" w:hAnsiTheme="minorEastAsia"/>
          <w:sz w:val="22"/>
        </w:rPr>
        <w:t xml:space="preserve">（四）乙方的文明施工责任 </w:t>
      </w:r>
    </w:p>
    <w:p>
      <w:pPr>
        <w:spacing w:line="360" w:lineRule="exact"/>
        <w:ind w:firstLine="440" w:firstLineChars="200"/>
        <w:rPr>
          <w:rFonts w:asciiTheme="minorEastAsia" w:hAnsiTheme="minorEastAsia"/>
          <w:sz w:val="22"/>
        </w:rPr>
      </w:pPr>
      <w:r>
        <w:rPr>
          <w:rFonts w:asciiTheme="minorEastAsia" w:hAnsiTheme="minorEastAsia"/>
          <w:sz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rPr>
      </w:pPr>
      <w:r>
        <w:rPr>
          <w:rFonts w:asciiTheme="minorEastAsia" w:hAnsiTheme="minorEastAsia"/>
          <w:sz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rPr>
      </w:pPr>
      <w:r>
        <w:rPr>
          <w:rFonts w:asciiTheme="minorEastAsia" w:hAnsiTheme="minorEastAsia"/>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rPr>
      </w:pPr>
      <w:r>
        <w:rPr>
          <w:rFonts w:asciiTheme="minorEastAsia" w:hAnsiTheme="minorEastAsia"/>
          <w:sz w:val="22"/>
        </w:rPr>
        <w:t>（五）乙方应从事的社会治安综合治理</w:t>
      </w:r>
    </w:p>
    <w:p>
      <w:pPr>
        <w:spacing w:line="360" w:lineRule="exact"/>
        <w:ind w:firstLine="440" w:firstLineChars="200"/>
        <w:rPr>
          <w:rFonts w:asciiTheme="minorEastAsia" w:hAnsiTheme="minorEastAsia"/>
          <w:sz w:val="22"/>
        </w:rPr>
      </w:pPr>
      <w:r>
        <w:rPr>
          <w:rFonts w:asciiTheme="minorEastAsia" w:hAnsiTheme="minorEastAsia"/>
          <w:sz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rPr>
      </w:pPr>
      <w:r>
        <w:rPr>
          <w:rFonts w:asciiTheme="minorEastAsia" w:hAnsiTheme="minorEastAsia"/>
          <w:sz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rPr>
      </w:pPr>
      <w:r>
        <w:rPr>
          <w:rFonts w:asciiTheme="minorEastAsia" w:hAnsiTheme="minorEastAsia"/>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rPr>
      </w:pPr>
      <w:r>
        <w:rPr>
          <w:rFonts w:asciiTheme="minorEastAsia" w:hAnsiTheme="minorEastAsia"/>
          <w:sz w:val="22"/>
        </w:rPr>
        <w:t>（六）乙方应从事的消防安全管理</w:t>
      </w:r>
    </w:p>
    <w:p>
      <w:pPr>
        <w:spacing w:line="360" w:lineRule="exact"/>
        <w:ind w:firstLine="440" w:firstLineChars="200"/>
        <w:rPr>
          <w:rFonts w:asciiTheme="minorEastAsia" w:hAnsiTheme="minorEastAsia"/>
          <w:sz w:val="22"/>
        </w:rPr>
      </w:pPr>
      <w:r>
        <w:rPr>
          <w:rFonts w:asciiTheme="minorEastAsia" w:hAnsiTheme="minorEastAsia"/>
          <w:sz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rPr>
      </w:pPr>
      <w:r>
        <w:rPr>
          <w:rFonts w:asciiTheme="minorEastAsia" w:hAnsiTheme="minorEastAsia"/>
          <w:sz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rPr>
      </w:pPr>
      <w:r>
        <w:rPr>
          <w:rFonts w:asciiTheme="minorEastAsia" w:hAnsiTheme="minorEastAsia"/>
          <w:sz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rPr>
      </w:pPr>
      <w:r>
        <w:rPr>
          <w:rFonts w:asciiTheme="minorEastAsia" w:hAnsiTheme="minorEastAsia"/>
          <w:sz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rPr>
      </w:pPr>
      <w:r>
        <w:rPr>
          <w:rFonts w:asciiTheme="minorEastAsia" w:hAnsiTheme="minorEastAsia"/>
          <w:sz w:val="22"/>
        </w:rPr>
        <w:t>（七）乙方应从事的交通安全管理</w:t>
      </w:r>
    </w:p>
    <w:p>
      <w:pPr>
        <w:spacing w:line="360" w:lineRule="exact"/>
        <w:ind w:firstLine="440" w:firstLineChars="200"/>
        <w:rPr>
          <w:rFonts w:asciiTheme="minorEastAsia" w:hAnsiTheme="minorEastAsia"/>
          <w:sz w:val="22"/>
        </w:rPr>
      </w:pPr>
      <w:r>
        <w:rPr>
          <w:rFonts w:asciiTheme="minorEastAsia" w:hAnsiTheme="minorEastAsia"/>
          <w:sz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rPr>
      </w:pPr>
      <w:r>
        <w:rPr>
          <w:rFonts w:asciiTheme="minorEastAsia" w:hAnsiTheme="minorEastAsia"/>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rPr>
      </w:pPr>
      <w:r>
        <w:rPr>
          <w:rFonts w:asciiTheme="minorEastAsia" w:hAnsiTheme="minorEastAsia"/>
          <w:sz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rPr>
      </w:pPr>
      <w:r>
        <w:rPr>
          <w:rFonts w:asciiTheme="minorEastAsia" w:hAnsiTheme="minorEastAsia"/>
          <w:sz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rPr>
      </w:pPr>
      <w:r>
        <w:rPr>
          <w:rFonts w:asciiTheme="minorEastAsia" w:hAnsiTheme="minorEastAsia"/>
          <w:sz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rPr>
      </w:pPr>
      <w:r>
        <w:rPr>
          <w:rFonts w:asciiTheme="minorEastAsia" w:hAnsiTheme="minorEastAsia"/>
          <w:b/>
          <w:sz w:val="22"/>
        </w:rPr>
        <w:t>四、违约责任</w:t>
      </w:r>
    </w:p>
    <w:p>
      <w:pPr>
        <w:spacing w:line="360" w:lineRule="exact"/>
        <w:ind w:firstLine="440" w:firstLineChars="200"/>
        <w:rPr>
          <w:rFonts w:asciiTheme="minorEastAsia" w:hAnsiTheme="minorEastAsia"/>
          <w:sz w:val="22"/>
        </w:rPr>
      </w:pPr>
      <w:r>
        <w:rPr>
          <w:rFonts w:asciiTheme="minorEastAsia" w:hAnsiTheme="minorEastAsia"/>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rPr>
      </w:pPr>
      <w:r>
        <w:rPr>
          <w:rFonts w:asciiTheme="minorEastAsia" w:hAnsiTheme="minorEastAsia"/>
          <w:sz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rPr>
      </w:pPr>
      <w:r>
        <w:rPr>
          <w:rFonts w:asciiTheme="minorEastAsia" w:hAnsiTheme="minorEastAsia"/>
          <w:sz w:val="22"/>
        </w:rPr>
        <w:t>五、本协议书附于《施工合同》后，盖章后生效。</w:t>
      </w:r>
    </w:p>
    <w:p>
      <w:pPr>
        <w:adjustRightInd w:val="0"/>
        <w:snapToGrid w:val="0"/>
        <w:spacing w:line="360" w:lineRule="exact"/>
        <w:rPr>
          <w:rFonts w:asciiTheme="minorEastAsia" w:hAnsiTheme="minorEastAsia"/>
          <w:b/>
          <w:bCs/>
          <w:sz w:val="22"/>
        </w:rPr>
      </w:pPr>
      <w:r>
        <w:rPr>
          <w:rFonts w:asciiTheme="minorEastAsia" w:hAnsiTheme="minorEastAsia"/>
          <w:b/>
          <w:bCs/>
          <w:sz w:val="22"/>
        </w:rPr>
        <w:t>五、附则：</w:t>
      </w:r>
    </w:p>
    <w:p>
      <w:pPr>
        <w:adjustRightInd w:val="0"/>
        <w:snapToGrid w:val="0"/>
        <w:spacing w:line="360" w:lineRule="exact"/>
        <w:rPr>
          <w:rFonts w:asciiTheme="minorEastAsia" w:hAnsiTheme="minorEastAsia"/>
          <w:sz w:val="22"/>
        </w:rPr>
      </w:pPr>
      <w:r>
        <w:rPr>
          <w:rFonts w:asciiTheme="minorEastAsia" w:hAnsiTheme="minorEastAsia"/>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rPr>
      </w:pPr>
      <w:r>
        <w:rPr>
          <w:rFonts w:asciiTheme="minorEastAsia" w:hAnsiTheme="minorEastAsia"/>
          <w:sz w:val="22"/>
        </w:rPr>
        <w:t>（二）本责任书解释权归甲方。</w:t>
      </w:r>
    </w:p>
    <w:p>
      <w:pPr>
        <w:adjustRightInd w:val="0"/>
        <w:snapToGrid w:val="0"/>
        <w:spacing w:line="360" w:lineRule="exact"/>
        <w:rPr>
          <w:rFonts w:asciiTheme="minorEastAsia" w:hAnsiTheme="minorEastAsia"/>
          <w:sz w:val="22"/>
        </w:rPr>
      </w:pPr>
      <w:r>
        <w:rPr>
          <w:rFonts w:asciiTheme="minorEastAsia" w:hAnsiTheme="minorEastAsia"/>
          <w:sz w:val="22"/>
        </w:rPr>
        <w:t>（三）本责任书由甲乙双方共同签字盖章后生效。</w:t>
      </w:r>
    </w:p>
    <w:p>
      <w:pPr>
        <w:adjustRightInd w:val="0"/>
        <w:snapToGrid w:val="0"/>
        <w:spacing w:line="360" w:lineRule="exact"/>
        <w:rPr>
          <w:rFonts w:asciiTheme="minorEastAsia" w:hAnsiTheme="minorEastAsia"/>
          <w:sz w:val="22"/>
        </w:rPr>
      </w:pPr>
    </w:p>
    <w:p>
      <w:pPr>
        <w:adjustRightInd w:val="0"/>
        <w:snapToGrid w:val="0"/>
        <w:spacing w:line="360" w:lineRule="exact"/>
        <w:ind w:left="5632" w:hanging="5632" w:hangingChars="2550"/>
        <w:rPr>
          <w:rFonts w:asciiTheme="minorEastAsia" w:hAnsiTheme="minorEastAsia"/>
          <w:b/>
          <w:color w:val="000000"/>
          <w:sz w:val="22"/>
        </w:rPr>
      </w:pPr>
      <w:r>
        <w:rPr>
          <w:rFonts w:hint="eastAsia" w:asciiTheme="minorEastAsia" w:hAnsiTheme="minorEastAsia"/>
          <w:b/>
          <w:color w:val="000000"/>
          <w:sz w:val="22"/>
        </w:rPr>
        <w:t>发包人：杭州萧山国际机场有限公司         承包人：</w:t>
      </w:r>
    </w:p>
    <w:p>
      <w:pPr>
        <w:adjustRightInd w:val="0"/>
        <w:snapToGrid w:val="0"/>
        <w:spacing w:line="360" w:lineRule="exact"/>
        <w:rPr>
          <w:rFonts w:asciiTheme="minorEastAsia" w:hAnsiTheme="minorEastAsia"/>
          <w:b/>
          <w:color w:val="000000"/>
          <w:sz w:val="22"/>
        </w:rPr>
      </w:pPr>
      <w:r>
        <w:rPr>
          <w:rFonts w:hint="eastAsia" w:asciiTheme="minorEastAsia" w:hAnsiTheme="minorEastAsia"/>
          <w:b/>
          <w:color w:val="000000"/>
          <w:sz w:val="22"/>
        </w:rPr>
        <w:t>法定代表人：                             法定代表人</w:t>
      </w:r>
    </w:p>
    <w:p>
      <w:pPr>
        <w:adjustRightInd w:val="0"/>
        <w:snapToGrid w:val="0"/>
        <w:spacing w:line="360" w:lineRule="exact"/>
        <w:rPr>
          <w:rFonts w:asciiTheme="minorEastAsia" w:hAnsiTheme="minorEastAsia"/>
          <w:b/>
          <w:color w:val="000000"/>
          <w:sz w:val="22"/>
        </w:rPr>
      </w:pPr>
    </w:p>
    <w:p>
      <w:pPr>
        <w:adjustRightInd w:val="0"/>
        <w:snapToGrid w:val="0"/>
        <w:spacing w:line="360" w:lineRule="exact"/>
        <w:rPr>
          <w:rFonts w:asciiTheme="minorEastAsia" w:hAnsiTheme="minorEastAsia"/>
          <w:b/>
          <w:color w:val="000000"/>
          <w:sz w:val="22"/>
        </w:rPr>
      </w:pPr>
      <w:r>
        <w:rPr>
          <w:rFonts w:hint="eastAsia" w:asciiTheme="minorEastAsia" w:hAnsiTheme="minorEastAsia"/>
          <w:b/>
          <w:color w:val="000000"/>
          <w:sz w:val="22"/>
        </w:rPr>
        <w:t>委托代理人：                             委托代理人：</w:t>
      </w:r>
    </w:p>
    <w:p>
      <w:pPr>
        <w:spacing w:line="360" w:lineRule="exact"/>
        <w:rPr>
          <w:rFonts w:asciiTheme="minorEastAsia" w:hAnsiTheme="minorEastAsia"/>
          <w:sz w:val="22"/>
        </w:rPr>
      </w:pPr>
    </w:p>
    <w:p>
      <w:pPr>
        <w:adjustRightInd w:val="0"/>
        <w:snapToGrid w:val="0"/>
        <w:spacing w:line="360" w:lineRule="exact"/>
        <w:rPr>
          <w:rFonts w:asciiTheme="minorEastAsia" w:hAnsiTheme="minorEastAsia"/>
          <w:sz w:val="22"/>
        </w:rPr>
      </w:pPr>
      <w:r>
        <w:rPr>
          <w:rFonts w:hint="eastAsia" w:asciiTheme="minorEastAsia" w:hAnsiTheme="minorEastAsia"/>
          <w:b/>
          <w:color w:val="000000"/>
          <w:sz w:val="22"/>
        </w:rPr>
        <w:t xml:space="preserve"> 年   月   日                               年   月   日</w:t>
      </w:r>
    </w:p>
    <w:p>
      <w:pPr>
        <w:rPr>
          <w:rFonts w:cs="宋体" w:asciiTheme="minorEastAsia" w:hAnsiTheme="minorEastAsia"/>
          <w:bCs/>
          <w:sz w:val="22"/>
        </w:rPr>
      </w:pPr>
    </w:p>
    <w:p>
      <w:pPr>
        <w:pStyle w:val="138"/>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pStyle w:val="138"/>
        <w:ind w:firstLine="0" w:firstLineChars="0"/>
        <w:jc w:val="center"/>
        <w:rPr>
          <w:rFonts w:ascii="宋体" w:hAnsi="宋体"/>
          <w:b/>
          <w:color w:val="auto"/>
          <w:sz w:val="36"/>
        </w:rPr>
      </w:pPr>
      <w:r>
        <w:rPr>
          <w:rFonts w:hint="eastAsia" w:ascii="宋体" w:hAnsi="宋体"/>
          <w:b/>
          <w:color w:val="auto"/>
          <w:sz w:val="36"/>
        </w:rPr>
        <w:t>廉洁自律承诺书</w:t>
      </w:r>
    </w:p>
    <w:p>
      <w:pPr>
        <w:pStyle w:val="138"/>
        <w:ind w:firstLine="0" w:firstLineChars="0"/>
        <w:rPr>
          <w:rFonts w:ascii="宋体" w:hAnsi="宋体"/>
          <w:color w:val="auto"/>
        </w:rPr>
      </w:pPr>
    </w:p>
    <w:p>
      <w:pPr>
        <w:adjustRightInd w:val="0"/>
        <w:snapToGrid w:val="0"/>
        <w:spacing w:line="400" w:lineRule="exact"/>
        <w:rPr>
          <w:rFonts w:ascii="宋体" w:hAnsi="宋体" w:eastAsia="宋体" w:cs="Times New Roman"/>
        </w:rPr>
      </w:pPr>
      <w:r>
        <w:rPr>
          <w:rFonts w:hint="eastAsia" w:ascii="宋体" w:hAnsi="宋体" w:eastAsia="宋体" w:cs="Times New Roman"/>
        </w:rPr>
        <w:t>杭州萧山国际机场有限公司：</w:t>
      </w:r>
    </w:p>
    <w:p>
      <w:pPr>
        <w:adjustRightInd w:val="0"/>
        <w:snapToGrid w:val="0"/>
        <w:spacing w:line="400" w:lineRule="exact"/>
        <w:ind w:firstLine="420" w:firstLineChars="200"/>
        <w:rPr>
          <w:rFonts w:ascii="宋体" w:hAnsi="宋体" w:eastAsia="宋体" w:cs="Times New Roman"/>
        </w:rPr>
      </w:pPr>
      <w:r>
        <w:rPr>
          <w:rFonts w:hint="eastAsia" w:ascii="宋体" w:hAnsi="宋体" w:eastAsia="宋体" w:cs="Times New Roman"/>
        </w:rPr>
        <w:t>我方响应贵公司</w:t>
      </w:r>
      <w:r>
        <w:rPr>
          <w:rFonts w:hint="eastAsia" w:ascii="宋体" w:hAnsi="宋体" w:eastAsia="宋体" w:cs="Times New Roman"/>
          <w:u w:val="single"/>
        </w:rPr>
        <w:t xml:space="preserve"> </w:t>
      </w:r>
      <w:r>
        <w:rPr>
          <w:rFonts w:ascii="宋体" w:hAnsi="宋体" w:eastAsia="宋体" w:cs="Times New Roman"/>
          <w:u w:val="single"/>
        </w:rPr>
        <w:t xml:space="preserve">               </w:t>
      </w:r>
      <w:r>
        <w:rPr>
          <w:rFonts w:hint="eastAsia" w:ascii="宋体" w:hAnsi="宋体" w:eastAsia="宋体" w:cs="Times New Roman"/>
        </w:rPr>
        <w:t>项目招标要求，参加</w:t>
      </w:r>
      <w:r>
        <w:rPr>
          <w:rFonts w:hint="eastAsia" w:ascii="宋体" w:hAnsi="宋体" w:eastAsia="宋体" w:cs="Times New Roman"/>
          <w:u w:val="single"/>
        </w:rPr>
        <w:t xml:space="preserve"> </w:t>
      </w:r>
      <w:r>
        <w:rPr>
          <w:rFonts w:ascii="宋体" w:hAnsi="宋体" w:eastAsia="宋体" w:cs="Times New Roman"/>
          <w:u w:val="single"/>
        </w:rPr>
        <w:t xml:space="preserve">                </w:t>
      </w:r>
      <w:r>
        <w:rPr>
          <w:rFonts w:hint="eastAsia" w:ascii="宋体" w:hAnsi="宋体" w:eastAsia="宋体" w:cs="Times New Roman"/>
        </w:rPr>
        <w:t>项目投标。在投标过程中及中标后，我们将严格遵守国家法律法规和贵司招标文件要求，并郑重作出如下承诺和保证：</w:t>
      </w:r>
    </w:p>
    <w:p>
      <w:pPr>
        <w:adjustRightInd w:val="0"/>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一、不以任何形式，无论是主动或是被动的，向贵公司有关人员或贵公司聘请的包括但不限于项目设计、监理、招标代理、造价咨询、审计、图审、检测、评估、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二、不以任何名义为贵公司有关人员或项目第三方人员报销应由贵公司或个人支付的费用；</w:t>
      </w:r>
    </w:p>
    <w:p>
      <w:pPr>
        <w:adjustRightInd w:val="0"/>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三、不向贵公司有关人员或项目第三方人员提供宴请、旅游、和健身娱乐等活动；</w:t>
      </w:r>
    </w:p>
    <w:p>
      <w:pPr>
        <w:adjustRightInd w:val="0"/>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四、不为贵公司有关人员或项目第三方人员出国（境）、旅游等提供方便；</w:t>
      </w:r>
    </w:p>
    <w:p>
      <w:pPr>
        <w:adjustRightInd w:val="0"/>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五、不为贵公司有关人员或项目第三方人员个人装修住房、婚丧嫁娶、配偶子女工作安排等提供好处或便利条件；</w:t>
      </w:r>
    </w:p>
    <w:p>
      <w:pPr>
        <w:adjustRightInd w:val="0"/>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六、严格遵守国家招标投标法、合同法等法律规定，诚实守信，合法经营，坚决杜绝各种违法违纪行为。</w:t>
      </w:r>
    </w:p>
    <w:p>
      <w:pPr>
        <w:adjustRightInd w:val="0"/>
        <w:snapToGrid w:val="0"/>
        <w:spacing w:line="400" w:lineRule="exact"/>
        <w:ind w:firstLine="420" w:firstLineChars="200"/>
        <w:rPr>
          <w:rFonts w:ascii="宋体" w:hAnsi="宋体" w:eastAsia="宋体" w:cs="Times New Roman"/>
          <w:szCs w:val="21"/>
        </w:rPr>
      </w:pPr>
      <w:r>
        <w:rPr>
          <w:rFonts w:ascii="宋体" w:hAnsi="宋体" w:eastAsia="宋体" w:cs="Times New Roman"/>
          <w:szCs w:val="21"/>
        </w:rPr>
        <w:t>七</w:t>
      </w:r>
      <w:r>
        <w:rPr>
          <w:rFonts w:hint="eastAsia" w:ascii="宋体" w:hAnsi="宋体" w:eastAsia="宋体" w:cs="Times New Roman"/>
          <w:szCs w:val="21"/>
        </w:rPr>
        <w:t>、若发现贵公司有关人员或项目第三方人员有故意设置障碍或推诿刁难我方人员参与正常投标项目建设活动以索要好处等行为，我单位将及时向贵公司纪检监察部门举报，举报电话：0571－86661113、86665823。</w:t>
      </w:r>
    </w:p>
    <w:p>
      <w:pPr>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八、如违反上述廉洁自律承诺，贵公司有权：</w:t>
      </w:r>
    </w:p>
    <w:p>
      <w:pPr>
        <w:adjustRightInd w:val="0"/>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1）立即取消我单位投标、中标或在建项目的实施资格；</w:t>
      </w:r>
    </w:p>
    <w:p>
      <w:pPr>
        <w:adjustRightInd w:val="0"/>
        <w:snapToGrid w:val="0"/>
        <w:spacing w:line="400" w:lineRule="exact"/>
        <w:ind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）扣除我方向贵公司缴纳的履约保证金的1</w:t>
      </w:r>
      <w:r>
        <w:rPr>
          <w:rFonts w:ascii="宋体" w:hAnsi="宋体" w:eastAsia="宋体" w:cs="Times New Roman"/>
          <w:szCs w:val="21"/>
        </w:rPr>
        <w:t>0</w:t>
      </w:r>
      <w:r>
        <w:rPr>
          <w:rFonts w:hint="eastAsia" w:ascii="宋体" w:hAnsi="宋体" w:eastAsia="宋体" w:cs="Times New Roman"/>
          <w:szCs w:val="21"/>
        </w:rPr>
        <w:t>%作为违反廉洁自律承诺的违约金。如该违约金不足以弥补贵公司损失的，我单位仍将承担实际损失赔偿责任；</w:t>
      </w:r>
    </w:p>
    <w:p>
      <w:pPr>
        <w:adjustRightInd w:val="0"/>
        <w:snapToGrid w:val="0"/>
        <w:spacing w:line="400" w:lineRule="exact"/>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）拒绝我单位在一定时期内进入贵公司进行项目建设或其它经营活动；</w:t>
      </w:r>
    </w:p>
    <w:p>
      <w:pPr>
        <w:adjustRightInd w:val="0"/>
        <w:snapToGrid w:val="0"/>
        <w:spacing w:line="400" w:lineRule="exact"/>
        <w:ind w:firstLine="420" w:firstLineChars="200"/>
        <w:rPr>
          <w:rFonts w:ascii="宋体" w:hAnsi="宋体" w:eastAsia="宋体" w:cs="Times New Roman"/>
          <w:szCs w:val="21"/>
        </w:rPr>
      </w:pPr>
      <w:r>
        <w:rPr>
          <w:rFonts w:ascii="宋体" w:hAnsi="宋体" w:eastAsia="宋体" w:cs="Times New Roman"/>
          <w:szCs w:val="24"/>
        </w:rPr>
        <w:t>4</w:t>
      </w:r>
      <w:r>
        <w:rPr>
          <w:rFonts w:hint="eastAsia" w:ascii="宋体" w:hAnsi="宋体" w:eastAsia="宋体" w:cs="Times New Roman"/>
          <w:szCs w:val="24"/>
        </w:rPr>
        <w:t>）由此引起的相应损失均由我单位承担。</w:t>
      </w:r>
    </w:p>
    <w:p>
      <w:pPr>
        <w:adjustRightInd w:val="0"/>
        <w:snapToGrid w:val="0"/>
        <w:spacing w:line="400" w:lineRule="exact"/>
        <w:ind w:firstLine="420" w:firstLineChars="200"/>
        <w:rPr>
          <w:rFonts w:ascii="宋体" w:hAnsi="宋体" w:eastAsia="宋体" w:cs="Times New Roman"/>
          <w:szCs w:val="21"/>
        </w:rPr>
      </w:pPr>
    </w:p>
    <w:p>
      <w:pPr>
        <w:adjustRightInd w:val="0"/>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承诺人单位名称（盖章）：            </w:t>
      </w:r>
    </w:p>
    <w:p>
      <w:pPr>
        <w:adjustRightInd w:val="0"/>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法定代表人</w:t>
      </w:r>
      <w:r>
        <w:rPr>
          <w:rFonts w:ascii="宋体" w:hAnsi="宋体" w:eastAsia="宋体" w:cs="Times New Roman"/>
          <w:szCs w:val="21"/>
        </w:rPr>
        <w:t xml:space="preserve"> ：                    </w:t>
      </w:r>
    </w:p>
    <w:p>
      <w:pPr>
        <w:adjustRightInd w:val="0"/>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或</w:t>
      </w:r>
      <w:r>
        <w:rPr>
          <w:rFonts w:ascii="宋体" w:hAnsi="宋体" w:eastAsia="宋体" w:cs="Times New Roman"/>
          <w:szCs w:val="21"/>
        </w:rPr>
        <w:t xml:space="preserve">                            </w:t>
      </w:r>
    </w:p>
    <w:p>
      <w:pPr>
        <w:adjustRightInd w:val="0"/>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委托代理人：</w:t>
      </w:r>
      <w:r>
        <w:rPr>
          <w:rFonts w:ascii="宋体" w:hAnsi="宋体" w:eastAsia="宋体" w:cs="Times New Roman"/>
          <w:szCs w:val="21"/>
        </w:rPr>
        <w:t xml:space="preserve">                   </w:t>
      </w:r>
    </w:p>
    <w:p>
      <w:pPr>
        <w:adjustRightInd w:val="0"/>
        <w:snapToGrid w:val="0"/>
        <w:spacing w:line="360" w:lineRule="exact"/>
        <w:ind w:firstLine="602" w:firstLineChars="200"/>
        <w:jc w:val="left"/>
        <w:rPr>
          <w:rFonts w:ascii="宋体" w:hAnsi="宋体" w:eastAsia="宋体" w:cs="Times New Roman"/>
          <w:b/>
          <w:sz w:val="30"/>
          <w:szCs w:val="20"/>
        </w:rPr>
      </w:pPr>
    </w:p>
    <w:p>
      <w:pPr>
        <w:widowControl/>
        <w:jc w:val="left"/>
        <w:rPr>
          <w:rFonts w:ascii="宋体" w:hAnsi="宋体" w:eastAsia="宋体"/>
          <w:b/>
          <w:bCs/>
          <w:kern w:val="0"/>
          <w:sz w:val="32"/>
          <w:szCs w:val="32"/>
        </w:rPr>
      </w:pPr>
      <w:r>
        <w:rPr>
          <w:rFonts w:ascii="宋体" w:hAnsi="宋体" w:cs="Times New Roman"/>
          <w:b/>
          <w:sz w:val="30"/>
        </w:rPr>
        <w:t xml:space="preserve">   </w:t>
      </w:r>
      <w:r>
        <w:rPr>
          <w:rFonts w:ascii="宋体" w:hAnsi="宋体" w:cs="Times New Roman"/>
        </w:rPr>
        <w:t xml:space="preserve">                                     年     月     日</w:t>
      </w: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r>
        <w:br w:type="page"/>
      </w:r>
    </w:p>
    <w:p>
      <w:pPr>
        <w:pStyle w:val="51"/>
      </w:pPr>
      <w:bookmarkStart w:id="94" w:name="_Toc450630562"/>
      <w:r>
        <w:rPr>
          <w:rFonts w:hint="eastAsia"/>
        </w:rPr>
        <w:t>第四章  工程量清单</w:t>
      </w:r>
      <w:bookmarkEnd w:id="94"/>
    </w:p>
    <w:tbl>
      <w:tblPr>
        <w:tblStyle w:val="58"/>
        <w:tblW w:w="9371" w:type="dxa"/>
        <w:tblInd w:w="0" w:type="dxa"/>
        <w:tblLayout w:type="fixed"/>
        <w:tblCellMar>
          <w:top w:w="15" w:type="dxa"/>
          <w:left w:w="15" w:type="dxa"/>
          <w:bottom w:w="15" w:type="dxa"/>
          <w:right w:w="15" w:type="dxa"/>
        </w:tblCellMar>
      </w:tblPr>
      <w:tblGrid>
        <w:gridCol w:w="809"/>
        <w:gridCol w:w="2607"/>
        <w:gridCol w:w="3432"/>
        <w:gridCol w:w="1116"/>
        <w:gridCol w:w="1407"/>
      </w:tblGrid>
      <w:tr>
        <w:tblPrEx>
          <w:tblLayout w:type="fixed"/>
          <w:tblCellMar>
            <w:top w:w="15" w:type="dxa"/>
            <w:left w:w="15" w:type="dxa"/>
            <w:bottom w:w="15" w:type="dxa"/>
            <w:right w:w="15" w:type="dxa"/>
          </w:tblCellMar>
        </w:tblPrEx>
        <w:trPr>
          <w:trHeight w:val="480" w:hRule="atLeast"/>
        </w:trPr>
        <w:tc>
          <w:tcPr>
            <w:tcW w:w="809" w:type="dxa"/>
            <w:tcBorders>
              <w:top w:val="single" w:color="000000" w:sz="12" w:space="0"/>
              <w:left w:val="single" w:color="000000" w:sz="12" w:space="0"/>
              <w:bottom w:val="single" w:color="000000" w:sz="2" w:space="0"/>
              <w:right w:val="single" w:color="000000" w:sz="2" w:space="0"/>
            </w:tcBorders>
            <w:vAlign w:val="center"/>
          </w:tcPr>
          <w:p>
            <w:pPr>
              <w:widowControl/>
              <w:jc w:val="center"/>
              <w:rPr>
                <w:rFonts w:ascii="宋体" w:hAnsi="宋体" w:cs="宋体"/>
                <w:sz w:val="22"/>
              </w:rPr>
            </w:pPr>
            <w:r>
              <w:rPr>
                <w:rFonts w:hint="eastAsia" w:ascii="宋体" w:hAnsi="宋体" w:cs="宋体"/>
                <w:sz w:val="22"/>
              </w:rPr>
              <w:t>序号</w:t>
            </w:r>
          </w:p>
        </w:tc>
        <w:tc>
          <w:tcPr>
            <w:tcW w:w="2607" w:type="dxa"/>
            <w:tcBorders>
              <w:top w:val="single" w:color="000000" w:sz="12" w:space="0"/>
              <w:left w:val="single" w:color="000000" w:sz="2" w:space="0"/>
              <w:bottom w:val="single" w:color="000000" w:sz="2" w:space="0"/>
              <w:right w:val="single" w:color="000000" w:sz="2" w:space="0"/>
            </w:tcBorders>
            <w:vAlign w:val="center"/>
          </w:tcPr>
          <w:p>
            <w:pPr>
              <w:widowControl/>
              <w:jc w:val="center"/>
              <w:rPr>
                <w:rFonts w:ascii="宋体" w:hAnsi="宋体" w:cs="宋体"/>
                <w:sz w:val="22"/>
              </w:rPr>
            </w:pPr>
            <w:r>
              <w:rPr>
                <w:rFonts w:hint="eastAsia" w:ascii="宋体" w:hAnsi="宋体" w:cs="宋体"/>
                <w:sz w:val="22"/>
              </w:rPr>
              <w:t>项目名称</w:t>
            </w:r>
          </w:p>
        </w:tc>
        <w:tc>
          <w:tcPr>
            <w:tcW w:w="3432" w:type="dxa"/>
            <w:tcBorders>
              <w:top w:val="single" w:color="000000" w:sz="12" w:space="0"/>
              <w:left w:val="single" w:color="000000" w:sz="2" w:space="0"/>
              <w:bottom w:val="single" w:color="000000" w:sz="2" w:space="0"/>
              <w:right w:val="single" w:color="auto" w:sz="4" w:space="0"/>
            </w:tcBorders>
            <w:vAlign w:val="center"/>
          </w:tcPr>
          <w:p>
            <w:pPr>
              <w:widowControl/>
              <w:jc w:val="center"/>
              <w:rPr>
                <w:rFonts w:hint="eastAsia" w:ascii="宋体" w:hAnsi="宋体" w:cs="宋体" w:eastAsiaTheme="minorEastAsia"/>
                <w:sz w:val="22"/>
                <w:lang w:eastAsia="zh-CN"/>
              </w:rPr>
            </w:pPr>
            <w:r>
              <w:rPr>
                <w:rFonts w:hint="eastAsia" w:ascii="宋体" w:hAnsi="宋体" w:cs="宋体"/>
                <w:sz w:val="22"/>
                <w:lang w:eastAsia="zh-CN"/>
              </w:rPr>
              <w:t>描述</w:t>
            </w:r>
          </w:p>
        </w:tc>
        <w:tc>
          <w:tcPr>
            <w:tcW w:w="1116" w:type="dxa"/>
            <w:tcBorders>
              <w:top w:val="single" w:color="000000" w:sz="12" w:space="0"/>
              <w:left w:val="single" w:color="auto" w:sz="4" w:space="0"/>
              <w:bottom w:val="single" w:color="000000" w:sz="2" w:space="0"/>
              <w:right w:val="single" w:color="000000" w:sz="2" w:space="0"/>
            </w:tcBorders>
            <w:textDirection w:val="lrTb"/>
            <w:vAlign w:val="center"/>
          </w:tcPr>
          <w:p>
            <w:pPr>
              <w:widowControl/>
              <w:jc w:val="center"/>
              <w:rPr>
                <w:rFonts w:hint="eastAsia" w:ascii="宋体" w:hAnsi="宋体" w:cs="宋体"/>
                <w:sz w:val="22"/>
              </w:rPr>
            </w:pPr>
            <w:r>
              <w:rPr>
                <w:rFonts w:hint="eastAsia" w:ascii="宋体" w:hAnsi="宋体" w:cs="宋体"/>
                <w:sz w:val="22"/>
              </w:rPr>
              <w:t>单位</w:t>
            </w:r>
          </w:p>
        </w:tc>
        <w:tc>
          <w:tcPr>
            <w:tcW w:w="1407" w:type="dxa"/>
            <w:tcBorders>
              <w:top w:val="single" w:color="000000" w:sz="12" w:space="0"/>
              <w:left w:val="single" w:color="000000" w:sz="2" w:space="0"/>
              <w:bottom w:val="single" w:color="000000" w:sz="2" w:space="0"/>
              <w:right w:val="single" w:color="000000" w:sz="2" w:space="0"/>
            </w:tcBorders>
            <w:vAlign w:val="center"/>
          </w:tcPr>
          <w:p>
            <w:pPr>
              <w:widowControl/>
              <w:jc w:val="center"/>
              <w:rPr>
                <w:rFonts w:ascii="宋体" w:hAnsi="宋体" w:cs="宋体"/>
                <w:sz w:val="22"/>
              </w:rPr>
            </w:pPr>
            <w:r>
              <w:rPr>
                <w:rFonts w:hint="eastAsia" w:ascii="宋体" w:hAnsi="宋体" w:cs="宋体"/>
                <w:sz w:val="22"/>
              </w:rPr>
              <w:t>工程量</w:t>
            </w:r>
          </w:p>
        </w:tc>
      </w:tr>
      <w:tr>
        <w:tblPrEx>
          <w:tblLayout w:type="fixed"/>
          <w:tblCellMar>
            <w:top w:w="15" w:type="dxa"/>
            <w:left w:w="15" w:type="dxa"/>
            <w:bottom w:w="15" w:type="dxa"/>
            <w:right w:w="15" w:type="dxa"/>
          </w:tblCellMar>
        </w:tblPrEx>
        <w:trPr>
          <w:trHeight w:val="480" w:hRule="atLeast"/>
        </w:trPr>
        <w:tc>
          <w:tcPr>
            <w:tcW w:w="809" w:type="dxa"/>
            <w:tcBorders>
              <w:top w:val="single" w:color="000000" w:sz="2" w:space="0"/>
              <w:left w:val="single" w:color="000000" w:sz="12" w:space="0"/>
              <w:bottom w:val="single" w:color="000000" w:sz="2" w:space="0"/>
              <w:right w:val="single" w:color="000000" w:sz="2" w:space="0"/>
            </w:tcBorders>
            <w:vAlign w:val="center"/>
          </w:tcPr>
          <w:p>
            <w:pPr>
              <w:widowControl/>
              <w:jc w:val="center"/>
              <w:rPr>
                <w:rFonts w:ascii="宋体" w:hAnsi="宋体" w:cs="宋体"/>
                <w:sz w:val="22"/>
              </w:rPr>
            </w:pPr>
            <w:r>
              <w:rPr>
                <w:rFonts w:ascii="宋体" w:hAnsi="宋体" w:cs="宋体"/>
                <w:sz w:val="22"/>
              </w:rPr>
              <w:t>1</w:t>
            </w:r>
          </w:p>
        </w:tc>
        <w:tc>
          <w:tcPr>
            <w:tcW w:w="260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s="宋体"/>
                <w:color w:val="000000"/>
                <w:sz w:val="22"/>
              </w:rPr>
            </w:pPr>
            <w:r>
              <w:rPr>
                <w:rFonts w:hint="eastAsia" w:ascii="宋体" w:hAnsi="宋体" w:eastAsia="宋体" w:cs="宋体"/>
                <w:color w:val="000000"/>
                <w:sz w:val="22"/>
              </w:rPr>
              <w:t>防鼠网</w:t>
            </w:r>
            <w:r>
              <w:rPr>
                <w:rFonts w:hint="eastAsia" w:ascii="宋体" w:hAnsi="宋体" w:eastAsia="宋体" w:cs="宋体"/>
                <w:color w:val="000000"/>
                <w:sz w:val="22"/>
                <w:lang w:eastAsia="zh-CN"/>
              </w:rPr>
              <w:t>制作及安装</w:t>
            </w:r>
          </w:p>
        </w:tc>
        <w:tc>
          <w:tcPr>
            <w:tcW w:w="3432" w:type="dxa"/>
            <w:tcBorders>
              <w:top w:val="single" w:color="000000" w:sz="2" w:space="0"/>
              <w:left w:val="single" w:color="000000" w:sz="2" w:space="0"/>
              <w:bottom w:val="single" w:color="000000" w:sz="2" w:space="0"/>
              <w:right w:val="single" w:color="auto" w:sz="4" w:space="0"/>
            </w:tcBorders>
            <w:vAlign w:val="center"/>
          </w:tcPr>
          <w:p>
            <w:pPr>
              <w:jc w:val="left"/>
              <w:rPr>
                <w:rFonts w:hint="eastAsia" w:ascii="宋体" w:hAnsi="宋体" w:eastAsia="宋体" w:cs="宋体"/>
                <w:color w:val="000000"/>
                <w:sz w:val="22"/>
              </w:rPr>
            </w:pPr>
            <w:r>
              <w:rPr>
                <w:rFonts w:hint="eastAsia" w:ascii="宋体" w:hAnsi="宋体" w:eastAsia="宋体" w:cs="宋体"/>
                <w:color w:val="000000"/>
                <w:sz w:val="22"/>
                <w:lang w:val="en-US" w:eastAsia="zh-CN"/>
              </w:rPr>
              <w:t>1.</w:t>
            </w:r>
            <w:r>
              <w:rPr>
                <w:rFonts w:hint="eastAsia" w:ascii="宋体" w:hAnsi="宋体" w:eastAsia="宋体" w:cs="宋体"/>
                <w:color w:val="000000"/>
                <w:sz w:val="22"/>
              </w:rPr>
              <w:t>防鼠网材质采用不大于1厘米孔径的金属钢丝网（304不锈钢加喷塑），钢丝网直径不小于1毫米，表面喷塑，颜色与飞行区围界近似，使用寿命不小于5年。</w:t>
            </w:r>
          </w:p>
          <w:p>
            <w:pPr>
              <w:jc w:val="left"/>
              <w:rPr>
                <w:rFonts w:ascii="宋体" w:hAnsi="宋体" w:eastAsia="宋体" w:cs="宋体"/>
                <w:color w:val="000000"/>
                <w:sz w:val="22"/>
              </w:rPr>
            </w:pPr>
            <w:r>
              <w:rPr>
                <w:rFonts w:hint="eastAsia" w:ascii="宋体" w:hAnsi="宋体" w:eastAsia="宋体" w:cs="宋体"/>
                <w:color w:val="000000"/>
                <w:sz w:val="22"/>
                <w:lang w:val="en-US" w:eastAsia="zh-CN"/>
              </w:rPr>
              <w:t>2.防鼠网</w:t>
            </w:r>
            <w:r>
              <w:rPr>
                <w:rFonts w:hint="eastAsia" w:ascii="宋体" w:hAnsi="宋体" w:eastAsia="宋体" w:cs="宋体"/>
                <w:color w:val="000000"/>
                <w:sz w:val="22"/>
              </w:rPr>
              <w:t>安装于外道飞行区围界内侧，整体高度0.6米，下部与地面齐平，上部与飞行区围界相连接</w:t>
            </w:r>
            <w:r>
              <w:rPr>
                <w:rFonts w:hint="eastAsia" w:ascii="宋体" w:hAnsi="宋体" w:eastAsia="宋体" w:cs="宋体"/>
                <w:color w:val="000000"/>
                <w:sz w:val="22"/>
                <w:lang w:eastAsia="zh-CN"/>
              </w:rPr>
              <w:t>，连接件采用</w:t>
            </w:r>
            <w:r>
              <w:rPr>
                <w:rFonts w:hint="eastAsia" w:ascii="宋体" w:hAnsi="宋体" w:eastAsia="宋体" w:cs="宋体"/>
                <w:color w:val="000000"/>
                <w:sz w:val="22"/>
                <w:lang w:val="en-US" w:eastAsia="zh-CN"/>
              </w:rPr>
              <w:t>304不锈钢</w:t>
            </w:r>
            <w:r>
              <w:rPr>
                <w:rFonts w:hint="eastAsia" w:ascii="宋体" w:hAnsi="宋体" w:eastAsia="宋体" w:cs="宋体"/>
                <w:color w:val="000000"/>
                <w:sz w:val="22"/>
              </w:rPr>
              <w:t>。</w:t>
            </w:r>
          </w:p>
        </w:tc>
        <w:tc>
          <w:tcPr>
            <w:tcW w:w="1116" w:type="dxa"/>
            <w:tcBorders>
              <w:top w:val="single" w:color="000000" w:sz="2" w:space="0"/>
              <w:left w:val="single" w:color="auto" w:sz="4" w:space="0"/>
              <w:bottom w:val="single" w:color="000000" w:sz="2" w:space="0"/>
              <w:right w:val="single" w:color="000000" w:sz="2" w:space="0"/>
            </w:tcBorders>
            <w:textDirection w:val="lrTb"/>
            <w:vAlign w:val="center"/>
          </w:tcPr>
          <w:p>
            <w:pPr>
              <w:jc w:val="center"/>
              <w:rPr>
                <w:rFonts w:hint="eastAsia"/>
                <w:color w:val="000000"/>
                <w:sz w:val="22"/>
              </w:rPr>
            </w:pPr>
            <w:r>
              <w:rPr>
                <w:rFonts w:hint="eastAsia"/>
                <w:color w:val="000000"/>
                <w:sz w:val="22"/>
              </w:rPr>
              <w:t>㎡</w:t>
            </w:r>
          </w:p>
        </w:tc>
        <w:tc>
          <w:tcPr>
            <w:tcW w:w="1407"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color w:val="000000"/>
                <w:sz w:val="22"/>
                <w:lang w:eastAsia="zh-CN"/>
              </w:rPr>
            </w:pPr>
            <w:r>
              <w:rPr>
                <w:rFonts w:hint="eastAsia" w:eastAsia="宋体"/>
                <w:color w:val="000000"/>
                <w:sz w:val="22"/>
                <w:lang w:val="en-US" w:eastAsia="zh-CN"/>
              </w:rPr>
              <w:t>2887.8</w:t>
            </w:r>
          </w:p>
        </w:tc>
      </w:tr>
      <w:tr>
        <w:tblPrEx>
          <w:tblLayout w:type="fixed"/>
          <w:tblCellMar>
            <w:top w:w="15" w:type="dxa"/>
            <w:left w:w="15" w:type="dxa"/>
            <w:bottom w:w="15" w:type="dxa"/>
            <w:right w:w="15" w:type="dxa"/>
          </w:tblCellMar>
        </w:tblPrEx>
        <w:trPr>
          <w:trHeight w:val="480" w:hRule="atLeast"/>
        </w:trPr>
        <w:tc>
          <w:tcPr>
            <w:tcW w:w="809" w:type="dxa"/>
            <w:tcBorders>
              <w:top w:val="single" w:color="000000" w:sz="2" w:space="0"/>
              <w:left w:val="single" w:color="000000" w:sz="12" w:space="0"/>
              <w:bottom w:val="single" w:color="000000" w:sz="2" w:space="0"/>
              <w:right w:val="single" w:color="000000" w:sz="2" w:space="0"/>
            </w:tcBorders>
            <w:vAlign w:val="center"/>
          </w:tcPr>
          <w:p>
            <w:pPr>
              <w:widowControl/>
              <w:jc w:val="center"/>
              <w:rPr>
                <w:rFonts w:ascii="宋体" w:hAnsi="宋体" w:cs="宋体"/>
                <w:sz w:val="22"/>
              </w:rPr>
            </w:pPr>
            <w:r>
              <w:rPr>
                <w:rFonts w:hint="eastAsia" w:ascii="宋体" w:hAnsi="宋体" w:cs="宋体"/>
                <w:sz w:val="22"/>
              </w:rPr>
              <w:t>2</w:t>
            </w:r>
          </w:p>
        </w:tc>
        <w:tc>
          <w:tcPr>
            <w:tcW w:w="2607"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color w:val="000000"/>
                <w:sz w:val="22"/>
                <w:lang w:eastAsia="zh-CN"/>
              </w:rPr>
            </w:pPr>
            <w:r>
              <w:rPr>
                <w:rFonts w:hint="eastAsia" w:eastAsia="宋体"/>
                <w:color w:val="000000"/>
                <w:sz w:val="22"/>
                <w:lang w:eastAsia="zh-CN"/>
              </w:rPr>
              <w:t>措施费</w:t>
            </w:r>
          </w:p>
        </w:tc>
        <w:tc>
          <w:tcPr>
            <w:tcW w:w="3432" w:type="dxa"/>
            <w:tcBorders>
              <w:top w:val="single" w:color="000000" w:sz="2" w:space="0"/>
              <w:left w:val="single" w:color="000000" w:sz="2" w:space="0"/>
              <w:bottom w:val="single" w:color="000000" w:sz="2" w:space="0"/>
              <w:right w:val="single" w:color="auto" w:sz="4" w:space="0"/>
            </w:tcBorders>
            <w:vAlign w:val="center"/>
          </w:tcPr>
          <w:p>
            <w:pPr>
              <w:jc w:val="center"/>
              <w:rPr>
                <w:rFonts w:hint="eastAsia" w:ascii="宋体" w:hAnsi="宋体" w:eastAsia="宋体" w:cs="宋体"/>
                <w:color w:val="000000"/>
                <w:sz w:val="22"/>
                <w:lang w:eastAsia="zh-CN"/>
              </w:rPr>
            </w:pPr>
            <w:r>
              <w:rPr>
                <w:rFonts w:hint="eastAsia" w:eastAsia="宋体"/>
                <w:color w:val="000000"/>
                <w:sz w:val="22"/>
                <w:lang w:eastAsia="zh-CN"/>
              </w:rPr>
              <w:t>含保安监护费，价格约为</w:t>
            </w:r>
            <w:r>
              <w:rPr>
                <w:rFonts w:hint="eastAsia" w:eastAsia="宋体"/>
                <w:color w:val="000000"/>
                <w:sz w:val="22"/>
                <w:lang w:val="en-US" w:eastAsia="zh-CN"/>
              </w:rPr>
              <w:t>430元/天</w:t>
            </w:r>
          </w:p>
        </w:tc>
        <w:tc>
          <w:tcPr>
            <w:tcW w:w="1116" w:type="dxa"/>
            <w:tcBorders>
              <w:top w:val="single" w:color="000000" w:sz="2" w:space="0"/>
              <w:left w:val="single" w:color="auto" w:sz="4" w:space="0"/>
              <w:bottom w:val="single" w:color="000000" w:sz="2" w:space="0"/>
              <w:right w:val="single" w:color="000000" w:sz="2" w:space="0"/>
            </w:tcBorders>
            <w:textDirection w:val="lrTb"/>
            <w:vAlign w:val="center"/>
          </w:tcPr>
          <w:p>
            <w:pPr>
              <w:jc w:val="center"/>
              <w:rPr>
                <w:rFonts w:hint="eastAsia" w:ascii="宋体" w:hAnsi="宋体" w:eastAsia="宋体" w:cs="宋体"/>
                <w:color w:val="000000"/>
                <w:sz w:val="22"/>
                <w:lang w:eastAsia="zh-CN"/>
              </w:rPr>
            </w:pPr>
            <w:r>
              <w:rPr>
                <w:rFonts w:hint="eastAsia" w:ascii="宋体" w:hAnsi="宋体" w:eastAsia="宋体" w:cs="宋体"/>
                <w:color w:val="000000"/>
                <w:sz w:val="22"/>
                <w:lang w:eastAsia="zh-CN"/>
              </w:rPr>
              <w:t>项</w:t>
            </w:r>
          </w:p>
        </w:tc>
        <w:tc>
          <w:tcPr>
            <w:tcW w:w="140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s="宋体"/>
                <w:color w:val="000000"/>
                <w:sz w:val="22"/>
              </w:rPr>
            </w:pPr>
            <w:r>
              <w:rPr>
                <w:rFonts w:hint="eastAsia"/>
                <w:color w:val="000000"/>
                <w:sz w:val="22"/>
              </w:rPr>
              <w:t>1</w:t>
            </w:r>
          </w:p>
        </w:tc>
      </w:tr>
      <w:tr>
        <w:tblPrEx>
          <w:tblLayout w:type="fixed"/>
          <w:tblCellMar>
            <w:top w:w="15" w:type="dxa"/>
            <w:left w:w="15" w:type="dxa"/>
            <w:bottom w:w="15" w:type="dxa"/>
            <w:right w:w="15" w:type="dxa"/>
          </w:tblCellMar>
        </w:tblPrEx>
        <w:trPr>
          <w:trHeight w:val="480" w:hRule="atLeast"/>
        </w:trPr>
        <w:tc>
          <w:tcPr>
            <w:tcW w:w="809" w:type="dxa"/>
            <w:tcBorders>
              <w:top w:val="single" w:color="000000" w:sz="2" w:space="0"/>
              <w:left w:val="single" w:color="000000" w:sz="12" w:space="0"/>
              <w:bottom w:val="single" w:color="000000" w:sz="2" w:space="0"/>
              <w:right w:val="single" w:color="000000" w:sz="2" w:space="0"/>
            </w:tcBorders>
            <w:vAlign w:val="center"/>
          </w:tcPr>
          <w:p>
            <w:pPr>
              <w:widowControl/>
              <w:jc w:val="center"/>
              <w:rPr>
                <w:rFonts w:ascii="宋体" w:hAnsi="宋体" w:cs="宋体"/>
                <w:sz w:val="22"/>
              </w:rPr>
            </w:pPr>
          </w:p>
        </w:tc>
        <w:tc>
          <w:tcPr>
            <w:tcW w:w="260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s="宋体"/>
                <w:color w:val="000000"/>
                <w:sz w:val="22"/>
              </w:rPr>
            </w:pPr>
          </w:p>
        </w:tc>
        <w:tc>
          <w:tcPr>
            <w:tcW w:w="3432" w:type="dxa"/>
            <w:tcBorders>
              <w:top w:val="single" w:color="000000" w:sz="2" w:space="0"/>
              <w:left w:val="single" w:color="000000" w:sz="2" w:space="0"/>
              <w:bottom w:val="single" w:color="000000" w:sz="2" w:space="0"/>
              <w:right w:val="single" w:color="auto" w:sz="4" w:space="0"/>
            </w:tcBorders>
            <w:vAlign w:val="center"/>
          </w:tcPr>
          <w:p>
            <w:pPr>
              <w:jc w:val="center"/>
              <w:rPr>
                <w:rFonts w:ascii="宋体" w:hAnsi="宋体" w:eastAsia="宋体" w:cs="宋体"/>
                <w:color w:val="000000"/>
                <w:sz w:val="22"/>
              </w:rPr>
            </w:pPr>
          </w:p>
        </w:tc>
        <w:tc>
          <w:tcPr>
            <w:tcW w:w="1116" w:type="dxa"/>
            <w:tcBorders>
              <w:top w:val="single" w:color="000000" w:sz="2" w:space="0"/>
              <w:left w:val="single" w:color="auto" w:sz="4" w:space="0"/>
              <w:bottom w:val="single" w:color="000000" w:sz="2" w:space="0"/>
              <w:right w:val="single" w:color="000000" w:sz="2" w:space="0"/>
            </w:tcBorders>
            <w:vAlign w:val="center"/>
          </w:tcPr>
          <w:p>
            <w:pPr>
              <w:jc w:val="center"/>
              <w:rPr>
                <w:rFonts w:ascii="宋体" w:hAnsi="宋体" w:eastAsia="宋体" w:cs="宋体"/>
                <w:color w:val="000000"/>
                <w:sz w:val="22"/>
              </w:rPr>
            </w:pPr>
          </w:p>
        </w:tc>
        <w:tc>
          <w:tcPr>
            <w:tcW w:w="140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480" w:hRule="atLeast"/>
        </w:trPr>
        <w:tc>
          <w:tcPr>
            <w:tcW w:w="809" w:type="dxa"/>
            <w:tcBorders>
              <w:top w:val="single" w:color="000000" w:sz="2" w:space="0"/>
              <w:left w:val="single" w:color="000000" w:sz="12" w:space="0"/>
              <w:bottom w:val="single" w:color="000000" w:sz="2" w:space="0"/>
              <w:right w:val="single" w:color="000000" w:sz="2" w:space="0"/>
            </w:tcBorders>
            <w:vAlign w:val="center"/>
          </w:tcPr>
          <w:p>
            <w:pPr>
              <w:widowControl/>
              <w:jc w:val="center"/>
              <w:rPr>
                <w:rFonts w:ascii="宋体" w:hAnsi="宋体" w:cs="宋体"/>
                <w:sz w:val="22"/>
              </w:rPr>
            </w:pPr>
          </w:p>
        </w:tc>
        <w:tc>
          <w:tcPr>
            <w:tcW w:w="260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s="宋体"/>
                <w:color w:val="000000"/>
                <w:sz w:val="22"/>
              </w:rPr>
            </w:pPr>
          </w:p>
        </w:tc>
        <w:tc>
          <w:tcPr>
            <w:tcW w:w="3432" w:type="dxa"/>
            <w:tcBorders>
              <w:top w:val="single" w:color="000000" w:sz="2" w:space="0"/>
              <w:left w:val="single" w:color="000000" w:sz="2" w:space="0"/>
              <w:bottom w:val="single" w:color="000000" w:sz="2" w:space="0"/>
              <w:right w:val="single" w:color="auto" w:sz="4" w:space="0"/>
            </w:tcBorders>
            <w:vAlign w:val="center"/>
          </w:tcPr>
          <w:p>
            <w:pPr>
              <w:jc w:val="center"/>
              <w:rPr>
                <w:rFonts w:ascii="宋体" w:hAnsi="宋体" w:eastAsia="宋体" w:cs="宋体"/>
                <w:color w:val="000000"/>
                <w:sz w:val="22"/>
              </w:rPr>
            </w:pPr>
          </w:p>
        </w:tc>
        <w:tc>
          <w:tcPr>
            <w:tcW w:w="1116" w:type="dxa"/>
            <w:tcBorders>
              <w:top w:val="single" w:color="000000" w:sz="2" w:space="0"/>
              <w:left w:val="single" w:color="auto" w:sz="4" w:space="0"/>
              <w:bottom w:val="single" w:color="000000" w:sz="2" w:space="0"/>
              <w:right w:val="single" w:color="000000" w:sz="2" w:space="0"/>
            </w:tcBorders>
            <w:vAlign w:val="center"/>
          </w:tcPr>
          <w:p>
            <w:pPr>
              <w:jc w:val="center"/>
              <w:rPr>
                <w:rFonts w:ascii="宋体" w:hAnsi="宋体" w:eastAsia="宋体" w:cs="宋体"/>
                <w:color w:val="000000"/>
                <w:sz w:val="22"/>
              </w:rPr>
            </w:pPr>
          </w:p>
        </w:tc>
        <w:tc>
          <w:tcPr>
            <w:tcW w:w="140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480" w:hRule="atLeast"/>
        </w:trPr>
        <w:tc>
          <w:tcPr>
            <w:tcW w:w="809" w:type="dxa"/>
            <w:tcBorders>
              <w:top w:val="single" w:color="000000" w:sz="2" w:space="0"/>
              <w:left w:val="single" w:color="000000" w:sz="12" w:space="0"/>
              <w:bottom w:val="single" w:color="000000" w:sz="2" w:space="0"/>
              <w:right w:val="single" w:color="000000" w:sz="2" w:space="0"/>
            </w:tcBorders>
            <w:vAlign w:val="center"/>
          </w:tcPr>
          <w:p>
            <w:pPr>
              <w:widowControl/>
              <w:jc w:val="center"/>
              <w:rPr>
                <w:rFonts w:ascii="宋体" w:hAnsi="宋体" w:cs="宋体"/>
                <w:sz w:val="22"/>
              </w:rPr>
            </w:pPr>
          </w:p>
        </w:tc>
        <w:tc>
          <w:tcPr>
            <w:tcW w:w="260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s="宋体"/>
                <w:color w:val="000000"/>
                <w:sz w:val="22"/>
              </w:rPr>
            </w:pPr>
          </w:p>
        </w:tc>
        <w:tc>
          <w:tcPr>
            <w:tcW w:w="3432" w:type="dxa"/>
            <w:tcBorders>
              <w:top w:val="single" w:color="000000" w:sz="2" w:space="0"/>
              <w:left w:val="single" w:color="000000" w:sz="2" w:space="0"/>
              <w:bottom w:val="single" w:color="000000" w:sz="2" w:space="0"/>
              <w:right w:val="single" w:color="auto" w:sz="4" w:space="0"/>
            </w:tcBorders>
            <w:vAlign w:val="center"/>
          </w:tcPr>
          <w:p>
            <w:pPr>
              <w:jc w:val="center"/>
              <w:rPr>
                <w:rFonts w:ascii="宋体" w:hAnsi="宋体" w:eastAsia="宋体" w:cs="宋体"/>
                <w:color w:val="000000"/>
                <w:sz w:val="22"/>
              </w:rPr>
            </w:pPr>
          </w:p>
        </w:tc>
        <w:tc>
          <w:tcPr>
            <w:tcW w:w="1116" w:type="dxa"/>
            <w:tcBorders>
              <w:top w:val="single" w:color="000000" w:sz="2" w:space="0"/>
              <w:left w:val="single" w:color="auto" w:sz="4" w:space="0"/>
              <w:bottom w:val="single" w:color="000000" w:sz="2" w:space="0"/>
              <w:right w:val="single" w:color="000000" w:sz="2" w:space="0"/>
            </w:tcBorders>
            <w:vAlign w:val="center"/>
          </w:tcPr>
          <w:p>
            <w:pPr>
              <w:jc w:val="center"/>
              <w:rPr>
                <w:rFonts w:ascii="宋体" w:hAnsi="宋体" w:eastAsia="宋体" w:cs="宋体"/>
                <w:color w:val="000000"/>
                <w:sz w:val="22"/>
              </w:rPr>
            </w:pPr>
          </w:p>
        </w:tc>
        <w:tc>
          <w:tcPr>
            <w:tcW w:w="140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480" w:hRule="atLeast"/>
        </w:trPr>
        <w:tc>
          <w:tcPr>
            <w:tcW w:w="809" w:type="dxa"/>
            <w:tcBorders>
              <w:top w:val="single" w:color="000000" w:sz="2" w:space="0"/>
              <w:left w:val="single" w:color="000000" w:sz="12" w:space="0"/>
              <w:bottom w:val="single" w:color="000000" w:sz="2" w:space="0"/>
              <w:right w:val="single" w:color="000000" w:sz="2" w:space="0"/>
            </w:tcBorders>
            <w:vAlign w:val="center"/>
          </w:tcPr>
          <w:p>
            <w:pPr>
              <w:widowControl/>
              <w:jc w:val="center"/>
              <w:rPr>
                <w:rFonts w:ascii="宋体" w:hAnsi="宋体" w:cs="宋体"/>
                <w:sz w:val="22"/>
              </w:rPr>
            </w:pPr>
          </w:p>
        </w:tc>
        <w:tc>
          <w:tcPr>
            <w:tcW w:w="260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s="宋体"/>
                <w:color w:val="000000"/>
                <w:sz w:val="22"/>
              </w:rPr>
            </w:pPr>
          </w:p>
        </w:tc>
        <w:tc>
          <w:tcPr>
            <w:tcW w:w="3432" w:type="dxa"/>
            <w:tcBorders>
              <w:top w:val="single" w:color="000000" w:sz="2" w:space="0"/>
              <w:left w:val="single" w:color="000000" w:sz="2" w:space="0"/>
              <w:bottom w:val="single" w:color="000000" w:sz="2" w:space="0"/>
              <w:right w:val="single" w:color="auto" w:sz="4" w:space="0"/>
            </w:tcBorders>
            <w:vAlign w:val="center"/>
          </w:tcPr>
          <w:p>
            <w:pPr>
              <w:jc w:val="center"/>
              <w:rPr>
                <w:rFonts w:ascii="宋体" w:hAnsi="宋体" w:eastAsia="宋体" w:cs="宋体"/>
                <w:color w:val="000000"/>
                <w:sz w:val="22"/>
              </w:rPr>
            </w:pPr>
          </w:p>
        </w:tc>
        <w:tc>
          <w:tcPr>
            <w:tcW w:w="1116" w:type="dxa"/>
            <w:tcBorders>
              <w:top w:val="single" w:color="000000" w:sz="2" w:space="0"/>
              <w:left w:val="single" w:color="auto" w:sz="4" w:space="0"/>
              <w:bottom w:val="single" w:color="000000" w:sz="2" w:space="0"/>
              <w:right w:val="single" w:color="000000" w:sz="2" w:space="0"/>
            </w:tcBorders>
            <w:vAlign w:val="center"/>
          </w:tcPr>
          <w:p>
            <w:pPr>
              <w:jc w:val="center"/>
              <w:rPr>
                <w:rFonts w:ascii="宋体" w:hAnsi="宋体" w:eastAsia="宋体" w:cs="宋体"/>
                <w:color w:val="000000"/>
                <w:sz w:val="22"/>
              </w:rPr>
            </w:pPr>
          </w:p>
        </w:tc>
        <w:tc>
          <w:tcPr>
            <w:tcW w:w="140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480" w:hRule="atLeast"/>
        </w:trPr>
        <w:tc>
          <w:tcPr>
            <w:tcW w:w="809" w:type="dxa"/>
            <w:tcBorders>
              <w:top w:val="single" w:color="000000" w:sz="2" w:space="0"/>
              <w:left w:val="single" w:color="000000" w:sz="12" w:space="0"/>
              <w:bottom w:val="single" w:color="000000" w:sz="2" w:space="0"/>
              <w:right w:val="single" w:color="000000" w:sz="2" w:space="0"/>
            </w:tcBorders>
            <w:vAlign w:val="center"/>
          </w:tcPr>
          <w:p>
            <w:pPr>
              <w:widowControl/>
              <w:jc w:val="center"/>
              <w:rPr>
                <w:rFonts w:ascii="宋体" w:hAnsi="宋体" w:cs="宋体"/>
                <w:sz w:val="22"/>
              </w:rPr>
            </w:pPr>
          </w:p>
        </w:tc>
        <w:tc>
          <w:tcPr>
            <w:tcW w:w="260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s="宋体"/>
                <w:color w:val="000000"/>
                <w:sz w:val="22"/>
              </w:rPr>
            </w:pPr>
          </w:p>
        </w:tc>
        <w:tc>
          <w:tcPr>
            <w:tcW w:w="3432" w:type="dxa"/>
            <w:tcBorders>
              <w:top w:val="single" w:color="000000" w:sz="2" w:space="0"/>
              <w:left w:val="single" w:color="000000" w:sz="2" w:space="0"/>
              <w:bottom w:val="single" w:color="000000" w:sz="2" w:space="0"/>
              <w:right w:val="single" w:color="auto" w:sz="4" w:space="0"/>
            </w:tcBorders>
            <w:vAlign w:val="center"/>
          </w:tcPr>
          <w:p>
            <w:pPr>
              <w:jc w:val="center"/>
              <w:rPr>
                <w:rFonts w:ascii="宋体" w:hAnsi="宋体" w:eastAsia="宋体" w:cs="宋体"/>
                <w:color w:val="000000"/>
                <w:sz w:val="22"/>
              </w:rPr>
            </w:pPr>
          </w:p>
        </w:tc>
        <w:tc>
          <w:tcPr>
            <w:tcW w:w="1116" w:type="dxa"/>
            <w:tcBorders>
              <w:top w:val="single" w:color="000000" w:sz="2" w:space="0"/>
              <w:left w:val="single" w:color="auto" w:sz="4" w:space="0"/>
              <w:bottom w:val="single" w:color="000000" w:sz="2" w:space="0"/>
              <w:right w:val="single" w:color="000000" w:sz="2" w:space="0"/>
            </w:tcBorders>
            <w:vAlign w:val="center"/>
          </w:tcPr>
          <w:p>
            <w:pPr>
              <w:jc w:val="center"/>
              <w:rPr>
                <w:rFonts w:ascii="宋体" w:hAnsi="宋体" w:eastAsia="宋体" w:cs="宋体"/>
                <w:color w:val="000000"/>
                <w:sz w:val="22"/>
              </w:rPr>
            </w:pPr>
          </w:p>
        </w:tc>
        <w:tc>
          <w:tcPr>
            <w:tcW w:w="140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480" w:hRule="atLeast"/>
        </w:trPr>
        <w:tc>
          <w:tcPr>
            <w:tcW w:w="809" w:type="dxa"/>
            <w:tcBorders>
              <w:top w:val="single" w:color="000000" w:sz="2" w:space="0"/>
              <w:left w:val="single" w:color="000000" w:sz="12" w:space="0"/>
              <w:bottom w:val="single" w:color="000000" w:sz="2" w:space="0"/>
              <w:right w:val="single" w:color="000000" w:sz="2" w:space="0"/>
            </w:tcBorders>
            <w:vAlign w:val="center"/>
          </w:tcPr>
          <w:p>
            <w:pPr>
              <w:widowControl/>
              <w:jc w:val="center"/>
              <w:rPr>
                <w:rFonts w:ascii="宋体" w:hAnsi="宋体" w:cs="宋体"/>
                <w:sz w:val="22"/>
              </w:rPr>
            </w:pPr>
          </w:p>
        </w:tc>
        <w:tc>
          <w:tcPr>
            <w:tcW w:w="260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s="宋体"/>
                <w:color w:val="000000"/>
                <w:sz w:val="22"/>
              </w:rPr>
            </w:pPr>
          </w:p>
        </w:tc>
        <w:tc>
          <w:tcPr>
            <w:tcW w:w="3432" w:type="dxa"/>
            <w:tcBorders>
              <w:top w:val="single" w:color="000000" w:sz="2" w:space="0"/>
              <w:left w:val="single" w:color="000000" w:sz="2" w:space="0"/>
              <w:bottom w:val="single" w:color="000000" w:sz="2" w:space="0"/>
              <w:right w:val="single" w:color="auto" w:sz="4" w:space="0"/>
            </w:tcBorders>
            <w:vAlign w:val="center"/>
          </w:tcPr>
          <w:p>
            <w:pPr>
              <w:jc w:val="center"/>
              <w:rPr>
                <w:rFonts w:ascii="宋体" w:hAnsi="宋体" w:eastAsia="宋体" w:cs="宋体"/>
                <w:color w:val="000000"/>
                <w:sz w:val="22"/>
              </w:rPr>
            </w:pPr>
          </w:p>
        </w:tc>
        <w:tc>
          <w:tcPr>
            <w:tcW w:w="1116" w:type="dxa"/>
            <w:tcBorders>
              <w:top w:val="single" w:color="000000" w:sz="2" w:space="0"/>
              <w:left w:val="single" w:color="auto" w:sz="4" w:space="0"/>
              <w:bottom w:val="single" w:color="000000" w:sz="2" w:space="0"/>
              <w:right w:val="single" w:color="000000" w:sz="2" w:space="0"/>
            </w:tcBorders>
            <w:vAlign w:val="center"/>
          </w:tcPr>
          <w:p>
            <w:pPr>
              <w:jc w:val="center"/>
              <w:rPr>
                <w:rFonts w:ascii="宋体" w:hAnsi="宋体" w:eastAsia="宋体" w:cs="宋体"/>
                <w:color w:val="000000"/>
                <w:sz w:val="22"/>
              </w:rPr>
            </w:pPr>
          </w:p>
        </w:tc>
        <w:tc>
          <w:tcPr>
            <w:tcW w:w="140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480" w:hRule="atLeast"/>
        </w:trPr>
        <w:tc>
          <w:tcPr>
            <w:tcW w:w="809" w:type="dxa"/>
            <w:tcBorders>
              <w:top w:val="single" w:color="000000" w:sz="2" w:space="0"/>
              <w:left w:val="single" w:color="000000" w:sz="12" w:space="0"/>
              <w:bottom w:val="single" w:color="000000" w:sz="2" w:space="0"/>
              <w:right w:val="single" w:color="000000" w:sz="2" w:space="0"/>
            </w:tcBorders>
            <w:vAlign w:val="center"/>
          </w:tcPr>
          <w:p>
            <w:pPr>
              <w:widowControl/>
              <w:jc w:val="center"/>
              <w:rPr>
                <w:rFonts w:ascii="宋体" w:hAnsi="宋体" w:cs="宋体"/>
                <w:sz w:val="22"/>
              </w:rPr>
            </w:pPr>
          </w:p>
        </w:tc>
        <w:tc>
          <w:tcPr>
            <w:tcW w:w="260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s="宋体"/>
                <w:color w:val="000000"/>
                <w:sz w:val="22"/>
              </w:rPr>
            </w:pPr>
          </w:p>
        </w:tc>
        <w:tc>
          <w:tcPr>
            <w:tcW w:w="3432" w:type="dxa"/>
            <w:tcBorders>
              <w:top w:val="single" w:color="000000" w:sz="2" w:space="0"/>
              <w:left w:val="single" w:color="000000" w:sz="2" w:space="0"/>
              <w:bottom w:val="single" w:color="000000" w:sz="2" w:space="0"/>
              <w:right w:val="single" w:color="auto" w:sz="4" w:space="0"/>
            </w:tcBorders>
            <w:vAlign w:val="center"/>
          </w:tcPr>
          <w:p>
            <w:pPr>
              <w:jc w:val="center"/>
              <w:rPr>
                <w:rFonts w:ascii="宋体" w:hAnsi="宋体" w:eastAsia="宋体" w:cs="宋体"/>
                <w:color w:val="000000"/>
                <w:sz w:val="22"/>
              </w:rPr>
            </w:pPr>
          </w:p>
        </w:tc>
        <w:tc>
          <w:tcPr>
            <w:tcW w:w="1116" w:type="dxa"/>
            <w:tcBorders>
              <w:top w:val="single" w:color="000000" w:sz="2" w:space="0"/>
              <w:left w:val="single" w:color="auto" w:sz="4" w:space="0"/>
              <w:bottom w:val="single" w:color="000000" w:sz="2" w:space="0"/>
              <w:right w:val="single" w:color="000000" w:sz="2" w:space="0"/>
            </w:tcBorders>
            <w:vAlign w:val="center"/>
          </w:tcPr>
          <w:p>
            <w:pPr>
              <w:jc w:val="center"/>
              <w:rPr>
                <w:rFonts w:ascii="宋体" w:hAnsi="宋体" w:eastAsia="宋体" w:cs="宋体"/>
                <w:color w:val="000000"/>
                <w:sz w:val="22"/>
              </w:rPr>
            </w:pPr>
          </w:p>
        </w:tc>
        <w:tc>
          <w:tcPr>
            <w:tcW w:w="140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480" w:hRule="atLeast"/>
        </w:trPr>
        <w:tc>
          <w:tcPr>
            <w:tcW w:w="809" w:type="dxa"/>
            <w:tcBorders>
              <w:top w:val="single" w:color="000000" w:sz="2" w:space="0"/>
              <w:left w:val="single" w:color="000000" w:sz="12" w:space="0"/>
              <w:bottom w:val="single" w:color="000000" w:sz="2" w:space="0"/>
              <w:right w:val="single" w:color="000000" w:sz="2" w:space="0"/>
            </w:tcBorders>
            <w:vAlign w:val="center"/>
          </w:tcPr>
          <w:p>
            <w:pPr>
              <w:widowControl/>
              <w:jc w:val="center"/>
              <w:rPr>
                <w:rFonts w:ascii="宋体" w:hAnsi="宋体" w:cs="宋体"/>
                <w:sz w:val="22"/>
              </w:rPr>
            </w:pPr>
          </w:p>
        </w:tc>
        <w:tc>
          <w:tcPr>
            <w:tcW w:w="260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s="宋体"/>
                <w:color w:val="000000"/>
                <w:sz w:val="22"/>
              </w:rPr>
            </w:pPr>
          </w:p>
        </w:tc>
        <w:tc>
          <w:tcPr>
            <w:tcW w:w="3432" w:type="dxa"/>
            <w:tcBorders>
              <w:top w:val="single" w:color="000000" w:sz="2" w:space="0"/>
              <w:left w:val="single" w:color="000000" w:sz="2" w:space="0"/>
              <w:bottom w:val="single" w:color="000000" w:sz="2" w:space="0"/>
              <w:right w:val="single" w:color="auto" w:sz="4" w:space="0"/>
            </w:tcBorders>
            <w:vAlign w:val="center"/>
          </w:tcPr>
          <w:p>
            <w:pPr>
              <w:jc w:val="center"/>
              <w:rPr>
                <w:rFonts w:ascii="宋体" w:hAnsi="宋体" w:eastAsia="宋体" w:cs="宋体"/>
                <w:color w:val="000000"/>
                <w:sz w:val="22"/>
              </w:rPr>
            </w:pPr>
          </w:p>
        </w:tc>
        <w:tc>
          <w:tcPr>
            <w:tcW w:w="1116" w:type="dxa"/>
            <w:tcBorders>
              <w:top w:val="single" w:color="000000" w:sz="2" w:space="0"/>
              <w:left w:val="single" w:color="auto" w:sz="4" w:space="0"/>
              <w:bottom w:val="single" w:color="000000" w:sz="2" w:space="0"/>
              <w:right w:val="single" w:color="000000" w:sz="2" w:space="0"/>
            </w:tcBorders>
            <w:vAlign w:val="center"/>
          </w:tcPr>
          <w:p>
            <w:pPr>
              <w:jc w:val="center"/>
              <w:rPr>
                <w:rFonts w:ascii="宋体" w:hAnsi="宋体" w:eastAsia="宋体" w:cs="宋体"/>
                <w:color w:val="000000"/>
                <w:sz w:val="22"/>
              </w:rPr>
            </w:pPr>
          </w:p>
        </w:tc>
        <w:tc>
          <w:tcPr>
            <w:tcW w:w="140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480" w:hRule="atLeast"/>
        </w:trPr>
        <w:tc>
          <w:tcPr>
            <w:tcW w:w="809" w:type="dxa"/>
            <w:tcBorders>
              <w:top w:val="single" w:color="000000" w:sz="2" w:space="0"/>
              <w:left w:val="single" w:color="000000" w:sz="12" w:space="0"/>
              <w:bottom w:val="single" w:color="000000" w:sz="2" w:space="0"/>
              <w:right w:val="single" w:color="000000" w:sz="2" w:space="0"/>
            </w:tcBorders>
            <w:vAlign w:val="center"/>
          </w:tcPr>
          <w:p>
            <w:pPr>
              <w:widowControl/>
              <w:jc w:val="center"/>
              <w:rPr>
                <w:rFonts w:ascii="宋体" w:hAnsi="宋体" w:cs="宋体"/>
                <w:sz w:val="22"/>
              </w:rPr>
            </w:pPr>
          </w:p>
        </w:tc>
        <w:tc>
          <w:tcPr>
            <w:tcW w:w="260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s="宋体"/>
                <w:color w:val="000000"/>
                <w:sz w:val="22"/>
              </w:rPr>
            </w:pPr>
          </w:p>
        </w:tc>
        <w:tc>
          <w:tcPr>
            <w:tcW w:w="3432" w:type="dxa"/>
            <w:tcBorders>
              <w:top w:val="single" w:color="000000" w:sz="2" w:space="0"/>
              <w:left w:val="single" w:color="000000" w:sz="2" w:space="0"/>
              <w:bottom w:val="single" w:color="000000" w:sz="2" w:space="0"/>
              <w:right w:val="single" w:color="auto" w:sz="4" w:space="0"/>
            </w:tcBorders>
            <w:vAlign w:val="center"/>
          </w:tcPr>
          <w:p>
            <w:pPr>
              <w:jc w:val="center"/>
              <w:rPr>
                <w:rFonts w:ascii="宋体" w:hAnsi="宋体" w:eastAsia="宋体" w:cs="宋体"/>
                <w:color w:val="000000"/>
                <w:sz w:val="22"/>
              </w:rPr>
            </w:pPr>
          </w:p>
        </w:tc>
        <w:tc>
          <w:tcPr>
            <w:tcW w:w="1116" w:type="dxa"/>
            <w:tcBorders>
              <w:top w:val="single" w:color="000000" w:sz="2" w:space="0"/>
              <w:left w:val="single" w:color="auto" w:sz="4" w:space="0"/>
              <w:bottom w:val="single" w:color="000000" w:sz="2" w:space="0"/>
              <w:right w:val="single" w:color="000000" w:sz="2" w:space="0"/>
            </w:tcBorders>
            <w:vAlign w:val="center"/>
          </w:tcPr>
          <w:p>
            <w:pPr>
              <w:jc w:val="center"/>
              <w:rPr>
                <w:rFonts w:ascii="宋体" w:hAnsi="宋体" w:eastAsia="宋体" w:cs="宋体"/>
                <w:color w:val="000000"/>
                <w:sz w:val="22"/>
              </w:rPr>
            </w:pPr>
          </w:p>
        </w:tc>
        <w:tc>
          <w:tcPr>
            <w:tcW w:w="140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480" w:hRule="atLeast"/>
        </w:trPr>
        <w:tc>
          <w:tcPr>
            <w:tcW w:w="809" w:type="dxa"/>
            <w:tcBorders>
              <w:top w:val="single" w:color="000000" w:sz="2" w:space="0"/>
              <w:left w:val="single" w:color="000000" w:sz="12" w:space="0"/>
              <w:bottom w:val="single" w:color="000000" w:sz="2" w:space="0"/>
              <w:right w:val="single" w:color="000000" w:sz="2" w:space="0"/>
            </w:tcBorders>
            <w:vAlign w:val="center"/>
          </w:tcPr>
          <w:p>
            <w:pPr>
              <w:widowControl/>
              <w:jc w:val="center"/>
              <w:rPr>
                <w:rFonts w:ascii="宋体" w:hAnsi="宋体" w:cs="宋体"/>
                <w:sz w:val="22"/>
              </w:rPr>
            </w:pPr>
          </w:p>
        </w:tc>
        <w:tc>
          <w:tcPr>
            <w:tcW w:w="260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s="宋体"/>
                <w:color w:val="000000"/>
                <w:sz w:val="22"/>
              </w:rPr>
            </w:pPr>
          </w:p>
        </w:tc>
        <w:tc>
          <w:tcPr>
            <w:tcW w:w="3432" w:type="dxa"/>
            <w:tcBorders>
              <w:top w:val="single" w:color="000000" w:sz="2" w:space="0"/>
              <w:left w:val="single" w:color="000000" w:sz="2" w:space="0"/>
              <w:bottom w:val="single" w:color="000000" w:sz="2" w:space="0"/>
              <w:right w:val="single" w:color="auto" w:sz="4" w:space="0"/>
            </w:tcBorders>
            <w:vAlign w:val="center"/>
          </w:tcPr>
          <w:p>
            <w:pPr>
              <w:jc w:val="center"/>
              <w:rPr>
                <w:rFonts w:ascii="宋体" w:hAnsi="宋体" w:eastAsia="宋体" w:cs="宋体"/>
                <w:color w:val="000000"/>
                <w:sz w:val="22"/>
              </w:rPr>
            </w:pPr>
          </w:p>
        </w:tc>
        <w:tc>
          <w:tcPr>
            <w:tcW w:w="1116" w:type="dxa"/>
            <w:tcBorders>
              <w:top w:val="single" w:color="000000" w:sz="2" w:space="0"/>
              <w:left w:val="single" w:color="auto" w:sz="4" w:space="0"/>
              <w:bottom w:val="single" w:color="000000" w:sz="2" w:space="0"/>
              <w:right w:val="single" w:color="000000" w:sz="2" w:space="0"/>
            </w:tcBorders>
            <w:vAlign w:val="center"/>
          </w:tcPr>
          <w:p>
            <w:pPr>
              <w:jc w:val="center"/>
              <w:rPr>
                <w:rFonts w:ascii="宋体" w:hAnsi="宋体" w:eastAsia="宋体" w:cs="宋体"/>
                <w:color w:val="000000"/>
                <w:sz w:val="22"/>
              </w:rPr>
            </w:pPr>
          </w:p>
        </w:tc>
        <w:tc>
          <w:tcPr>
            <w:tcW w:w="140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480" w:hRule="atLeast"/>
        </w:trPr>
        <w:tc>
          <w:tcPr>
            <w:tcW w:w="809" w:type="dxa"/>
            <w:tcBorders>
              <w:top w:val="single" w:color="000000" w:sz="2" w:space="0"/>
              <w:left w:val="single" w:color="000000" w:sz="12" w:space="0"/>
              <w:bottom w:val="single" w:color="000000" w:sz="2" w:space="0"/>
              <w:right w:val="single" w:color="000000" w:sz="2" w:space="0"/>
            </w:tcBorders>
            <w:vAlign w:val="center"/>
          </w:tcPr>
          <w:p>
            <w:pPr>
              <w:widowControl/>
              <w:jc w:val="center"/>
              <w:rPr>
                <w:rFonts w:ascii="宋体" w:hAnsi="宋体" w:cs="宋体"/>
                <w:sz w:val="22"/>
              </w:rPr>
            </w:pPr>
          </w:p>
        </w:tc>
        <w:tc>
          <w:tcPr>
            <w:tcW w:w="260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s="宋体"/>
                <w:color w:val="000000"/>
                <w:sz w:val="22"/>
              </w:rPr>
            </w:pPr>
          </w:p>
        </w:tc>
        <w:tc>
          <w:tcPr>
            <w:tcW w:w="3432" w:type="dxa"/>
            <w:tcBorders>
              <w:top w:val="single" w:color="000000" w:sz="2" w:space="0"/>
              <w:left w:val="single" w:color="000000" w:sz="2" w:space="0"/>
              <w:bottom w:val="single" w:color="000000" w:sz="2" w:space="0"/>
              <w:right w:val="single" w:color="auto" w:sz="4" w:space="0"/>
            </w:tcBorders>
            <w:vAlign w:val="center"/>
          </w:tcPr>
          <w:p>
            <w:pPr>
              <w:jc w:val="center"/>
              <w:rPr>
                <w:rFonts w:ascii="宋体" w:hAnsi="宋体" w:eastAsia="宋体" w:cs="宋体"/>
                <w:color w:val="000000"/>
                <w:sz w:val="22"/>
              </w:rPr>
            </w:pPr>
          </w:p>
        </w:tc>
        <w:tc>
          <w:tcPr>
            <w:tcW w:w="1116" w:type="dxa"/>
            <w:tcBorders>
              <w:top w:val="single" w:color="000000" w:sz="2" w:space="0"/>
              <w:left w:val="single" w:color="auto" w:sz="4" w:space="0"/>
              <w:bottom w:val="single" w:color="000000" w:sz="2" w:space="0"/>
              <w:right w:val="single" w:color="000000" w:sz="2" w:space="0"/>
            </w:tcBorders>
            <w:vAlign w:val="center"/>
          </w:tcPr>
          <w:p>
            <w:pPr>
              <w:jc w:val="center"/>
              <w:rPr>
                <w:rFonts w:ascii="宋体" w:hAnsi="宋体" w:eastAsia="宋体" w:cs="宋体"/>
                <w:color w:val="000000"/>
                <w:sz w:val="22"/>
              </w:rPr>
            </w:pPr>
          </w:p>
        </w:tc>
        <w:tc>
          <w:tcPr>
            <w:tcW w:w="140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s="宋体"/>
                <w:color w:val="000000"/>
                <w:sz w:val="22"/>
              </w:rPr>
            </w:pPr>
          </w:p>
        </w:tc>
      </w:tr>
    </w:tbl>
    <w:p>
      <w:pPr>
        <w:widowControl/>
        <w:jc w:val="left"/>
        <w:rPr>
          <w:rFonts w:ascii="宋体" w:hAnsi="宋体" w:cs="宋体"/>
          <w:b/>
          <w:sz w:val="22"/>
          <w:u w:val="single"/>
        </w:rPr>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rPr>
          <w:rFonts w:ascii="Cambria" w:hAnsi="Cambria" w:eastAsia="黑体" w:cs="Times New Roman"/>
          <w:b/>
          <w:bCs/>
          <w:kern w:val="0"/>
          <w:sz w:val="32"/>
          <w:szCs w:val="32"/>
        </w:rPr>
      </w:pPr>
    </w:p>
    <w:p>
      <w:pPr>
        <w:pStyle w:val="51"/>
      </w:pPr>
      <w:bookmarkStart w:id="95" w:name="_Toc450630563"/>
      <w:r>
        <w:rPr>
          <w:rFonts w:hint="eastAsia"/>
        </w:rPr>
        <w:t>第五章  技术标准和要求</w:t>
      </w:r>
      <w:bookmarkEnd w:id="95"/>
    </w:p>
    <w:p>
      <w:pPr>
        <w:pStyle w:val="138"/>
        <w:numPr>
          <w:ilvl w:val="1"/>
          <w:numId w:val="5"/>
        </w:numPr>
        <w:spacing w:line="360" w:lineRule="exact"/>
        <w:ind w:left="0" w:firstLine="442"/>
        <w:rPr>
          <w:rFonts w:ascii="宋体" w:hAnsi="宋体"/>
          <w:b/>
          <w:sz w:val="22"/>
          <w:szCs w:val="22"/>
        </w:rPr>
      </w:pPr>
      <w:r>
        <w:rPr>
          <w:rFonts w:hint="eastAsia" w:ascii="宋体" w:hAnsi="宋体"/>
          <w:b/>
          <w:sz w:val="22"/>
          <w:szCs w:val="22"/>
        </w:rPr>
        <w:t>总体要求</w:t>
      </w:r>
      <w:bookmarkStart w:id="96" w:name="_Toc215307246"/>
    </w:p>
    <w:p>
      <w:pPr>
        <w:pStyle w:val="138"/>
        <w:spacing w:line="360" w:lineRule="exact"/>
        <w:ind w:firstLine="440"/>
        <w:rPr>
          <w:rFonts w:ascii="宋体" w:hAnsi="宋体"/>
          <w:sz w:val="22"/>
          <w:szCs w:val="22"/>
        </w:rPr>
      </w:pPr>
      <w:r>
        <w:rPr>
          <w:rFonts w:hint="eastAsia" w:ascii="宋体" w:hAnsi="宋体"/>
          <w:sz w:val="22"/>
          <w:szCs w:val="22"/>
        </w:rPr>
        <w:t>1.1 工程内容和招标范围</w:t>
      </w:r>
      <w:bookmarkEnd w:id="96"/>
      <w:r>
        <w:rPr>
          <w:rFonts w:hint="eastAsia" w:ascii="宋体" w:hAnsi="宋体"/>
          <w:sz w:val="22"/>
          <w:szCs w:val="22"/>
        </w:rPr>
        <w:t xml:space="preserve"> ：见招标公告。</w:t>
      </w:r>
    </w:p>
    <w:p>
      <w:pPr>
        <w:pStyle w:val="138"/>
        <w:spacing w:line="360" w:lineRule="exact"/>
        <w:ind w:firstLine="440"/>
        <w:rPr>
          <w:rFonts w:ascii="宋体" w:hAnsi="宋体"/>
          <w:sz w:val="22"/>
          <w:szCs w:val="22"/>
        </w:rPr>
      </w:pPr>
      <w:r>
        <w:rPr>
          <w:rFonts w:hint="eastAsia" w:ascii="宋体" w:hAnsi="宋体"/>
          <w:sz w:val="22"/>
          <w:szCs w:val="22"/>
        </w:rPr>
        <w:t>1.2施工承包人职责：</w:t>
      </w:r>
    </w:p>
    <w:p>
      <w:pPr>
        <w:pStyle w:val="138"/>
        <w:spacing w:line="360" w:lineRule="exact"/>
        <w:ind w:firstLine="440"/>
        <w:rPr>
          <w:rFonts w:ascii="宋体" w:hAnsi="宋体"/>
          <w:sz w:val="22"/>
          <w:szCs w:val="22"/>
        </w:rPr>
      </w:pPr>
      <w:r>
        <w:rPr>
          <w:rFonts w:hint="eastAsia" w:ascii="宋体" w:hAnsi="宋体"/>
          <w:sz w:val="22"/>
          <w:szCs w:val="22"/>
        </w:rPr>
        <w:t>施工前应做好各项工程的技术方案或施工组织设计，并经批准后进行施工。</w:t>
      </w:r>
    </w:p>
    <w:p>
      <w:pPr>
        <w:pStyle w:val="138"/>
        <w:spacing w:line="360" w:lineRule="exact"/>
        <w:ind w:firstLine="440"/>
        <w:rPr>
          <w:rFonts w:ascii="宋体" w:hAnsi="宋体"/>
          <w:sz w:val="22"/>
          <w:szCs w:val="22"/>
        </w:rPr>
      </w:pPr>
      <w:r>
        <w:rPr>
          <w:rFonts w:hint="eastAsia" w:ascii="宋体" w:hAnsi="宋体"/>
          <w:sz w:val="22"/>
          <w:szCs w:val="22"/>
        </w:rPr>
        <w:t>施工前应按设计要求进行桩位测放，并对测量基线，水准基点及桩位进行复核，施工中做好平面、高程控制点的保护工作。</w:t>
      </w:r>
    </w:p>
    <w:p>
      <w:pPr>
        <w:pStyle w:val="138"/>
        <w:spacing w:line="360" w:lineRule="exact"/>
        <w:ind w:firstLine="440"/>
        <w:rPr>
          <w:rFonts w:ascii="宋体" w:hAnsi="宋体"/>
          <w:sz w:val="22"/>
          <w:szCs w:val="22"/>
        </w:rPr>
      </w:pPr>
      <w:r>
        <w:rPr>
          <w:rFonts w:hint="eastAsia" w:ascii="宋体" w:hAnsi="宋体"/>
          <w:sz w:val="22"/>
          <w:szCs w:val="22"/>
        </w:rPr>
        <w:t>施工中必须作好施工记录，并及时处理好施工中出现的问题。</w:t>
      </w:r>
    </w:p>
    <w:p>
      <w:pPr>
        <w:pStyle w:val="138"/>
        <w:spacing w:line="360" w:lineRule="exact"/>
        <w:ind w:firstLine="440"/>
        <w:rPr>
          <w:rFonts w:ascii="宋体" w:hAnsi="宋体"/>
          <w:sz w:val="22"/>
          <w:szCs w:val="22"/>
        </w:rPr>
      </w:pPr>
      <w:r>
        <w:rPr>
          <w:rFonts w:hint="eastAsia" w:ascii="宋体" w:hAnsi="宋体"/>
          <w:sz w:val="22"/>
          <w:szCs w:val="22"/>
        </w:rPr>
        <w:t>严格做好施工场地及周边的文明施工和环境保护工作。</w:t>
      </w:r>
    </w:p>
    <w:p>
      <w:pPr>
        <w:pStyle w:val="138"/>
        <w:spacing w:line="360" w:lineRule="exact"/>
        <w:ind w:firstLine="440"/>
        <w:rPr>
          <w:rFonts w:ascii="宋体" w:hAnsi="宋体"/>
          <w:sz w:val="22"/>
          <w:szCs w:val="22"/>
        </w:rPr>
      </w:pPr>
      <w:r>
        <w:rPr>
          <w:rFonts w:hint="eastAsia" w:ascii="宋体" w:hAnsi="宋体"/>
          <w:sz w:val="22"/>
          <w:szCs w:val="22"/>
        </w:rPr>
        <w:t xml:space="preserve">1.3 </w:t>
      </w:r>
      <w:r>
        <w:rPr>
          <w:rFonts w:ascii="宋体" w:hAnsi="宋体"/>
          <w:sz w:val="22"/>
          <w:szCs w:val="22"/>
        </w:rPr>
        <w:t>依据设计施工图纸和技术文件要求，本工程项目的施工必须达到以下现行中华人民共和国及省、市、行业的一切有关法规、规范的要求，如下述标准及规范要求有出入则以较严格者为准。</w:t>
      </w:r>
    </w:p>
    <w:p>
      <w:pPr>
        <w:pStyle w:val="138"/>
        <w:spacing w:line="360" w:lineRule="exact"/>
        <w:ind w:firstLine="440"/>
        <w:rPr>
          <w:rFonts w:ascii="宋体" w:hAnsi="宋体"/>
          <w:sz w:val="22"/>
          <w:szCs w:val="22"/>
        </w:rPr>
      </w:pPr>
      <w:r>
        <w:rPr>
          <w:rFonts w:hint="eastAsia" w:ascii="宋体" w:hAnsi="宋体"/>
          <w:sz w:val="22"/>
          <w:szCs w:val="22"/>
        </w:rPr>
        <w:t>1</w:t>
      </w:r>
      <w:r>
        <w:rPr>
          <w:rFonts w:ascii="宋体" w:hAnsi="宋体"/>
          <w:sz w:val="22"/>
          <w:szCs w:val="22"/>
        </w:rPr>
        <w:t>.</w:t>
      </w:r>
      <w:r>
        <w:rPr>
          <w:rFonts w:hint="eastAsia" w:ascii="宋体" w:hAnsi="宋体"/>
          <w:sz w:val="22"/>
          <w:szCs w:val="22"/>
        </w:rPr>
        <w:t>3.1适用法律、法规名称：</w:t>
      </w:r>
    </w:p>
    <w:p>
      <w:pPr>
        <w:pStyle w:val="138"/>
        <w:spacing w:line="360" w:lineRule="exact"/>
        <w:ind w:firstLine="440"/>
        <w:rPr>
          <w:rFonts w:ascii="宋体" w:hAnsi="宋体"/>
          <w:sz w:val="22"/>
          <w:szCs w:val="22"/>
        </w:rPr>
      </w:pPr>
      <w:r>
        <w:rPr>
          <w:rFonts w:hint="eastAsia" w:ascii="宋体" w:hAnsi="宋体"/>
          <w:sz w:val="22"/>
          <w:szCs w:val="22"/>
        </w:rPr>
        <w:t>中华人民共和国建筑法</w:t>
      </w:r>
    </w:p>
    <w:p>
      <w:pPr>
        <w:pStyle w:val="138"/>
        <w:spacing w:line="360" w:lineRule="exact"/>
        <w:ind w:firstLine="440"/>
        <w:rPr>
          <w:rFonts w:ascii="宋体" w:hAnsi="宋体"/>
          <w:sz w:val="22"/>
          <w:szCs w:val="22"/>
        </w:rPr>
      </w:pPr>
      <w:r>
        <w:rPr>
          <w:rFonts w:hint="eastAsia" w:ascii="宋体" w:hAnsi="宋体"/>
          <w:sz w:val="22"/>
          <w:szCs w:val="22"/>
        </w:rPr>
        <w:t>中华人民共和国合同法</w:t>
      </w:r>
    </w:p>
    <w:p>
      <w:pPr>
        <w:pStyle w:val="138"/>
        <w:spacing w:line="360" w:lineRule="exact"/>
        <w:ind w:firstLine="440"/>
        <w:rPr>
          <w:rFonts w:ascii="宋体" w:hAnsi="宋体"/>
          <w:sz w:val="22"/>
          <w:szCs w:val="22"/>
        </w:rPr>
      </w:pPr>
      <w:r>
        <w:rPr>
          <w:rFonts w:hint="eastAsia" w:ascii="宋体" w:hAnsi="宋体"/>
          <w:sz w:val="22"/>
          <w:szCs w:val="22"/>
        </w:rPr>
        <w:t>中华人民共和国招标投标法</w:t>
      </w:r>
    </w:p>
    <w:p>
      <w:pPr>
        <w:pStyle w:val="138"/>
        <w:spacing w:line="360" w:lineRule="exact"/>
        <w:ind w:firstLine="440"/>
        <w:rPr>
          <w:rFonts w:ascii="宋体" w:hAnsi="宋体"/>
          <w:sz w:val="22"/>
          <w:szCs w:val="22"/>
        </w:rPr>
      </w:pPr>
      <w:r>
        <w:rPr>
          <w:rFonts w:hint="eastAsia" w:ascii="宋体" w:hAnsi="宋体"/>
          <w:sz w:val="22"/>
          <w:szCs w:val="22"/>
        </w:rPr>
        <w:t>建设工程质量管理条例（国务院279号令）</w:t>
      </w:r>
    </w:p>
    <w:p>
      <w:pPr>
        <w:pStyle w:val="138"/>
        <w:spacing w:line="360" w:lineRule="exact"/>
        <w:ind w:firstLine="482"/>
        <w:rPr>
          <w:rFonts w:ascii="宋体" w:hAnsi="宋体"/>
          <w:b/>
          <w:sz w:val="24"/>
          <w:szCs w:val="24"/>
        </w:rPr>
      </w:pPr>
      <w:r>
        <w:rPr>
          <w:rFonts w:hint="eastAsia" w:ascii="宋体" w:hAnsi="宋体"/>
          <w:b/>
          <w:sz w:val="24"/>
          <w:szCs w:val="24"/>
        </w:rPr>
        <w:t>2、</w:t>
      </w:r>
      <w:r>
        <w:rPr>
          <w:rFonts w:ascii="宋体" w:hAnsi="宋体"/>
          <w:b/>
          <w:sz w:val="24"/>
          <w:szCs w:val="24"/>
        </w:rPr>
        <w:t>材料要求</w:t>
      </w:r>
    </w:p>
    <w:p>
      <w:pPr>
        <w:pStyle w:val="138"/>
        <w:spacing w:line="360" w:lineRule="exact"/>
        <w:ind w:firstLine="480"/>
        <w:rPr>
          <w:rFonts w:ascii="宋体" w:hAnsi="宋体"/>
          <w:sz w:val="24"/>
          <w:szCs w:val="24"/>
        </w:rPr>
      </w:pPr>
      <w:r>
        <w:rPr>
          <w:rFonts w:hint="eastAsia" w:ascii="宋体" w:hAnsi="宋体"/>
          <w:sz w:val="24"/>
          <w:szCs w:val="24"/>
        </w:rPr>
        <w:t>2.1总则</w:t>
      </w:r>
    </w:p>
    <w:p>
      <w:pPr>
        <w:numPr>
          <w:ilvl w:val="0"/>
          <w:numId w:val="0"/>
        </w:numPr>
        <w:tabs>
          <w:tab w:val="left" w:pos="1080"/>
        </w:tabs>
        <w:adjustRightInd w:val="0"/>
        <w:snapToGrid w:val="0"/>
        <w:spacing w:line="360" w:lineRule="exact"/>
        <w:ind w:leftChars="200"/>
        <w:rPr>
          <w:rFonts w:ascii="宋体" w:hAnsi="宋体"/>
          <w:sz w:val="22"/>
        </w:rPr>
      </w:pPr>
      <w:r>
        <w:rPr>
          <w:rFonts w:hint="eastAsia" w:ascii="宋体" w:hAnsi="宋体"/>
          <w:sz w:val="22"/>
          <w:lang w:eastAsia="zh-CN"/>
        </w:rPr>
        <w:t>（</w:t>
      </w:r>
      <w:r>
        <w:rPr>
          <w:rFonts w:hint="eastAsia" w:ascii="宋体" w:hAnsi="宋体"/>
          <w:sz w:val="22"/>
          <w:lang w:val="en-US" w:eastAsia="zh-CN"/>
        </w:rPr>
        <w:t>1</w:t>
      </w:r>
      <w:r>
        <w:rPr>
          <w:rFonts w:hint="eastAsia" w:ascii="宋体" w:hAnsi="宋体"/>
          <w:sz w:val="22"/>
          <w:lang w:eastAsia="zh-CN"/>
        </w:rPr>
        <w:t>）</w:t>
      </w:r>
      <w:r>
        <w:rPr>
          <w:rFonts w:hint="eastAsia" w:ascii="宋体" w:hAnsi="宋体"/>
          <w:sz w:val="22"/>
        </w:rPr>
        <w:t>本工程采用材料供应厂家</w:t>
      </w:r>
      <w:r>
        <w:rPr>
          <w:rFonts w:ascii="宋体" w:hAnsi="宋体"/>
          <w:sz w:val="22"/>
        </w:rPr>
        <w:t>须得到招标人</w:t>
      </w:r>
      <w:r>
        <w:rPr>
          <w:rFonts w:hint="eastAsia" w:ascii="宋体" w:hAnsi="宋体"/>
          <w:sz w:val="22"/>
        </w:rPr>
        <w:t>确认。</w:t>
      </w:r>
    </w:p>
    <w:p>
      <w:pPr>
        <w:numPr>
          <w:ilvl w:val="0"/>
          <w:numId w:val="0"/>
        </w:numPr>
        <w:tabs>
          <w:tab w:val="left" w:pos="1080"/>
        </w:tabs>
        <w:adjustRightInd w:val="0"/>
        <w:snapToGrid w:val="0"/>
        <w:spacing w:line="360" w:lineRule="exact"/>
        <w:ind w:leftChars="200"/>
        <w:rPr>
          <w:rFonts w:ascii="宋体" w:hAnsi="宋体"/>
          <w:sz w:val="22"/>
        </w:rPr>
      </w:pPr>
      <w:r>
        <w:rPr>
          <w:rFonts w:hint="eastAsia" w:ascii="宋体" w:hAnsi="宋体"/>
          <w:sz w:val="22"/>
          <w:lang w:eastAsia="zh-CN"/>
        </w:rPr>
        <w:t>（</w:t>
      </w:r>
      <w:r>
        <w:rPr>
          <w:rFonts w:hint="eastAsia" w:ascii="宋体" w:hAnsi="宋体"/>
          <w:sz w:val="22"/>
          <w:lang w:val="en-US" w:eastAsia="zh-CN"/>
        </w:rPr>
        <w:t>2</w:t>
      </w:r>
      <w:r>
        <w:rPr>
          <w:rFonts w:hint="eastAsia" w:ascii="宋体" w:hAnsi="宋体"/>
          <w:sz w:val="22"/>
          <w:lang w:eastAsia="zh-CN"/>
        </w:rPr>
        <w:t>）</w:t>
      </w:r>
      <w:r>
        <w:rPr>
          <w:rFonts w:ascii="宋体" w:hAnsi="宋体"/>
          <w:sz w:val="22"/>
        </w:rPr>
        <w:t>所</w:t>
      </w:r>
      <w:r>
        <w:rPr>
          <w:rFonts w:hint="eastAsia" w:ascii="宋体" w:hAnsi="宋体"/>
          <w:sz w:val="22"/>
        </w:rPr>
        <w:t>用各类材料</w:t>
      </w:r>
      <w:r>
        <w:rPr>
          <w:rFonts w:ascii="宋体" w:hAnsi="宋体"/>
          <w:sz w:val="22"/>
        </w:rPr>
        <w:t>都</w:t>
      </w:r>
      <w:r>
        <w:rPr>
          <w:rFonts w:hint="eastAsia" w:ascii="宋体" w:hAnsi="宋体"/>
          <w:sz w:val="22"/>
        </w:rPr>
        <w:t>须经招标人</w:t>
      </w:r>
      <w:r>
        <w:rPr>
          <w:rFonts w:ascii="宋体" w:hAnsi="宋体"/>
          <w:sz w:val="22"/>
        </w:rPr>
        <w:t>认可后方可使用。</w:t>
      </w:r>
    </w:p>
    <w:p>
      <w:pPr>
        <w:numPr>
          <w:ilvl w:val="0"/>
          <w:numId w:val="0"/>
        </w:numPr>
        <w:tabs>
          <w:tab w:val="left" w:pos="1080"/>
        </w:tabs>
        <w:adjustRightInd w:val="0"/>
        <w:snapToGrid w:val="0"/>
        <w:spacing w:line="360" w:lineRule="exact"/>
        <w:ind w:leftChars="200"/>
        <w:rPr>
          <w:rFonts w:ascii="宋体" w:hAnsi="宋体"/>
          <w:sz w:val="22"/>
        </w:rPr>
      </w:pPr>
      <w:r>
        <w:rPr>
          <w:rFonts w:hint="eastAsia" w:ascii="宋体" w:hAnsi="宋体"/>
          <w:sz w:val="22"/>
          <w:lang w:eastAsia="zh-CN"/>
        </w:rPr>
        <w:t>（</w:t>
      </w:r>
      <w:r>
        <w:rPr>
          <w:rFonts w:hint="eastAsia" w:ascii="宋体" w:hAnsi="宋体"/>
          <w:sz w:val="22"/>
          <w:lang w:val="en-US" w:eastAsia="zh-CN"/>
        </w:rPr>
        <w:t>3</w:t>
      </w:r>
      <w:r>
        <w:rPr>
          <w:rFonts w:hint="eastAsia" w:ascii="宋体" w:hAnsi="宋体"/>
          <w:sz w:val="22"/>
          <w:lang w:eastAsia="zh-CN"/>
        </w:rPr>
        <w:t>）</w:t>
      </w:r>
      <w:r>
        <w:rPr>
          <w:rFonts w:ascii="宋体" w:hAnsi="宋体"/>
          <w:sz w:val="22"/>
        </w:rPr>
        <w:t>所</w:t>
      </w:r>
      <w:r>
        <w:rPr>
          <w:rFonts w:hint="eastAsia" w:ascii="宋体" w:hAnsi="宋体"/>
          <w:sz w:val="22"/>
        </w:rPr>
        <w:t>用各类材料</w:t>
      </w:r>
      <w:r>
        <w:rPr>
          <w:rFonts w:ascii="宋体" w:hAnsi="宋体"/>
          <w:sz w:val="22"/>
        </w:rPr>
        <w:t>都应符合设计规范和相关的国家标准。</w:t>
      </w:r>
    </w:p>
    <w:p>
      <w:pPr>
        <w:numPr>
          <w:ilvl w:val="0"/>
          <w:numId w:val="0"/>
        </w:numPr>
        <w:tabs>
          <w:tab w:val="left" w:pos="1080"/>
        </w:tabs>
        <w:adjustRightInd w:val="0"/>
        <w:snapToGrid w:val="0"/>
        <w:spacing w:line="360" w:lineRule="exact"/>
        <w:ind w:leftChars="200"/>
        <w:rPr>
          <w:rFonts w:ascii="宋体" w:hAnsi="宋体"/>
          <w:sz w:val="22"/>
        </w:rPr>
      </w:pPr>
      <w:r>
        <w:rPr>
          <w:rFonts w:hint="eastAsia" w:ascii="宋体" w:hAnsi="宋体"/>
          <w:sz w:val="22"/>
          <w:lang w:eastAsia="zh-CN"/>
        </w:rPr>
        <w:t>（</w:t>
      </w:r>
      <w:r>
        <w:rPr>
          <w:rFonts w:hint="eastAsia" w:ascii="宋体" w:hAnsi="宋体"/>
          <w:sz w:val="22"/>
          <w:lang w:val="en-US" w:eastAsia="zh-CN"/>
        </w:rPr>
        <w:t>4</w:t>
      </w:r>
      <w:r>
        <w:rPr>
          <w:rFonts w:hint="eastAsia" w:ascii="宋体" w:hAnsi="宋体"/>
          <w:sz w:val="22"/>
          <w:lang w:eastAsia="zh-CN"/>
        </w:rPr>
        <w:t>）</w:t>
      </w:r>
      <w:r>
        <w:rPr>
          <w:rFonts w:hint="eastAsia" w:ascii="宋体" w:hAnsi="宋体"/>
          <w:sz w:val="22"/>
        </w:rPr>
        <w:t>所用各类材料均有质量合格证书。</w:t>
      </w:r>
    </w:p>
    <w:p>
      <w:pPr>
        <w:pStyle w:val="157"/>
        <w:adjustRightInd w:val="0"/>
        <w:snapToGrid w:val="0"/>
        <w:spacing w:line="360" w:lineRule="exact"/>
        <w:ind w:firstLine="440"/>
        <w:rPr>
          <w:rFonts w:hAnsi="宋体"/>
          <w:sz w:val="22"/>
          <w:szCs w:val="22"/>
          <w:highlight w:val="yellow"/>
        </w:rPr>
      </w:pPr>
      <w:r>
        <w:rPr>
          <w:rFonts w:hint="eastAsia" w:hAnsi="宋体"/>
          <w:sz w:val="22"/>
          <w:szCs w:val="22"/>
        </w:rPr>
        <w:t>2.2 本次招标</w:t>
      </w:r>
      <w:r>
        <w:rPr>
          <w:rFonts w:hAnsi="宋体"/>
          <w:sz w:val="22"/>
          <w:szCs w:val="22"/>
        </w:rPr>
        <w:t>涉及的材料，各投标人须根据</w:t>
      </w:r>
      <w:r>
        <w:rPr>
          <w:rFonts w:hint="eastAsia" w:hAnsi="宋体"/>
          <w:sz w:val="22"/>
          <w:szCs w:val="22"/>
        </w:rPr>
        <w:t>招标图纸</w:t>
      </w:r>
      <w:r>
        <w:rPr>
          <w:rFonts w:hAnsi="宋体"/>
          <w:sz w:val="22"/>
          <w:szCs w:val="22"/>
        </w:rPr>
        <w:t>的要求及意图按</w:t>
      </w:r>
      <w:r>
        <w:rPr>
          <w:rFonts w:hint="eastAsia" w:hAnsi="宋体"/>
          <w:sz w:val="22"/>
          <w:szCs w:val="22"/>
        </w:rPr>
        <w:t>相应</w:t>
      </w:r>
      <w:r>
        <w:rPr>
          <w:rFonts w:hAnsi="宋体"/>
          <w:sz w:val="22"/>
          <w:szCs w:val="22"/>
        </w:rPr>
        <w:t>的标准进行选材并报价，严禁选择不合</w:t>
      </w:r>
      <w:r>
        <w:rPr>
          <w:rFonts w:hint="eastAsia" w:hAnsi="宋体"/>
          <w:sz w:val="22"/>
          <w:szCs w:val="22"/>
        </w:rPr>
        <w:t>格</w:t>
      </w:r>
      <w:r>
        <w:rPr>
          <w:rFonts w:hAnsi="宋体"/>
          <w:sz w:val="22"/>
          <w:szCs w:val="22"/>
        </w:rPr>
        <w:t>材料进行投标报价及组织施工实施。</w:t>
      </w:r>
    </w:p>
    <w:p>
      <w:pPr>
        <w:pStyle w:val="157"/>
        <w:adjustRightInd w:val="0"/>
        <w:snapToGrid w:val="0"/>
        <w:spacing w:line="360" w:lineRule="exact"/>
        <w:ind w:firstLine="440"/>
        <w:rPr>
          <w:rFonts w:hAnsi="宋体"/>
          <w:sz w:val="22"/>
          <w:szCs w:val="22"/>
        </w:rPr>
      </w:pPr>
      <w:r>
        <w:rPr>
          <w:rFonts w:hint="eastAsia" w:hAnsi="宋体"/>
          <w:sz w:val="22"/>
          <w:szCs w:val="22"/>
        </w:rPr>
        <w:t xml:space="preserve">2.3 </w:t>
      </w:r>
      <w:r>
        <w:rPr>
          <w:rFonts w:hAnsi="宋体"/>
          <w:sz w:val="22"/>
          <w:szCs w:val="22"/>
        </w:rPr>
        <w:t>材料的质量保证</w:t>
      </w:r>
    </w:p>
    <w:p>
      <w:pPr>
        <w:pStyle w:val="157"/>
        <w:adjustRightInd w:val="0"/>
        <w:snapToGrid w:val="0"/>
        <w:spacing w:line="360" w:lineRule="exact"/>
        <w:ind w:firstLine="440"/>
        <w:rPr>
          <w:rFonts w:hAnsi="宋体"/>
          <w:sz w:val="22"/>
          <w:szCs w:val="22"/>
        </w:rPr>
      </w:pPr>
      <w:r>
        <w:rPr>
          <w:rFonts w:hint="eastAsia" w:hAnsi="宋体"/>
          <w:sz w:val="22"/>
          <w:szCs w:val="22"/>
        </w:rPr>
        <w:t>（1）工程所用各类材料，应以书面形式向招标人提交一份质量保证书。</w:t>
      </w:r>
    </w:p>
    <w:p>
      <w:pPr>
        <w:pStyle w:val="157"/>
        <w:adjustRightInd w:val="0"/>
        <w:snapToGrid w:val="0"/>
        <w:spacing w:line="360" w:lineRule="exact"/>
        <w:ind w:firstLine="440"/>
        <w:rPr>
          <w:rFonts w:hAnsi="宋体"/>
          <w:sz w:val="22"/>
          <w:szCs w:val="22"/>
        </w:rPr>
      </w:pPr>
      <w:r>
        <w:rPr>
          <w:rFonts w:hint="eastAsia" w:hAnsi="宋体"/>
          <w:sz w:val="22"/>
          <w:szCs w:val="22"/>
        </w:rPr>
        <w:t>（2）</w:t>
      </w:r>
      <w:r>
        <w:rPr>
          <w:rFonts w:hAnsi="宋体"/>
          <w:sz w:val="22"/>
          <w:szCs w:val="22"/>
        </w:rPr>
        <w:t>在</w:t>
      </w:r>
      <w:r>
        <w:rPr>
          <w:rFonts w:hint="eastAsia" w:hAnsi="宋体"/>
          <w:sz w:val="22"/>
          <w:szCs w:val="22"/>
        </w:rPr>
        <w:t>施工期间</w:t>
      </w:r>
      <w:r>
        <w:rPr>
          <w:rFonts w:hAnsi="宋体"/>
          <w:sz w:val="22"/>
          <w:szCs w:val="22"/>
        </w:rPr>
        <w:t>内，中标人对有缺陷的部位必须无偿地给予修</w:t>
      </w:r>
      <w:r>
        <w:rPr>
          <w:rFonts w:hint="eastAsia" w:hAnsi="宋体"/>
          <w:sz w:val="22"/>
          <w:szCs w:val="22"/>
        </w:rPr>
        <w:t>正</w:t>
      </w:r>
      <w:r>
        <w:rPr>
          <w:rFonts w:hAnsi="宋体"/>
          <w:sz w:val="22"/>
          <w:szCs w:val="22"/>
        </w:rPr>
        <w:t>，并承担一切由此引起的对招标人或第三者的直接损失，除非该缺陷是由于合同规定的不可抗因素造成的损坏。</w:t>
      </w:r>
    </w:p>
    <w:p>
      <w:pPr>
        <w:pStyle w:val="157"/>
        <w:adjustRightInd w:val="0"/>
        <w:snapToGrid w:val="0"/>
        <w:spacing w:line="360" w:lineRule="exact"/>
        <w:ind w:firstLine="440"/>
        <w:rPr>
          <w:rFonts w:hAnsi="宋体"/>
          <w:sz w:val="22"/>
          <w:szCs w:val="22"/>
        </w:rPr>
      </w:pPr>
      <w:r>
        <w:rPr>
          <w:rFonts w:hint="eastAsia" w:hAnsi="宋体"/>
          <w:sz w:val="22"/>
          <w:szCs w:val="22"/>
        </w:rPr>
        <w:t>（3）</w:t>
      </w:r>
      <w:r>
        <w:rPr>
          <w:rFonts w:hAnsi="宋体"/>
          <w:sz w:val="22"/>
          <w:szCs w:val="22"/>
        </w:rPr>
        <w:t>中标人必须对所承包的工程的质量负全部责任，其责任不因材料生产商提供的保证书而减轻或更改。</w:t>
      </w:r>
    </w:p>
    <w:p>
      <w:pPr>
        <w:pStyle w:val="157"/>
        <w:adjustRightInd w:val="0"/>
        <w:snapToGrid w:val="0"/>
        <w:spacing w:line="360" w:lineRule="exact"/>
        <w:ind w:firstLine="440"/>
        <w:rPr>
          <w:rFonts w:hint="eastAsia" w:hAnsi="宋体"/>
          <w:sz w:val="22"/>
          <w:szCs w:val="22"/>
          <w:lang w:eastAsia="zh-CN"/>
        </w:rPr>
      </w:pPr>
      <w:r>
        <w:rPr>
          <w:rFonts w:hint="eastAsia" w:hAnsi="宋体"/>
          <w:sz w:val="22"/>
          <w:szCs w:val="22"/>
        </w:rPr>
        <w:t>2.4</w:t>
      </w:r>
      <w:r>
        <w:rPr>
          <w:rFonts w:hint="eastAsia" w:hAnsi="宋体"/>
          <w:sz w:val="22"/>
          <w:szCs w:val="22"/>
          <w:lang w:val="en-US" w:eastAsia="zh-CN"/>
        </w:rPr>
        <w:t xml:space="preserve"> </w:t>
      </w:r>
      <w:r>
        <w:rPr>
          <w:rFonts w:hint="eastAsia" w:hAnsi="宋体"/>
          <w:sz w:val="22"/>
          <w:szCs w:val="22"/>
          <w:lang w:eastAsia="zh-CN"/>
        </w:rPr>
        <w:t>材料材质</w:t>
      </w:r>
    </w:p>
    <w:p>
      <w:pPr>
        <w:pStyle w:val="157"/>
        <w:adjustRightInd w:val="0"/>
        <w:snapToGrid w:val="0"/>
        <w:spacing w:line="360" w:lineRule="exact"/>
        <w:ind w:firstLine="440"/>
        <w:rPr>
          <w:rFonts w:hint="eastAsia" w:hAnsi="宋体"/>
          <w:b/>
          <w:bCs/>
          <w:sz w:val="22"/>
          <w:szCs w:val="22"/>
        </w:rPr>
      </w:pPr>
      <w:r>
        <w:rPr>
          <w:rFonts w:hint="eastAsia" w:hAnsi="宋体"/>
          <w:b/>
          <w:bCs/>
          <w:sz w:val="22"/>
          <w:szCs w:val="22"/>
        </w:rPr>
        <w:t>防鼠网材质采用不大于1厘米孔径的金属钢丝网（304不锈钢加喷塑），钢丝网直径不小于1毫米，表面喷塑，颜色与飞行区围界近似，使用寿命不小于5年。</w:t>
      </w:r>
    </w:p>
    <w:p>
      <w:pPr>
        <w:pStyle w:val="157"/>
        <w:adjustRightInd w:val="0"/>
        <w:snapToGrid w:val="0"/>
        <w:spacing w:line="360" w:lineRule="exact"/>
        <w:ind w:firstLine="482"/>
        <w:rPr>
          <w:rFonts w:hAnsi="宋体"/>
          <w:b/>
          <w:bCs w:val="0"/>
          <w:sz w:val="24"/>
          <w:szCs w:val="24"/>
        </w:rPr>
      </w:pPr>
      <w:r>
        <w:rPr>
          <w:rFonts w:hint="eastAsia" w:hAnsi="宋体"/>
          <w:b/>
          <w:bCs w:val="0"/>
          <w:sz w:val="24"/>
          <w:szCs w:val="24"/>
        </w:rPr>
        <w:t>3.</w:t>
      </w:r>
      <w:r>
        <w:rPr>
          <w:rFonts w:hAnsi="宋体"/>
          <w:b/>
          <w:bCs w:val="0"/>
          <w:sz w:val="24"/>
          <w:szCs w:val="24"/>
        </w:rPr>
        <w:t>施工</w:t>
      </w:r>
      <w:r>
        <w:rPr>
          <w:rFonts w:hint="eastAsia" w:hAnsi="宋体"/>
          <w:b/>
          <w:bCs w:val="0"/>
          <w:sz w:val="24"/>
          <w:szCs w:val="24"/>
        </w:rPr>
        <w:t>要求</w:t>
      </w:r>
    </w:p>
    <w:p>
      <w:pPr>
        <w:pStyle w:val="157"/>
        <w:adjustRightInd w:val="0"/>
        <w:snapToGrid w:val="0"/>
        <w:spacing w:line="360" w:lineRule="exact"/>
        <w:ind w:firstLine="440"/>
        <w:rPr>
          <w:rFonts w:hAnsi="宋体"/>
          <w:sz w:val="22"/>
          <w:szCs w:val="22"/>
        </w:rPr>
      </w:pPr>
      <w:r>
        <w:rPr>
          <w:rFonts w:hint="eastAsia" w:hAnsi="宋体"/>
          <w:sz w:val="22"/>
          <w:szCs w:val="22"/>
        </w:rPr>
        <w:t>3.</w:t>
      </w:r>
      <w:r>
        <w:rPr>
          <w:rFonts w:hint="eastAsia" w:hAnsi="宋体"/>
          <w:sz w:val="22"/>
          <w:szCs w:val="22"/>
          <w:lang w:val="en-US" w:eastAsia="zh-CN"/>
        </w:rPr>
        <w:t>1</w:t>
      </w:r>
      <w:r>
        <w:rPr>
          <w:rFonts w:hint="eastAsia" w:hAnsi="宋体"/>
          <w:sz w:val="22"/>
          <w:szCs w:val="22"/>
        </w:rPr>
        <w:t>本项目临设在招标人指定区域自行搭设，方案报招标人同意后方可搭建。施工临设用地、材料堆场等在工程完工前自行拆除、彻底清理，并根据相关区域地势设计进行场地平整。</w:t>
      </w:r>
    </w:p>
    <w:p>
      <w:pPr>
        <w:pStyle w:val="157"/>
        <w:adjustRightInd w:val="0"/>
        <w:snapToGrid w:val="0"/>
        <w:spacing w:line="360" w:lineRule="exact"/>
        <w:ind w:firstLine="440"/>
        <w:rPr>
          <w:rFonts w:hAnsi="宋体"/>
          <w:sz w:val="22"/>
          <w:szCs w:val="22"/>
        </w:rPr>
      </w:pPr>
      <w:r>
        <w:rPr>
          <w:rFonts w:hint="eastAsia" w:hAnsi="宋体"/>
          <w:sz w:val="22"/>
          <w:szCs w:val="22"/>
        </w:rPr>
        <w:t>3.</w:t>
      </w:r>
      <w:r>
        <w:rPr>
          <w:rFonts w:hint="eastAsia" w:hAnsi="宋体"/>
          <w:sz w:val="22"/>
          <w:szCs w:val="22"/>
          <w:lang w:val="en-US" w:eastAsia="zh-CN"/>
        </w:rPr>
        <w:t>2</w:t>
      </w:r>
      <w:r>
        <w:rPr>
          <w:rFonts w:hint="eastAsia" w:hAnsi="宋体"/>
          <w:sz w:val="22"/>
          <w:szCs w:val="22"/>
        </w:rPr>
        <w:t>进出场道路：投标人现场自行调查了解，</w:t>
      </w:r>
      <w:r>
        <w:rPr>
          <w:rFonts w:hint="eastAsia" w:hAnsi="宋体"/>
          <w:b/>
          <w:sz w:val="22"/>
          <w:szCs w:val="22"/>
        </w:rPr>
        <w:t>所有材料不因场内外道路状况、运输线路、运距发生变化而进行调价</w:t>
      </w:r>
      <w:r>
        <w:rPr>
          <w:rFonts w:hint="eastAsia" w:hAnsi="宋体"/>
          <w:sz w:val="22"/>
          <w:szCs w:val="22"/>
        </w:rPr>
        <w:t>。</w:t>
      </w:r>
    </w:p>
    <w:p>
      <w:pPr>
        <w:pStyle w:val="157"/>
        <w:adjustRightInd w:val="0"/>
        <w:snapToGrid w:val="0"/>
        <w:spacing w:line="360" w:lineRule="exact"/>
        <w:ind w:firstLine="440"/>
        <w:rPr>
          <w:rFonts w:hint="eastAsia" w:hAnsi="宋体"/>
          <w:sz w:val="22"/>
          <w:szCs w:val="22"/>
        </w:rPr>
      </w:pPr>
      <w:r>
        <w:rPr>
          <w:rFonts w:hint="eastAsia" w:hAnsi="宋体"/>
          <w:sz w:val="22"/>
          <w:szCs w:val="22"/>
        </w:rPr>
        <w:t>3.</w:t>
      </w:r>
      <w:r>
        <w:rPr>
          <w:rFonts w:hint="eastAsia" w:hAnsi="宋体"/>
          <w:sz w:val="22"/>
          <w:szCs w:val="22"/>
          <w:lang w:val="en-US" w:eastAsia="zh-CN"/>
        </w:rPr>
        <w:t>3</w:t>
      </w:r>
      <w:r>
        <w:rPr>
          <w:rFonts w:hint="eastAsia" w:hAnsi="宋体"/>
          <w:sz w:val="22"/>
          <w:szCs w:val="22"/>
        </w:rPr>
        <w:t>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投标报价中扣除。</w:t>
      </w:r>
    </w:p>
    <w:p>
      <w:pPr>
        <w:pStyle w:val="157"/>
        <w:adjustRightInd w:val="0"/>
        <w:snapToGrid w:val="0"/>
        <w:spacing w:line="360" w:lineRule="exact"/>
        <w:ind w:firstLine="440"/>
        <w:rPr>
          <w:rFonts w:hint="eastAsia" w:hAnsi="宋体"/>
          <w:sz w:val="22"/>
          <w:szCs w:val="22"/>
          <w:lang w:val="en-US" w:eastAsia="zh-CN"/>
        </w:rPr>
      </w:pPr>
      <w:r>
        <w:rPr>
          <w:rFonts w:hint="eastAsia" w:hAnsi="宋体"/>
          <w:sz w:val="22"/>
          <w:szCs w:val="22"/>
          <w:lang w:val="en-US" w:eastAsia="zh-CN"/>
        </w:rPr>
        <w:t>3.4安装要求</w:t>
      </w:r>
    </w:p>
    <w:p>
      <w:pPr>
        <w:pStyle w:val="157"/>
        <w:adjustRightInd w:val="0"/>
        <w:snapToGrid w:val="0"/>
        <w:spacing w:line="360" w:lineRule="exact"/>
        <w:ind w:firstLine="440"/>
        <w:rPr>
          <w:rFonts w:hint="eastAsia" w:hAnsi="宋体" w:eastAsia="宋体"/>
          <w:b/>
          <w:bCs/>
          <w:sz w:val="22"/>
          <w:szCs w:val="22"/>
          <w:lang w:val="en-US" w:eastAsia="zh-CN"/>
        </w:rPr>
      </w:pPr>
      <w:r>
        <w:rPr>
          <w:rFonts w:hint="eastAsia" w:hAnsi="宋体"/>
          <w:b/>
          <w:bCs/>
          <w:sz w:val="22"/>
          <w:szCs w:val="22"/>
          <w:lang w:val="en-US" w:eastAsia="zh-CN"/>
        </w:rPr>
        <w:t>防鼠网</w:t>
      </w:r>
      <w:r>
        <w:rPr>
          <w:rFonts w:hint="eastAsia" w:hAnsi="宋体"/>
          <w:b/>
          <w:bCs/>
          <w:sz w:val="22"/>
          <w:szCs w:val="22"/>
        </w:rPr>
        <w:t>安装于外道飞行区围界内侧，整体高度0.6米，下部与地面齐平，上部与飞行区围界相连接</w:t>
      </w:r>
      <w:r>
        <w:rPr>
          <w:rFonts w:hint="eastAsia" w:hAnsi="宋体"/>
          <w:b/>
          <w:bCs/>
          <w:sz w:val="22"/>
          <w:szCs w:val="22"/>
          <w:lang w:eastAsia="zh-CN"/>
        </w:rPr>
        <w:t>，连接件采用</w:t>
      </w:r>
      <w:r>
        <w:rPr>
          <w:rFonts w:hint="eastAsia" w:hAnsi="宋体"/>
          <w:b/>
          <w:bCs/>
          <w:sz w:val="22"/>
          <w:szCs w:val="22"/>
          <w:lang w:val="en-US" w:eastAsia="zh-CN"/>
        </w:rPr>
        <w:t>304不锈钢</w:t>
      </w:r>
      <w:r>
        <w:rPr>
          <w:rFonts w:hint="eastAsia" w:hAnsi="宋体"/>
          <w:b/>
          <w:bCs/>
          <w:sz w:val="22"/>
          <w:szCs w:val="22"/>
        </w:rPr>
        <w:t>。</w:t>
      </w:r>
    </w:p>
    <w:p>
      <w:pPr>
        <w:pStyle w:val="157"/>
        <w:adjustRightInd w:val="0"/>
        <w:snapToGrid w:val="0"/>
        <w:spacing w:line="360" w:lineRule="exact"/>
        <w:ind w:firstLine="442"/>
        <w:rPr>
          <w:rFonts w:hAnsi="宋体"/>
          <w:b/>
          <w:sz w:val="22"/>
          <w:szCs w:val="22"/>
        </w:rPr>
      </w:pPr>
      <w:r>
        <w:rPr>
          <w:rFonts w:hint="eastAsia" w:hAnsi="宋体"/>
          <w:b/>
          <w:sz w:val="22"/>
          <w:szCs w:val="22"/>
        </w:rPr>
        <w:t>4.施工安全方面</w:t>
      </w:r>
    </w:p>
    <w:p>
      <w:pPr>
        <w:pStyle w:val="157"/>
        <w:adjustRightInd w:val="0"/>
        <w:snapToGrid w:val="0"/>
        <w:spacing w:line="360" w:lineRule="exact"/>
        <w:ind w:firstLine="440"/>
        <w:rPr>
          <w:rFonts w:hAnsi="宋体"/>
          <w:sz w:val="22"/>
          <w:szCs w:val="22"/>
        </w:rPr>
      </w:pPr>
      <w:r>
        <w:rPr>
          <w:rFonts w:hint="eastAsia" w:hAnsi="宋体"/>
          <w:sz w:val="22"/>
          <w:szCs w:val="22"/>
        </w:rPr>
        <w:t>本工程为机场隔离区施工，为保障机场的正常运营和空防、飞行安全而发生的部分措施费计入技术措施费，费用包含以下几点（不限于）：</w:t>
      </w:r>
    </w:p>
    <w:p>
      <w:pPr>
        <w:spacing w:line="400" w:lineRule="exact"/>
        <w:ind w:firstLine="440" w:firstLineChars="200"/>
        <w:rPr>
          <w:rFonts w:ascii="宋体" w:hAnsi="宋体"/>
          <w:sz w:val="22"/>
        </w:rPr>
      </w:pPr>
      <w:r>
        <w:rPr>
          <w:rFonts w:hint="eastAsia" w:ascii="宋体" w:hAnsi="宋体"/>
          <w:sz w:val="22"/>
        </w:rPr>
        <w:t>4.1安全施工措施（标识标牌及警示柱、管线保护措施，施工机械、人员进退场，每日退场前的现场恢复、施工围栏、照明灯光等）以及因机场隔离区施工导致的夜间加班、工效降低、证件办理等需产生的费用必须充分考虑。</w:t>
      </w:r>
    </w:p>
    <w:p>
      <w:pPr>
        <w:spacing w:line="400" w:lineRule="exact"/>
        <w:ind w:firstLine="442" w:firstLineChars="200"/>
        <w:rPr>
          <w:rFonts w:ascii="宋体" w:hAnsi="宋体"/>
          <w:b w:val="0"/>
          <w:bCs/>
          <w:sz w:val="22"/>
        </w:rPr>
      </w:pPr>
      <w:r>
        <w:rPr>
          <w:rFonts w:hint="eastAsia" w:ascii="宋体" w:hAnsi="宋体"/>
          <w:b w:val="0"/>
          <w:bCs/>
          <w:sz w:val="22"/>
        </w:rPr>
        <w:t>4.2施工材料位于飞行区内，施工作业区域受机场运行情况限制较大，主要包括：1.施工材料堆放须严格按照发包人要求，不得乱堆乱放，同时应当加以遮盖，防止被风或航空器尾流吹散。2.</w:t>
      </w:r>
      <w:r>
        <w:rPr>
          <w:rFonts w:ascii="宋体" w:hAnsi="宋体"/>
          <w:b w:val="0"/>
          <w:bCs/>
          <w:sz w:val="22"/>
        </w:rPr>
        <w:t xml:space="preserve"> </w:t>
      </w:r>
      <w:r>
        <w:rPr>
          <w:rFonts w:hint="eastAsia" w:ascii="宋体" w:hAnsi="宋体"/>
          <w:b w:val="0"/>
          <w:bCs/>
          <w:sz w:val="22"/>
        </w:rPr>
        <w:t>施工机具、车辆的高度以及起重机悬臂作业高度不得穿透障碍物限制面。如须进行超高作业须得到机场塔台的批准。3. 施工区域在下滑台临界区附近，施工前须先评估施工活动对导航信号的影响。如进入敏感区、临界区施工或施工对导航信号造成影响，须在停航后施工。4.现场焊接等动火作业须办理隔离区动火证，现场配备不少于5个灭火器瓶。5. 进入飞行区的所有施工车辆顶部须设置黄色旋转灯标，并保持开启状态。施工人员穿戴反光背心。需产生的费用必须充分考虑。</w:t>
      </w:r>
    </w:p>
    <w:p>
      <w:pPr>
        <w:adjustRightInd w:val="0"/>
        <w:snapToGrid w:val="0"/>
        <w:spacing w:line="360" w:lineRule="exact"/>
        <w:ind w:firstLine="452"/>
        <w:jc w:val="left"/>
        <w:rPr>
          <w:rFonts w:ascii="宋体" w:hAnsi="宋体"/>
          <w:b/>
          <w:sz w:val="22"/>
        </w:rPr>
      </w:pPr>
    </w:p>
    <w:p>
      <w:pPr>
        <w:snapToGrid w:val="0"/>
        <w:spacing w:line="360" w:lineRule="exact"/>
        <w:ind w:firstLine="440" w:firstLineChars="200"/>
        <w:jc w:val="left"/>
        <w:rPr>
          <w:rFonts w:ascii="宋体" w:hAnsi="宋体"/>
          <w:sz w:val="22"/>
        </w:rPr>
      </w:pPr>
    </w:p>
    <w:p>
      <w:pPr>
        <w:snapToGrid w:val="0"/>
        <w:spacing w:line="360" w:lineRule="exact"/>
        <w:jc w:val="left"/>
        <w:rPr>
          <w:rFonts w:ascii="宋体" w:hAnsi="宋体"/>
          <w:sz w:val="22"/>
        </w:rPr>
      </w:pPr>
    </w:p>
    <w:p>
      <w:pPr>
        <w:pStyle w:val="51"/>
      </w:pPr>
      <w:r>
        <w:rPr>
          <w:rFonts w:ascii="宋体" w:hAnsi="宋体"/>
          <w:sz w:val="22"/>
          <w:szCs w:val="22"/>
        </w:rPr>
        <w:br w:type="page"/>
      </w:r>
      <w:bookmarkStart w:id="97" w:name="_Toc450630564"/>
      <w:bookmarkStart w:id="98" w:name="_Toc275274581"/>
      <w:r>
        <w:t>第</w:t>
      </w:r>
      <w:r>
        <w:rPr>
          <w:rFonts w:hint="eastAsia"/>
        </w:rPr>
        <w:t>六</w:t>
      </w:r>
      <w:r>
        <w:t xml:space="preserve">章  </w:t>
      </w:r>
      <w:r>
        <w:rPr>
          <w:rFonts w:hint="eastAsia"/>
        </w:rPr>
        <w:t>评标办法及标准</w:t>
      </w:r>
      <w:bookmarkEnd w:id="97"/>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评标委员会成员由招标人评标专家库中抽选的专家组成。</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w:t>
      </w:r>
      <w:r>
        <w:rPr>
          <w:rFonts w:hint="eastAsia" w:hAnsi="宋体" w:cs="Calibri"/>
          <w:sz w:val="22"/>
          <w:szCs w:val="22"/>
          <w:lang w:val="en-US" w:eastAsia="zh-CN"/>
        </w:rPr>
        <w:t>8</w:t>
      </w:r>
      <w:r>
        <w:rPr>
          <w:rFonts w:hint="eastAsia" w:hAnsi="宋体" w:cs="Calibri"/>
          <w:sz w:val="22"/>
          <w:szCs w:val="22"/>
        </w:rPr>
        <w:t>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w:t>
      </w:r>
      <w:r>
        <w:rPr>
          <w:rFonts w:hint="eastAsia" w:hAnsi="宋体" w:cs="Calibri"/>
          <w:sz w:val="22"/>
          <w:szCs w:val="22"/>
          <w:lang w:val="en-US" w:eastAsia="zh-CN"/>
        </w:rPr>
        <w:t>8</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 xml:space="preserve">2、技术评分   </w:t>
      </w:r>
      <w:r>
        <w:rPr>
          <w:rFonts w:hint="eastAsia" w:hAnsi="宋体" w:cs="Calibri"/>
          <w:sz w:val="22"/>
          <w:szCs w:val="22"/>
          <w:lang w:val="en-US" w:eastAsia="zh-CN"/>
        </w:rPr>
        <w:t>5</w:t>
      </w:r>
      <w:r>
        <w:rPr>
          <w:rFonts w:hint="eastAsia" w:hAnsi="宋体" w:cs="Calibri"/>
          <w:sz w:val="22"/>
          <w:szCs w:val="22"/>
        </w:rPr>
        <w:t>-</w:t>
      </w:r>
      <w:r>
        <w:rPr>
          <w:rFonts w:hint="eastAsia" w:hAnsi="宋体" w:cs="Calibri"/>
          <w:sz w:val="22"/>
          <w:szCs w:val="22"/>
          <w:lang w:val="en-US" w:eastAsia="zh-CN"/>
        </w:rPr>
        <w:t>2</w:t>
      </w:r>
      <w:r>
        <w:rPr>
          <w:rFonts w:hint="eastAsia" w:hAnsi="宋体" w:cs="Calibri"/>
          <w:sz w:val="22"/>
          <w:szCs w:val="22"/>
        </w:rPr>
        <w:t>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位小数。每个投标人的最终技术得分为评标委员会打分去掉一个最高分去掉一个最低分后的算术平均值（小数点后保留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8"/>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rPr>
            </w:pPr>
            <w:r>
              <w:rPr>
                <w:rFonts w:ascii="宋体" w:hAnsi="宋体"/>
                <w:b/>
                <w:sz w:val="22"/>
              </w:rPr>
              <w:t>评</w:t>
            </w:r>
            <w:r>
              <w:rPr>
                <w:rFonts w:hint="eastAsia" w:ascii="宋体" w:hAnsi="宋体"/>
                <w:b/>
                <w:sz w:val="22"/>
              </w:rPr>
              <w:t>定项目</w:t>
            </w:r>
          </w:p>
        </w:tc>
        <w:tc>
          <w:tcPr>
            <w:tcW w:w="1701" w:type="dxa"/>
            <w:vAlign w:val="center"/>
          </w:tcPr>
          <w:p>
            <w:pPr>
              <w:snapToGrid w:val="0"/>
              <w:jc w:val="center"/>
              <w:rPr>
                <w:rFonts w:ascii="宋体" w:hAnsi="宋体"/>
                <w:b/>
                <w:sz w:val="22"/>
              </w:rPr>
            </w:pPr>
            <w:r>
              <w:rPr>
                <w:rFonts w:hint="eastAsia" w:ascii="宋体" w:hAnsi="宋体"/>
                <w:b/>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pStyle w:val="23"/>
              <w:snapToGrid w:val="0"/>
              <w:spacing w:after="0"/>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3"/>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w:t>
            </w:r>
            <w:r>
              <w:rPr>
                <w:rFonts w:hint="eastAsia" w:ascii="宋体" w:hAnsi="宋体"/>
                <w:sz w:val="22"/>
                <w:szCs w:val="22"/>
                <w:lang w:val="en-US" w:eastAsia="zh-CN"/>
              </w:rPr>
              <w:t>4</w:t>
            </w:r>
            <w:r>
              <w:rPr>
                <w:rFonts w:hint="eastAsia" w:ascii="宋体" w:hAnsi="宋体"/>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pStyle w:val="23"/>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w:t>
            </w:r>
            <w:r>
              <w:rPr>
                <w:rFonts w:hint="eastAsia" w:ascii="宋体" w:hAnsi="宋体"/>
                <w:sz w:val="22"/>
                <w:szCs w:val="22"/>
                <w:lang w:val="en-US" w:eastAsia="zh-CN"/>
              </w:rPr>
              <w:t>4</w:t>
            </w:r>
            <w:r>
              <w:rPr>
                <w:rFonts w:hint="eastAsia" w:ascii="宋体" w:hAnsi="宋体"/>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highlight w:val="yellow"/>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highlight w:val="yellow"/>
              </w:rPr>
            </w:pPr>
            <w:r>
              <w:rPr>
                <w:rFonts w:ascii="宋体" w:hAnsi="宋体"/>
                <w:sz w:val="22"/>
              </w:rPr>
              <w:t>1</w:t>
            </w:r>
            <w:r>
              <w:rPr>
                <w:rFonts w:hint="eastAsia" w:ascii="宋体" w:hAnsi="宋体"/>
                <w:sz w:val="22"/>
              </w:rPr>
              <w:t>—</w:t>
            </w:r>
            <w:r>
              <w:rPr>
                <w:rFonts w:hint="eastAsia" w:ascii="宋体" w:hAnsi="宋体"/>
                <w:sz w:val="22"/>
                <w:lang w:val="en-US" w:eastAsia="zh-CN"/>
              </w:rPr>
              <w:t>4</w:t>
            </w:r>
            <w:r>
              <w:rPr>
                <w:rFonts w:hint="eastAsia" w:ascii="宋体" w:hAnsi="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highlight w:val="yellow"/>
              </w:rPr>
            </w:pPr>
            <w:r>
              <w:rPr>
                <w:rFonts w:ascii="宋体" w:hAnsi="宋体"/>
                <w:sz w:val="22"/>
              </w:rPr>
              <w:t>1</w:t>
            </w:r>
            <w:r>
              <w:rPr>
                <w:rFonts w:hint="eastAsia" w:ascii="宋体" w:hAnsi="宋体"/>
                <w:sz w:val="22"/>
              </w:rPr>
              <w:t>—</w:t>
            </w:r>
            <w:r>
              <w:rPr>
                <w:rFonts w:hint="eastAsia" w:ascii="宋体" w:hAnsi="宋体"/>
                <w:sz w:val="22"/>
                <w:lang w:val="en-US" w:eastAsia="zh-CN"/>
              </w:rPr>
              <w:t>4</w:t>
            </w:r>
            <w:r>
              <w:rPr>
                <w:rFonts w:hint="eastAsia" w:ascii="宋体" w:hAnsi="宋体"/>
                <w:sz w:val="22"/>
              </w:rPr>
              <w:t>分</w:t>
            </w:r>
          </w:p>
        </w:tc>
      </w:tr>
    </w:tbl>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4.4 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99" w:name="_Toc450630565"/>
      <w:r>
        <w:t>第</w:t>
      </w:r>
      <w:r>
        <w:rPr>
          <w:rFonts w:hint="eastAsia"/>
        </w:rPr>
        <w:t>七</w:t>
      </w:r>
      <w:r>
        <w:t>章  投标文件格式</w:t>
      </w:r>
      <w:bookmarkEnd w:id="98"/>
      <w:bookmarkEnd w:id="99"/>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三、</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四、已标价工程量清单</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五、施工组织设计</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六、项目管理机构</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七、资格审查资料</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八、投标人认为</w:t>
      </w:r>
      <w:r>
        <w:rPr>
          <w:rFonts w:cs="Calibri" w:asciiTheme="minorEastAsia" w:hAnsiTheme="minorEastAsia"/>
          <w:color w:val="000000"/>
          <w:sz w:val="22"/>
        </w:rPr>
        <w:t>应该提供的其他材料</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00" w:name="_Toc171421958"/>
      <w:r>
        <w:rPr>
          <w:rFonts w:cs="Calibri"/>
          <w:color w:val="000000"/>
        </w:rPr>
        <w:t>封面</w:t>
      </w:r>
      <w:bookmarkEnd w:id="100"/>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 xml:space="preserve">）的投标总报价(其中，增值税税率为 </w:t>
      </w:r>
      <w:r>
        <w:rPr>
          <w:rFonts w:hint="eastAsia" w:ascii="宋体" w:hAnsi="宋体"/>
          <w:sz w:val="22"/>
          <w:lang w:val="en-US" w:eastAsia="zh-CN"/>
        </w:rPr>
        <w:t xml:space="preserve">    </w:t>
      </w:r>
      <w:r>
        <w:rPr>
          <w:rFonts w:ascii="宋体" w:hAnsi="宋体"/>
          <w:sz w:val="22"/>
        </w:rPr>
        <w:t>)，</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w:t>
      </w:r>
      <w:r>
        <w:rPr>
          <w:rFonts w:hint="eastAsia" w:ascii="宋体" w:hAnsi="宋体"/>
          <w:sz w:val="22"/>
          <w:lang w:eastAsia="zh-CN"/>
        </w:rPr>
        <w:t>：</w:t>
      </w:r>
    </w:p>
    <w:p>
      <w:pPr>
        <w:spacing w:line="440" w:lineRule="exact"/>
        <w:ind w:firstLine="440" w:firstLineChars="200"/>
        <w:rPr>
          <w:rFonts w:hint="eastAsia" w:ascii="宋体" w:hAnsi="宋体"/>
          <w:sz w:val="22"/>
          <w:lang w:val="en-US" w:eastAsia="zh-CN"/>
        </w:rPr>
      </w:pPr>
      <w:r>
        <w:rPr>
          <w:rFonts w:hint="eastAsia" w:ascii="宋体" w:hAnsi="宋体"/>
          <w:sz w:val="22"/>
          <w:lang w:val="en-US" w:eastAsia="zh-CN"/>
        </w:rPr>
        <w:t xml:space="preserve">  （1）我方不是失信被执行人； </w:t>
      </w:r>
    </w:p>
    <w:p>
      <w:pPr>
        <w:spacing w:line="440" w:lineRule="exact"/>
        <w:ind w:firstLine="440" w:firstLineChars="200"/>
        <w:rPr>
          <w:rFonts w:hint="eastAsia" w:ascii="宋体" w:hAnsi="宋体"/>
          <w:sz w:val="22"/>
          <w:lang w:val="en-US" w:eastAsia="zh-CN"/>
        </w:rPr>
      </w:pPr>
      <w:r>
        <w:rPr>
          <w:rFonts w:hint="eastAsia" w:ascii="宋体" w:hAnsi="宋体"/>
          <w:sz w:val="22"/>
          <w:lang w:val="en-US" w:eastAsia="zh-CN"/>
        </w:rPr>
        <w:t xml:space="preserve">  （2）我方在规定期限内无行贿犯罪记录； </w:t>
      </w:r>
    </w:p>
    <w:p>
      <w:pPr>
        <w:spacing w:line="440" w:lineRule="exact"/>
        <w:ind w:firstLine="440" w:firstLineChars="200"/>
        <w:rPr>
          <w:rFonts w:hint="eastAsia" w:ascii="宋体" w:hAnsi="宋体"/>
          <w:sz w:val="22"/>
          <w:lang w:val="en-US" w:eastAsia="zh-CN"/>
        </w:rPr>
      </w:pPr>
      <w:r>
        <w:rPr>
          <w:rFonts w:hint="eastAsia" w:ascii="宋体" w:hAnsi="宋体"/>
          <w:sz w:val="22"/>
          <w:lang w:val="en-US" w:eastAsia="zh-CN"/>
        </w:rPr>
        <w:t xml:space="preserve">  （3）我方具有一般纳税人资格，可提供增值税专用发票。 </w:t>
      </w:r>
    </w:p>
    <w:p>
      <w:pPr>
        <w:spacing w:line="440" w:lineRule="exact"/>
        <w:ind w:firstLine="440" w:firstLineChars="200"/>
        <w:rPr>
          <w:rFonts w:ascii="宋体" w:hAnsi="宋体"/>
          <w:sz w:val="22"/>
        </w:rPr>
      </w:pPr>
      <w:r>
        <w:rPr>
          <w:rFonts w:hint="eastAsia" w:ascii="宋体" w:hAnsi="宋体"/>
          <w:sz w:val="22"/>
          <w:lang w:val="en-US" w:eastAsia="zh-CN"/>
        </w:rPr>
        <w:t xml:space="preserve">  （4）</w:t>
      </w:r>
      <w:r>
        <w:rPr>
          <w:rFonts w:ascii="宋体" w:hAnsi="宋体"/>
          <w:sz w:val="22"/>
        </w:rPr>
        <w:t>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101" w:name="_Toc133470542"/>
      <w:bookmarkStart w:id="102" w:name="_Toc133214102"/>
      <w:bookmarkStart w:id="103" w:name="_Toc137373398"/>
      <w:bookmarkStart w:id="104" w:name="_Toc133214309"/>
      <w:bookmarkStart w:id="105" w:name="_Toc144265958"/>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120" w:afterLines="50" w:line="360" w:lineRule="auto"/>
        <w:jc w:val="center"/>
        <w:rPr>
          <w:rFonts w:hAnsi="宋体" w:cs="宋体"/>
        </w:rPr>
      </w:pPr>
    </w:p>
    <w:bookmarkEnd w:id="101"/>
    <w:bookmarkEnd w:id="102"/>
    <w:bookmarkEnd w:id="103"/>
    <w:bookmarkEnd w:id="104"/>
    <w:bookmarkEnd w:id="105"/>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rPr>
      </w:pPr>
      <w:r>
        <w:rPr>
          <w:rFonts w:hint="eastAsia" w:ascii="宋体" w:hAnsi="宋体"/>
          <w:sz w:val="22"/>
        </w:rPr>
        <w:t xml:space="preserve">1. </w:t>
      </w:r>
      <w:r>
        <w:rPr>
          <w:rFonts w:hint="eastAsia" w:ascii="宋体" w:hAnsi="宋体"/>
          <w:sz w:val="22"/>
        </w:rPr>
        <w:tab/>
      </w:r>
      <w:r>
        <w:rPr>
          <w:rFonts w:hint="eastAsia" w:ascii="宋体" w:hAnsi="宋体"/>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rPr>
      </w:pPr>
      <w:r>
        <w:rPr>
          <w:rFonts w:hint="eastAsia" w:ascii="宋体" w:hAnsi="宋体"/>
          <w:sz w:val="22"/>
        </w:rPr>
        <w:t xml:space="preserve">2. </w:t>
      </w:r>
      <w:r>
        <w:rPr>
          <w:rFonts w:hint="eastAsia" w:ascii="宋体" w:hAnsi="宋体"/>
          <w:sz w:val="22"/>
        </w:rPr>
        <w:tab/>
      </w:r>
      <w:r>
        <w:rPr>
          <w:rFonts w:hint="eastAsia" w:ascii="宋体" w:hAnsi="宋体"/>
          <w:sz w:val="22"/>
        </w:rPr>
        <w:t>施工组织设计除采用文字表述外可附下列图表，图表及格式要求附后。</w:t>
      </w:r>
    </w:p>
    <w:p>
      <w:pPr>
        <w:tabs>
          <w:tab w:val="left" w:pos="720"/>
        </w:tabs>
        <w:spacing w:line="440" w:lineRule="exact"/>
        <w:ind w:firstLine="792" w:firstLineChars="360"/>
        <w:rPr>
          <w:rFonts w:ascii="宋体" w:hAnsi="宋体"/>
          <w:sz w:val="22"/>
        </w:rPr>
      </w:pPr>
      <w:r>
        <w:rPr>
          <w:rFonts w:hint="eastAsia" w:ascii="宋体" w:hAnsi="宋体"/>
          <w:sz w:val="22"/>
        </w:rPr>
        <w:t>附表一  拟投入本标段的主要施工设备表</w:t>
      </w:r>
    </w:p>
    <w:p>
      <w:pPr>
        <w:tabs>
          <w:tab w:val="left" w:pos="720"/>
        </w:tabs>
        <w:spacing w:line="440" w:lineRule="exact"/>
        <w:ind w:firstLine="792" w:firstLineChars="360"/>
        <w:rPr>
          <w:rFonts w:ascii="宋体" w:hAnsi="宋体"/>
          <w:sz w:val="22"/>
        </w:rPr>
      </w:pPr>
      <w:r>
        <w:rPr>
          <w:rFonts w:hint="eastAsia" w:ascii="宋体" w:hAnsi="宋体"/>
          <w:sz w:val="22"/>
        </w:rPr>
        <w:t>附表二  拟配备本标段的试验和检测仪器设备表</w:t>
      </w:r>
    </w:p>
    <w:p>
      <w:pPr>
        <w:tabs>
          <w:tab w:val="left" w:pos="720"/>
        </w:tabs>
        <w:spacing w:line="440" w:lineRule="exact"/>
        <w:ind w:firstLine="792" w:firstLineChars="360"/>
        <w:rPr>
          <w:rFonts w:ascii="宋体" w:hAnsi="宋体"/>
          <w:sz w:val="22"/>
        </w:rPr>
      </w:pPr>
      <w:r>
        <w:rPr>
          <w:rFonts w:hint="eastAsia" w:ascii="宋体" w:hAnsi="宋体"/>
          <w:sz w:val="22"/>
        </w:rPr>
        <w:t>附表三  劳动力计划表</w:t>
      </w:r>
    </w:p>
    <w:p>
      <w:pPr>
        <w:tabs>
          <w:tab w:val="left" w:pos="720"/>
        </w:tabs>
        <w:spacing w:line="440" w:lineRule="exact"/>
        <w:ind w:firstLine="792" w:firstLineChars="360"/>
        <w:rPr>
          <w:rFonts w:ascii="宋体" w:hAnsi="宋体"/>
          <w:sz w:val="22"/>
        </w:rPr>
      </w:pPr>
      <w:r>
        <w:rPr>
          <w:rFonts w:hint="eastAsia" w:ascii="宋体" w:hAnsi="宋体"/>
          <w:sz w:val="22"/>
        </w:rPr>
        <w:t>附表四  计划开、竣工日期和施工进度网络图</w:t>
      </w:r>
    </w:p>
    <w:p>
      <w:pPr>
        <w:tabs>
          <w:tab w:val="left" w:pos="720"/>
        </w:tabs>
        <w:spacing w:line="440" w:lineRule="exact"/>
        <w:ind w:firstLine="792" w:firstLineChars="360"/>
        <w:rPr>
          <w:rFonts w:ascii="宋体" w:hAnsi="宋体"/>
          <w:sz w:val="22"/>
        </w:rPr>
      </w:pPr>
      <w:r>
        <w:rPr>
          <w:rFonts w:hint="eastAsia" w:ascii="宋体" w:hAnsi="宋体"/>
          <w:sz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55"/>
        <w:rPr>
          <w:rFonts w:ascii="宋体" w:hAnsi="宋体" w:eastAsia="宋体"/>
          <w:szCs w:val="23"/>
        </w:rPr>
      </w:pPr>
      <w:bookmarkStart w:id="106" w:name="_Toc152045797"/>
      <w:bookmarkStart w:id="107" w:name="_Toc246392155"/>
      <w:bookmarkStart w:id="108" w:name="_Toc11710"/>
      <w:bookmarkStart w:id="109" w:name="_Toc144974865"/>
      <w:bookmarkStart w:id="110" w:name="_Toc152042586"/>
      <w:bookmarkStart w:id="111" w:name="_Toc179632817"/>
      <w:r>
        <w:rPr>
          <w:rFonts w:hint="eastAsia" w:ascii="宋体" w:hAnsi="宋体" w:eastAsia="宋体"/>
        </w:rPr>
        <w:t>附表一：</w:t>
      </w:r>
      <w:r>
        <w:rPr>
          <w:rFonts w:hint="eastAsia" w:ascii="宋体" w:hAnsi="宋体" w:eastAsia="宋体"/>
          <w:szCs w:val="23"/>
        </w:rPr>
        <w:t>拟投入本标段的主要施工设备表</w:t>
      </w:r>
      <w:bookmarkEnd w:id="106"/>
      <w:bookmarkEnd w:id="107"/>
      <w:bookmarkEnd w:id="108"/>
      <w:bookmarkEnd w:id="109"/>
      <w:bookmarkEnd w:id="110"/>
      <w:bookmarkEnd w:id="111"/>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55"/>
        <w:rPr>
          <w:rFonts w:ascii="宋体" w:hAnsi="宋体" w:eastAsia="宋体"/>
        </w:rPr>
      </w:pPr>
      <w:bookmarkStart w:id="112" w:name="_Toc179632818"/>
      <w:bookmarkStart w:id="113" w:name="_Toc152045798"/>
      <w:bookmarkStart w:id="114" w:name="_Toc152042587"/>
      <w:bookmarkStart w:id="115" w:name="_Toc4957"/>
      <w:bookmarkStart w:id="116" w:name="_Toc246392156"/>
      <w:bookmarkStart w:id="117" w:name="_Toc144974866"/>
      <w:r>
        <w:rPr>
          <w:rFonts w:hint="eastAsia" w:ascii="宋体" w:hAnsi="宋体" w:eastAsia="宋体"/>
        </w:rPr>
        <w:t>附表二：拟配备本标段的试验和检测仪器设备表</w:t>
      </w:r>
      <w:bookmarkEnd w:id="112"/>
      <w:bookmarkEnd w:id="113"/>
      <w:bookmarkEnd w:id="114"/>
      <w:bookmarkEnd w:id="115"/>
      <w:bookmarkEnd w:id="116"/>
      <w:bookmarkEnd w:id="117"/>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55"/>
        <w:rPr>
          <w:rFonts w:ascii="宋体" w:hAnsi="宋体" w:eastAsia="宋体"/>
        </w:rPr>
      </w:pPr>
      <w:bookmarkStart w:id="118" w:name="_Toc246392157"/>
      <w:bookmarkStart w:id="119" w:name="_Toc8928"/>
      <w:bookmarkStart w:id="120" w:name="_Toc152042588"/>
      <w:bookmarkStart w:id="121" w:name="_Toc144974867"/>
      <w:bookmarkStart w:id="122" w:name="_Toc152045799"/>
      <w:bookmarkStart w:id="123" w:name="_Toc179632819"/>
      <w:r>
        <w:rPr>
          <w:rFonts w:hint="eastAsia" w:ascii="宋体" w:hAnsi="宋体" w:eastAsia="宋体"/>
        </w:rPr>
        <w:t>附表三：劳动力计划表</w:t>
      </w:r>
      <w:bookmarkEnd w:id="118"/>
      <w:bookmarkEnd w:id="119"/>
      <w:bookmarkEnd w:id="120"/>
      <w:bookmarkEnd w:id="121"/>
      <w:bookmarkEnd w:id="122"/>
      <w:bookmarkEnd w:id="123"/>
    </w:p>
    <w:p>
      <w:pPr>
        <w:spacing w:line="440" w:lineRule="exact"/>
        <w:ind w:right="200"/>
        <w:jc w:val="right"/>
        <w:rPr>
          <w:rFonts w:ascii="宋体" w:hAns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55"/>
        <w:rPr>
          <w:rFonts w:ascii="宋体" w:hAnsi="宋体" w:eastAsia="宋体"/>
          <w:sz w:val="22"/>
          <w:szCs w:val="22"/>
        </w:rPr>
      </w:pPr>
      <w:bookmarkStart w:id="124" w:name="_Toc152045800"/>
      <w:bookmarkStart w:id="125" w:name="_Toc179632820"/>
      <w:bookmarkStart w:id="126" w:name="_Toc144974868"/>
      <w:bookmarkStart w:id="127" w:name="_Toc246392158"/>
      <w:bookmarkStart w:id="128" w:name="_Toc152042589"/>
      <w:bookmarkStart w:id="129" w:name="_Toc3750"/>
      <w:r>
        <w:rPr>
          <w:rFonts w:hint="eastAsia" w:ascii="宋体" w:hAnsi="宋体" w:eastAsia="宋体"/>
          <w:sz w:val="22"/>
          <w:szCs w:val="22"/>
        </w:rPr>
        <w:t>附表四：计划开、竣工日期和施工进度网络图</w:t>
      </w:r>
      <w:bookmarkEnd w:id="124"/>
      <w:bookmarkEnd w:id="125"/>
      <w:bookmarkEnd w:id="126"/>
      <w:bookmarkEnd w:id="127"/>
      <w:bookmarkEnd w:id="128"/>
      <w:bookmarkEnd w:id="129"/>
    </w:p>
    <w:p>
      <w:pPr>
        <w:spacing w:line="440" w:lineRule="exact"/>
        <w:rPr>
          <w:rFonts w:ascii="宋体" w:hAnsi="宋体"/>
          <w:sz w:val="22"/>
        </w:rPr>
      </w:pPr>
    </w:p>
    <w:p>
      <w:pPr>
        <w:spacing w:line="440" w:lineRule="exact"/>
        <w:ind w:firstLine="440" w:firstLineChars="200"/>
        <w:rPr>
          <w:rFonts w:ascii="宋体" w:hAnsi="宋体"/>
          <w:sz w:val="22"/>
        </w:rPr>
      </w:pPr>
      <w:r>
        <w:rPr>
          <w:rFonts w:hint="eastAsia" w:ascii="宋体" w:hAnsi="宋体"/>
          <w:sz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rPr>
      </w:pPr>
      <w:r>
        <w:rPr>
          <w:rFonts w:hint="eastAsia" w:ascii="宋体" w:hAnsi="宋体"/>
          <w:sz w:val="22"/>
        </w:rPr>
        <w:t>2. 施工进度表可采用网络图（或横道图）表示。</w:t>
      </w:r>
    </w:p>
    <w:p>
      <w:pPr>
        <w:spacing w:line="440" w:lineRule="exact"/>
        <w:rPr>
          <w:rFonts w:ascii="宋体" w:hAnsi="宋体"/>
          <w:sz w:val="22"/>
        </w:rPr>
      </w:pPr>
    </w:p>
    <w:p>
      <w:pPr>
        <w:spacing w:line="440" w:lineRule="exact"/>
        <w:rPr>
          <w:rFonts w:ascii="宋体" w:hAnsi="宋体"/>
          <w:sz w:val="22"/>
        </w:rPr>
      </w:pPr>
    </w:p>
    <w:p>
      <w:pPr>
        <w:spacing w:line="440" w:lineRule="exact"/>
        <w:rPr>
          <w:rFonts w:ascii="宋体" w:hAnsi="宋体"/>
          <w:sz w:val="22"/>
        </w:rPr>
      </w:pPr>
      <w:bookmarkStart w:id="130" w:name="_Toc246392159"/>
      <w:bookmarkStart w:id="131" w:name="_Toc179632821"/>
      <w:bookmarkStart w:id="132" w:name="_Toc152042590"/>
      <w:bookmarkStart w:id="133" w:name="_Toc152045801"/>
      <w:bookmarkStart w:id="134" w:name="_Toc144974869"/>
      <w:r>
        <w:rPr>
          <w:rFonts w:hint="eastAsia" w:ascii="宋体" w:hAnsi="宋体"/>
          <w:sz w:val="22"/>
        </w:rPr>
        <w:t>附表五：施工总平面图</w:t>
      </w:r>
      <w:bookmarkEnd w:id="130"/>
      <w:bookmarkEnd w:id="131"/>
      <w:bookmarkEnd w:id="132"/>
      <w:bookmarkEnd w:id="133"/>
      <w:bookmarkEnd w:id="134"/>
    </w:p>
    <w:p>
      <w:pPr>
        <w:spacing w:line="440" w:lineRule="exact"/>
        <w:rPr>
          <w:rFonts w:ascii="宋体" w:hAnsi="宋体"/>
          <w:sz w:val="22"/>
        </w:rPr>
      </w:pPr>
      <w:r>
        <w:rPr>
          <w:rFonts w:hint="eastAsia" w:ascii="宋体" w:hAnsi="宋体"/>
          <w:sz w:val="22"/>
        </w:rPr>
        <w:tab/>
      </w:r>
    </w:p>
    <w:p>
      <w:pPr>
        <w:spacing w:line="440" w:lineRule="exact"/>
        <w:ind w:firstLine="440" w:firstLineChars="200"/>
        <w:rPr>
          <w:rFonts w:ascii="宋体" w:hAnsi="宋体"/>
          <w:sz w:val="22"/>
        </w:rPr>
      </w:pPr>
      <w:r>
        <w:rPr>
          <w:rFonts w:hint="eastAsia" w:ascii="宋体" w:hAnsi="宋体"/>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55"/>
        <w:rPr>
          <w:rFonts w:ascii="宋体" w:hAnsi="宋体" w:eastAsia="宋体"/>
          <w:szCs w:val="23"/>
        </w:rPr>
      </w:pPr>
      <w:bookmarkStart w:id="135" w:name="_Toc179632824"/>
      <w:bookmarkStart w:id="136" w:name="_Toc152042593"/>
      <w:bookmarkStart w:id="137" w:name="_Toc152045804"/>
      <w:bookmarkStart w:id="138" w:name="_Toc246392161"/>
      <w:bookmarkStart w:id="139" w:name="_Toc29304"/>
      <w:bookmarkStart w:id="140" w:name="_Toc144974872"/>
      <w:r>
        <w:rPr>
          <w:rFonts w:hint="eastAsia" w:ascii="宋体" w:hAnsi="宋体" w:eastAsia="宋体"/>
          <w:szCs w:val="23"/>
        </w:rPr>
        <w:t>（一）项目管理机构组成表</w:t>
      </w:r>
      <w:bookmarkEnd w:id="135"/>
      <w:bookmarkEnd w:id="136"/>
      <w:bookmarkEnd w:id="137"/>
      <w:bookmarkEnd w:id="138"/>
      <w:bookmarkEnd w:id="139"/>
      <w:bookmarkEnd w:id="140"/>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55"/>
        <w:rPr>
          <w:rFonts w:ascii="宋体" w:hAnsi="宋体" w:eastAsia="宋体"/>
          <w:szCs w:val="23"/>
        </w:rPr>
      </w:pPr>
      <w:bookmarkStart w:id="141" w:name="_Toc179632825"/>
      <w:bookmarkStart w:id="142" w:name="_Toc144974873"/>
      <w:bookmarkStart w:id="143" w:name="_Toc246392162"/>
      <w:bookmarkStart w:id="144" w:name="_Toc25718"/>
      <w:bookmarkStart w:id="145" w:name="_Toc152042594"/>
      <w:bookmarkStart w:id="146" w:name="_Toc152045805"/>
      <w:r>
        <w:rPr>
          <w:rFonts w:hint="eastAsia" w:ascii="宋体" w:hAnsi="宋体" w:eastAsia="宋体"/>
          <w:szCs w:val="23"/>
        </w:rPr>
        <w:t>（二）主要人员简历表</w:t>
      </w:r>
      <w:bookmarkEnd w:id="141"/>
      <w:bookmarkEnd w:id="142"/>
      <w:bookmarkEnd w:id="143"/>
      <w:bookmarkEnd w:id="144"/>
      <w:bookmarkEnd w:id="145"/>
      <w:bookmarkEnd w:id="146"/>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姓  名</w:t>
            </w:r>
          </w:p>
        </w:tc>
        <w:tc>
          <w:tcPr>
            <w:tcW w:w="1079" w:type="dxa"/>
            <w:gridSpan w:val="2"/>
            <w:vAlign w:val="center"/>
          </w:tcPr>
          <w:p>
            <w:pPr>
              <w:spacing w:line="440" w:lineRule="exact"/>
              <w:rPr>
                <w:rFonts w:asciiTheme="minorEastAsia" w:hAnsiTheme="minorEastAsia"/>
                <w:sz w:val="22"/>
              </w:rPr>
            </w:pPr>
          </w:p>
        </w:tc>
        <w:tc>
          <w:tcPr>
            <w:tcW w:w="927" w:type="dxa"/>
            <w:vAlign w:val="center"/>
          </w:tcPr>
          <w:p>
            <w:pPr>
              <w:spacing w:line="440" w:lineRule="exact"/>
              <w:rPr>
                <w:rFonts w:asciiTheme="minorEastAsia" w:hAnsiTheme="minorEastAsia"/>
                <w:sz w:val="22"/>
              </w:rPr>
            </w:pPr>
            <w:r>
              <w:rPr>
                <w:rFonts w:hint="eastAsia" w:asciiTheme="minorEastAsia" w:hAnsiTheme="minorEastAsia"/>
                <w:sz w:val="22"/>
              </w:rPr>
              <w:t>年 龄</w:t>
            </w:r>
          </w:p>
        </w:tc>
        <w:tc>
          <w:tcPr>
            <w:tcW w:w="1065" w:type="dxa"/>
            <w:vAlign w:val="center"/>
          </w:tcPr>
          <w:p>
            <w:pPr>
              <w:spacing w:line="440" w:lineRule="exact"/>
              <w:rPr>
                <w:rFonts w:asciiTheme="minorEastAsia" w:hAnsiTheme="minorEastAsia"/>
                <w:sz w:val="22"/>
              </w:rPr>
            </w:pPr>
          </w:p>
        </w:tc>
        <w:tc>
          <w:tcPr>
            <w:tcW w:w="1784" w:type="dxa"/>
            <w:gridSpan w:val="3"/>
            <w:vAlign w:val="center"/>
          </w:tcPr>
          <w:p>
            <w:pPr>
              <w:spacing w:line="440" w:lineRule="exact"/>
              <w:rPr>
                <w:rFonts w:asciiTheme="minorEastAsia" w:hAnsiTheme="minorEastAsia"/>
                <w:sz w:val="22"/>
              </w:rPr>
            </w:pPr>
            <w:r>
              <w:rPr>
                <w:rFonts w:hint="eastAsia" w:asciiTheme="minorEastAsia" w:hAnsiTheme="minorEastAsia"/>
                <w:sz w:val="22"/>
              </w:rPr>
              <w:t>学历</w:t>
            </w:r>
          </w:p>
        </w:tc>
        <w:tc>
          <w:tcPr>
            <w:tcW w:w="2135" w:type="dxa"/>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职  称</w:t>
            </w:r>
          </w:p>
        </w:tc>
        <w:tc>
          <w:tcPr>
            <w:tcW w:w="1079" w:type="dxa"/>
            <w:gridSpan w:val="2"/>
            <w:vAlign w:val="center"/>
          </w:tcPr>
          <w:p>
            <w:pPr>
              <w:spacing w:line="440" w:lineRule="exact"/>
              <w:rPr>
                <w:rFonts w:asciiTheme="minorEastAsia" w:hAnsiTheme="minorEastAsia"/>
                <w:sz w:val="22"/>
              </w:rPr>
            </w:pPr>
          </w:p>
        </w:tc>
        <w:tc>
          <w:tcPr>
            <w:tcW w:w="927" w:type="dxa"/>
            <w:vAlign w:val="center"/>
          </w:tcPr>
          <w:p>
            <w:pPr>
              <w:spacing w:line="440" w:lineRule="exact"/>
              <w:rPr>
                <w:rFonts w:asciiTheme="minorEastAsia" w:hAnsiTheme="minorEastAsia"/>
                <w:sz w:val="22"/>
              </w:rPr>
            </w:pPr>
            <w:r>
              <w:rPr>
                <w:rFonts w:hint="eastAsia" w:asciiTheme="minorEastAsia" w:hAnsiTheme="minorEastAsia"/>
                <w:sz w:val="22"/>
              </w:rPr>
              <w:t>职 务</w:t>
            </w:r>
          </w:p>
        </w:tc>
        <w:tc>
          <w:tcPr>
            <w:tcW w:w="1065" w:type="dxa"/>
            <w:vAlign w:val="center"/>
          </w:tcPr>
          <w:p>
            <w:pPr>
              <w:spacing w:line="440" w:lineRule="exact"/>
              <w:rPr>
                <w:rFonts w:asciiTheme="minorEastAsia" w:hAnsiTheme="minorEastAsia"/>
                <w:sz w:val="22"/>
              </w:rPr>
            </w:pPr>
          </w:p>
        </w:tc>
        <w:tc>
          <w:tcPr>
            <w:tcW w:w="1784" w:type="dxa"/>
            <w:gridSpan w:val="3"/>
            <w:vAlign w:val="center"/>
          </w:tcPr>
          <w:p>
            <w:pPr>
              <w:spacing w:line="440" w:lineRule="exact"/>
              <w:rPr>
                <w:rFonts w:asciiTheme="minorEastAsia" w:hAnsiTheme="minorEastAsia"/>
                <w:sz w:val="22"/>
              </w:rPr>
            </w:pPr>
            <w:r>
              <w:rPr>
                <w:rFonts w:hint="eastAsia" w:asciiTheme="minorEastAsia" w:hAnsiTheme="minorEastAsia"/>
                <w:sz w:val="22"/>
              </w:rPr>
              <w:t>拟在本合同任职</w:t>
            </w:r>
          </w:p>
        </w:tc>
        <w:tc>
          <w:tcPr>
            <w:tcW w:w="2135" w:type="dxa"/>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毕业学校</w:t>
            </w:r>
          </w:p>
        </w:tc>
        <w:tc>
          <w:tcPr>
            <w:tcW w:w="6990" w:type="dxa"/>
            <w:gridSpan w:val="8"/>
          </w:tcPr>
          <w:p>
            <w:pPr>
              <w:spacing w:line="440" w:lineRule="exact"/>
              <w:rPr>
                <w:rFonts w:asciiTheme="minorEastAsia" w:hAnsiTheme="minorEastAsia"/>
                <w:sz w:val="22"/>
              </w:rPr>
            </w:pPr>
            <w:r>
              <w:rPr>
                <w:rFonts w:hint="eastAsia" w:asciiTheme="minorEastAsia" w:hAnsiTheme="minorEastAsia"/>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Theme="minorEastAsia" w:hAnsiTheme="minorEastAsia"/>
                <w:sz w:val="22"/>
              </w:rPr>
            </w:pPr>
            <w:r>
              <w:rPr>
                <w:rFonts w:hint="eastAsia" w:asciiTheme="minorEastAsia" w:hAnsiTheme="minorEastAsia"/>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Theme="minorEastAsia" w:hAnsiTheme="minorEastAsia"/>
                <w:sz w:val="22"/>
              </w:rPr>
            </w:pPr>
            <w:r>
              <w:rPr>
                <w:rFonts w:hint="eastAsia" w:asciiTheme="minorEastAsia" w:hAnsiTheme="minorEastAsia"/>
                <w:sz w:val="22"/>
              </w:rPr>
              <w:t>时  间</w:t>
            </w:r>
          </w:p>
        </w:tc>
        <w:tc>
          <w:tcPr>
            <w:tcW w:w="3074" w:type="dxa"/>
            <w:gridSpan w:val="4"/>
            <w:vAlign w:val="center"/>
          </w:tcPr>
          <w:p>
            <w:pPr>
              <w:spacing w:line="440" w:lineRule="exact"/>
              <w:rPr>
                <w:rFonts w:asciiTheme="minorEastAsia" w:hAnsiTheme="minorEastAsia"/>
                <w:sz w:val="22"/>
              </w:rPr>
            </w:pPr>
            <w:r>
              <w:rPr>
                <w:rFonts w:hint="eastAsia" w:asciiTheme="minorEastAsia" w:hAnsiTheme="minorEastAsia"/>
                <w:sz w:val="22"/>
              </w:rPr>
              <w:t>参加过的类似项目</w:t>
            </w:r>
          </w:p>
        </w:tc>
        <w:tc>
          <w:tcPr>
            <w:tcW w:w="1261" w:type="dxa"/>
            <w:vAlign w:val="center"/>
          </w:tcPr>
          <w:p>
            <w:pPr>
              <w:spacing w:line="440" w:lineRule="exact"/>
              <w:rPr>
                <w:rFonts w:asciiTheme="minorEastAsia" w:hAnsiTheme="minorEastAsia"/>
                <w:sz w:val="22"/>
              </w:rPr>
            </w:pPr>
            <w:r>
              <w:rPr>
                <w:rFonts w:hint="eastAsia" w:asciiTheme="minorEastAsia" w:hAnsiTheme="minorEastAsia"/>
                <w:sz w:val="22"/>
              </w:rPr>
              <w:t>担任职务</w:t>
            </w:r>
          </w:p>
        </w:tc>
        <w:tc>
          <w:tcPr>
            <w:tcW w:w="2296" w:type="dxa"/>
            <w:gridSpan w:val="2"/>
            <w:vAlign w:val="center"/>
          </w:tcPr>
          <w:p>
            <w:pPr>
              <w:spacing w:line="440" w:lineRule="exact"/>
              <w:rPr>
                <w:rFonts w:asciiTheme="minorEastAsia" w:hAnsiTheme="minorEastAsia"/>
                <w:sz w:val="22"/>
              </w:rPr>
            </w:pPr>
            <w:r>
              <w:rPr>
                <w:rFonts w:hint="eastAsia" w:asciiTheme="minorEastAsia" w:hAnsiTheme="minorEastAsia"/>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eastAsia="宋体"/>
        </w:rPr>
        <w:br w:type="page"/>
      </w:r>
      <w:bookmarkStart w:id="147" w:name="_Toc245036711"/>
      <w:bookmarkStart w:id="148" w:name="_Toc7025"/>
      <w:r>
        <w:rPr>
          <w:rFonts w:hint="eastAsia" w:ascii="Calibri" w:hAnsi="Calibri" w:eastAsia="黑体" w:cs="Calibri"/>
          <w:color w:val="000000"/>
          <w:sz w:val="32"/>
          <w:szCs w:val="32"/>
        </w:rPr>
        <w:t>七、资格审查资料</w:t>
      </w:r>
      <w:bookmarkEnd w:id="147"/>
      <w:bookmarkEnd w:id="148"/>
    </w:p>
    <w:p>
      <w:pPr>
        <w:topLinePunct/>
        <w:spacing w:line="440" w:lineRule="exact"/>
        <w:jc w:val="center"/>
        <w:rPr>
          <w:rFonts w:ascii="宋体" w:hAnsi="宋体"/>
          <w:sz w:val="27"/>
          <w:szCs w:val="27"/>
        </w:rPr>
      </w:pPr>
    </w:p>
    <w:p>
      <w:pPr>
        <w:pStyle w:val="155"/>
        <w:rPr>
          <w:rFonts w:ascii="宋体" w:hAnsi="宋体" w:eastAsia="宋体"/>
          <w:szCs w:val="23"/>
        </w:rPr>
      </w:pPr>
      <w:bookmarkStart w:id="149" w:name="_Toc17487"/>
      <w:bookmarkStart w:id="150" w:name="_Toc152045808"/>
      <w:bookmarkStart w:id="151" w:name="_Toc144974876"/>
      <w:bookmarkStart w:id="152" w:name="_Toc152042597"/>
      <w:bookmarkStart w:id="153" w:name="_Toc245036712"/>
      <w:r>
        <w:rPr>
          <w:rFonts w:hint="eastAsia" w:ascii="宋体" w:hAnsi="宋体" w:eastAsia="宋体"/>
          <w:szCs w:val="23"/>
        </w:rPr>
        <w:t>（一）投标人基本情况表</w:t>
      </w:r>
      <w:bookmarkEnd w:id="149"/>
      <w:bookmarkEnd w:id="150"/>
      <w:bookmarkEnd w:id="151"/>
      <w:bookmarkEnd w:id="152"/>
      <w:bookmarkEnd w:id="153"/>
    </w:p>
    <w:p>
      <w:pPr>
        <w:topLinePunct/>
        <w:spacing w:line="440" w:lineRule="exact"/>
        <w:jc w:val="center"/>
        <w:rPr>
          <w:rFonts w:ascii="宋体" w:hAns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Theme="minorEastAsia" w:hAnsiTheme="minorEastAsia"/>
                <w:sz w:val="22"/>
              </w:rPr>
            </w:pPr>
            <w:r>
              <w:rPr>
                <w:rFonts w:hint="eastAsia" w:asciiTheme="minorEastAsia" w:hAnsiTheme="minorEastAsia"/>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Theme="minorEastAsia" w:hAnsiTheme="minorEastAsia"/>
                <w:sz w:val="22"/>
              </w:rPr>
            </w:pPr>
            <w:r>
              <w:rPr>
                <w:rFonts w:hint="eastAsia" w:asciiTheme="minorEastAsia" w:hAnsiTheme="minorEastAsia"/>
                <w:sz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bl>
    <w:p>
      <w:pPr>
        <w:spacing w:line="400" w:lineRule="exact"/>
        <w:ind w:firstLine="42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55"/>
        <w:rPr>
          <w:rFonts w:ascii="宋体" w:hAnsi="宋体" w:eastAsia="宋体"/>
          <w:szCs w:val="23"/>
        </w:rPr>
      </w:pPr>
      <w:bookmarkStart w:id="154" w:name="_Toc152042598"/>
      <w:bookmarkStart w:id="155" w:name="_Toc152045809"/>
      <w:bookmarkStart w:id="156" w:name="_Toc144974877"/>
      <w:bookmarkStart w:id="157" w:name="_Toc245036713"/>
      <w:bookmarkStart w:id="158" w:name="_Toc16950"/>
      <w:r>
        <w:rPr>
          <w:rFonts w:hint="eastAsia" w:ascii="宋体" w:hAnsi="宋体" w:eastAsia="宋体"/>
        </w:rPr>
        <w:br w:type="page"/>
      </w:r>
      <w:r>
        <w:rPr>
          <w:rFonts w:hint="eastAsia" w:ascii="宋体" w:hAnsi="宋体" w:eastAsia="宋体"/>
        </w:rPr>
        <w:t>（二）近年财务状况表</w:t>
      </w:r>
      <w:bookmarkEnd w:id="154"/>
      <w:bookmarkEnd w:id="155"/>
      <w:bookmarkEnd w:id="156"/>
      <w:bookmarkEnd w:id="157"/>
      <w:bookmarkEnd w:id="158"/>
    </w:p>
    <w:p>
      <w:pPr>
        <w:spacing w:line="440" w:lineRule="exact"/>
        <w:rPr>
          <w:rFonts w:ascii="宋体" w:hAnsi="宋体"/>
          <w:sz w:val="23"/>
          <w:szCs w:val="23"/>
        </w:rPr>
      </w:pPr>
    </w:p>
    <w:p>
      <w:pPr>
        <w:pStyle w:val="155"/>
        <w:rPr>
          <w:rFonts w:ascii="宋体" w:hAnsi="宋体" w:eastAsia="宋体"/>
          <w:szCs w:val="23"/>
        </w:rPr>
      </w:pPr>
      <w:bookmarkStart w:id="159" w:name="_Toc31021"/>
      <w:bookmarkStart w:id="160" w:name="_Toc245036714"/>
      <w:bookmarkStart w:id="161" w:name="_Toc152045810"/>
      <w:bookmarkStart w:id="162" w:name="_Toc152042599"/>
      <w:bookmarkStart w:id="163" w:name="_Toc144974878"/>
      <w:r>
        <w:rPr>
          <w:rFonts w:hint="eastAsia" w:ascii="宋体" w:hAnsi="宋体" w:eastAsia="宋体"/>
          <w:szCs w:val="23"/>
        </w:rPr>
        <w:t>（三）近年完成的类似项目情况表</w:t>
      </w:r>
      <w:bookmarkEnd w:id="159"/>
      <w:bookmarkEnd w:id="160"/>
      <w:bookmarkEnd w:id="161"/>
      <w:bookmarkEnd w:id="162"/>
      <w:bookmarkEnd w:id="163"/>
    </w:p>
    <w:p>
      <w:pPr>
        <w:spacing w:line="440" w:lineRule="exact"/>
        <w:jc w:val="center"/>
        <w:rPr>
          <w:rFonts w:ascii="宋体" w:hAns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4" w:name="_Toc13233"/>
            <w:r>
              <w:rPr>
                <w:rFonts w:hint="eastAsia" w:ascii="宋体" w:hAnsi="宋体"/>
                <w:szCs w:val="21"/>
              </w:rPr>
              <w:t>项目所在地</w:t>
            </w:r>
            <w:bookmarkEnd w:id="164"/>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5" w:name="_Toc20896"/>
            <w:r>
              <w:rPr>
                <w:rFonts w:hint="eastAsia" w:ascii="宋体" w:hAnsi="宋体"/>
                <w:szCs w:val="21"/>
              </w:rPr>
              <w:t>发包人地址</w:t>
            </w:r>
            <w:bookmarkEnd w:id="165"/>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6" w:name="_Toc3155"/>
            <w:r>
              <w:rPr>
                <w:rFonts w:hint="eastAsia" w:ascii="宋体" w:hAnsi="宋体"/>
                <w:szCs w:val="21"/>
              </w:rPr>
              <w:t>承担的工作</w:t>
            </w:r>
            <w:bookmarkEnd w:id="166"/>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55"/>
        <w:rPr>
          <w:rFonts w:ascii="宋体" w:hAnsi="宋体" w:eastAsia="宋体"/>
          <w:szCs w:val="23"/>
        </w:rPr>
      </w:pPr>
      <w:bookmarkStart w:id="167" w:name="_Toc26600"/>
      <w:bookmarkStart w:id="168" w:name="_Toc144974879"/>
      <w:bookmarkStart w:id="169" w:name="_Toc245036715"/>
      <w:bookmarkStart w:id="170" w:name="_Toc152042600"/>
      <w:bookmarkStart w:id="171" w:name="_Toc152045811"/>
      <w:r>
        <w:rPr>
          <w:rFonts w:hint="eastAsia" w:ascii="宋体" w:hAnsi="宋体" w:eastAsia="宋体"/>
          <w:szCs w:val="23"/>
        </w:rPr>
        <w:br w:type="page"/>
      </w:r>
      <w:r>
        <w:rPr>
          <w:rFonts w:hint="eastAsia" w:ascii="宋体" w:hAnsi="宋体" w:eastAsia="宋体"/>
          <w:szCs w:val="23"/>
        </w:rPr>
        <w:t>（四）正在施工的和新承接的项目情况表</w:t>
      </w:r>
      <w:bookmarkEnd w:id="167"/>
      <w:bookmarkEnd w:id="168"/>
      <w:bookmarkEnd w:id="169"/>
      <w:bookmarkEnd w:id="170"/>
      <w:bookmarkEnd w:id="171"/>
    </w:p>
    <w:p>
      <w:pPr>
        <w:keepNext/>
        <w:keepLines/>
        <w:topLinePunct/>
        <w:spacing w:before="240" w:beforeLines="100" w:line="280" w:lineRule="exact"/>
        <w:outlineLvl w:val="2"/>
        <w:rPr>
          <w:rFonts w:ascii="宋体" w:hAns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72" w:name="_Toc5773"/>
            <w:bookmarkStart w:id="173" w:name="_Toc152045812"/>
            <w:bookmarkStart w:id="174" w:name="_Toc152042601"/>
            <w:bookmarkStart w:id="175" w:name="_Toc144974880"/>
            <w:bookmarkStart w:id="176" w:name="_Toc245036716"/>
            <w:r>
              <w:rPr>
                <w:rFonts w:hint="eastAsia" w:ascii="宋体" w:hAnsi="宋体"/>
                <w:szCs w:val="21"/>
              </w:rPr>
              <w:t>项目名称</w:t>
            </w:r>
            <w:bookmarkEnd w:id="172"/>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73"/>
      <w:bookmarkEnd w:id="174"/>
      <w:bookmarkEnd w:id="175"/>
      <w:bookmarkEnd w:id="176"/>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77" w:name="_Toc152042602"/>
      <w:bookmarkStart w:id="178" w:name="_Toc144974881"/>
      <w:bookmarkStart w:id="179" w:name="_Toc152045813"/>
      <w:bookmarkStart w:id="180" w:name="_Toc675"/>
      <w:bookmarkStart w:id="181" w:name="_Toc245036717"/>
      <w:r>
        <w:rPr>
          <w:rFonts w:hint="eastAsia" w:ascii="宋体" w:hAnsi="宋体" w:eastAsia="宋体"/>
        </w:rPr>
        <w:br w:type="page"/>
      </w:r>
      <w:r>
        <w:rPr>
          <w:rFonts w:hint="eastAsia" w:ascii="Calibri" w:hAnsi="Calibri" w:eastAsia="黑体" w:cs="Calibri"/>
          <w:color w:val="000000"/>
          <w:sz w:val="32"/>
          <w:szCs w:val="32"/>
        </w:rPr>
        <w:t>八、</w:t>
      </w:r>
      <w:bookmarkStart w:id="182" w:name="_Toc21221"/>
      <w:bookmarkEnd w:id="177"/>
      <w:bookmarkEnd w:id="178"/>
      <w:bookmarkEnd w:id="179"/>
      <w:bookmarkEnd w:id="180"/>
      <w:bookmarkEnd w:id="181"/>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82"/>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CS?o｡ﾀ?">
    <w:altName w:val="MS PGothic"/>
    <w:panose1 w:val="00000000000000000000"/>
    <w:charset w:val="80"/>
    <w:family w:val="modern"/>
    <w:pitch w:val="default"/>
    <w:sig w:usb0="00000000" w:usb1="00000000" w:usb2="00000010" w:usb3="00000000" w:csb0="00020000" w:csb1="00000000"/>
  </w:font>
  <w:font w:name="??Regular">
    <w:altName w:val="Segoe Print"/>
    <w:panose1 w:val="00000000000000000000"/>
    <w:charset w:val="00"/>
    <w:family w:val="auto"/>
    <w:pitch w:val="default"/>
    <w:sig w:usb0="00000000" w:usb1="00000000" w:usb2="00000000" w:usb3="00000000" w:csb0="00000000" w:csb1="00000000"/>
  </w:font>
  <w:font w:name="AMGDT">
    <w:altName w:val="Eras Light ITC"/>
    <w:panose1 w:val="02000400000000000000"/>
    <w:charset w:val="00"/>
    <w:family w:val="auto"/>
    <w:pitch w:val="default"/>
    <w:sig w:usb0="00000000" w:usb1="00000000" w:usb2="00000000" w:usb3="00000000" w:csb0="00000001" w:csb1="00000000"/>
  </w:font>
  <w:font w:name="hakuyoxingshu7000">
    <w:altName w:val="宋体"/>
    <w:panose1 w:val="02000600000000000000"/>
    <w:charset w:val="86"/>
    <w:family w:val="auto"/>
    <w:pitch w:val="default"/>
    <w:sig w:usb0="00000000" w:usb1="00000000" w:usb2="0000003F" w:usb3="00000000" w:csb0="603F00FF" w:csb1="FFFF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 w:name="Microsoft YaHei UI">
    <w:panose1 w:val="020B0503020204020204"/>
    <w:charset w:val="86"/>
    <w:family w:val="swiss"/>
    <w:pitch w:val="default"/>
    <w:sig w:usb0="80000287" w:usb1="28C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dobe 楷体 Std R">
    <w:altName w:val="宋体"/>
    <w:panose1 w:val="00000000000000000000"/>
    <w:charset w:val="86"/>
    <w:family w:val="roman"/>
    <w:pitch w:val="default"/>
    <w:sig w:usb0="00000000" w:usb1="00000000" w:usb2="00000016" w:usb3="00000000" w:csb0="00060007"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quc-icon">
    <w:altName w:val="Segoe Print"/>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Eras Light ITC">
    <w:panose1 w:val="020B0402030504020804"/>
    <w:charset w:val="00"/>
    <w:family w:val="auto"/>
    <w:pitch w:val="default"/>
    <w:sig w:usb0="00000003" w:usb1="00000000" w:usb2="00000000" w:usb3="00000000" w:csb0="20000001" w:csb1="00000000"/>
  </w:font>
  <w:font w:name="方正小标宋简体">
    <w:panose1 w:val="03000509000000000000"/>
    <w:charset w:val="86"/>
    <w:family w:val="script"/>
    <w:pitch w:val="default"/>
    <w:sig w:usb0="00000001" w:usb1="080E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Arial Narrow">
    <w:panose1 w:val="020B0606020202030204"/>
    <w:charset w:val="00"/>
    <w:family w:val="swiss"/>
    <w:pitch w:val="default"/>
    <w:sig w:usb0="00000287" w:usb1="00000800" w:usb2="00000000" w:usb3="00000000" w:csb0="2000009F" w:csb1="DFD70000"/>
  </w:font>
  <w:font w:name="Microsoft Sans Serif">
    <w:panose1 w:val="020B0604020202020204"/>
    <w:charset w:val="00"/>
    <w:family w:val="swiss"/>
    <w:pitch w:val="default"/>
    <w:sig w:usb0="E1002AFF" w:usb1="C0000002" w:usb2="00000008" w:usb3="00000000" w:csb0="200101FF" w:csb1="20280000"/>
  </w:font>
  <w:font w:name="MS Mincho">
    <w:panose1 w:val="02020609040205080304"/>
    <w:charset w:val="80"/>
    <w:family w:val="modern"/>
    <w:pitch w:val="default"/>
    <w:sig w:usb0="E00002FF" w:usb1="6AC7FDFB" w:usb2="00000012" w:usb3="00000000" w:csb0="4002009F" w:csb1="DFD70000"/>
  </w:font>
  <w:font w:name="华文楷体">
    <w:panose1 w:val="02010600040101010101"/>
    <w:charset w:val="86"/>
    <w:family w:val="auto"/>
    <w:pitch w:val="default"/>
    <w:sig w:usb0="00000287" w:usb1="080F0000" w:usb2="00000000" w:usb3="00000000" w:csb0="0004009F" w:csb1="DFD70000"/>
  </w:font>
  <w:font w:name="长城仿宋">
    <w:altName w:val="仿宋"/>
    <w:panose1 w:val="00000000000000000000"/>
    <w:charset w:val="86"/>
    <w:family w:val="auto"/>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昆仑楷体">
    <w:altName w:val="黑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MingLiU-ExtB">
    <w:panose1 w:val="02020500000000000000"/>
    <w:charset w:val="88"/>
    <w:family w:val="auto"/>
    <w:pitch w:val="default"/>
    <w:sig w:usb0="8000002F" w:usb1="02000008" w:usb2="00000000" w:usb3="00000000" w:csb0="00100001" w:csb1="00000000"/>
  </w:font>
  <w:font w:name="Monaco">
    <w:altName w:val="Segoe Print"/>
    <w:panose1 w:val="00000000000000000000"/>
    <w:charset w:val="00"/>
    <w:family w:val="auto"/>
    <w:pitch w:val="default"/>
    <w:sig w:usb0="00000000" w:usb1="00000000" w:usb2="00000000" w:usb3="00000000" w:csb0="00000000" w:csb1="00000000"/>
  </w:font>
  <w:font w:name="方正楷体简体">
    <w:altName w:val="宋体"/>
    <w:panose1 w:val="03000509000000000000"/>
    <w:charset w:val="86"/>
    <w:family w:val="script"/>
    <w:pitch w:val="default"/>
    <w:sig w:usb0="00000000" w:usb1="00000000" w:usb2="0000001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方正隶书简体">
    <w:altName w:val="宋体"/>
    <w:panose1 w:val="00000000000000000000"/>
    <w:charset w:val="86"/>
    <w:family w:val="auto"/>
    <w:pitch w:val="default"/>
    <w:sig w:usb0="00000000" w:usb1="00000000" w:usb2="00000010" w:usb3="00000000" w:csb0="00040000" w:csb1="00000000"/>
  </w:font>
  <w:font w:name="方正水柱简体">
    <w:altName w:val="宋体"/>
    <w:panose1 w:val="00000000000000000000"/>
    <w:charset w:val="86"/>
    <w:family w:val="auto"/>
    <w:pitch w:val="default"/>
    <w:sig w:usb0="00000000" w:usb1="00000000" w:usb2="00000010" w:usb3="00000000" w:csb0="00040000" w:csb1="00000000"/>
  </w:font>
  <w:font w:name="Sim Sun+ 2">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36"/>
          <w:jc w:val="center"/>
        </w:pPr>
        <w:r>
          <w:fldChar w:fldCharType="begin"/>
        </w:r>
        <w:r>
          <w:instrText xml:space="preserve"> PAGE   \* MERGEFORMAT </w:instrText>
        </w:r>
        <w:r>
          <w:fldChar w:fldCharType="separate"/>
        </w:r>
        <w:r>
          <w:rPr>
            <w:lang w:val="zh-CN"/>
          </w:rPr>
          <w:t>1</w:t>
        </w:r>
        <w:r>
          <w:fldChar w:fldCharType="end"/>
        </w:r>
      </w:p>
    </w:sdtContent>
  </w:sdt>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jc w:val="left"/>
      <w:textAlignment w:val="bottom"/>
      <w:rPr>
        <w:rFonts w:hint="eastAsia" w:ascii="宋体" w:hAnsi="宋体" w:eastAsia="宋体" w:cs="Times New Roman"/>
        <w:color w:val="000000"/>
        <w:kern w:val="0"/>
        <w:sz w:val="18"/>
        <w:szCs w:val="18"/>
        <w:u w:val="single"/>
      </w:rPr>
    </w:pPr>
    <w:r>
      <w:rPr>
        <w:rFonts w:hint="eastAsia" w:ascii="宋体" w:hAnsi="宋体" w:eastAsia="宋体" w:cs="Times New Roman"/>
        <w:color w:val="000000"/>
        <w:kern w:val="0"/>
        <w:sz w:val="18"/>
        <w:szCs w:val="18"/>
        <w:u w:val="single"/>
      </w:rPr>
      <w:t>杭州萧山国际机场飞行区</w:t>
    </w:r>
    <w:r>
      <w:rPr>
        <w:rFonts w:hint="eastAsia" w:ascii="宋体" w:hAnsi="宋体" w:eastAsia="宋体" w:cs="Times New Roman"/>
        <w:color w:val="000000"/>
        <w:kern w:val="0"/>
        <w:sz w:val="18"/>
        <w:szCs w:val="18"/>
        <w:u w:val="single"/>
        <w:lang w:val="en-US" w:eastAsia="zh-CN"/>
      </w:rPr>
      <w:t>围界防鼠网</w:t>
    </w:r>
    <w:r>
      <w:rPr>
        <w:rFonts w:hint="eastAsia" w:ascii="宋体" w:hAnsi="宋体" w:eastAsia="宋体" w:cs="Times New Roman"/>
        <w:color w:val="000000"/>
        <w:kern w:val="0"/>
        <w:sz w:val="18"/>
        <w:szCs w:val="18"/>
        <w:u w:val="single"/>
      </w:rPr>
      <w:t>项目施工招标文件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B"/>
    <w:multiLevelType w:val="multilevel"/>
    <w:tmpl w:val="0000001B"/>
    <w:lvl w:ilvl="0" w:tentative="0">
      <w:start w:val="3"/>
      <w:numFmt w:val="decimal"/>
      <w:lvlText w:val="（%1）"/>
      <w:lvlJc w:val="left"/>
      <w:pPr>
        <w:tabs>
          <w:tab w:val="left" w:pos="720"/>
        </w:tabs>
        <w:ind w:left="720" w:hanging="720"/>
      </w:pPr>
      <w:rPr>
        <w:rFonts w:hint="default"/>
      </w:rPr>
    </w:lvl>
    <w:lvl w:ilvl="1" w:tentative="0">
      <w:start w:val="1"/>
      <w:numFmt w:val="decimal"/>
      <w:lvlText w:val="%2、"/>
      <w:lvlJc w:val="left"/>
      <w:pPr>
        <w:tabs>
          <w:tab w:val="left" w:pos="900"/>
        </w:tabs>
        <w:ind w:left="900" w:hanging="360"/>
      </w:pPr>
      <w:rPr>
        <w:rFonts w:hint="default"/>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5">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45"/>
      <w:lvlText w:val=""/>
      <w:lvlJc w:val="left"/>
      <w:pPr>
        <w:tabs>
          <w:tab w:val="left" w:pos="3780"/>
        </w:tabs>
        <w:ind w:left="3780" w:hanging="420"/>
      </w:pPr>
      <w:rPr>
        <w:rFonts w:hint="default" w:ascii="Wingdings" w:hAnsi="Wingdings"/>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264DC"/>
    <w:rsid w:val="00007E3B"/>
    <w:rsid w:val="00042396"/>
    <w:rsid w:val="00061593"/>
    <w:rsid w:val="000B7FE4"/>
    <w:rsid w:val="002A2036"/>
    <w:rsid w:val="0031689E"/>
    <w:rsid w:val="004E52E4"/>
    <w:rsid w:val="0064505F"/>
    <w:rsid w:val="008264DC"/>
    <w:rsid w:val="00926029"/>
    <w:rsid w:val="00970EAD"/>
    <w:rsid w:val="00AE1B8E"/>
    <w:rsid w:val="00C46845"/>
    <w:rsid w:val="00E44A50"/>
    <w:rsid w:val="044E2F8D"/>
    <w:rsid w:val="11B76A53"/>
    <w:rsid w:val="1DBF1F4A"/>
    <w:rsid w:val="28D131F4"/>
    <w:rsid w:val="3B78360B"/>
    <w:rsid w:val="40AF308C"/>
    <w:rsid w:val="44112DD0"/>
    <w:rsid w:val="70294590"/>
    <w:rsid w:val="7CA1308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95"/>
    <w:semiHidden/>
    <w:qFormat/>
    <w:uiPriority w:val="0"/>
    <w:rPr>
      <w:rFonts w:ascii="Times New Roman" w:hAnsi="Times New Roman" w:eastAsia="宋体" w:cs="Times New Roman"/>
      <w:b/>
      <w:bCs/>
      <w:kern w:val="0"/>
      <w:sz w:val="20"/>
      <w:szCs w:val="22"/>
    </w:rPr>
  </w:style>
  <w:style w:type="paragraph" w:styleId="13">
    <w:name w:val="annotation text"/>
    <w:basedOn w:val="1"/>
    <w:link w:val="106"/>
    <w:unhideWhenUsed/>
    <w:qFormat/>
    <w:uiPriority w:val="0"/>
    <w:pPr>
      <w:jc w:val="left"/>
    </w:pPr>
    <w:rPr>
      <w:sz w:val="24"/>
      <w:szCs w:val="24"/>
    </w:r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90"/>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110"/>
    <w:unhideWhenUsed/>
    <w:qFormat/>
    <w:uiPriority w:val="0"/>
    <w:pPr>
      <w:spacing w:after="120"/>
    </w:pPr>
    <w:rPr>
      <w:sz w:val="24"/>
      <w:szCs w:val="24"/>
    </w:rPr>
  </w:style>
  <w:style w:type="paragraph" w:styleId="17">
    <w:name w:val="table of authorities"/>
    <w:basedOn w:val="1"/>
    <w:next w:val="1"/>
    <w:qFormat/>
    <w:uiPriority w:val="0"/>
    <w:pPr>
      <w:ind w:left="420" w:leftChars="200"/>
    </w:pPr>
    <w:rPr>
      <w:rFonts w:ascii="Times New Roman" w:hAnsi="Times New Roman" w:eastAsia="宋体" w:cs="Times New Roman"/>
      <w:szCs w:val="24"/>
    </w:rPr>
  </w:style>
  <w:style w:type="paragraph" w:styleId="18">
    <w:name w:val="Normal Indent"/>
    <w:basedOn w:val="1"/>
    <w:qFormat/>
    <w:uiPriority w:val="0"/>
    <w:pPr>
      <w:ind w:firstLine="420"/>
    </w:pPr>
    <w:rPr>
      <w:rFonts w:ascii="Times New Roman" w:hAnsi="Times New Roman" w:eastAsia="宋体" w:cs="Times New Roman"/>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numPr>
        <w:ilvl w:val="0"/>
        <w:numId w:val="2"/>
      </w:numPr>
    </w:pPr>
    <w:rPr>
      <w:rFonts w:ascii="Times New Roman" w:hAnsi="Times New Roman" w:eastAsia="宋体" w:cs="Times New Roman"/>
      <w:szCs w:val="24"/>
    </w:rPr>
  </w:style>
  <w:style w:type="paragraph" w:styleId="22">
    <w:name w:val="Document Map"/>
    <w:basedOn w:val="1"/>
    <w:link w:val="71"/>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83"/>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9"/>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qFormat/>
    <w:uiPriority w:val="0"/>
    <w:pPr>
      <w:spacing w:after="120"/>
      <w:ind w:left="420" w:leftChars="200"/>
    </w:pPr>
    <w:rPr>
      <w:rFonts w:ascii="Times New Roman" w:hAnsi="Times New Roman" w:eastAsia="宋体" w:cs="Times New Roman"/>
      <w:szCs w:val="24"/>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qFormat/>
    <w:uiPriority w:val="0"/>
    <w:pPr>
      <w:numPr>
        <w:ilvl w:val="0"/>
        <w:numId w:val="3"/>
      </w:numPr>
    </w:pPr>
    <w:rPr>
      <w:rFonts w:ascii="Times New Roman" w:hAnsi="Times New Roman" w:eastAsia="宋体" w:cs="Times New Roman"/>
      <w:szCs w:val="24"/>
    </w:r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4"/>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68"/>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94"/>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69"/>
    <w:semiHidden/>
    <w:uiPriority w:val="0"/>
    <w:rPr>
      <w:rFonts w:ascii="Times New Roman" w:hAnsi="Times New Roman" w:eastAsia="宋体" w:cs="Times New Roman"/>
      <w:kern w:val="0"/>
      <w:sz w:val="18"/>
      <w:szCs w:val="18"/>
    </w:rPr>
  </w:style>
  <w:style w:type="paragraph" w:styleId="36">
    <w:name w:val="footer"/>
    <w:basedOn w:val="1"/>
    <w:link w:val="87"/>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8"/>
    <w:qFormat/>
    <w:uiPriority w:val="0"/>
    <w:pPr>
      <w:spacing w:after="120"/>
      <w:ind w:left="420" w:leftChars="200" w:firstLine="420"/>
    </w:pPr>
    <w:rPr>
      <w:szCs w:val="22"/>
    </w:rPr>
  </w:style>
  <w:style w:type="paragraph" w:styleId="38">
    <w:name w:val="header"/>
    <w:basedOn w:val="1"/>
    <w:link w:val="86"/>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Cs w:val="24"/>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Cs w:val="24"/>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9"/>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70"/>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qFormat/>
    <w:uiPriority w:val="0"/>
    <w:pPr>
      <w:spacing w:after="120"/>
      <w:ind w:left="840" w:leftChars="400"/>
    </w:pPr>
    <w:rPr>
      <w:rFonts w:ascii="Times New Roman" w:hAnsi="Times New Roman" w:eastAsia="宋体" w:cs="Times New Roman"/>
      <w:szCs w:val="24"/>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96"/>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character" w:styleId="57">
    <w:name w:val="annotation reference"/>
    <w:semiHidden/>
    <w:qFormat/>
    <w:uiPriority w:val="0"/>
    <w:rPr>
      <w:sz w:val="21"/>
      <w:szCs w:val="21"/>
    </w:rPr>
  </w:style>
  <w:style w:type="character" w:customStyle="1" w:styleId="59">
    <w:name w:val="标题 1 字符"/>
    <w:basedOn w:val="52"/>
    <w:link w:val="2"/>
    <w:qFormat/>
    <w:uiPriority w:val="0"/>
    <w:rPr>
      <w:rFonts w:ascii="Times New Roman" w:hAnsi="Times New Roman" w:eastAsia="宋体" w:cs="Times New Roman"/>
      <w:b/>
      <w:bCs/>
      <w:kern w:val="44"/>
      <w:sz w:val="30"/>
      <w:szCs w:val="44"/>
    </w:rPr>
  </w:style>
  <w:style w:type="character" w:customStyle="1" w:styleId="60">
    <w:name w:val="标题 2 字符"/>
    <w:basedOn w:val="52"/>
    <w:link w:val="3"/>
    <w:qFormat/>
    <w:uiPriority w:val="0"/>
    <w:rPr>
      <w:rFonts w:ascii="Arial" w:hAnsi="Arial" w:eastAsia="宋体" w:cs="Times New Roman"/>
      <w:b/>
      <w:bCs/>
      <w:kern w:val="0"/>
      <w:sz w:val="28"/>
      <w:szCs w:val="32"/>
    </w:rPr>
  </w:style>
  <w:style w:type="character" w:customStyle="1" w:styleId="61">
    <w:name w:val="标题 3 字符"/>
    <w:basedOn w:val="52"/>
    <w:link w:val="4"/>
    <w:qFormat/>
    <w:uiPriority w:val="0"/>
    <w:rPr>
      <w:rFonts w:ascii="宋体" w:hAnsi="Times New Roman" w:eastAsia="宋体" w:cs="Times New Roman"/>
      <w:b/>
      <w:kern w:val="0"/>
      <w:sz w:val="28"/>
      <w:szCs w:val="20"/>
    </w:rPr>
  </w:style>
  <w:style w:type="character" w:customStyle="1" w:styleId="62">
    <w:name w:val="标题 4 字符"/>
    <w:basedOn w:val="52"/>
    <w:link w:val="5"/>
    <w:qFormat/>
    <w:uiPriority w:val="0"/>
    <w:rPr>
      <w:rFonts w:ascii="Arial" w:hAnsi="Arial" w:eastAsia="黑体" w:cs="Times New Roman"/>
      <w:b/>
      <w:bCs/>
      <w:kern w:val="0"/>
      <w:sz w:val="28"/>
      <w:szCs w:val="28"/>
    </w:rPr>
  </w:style>
  <w:style w:type="character" w:customStyle="1" w:styleId="63">
    <w:name w:val="标题 5 字符"/>
    <w:basedOn w:val="52"/>
    <w:link w:val="6"/>
    <w:qFormat/>
    <w:uiPriority w:val="0"/>
    <w:rPr>
      <w:rFonts w:ascii="Times New Roman" w:hAnsi="Times New Roman" w:eastAsia="宋体" w:cs="Times New Roman"/>
      <w:b/>
      <w:bCs/>
      <w:kern w:val="0"/>
      <w:sz w:val="28"/>
      <w:szCs w:val="28"/>
    </w:rPr>
  </w:style>
  <w:style w:type="character" w:customStyle="1" w:styleId="64">
    <w:name w:val="标题 6 字符"/>
    <w:basedOn w:val="52"/>
    <w:link w:val="7"/>
    <w:qFormat/>
    <w:uiPriority w:val="0"/>
    <w:rPr>
      <w:rFonts w:ascii="Arial" w:hAnsi="Arial" w:eastAsia="黑体" w:cs="Times New Roman"/>
      <w:b/>
      <w:bCs/>
      <w:kern w:val="0"/>
      <w:sz w:val="24"/>
      <w:szCs w:val="24"/>
    </w:rPr>
  </w:style>
  <w:style w:type="character" w:customStyle="1" w:styleId="65">
    <w:name w:val="标题 7 字符"/>
    <w:basedOn w:val="52"/>
    <w:link w:val="8"/>
    <w:qFormat/>
    <w:uiPriority w:val="0"/>
    <w:rPr>
      <w:rFonts w:ascii="Times New Roman" w:hAnsi="Times New Roman" w:eastAsia="宋体" w:cs="Times New Roman"/>
      <w:b/>
      <w:bCs/>
      <w:kern w:val="0"/>
      <w:sz w:val="24"/>
      <w:szCs w:val="24"/>
    </w:rPr>
  </w:style>
  <w:style w:type="character" w:customStyle="1" w:styleId="66">
    <w:name w:val="标题 8 字符"/>
    <w:basedOn w:val="52"/>
    <w:link w:val="9"/>
    <w:qFormat/>
    <w:uiPriority w:val="0"/>
    <w:rPr>
      <w:rFonts w:ascii="Arial" w:hAnsi="Arial" w:eastAsia="黑体" w:cs="Times New Roman"/>
      <w:kern w:val="0"/>
      <w:sz w:val="24"/>
      <w:szCs w:val="24"/>
    </w:rPr>
  </w:style>
  <w:style w:type="character" w:customStyle="1" w:styleId="67">
    <w:name w:val="标题 9 字符"/>
    <w:basedOn w:val="52"/>
    <w:link w:val="10"/>
    <w:qFormat/>
    <w:uiPriority w:val="0"/>
    <w:rPr>
      <w:rFonts w:ascii="Arial" w:hAnsi="Arial" w:eastAsia="黑体" w:cs="Times New Roman"/>
      <w:kern w:val="0"/>
      <w:sz w:val="20"/>
      <w:szCs w:val="21"/>
    </w:rPr>
  </w:style>
  <w:style w:type="character" w:customStyle="1" w:styleId="68">
    <w:name w:val="日期 字符"/>
    <w:link w:val="33"/>
    <w:qFormat/>
    <w:uiPriority w:val="0"/>
    <w:rPr>
      <w:rFonts w:ascii="Times New Roman" w:hAnsi="Times New Roman" w:eastAsia="宋体" w:cs="Times New Roman"/>
      <w:kern w:val="0"/>
      <w:sz w:val="20"/>
    </w:rPr>
  </w:style>
  <w:style w:type="character" w:customStyle="1" w:styleId="69">
    <w:name w:val="批注框文本 字符"/>
    <w:link w:val="35"/>
    <w:semiHidden/>
    <w:qFormat/>
    <w:uiPriority w:val="0"/>
    <w:rPr>
      <w:rFonts w:ascii="Times New Roman" w:hAnsi="Times New Roman" w:eastAsia="宋体" w:cs="Times New Roman"/>
      <w:kern w:val="0"/>
      <w:sz w:val="18"/>
      <w:szCs w:val="18"/>
    </w:rPr>
  </w:style>
  <w:style w:type="character" w:customStyle="1" w:styleId="70">
    <w:name w:val="正文文本 2 字符"/>
    <w:link w:val="46"/>
    <w:qFormat/>
    <w:uiPriority w:val="0"/>
    <w:rPr>
      <w:rFonts w:ascii="Times New Roman" w:hAnsi="Times New Roman" w:eastAsia="宋体" w:cs="Times New Roman"/>
      <w:kern w:val="0"/>
      <w:sz w:val="20"/>
    </w:rPr>
  </w:style>
  <w:style w:type="character" w:customStyle="1" w:styleId="71">
    <w:name w:val="文档结构图 字符"/>
    <w:link w:val="22"/>
    <w:qFormat/>
    <w:uiPriority w:val="0"/>
    <w:rPr>
      <w:rFonts w:ascii="Times New Roman" w:hAnsi="Times New Roman" w:eastAsia="宋体" w:cs="Times New Roman"/>
      <w:kern w:val="0"/>
      <w:sz w:val="20"/>
      <w:shd w:val="clear" w:color="auto" w:fill="000080"/>
    </w:rPr>
  </w:style>
  <w:style w:type="character" w:customStyle="1" w:styleId="72">
    <w:name w:val="font51"/>
    <w:qFormat/>
    <w:uiPriority w:val="0"/>
    <w:rPr>
      <w:rFonts w:hint="default" w:ascii="Times New Roman" w:hAnsi="Times New Roman" w:cs="Times New Roman"/>
      <w:b/>
      <w:color w:val="000000"/>
      <w:sz w:val="24"/>
      <w:szCs w:val="24"/>
      <w:u w:val="none"/>
    </w:rPr>
  </w:style>
  <w:style w:type="character" w:customStyle="1" w:styleId="73">
    <w:name w:val="Char Char"/>
    <w:qFormat/>
    <w:uiPriority w:val="0"/>
    <w:rPr>
      <w:rFonts w:ascii="宋体" w:hAnsi="Courier New" w:eastAsia="宋体" w:cs="Courier New"/>
      <w:kern w:val="2"/>
      <w:sz w:val="21"/>
      <w:szCs w:val="21"/>
      <w:lang w:val="en-US" w:eastAsia="zh-CN" w:bidi="ar-SA"/>
    </w:rPr>
  </w:style>
  <w:style w:type="character" w:customStyle="1" w:styleId="74">
    <w:name w:val="纯文本 字符"/>
    <w:link w:val="31"/>
    <w:qFormat/>
    <w:uiPriority w:val="0"/>
    <w:rPr>
      <w:rFonts w:ascii="宋体" w:hAnsi="Courier New" w:eastAsia="宋体" w:cs="Times New Roman"/>
      <w:kern w:val="0"/>
      <w:sz w:val="20"/>
      <w:szCs w:val="21"/>
    </w:rPr>
  </w:style>
  <w:style w:type="character" w:customStyle="1" w:styleId="75">
    <w:name w:val="注释文本字符"/>
    <w:semiHidden/>
    <w:qFormat/>
    <w:uiPriority w:val="0"/>
    <w:rPr>
      <w:rFonts w:ascii="Times New Roman" w:hAnsi="Times New Roman" w:eastAsia="宋体" w:cs="Times New Roman"/>
      <w:kern w:val="0"/>
      <w:sz w:val="20"/>
      <w:szCs w:val="24"/>
    </w:rPr>
  </w:style>
  <w:style w:type="character" w:customStyle="1" w:styleId="76">
    <w:name w:val="Char Char3"/>
    <w:qFormat/>
    <w:uiPriority w:val="0"/>
    <w:rPr>
      <w:rFonts w:eastAsia="宋体"/>
      <w:kern w:val="2"/>
      <w:sz w:val="18"/>
      <w:szCs w:val="18"/>
      <w:lang w:val="en-US" w:eastAsia="zh-CN" w:bidi="ar-SA"/>
    </w:rPr>
  </w:style>
  <w:style w:type="character" w:customStyle="1" w:styleId="77">
    <w:name w:val="font61"/>
    <w:qFormat/>
    <w:uiPriority w:val="0"/>
    <w:rPr>
      <w:rFonts w:hint="default" w:ascii="Times New Roman" w:hAnsi="Times New Roman" w:cs="Times New Roman"/>
      <w:color w:val="000000"/>
      <w:sz w:val="24"/>
      <w:szCs w:val="24"/>
      <w:u w:val="none"/>
    </w:rPr>
  </w:style>
  <w:style w:type="character" w:customStyle="1" w:styleId="78">
    <w:name w:val="正文文本首行缩进 2 字符"/>
    <w:link w:val="37"/>
    <w:qFormat/>
    <w:uiPriority w:val="0"/>
    <w:rPr>
      <w:rFonts w:ascii="宋体" w:hAnsi="宋体" w:eastAsia="宋体" w:cs="Times New Roman"/>
      <w:kern w:val="0"/>
      <w:sz w:val="28"/>
    </w:rPr>
  </w:style>
  <w:style w:type="character" w:customStyle="1" w:styleId="79">
    <w:name w:val="正文文本缩进 字符"/>
    <w:link w:val="24"/>
    <w:qFormat/>
    <w:uiPriority w:val="0"/>
    <w:rPr>
      <w:rFonts w:ascii="宋体" w:hAnsi="宋体" w:eastAsia="宋体" w:cs="Times New Roman"/>
      <w:kern w:val="0"/>
      <w:sz w:val="28"/>
      <w:szCs w:val="28"/>
    </w:rPr>
  </w:style>
  <w:style w:type="character" w:customStyle="1" w:styleId="80">
    <w:name w:val="font21"/>
    <w:qFormat/>
    <w:uiPriority w:val="0"/>
    <w:rPr>
      <w:rFonts w:hint="default" w:ascii="Times New Roman" w:hAnsi="Times New Roman" w:cs="Times New Roman"/>
      <w:color w:val="000000"/>
      <w:sz w:val="24"/>
      <w:szCs w:val="24"/>
      <w:u w:val="none"/>
      <w:vertAlign w:val="superscript"/>
    </w:rPr>
  </w:style>
  <w:style w:type="character" w:customStyle="1" w:styleId="81">
    <w:name w:val="font71"/>
    <w:qFormat/>
    <w:uiPriority w:val="0"/>
    <w:rPr>
      <w:rFonts w:hint="eastAsia" w:ascii="宋体" w:hAnsi="宋体" w:eastAsia="宋体" w:cs="宋体"/>
      <w:color w:val="000000"/>
      <w:sz w:val="24"/>
      <w:szCs w:val="24"/>
      <w:u w:val="none"/>
    </w:rPr>
  </w:style>
  <w:style w:type="character" w:customStyle="1" w:styleId="82">
    <w:name w:val="zbggmain style9"/>
    <w:basedOn w:val="52"/>
    <w:qFormat/>
    <w:uiPriority w:val="0"/>
  </w:style>
  <w:style w:type="character" w:customStyle="1" w:styleId="83">
    <w:name w:val="正文文本 3 字符"/>
    <w:link w:val="23"/>
    <w:qFormat/>
    <w:uiPriority w:val="0"/>
    <w:rPr>
      <w:rFonts w:ascii="Times New Roman" w:hAnsi="Times New Roman" w:eastAsia="宋体" w:cs="Times New Roman"/>
      <w:kern w:val="0"/>
      <w:sz w:val="16"/>
      <w:szCs w:val="16"/>
    </w:rPr>
  </w:style>
  <w:style w:type="character" w:customStyle="1" w:styleId="84">
    <w:name w:val="px1233"/>
    <w:basedOn w:val="52"/>
    <w:qFormat/>
    <w:uiPriority w:val="0"/>
  </w:style>
  <w:style w:type="character" w:customStyle="1" w:styleId="85">
    <w:name w:val="font11"/>
    <w:qFormat/>
    <w:uiPriority w:val="0"/>
    <w:rPr>
      <w:rFonts w:hint="default" w:ascii="Times New Roman" w:hAnsi="Times New Roman" w:cs="Times New Roman"/>
      <w:color w:val="000000"/>
      <w:sz w:val="21"/>
      <w:szCs w:val="21"/>
      <w:u w:val="none"/>
    </w:rPr>
  </w:style>
  <w:style w:type="character" w:customStyle="1" w:styleId="86">
    <w:name w:val="页眉 字符"/>
    <w:link w:val="38"/>
    <w:qFormat/>
    <w:uiPriority w:val="0"/>
    <w:rPr>
      <w:rFonts w:ascii="Times New Roman" w:hAnsi="Times New Roman" w:eastAsia="宋体" w:cs="Times New Roman"/>
      <w:kern w:val="0"/>
      <w:sz w:val="18"/>
      <w:szCs w:val="20"/>
    </w:rPr>
  </w:style>
  <w:style w:type="character" w:customStyle="1" w:styleId="87">
    <w:name w:val="页脚 字符"/>
    <w:link w:val="36"/>
    <w:qFormat/>
    <w:uiPriority w:val="99"/>
    <w:rPr>
      <w:rFonts w:ascii="Times New Roman" w:hAnsi="Times New Roman" w:eastAsia="宋体" w:cs="Times New Roman"/>
      <w:kern w:val="0"/>
      <w:sz w:val="18"/>
      <w:szCs w:val="20"/>
    </w:rPr>
  </w:style>
  <w:style w:type="character" w:customStyle="1" w:styleId="88">
    <w:name w:val="font41"/>
    <w:qFormat/>
    <w:uiPriority w:val="0"/>
    <w:rPr>
      <w:rFonts w:hint="eastAsia" w:ascii="宋体" w:hAnsi="宋体" w:eastAsia="宋体" w:cs="宋体"/>
      <w:b/>
      <w:color w:val="000000"/>
      <w:sz w:val="24"/>
      <w:szCs w:val="24"/>
      <w:u w:val="none"/>
    </w:rPr>
  </w:style>
  <w:style w:type="character" w:customStyle="1" w:styleId="89">
    <w:name w:val="正文文本缩进 3 字符"/>
    <w:link w:val="43"/>
    <w:qFormat/>
    <w:uiPriority w:val="0"/>
    <w:rPr>
      <w:rFonts w:ascii="Times New Roman" w:hAnsi="Times New Roman" w:eastAsia="宋体" w:cs="Times New Roman"/>
      <w:kern w:val="0"/>
      <w:sz w:val="16"/>
      <w:szCs w:val="16"/>
    </w:rPr>
  </w:style>
  <w:style w:type="character" w:customStyle="1" w:styleId="90">
    <w:name w:val="正文文本首行缩进 字符"/>
    <w:basedOn w:val="91"/>
    <w:link w:val="15"/>
    <w:qFormat/>
    <w:uiPriority w:val="0"/>
    <w:rPr>
      <w:rFonts w:ascii="Times New Roman" w:hAnsi="Times New Roman" w:eastAsia="宋体" w:cs="Times New Roman"/>
      <w:kern w:val="0"/>
      <w:sz w:val="20"/>
      <w:szCs w:val="24"/>
    </w:rPr>
  </w:style>
  <w:style w:type="character" w:customStyle="1" w:styleId="91">
    <w:name w:val="正文文本字符"/>
    <w:qFormat/>
    <w:uiPriority w:val="0"/>
    <w:rPr>
      <w:rFonts w:ascii="Times New Roman" w:hAnsi="Times New Roman" w:eastAsia="宋体" w:cs="Times New Roman"/>
      <w:kern w:val="0"/>
      <w:sz w:val="20"/>
      <w:szCs w:val="24"/>
    </w:rPr>
  </w:style>
  <w:style w:type="character" w:customStyle="1" w:styleId="92">
    <w:name w:val="Char Char2"/>
    <w:qFormat/>
    <w:uiPriority w:val="0"/>
    <w:rPr>
      <w:rFonts w:eastAsia="宋体"/>
      <w:kern w:val="2"/>
      <w:sz w:val="18"/>
      <w:szCs w:val="18"/>
      <w:lang w:val="en-US" w:eastAsia="zh-CN" w:bidi="ar-SA"/>
    </w:rPr>
  </w:style>
  <w:style w:type="character" w:customStyle="1" w:styleId="93">
    <w:name w:val="font01"/>
    <w:qFormat/>
    <w:uiPriority w:val="0"/>
    <w:rPr>
      <w:rFonts w:hint="eastAsia" w:ascii="宋体" w:hAnsi="宋体" w:eastAsia="宋体" w:cs="宋体"/>
      <w:color w:val="000000"/>
      <w:sz w:val="21"/>
      <w:szCs w:val="21"/>
      <w:u w:val="none"/>
    </w:rPr>
  </w:style>
  <w:style w:type="character" w:customStyle="1" w:styleId="94">
    <w:name w:val="正文文本缩进 2 字符"/>
    <w:link w:val="34"/>
    <w:qFormat/>
    <w:uiPriority w:val="0"/>
    <w:rPr>
      <w:rFonts w:ascii="Times New Roman" w:hAnsi="Times New Roman" w:eastAsia="宋体" w:cs="Times New Roman"/>
      <w:kern w:val="0"/>
      <w:sz w:val="20"/>
    </w:rPr>
  </w:style>
  <w:style w:type="character" w:customStyle="1" w:styleId="95">
    <w:name w:val="批注主题 字符"/>
    <w:link w:val="12"/>
    <w:semiHidden/>
    <w:qFormat/>
    <w:uiPriority w:val="0"/>
    <w:rPr>
      <w:rFonts w:ascii="Times New Roman" w:hAnsi="Times New Roman" w:eastAsia="宋体" w:cs="Times New Roman"/>
      <w:b/>
      <w:bCs/>
      <w:kern w:val="0"/>
      <w:sz w:val="20"/>
    </w:rPr>
  </w:style>
  <w:style w:type="character" w:customStyle="1" w:styleId="96">
    <w:name w:val="标题 字符"/>
    <w:link w:val="51"/>
    <w:qFormat/>
    <w:uiPriority w:val="0"/>
    <w:rPr>
      <w:rFonts w:ascii="Cambria" w:hAnsi="Cambria" w:eastAsia="黑体" w:cs="Times New Roman"/>
      <w:b/>
      <w:bCs/>
      <w:kern w:val="0"/>
      <w:sz w:val="32"/>
      <w:szCs w:val="32"/>
    </w:rPr>
  </w:style>
  <w:style w:type="paragraph" w:customStyle="1" w:styleId="97">
    <w:name w:val="样式1"/>
    <w:basedOn w:val="5"/>
    <w:qFormat/>
    <w:uiPriority w:val="0"/>
    <w:pPr>
      <w:tabs>
        <w:tab w:val="left" w:pos="864"/>
      </w:tabs>
      <w:spacing w:before="120" w:after="120" w:line="360" w:lineRule="auto"/>
      <w:ind w:left="864" w:hanging="864"/>
    </w:pPr>
    <w:rPr>
      <w:b w:val="0"/>
      <w:bCs w:val="0"/>
    </w:rPr>
  </w:style>
  <w:style w:type="paragraph" w:customStyle="1" w:styleId="98">
    <w:name w:val="Char Char Char1 Char Char Char Char"/>
    <w:basedOn w:val="1"/>
    <w:qFormat/>
    <w:uiPriority w:val="0"/>
    <w:rPr>
      <w:rFonts w:ascii="Times New Roman" w:hAnsi="Times New Roman" w:eastAsia="宋体" w:cs="Times New Roman"/>
      <w:szCs w:val="24"/>
    </w:rPr>
  </w:style>
  <w:style w:type="paragraph" w:customStyle="1" w:styleId="99">
    <w:name w:val="Char Char Char Char Char Char"/>
    <w:basedOn w:val="1"/>
    <w:qFormat/>
    <w:uiPriority w:val="0"/>
    <w:rPr>
      <w:rFonts w:ascii="Times New Roman" w:hAnsi="Times New Roman" w:eastAsia="宋体" w:cs="Times New Roman"/>
      <w:szCs w:val="24"/>
    </w:rPr>
  </w:style>
  <w:style w:type="character" w:customStyle="1" w:styleId="100">
    <w:name w:val="批注框文本 Char1"/>
    <w:basedOn w:val="52"/>
    <w:semiHidden/>
    <w:qFormat/>
    <w:uiPriority w:val="99"/>
    <w:rPr>
      <w:sz w:val="18"/>
      <w:szCs w:val="18"/>
    </w:rPr>
  </w:style>
  <w:style w:type="character" w:customStyle="1" w:styleId="101">
    <w:name w:val="批注框文本字符1"/>
    <w:basedOn w:val="52"/>
    <w:semiHidden/>
    <w:qFormat/>
    <w:uiPriority w:val="99"/>
    <w:rPr>
      <w:rFonts w:ascii="Heiti SC Light" w:eastAsia="Heiti SC Light"/>
      <w:sz w:val="18"/>
      <w:szCs w:val="18"/>
    </w:rPr>
  </w:style>
  <w:style w:type="character" w:customStyle="1" w:styleId="102">
    <w:name w:val="日期 Char1"/>
    <w:basedOn w:val="52"/>
    <w:semiHidden/>
    <w:qFormat/>
    <w:uiPriority w:val="99"/>
  </w:style>
  <w:style w:type="character" w:customStyle="1" w:styleId="103">
    <w:name w:val="日期字符1"/>
    <w:basedOn w:val="52"/>
    <w:semiHidden/>
    <w:qFormat/>
    <w:uiPriority w:val="99"/>
  </w:style>
  <w:style w:type="character" w:customStyle="1" w:styleId="104">
    <w:name w:val="纯文本 Char1"/>
    <w:basedOn w:val="52"/>
    <w:semiHidden/>
    <w:qFormat/>
    <w:uiPriority w:val="99"/>
    <w:rPr>
      <w:rFonts w:ascii="宋体" w:hAnsi="Courier New" w:eastAsia="宋体" w:cs="Courier New"/>
      <w:szCs w:val="21"/>
    </w:rPr>
  </w:style>
  <w:style w:type="character" w:customStyle="1" w:styleId="105">
    <w:name w:val="纯文本字符1"/>
    <w:basedOn w:val="52"/>
    <w:semiHidden/>
    <w:qFormat/>
    <w:uiPriority w:val="99"/>
    <w:rPr>
      <w:rFonts w:ascii="宋体" w:hAnsi="Courier" w:eastAsia="宋体"/>
    </w:rPr>
  </w:style>
  <w:style w:type="character" w:customStyle="1" w:styleId="106">
    <w:name w:val="批注文字 字符"/>
    <w:basedOn w:val="52"/>
    <w:link w:val="13"/>
    <w:semiHidden/>
    <w:qFormat/>
    <w:uiPriority w:val="0"/>
    <w:rPr>
      <w:sz w:val="24"/>
      <w:szCs w:val="24"/>
    </w:rPr>
  </w:style>
  <w:style w:type="character" w:customStyle="1" w:styleId="107">
    <w:name w:val="批注主题 Char1"/>
    <w:basedOn w:val="106"/>
    <w:semiHidden/>
    <w:qFormat/>
    <w:uiPriority w:val="99"/>
    <w:rPr>
      <w:b/>
      <w:bCs/>
      <w:sz w:val="24"/>
      <w:szCs w:val="24"/>
    </w:rPr>
  </w:style>
  <w:style w:type="character" w:customStyle="1" w:styleId="108">
    <w:name w:val="批注主题字符1"/>
    <w:basedOn w:val="106"/>
    <w:semiHidden/>
    <w:qFormat/>
    <w:uiPriority w:val="99"/>
    <w:rPr>
      <w:b/>
      <w:bCs/>
      <w:sz w:val="24"/>
      <w:szCs w:val="24"/>
    </w:rPr>
  </w:style>
  <w:style w:type="paragraph" w:customStyle="1" w:styleId="109">
    <w:name w:val="Char Char Char Char"/>
    <w:basedOn w:val="1"/>
    <w:qFormat/>
    <w:uiPriority w:val="0"/>
    <w:rPr>
      <w:rFonts w:ascii="Times New Roman" w:hAnsi="Times New Roman" w:eastAsia="宋体" w:cs="Times New Roman"/>
      <w:szCs w:val="24"/>
    </w:rPr>
  </w:style>
  <w:style w:type="character" w:customStyle="1" w:styleId="110">
    <w:name w:val="正文文本 字符"/>
    <w:basedOn w:val="52"/>
    <w:link w:val="16"/>
    <w:qFormat/>
    <w:uiPriority w:val="0"/>
    <w:rPr>
      <w:sz w:val="24"/>
      <w:szCs w:val="24"/>
    </w:rPr>
  </w:style>
  <w:style w:type="character" w:customStyle="1" w:styleId="111">
    <w:name w:val="正文首行缩进 Char1"/>
    <w:basedOn w:val="110"/>
    <w:semiHidden/>
    <w:qFormat/>
    <w:uiPriority w:val="99"/>
    <w:rPr>
      <w:sz w:val="24"/>
      <w:szCs w:val="24"/>
    </w:rPr>
  </w:style>
  <w:style w:type="character" w:customStyle="1" w:styleId="112">
    <w:name w:val="正文首行缩进字符1"/>
    <w:basedOn w:val="110"/>
    <w:semiHidden/>
    <w:qFormat/>
    <w:uiPriority w:val="99"/>
    <w:rPr>
      <w:sz w:val="24"/>
      <w:szCs w:val="24"/>
    </w:rPr>
  </w:style>
  <w:style w:type="character" w:customStyle="1" w:styleId="113">
    <w:name w:val="正文文本缩进 3 Char1"/>
    <w:basedOn w:val="52"/>
    <w:semiHidden/>
    <w:qFormat/>
    <w:uiPriority w:val="99"/>
    <w:rPr>
      <w:sz w:val="16"/>
      <w:szCs w:val="16"/>
    </w:rPr>
  </w:style>
  <w:style w:type="character" w:customStyle="1" w:styleId="114">
    <w:name w:val="正文文本缩进 3字符1"/>
    <w:basedOn w:val="52"/>
    <w:semiHidden/>
    <w:qFormat/>
    <w:uiPriority w:val="99"/>
    <w:rPr>
      <w:sz w:val="16"/>
      <w:szCs w:val="16"/>
    </w:rPr>
  </w:style>
  <w:style w:type="paragraph" w:customStyle="1" w:styleId="115">
    <w:name w:val="p0"/>
    <w:basedOn w:val="1"/>
    <w:qFormat/>
    <w:uiPriority w:val="0"/>
    <w:pPr>
      <w:widowControl/>
    </w:pPr>
    <w:rPr>
      <w:rFonts w:ascii="Times New Roman" w:hAnsi="Times New Roman" w:eastAsia="宋体" w:cs="Times New Roman"/>
      <w:kern w:val="0"/>
      <w:szCs w:val="21"/>
    </w:rPr>
  </w:style>
  <w:style w:type="character" w:customStyle="1" w:styleId="116">
    <w:name w:val="文档结构图 Char1"/>
    <w:basedOn w:val="52"/>
    <w:semiHidden/>
    <w:qFormat/>
    <w:uiPriority w:val="99"/>
    <w:rPr>
      <w:rFonts w:ascii="宋体" w:eastAsia="宋体"/>
      <w:sz w:val="18"/>
      <w:szCs w:val="18"/>
    </w:rPr>
  </w:style>
  <w:style w:type="character" w:customStyle="1" w:styleId="117">
    <w:name w:val="文档结构图 字符1"/>
    <w:basedOn w:val="52"/>
    <w:semiHidden/>
    <w:qFormat/>
    <w:uiPriority w:val="99"/>
    <w:rPr>
      <w:rFonts w:ascii="Heiti SC Light" w:eastAsia="Heiti SC Light"/>
    </w:rPr>
  </w:style>
  <w:style w:type="character" w:customStyle="1" w:styleId="118">
    <w:name w:val="正文文本 3 Char1"/>
    <w:basedOn w:val="52"/>
    <w:semiHidden/>
    <w:qFormat/>
    <w:uiPriority w:val="99"/>
    <w:rPr>
      <w:sz w:val="16"/>
      <w:szCs w:val="16"/>
    </w:rPr>
  </w:style>
  <w:style w:type="character" w:customStyle="1" w:styleId="119">
    <w:name w:val="正文文本 3字符1"/>
    <w:basedOn w:val="52"/>
    <w:semiHidden/>
    <w:qFormat/>
    <w:uiPriority w:val="99"/>
    <w:rPr>
      <w:sz w:val="16"/>
      <w:szCs w:val="16"/>
    </w:rPr>
  </w:style>
  <w:style w:type="character" w:customStyle="1" w:styleId="120">
    <w:name w:val="正文文本缩进 Char1"/>
    <w:basedOn w:val="52"/>
    <w:semiHidden/>
    <w:qFormat/>
    <w:uiPriority w:val="99"/>
  </w:style>
  <w:style w:type="character" w:customStyle="1" w:styleId="121">
    <w:name w:val="正文文本缩进字符1"/>
    <w:basedOn w:val="52"/>
    <w:semiHidden/>
    <w:qFormat/>
    <w:uiPriority w:val="99"/>
  </w:style>
  <w:style w:type="character" w:customStyle="1" w:styleId="122">
    <w:name w:val="正文文本缩进 2 Char1"/>
    <w:basedOn w:val="52"/>
    <w:semiHidden/>
    <w:qFormat/>
    <w:uiPriority w:val="99"/>
  </w:style>
  <w:style w:type="character" w:customStyle="1" w:styleId="123">
    <w:name w:val="正文文本缩进 2字符1"/>
    <w:basedOn w:val="52"/>
    <w:semiHidden/>
    <w:qFormat/>
    <w:uiPriority w:val="99"/>
  </w:style>
  <w:style w:type="paragraph" w:customStyle="1" w:styleId="124">
    <w:name w:val="Legal 3"/>
    <w:basedOn w:val="125"/>
    <w:next w:val="125"/>
    <w:qFormat/>
    <w:uiPriority w:val="0"/>
  </w:style>
  <w:style w:type="paragraph" w:customStyle="1" w:styleId="12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26">
    <w:name w:val="页脚 Char1"/>
    <w:basedOn w:val="52"/>
    <w:semiHidden/>
    <w:qFormat/>
    <w:uiPriority w:val="99"/>
    <w:rPr>
      <w:sz w:val="18"/>
      <w:szCs w:val="18"/>
    </w:rPr>
  </w:style>
  <w:style w:type="character" w:customStyle="1" w:styleId="127">
    <w:name w:val="页脚字符1"/>
    <w:basedOn w:val="52"/>
    <w:semiHidden/>
    <w:qFormat/>
    <w:uiPriority w:val="99"/>
    <w:rPr>
      <w:sz w:val="18"/>
      <w:szCs w:val="18"/>
    </w:rPr>
  </w:style>
  <w:style w:type="character" w:customStyle="1" w:styleId="128">
    <w:name w:val="正文首行缩进 2 Char1"/>
    <w:basedOn w:val="120"/>
    <w:semiHidden/>
    <w:qFormat/>
    <w:uiPriority w:val="99"/>
  </w:style>
  <w:style w:type="character" w:customStyle="1" w:styleId="129">
    <w:name w:val="正文首行缩进 2字符1"/>
    <w:basedOn w:val="121"/>
    <w:semiHidden/>
    <w:qFormat/>
    <w:uiPriority w:val="99"/>
  </w:style>
  <w:style w:type="character" w:customStyle="1" w:styleId="130">
    <w:name w:val="页眉 Char1"/>
    <w:basedOn w:val="52"/>
    <w:semiHidden/>
    <w:qFormat/>
    <w:uiPriority w:val="99"/>
    <w:rPr>
      <w:sz w:val="18"/>
      <w:szCs w:val="18"/>
    </w:rPr>
  </w:style>
  <w:style w:type="character" w:customStyle="1" w:styleId="131">
    <w:name w:val="页眉字符1"/>
    <w:basedOn w:val="52"/>
    <w:semiHidden/>
    <w:qFormat/>
    <w:uiPriority w:val="99"/>
    <w:rPr>
      <w:sz w:val="18"/>
      <w:szCs w:val="18"/>
    </w:rPr>
  </w:style>
  <w:style w:type="character" w:customStyle="1" w:styleId="132">
    <w:name w:val="正文文本 2 Char1"/>
    <w:basedOn w:val="52"/>
    <w:semiHidden/>
    <w:qFormat/>
    <w:uiPriority w:val="99"/>
  </w:style>
  <w:style w:type="character" w:customStyle="1" w:styleId="133">
    <w:name w:val="正文文本 2字符1"/>
    <w:basedOn w:val="52"/>
    <w:semiHidden/>
    <w:qFormat/>
    <w:uiPriority w:val="99"/>
  </w:style>
  <w:style w:type="character" w:customStyle="1" w:styleId="134">
    <w:name w:val="标题 Char1"/>
    <w:basedOn w:val="52"/>
    <w:qFormat/>
    <w:uiPriority w:val="10"/>
    <w:rPr>
      <w:rFonts w:eastAsia="宋体" w:asciiTheme="majorHAnsi" w:hAnsiTheme="majorHAnsi" w:cstheme="majorBidi"/>
      <w:b/>
      <w:bCs/>
      <w:sz w:val="32"/>
      <w:szCs w:val="32"/>
    </w:rPr>
  </w:style>
  <w:style w:type="character" w:customStyle="1" w:styleId="135">
    <w:name w:val="标题字符1"/>
    <w:basedOn w:val="52"/>
    <w:qFormat/>
    <w:uiPriority w:val="10"/>
    <w:rPr>
      <w:rFonts w:eastAsia="宋体" w:asciiTheme="majorHAnsi" w:hAnsiTheme="majorHAnsi" w:cstheme="majorBidi"/>
      <w:b/>
      <w:bCs/>
      <w:sz w:val="32"/>
      <w:szCs w:val="32"/>
    </w:rPr>
  </w:style>
  <w:style w:type="paragraph" w:customStyle="1" w:styleId="136">
    <w:name w:val="列出段落1"/>
    <w:basedOn w:val="1"/>
    <w:unhideWhenUsed/>
    <w:qFormat/>
    <w:uiPriority w:val="99"/>
    <w:pPr>
      <w:ind w:firstLine="420" w:firstLineChars="200"/>
    </w:pPr>
    <w:rPr>
      <w:rFonts w:ascii="Calibri" w:hAnsi="Calibri" w:eastAsia="宋体" w:cs="Times New Roman"/>
    </w:rPr>
  </w:style>
  <w:style w:type="paragraph" w:customStyle="1" w:styleId="137">
    <w:name w:val="图表标题"/>
    <w:basedOn w:val="1"/>
    <w:next w:val="16"/>
    <w:qFormat/>
    <w:uiPriority w:val="0"/>
    <w:rPr>
      <w:rFonts w:ascii="Times New Roman" w:hAnsi="Times New Roman" w:eastAsia="宋体" w:cs="Times New Roman"/>
      <w:sz w:val="30"/>
      <w:szCs w:val="20"/>
    </w:rPr>
  </w:style>
  <w:style w:type="paragraph" w:customStyle="1" w:styleId="138">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39">
    <w:name w:val="Char"/>
    <w:basedOn w:val="1"/>
    <w:qFormat/>
    <w:uiPriority w:val="0"/>
    <w:rPr>
      <w:rFonts w:ascii="仿宋_GB2312" w:hAnsi="Times New Roman" w:eastAsia="仿宋_GB2312" w:cs="Times New Roman"/>
      <w:b/>
      <w:sz w:val="32"/>
      <w:szCs w:val="32"/>
    </w:rPr>
  </w:style>
  <w:style w:type="paragraph" w:customStyle="1" w:styleId="140">
    <w:name w:val="Char4 Char Char Char"/>
    <w:basedOn w:val="22"/>
    <w:qFormat/>
    <w:uiPriority w:val="0"/>
    <w:rPr>
      <w:rFonts w:ascii="Tahoma" w:hAnsi="Tahoma"/>
      <w:sz w:val="24"/>
    </w:rPr>
  </w:style>
  <w:style w:type="paragraph" w:customStyle="1" w:styleId="141">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42">
    <w:name w:val="Char Char Char"/>
    <w:basedOn w:val="1"/>
    <w:qFormat/>
    <w:uiPriority w:val="0"/>
    <w:pPr>
      <w:ind w:firstLine="360" w:firstLineChars="150"/>
    </w:pPr>
    <w:rPr>
      <w:rFonts w:ascii="Tahoma" w:hAnsi="Tahoma" w:eastAsia="宋体" w:cs="Times New Roman"/>
      <w:sz w:val="24"/>
      <w:szCs w:val="20"/>
    </w:rPr>
  </w:style>
  <w:style w:type="paragraph" w:customStyle="1" w:styleId="143">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44">
    <w:name w:val="legal 2"/>
    <w:basedOn w:val="125"/>
    <w:next w:val="125"/>
    <w:qFormat/>
    <w:uiPriority w:val="0"/>
    <w:pPr>
      <w:spacing w:after="120"/>
    </w:pPr>
    <w:rPr>
      <w:rFonts w:cs="Times New Roman"/>
      <w:color w:val="auto"/>
    </w:rPr>
  </w:style>
  <w:style w:type="paragraph" w:customStyle="1" w:styleId="145">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46">
    <w:name w:val="Legal 5"/>
    <w:basedOn w:val="125"/>
    <w:next w:val="125"/>
    <w:qFormat/>
    <w:uiPriority w:val="0"/>
    <w:pPr>
      <w:spacing w:after="120"/>
    </w:pPr>
    <w:rPr>
      <w:rFonts w:cs="Times New Roman"/>
      <w:color w:val="auto"/>
    </w:rPr>
  </w:style>
  <w:style w:type="paragraph" w:customStyle="1" w:styleId="14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Legal 4"/>
    <w:basedOn w:val="125"/>
    <w:next w:val="125"/>
    <w:qFormat/>
    <w:uiPriority w:val="0"/>
    <w:pPr>
      <w:spacing w:after="120"/>
    </w:pPr>
    <w:rPr>
      <w:rFonts w:cs="Times New Roman"/>
      <w:color w:val="auto"/>
    </w:rPr>
  </w:style>
  <w:style w:type="paragraph" w:customStyle="1" w:styleId="149">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51">
    <w:name w:val="1"/>
    <w:basedOn w:val="1"/>
    <w:qFormat/>
    <w:uiPriority w:val="0"/>
    <w:rPr>
      <w:rFonts w:ascii="仿宋_GB2312" w:hAnsi="Times New Roman" w:eastAsia="仿宋_GB2312" w:cs="Times New Roman"/>
      <w:b/>
      <w:sz w:val="32"/>
      <w:szCs w:val="32"/>
    </w:rPr>
  </w:style>
  <w:style w:type="paragraph" w:customStyle="1" w:styleId="152">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3">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54">
    <w:name w:val="List Paragraph"/>
    <w:basedOn w:val="1"/>
    <w:qFormat/>
    <w:uiPriority w:val="34"/>
    <w:pPr>
      <w:ind w:firstLine="420" w:firstLineChars="200"/>
    </w:pPr>
    <w:rPr>
      <w:sz w:val="24"/>
      <w:szCs w:val="24"/>
    </w:rPr>
  </w:style>
  <w:style w:type="paragraph" w:customStyle="1" w:styleId="155">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56">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5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0"/>
      <w:lang w:val="en-US" w:eastAsia="zh-CN" w:bidi="ar-SA"/>
    </w:rPr>
  </w:style>
  <w:style w:type="character" w:customStyle="1" w:styleId="158">
    <w:name w:val="fontstyle01"/>
    <w:basedOn w:val="52"/>
    <w:qFormat/>
    <w:uiPriority w:val="0"/>
    <w:rPr>
      <w:rFonts w:ascii="??Regular" w:hAnsi="??Regular" w:eastAsia="??Regular" w:cs="??Regula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6353</Words>
  <Characters>36216</Characters>
  <Lines>301</Lines>
  <Paragraphs>84</Paragraphs>
  <ScaleCrop>false</ScaleCrop>
  <LinksUpToDate>false</LinksUpToDate>
  <CharactersWithSpaces>42485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2018-11-01T02:46:00Z</dcterms:created>
  <dc:creator>Anonymous</dc:creator>
  <cp:lastModifiedBy>zbzx-jsx</cp:lastModifiedBy>
  <dcterms:modified xsi:type="dcterms:W3CDTF">2019-09-09T01:53:06Z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