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杭州萧山国际机场场区高空监控工程</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招标文件</w:t>
      </w:r>
    </w:p>
    <w:p>
      <w:pPr>
        <w:widowControl/>
        <w:autoSpaceDE w:val="0"/>
        <w:autoSpaceDN w:val="0"/>
        <w:snapToGrid w:val="0"/>
        <w:spacing w:line="560" w:lineRule="exact"/>
        <w:jc w:val="center"/>
        <w:textAlignment w:val="bottom"/>
        <w:rPr>
          <w:rFonts w:ascii="宋体"/>
          <w:b/>
          <w:sz w:val="32"/>
          <w:szCs w:val="32"/>
        </w:rPr>
      </w:pPr>
    </w:p>
    <w:p>
      <w:pPr>
        <w:widowControl/>
        <w:autoSpaceDE w:val="0"/>
        <w:autoSpaceDN w:val="0"/>
        <w:snapToGrid w:val="0"/>
        <w:spacing w:line="560" w:lineRule="exact"/>
        <w:jc w:val="center"/>
        <w:textAlignment w:val="bottom"/>
        <w:rPr>
          <w:rFonts w:ascii="宋体"/>
          <w:b/>
          <w:sz w:val="32"/>
          <w:szCs w:val="32"/>
        </w:rPr>
      </w:pPr>
    </w:p>
    <w:p>
      <w:pPr>
        <w:widowControl/>
        <w:autoSpaceDE w:val="0"/>
        <w:autoSpaceDN w:val="0"/>
        <w:snapToGrid w:val="0"/>
        <w:spacing w:line="560" w:lineRule="exact"/>
        <w:textAlignment w:val="bottom"/>
        <w:rPr>
          <w:rFonts w:ascii="宋体"/>
          <w:bCs/>
          <w:sz w:val="32"/>
          <w:szCs w:val="32"/>
        </w:rPr>
      </w:pPr>
      <w:r>
        <w:rPr>
          <w:rFonts w:ascii="宋体" w:hAnsi="宋体"/>
          <w:b/>
          <w:sz w:val="32"/>
          <w:szCs w:val="32"/>
        </w:rPr>
        <w:t xml:space="preserve">                             </w:t>
      </w:r>
    </w:p>
    <w:p>
      <w:pPr>
        <w:widowControl/>
        <w:autoSpaceDE w:val="0"/>
        <w:autoSpaceDN w:val="0"/>
        <w:snapToGrid w:val="0"/>
        <w:spacing w:line="560" w:lineRule="exact"/>
        <w:textAlignment w:val="bottom"/>
        <w:rPr>
          <w:rFonts w:ascii="宋体"/>
          <w:b/>
          <w:sz w:val="32"/>
          <w:szCs w:val="32"/>
        </w:rPr>
      </w:pPr>
      <w:r>
        <w:rPr>
          <w:rFonts w:ascii="宋体" w:hAnsi="宋体"/>
          <w:bCs/>
          <w:sz w:val="32"/>
          <w:szCs w:val="32"/>
        </w:rPr>
        <w:t xml:space="preserve">                             </w:t>
      </w: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snapToGrid w:val="0"/>
        <w:jc w:val="center"/>
        <w:rPr>
          <w:rFonts w:eastAsia="黑体" w:cs="Calibri"/>
          <w:sz w:val="32"/>
          <w:szCs w:val="32"/>
        </w:rPr>
      </w:pPr>
      <w:r>
        <w:rPr>
          <w:rFonts w:hint="eastAsia" w:eastAsia="黑体" w:cs="Calibri"/>
          <w:sz w:val="32"/>
          <w:szCs w:val="32"/>
        </w:rPr>
        <w:t>杭州萧山国际机场有限公司</w:t>
      </w:r>
    </w:p>
    <w:p>
      <w:pPr>
        <w:rPr>
          <w:rFonts w:eastAsia="黑体" w:cs="Calibri"/>
          <w:sz w:val="32"/>
          <w:szCs w:val="32"/>
        </w:rPr>
      </w:pPr>
    </w:p>
    <w:p>
      <w:pPr>
        <w:pStyle w:val="7"/>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一九年八月</w:t>
      </w:r>
    </w:p>
    <w:p>
      <w:pPr>
        <w:snapToGrid w:val="0"/>
        <w:spacing w:line="560" w:lineRule="exact"/>
        <w:jc w:val="center"/>
        <w:rPr>
          <w:rFonts w:asci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w:t>
      </w:r>
      <w:r>
        <w:rPr>
          <w:b/>
          <w:bCs/>
          <w:sz w:val="44"/>
          <w:szCs w:val="44"/>
        </w:rPr>
        <w:t xml:space="preserve">  </w:t>
      </w:r>
      <w:r>
        <w:rPr>
          <w:rFonts w:hint="eastAsia"/>
          <w:b/>
          <w:bCs/>
          <w:sz w:val="44"/>
          <w:szCs w:val="44"/>
        </w:rPr>
        <w:t>录</w:t>
      </w:r>
    </w:p>
    <w:p>
      <w:pPr>
        <w:spacing w:line="560" w:lineRule="exact"/>
        <w:jc w:val="center"/>
        <w:rPr>
          <w:b/>
          <w:bCs/>
          <w:sz w:val="44"/>
          <w:szCs w:val="44"/>
        </w:rPr>
      </w:pPr>
    </w:p>
    <w:p>
      <w:pPr>
        <w:spacing w:line="560" w:lineRule="exact"/>
        <w:jc w:val="center"/>
        <w:rPr>
          <w:b/>
          <w:sz w:val="44"/>
          <w:szCs w:val="44"/>
        </w:rPr>
      </w:pPr>
    </w:p>
    <w:p>
      <w:pPr>
        <w:pStyle w:val="12"/>
        <w:tabs>
          <w:tab w:val="right" w:leader="dot" w:pos="8290"/>
        </w:tabs>
        <w:spacing w:line="276" w:lineRule="auto"/>
        <w:rPr>
          <w:rFonts w:ascii="宋体" w:hAnsi="宋体" w:eastAsia="宋体"/>
          <w:szCs w:val="22"/>
        </w:rPr>
      </w:pPr>
      <w:r>
        <w:rPr>
          <w:rFonts w:ascii="宋体" w:hAnsi="宋体" w:eastAsia="宋体"/>
          <w:b/>
          <w:sz w:val="22"/>
          <w:szCs w:val="22"/>
        </w:rPr>
        <w:fldChar w:fldCharType="begin"/>
      </w:r>
      <w:r>
        <w:rPr>
          <w:rFonts w:ascii="宋体" w:hAnsi="宋体" w:eastAsia="宋体"/>
          <w:b/>
          <w:sz w:val="22"/>
          <w:szCs w:val="22"/>
        </w:rPr>
        <w:instrText xml:space="preserve"> TOC \o "1-1" \h \z \u </w:instrText>
      </w:r>
      <w:r>
        <w:rPr>
          <w:rFonts w:ascii="宋体" w:hAnsi="宋体" w:eastAsia="宋体"/>
          <w:b/>
          <w:sz w:val="22"/>
          <w:szCs w:val="22"/>
        </w:rPr>
        <w:fldChar w:fldCharType="separate"/>
      </w:r>
      <w:r>
        <w:fldChar w:fldCharType="begin"/>
      </w:r>
      <w:r>
        <w:instrText xml:space="preserve"> HYPERLINK \l "_Toc13826045" </w:instrText>
      </w:r>
      <w:r>
        <w:fldChar w:fldCharType="separate"/>
      </w:r>
      <w:r>
        <w:rPr>
          <w:rStyle w:val="18"/>
          <w:rFonts w:ascii="宋体" w:hAnsi="宋体" w:eastAsia="宋体"/>
        </w:rPr>
        <w:t>第一章</w:t>
      </w:r>
      <w:r>
        <w:rPr>
          <w:rStyle w:val="18"/>
          <w:rFonts w:hint="eastAsia" w:ascii="宋体" w:hAnsi="宋体" w:eastAsia="宋体"/>
        </w:rPr>
        <w:t xml:space="preserve"> </w:t>
      </w:r>
      <w:r>
        <w:rPr>
          <w:rStyle w:val="18"/>
          <w:rFonts w:ascii="宋体" w:hAnsi="宋体" w:eastAsia="宋体"/>
        </w:rPr>
        <w:t xml:space="preserve"> 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_Toc13826045 \h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fldChar w:fldCharType="end"/>
      </w:r>
    </w:p>
    <w:p>
      <w:pPr>
        <w:pStyle w:val="12"/>
        <w:tabs>
          <w:tab w:val="right" w:leader="dot" w:pos="8290"/>
        </w:tabs>
        <w:spacing w:line="276" w:lineRule="auto"/>
        <w:rPr>
          <w:rFonts w:ascii="宋体" w:hAnsi="宋体" w:eastAsia="宋体"/>
          <w:szCs w:val="22"/>
        </w:rPr>
      </w:pPr>
      <w:r>
        <w:fldChar w:fldCharType="begin"/>
      </w:r>
      <w:r>
        <w:instrText xml:space="preserve"> HYPERLINK \l "_Toc13826046" </w:instrText>
      </w:r>
      <w:r>
        <w:fldChar w:fldCharType="separate"/>
      </w:r>
      <w:r>
        <w:rPr>
          <w:rStyle w:val="18"/>
          <w:rFonts w:ascii="宋体" w:hAnsi="宋体" w:eastAsia="宋体"/>
        </w:rPr>
        <w:t>第二章  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_Toc13826046 \h </w:instrText>
      </w:r>
      <w:r>
        <w:rPr>
          <w:rFonts w:ascii="宋体" w:hAnsi="宋体" w:eastAsia="宋体"/>
        </w:rPr>
        <w:fldChar w:fldCharType="separate"/>
      </w:r>
      <w:r>
        <w:rPr>
          <w:rFonts w:ascii="宋体" w:hAnsi="宋体" w:eastAsia="宋体"/>
        </w:rPr>
        <w:t>4</w:t>
      </w:r>
      <w:r>
        <w:rPr>
          <w:rFonts w:ascii="宋体" w:hAnsi="宋体" w:eastAsia="宋体"/>
        </w:rPr>
        <w:fldChar w:fldCharType="end"/>
      </w:r>
      <w:r>
        <w:rPr>
          <w:rFonts w:ascii="宋体" w:hAnsi="宋体" w:eastAsia="宋体"/>
        </w:rPr>
        <w:fldChar w:fldCharType="end"/>
      </w:r>
    </w:p>
    <w:p>
      <w:pPr>
        <w:pStyle w:val="12"/>
        <w:tabs>
          <w:tab w:val="right" w:leader="dot" w:pos="8290"/>
        </w:tabs>
        <w:spacing w:line="276" w:lineRule="auto"/>
        <w:rPr>
          <w:rFonts w:ascii="宋体" w:hAnsi="宋体" w:eastAsia="宋体"/>
          <w:szCs w:val="22"/>
        </w:rPr>
      </w:pPr>
      <w:r>
        <w:fldChar w:fldCharType="begin"/>
      </w:r>
      <w:r>
        <w:instrText xml:space="preserve"> HYPERLINK \l "_Toc13826047" </w:instrText>
      </w:r>
      <w:r>
        <w:fldChar w:fldCharType="separate"/>
      </w:r>
      <w:r>
        <w:rPr>
          <w:rStyle w:val="18"/>
          <w:rFonts w:ascii="宋体" w:hAnsi="宋体" w:eastAsia="宋体"/>
        </w:rPr>
        <w:t>第三章  合同条款及格式</w:t>
      </w:r>
      <w:r>
        <w:rPr>
          <w:rFonts w:ascii="宋体" w:hAnsi="宋体" w:eastAsia="宋体"/>
        </w:rPr>
        <w:tab/>
      </w:r>
      <w:r>
        <w:rPr>
          <w:rFonts w:ascii="宋体" w:hAnsi="宋体" w:eastAsia="宋体"/>
        </w:rPr>
        <w:fldChar w:fldCharType="begin"/>
      </w:r>
      <w:r>
        <w:rPr>
          <w:rFonts w:ascii="宋体" w:hAnsi="宋体" w:eastAsia="宋体"/>
        </w:rPr>
        <w:instrText xml:space="preserve"> PAGEREF _Toc13826047 \h </w:instrText>
      </w:r>
      <w:r>
        <w:rPr>
          <w:rFonts w:ascii="宋体" w:hAnsi="宋体" w:eastAsia="宋体"/>
        </w:rPr>
        <w:fldChar w:fldCharType="separate"/>
      </w:r>
      <w:r>
        <w:rPr>
          <w:rFonts w:ascii="宋体" w:hAnsi="宋体" w:eastAsia="宋体"/>
        </w:rPr>
        <w:t>14</w:t>
      </w:r>
      <w:r>
        <w:rPr>
          <w:rFonts w:ascii="宋体" w:hAnsi="宋体" w:eastAsia="宋体"/>
        </w:rPr>
        <w:fldChar w:fldCharType="end"/>
      </w:r>
      <w:r>
        <w:rPr>
          <w:rFonts w:ascii="宋体" w:hAnsi="宋体" w:eastAsia="宋体"/>
        </w:rPr>
        <w:fldChar w:fldCharType="end"/>
      </w:r>
    </w:p>
    <w:p>
      <w:pPr>
        <w:pStyle w:val="12"/>
        <w:tabs>
          <w:tab w:val="right" w:leader="dot" w:pos="8290"/>
        </w:tabs>
        <w:spacing w:line="276" w:lineRule="auto"/>
        <w:rPr>
          <w:rFonts w:ascii="宋体" w:hAnsi="宋体" w:eastAsia="宋体"/>
          <w:szCs w:val="22"/>
        </w:rPr>
      </w:pPr>
      <w:r>
        <w:fldChar w:fldCharType="begin"/>
      </w:r>
      <w:r>
        <w:instrText xml:space="preserve"> HYPERLINK \l "_Toc13826048" </w:instrText>
      </w:r>
      <w:r>
        <w:fldChar w:fldCharType="separate"/>
      </w:r>
      <w:r>
        <w:rPr>
          <w:rStyle w:val="18"/>
          <w:rFonts w:ascii="宋体" w:hAnsi="宋体" w:eastAsia="宋体"/>
        </w:rPr>
        <w:t>第四章  参考工程量清单</w:t>
      </w:r>
      <w:r>
        <w:rPr>
          <w:rFonts w:ascii="宋体" w:hAnsi="宋体" w:eastAsia="宋体"/>
        </w:rPr>
        <w:tab/>
      </w:r>
      <w:r>
        <w:rPr>
          <w:rFonts w:ascii="宋体" w:hAnsi="宋体" w:eastAsia="宋体"/>
        </w:rPr>
        <w:fldChar w:fldCharType="begin"/>
      </w:r>
      <w:r>
        <w:rPr>
          <w:rFonts w:ascii="宋体" w:hAnsi="宋体" w:eastAsia="宋体"/>
        </w:rPr>
        <w:instrText xml:space="preserve"> PAGEREF _Toc13826048 \h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fldChar w:fldCharType="end"/>
      </w:r>
    </w:p>
    <w:p>
      <w:pPr>
        <w:pStyle w:val="12"/>
        <w:tabs>
          <w:tab w:val="right" w:leader="dot" w:pos="8290"/>
        </w:tabs>
        <w:spacing w:line="276" w:lineRule="auto"/>
        <w:rPr>
          <w:rStyle w:val="18"/>
          <w:rFonts w:ascii="宋体" w:hAnsi="宋体" w:eastAsia="宋体"/>
        </w:rPr>
      </w:pPr>
      <w:r>
        <w:fldChar w:fldCharType="begin"/>
      </w:r>
      <w:r>
        <w:instrText xml:space="preserve"> HYPERLINK \l "_Toc13826049" </w:instrText>
      </w:r>
      <w:r>
        <w:fldChar w:fldCharType="separate"/>
      </w:r>
      <w:r>
        <w:rPr>
          <w:rStyle w:val="18"/>
          <w:rFonts w:ascii="宋体" w:hAnsi="宋体" w:eastAsia="宋体"/>
        </w:rPr>
        <w:t xml:space="preserve">第五章  </w:t>
      </w:r>
      <w:r>
        <w:rPr>
          <w:rStyle w:val="18"/>
          <w:rFonts w:hint="eastAsia" w:ascii="宋体" w:hAnsi="宋体" w:eastAsia="宋体"/>
        </w:rPr>
        <w:t>图纸</w:t>
      </w:r>
      <w:r>
        <w:rPr>
          <w:rFonts w:ascii="宋体" w:hAnsi="宋体" w:eastAsia="宋体"/>
        </w:rPr>
        <w:tab/>
      </w:r>
      <w:r>
        <w:rPr>
          <w:rFonts w:ascii="宋体" w:hAnsi="宋体" w:eastAsia="宋体"/>
        </w:rPr>
        <w:fldChar w:fldCharType="begin"/>
      </w:r>
      <w:r>
        <w:rPr>
          <w:rFonts w:ascii="宋体" w:hAnsi="宋体" w:eastAsia="宋体"/>
        </w:rPr>
        <w:instrText xml:space="preserve"> PAGEREF _Toc13826049 \h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fldChar w:fldCharType="end"/>
      </w:r>
    </w:p>
    <w:p>
      <w:pPr>
        <w:pStyle w:val="12"/>
        <w:tabs>
          <w:tab w:val="right" w:leader="dot" w:pos="8290"/>
        </w:tabs>
        <w:spacing w:line="276" w:lineRule="auto"/>
      </w:pPr>
      <w:r>
        <w:fldChar w:fldCharType="begin"/>
      </w:r>
      <w:r>
        <w:instrText xml:space="preserve"> HYPERLINK \l "_Toc13826050" </w:instrText>
      </w:r>
      <w:r>
        <w:fldChar w:fldCharType="separate"/>
      </w:r>
      <w:r>
        <w:rPr>
          <w:rStyle w:val="18"/>
          <w:rFonts w:ascii="宋体" w:hAnsi="宋体" w:eastAsia="宋体"/>
        </w:rPr>
        <w:t>第</w:t>
      </w:r>
      <w:r>
        <w:rPr>
          <w:rStyle w:val="18"/>
          <w:rFonts w:hint="eastAsia" w:ascii="宋体" w:hAnsi="宋体" w:eastAsia="宋体"/>
        </w:rPr>
        <w:t>六</w:t>
      </w:r>
      <w:r>
        <w:rPr>
          <w:rStyle w:val="18"/>
          <w:rFonts w:ascii="宋体" w:hAnsi="宋体" w:eastAsia="宋体"/>
        </w:rPr>
        <w:t xml:space="preserve">章  </w:t>
      </w:r>
      <w:r>
        <w:rPr>
          <w:rStyle w:val="18"/>
          <w:rFonts w:hint="eastAsia" w:ascii="宋体" w:hAnsi="宋体" w:eastAsia="宋体"/>
        </w:rPr>
        <w:t>评标办法及标准</w:t>
      </w:r>
      <w:r>
        <w:rPr>
          <w:rFonts w:ascii="宋体" w:hAnsi="宋体" w:eastAsia="宋体"/>
        </w:rPr>
        <w:tab/>
      </w:r>
      <w:r>
        <w:rPr>
          <w:rFonts w:ascii="宋体" w:hAnsi="宋体" w:eastAsia="宋体"/>
        </w:rPr>
        <w:fldChar w:fldCharType="begin"/>
      </w:r>
      <w:r>
        <w:rPr>
          <w:rFonts w:ascii="宋体" w:hAnsi="宋体" w:eastAsia="宋体"/>
        </w:rPr>
        <w:instrText xml:space="preserve"> PAGEREF _Toc13826050 \h </w:instrText>
      </w:r>
      <w:r>
        <w:rPr>
          <w:rFonts w:ascii="宋体" w:hAnsi="宋体" w:eastAsia="宋体"/>
        </w:rPr>
        <w:fldChar w:fldCharType="separate"/>
      </w:r>
      <w:r>
        <w:rPr>
          <w:rFonts w:ascii="宋体" w:hAnsi="宋体" w:eastAsia="宋体"/>
        </w:rPr>
        <w:t>7</w:t>
      </w:r>
      <w:r>
        <w:rPr>
          <w:rFonts w:hint="eastAsia" w:ascii="宋体" w:hAnsi="宋体" w:eastAsia="宋体"/>
        </w:rPr>
        <w:t>9</w:t>
      </w:r>
      <w:r>
        <w:rPr>
          <w:rFonts w:ascii="宋体" w:hAnsi="宋体" w:eastAsia="宋体"/>
        </w:rPr>
        <w:fldChar w:fldCharType="end"/>
      </w:r>
      <w:r>
        <w:rPr>
          <w:rFonts w:ascii="宋体" w:hAnsi="宋体" w:eastAsia="宋体"/>
        </w:rPr>
        <w:fldChar w:fldCharType="end"/>
      </w:r>
    </w:p>
    <w:p>
      <w:pPr>
        <w:pStyle w:val="12"/>
        <w:tabs>
          <w:tab w:val="right" w:leader="dot" w:pos="8290"/>
        </w:tabs>
        <w:spacing w:line="276" w:lineRule="auto"/>
        <w:rPr>
          <w:rFonts w:ascii="宋体" w:hAnsi="宋体" w:eastAsia="宋体"/>
          <w:szCs w:val="22"/>
        </w:rPr>
      </w:pPr>
      <w:r>
        <w:fldChar w:fldCharType="begin"/>
      </w:r>
      <w:r>
        <w:instrText xml:space="preserve"> HYPERLINK \l "_Toc13826050" </w:instrText>
      </w:r>
      <w:r>
        <w:fldChar w:fldCharType="separate"/>
      </w:r>
      <w:r>
        <w:rPr>
          <w:rStyle w:val="18"/>
          <w:rFonts w:ascii="宋体" w:hAnsi="宋体" w:eastAsia="宋体"/>
        </w:rPr>
        <w:t>第七章  投标文件格式</w:t>
      </w:r>
      <w:r>
        <w:rPr>
          <w:rFonts w:ascii="宋体" w:hAnsi="宋体" w:eastAsia="宋体"/>
        </w:rPr>
        <w:tab/>
      </w:r>
      <w:r>
        <w:rPr>
          <w:rFonts w:hint="eastAsia" w:ascii="宋体" w:hAnsi="宋体" w:eastAsia="宋体"/>
        </w:rPr>
        <w:t>8</w:t>
      </w:r>
      <w:r>
        <w:rPr>
          <w:rFonts w:hint="eastAsia" w:ascii="宋体" w:hAnsi="宋体" w:eastAsia="宋体"/>
        </w:rPr>
        <w:fldChar w:fldCharType="end"/>
      </w:r>
      <w:r>
        <w:rPr>
          <w:rStyle w:val="18"/>
          <w:rFonts w:hint="eastAsia" w:ascii="宋体" w:hAnsi="宋体" w:eastAsia="宋体"/>
          <w:color w:val="auto"/>
          <w:u w:val="none"/>
        </w:rPr>
        <w:t>2</w:t>
      </w:r>
    </w:p>
    <w:p>
      <w:pPr>
        <w:pStyle w:val="12"/>
        <w:tabs>
          <w:tab w:val="right" w:leader="dot" w:pos="8290"/>
        </w:tabs>
        <w:spacing w:line="276" w:lineRule="auto"/>
        <w:rPr>
          <w:rFonts w:ascii="宋体" w:hAnsi="宋体" w:eastAsia="宋体"/>
          <w:szCs w:val="22"/>
        </w:rPr>
      </w:pPr>
      <w:r>
        <w:fldChar w:fldCharType="begin"/>
      </w:r>
      <w:r>
        <w:instrText xml:space="preserve"> HYPERLINK \l "_Toc13826051" </w:instrText>
      </w:r>
      <w:r>
        <w:fldChar w:fldCharType="separate"/>
      </w:r>
      <w:r>
        <w:rPr>
          <w:rStyle w:val="18"/>
          <w:rFonts w:ascii="宋体" w:hAnsi="宋体" w:eastAsia="宋体"/>
        </w:rPr>
        <w:t>技术规格</w:t>
      </w:r>
      <w:r>
        <w:rPr>
          <w:rStyle w:val="18"/>
          <w:rFonts w:hint="eastAsia" w:ascii="宋体" w:hAnsi="宋体" w:eastAsia="宋体"/>
        </w:rPr>
        <w:t>说明</w:t>
      </w:r>
      <w:r>
        <w:rPr>
          <w:rStyle w:val="18"/>
          <w:rFonts w:ascii="宋体" w:hAnsi="宋体" w:eastAsia="宋体"/>
        </w:rPr>
        <w:t>书</w:t>
      </w:r>
      <w:r>
        <w:rPr>
          <w:rFonts w:ascii="宋体" w:hAnsi="宋体" w:eastAsia="宋体"/>
        </w:rPr>
        <w:tab/>
      </w:r>
      <w:r>
        <w:rPr>
          <w:rFonts w:ascii="宋体" w:hAnsi="宋体" w:eastAsia="宋体"/>
        </w:rPr>
        <w:fldChar w:fldCharType="begin"/>
      </w:r>
      <w:r>
        <w:rPr>
          <w:rFonts w:ascii="宋体" w:hAnsi="宋体" w:eastAsia="宋体"/>
        </w:rPr>
        <w:instrText xml:space="preserve"> PAGEREF _Toc13826051 \h </w:instrText>
      </w:r>
      <w:r>
        <w:rPr>
          <w:rFonts w:ascii="宋体" w:hAnsi="宋体" w:eastAsia="宋体"/>
        </w:rPr>
        <w:fldChar w:fldCharType="separate"/>
      </w:r>
      <w:r>
        <w:rPr>
          <w:rFonts w:ascii="宋体" w:hAnsi="宋体" w:eastAsia="宋体"/>
        </w:rPr>
        <w:t>95</w:t>
      </w:r>
      <w:r>
        <w:rPr>
          <w:rFonts w:ascii="宋体" w:hAnsi="宋体" w:eastAsia="宋体"/>
        </w:rPr>
        <w:fldChar w:fldCharType="end"/>
      </w:r>
      <w:r>
        <w:rPr>
          <w:rFonts w:ascii="宋体" w:hAnsi="宋体" w:eastAsia="宋体"/>
        </w:rPr>
        <w:fldChar w:fldCharType="end"/>
      </w:r>
    </w:p>
    <w:p>
      <w:pPr>
        <w:pStyle w:val="12"/>
        <w:tabs>
          <w:tab w:val="right" w:leader="dot" w:pos="8290"/>
        </w:tabs>
        <w:spacing w:line="276" w:lineRule="auto"/>
        <w:rPr>
          <w:rFonts w:ascii="宋体" w:hAnsi="宋体" w:eastAsia="宋体"/>
          <w:szCs w:val="22"/>
        </w:rPr>
      </w:pPr>
    </w:p>
    <w:p>
      <w:pPr>
        <w:pStyle w:val="21"/>
        <w:tabs>
          <w:tab w:val="right" w:leader="dot" w:pos="8300"/>
        </w:tabs>
        <w:spacing w:line="276" w:lineRule="auto"/>
        <w:ind w:firstLine="0" w:firstLineChars="0"/>
        <w:rPr>
          <w:rFonts w:ascii="宋体" w:cs="宋体"/>
          <w:color w:val="000000"/>
          <w:szCs w:val="21"/>
        </w:rPr>
      </w:pPr>
      <w:r>
        <w:rPr>
          <w:rFonts w:ascii="宋体" w:hAnsi="宋体"/>
          <w:b/>
          <w:sz w:val="22"/>
        </w:rPr>
        <w:fldChar w:fldCharType="end"/>
      </w:r>
      <w:r>
        <w:rPr>
          <w:rFonts w:ascii="宋体" w:cs="宋体"/>
          <w:color w:val="000000"/>
          <w:szCs w:val="21"/>
        </w:rPr>
        <w:t xml:space="preserve"> </w:t>
      </w:r>
    </w:p>
    <w:p>
      <w:pPr>
        <w:tabs>
          <w:tab w:val="right" w:leader="dot" w:pos="8364"/>
        </w:tabs>
        <w:spacing w:line="360" w:lineRule="auto"/>
        <w:rPr>
          <w:b/>
        </w:rPr>
      </w:pP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b/>
        </w:rPr>
        <w:t xml:space="preserve">                                                          </w:t>
      </w:r>
    </w:p>
    <w:p>
      <w:pPr>
        <w:pStyle w:val="15"/>
      </w:pPr>
      <w:bookmarkStart w:id="0" w:name="_Toc13826045"/>
      <w:r>
        <w:rPr>
          <w:rFonts w:hint="eastAsia"/>
        </w:rPr>
        <w:t>第一章</w:t>
      </w:r>
      <w:r>
        <w:t xml:space="preserve"> </w:t>
      </w:r>
      <w:r>
        <w:rPr>
          <w:rFonts w:hint="eastAsia"/>
        </w:rPr>
        <w:t>招标公告</w:t>
      </w:r>
      <w:bookmarkEnd w:id="0"/>
    </w:p>
    <w:p>
      <w:pPr>
        <w:pStyle w:val="4"/>
        <w:numPr>
          <w:ilvl w:val="0"/>
          <w:numId w:val="0"/>
        </w:numPr>
        <w:rPr>
          <w:rFonts w:cs="Arial"/>
          <w:b w:val="0"/>
          <w:bCs/>
          <w:sz w:val="22"/>
          <w:szCs w:val="22"/>
        </w:rPr>
      </w:pPr>
    </w:p>
    <w:p>
      <w:pPr>
        <w:pStyle w:val="22"/>
        <w:widowControl/>
        <w:numPr>
          <w:numId w:val="0"/>
        </w:numPr>
        <w:snapToGrid w:val="0"/>
        <w:spacing w:line="360" w:lineRule="exact"/>
        <w:ind w:leftChars="0"/>
        <w:jc w:val="left"/>
        <w:rPr>
          <w:rFonts w:ascii="宋体" w:cs="Arial"/>
          <w:b/>
          <w:bCs/>
          <w:kern w:val="0"/>
          <w:sz w:val="22"/>
          <w:szCs w:val="22"/>
        </w:rPr>
      </w:pPr>
      <w:bookmarkStart w:id="349" w:name="_GoBack"/>
      <w:r>
        <w:rPr>
          <w:rFonts w:hint="eastAsia" w:ascii="宋体" w:hAnsi="宋体" w:cs="Arial"/>
          <w:b/>
          <w:bCs/>
          <w:kern w:val="0"/>
          <w:sz w:val="22"/>
          <w:szCs w:val="22"/>
          <w:lang w:eastAsia="zh-CN"/>
        </w:rPr>
        <w:t>一、</w:t>
      </w:r>
      <w:r>
        <w:rPr>
          <w:rFonts w:hint="eastAsia" w:ascii="宋体" w:hAnsi="宋体" w:cs="Arial"/>
          <w:b/>
          <w:bCs/>
          <w:kern w:val="0"/>
          <w:sz w:val="22"/>
          <w:szCs w:val="22"/>
        </w:rPr>
        <w:t>招标内容</w:t>
      </w:r>
    </w:p>
    <w:p>
      <w:pPr>
        <w:numPr>
          <w:numId w:val="0"/>
        </w:numPr>
        <w:adjustRightInd w:val="0"/>
        <w:snapToGrid w:val="0"/>
        <w:spacing w:line="340" w:lineRule="exact"/>
        <w:rPr>
          <w:rFonts w:ascii="宋体" w:hAnsi="宋体" w:cs="Arial"/>
          <w:color w:val="000000"/>
          <w:kern w:val="0"/>
          <w:sz w:val="22"/>
        </w:rPr>
      </w:pPr>
      <w:r>
        <w:rPr>
          <w:rFonts w:hint="eastAsia" w:ascii="宋体" w:hAnsi="宋体" w:cs="Arial"/>
          <w:color w:val="000000"/>
          <w:kern w:val="0"/>
          <w:sz w:val="22"/>
          <w:lang w:eastAsia="zh-CN"/>
        </w:rPr>
        <w:t>（一）</w:t>
      </w:r>
      <w:r>
        <w:rPr>
          <w:rFonts w:hint="eastAsia" w:ascii="宋体" w:hAnsi="宋体" w:cs="Arial"/>
          <w:color w:val="000000"/>
          <w:kern w:val="0"/>
          <w:sz w:val="22"/>
        </w:rPr>
        <w:t>项目概况：</w:t>
      </w:r>
    </w:p>
    <w:p>
      <w:pPr>
        <w:adjustRightInd w:val="0"/>
        <w:snapToGrid w:val="0"/>
        <w:spacing w:line="340" w:lineRule="exact"/>
        <w:ind w:firstLine="440" w:firstLineChars="200"/>
        <w:rPr>
          <w:rFonts w:ascii="宋体" w:hAnsi="宋体" w:cs="Arial"/>
          <w:color w:val="000000"/>
          <w:kern w:val="0"/>
          <w:sz w:val="22"/>
        </w:rPr>
      </w:pPr>
      <w:r>
        <w:rPr>
          <w:rFonts w:hint="eastAsia" w:ascii="宋体" w:hAnsi="宋体" w:cs="Arial"/>
          <w:color w:val="000000"/>
          <w:kern w:val="0"/>
          <w:sz w:val="22"/>
        </w:rPr>
        <w:t>为弥补场区高空监控的不足，进一步提升场区监控覆盖面，在机场内相关建筑物新增14个摄像机。</w:t>
      </w:r>
    </w:p>
    <w:p>
      <w:pPr>
        <w:adjustRightInd w:val="0"/>
        <w:snapToGrid w:val="0"/>
        <w:spacing w:line="340" w:lineRule="exact"/>
        <w:ind w:firstLine="440" w:firstLineChars="200"/>
        <w:rPr>
          <w:rFonts w:ascii="宋体" w:cs="Arial"/>
          <w:color w:val="000000"/>
          <w:kern w:val="0"/>
          <w:sz w:val="22"/>
        </w:rPr>
      </w:pPr>
      <w:r>
        <w:rPr>
          <w:rFonts w:hint="eastAsia" w:ascii="宋体" w:hAnsi="宋体" w:cs="Arial"/>
          <w:color w:val="000000"/>
          <w:kern w:val="0"/>
          <w:sz w:val="22"/>
        </w:rPr>
        <w:t>（二）招标内容：</w:t>
      </w:r>
    </w:p>
    <w:p>
      <w:pPr>
        <w:adjustRightInd w:val="0"/>
        <w:snapToGrid w:val="0"/>
        <w:spacing w:line="340" w:lineRule="exact"/>
        <w:ind w:firstLine="440" w:firstLineChars="200"/>
        <w:rPr>
          <w:rFonts w:ascii="宋体" w:hAnsi="宋体" w:cs="Arial"/>
          <w:color w:val="000000"/>
          <w:kern w:val="0"/>
          <w:sz w:val="22"/>
        </w:rPr>
      </w:pPr>
      <w:r>
        <w:rPr>
          <w:rFonts w:hint="eastAsia" w:ascii="宋体" w:hAnsi="宋体" w:cs="Arial"/>
          <w:color w:val="000000"/>
          <w:kern w:val="0"/>
          <w:sz w:val="22"/>
        </w:rPr>
        <w:t>1、监控安装：</w:t>
      </w:r>
    </w:p>
    <w:p>
      <w:pPr>
        <w:adjustRightInd w:val="0"/>
        <w:snapToGrid w:val="0"/>
        <w:spacing w:line="340" w:lineRule="exact"/>
        <w:ind w:firstLine="440" w:firstLineChars="200"/>
        <w:rPr>
          <w:rFonts w:ascii="宋体" w:hAnsi="宋体" w:cs="Arial"/>
          <w:color w:val="000000"/>
          <w:kern w:val="0"/>
          <w:sz w:val="22"/>
        </w:rPr>
      </w:pPr>
      <w:r>
        <w:rPr>
          <w:rFonts w:hint="eastAsia" w:ascii="宋体" w:hAnsi="宋体" w:cs="Arial"/>
          <w:color w:val="000000"/>
          <w:kern w:val="0"/>
          <w:sz w:val="22"/>
        </w:rPr>
        <w:t>在场区内新增监控摄像机14个，分别位于空管塔台、信息大楼、蝶来大酒店、厦航办公大楼、综合服务大楼、机场6号员工宿舍楼、国航宿舍楼顶及交通服务中心。其中交通服务中心摄像机接入机场海康平台，录音录像存储时长15天，其他摄像机接入机场大华平台，录像存储时长90天。</w:t>
      </w:r>
      <w:r>
        <w:rPr>
          <w:rFonts w:ascii="宋体" w:hAnsi="宋体" w:cs="Arial"/>
          <w:color w:val="000000"/>
          <w:kern w:val="0"/>
          <w:sz w:val="22"/>
        </w:rPr>
        <w:t xml:space="preserve"> </w:t>
      </w:r>
    </w:p>
    <w:p>
      <w:pPr>
        <w:adjustRightInd w:val="0"/>
        <w:snapToGrid w:val="0"/>
        <w:spacing w:line="340" w:lineRule="exact"/>
        <w:ind w:firstLine="440" w:firstLineChars="200"/>
        <w:rPr>
          <w:rFonts w:ascii="宋体" w:hAnsi="宋体" w:cs="Arial"/>
          <w:color w:val="000000"/>
          <w:kern w:val="0"/>
          <w:sz w:val="22"/>
        </w:rPr>
      </w:pPr>
      <w:r>
        <w:rPr>
          <w:rFonts w:hint="eastAsia" w:ascii="宋体" w:hAnsi="宋体" w:cs="Arial"/>
          <w:color w:val="000000"/>
          <w:kern w:val="0"/>
          <w:sz w:val="22"/>
        </w:rPr>
        <w:t>2、室内综合布线：</w:t>
      </w:r>
    </w:p>
    <w:p>
      <w:pPr>
        <w:adjustRightInd w:val="0"/>
        <w:snapToGrid w:val="0"/>
        <w:spacing w:line="340" w:lineRule="exact"/>
        <w:ind w:firstLine="440" w:firstLineChars="200"/>
        <w:rPr>
          <w:rFonts w:ascii="宋体" w:hAnsi="宋体" w:cs="Arial"/>
          <w:color w:val="000000"/>
          <w:kern w:val="0"/>
          <w:sz w:val="22"/>
        </w:rPr>
      </w:pPr>
      <w:r>
        <w:rPr>
          <w:rFonts w:hint="eastAsia" w:ascii="宋体" w:hAnsi="宋体" w:cs="Arial"/>
          <w:color w:val="000000"/>
          <w:kern w:val="0"/>
          <w:sz w:val="22"/>
        </w:rPr>
        <w:t>在老公安楼6楼场区运控室新增48个网络信息点，信息点接入6楼弱电机房。</w:t>
      </w:r>
    </w:p>
    <w:p>
      <w:pPr>
        <w:adjustRightInd w:val="0"/>
        <w:snapToGrid w:val="0"/>
        <w:spacing w:line="340" w:lineRule="exact"/>
        <w:ind w:left="240" w:leftChars="100" w:firstLine="220" w:firstLineChars="100"/>
        <w:rPr>
          <w:rFonts w:ascii="宋体" w:hAnsi="宋体" w:cs="Arial"/>
          <w:color w:val="000000"/>
          <w:kern w:val="0"/>
          <w:sz w:val="22"/>
        </w:rPr>
      </w:pPr>
      <w:r>
        <w:rPr>
          <w:rFonts w:hint="eastAsia" w:ascii="宋体" w:hAnsi="宋体" w:cs="Arial"/>
          <w:color w:val="000000"/>
          <w:kern w:val="0"/>
          <w:sz w:val="22"/>
        </w:rPr>
        <w:t>3、新增场区运控室大屏解码设备：</w:t>
      </w:r>
    </w:p>
    <w:p>
      <w:pPr>
        <w:adjustRightInd w:val="0"/>
        <w:snapToGrid w:val="0"/>
        <w:spacing w:line="340" w:lineRule="exact"/>
        <w:ind w:left="900" w:leftChars="100" w:hanging="660" w:hangingChars="300"/>
        <w:rPr>
          <w:rFonts w:ascii="宋体" w:hAnsi="宋体" w:cs="宋体"/>
          <w:color w:val="000000"/>
          <w:kern w:val="0"/>
        </w:rPr>
      </w:pPr>
      <w:r>
        <w:rPr>
          <w:rFonts w:hint="eastAsia" w:ascii="宋体" w:hAnsi="宋体" w:cs="Arial"/>
          <w:color w:val="000000"/>
          <w:kern w:val="0"/>
          <w:sz w:val="22"/>
        </w:rPr>
        <w:t xml:space="preserve">  场区运控室新增一台</w:t>
      </w:r>
      <w:r>
        <w:rPr>
          <w:rFonts w:hint="eastAsia" w:ascii="宋体" w:hAnsi="宋体" w:cs="宋体"/>
          <w:color w:val="000000"/>
          <w:kern w:val="0"/>
          <w:sz w:val="22"/>
          <w:szCs w:val="22"/>
        </w:rPr>
        <w:t>视频综合平台机箱，含2块</w:t>
      </w:r>
      <w:r>
        <w:rPr>
          <w:rFonts w:ascii="宋体" w:hAnsi="宋体" w:cs="宋体"/>
          <w:color w:val="000000"/>
          <w:kern w:val="0"/>
          <w:sz w:val="22"/>
          <w:szCs w:val="22"/>
        </w:rPr>
        <w:t>HDMI</w:t>
      </w:r>
      <w:r>
        <w:rPr>
          <w:rFonts w:hint="eastAsia" w:ascii="宋体" w:hAnsi="宋体" w:cs="宋体"/>
          <w:color w:val="000000"/>
          <w:kern w:val="0"/>
          <w:sz w:val="22"/>
          <w:szCs w:val="22"/>
        </w:rPr>
        <w:t>解码输出板、2块HDMI编码输入板</w:t>
      </w:r>
    </w:p>
    <w:p>
      <w:pPr>
        <w:adjustRightInd w:val="0"/>
        <w:snapToGrid w:val="0"/>
        <w:spacing w:line="340" w:lineRule="exact"/>
        <w:ind w:firstLine="440" w:firstLineChars="200"/>
        <w:rPr>
          <w:rFonts w:ascii="宋体" w:hAnsi="宋体" w:cs="Arial"/>
          <w:color w:val="000000"/>
          <w:kern w:val="0"/>
          <w:sz w:val="22"/>
        </w:rPr>
      </w:pPr>
      <w:r>
        <w:rPr>
          <w:rFonts w:hint="eastAsia" w:ascii="宋体" w:hAnsi="宋体" w:cs="Arial"/>
          <w:color w:val="000000"/>
          <w:kern w:val="0"/>
          <w:sz w:val="22"/>
        </w:rPr>
        <w:t>详细内容见技术规格书。</w:t>
      </w:r>
      <w:r>
        <w:rPr>
          <w:rFonts w:ascii="宋体" w:hAnsi="宋体" w:cs="Arial"/>
          <w:color w:val="000000"/>
          <w:kern w:val="0"/>
          <w:sz w:val="22"/>
        </w:rPr>
        <w:t xml:space="preserve"> </w:t>
      </w:r>
    </w:p>
    <w:p>
      <w:pPr>
        <w:widowControl/>
        <w:snapToGrid w:val="0"/>
        <w:spacing w:line="340" w:lineRule="exact"/>
        <w:jc w:val="left"/>
        <w:rPr>
          <w:rFonts w:ascii="宋体" w:cs="Arial"/>
          <w:b/>
          <w:bCs/>
          <w:kern w:val="0"/>
          <w:sz w:val="22"/>
          <w:szCs w:val="22"/>
        </w:rPr>
      </w:pPr>
      <w:r>
        <w:rPr>
          <w:rFonts w:hint="eastAsia" w:ascii="宋体" w:hAnsi="宋体" w:cs="Arial"/>
          <w:b/>
          <w:bCs/>
          <w:kern w:val="0"/>
          <w:sz w:val="22"/>
          <w:szCs w:val="22"/>
        </w:rPr>
        <w:t>二、投标人资格要求</w:t>
      </w:r>
      <w:r>
        <w:rPr>
          <w:rFonts w:ascii="宋体" w:cs="Arial"/>
          <w:b/>
          <w:bCs/>
          <w:kern w:val="0"/>
          <w:sz w:val="22"/>
          <w:szCs w:val="22"/>
        </w:rPr>
        <w:t> </w:t>
      </w:r>
    </w:p>
    <w:p>
      <w:pPr>
        <w:widowControl/>
        <w:adjustRightInd w:val="0"/>
        <w:snapToGrid w:val="0"/>
        <w:spacing w:line="340" w:lineRule="exact"/>
        <w:ind w:firstLine="440" w:firstLineChars="200"/>
        <w:rPr>
          <w:rFonts w:ascii="宋体" w:hAnsi="宋体" w:cs="宋体"/>
          <w:sz w:val="22"/>
          <w:szCs w:val="22"/>
        </w:rPr>
      </w:pPr>
      <w:r>
        <w:rPr>
          <w:rFonts w:hint="eastAsia" w:ascii="等线" w:hAnsi="等线" w:cs="Arial"/>
          <w:kern w:val="0"/>
          <w:sz w:val="22"/>
          <w:szCs w:val="22"/>
        </w:rPr>
        <w:t>（1）</w:t>
      </w:r>
      <w:r>
        <w:rPr>
          <w:rFonts w:hint="eastAsia" w:ascii="宋体" w:hAnsi="宋体" w:cs="宋体"/>
          <w:sz w:val="22"/>
          <w:szCs w:val="22"/>
        </w:rPr>
        <w:t>投标人具备电子与智能化工程专业承包二级及以上或民航空管工程及机场弱电系统工程专业承包二级及以上资质（需提供证明文件并加盖公章，原件备查）；</w:t>
      </w:r>
    </w:p>
    <w:p>
      <w:pPr>
        <w:widowControl/>
        <w:adjustRightInd w:val="0"/>
        <w:snapToGrid w:val="0"/>
        <w:spacing w:line="340" w:lineRule="exact"/>
        <w:ind w:firstLine="440" w:firstLineChars="200"/>
        <w:rPr>
          <w:rFonts w:ascii="宋体" w:hAnsi="宋体" w:cs="宋体"/>
          <w:sz w:val="22"/>
          <w:szCs w:val="22"/>
        </w:rPr>
      </w:pPr>
      <w:r>
        <w:rPr>
          <w:rFonts w:hint="eastAsia" w:ascii="等线" w:hAnsi="等线" w:cs="Arial"/>
          <w:kern w:val="0"/>
          <w:sz w:val="22"/>
          <w:szCs w:val="22"/>
        </w:rPr>
        <w:t>（2）</w:t>
      </w:r>
      <w:r>
        <w:rPr>
          <w:rFonts w:hint="eastAsia" w:ascii="宋体" w:hAnsi="宋体" w:cs="宋体"/>
          <w:sz w:val="22"/>
          <w:szCs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w:t>
      </w:r>
      <w:r>
        <w:rPr>
          <w:rFonts w:hint="eastAsia" w:ascii="宋体" w:hAnsi="宋体" w:cs="宋体"/>
          <w:b/>
          <w:sz w:val="22"/>
          <w:szCs w:val="22"/>
        </w:rPr>
        <w:t>企业法定代表人、企业经理、企业技术负责人及企业分管安全的副经理须提供相应任职文件。</w:t>
      </w:r>
    </w:p>
    <w:p>
      <w:pPr>
        <w:widowControl/>
        <w:adjustRightInd w:val="0"/>
        <w:snapToGrid w:val="0"/>
        <w:spacing w:line="340" w:lineRule="exact"/>
        <w:ind w:firstLine="440" w:firstLineChars="200"/>
        <w:rPr>
          <w:rFonts w:ascii="等线" w:hAnsi="等线" w:cs="Arial"/>
          <w:kern w:val="0"/>
          <w:sz w:val="22"/>
          <w:szCs w:val="22"/>
        </w:rPr>
      </w:pPr>
      <w:r>
        <w:rPr>
          <w:rFonts w:hint="eastAsia" w:ascii="宋体" w:hAnsi="宋体" w:cs="宋体"/>
          <w:sz w:val="22"/>
          <w:szCs w:val="22"/>
        </w:rPr>
        <w:t>（3）项目经理资格要求：具有</w:t>
      </w:r>
      <w:r>
        <w:rPr>
          <w:rFonts w:hint="eastAsia" w:ascii="宋体" w:hAnsi="宋体" w:cs="宋体"/>
          <w:sz w:val="22"/>
          <w:szCs w:val="22"/>
          <w:u w:val="single"/>
        </w:rPr>
        <w:t xml:space="preserve">  机电   </w:t>
      </w:r>
      <w:r>
        <w:rPr>
          <w:rFonts w:hint="eastAsia" w:ascii="宋体" w:hAnsi="宋体" w:cs="宋体"/>
          <w:sz w:val="22"/>
          <w:szCs w:val="22"/>
        </w:rPr>
        <w:t>专业</w:t>
      </w:r>
      <w:r>
        <w:rPr>
          <w:rFonts w:hint="eastAsia" w:ascii="宋体" w:hAnsi="宋体" w:cs="宋体"/>
          <w:sz w:val="22"/>
          <w:szCs w:val="22"/>
          <w:u w:val="single"/>
        </w:rPr>
        <w:t xml:space="preserve">  贰级  </w:t>
      </w:r>
      <w:r>
        <w:rPr>
          <w:rFonts w:hint="eastAsia" w:ascii="宋体" w:hAnsi="宋体" w:cs="宋体"/>
          <w:sz w:val="22"/>
          <w:szCs w:val="22"/>
        </w:rPr>
        <w:t>级及以上注册建造师执业证书。</w:t>
      </w:r>
    </w:p>
    <w:p>
      <w:pPr>
        <w:widowControl/>
        <w:adjustRightInd w:val="0"/>
        <w:snapToGrid w:val="0"/>
        <w:spacing w:line="340" w:lineRule="exact"/>
        <w:ind w:firstLine="440" w:firstLineChars="200"/>
        <w:rPr>
          <w:rFonts w:ascii="等线" w:hAnsi="等线" w:cs="Arial"/>
          <w:kern w:val="0"/>
          <w:sz w:val="22"/>
          <w:szCs w:val="22"/>
        </w:rPr>
      </w:pPr>
      <w:r>
        <w:rPr>
          <w:rFonts w:hint="eastAsia" w:ascii="等线" w:hAnsi="等线" w:cs="Arial"/>
          <w:kern w:val="0"/>
          <w:sz w:val="22"/>
          <w:szCs w:val="22"/>
        </w:rPr>
        <w:t>（</w:t>
      </w:r>
      <w:r>
        <w:rPr>
          <w:rFonts w:ascii="等线" w:hAnsi="等线" w:cs="Arial"/>
          <w:kern w:val="0"/>
          <w:sz w:val="22"/>
          <w:szCs w:val="22"/>
        </w:rPr>
        <w:t>4</w:t>
      </w:r>
      <w:r>
        <w:rPr>
          <w:rFonts w:hint="eastAsia" w:ascii="等线" w:hAnsi="等线" w:cs="Arial"/>
          <w:kern w:val="0"/>
          <w:sz w:val="22"/>
          <w:szCs w:val="22"/>
        </w:rPr>
        <w:t>）</w:t>
      </w:r>
      <w:r>
        <w:rPr>
          <w:rFonts w:ascii="等线" w:hAnsi="等线" w:cs="Arial"/>
          <w:kern w:val="0"/>
          <w:sz w:val="22"/>
          <w:szCs w:val="22"/>
        </w:rPr>
        <w:t>本项目不接受联合</w:t>
      </w:r>
      <w:r>
        <w:rPr>
          <w:rFonts w:hint="eastAsia" w:ascii="等线" w:hAnsi="等线" w:cs="Arial"/>
          <w:kern w:val="0"/>
          <w:sz w:val="22"/>
          <w:szCs w:val="22"/>
        </w:rPr>
        <w:t>体</w:t>
      </w:r>
      <w:r>
        <w:rPr>
          <w:rFonts w:ascii="等线" w:hAnsi="等线" w:cs="Arial"/>
          <w:kern w:val="0"/>
          <w:sz w:val="22"/>
          <w:szCs w:val="22"/>
        </w:rPr>
        <w:t>投标</w:t>
      </w:r>
      <w:r>
        <w:rPr>
          <w:rFonts w:hint="eastAsia" w:ascii="等线" w:hAnsi="等线" w:cs="Arial"/>
          <w:kern w:val="0"/>
          <w:sz w:val="22"/>
          <w:szCs w:val="22"/>
        </w:rPr>
        <w:t>。</w:t>
      </w:r>
    </w:p>
    <w:p>
      <w:pPr>
        <w:widowControl/>
        <w:snapToGrid w:val="0"/>
        <w:spacing w:line="340" w:lineRule="exact"/>
        <w:jc w:val="left"/>
        <w:rPr>
          <w:rFonts w:asci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招标文件下载</w:t>
      </w:r>
    </w:p>
    <w:p>
      <w:pPr>
        <w:widowControl/>
        <w:adjustRightInd w:val="0"/>
        <w:snapToGrid w:val="0"/>
        <w:spacing w:line="340" w:lineRule="exact"/>
        <w:ind w:firstLine="440" w:firstLineChars="200"/>
        <w:rPr>
          <w:rFonts w:ascii="宋体" w:cs="Arial"/>
          <w:kern w:val="0"/>
          <w:sz w:val="22"/>
          <w:szCs w:val="22"/>
        </w:rPr>
      </w:pPr>
      <w:r>
        <w:rPr>
          <w:rFonts w:hint="eastAsia" w:ascii="宋体" w:hAnsi="宋体" w:cs="Arial"/>
          <w:kern w:val="0"/>
          <w:sz w:val="22"/>
          <w:szCs w:val="22"/>
        </w:rPr>
        <w:t>工程量清单下载</w:t>
      </w:r>
    </w:p>
    <w:p>
      <w:pPr>
        <w:widowControl/>
        <w:snapToGrid w:val="0"/>
        <w:spacing w:line="340" w:lineRule="exact"/>
        <w:jc w:val="left"/>
        <w:rPr>
          <w:rFonts w:ascii="宋体" w:cs="Arial"/>
          <w:b/>
          <w:bCs/>
          <w:kern w:val="0"/>
          <w:sz w:val="22"/>
          <w:szCs w:val="22"/>
        </w:rPr>
      </w:pPr>
      <w:r>
        <w:rPr>
          <w:rFonts w:hint="eastAsia" w:ascii="宋体" w:hAnsi="宋体" w:cs="Arial"/>
          <w:b/>
          <w:bCs/>
          <w:kern w:val="0"/>
          <w:sz w:val="22"/>
          <w:szCs w:val="22"/>
        </w:rPr>
        <w:t>四、投标文件的递交</w:t>
      </w:r>
    </w:p>
    <w:p>
      <w:pPr>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）投标文件递交截止时间：</w:t>
      </w:r>
      <w:r>
        <w:rPr>
          <w:rFonts w:ascii="宋体" w:hAnsi="宋体" w:cs="Arial"/>
          <w:kern w:val="0"/>
          <w:sz w:val="22"/>
        </w:rPr>
        <w:t>201</w:t>
      </w:r>
      <w:r>
        <w:rPr>
          <w:rFonts w:hint="eastAsia" w:ascii="宋体" w:hAnsi="宋体" w:cs="Arial"/>
          <w:kern w:val="0"/>
          <w:sz w:val="22"/>
        </w:rPr>
        <w:t>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29</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w:t>
      </w:r>
      <w:r>
        <w:rPr>
          <w:rFonts w:ascii="宋体" w:hAnsi="宋体" w:cs="Arial"/>
          <w:kern w:val="0"/>
          <w:sz w:val="22"/>
        </w:rPr>
        <w:t>00</w:t>
      </w:r>
      <w:r>
        <w:rPr>
          <w:rFonts w:hint="eastAsia" w:ascii="宋体" w:hAnsi="宋体" w:cs="Arial"/>
          <w:kern w:val="0"/>
          <w:sz w:val="22"/>
        </w:rPr>
        <w:t>分（北京时间）。投标文件在封口处加盖公章，并派专人于</w:t>
      </w:r>
      <w:r>
        <w:rPr>
          <w:rFonts w:ascii="宋体" w:hAnsi="宋体" w:cs="Arial"/>
          <w:kern w:val="0"/>
          <w:sz w:val="22"/>
        </w:rPr>
        <w:t>201</w:t>
      </w:r>
      <w:r>
        <w:rPr>
          <w:rFonts w:hint="eastAsia" w:ascii="宋体" w:hAnsi="宋体" w:cs="Arial"/>
          <w:kern w:val="0"/>
          <w:sz w:val="22"/>
        </w:rPr>
        <w:t>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29</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w:t>
      </w:r>
      <w:r>
        <w:rPr>
          <w:rFonts w:ascii="宋体" w:hAnsi="宋体" w:cs="Arial"/>
          <w:kern w:val="0"/>
          <w:sz w:val="22"/>
        </w:rPr>
        <w:t>00</w:t>
      </w:r>
      <w:r>
        <w:rPr>
          <w:rFonts w:hint="eastAsia" w:ascii="宋体" w:hAnsi="宋体" w:cs="Arial"/>
          <w:kern w:val="0"/>
          <w:sz w:val="22"/>
        </w:rPr>
        <w:t>分</w:t>
      </w:r>
      <w:r>
        <w:rPr>
          <w:rFonts w:hint="eastAsia" w:ascii="宋体" w:hAnsi="宋体" w:cs="Arial"/>
          <w:kern w:val="0"/>
          <w:sz w:val="22"/>
        </w:rPr>
        <w:t>（北京时间）前送至杭州萧山国际机场翔越路综合服务楼园区招标中心，逾期无效；若采用投递（邮寄）方式的，请于</w:t>
      </w:r>
      <w:r>
        <w:rPr>
          <w:rFonts w:ascii="宋体" w:hAnsi="宋体" w:cs="Arial"/>
          <w:kern w:val="0"/>
          <w:sz w:val="22"/>
        </w:rPr>
        <w:t>201</w:t>
      </w:r>
      <w:r>
        <w:rPr>
          <w:rFonts w:hint="eastAsia" w:ascii="宋体" w:hAnsi="宋体" w:cs="Arial"/>
          <w:kern w:val="0"/>
          <w:sz w:val="22"/>
        </w:rPr>
        <w:t>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29</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w:t>
      </w:r>
      <w:r>
        <w:rPr>
          <w:rFonts w:ascii="宋体" w:hAnsi="宋体" w:cs="Arial"/>
          <w:kern w:val="0"/>
          <w:sz w:val="22"/>
        </w:rPr>
        <w:t>00</w:t>
      </w:r>
      <w:r>
        <w:rPr>
          <w:rFonts w:hint="eastAsia" w:ascii="宋体" w:hAnsi="宋体" w:cs="Arial"/>
          <w:kern w:val="0"/>
          <w:sz w:val="22"/>
        </w:rPr>
        <w:t>分</w:t>
      </w:r>
      <w:r>
        <w:rPr>
          <w:rFonts w:hint="eastAsia" w:ascii="宋体" w:hAnsi="宋体" w:cs="Arial"/>
          <w:kern w:val="0"/>
          <w:sz w:val="22"/>
        </w:rPr>
        <w:t>（北京时间）前投递至杭州萧山国际机场翔越路综合服务楼园区招标中心，逾期无效。</w:t>
      </w:r>
    </w:p>
    <w:p>
      <w:pPr>
        <w:adjustRightInd w:val="0"/>
        <w:snapToGrid w:val="0"/>
        <w:spacing w:line="276" w:lineRule="auto"/>
        <w:ind w:firstLine="440" w:firstLineChars="200"/>
        <w:rPr>
          <w:rFonts w:ascii="宋体" w:hAnsi="宋体" w:cs="Arial"/>
          <w:color w:val="000000"/>
          <w:kern w:val="0"/>
          <w:sz w:val="22"/>
        </w:rPr>
      </w:pPr>
      <w:r>
        <w:rPr>
          <w:rFonts w:hint="eastAsia" w:ascii="宋体" w:hAnsi="宋体" w:cs="Arial"/>
          <w:color w:val="000000"/>
          <w:kern w:val="0"/>
          <w:sz w:val="22"/>
        </w:rPr>
        <w:t>（</w:t>
      </w:r>
      <w:r>
        <w:rPr>
          <w:rFonts w:ascii="宋体" w:hAnsi="宋体" w:cs="Arial"/>
          <w:color w:val="000000"/>
          <w:kern w:val="0"/>
          <w:sz w:val="22"/>
        </w:rPr>
        <w:t>2</w:t>
      </w:r>
      <w:r>
        <w:rPr>
          <w:rFonts w:hint="eastAsia" w:ascii="宋体" w:hAnsi="宋体" w:cs="Arial"/>
          <w:color w:val="000000"/>
          <w:kern w:val="0"/>
          <w:sz w:val="22"/>
        </w:rPr>
        <w:t>）</w:t>
      </w:r>
      <w:r>
        <w:rPr>
          <w:rFonts w:hint="eastAsia" w:ascii="宋体" w:hAnsi="宋体"/>
          <w:color w:val="000000"/>
          <w:sz w:val="22"/>
        </w:rPr>
        <w:t>逾期送达或者未送达指定地点的投标文件，招标人不予受理。</w:t>
      </w:r>
    </w:p>
    <w:p>
      <w:pPr>
        <w:snapToGrid w:val="0"/>
        <w:spacing w:line="276" w:lineRule="auto"/>
        <w:jc w:val="left"/>
        <w:rPr>
          <w:rFonts w:ascii="宋体" w:hAnsi="宋体" w:cs="Arial"/>
          <w:b/>
          <w:bCs/>
          <w:color w:val="000000"/>
          <w:kern w:val="0"/>
          <w:sz w:val="22"/>
        </w:rPr>
      </w:pPr>
      <w:r>
        <w:rPr>
          <w:rFonts w:hint="eastAsia" w:ascii="宋体" w:hAnsi="宋体" w:cs="Arial"/>
          <w:b/>
          <w:bCs/>
          <w:color w:val="000000"/>
          <w:kern w:val="0"/>
          <w:sz w:val="22"/>
        </w:rPr>
        <w:t>五、发布公告的媒介</w:t>
      </w:r>
    </w:p>
    <w:p>
      <w:pPr>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本次招标公告在中国采购与招标网和杭州萧山机场有限公司主页上发布</w:t>
      </w:r>
    </w:p>
    <w:p>
      <w:pPr>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中国采购与招标网</w:t>
      </w:r>
      <w:r>
        <w:fldChar w:fldCharType="begin"/>
      </w:r>
      <w:r>
        <w:instrText xml:space="preserve"> HYPERLINK "http://www.chinabidding.com.cn/" </w:instrText>
      </w:r>
      <w:r>
        <w:fldChar w:fldCharType="separate"/>
      </w:r>
      <w:r>
        <w:rPr>
          <w:rFonts w:hint="eastAsia" w:ascii="宋体" w:hAnsi="宋体" w:cs="Arial"/>
          <w:kern w:val="0"/>
          <w:sz w:val="22"/>
        </w:rPr>
        <w:t>http://www.chinabidding.com.cn</w:t>
      </w:r>
      <w:r>
        <w:rPr>
          <w:rFonts w:hint="eastAsia" w:ascii="宋体" w:hAnsi="宋体" w:cs="Arial"/>
          <w:kern w:val="0"/>
          <w:sz w:val="22"/>
        </w:rPr>
        <w:fldChar w:fldCharType="end"/>
      </w:r>
    </w:p>
    <w:p>
      <w:pPr>
        <w:adjustRightInd w:val="0"/>
        <w:snapToGrid w:val="0"/>
        <w:spacing w:line="276" w:lineRule="auto"/>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snapToGrid w:val="0"/>
        <w:spacing w:line="276" w:lineRule="auto"/>
        <w:jc w:val="left"/>
        <w:rPr>
          <w:rFonts w:ascii="宋体" w:hAnsi="宋体" w:cs="Arial"/>
          <w:b/>
          <w:bCs/>
          <w:color w:val="000000"/>
          <w:kern w:val="0"/>
          <w:sz w:val="22"/>
        </w:rPr>
      </w:pPr>
      <w:r>
        <w:rPr>
          <w:rFonts w:hint="eastAsia" w:ascii="宋体" w:hAnsi="宋体" w:cs="Arial"/>
          <w:b/>
          <w:bCs/>
          <w:color w:val="000000"/>
          <w:kern w:val="0"/>
          <w:sz w:val="22"/>
        </w:rPr>
        <w:t>六、联系方式</w:t>
      </w:r>
    </w:p>
    <w:p>
      <w:pPr>
        <w:adjustRightInd w:val="0"/>
        <w:snapToGrid w:val="0"/>
        <w:spacing w:line="276" w:lineRule="auto"/>
        <w:ind w:firstLine="440" w:firstLineChars="200"/>
        <w:rPr>
          <w:rFonts w:ascii="宋体" w:hAnsi="宋体"/>
          <w:color w:val="000000"/>
          <w:sz w:val="22"/>
        </w:rPr>
      </w:pPr>
      <w:r>
        <w:rPr>
          <w:rFonts w:hint="eastAsia" w:ascii="宋体" w:hAnsi="宋体"/>
          <w:color w:val="000000"/>
          <w:sz w:val="22"/>
        </w:rPr>
        <w:t>投标联系人：贾工</w:t>
      </w:r>
      <w:r>
        <w:rPr>
          <w:rFonts w:ascii="宋体" w:hAnsi="宋体"/>
          <w:color w:val="000000"/>
          <w:sz w:val="22"/>
        </w:rPr>
        <w:t xml:space="preserve">             </w:t>
      </w:r>
      <w:r>
        <w:rPr>
          <w:rFonts w:hint="eastAsia" w:ascii="宋体" w:hAnsi="宋体"/>
          <w:color w:val="000000"/>
          <w:sz w:val="22"/>
        </w:rPr>
        <w:t>联系电话：</w:t>
      </w:r>
      <w:r>
        <w:rPr>
          <w:rFonts w:ascii="宋体" w:hAnsi="宋体"/>
          <w:color w:val="000000"/>
          <w:sz w:val="22"/>
        </w:rPr>
        <w:t>0571-83837612</w:t>
      </w:r>
    </w:p>
    <w:p>
      <w:pPr>
        <w:widowControl/>
        <w:adjustRightInd w:val="0"/>
        <w:snapToGrid w:val="0"/>
        <w:spacing w:line="340" w:lineRule="exact"/>
        <w:ind w:firstLine="440" w:firstLineChars="200"/>
        <w:rPr>
          <w:rFonts w:ascii="宋体" w:hAnsi="宋体"/>
          <w:bCs/>
          <w:sz w:val="22"/>
        </w:rPr>
      </w:pPr>
      <w:r>
        <w:rPr>
          <w:rFonts w:hint="eastAsia" w:ascii="宋体" w:hAnsi="宋体"/>
          <w:sz w:val="22"/>
        </w:rPr>
        <w:t>招标监督人：</w:t>
      </w:r>
      <w:r>
        <w:rPr>
          <w:rFonts w:hint="eastAsia" w:ascii="宋体" w:hAnsi="宋体"/>
          <w:bCs/>
          <w:sz w:val="22"/>
        </w:rPr>
        <w:t xml:space="preserve">阮工          </w:t>
      </w:r>
      <w:r>
        <w:rPr>
          <w:rFonts w:ascii="宋体" w:hAnsi="宋体"/>
          <w:bCs/>
          <w:sz w:val="22"/>
        </w:rPr>
        <w:t xml:space="preserve"> </w:t>
      </w:r>
      <w:r>
        <w:rPr>
          <w:rFonts w:hint="eastAsia" w:ascii="宋体" w:hAnsi="宋体"/>
          <w:bCs/>
          <w:sz w:val="22"/>
        </w:rPr>
        <w:t xml:space="preserve">  联系电话：0</w:t>
      </w:r>
      <w:r>
        <w:rPr>
          <w:rFonts w:ascii="宋体" w:hAnsi="宋体"/>
          <w:bCs/>
          <w:sz w:val="22"/>
        </w:rPr>
        <w:t>571-86662133</w:t>
      </w:r>
    </w:p>
    <w:bookmarkEnd w:id="349"/>
    <w:p>
      <w:pPr>
        <w:adjustRightInd w:val="0"/>
        <w:snapToGrid w:val="0"/>
        <w:spacing w:line="276" w:lineRule="auto"/>
        <w:ind w:firstLine="440" w:firstLineChars="200"/>
        <w:rPr>
          <w:rFonts w:ascii="宋体" w:hAnsi="宋体"/>
          <w:sz w:val="22"/>
        </w:rPr>
      </w:pPr>
    </w:p>
    <w:p>
      <w:pPr>
        <w:pStyle w:val="15"/>
      </w:pPr>
      <w:r>
        <w:rPr>
          <w:rFonts w:ascii="宋体" w:eastAsia="宋体"/>
          <w:bCs w:val="0"/>
          <w:sz w:val="22"/>
          <w:szCs w:val="22"/>
        </w:rPr>
        <w:br w:type="page"/>
      </w:r>
      <w:bookmarkStart w:id="1" w:name="_Toc13826046"/>
      <w:bookmarkStart w:id="2" w:name="_Toc450630557"/>
      <w:r>
        <w:rPr>
          <w:rFonts w:hint="eastAsia"/>
        </w:rPr>
        <w:t>第二章</w:t>
      </w:r>
      <w:r>
        <w:t xml:space="preserve">  </w:t>
      </w:r>
      <w:r>
        <w:rPr>
          <w:rFonts w:hint="eastAsia"/>
        </w:rPr>
        <w:t>投标人须知</w:t>
      </w:r>
      <w:bookmarkEnd w:id="1"/>
      <w:bookmarkEnd w:id="2"/>
    </w:p>
    <w:p>
      <w:pPr>
        <w:pStyle w:val="8"/>
        <w:spacing w:line="240" w:lineRule="auto"/>
        <w:ind w:left="480"/>
        <w:jc w:val="center"/>
        <w:rPr>
          <w:b/>
          <w:sz w:val="28"/>
          <w:szCs w:val="28"/>
        </w:rPr>
      </w:pPr>
      <w:r>
        <w:rPr>
          <w:rFonts w:hint="eastAsia"/>
          <w:b/>
          <w:sz w:val="28"/>
          <w:szCs w:val="28"/>
        </w:rPr>
        <w:t>投标人须知前附表</w:t>
      </w:r>
    </w:p>
    <w:tbl>
      <w:tblPr>
        <w:tblStyle w:val="19"/>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条</w:t>
            </w:r>
            <w:r>
              <w:rPr>
                <w:rFonts w:ascii="宋体" w:hAnsi="宋体" w:cs="Calibri"/>
                <w:color w:val="000000"/>
                <w:kern w:val="0"/>
                <w:sz w:val="22"/>
              </w:rPr>
              <w:t xml:space="preserve"> </w:t>
            </w:r>
            <w:r>
              <w:rPr>
                <w:rFonts w:hint="eastAsia" w:ascii="宋体" w:hAnsi="宋体" w:cs="Calibri"/>
                <w:color w:val="000000"/>
                <w:kern w:val="0"/>
                <w:sz w:val="22"/>
              </w:rPr>
              <w:t>款</w:t>
            </w:r>
            <w:r>
              <w:rPr>
                <w:rFonts w:ascii="宋体" w:hAnsi="宋体" w:cs="Calibri"/>
                <w:color w:val="000000"/>
                <w:kern w:val="0"/>
                <w:sz w:val="22"/>
              </w:rPr>
              <w:t xml:space="preserve"> </w:t>
            </w:r>
            <w:r>
              <w:rPr>
                <w:rFonts w:hint="eastAsia" w:ascii="宋体" w:hAnsi="宋体" w:cs="Calibri"/>
                <w:color w:val="000000"/>
                <w:kern w:val="0"/>
                <w:sz w:val="22"/>
              </w:rPr>
              <w:t>名</w:t>
            </w:r>
            <w:r>
              <w:rPr>
                <w:rFonts w:ascii="宋体" w:hAnsi="宋体" w:cs="Calibri"/>
                <w:color w:val="000000"/>
                <w:kern w:val="0"/>
                <w:sz w:val="22"/>
              </w:rPr>
              <w:t xml:space="preserve"> </w:t>
            </w:r>
            <w:r>
              <w:rPr>
                <w:rFonts w:hint="eastAsia" w:ascii="宋体" w:hAnsi="宋体" w:cs="Calibri"/>
                <w:color w:val="000000"/>
                <w:kern w:val="0"/>
                <w:sz w:val="22"/>
              </w:rPr>
              <w:t>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编</w:t>
            </w:r>
            <w:r>
              <w:rPr>
                <w:rFonts w:ascii="宋体" w:hAnsi="宋体" w:cs="Calibri"/>
                <w:color w:val="000000"/>
                <w:kern w:val="0"/>
                <w:sz w:val="22"/>
              </w:rPr>
              <w:t xml:space="preserve"> </w:t>
            </w:r>
            <w:r>
              <w:rPr>
                <w:rFonts w:hint="eastAsia" w:ascii="宋体" w:hAnsi="宋体" w:cs="Calibri"/>
                <w:color w:val="000000"/>
                <w:kern w:val="0"/>
                <w:sz w:val="22"/>
              </w:rPr>
              <w:t>列</w:t>
            </w:r>
            <w:r>
              <w:rPr>
                <w:rFonts w:ascii="宋体" w:hAnsi="宋体" w:cs="Calibri"/>
                <w:color w:val="000000"/>
                <w:kern w:val="0"/>
                <w:sz w:val="22"/>
              </w:rPr>
              <w:t xml:space="preserve"> </w:t>
            </w:r>
            <w:r>
              <w:rPr>
                <w:rFonts w:hint="eastAsia" w:ascii="宋体" w:hAnsi="宋体" w:cs="Calibri"/>
                <w:color w:val="000000"/>
                <w:kern w:val="0"/>
                <w:sz w:val="22"/>
              </w:rPr>
              <w:t>内</w:t>
            </w:r>
            <w:r>
              <w:rPr>
                <w:rFonts w:ascii="宋体" w:hAnsi="宋体" w:cs="Calibri"/>
                <w:color w:val="000000"/>
                <w:kern w:val="0"/>
                <w:sz w:val="22"/>
              </w:rPr>
              <w:t xml:space="preserve"> </w:t>
            </w:r>
            <w:r>
              <w:rPr>
                <w:rFonts w:hint="eastAsia" w:ascii="宋体" w:hAnsi="宋体" w:cs="Calibri"/>
                <w:color w:val="000000"/>
                <w:kern w:val="0"/>
                <w:sz w:val="22"/>
              </w:rPr>
              <w:t>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sz w:val="22"/>
              </w:rPr>
              <w:t>1.1.1</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项目名称</w:t>
            </w:r>
          </w:p>
        </w:tc>
        <w:tc>
          <w:tcPr>
            <w:tcW w:w="6487" w:type="dxa"/>
            <w:vAlign w:val="center"/>
          </w:tcPr>
          <w:p>
            <w:pPr>
              <w:autoSpaceDE w:val="0"/>
              <w:autoSpaceDN w:val="0"/>
              <w:adjustRightInd w:val="0"/>
              <w:snapToGrid w:val="0"/>
              <w:rPr>
                <w:rFonts w:ascii="宋体" w:hAnsi="宋体" w:cs="Calibri"/>
                <w:color w:val="FF0000"/>
                <w:kern w:val="0"/>
                <w:sz w:val="22"/>
              </w:rPr>
            </w:pPr>
            <w:r>
              <w:rPr>
                <w:rFonts w:hint="eastAsia" w:ascii="宋体" w:hAnsi="宋体" w:cs="Calibri"/>
                <w:kern w:val="0"/>
                <w:sz w:val="22"/>
              </w:rPr>
              <w:t>杭州萧山国际机场场区高空监控工程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1" w:type="dxa"/>
            <w:vAlign w:val="center"/>
          </w:tcPr>
          <w:p>
            <w:pPr>
              <w:autoSpaceDE w:val="0"/>
              <w:autoSpaceDN w:val="0"/>
              <w:adjustRightInd w:val="0"/>
              <w:snapToGrid w:val="0"/>
              <w:jc w:val="center"/>
              <w:rPr>
                <w:rFonts w:ascii="宋体" w:hAnsi="宋体" w:cs="Calibri"/>
                <w:color w:val="000000"/>
                <w:sz w:val="22"/>
              </w:rPr>
            </w:pPr>
            <w:r>
              <w:rPr>
                <w:rFonts w:ascii="宋体" w:hAnsi="宋体" w:cs="Calibri"/>
                <w:color w:val="000000"/>
                <w:sz w:val="22"/>
              </w:rPr>
              <w:t>1.1.2</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建设地点</w:t>
            </w:r>
          </w:p>
        </w:tc>
        <w:tc>
          <w:tcPr>
            <w:tcW w:w="6487" w:type="dxa"/>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杭州萧山国际机场</w:t>
            </w:r>
            <w:r>
              <w:rPr>
                <w:rFonts w:hint="eastAsia" w:ascii="宋体" w:hAnsi="宋体" w:cs="Calibri"/>
                <w:color w:val="000000"/>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sz w:val="22"/>
              </w:rPr>
            </w:pPr>
            <w:r>
              <w:rPr>
                <w:rFonts w:ascii="宋体" w:hAnsi="宋体" w:cs="Calibri"/>
                <w:color w:val="000000"/>
                <w:sz w:val="22"/>
              </w:rPr>
              <w:t>1.2</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资金来源</w:t>
            </w:r>
          </w:p>
        </w:tc>
        <w:tc>
          <w:tcPr>
            <w:tcW w:w="6487" w:type="dxa"/>
            <w:vAlign w:val="center"/>
          </w:tcPr>
          <w:p>
            <w:pPr>
              <w:autoSpaceDE w:val="0"/>
              <w:autoSpaceDN w:val="0"/>
              <w:adjustRightInd w:val="0"/>
              <w:snapToGrid w:val="0"/>
              <w:rPr>
                <w:rFonts w:ascii="宋体" w:hAnsi="宋体" w:cs="Calibri"/>
                <w:color w:val="000000"/>
                <w:kern w:val="0"/>
                <w:sz w:val="22"/>
              </w:rPr>
            </w:pPr>
            <w:r>
              <w:rPr>
                <w:rStyle w:val="23"/>
                <w:rFonts w:hint="eastAsia" w:ascii="宋体" w:hAnsi="宋体" w:cs="Calibri"/>
                <w:color w:val="000000"/>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1.3</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招标内容</w:t>
            </w:r>
          </w:p>
        </w:tc>
        <w:tc>
          <w:tcPr>
            <w:tcW w:w="6487" w:type="dxa"/>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详见招标文件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1.4</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招标方式</w:t>
            </w:r>
          </w:p>
        </w:tc>
        <w:tc>
          <w:tcPr>
            <w:tcW w:w="6487" w:type="dxa"/>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1.5</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资格审查</w:t>
            </w:r>
          </w:p>
        </w:tc>
        <w:tc>
          <w:tcPr>
            <w:tcW w:w="6487" w:type="dxa"/>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1.6</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投标人资质条件、能力和信誉</w:t>
            </w:r>
          </w:p>
        </w:tc>
        <w:tc>
          <w:tcPr>
            <w:tcW w:w="6487" w:type="dxa"/>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详见招标公告“</w:t>
            </w:r>
            <w:r>
              <w:rPr>
                <w:rFonts w:hint="eastAsia" w:ascii="宋体" w:hAnsi="宋体"/>
                <w:color w:val="000000"/>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1.7</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工期要求</w:t>
            </w:r>
          </w:p>
        </w:tc>
        <w:tc>
          <w:tcPr>
            <w:tcW w:w="6487" w:type="dxa"/>
            <w:vAlign w:val="center"/>
          </w:tcPr>
          <w:p>
            <w:pPr>
              <w:autoSpaceDE w:val="0"/>
              <w:autoSpaceDN w:val="0"/>
              <w:adjustRightInd w:val="0"/>
              <w:snapToGrid w:val="0"/>
              <w:rPr>
                <w:rFonts w:ascii="宋体" w:hAnsi="宋体" w:cs="Calibri"/>
                <w:color w:val="000000"/>
                <w:kern w:val="0"/>
                <w:sz w:val="22"/>
              </w:rPr>
            </w:pPr>
            <w:r>
              <w:rPr>
                <w:rFonts w:hint="eastAsia" w:ascii="宋体" w:hAnsi="宋体"/>
                <w:b/>
                <w:bCs/>
                <w:sz w:val="22"/>
                <w:szCs w:val="22"/>
              </w:rPr>
              <w:t>合同签订</w:t>
            </w:r>
            <w:r>
              <w:rPr>
                <w:rFonts w:ascii="宋体" w:hAnsi="宋体"/>
                <w:b/>
                <w:bCs/>
                <w:sz w:val="22"/>
                <w:szCs w:val="22"/>
              </w:rPr>
              <w:t>后</w:t>
            </w:r>
            <w:r>
              <w:rPr>
                <w:rFonts w:hint="eastAsia" w:ascii="宋体" w:hAnsi="宋体"/>
                <w:b/>
                <w:bCs/>
                <w:sz w:val="22"/>
                <w:szCs w:val="22"/>
                <w:u w:val="single"/>
              </w:rPr>
              <w:t xml:space="preserve">90 </w:t>
            </w:r>
            <w:r>
              <w:rPr>
                <w:rFonts w:hint="eastAsia" w:ascii="宋体" w:hAnsi="宋体"/>
                <w:b/>
                <w:bCs/>
                <w:sz w:val="22"/>
                <w:szCs w:val="22"/>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1.8</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质量要求</w:t>
            </w:r>
          </w:p>
        </w:tc>
        <w:tc>
          <w:tcPr>
            <w:tcW w:w="6487" w:type="dxa"/>
            <w:vAlign w:val="center"/>
          </w:tcPr>
          <w:p>
            <w:pPr>
              <w:autoSpaceDE w:val="0"/>
              <w:autoSpaceDN w:val="0"/>
              <w:adjustRightInd w:val="0"/>
              <w:snapToGrid w:val="0"/>
              <w:rPr>
                <w:rFonts w:ascii="宋体" w:hAnsi="宋体"/>
                <w:color w:val="000000"/>
                <w:sz w:val="22"/>
              </w:rPr>
            </w:pPr>
            <w:r>
              <w:rPr>
                <w:rFonts w:hint="eastAsia" w:ascii="宋体" w:hAnsi="宋体"/>
                <w:color w:val="000000"/>
                <w:sz w:val="22"/>
              </w:rPr>
              <w:t>符合</w:t>
            </w:r>
            <w:r>
              <w:rPr>
                <w:rFonts w:hint="eastAsia" w:ascii="宋体" w:hAnsi="宋体" w:cs="Arial"/>
                <w:color w:val="000000"/>
                <w:sz w:val="22"/>
              </w:rPr>
              <w:t>行业部门和机场公司相关规定的</w:t>
            </w:r>
            <w:r>
              <w:rPr>
                <w:rFonts w:hint="eastAsia" w:ascii="宋体" w:hAnsi="宋体"/>
                <w:color w:val="000000"/>
                <w:sz w:val="22"/>
              </w:rPr>
              <w:t>要求</w:t>
            </w:r>
            <w:r>
              <w:rPr>
                <w:rFonts w:ascii="宋体" w:hAnsi="宋体" w:cs="Arial"/>
                <w:color w:val="000000"/>
                <w:sz w:val="22"/>
              </w:rPr>
              <w:t>(</w:t>
            </w:r>
            <w:r>
              <w:rPr>
                <w:rFonts w:hint="eastAsia" w:ascii="宋体" w:hAnsi="宋体" w:cs="Arial"/>
                <w:color w:val="000000"/>
                <w:sz w:val="22"/>
              </w:rPr>
              <w:t>详细见招标文件</w:t>
            </w:r>
            <w:r>
              <w:rPr>
                <w:rFonts w:ascii="宋体" w:hAnsi="宋体" w:cs="Arial"/>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1.9.1</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踏勘现场</w:t>
            </w:r>
          </w:p>
        </w:tc>
        <w:tc>
          <w:tcPr>
            <w:tcW w:w="6487" w:type="dxa"/>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□不组织，</w:t>
            </w:r>
            <w:r>
              <w:rPr>
                <w:rFonts w:hint="eastAsia" w:ascii="宋体" w:hAnsi="宋体" w:cs="Arial"/>
                <w:color w:val="000000"/>
              </w:rPr>
              <w:t>投标人如有需要，可自行前往。</w:t>
            </w:r>
          </w:p>
          <w:p>
            <w:pPr>
              <w:autoSpaceDE w:val="0"/>
              <w:autoSpaceDN w:val="0"/>
              <w:adjustRightInd w:val="0"/>
              <w:snapToGrid w:val="0"/>
              <w:rPr>
                <w:rFonts w:hint="eastAsia" w:ascii="宋体" w:hAnsi="宋体" w:cs="Calibri"/>
                <w:kern w:val="0"/>
                <w:sz w:val="22"/>
                <w:lang w:val="en-US" w:eastAsia="zh-CN"/>
              </w:rPr>
            </w:pPr>
            <w:r>
              <w:rPr>
                <w:rFonts w:hint="eastAsia" w:ascii="宋体" w:hAnsi="宋体" w:cs="Calibri"/>
                <w:kern w:val="0"/>
                <w:sz w:val="22"/>
              </w:rPr>
              <w:sym w:font="Wingdings" w:char="F0FE"/>
            </w:r>
            <w:r>
              <w:rPr>
                <w:rFonts w:hint="eastAsia" w:ascii="宋体" w:hAnsi="宋体" w:cs="Calibri"/>
                <w:kern w:val="0"/>
                <w:sz w:val="22"/>
              </w:rPr>
              <w:t>组织，踏勘时间：2</w:t>
            </w:r>
            <w:r>
              <w:rPr>
                <w:rFonts w:ascii="宋体" w:hAnsi="宋体" w:cs="Calibri"/>
                <w:kern w:val="0"/>
                <w:sz w:val="22"/>
              </w:rPr>
              <w:t>019</w:t>
            </w:r>
            <w:r>
              <w:rPr>
                <w:rFonts w:hint="eastAsia" w:ascii="宋体" w:hAnsi="宋体" w:cs="Calibri"/>
                <w:kern w:val="0"/>
                <w:sz w:val="22"/>
              </w:rPr>
              <w:t>年</w:t>
            </w:r>
            <w:r>
              <w:rPr>
                <w:rFonts w:hint="eastAsia" w:ascii="宋体" w:hAnsi="宋体" w:cs="Calibri"/>
                <w:kern w:val="0"/>
                <w:sz w:val="22"/>
                <w:lang w:val="en-US" w:eastAsia="zh-CN"/>
              </w:rPr>
              <w:t>9</w:t>
            </w:r>
            <w:r>
              <w:rPr>
                <w:rFonts w:hint="eastAsia" w:ascii="宋体" w:hAnsi="宋体" w:cs="Calibri"/>
                <w:kern w:val="0"/>
                <w:sz w:val="22"/>
              </w:rPr>
              <w:t>月</w:t>
            </w:r>
            <w:r>
              <w:rPr>
                <w:rFonts w:hint="eastAsia" w:ascii="宋体" w:hAnsi="宋体" w:cs="Calibri"/>
                <w:kern w:val="0"/>
                <w:sz w:val="22"/>
                <w:lang w:val="en-US" w:eastAsia="zh-CN"/>
              </w:rPr>
              <w:t>20</w:t>
            </w:r>
            <w:r>
              <w:rPr>
                <w:rFonts w:hint="eastAsia" w:ascii="宋体" w:hAnsi="宋体" w:cs="Calibri"/>
                <w:kern w:val="0"/>
                <w:sz w:val="22"/>
              </w:rPr>
              <w:t xml:space="preserve">日 </w:t>
            </w:r>
            <w:r>
              <w:rPr>
                <w:rFonts w:ascii="宋体" w:hAnsi="宋体" w:cs="Calibri"/>
                <w:kern w:val="0"/>
                <w:sz w:val="22"/>
              </w:rPr>
              <w:t xml:space="preserve"> </w:t>
            </w:r>
            <w:r>
              <w:rPr>
                <w:rFonts w:hint="eastAsia" w:ascii="宋体" w:hAnsi="宋体" w:cs="Calibri"/>
                <w:kern w:val="0"/>
                <w:sz w:val="22"/>
              </w:rPr>
              <w:t>上午</w:t>
            </w:r>
            <w:r>
              <w:rPr>
                <w:rFonts w:hint="eastAsia" w:ascii="宋体" w:hAnsi="宋体" w:cs="Calibri"/>
                <w:kern w:val="0"/>
                <w:sz w:val="22"/>
                <w:lang w:val="en-US" w:eastAsia="zh-CN"/>
              </w:rPr>
              <w:t>9:00</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踏勘集中地点：杭州萧山国际机场翔越路综合服务楼园区招标中心</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联系方式：贾工，</w:t>
            </w:r>
            <w:r>
              <w:rPr>
                <w:rFonts w:ascii="宋体" w:hAnsi="宋体" w:cs="Calibri"/>
                <w:color w:val="000000"/>
                <w:kern w:val="0"/>
                <w:sz w:val="22"/>
              </w:rPr>
              <w:t>83837612</w:t>
            </w:r>
          </w:p>
          <w:p>
            <w:pPr>
              <w:autoSpaceDE w:val="0"/>
              <w:autoSpaceDN w:val="0"/>
              <w:adjustRightInd w:val="0"/>
              <w:snapToGrid w:val="0"/>
              <w:rPr>
                <w:rFonts w:ascii="宋体" w:hAnsi="宋体" w:cs="Calibri"/>
                <w:color w:val="000000"/>
                <w:kern w:val="0"/>
                <w:sz w:val="22"/>
              </w:rPr>
            </w:pPr>
            <w:r>
              <w:rPr>
                <w:rFonts w:hint="eastAsia" w:ascii="宋体" w:hAnsi="宋体" w:cs="Arial"/>
                <w:color w:val="000000"/>
                <w:sz w:val="22"/>
              </w:rPr>
              <w:t>（</w:t>
            </w:r>
            <w:r>
              <w:rPr>
                <w:rFonts w:hint="eastAsia" w:ascii="宋体" w:hAnsi="宋体" w:cs="Arial"/>
                <w:b/>
                <w:color w:val="000000"/>
                <w:sz w:val="22"/>
              </w:rPr>
              <w:t>由于未参加现场踏勘引起的报价失误等责任由投标人自负</w:t>
            </w:r>
            <w:r>
              <w:rPr>
                <w:rFonts w:hint="eastAsia" w:ascii="宋体" w:hAnsi="宋体" w:cs="Arial"/>
                <w:color w:val="00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1.10</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投标预备会</w:t>
            </w:r>
          </w:p>
        </w:tc>
        <w:tc>
          <w:tcPr>
            <w:tcW w:w="6487" w:type="dxa"/>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sym w:font="Wingdings" w:char="F0FE"/>
            </w:r>
            <w:r>
              <w:rPr>
                <w:rFonts w:hint="eastAsia" w:ascii="宋体" w:hAnsi="宋体" w:cs="Calibri"/>
                <w:color w:val="000000"/>
                <w:kern w:val="0"/>
                <w:sz w:val="22"/>
              </w:rPr>
              <w:t>不召开</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□召开，召开时间：</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召开地点：</w:t>
            </w:r>
            <w:r>
              <w:rPr>
                <w:rFonts w:ascii="宋体" w:hAnsi="宋体" w:cs="Calibri"/>
                <w:color w:val="000000"/>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2.2.1</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投标人提出问题的截止时间</w:t>
            </w:r>
          </w:p>
        </w:tc>
        <w:tc>
          <w:tcPr>
            <w:tcW w:w="6487" w:type="dxa"/>
            <w:vAlign w:val="center"/>
          </w:tcPr>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201</w:t>
            </w:r>
            <w:r>
              <w:rPr>
                <w:rFonts w:hint="eastAsia" w:ascii="宋体" w:hAnsi="宋体" w:cs="Calibri"/>
                <w:color w:val="000000"/>
                <w:kern w:val="0"/>
                <w:sz w:val="22"/>
              </w:rPr>
              <w:t>9年</w:t>
            </w:r>
            <w:r>
              <w:rPr>
                <w:rFonts w:hint="eastAsia" w:ascii="宋体" w:hAnsi="宋体" w:cs="Calibri"/>
                <w:color w:val="000000"/>
                <w:kern w:val="0"/>
                <w:sz w:val="22"/>
                <w:lang w:val="en-US" w:eastAsia="zh-CN"/>
              </w:rPr>
              <w:t>9</w:t>
            </w:r>
            <w:r>
              <w:rPr>
                <w:rFonts w:hint="eastAsia" w:ascii="宋体" w:hAnsi="宋体" w:cs="Calibri"/>
                <w:color w:val="000000"/>
                <w:kern w:val="0"/>
                <w:sz w:val="22"/>
              </w:rPr>
              <w:t>月</w:t>
            </w:r>
            <w:r>
              <w:rPr>
                <w:rFonts w:hint="eastAsia" w:ascii="宋体" w:hAnsi="宋体" w:cs="Calibri"/>
                <w:color w:val="000000"/>
                <w:kern w:val="0"/>
                <w:sz w:val="22"/>
                <w:lang w:val="en-US" w:eastAsia="zh-CN"/>
              </w:rPr>
              <w:t>20</w:t>
            </w:r>
            <w:r>
              <w:rPr>
                <w:rFonts w:hint="eastAsia" w:ascii="宋体" w:hAnsi="宋体" w:cs="Calibri"/>
                <w:color w:val="000000"/>
                <w:kern w:val="0"/>
                <w:sz w:val="22"/>
              </w:rPr>
              <w:t>日</w:t>
            </w:r>
            <w:r>
              <w:rPr>
                <w:rFonts w:ascii="宋体" w:hAnsi="宋体" w:cs="Calibri"/>
                <w:color w:val="000000"/>
                <w:kern w:val="0"/>
                <w:sz w:val="22"/>
              </w:rPr>
              <w:t>11:30</w:t>
            </w:r>
            <w:r>
              <w:rPr>
                <w:rFonts w:hint="eastAsia" w:ascii="宋体" w:hAnsi="宋体" w:cs="Calibri"/>
                <w:color w:val="000000"/>
                <w:kern w:val="0"/>
                <w:sz w:val="22"/>
              </w:rPr>
              <w:t>前，以书面加盖公章的形式通过</w:t>
            </w:r>
            <w:r>
              <w:rPr>
                <w:rFonts w:ascii="宋体" w:hAnsi="宋体" w:cs="Calibri"/>
                <w:color w:val="000000"/>
                <w:kern w:val="0"/>
                <w:sz w:val="22"/>
              </w:rPr>
              <w:t>E-mail</w:t>
            </w:r>
            <w:r>
              <w:rPr>
                <w:rFonts w:hint="eastAsia" w:ascii="宋体" w:hAnsi="宋体" w:cs="Calibri"/>
                <w:color w:val="000000"/>
                <w:kern w:val="0"/>
                <w:sz w:val="22"/>
              </w:rPr>
              <w:t>或传真提交给招标人（投标联系人</w:t>
            </w:r>
            <w:r>
              <w:rPr>
                <w:rFonts w:ascii="宋体" w:hAnsi="宋体" w:cs="Calibri"/>
                <w:color w:val="000000"/>
                <w:kern w:val="0"/>
                <w:sz w:val="22"/>
              </w:rPr>
              <w:t>:</w:t>
            </w:r>
            <w:r>
              <w:rPr>
                <w:rFonts w:hint="eastAsia" w:ascii="宋体" w:hAnsi="宋体" w:cs="Calibri"/>
                <w:color w:val="000000"/>
                <w:kern w:val="0"/>
                <w:sz w:val="22"/>
              </w:rPr>
              <w:t>贾工，电话</w:t>
            </w:r>
            <w:r>
              <w:rPr>
                <w:rFonts w:ascii="宋体" w:hAnsi="宋体" w:cs="Calibri"/>
                <w:color w:val="000000"/>
                <w:kern w:val="0"/>
                <w:sz w:val="22"/>
              </w:rPr>
              <w:t>0571-83837612</w:t>
            </w:r>
            <w:r>
              <w:rPr>
                <w:rFonts w:hint="eastAsia" w:ascii="宋体" w:hAnsi="宋体" w:cs="Calibri"/>
                <w:color w:val="000000"/>
                <w:kern w:val="0"/>
                <w:sz w:val="22"/>
              </w:rPr>
              <w:t>；传真：</w:t>
            </w:r>
            <w:r>
              <w:rPr>
                <w:rFonts w:ascii="宋体" w:hAnsi="宋体" w:cs="Calibri"/>
                <w:color w:val="000000"/>
                <w:kern w:val="0"/>
                <w:sz w:val="22"/>
              </w:rPr>
              <w:t>0571-83837612</w:t>
            </w:r>
            <w:r>
              <w:rPr>
                <w:rFonts w:hint="eastAsia" w:ascii="宋体" w:hAnsi="宋体" w:cs="Calibri"/>
                <w:color w:val="000000"/>
                <w:kern w:val="0"/>
                <w:sz w:val="22"/>
              </w:rPr>
              <w:t>；电子邮箱：</w:t>
            </w:r>
            <w:r>
              <w:rPr>
                <w:rFonts w:ascii="宋体" w:hAnsi="宋体" w:cs="Calibri"/>
                <w:color w:val="000000"/>
                <w:kern w:val="0"/>
                <w:sz w:val="22"/>
              </w:rPr>
              <w:t>zbzx@hzairport.com</w:t>
            </w:r>
            <w:r>
              <w:rPr>
                <w:rFonts w:hint="eastAsia" w:ascii="宋体" w:hAnsi="宋体" w:cs="Calibri"/>
                <w:color w:val="000000"/>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2.2.3</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2.3.2</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3.3</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投标报价</w:t>
            </w:r>
          </w:p>
        </w:tc>
        <w:tc>
          <w:tcPr>
            <w:tcW w:w="6487" w:type="dxa"/>
            <w:vAlign w:val="center"/>
          </w:tcPr>
          <w:p>
            <w:pPr>
              <w:autoSpaceDE w:val="0"/>
              <w:autoSpaceDN w:val="0"/>
              <w:adjustRightInd w:val="0"/>
              <w:snapToGrid w:val="0"/>
              <w:rPr>
                <w:rFonts w:ascii="宋体" w:hAnsi="宋体" w:cs="Calibri"/>
                <w:color w:val="000000"/>
                <w:kern w:val="0"/>
              </w:rPr>
            </w:pPr>
            <w:r>
              <w:rPr>
                <w:rFonts w:hint="eastAsia" w:ascii="宋体" w:hAnsi="宋体" w:cs="Calibri"/>
                <w:color w:val="000000"/>
                <w:kern w:val="0"/>
                <w:sz w:val="22"/>
              </w:rPr>
              <w:t>投标人应充分考虑以下各项风险因素可能导致发生或增加的费用，并计入投标报价中，不报视作优惠。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3.4.1</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投标有效期</w:t>
            </w:r>
          </w:p>
        </w:tc>
        <w:tc>
          <w:tcPr>
            <w:tcW w:w="6487" w:type="dxa"/>
            <w:vAlign w:val="center"/>
          </w:tcPr>
          <w:p>
            <w:pPr>
              <w:autoSpaceDE w:val="0"/>
              <w:autoSpaceDN w:val="0"/>
              <w:adjustRightInd w:val="0"/>
              <w:snapToGrid w:val="0"/>
              <w:rPr>
                <w:rFonts w:ascii="宋体" w:hAnsi="宋体" w:cs="Calibri"/>
                <w:color w:val="000000"/>
                <w:kern w:val="0"/>
                <w:sz w:val="22"/>
              </w:rPr>
            </w:pPr>
            <w:r>
              <w:rPr>
                <w:rFonts w:ascii="宋体" w:hAnsi="宋体" w:cs="Calibri"/>
                <w:color w:val="000000"/>
                <w:kern w:val="0"/>
                <w:sz w:val="22"/>
              </w:rPr>
              <w:t>120</w:t>
            </w:r>
            <w:r>
              <w:rPr>
                <w:rFonts w:hint="eastAsia" w:ascii="宋体" w:hAnsi="宋体" w:cs="Calibri"/>
                <w:color w:val="000000"/>
                <w:kern w:val="0"/>
                <w:sz w:val="22"/>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3.5.1</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投标保证金</w:t>
            </w:r>
          </w:p>
        </w:tc>
        <w:tc>
          <w:tcPr>
            <w:tcW w:w="6487" w:type="dxa"/>
            <w:vAlign w:val="center"/>
          </w:tcPr>
          <w:p>
            <w:pPr>
              <w:snapToGrid w:val="0"/>
              <w:rPr>
                <w:rFonts w:ascii="宋体" w:hAnsi="宋体"/>
                <w:color w:val="000000"/>
                <w:sz w:val="22"/>
              </w:rPr>
            </w:pPr>
            <w:r>
              <w:rPr>
                <w:rFonts w:hint="eastAsia" w:ascii="宋体" w:hAnsi="宋体"/>
                <w:color w:val="000000"/>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3.6.3</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签字或盖章要求</w:t>
            </w:r>
          </w:p>
        </w:tc>
        <w:tc>
          <w:tcPr>
            <w:tcW w:w="6487" w:type="dxa"/>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b/>
                <w:color w:val="000000"/>
                <w:kern w:val="0"/>
                <w:sz w:val="22"/>
              </w:rPr>
              <w:t>投标文件封面（或扉页）、投标函以及各类报价表</w:t>
            </w:r>
            <w:r>
              <w:rPr>
                <w:rFonts w:hint="eastAsia" w:ascii="宋体" w:hAnsi="宋体" w:cs="Calibri"/>
                <w:color w:val="000000"/>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3.6.4</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投标文件份数</w:t>
            </w:r>
          </w:p>
        </w:tc>
        <w:tc>
          <w:tcPr>
            <w:tcW w:w="6487" w:type="dxa"/>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3.6.5</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装订要求</w:t>
            </w:r>
          </w:p>
        </w:tc>
        <w:tc>
          <w:tcPr>
            <w:tcW w:w="6487" w:type="dxa"/>
            <w:vAlign w:val="center"/>
          </w:tcPr>
          <w:p>
            <w:pPr>
              <w:autoSpaceDE w:val="0"/>
              <w:autoSpaceDN w:val="0"/>
              <w:adjustRightInd w:val="0"/>
              <w:snapToGrid w:val="0"/>
              <w:rPr>
                <w:rFonts w:ascii="宋体" w:hAnsi="宋体"/>
              </w:rPr>
            </w:pPr>
            <w:r>
              <w:rPr>
                <w:rFonts w:hint="eastAsia" w:ascii="宋体" w:hAnsi="宋体" w:cs="Calibri"/>
                <w:color w:val="000000"/>
                <w:kern w:val="0"/>
                <w:sz w:val="22"/>
              </w:rPr>
              <w:t>按照投标人须知</w:t>
            </w:r>
            <w:r>
              <w:rPr>
                <w:rFonts w:ascii="宋体" w:hAnsi="宋体" w:cs="Calibri"/>
                <w:color w:val="000000"/>
                <w:kern w:val="0"/>
                <w:sz w:val="22"/>
              </w:rPr>
              <w:t>3.2</w:t>
            </w:r>
            <w:r>
              <w:rPr>
                <w:rFonts w:hint="eastAsia" w:ascii="宋体" w:hAnsi="宋体" w:cs="Calibri"/>
                <w:color w:val="000000"/>
                <w:kern w:val="0"/>
                <w:sz w:val="22"/>
              </w:rPr>
              <w:t>项约定的投标文件组成内容，投标文件应按以下要求装订：</w:t>
            </w:r>
          </w:p>
          <w:p>
            <w:pPr>
              <w:autoSpaceDE w:val="0"/>
              <w:autoSpaceDN w:val="0"/>
              <w:adjustRightInd w:val="0"/>
              <w:snapToGrid w:val="0"/>
              <w:rPr>
                <w:rFonts w:ascii="宋体" w:hAnsi="宋体"/>
              </w:rPr>
            </w:pPr>
            <w:r>
              <w:rPr>
                <w:rFonts w:ascii="宋体" w:hAnsi="宋体"/>
              </w:rPr>
              <w:t>(不分册装订</w:t>
            </w:r>
          </w:p>
          <w:p>
            <w:pPr>
              <w:autoSpaceDE w:val="0"/>
              <w:autoSpaceDN w:val="0"/>
              <w:adjustRightInd w:val="0"/>
              <w:snapToGrid w:val="0"/>
              <w:rPr>
                <w:rFonts w:ascii="宋体" w:hAnsi="宋体"/>
              </w:rPr>
            </w:pPr>
            <w:r>
              <w:rPr>
                <w:rFonts w:ascii="宋体" w:hAnsi="宋体"/>
              </w:rPr>
              <w:t>□分册装订</w:t>
            </w:r>
          </w:p>
          <w:p>
            <w:pPr>
              <w:autoSpaceDE w:val="0"/>
              <w:autoSpaceDN w:val="0"/>
              <w:adjustRightInd w:val="0"/>
              <w:snapToGrid w:val="0"/>
              <w:rPr>
                <w:rFonts w:ascii="宋体" w:hAnsi="宋体"/>
              </w:rPr>
            </w:pPr>
            <w:r>
              <w:rPr>
                <w:rFonts w:ascii="宋体" w:hAnsi="宋体"/>
              </w:rPr>
              <w:t>每册采用 胶装 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4.1.2</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封套上写明</w:t>
            </w:r>
          </w:p>
        </w:tc>
        <w:tc>
          <w:tcPr>
            <w:tcW w:w="6487" w:type="dxa"/>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招标人的地址：</w:t>
            </w:r>
            <w:r>
              <w:rPr>
                <w:rFonts w:hint="eastAsia" w:ascii="宋体" w:hAnsi="宋体"/>
                <w:color w:val="000000"/>
                <w:sz w:val="22"/>
                <w:u w:val="single"/>
              </w:rPr>
              <w:t>杭州萧山国际机场内</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招标人名称：</w:t>
            </w:r>
            <w:r>
              <w:rPr>
                <w:rFonts w:hint="eastAsia" w:ascii="宋体" w:hAnsi="宋体" w:cs="Calibri"/>
                <w:color w:val="000000"/>
                <w:kern w:val="0"/>
                <w:sz w:val="22"/>
                <w:u w:val="single"/>
              </w:rPr>
              <w:t>杭州萧山国际机场有限公司</w:t>
            </w:r>
          </w:p>
          <w:p>
            <w:pPr>
              <w:autoSpaceDE w:val="0"/>
              <w:autoSpaceDN w:val="0"/>
              <w:adjustRightInd w:val="0"/>
              <w:snapToGrid w:val="0"/>
              <w:rPr>
                <w:rFonts w:ascii="宋体" w:hAnsi="宋体" w:cs="Calibri"/>
                <w:color w:val="000000"/>
                <w:kern w:val="0"/>
                <w:sz w:val="22"/>
              </w:rPr>
            </w:pPr>
            <w:r>
              <w:rPr>
                <w:rFonts w:hint="eastAsia" w:ascii="宋体" w:hAnsi="宋体"/>
                <w:color w:val="000000"/>
                <w:sz w:val="22"/>
              </w:rPr>
              <w:t>项目名称：</w:t>
            </w:r>
            <w:r>
              <w:rPr>
                <w:rFonts w:hint="eastAsia" w:ascii="宋体" w:hAnsi="宋体"/>
                <w:sz w:val="22"/>
                <w:u w:val="single"/>
              </w:rPr>
              <w:t>杭州萧山国际机场场区高空监控工程</w:t>
            </w:r>
            <w:r>
              <w:rPr>
                <w:rFonts w:hint="eastAsia" w:ascii="宋体" w:hAnsi="宋体"/>
                <w:sz w:val="22"/>
              </w:rPr>
              <w:t>投</w:t>
            </w:r>
            <w:r>
              <w:rPr>
                <w:rFonts w:hint="eastAsia" w:ascii="宋体" w:hAnsi="宋体"/>
                <w:color w:val="000000"/>
                <w:sz w:val="22"/>
              </w:rPr>
              <w:t>标文件</w:t>
            </w:r>
            <w:r>
              <w:rPr>
                <w:rFonts w:hint="eastAsia" w:ascii="宋体" w:hAnsi="宋体" w:cs="Calibri"/>
                <w:color w:val="000000"/>
                <w:kern w:val="0"/>
                <w:sz w:val="22"/>
              </w:rPr>
              <w:t>在</w:t>
            </w:r>
            <w:r>
              <w:rPr>
                <w:rFonts w:hint="eastAsia" w:ascii="宋体" w:hAnsi="宋体" w:cs="Calibri"/>
                <w:color w:val="000000"/>
                <w:kern w:val="0"/>
                <w:sz w:val="22"/>
                <w:u w:val="single"/>
              </w:rPr>
              <w:t xml:space="preserve"> 2019年</w:t>
            </w:r>
            <w:r>
              <w:rPr>
                <w:rFonts w:hint="eastAsia" w:ascii="宋体" w:hAnsi="宋体" w:cs="Calibri"/>
                <w:color w:val="000000"/>
                <w:kern w:val="0"/>
                <w:sz w:val="22"/>
                <w:u w:val="single"/>
                <w:lang w:val="en-US" w:eastAsia="zh-CN"/>
              </w:rPr>
              <w:t>9</w:t>
            </w:r>
            <w:r>
              <w:rPr>
                <w:rFonts w:hint="eastAsia" w:ascii="宋体" w:hAnsi="宋体" w:cs="Calibri"/>
                <w:color w:val="000000"/>
                <w:kern w:val="0"/>
                <w:sz w:val="22"/>
                <w:u w:val="single"/>
              </w:rPr>
              <w:t>月</w:t>
            </w:r>
            <w:r>
              <w:rPr>
                <w:rFonts w:hint="eastAsia" w:ascii="宋体" w:hAnsi="宋体" w:cs="Calibri"/>
                <w:color w:val="000000"/>
                <w:kern w:val="0"/>
                <w:sz w:val="22"/>
                <w:u w:val="single"/>
                <w:lang w:val="en-US" w:eastAsia="zh-CN"/>
              </w:rPr>
              <w:t>29</w:t>
            </w:r>
            <w:r>
              <w:rPr>
                <w:rFonts w:hint="eastAsia" w:ascii="宋体" w:hAnsi="宋体" w:cs="Calibri"/>
                <w:color w:val="000000"/>
                <w:kern w:val="0"/>
                <w:sz w:val="22"/>
                <w:u w:val="single"/>
              </w:rPr>
              <w:t>日</w:t>
            </w:r>
            <w:r>
              <w:rPr>
                <w:rFonts w:hint="eastAsia" w:ascii="宋体" w:hAnsi="宋体" w:cs="Calibri"/>
                <w:color w:val="000000"/>
                <w:kern w:val="0"/>
                <w:sz w:val="22"/>
                <w:u w:val="single"/>
                <w:lang w:eastAsia="zh-CN"/>
              </w:rPr>
              <w:t>下午</w:t>
            </w:r>
            <w:r>
              <w:rPr>
                <w:rFonts w:hint="eastAsia" w:ascii="宋体" w:hAnsi="宋体" w:cs="Calibri"/>
                <w:color w:val="000000"/>
                <w:kern w:val="0"/>
                <w:sz w:val="22"/>
                <w:u w:val="single"/>
                <w:lang w:val="en-US" w:eastAsia="zh-CN"/>
              </w:rPr>
              <w:t>14</w:t>
            </w:r>
            <w:r>
              <w:rPr>
                <w:rFonts w:hint="eastAsia" w:ascii="宋体" w:hAnsi="宋体" w:cs="Calibri"/>
                <w:color w:val="000000"/>
                <w:kern w:val="0"/>
                <w:sz w:val="22"/>
                <w:u w:val="single"/>
              </w:rPr>
              <w:t>时00分</w:t>
            </w:r>
            <w:r>
              <w:rPr>
                <w:rFonts w:hint="eastAsia" w:ascii="宋体" w:hAnsi="宋体" w:cs="Calibri"/>
                <w:color w:val="000000"/>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4.2.1</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投标截止时间</w:t>
            </w:r>
          </w:p>
        </w:tc>
        <w:tc>
          <w:tcPr>
            <w:tcW w:w="6487" w:type="dxa"/>
            <w:vAlign w:val="center"/>
          </w:tcPr>
          <w:p>
            <w:pPr>
              <w:autoSpaceDE w:val="0"/>
              <w:autoSpaceDN w:val="0"/>
              <w:adjustRightInd w:val="0"/>
              <w:snapToGrid w:val="0"/>
              <w:rPr>
                <w:rFonts w:ascii="宋体" w:hAnsi="宋体" w:cs="Calibri"/>
                <w:color w:val="000000"/>
                <w:kern w:val="0"/>
                <w:sz w:val="22"/>
              </w:rPr>
            </w:pPr>
            <w:r>
              <w:rPr>
                <w:rFonts w:ascii="宋体" w:hAnsi="宋体" w:cs="Arial"/>
                <w:kern w:val="0"/>
                <w:sz w:val="22"/>
              </w:rPr>
              <w:t>201</w:t>
            </w:r>
            <w:r>
              <w:rPr>
                <w:rFonts w:hint="eastAsia" w:ascii="宋体" w:hAnsi="宋体" w:cs="Arial"/>
                <w:kern w:val="0"/>
                <w:sz w:val="22"/>
              </w:rPr>
              <w:t>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29</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w:t>
            </w:r>
            <w:r>
              <w:rPr>
                <w:rFonts w:ascii="宋体" w:hAnsi="宋体" w:cs="Arial"/>
                <w:kern w:val="0"/>
                <w:sz w:val="22"/>
              </w:rPr>
              <w:t>00</w:t>
            </w:r>
            <w:r>
              <w:rPr>
                <w:rFonts w:hint="eastAsia" w:ascii="宋体" w:hAnsi="宋体" w:cs="Arial"/>
                <w:kern w:val="0"/>
                <w:sz w:val="22"/>
              </w:rPr>
              <w:t>分</w:t>
            </w:r>
            <w:r>
              <w:rPr>
                <w:rFonts w:hint="eastAsia" w:ascii="宋体" w:hAnsi="宋体" w:cs="Arial"/>
                <w:color w:val="000000"/>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4.2.2</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递交投标文件地点</w:t>
            </w:r>
          </w:p>
        </w:tc>
        <w:tc>
          <w:tcPr>
            <w:tcW w:w="6487" w:type="dxa"/>
            <w:vAlign w:val="center"/>
          </w:tcPr>
          <w:p>
            <w:pPr>
              <w:autoSpaceDE w:val="0"/>
              <w:autoSpaceDN w:val="0"/>
              <w:adjustRightInd w:val="0"/>
              <w:snapToGrid w:val="0"/>
              <w:rPr>
                <w:rFonts w:ascii="宋体" w:hAnsi="宋体" w:cs="Calibri"/>
                <w:color w:val="000000"/>
                <w:kern w:val="0"/>
                <w:sz w:val="22"/>
              </w:rPr>
            </w:pPr>
            <w:r>
              <w:rPr>
                <w:rFonts w:hint="eastAsia" w:ascii="宋体" w:hAnsi="宋体"/>
                <w:b/>
                <w:bCs/>
                <w:color w:val="000000"/>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4.2.3</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是否退还投标文件</w:t>
            </w:r>
          </w:p>
        </w:tc>
        <w:tc>
          <w:tcPr>
            <w:tcW w:w="6487" w:type="dxa"/>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sym w:font="Wingdings" w:char="F0FE"/>
            </w:r>
            <w:r>
              <w:rPr>
                <w:rFonts w:hint="eastAsia" w:ascii="宋体" w:hAnsi="宋体" w:cs="Calibri"/>
                <w:color w:val="000000"/>
                <w:kern w:val="0"/>
                <w:sz w:val="22"/>
              </w:rPr>
              <w:t>否</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5.1.1</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开标时间和地点</w:t>
            </w:r>
          </w:p>
        </w:tc>
        <w:tc>
          <w:tcPr>
            <w:tcW w:w="6487" w:type="dxa"/>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开标时间：同投标截止时间</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5.2</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开标程序</w:t>
            </w:r>
          </w:p>
        </w:tc>
        <w:tc>
          <w:tcPr>
            <w:tcW w:w="6487" w:type="dxa"/>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）密封情况检查：由投标人或者其集体推选的代表检查投标文件的密封情况。</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5</w:t>
            </w:r>
            <w:r>
              <w:rPr>
                <w:rFonts w:hint="eastAsia" w:ascii="宋体" w:hAnsi="宋体" w:cs="Calibri"/>
                <w:color w:val="000000"/>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6.1.1</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评标委员会的组建</w:t>
            </w:r>
          </w:p>
        </w:tc>
        <w:tc>
          <w:tcPr>
            <w:tcW w:w="6487" w:type="dxa"/>
            <w:vAlign w:val="center"/>
          </w:tcPr>
          <w:p>
            <w:pPr>
              <w:autoSpaceDE w:val="0"/>
              <w:autoSpaceDN w:val="0"/>
              <w:adjustRightInd w:val="0"/>
              <w:snapToGrid w:val="0"/>
              <w:jc w:val="left"/>
              <w:rPr>
                <w:rFonts w:ascii="宋体" w:hAnsi="宋体"/>
                <w:color w:val="000000"/>
                <w:sz w:val="22"/>
              </w:rPr>
            </w:pPr>
            <w:r>
              <w:rPr>
                <w:rFonts w:hint="eastAsia" w:ascii="宋体" w:hAnsi="宋体"/>
                <w:color w:val="000000"/>
                <w:sz w:val="22"/>
              </w:rPr>
              <w:t>评标委员会构成</w:t>
            </w: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olor w:val="000000"/>
                <w:sz w:val="22"/>
              </w:rPr>
              <w:t>人及以上单数</w:t>
            </w:r>
          </w:p>
          <w:p>
            <w:pPr>
              <w:autoSpaceDE w:val="0"/>
              <w:autoSpaceDN w:val="0"/>
              <w:adjustRightInd w:val="0"/>
              <w:snapToGrid w:val="0"/>
              <w:jc w:val="left"/>
              <w:rPr>
                <w:rFonts w:ascii="宋体" w:hAnsi="宋体"/>
                <w:color w:val="000000"/>
                <w:sz w:val="22"/>
              </w:rPr>
            </w:pPr>
            <w:r>
              <w:rPr>
                <w:rFonts w:hint="eastAsia" w:ascii="宋体" w:hAnsi="宋体"/>
                <w:color w:val="000000"/>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7.1</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是否授权评标委员会确定中标人</w:t>
            </w:r>
          </w:p>
        </w:tc>
        <w:tc>
          <w:tcPr>
            <w:tcW w:w="6487" w:type="dxa"/>
            <w:vAlign w:val="center"/>
          </w:tcPr>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t>□是</w:t>
            </w:r>
          </w:p>
          <w:p>
            <w:pPr>
              <w:autoSpaceDE w:val="0"/>
              <w:autoSpaceDN w:val="0"/>
              <w:adjustRightInd w:val="0"/>
              <w:snapToGrid w:val="0"/>
              <w:rPr>
                <w:rFonts w:ascii="宋体" w:hAnsi="宋体" w:cs="Calibri"/>
                <w:color w:val="000000"/>
                <w:kern w:val="0"/>
                <w:sz w:val="22"/>
              </w:rPr>
            </w:pPr>
            <w:r>
              <w:rPr>
                <w:rFonts w:hint="eastAsia" w:ascii="宋体" w:hAnsi="宋体" w:cs="Calibri"/>
                <w:color w:val="000000"/>
                <w:kern w:val="0"/>
                <w:sz w:val="22"/>
              </w:rPr>
              <w:sym w:font="Wingdings" w:char="F0FE"/>
            </w:r>
            <w:r>
              <w:rPr>
                <w:rFonts w:hint="eastAsia" w:ascii="宋体" w:hAnsi="宋体" w:cs="Calibri"/>
                <w:color w:val="000000"/>
                <w:kern w:val="0"/>
                <w:sz w:val="22"/>
              </w:rPr>
              <w:t>否，推荐的中标候选人数：</w:t>
            </w:r>
            <w:r>
              <w:rPr>
                <w:rFonts w:ascii="宋体" w:hAnsi="宋体" w:cs="Calibri"/>
                <w:color w:val="000000"/>
                <w:kern w:val="0"/>
                <w:sz w:val="22"/>
              </w:rPr>
              <w:t>2</w:t>
            </w:r>
            <w:r>
              <w:rPr>
                <w:rFonts w:hint="eastAsia" w:ascii="宋体" w:hAnsi="宋体" w:cs="Calibri"/>
                <w:color w:val="000000"/>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7.3.1</w:t>
            </w:r>
          </w:p>
        </w:tc>
        <w:tc>
          <w:tcPr>
            <w:tcW w:w="2004" w:type="dxa"/>
            <w:vAlign w:val="center"/>
          </w:tcPr>
          <w:p>
            <w:pPr>
              <w:autoSpaceDE w:val="0"/>
              <w:autoSpaceDN w:val="0"/>
              <w:adjustRightInd w:val="0"/>
              <w:snapToGrid w:val="0"/>
              <w:jc w:val="center"/>
              <w:rPr>
                <w:rFonts w:ascii="宋体" w:hAnsi="宋体" w:cs="Calibri"/>
                <w:color w:val="000000"/>
                <w:kern w:val="0"/>
                <w:sz w:val="22"/>
              </w:rPr>
            </w:pPr>
            <w:r>
              <w:rPr>
                <w:rFonts w:hint="eastAsia" w:ascii="宋体" w:hAnsi="宋体" w:cs="Calibri"/>
                <w:color w:val="000000"/>
                <w:kern w:val="0"/>
                <w:sz w:val="22"/>
              </w:rPr>
              <w:t>履约保证金</w:t>
            </w:r>
          </w:p>
        </w:tc>
        <w:tc>
          <w:tcPr>
            <w:tcW w:w="6487" w:type="dxa"/>
            <w:vAlign w:val="center"/>
          </w:tcPr>
          <w:p>
            <w:r>
              <w:rPr>
                <w:rFonts w:hint="eastAsia" w:ascii="宋体" w:hAnsi="宋体"/>
                <w:color w:val="000000"/>
                <w:sz w:val="22"/>
              </w:rPr>
              <w:t>履约保证金的形式：</w:t>
            </w:r>
            <w:r>
              <w:rPr>
                <w:rFonts w:hint="eastAsia" w:ascii="宋体" w:hAnsi="宋体"/>
                <w:b/>
                <w:color w:val="000000"/>
                <w:sz w:val="22"/>
              </w:rPr>
              <w:t>银行转账</w:t>
            </w:r>
          </w:p>
          <w:p>
            <w:pPr>
              <w:autoSpaceDE w:val="0"/>
              <w:autoSpaceDN w:val="0"/>
              <w:adjustRightInd w:val="0"/>
              <w:snapToGrid w:val="0"/>
              <w:jc w:val="left"/>
              <w:rPr>
                <w:rFonts w:ascii="宋体" w:hAnsi="宋体"/>
                <w:color w:val="000000"/>
                <w:sz w:val="22"/>
              </w:rPr>
            </w:pPr>
            <w:r>
              <w:rPr>
                <w:rFonts w:hint="eastAsia" w:ascii="宋体" w:hAnsi="宋体"/>
                <w:color w:val="000000"/>
                <w:sz w:val="22"/>
              </w:rPr>
              <w:t>履约保证金的金额：</w:t>
            </w:r>
            <w:r>
              <w:rPr>
                <w:rFonts w:hint="eastAsia" w:ascii="宋体" w:hAnsi="宋体"/>
                <w:b/>
                <w:color w:val="000000"/>
                <w:sz w:val="22"/>
              </w:rPr>
              <w:t>合同总价的</w:t>
            </w:r>
            <w:r>
              <w:rPr>
                <w:rFonts w:ascii="宋体" w:hAnsi="宋体"/>
                <w:b/>
                <w:color w:val="000000"/>
                <w:sz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color w:val="000000"/>
                <w:sz w:val="22"/>
              </w:rPr>
            </w:pPr>
            <w:r>
              <w:rPr>
                <w:rFonts w:hint="eastAsia" w:ascii="宋体" w:hAnsi="宋体" w:cs="Calibri"/>
                <w:color w:val="000000"/>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10.2</w:t>
            </w:r>
          </w:p>
        </w:tc>
        <w:tc>
          <w:tcPr>
            <w:tcW w:w="2004" w:type="dxa"/>
            <w:shd w:val="clear" w:color="auto" w:fill="auto"/>
            <w:vAlign w:val="center"/>
          </w:tcPr>
          <w:p>
            <w:pPr>
              <w:pStyle w:val="14"/>
              <w:rPr>
                <w:rFonts w:ascii="宋体" w:hAnsi="宋体" w:cs="Calibri"/>
                <w:color w:val="000000"/>
                <w:sz w:val="22"/>
                <w:szCs w:val="22"/>
              </w:rPr>
            </w:pPr>
            <w:r>
              <w:rPr>
                <w:rFonts w:hint="eastAsia" w:ascii="宋体" w:hAnsi="宋体" w:cs="Calibri"/>
                <w:color w:val="000000"/>
                <w:sz w:val="22"/>
                <w:szCs w:val="22"/>
              </w:rPr>
              <w:t>其他</w:t>
            </w:r>
          </w:p>
        </w:tc>
        <w:tc>
          <w:tcPr>
            <w:tcW w:w="6487" w:type="dxa"/>
            <w:shd w:val="clear" w:color="auto" w:fill="FFFFFF"/>
            <w:vAlign w:val="center"/>
          </w:tcPr>
          <w:p>
            <w:pPr>
              <w:adjustRightInd w:val="0"/>
              <w:snapToGrid w:val="0"/>
              <w:rPr>
                <w:rFonts w:ascii="宋体" w:hAnsi="宋体" w:cs="Calibri"/>
                <w:snapToGrid w:val="0"/>
                <w:color w:val="000000"/>
                <w:kern w:val="0"/>
                <w:sz w:val="22"/>
              </w:rPr>
            </w:pPr>
            <w:r>
              <w:rPr>
                <w:rFonts w:ascii="宋体" w:hAnsi="宋体" w:cs="Calibri"/>
                <w:snapToGrid w:val="0"/>
                <w:color w:val="000000"/>
                <w:kern w:val="0"/>
                <w:sz w:val="22"/>
              </w:rPr>
              <w:t>1</w:t>
            </w:r>
            <w:r>
              <w:rPr>
                <w:rFonts w:hint="eastAsia" w:ascii="宋体" w:hAnsi="宋体" w:cs="Calibri"/>
                <w:snapToGrid w:val="0"/>
                <w:color w:val="000000"/>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color w:val="000000"/>
                <w:kern w:val="0"/>
                <w:sz w:val="22"/>
              </w:rPr>
            </w:pPr>
            <w:r>
              <w:rPr>
                <w:rFonts w:ascii="宋体" w:hAnsi="宋体" w:cs="Calibri"/>
                <w:snapToGrid w:val="0"/>
                <w:color w:val="000000"/>
                <w:kern w:val="0"/>
                <w:sz w:val="22"/>
              </w:rPr>
              <w:t>2</w:t>
            </w:r>
            <w:r>
              <w:rPr>
                <w:rFonts w:hint="eastAsia" w:ascii="宋体" w:hAnsi="宋体" w:cs="Calibri"/>
                <w:snapToGrid w:val="0"/>
                <w:color w:val="000000"/>
                <w:kern w:val="0"/>
                <w:sz w:val="22"/>
              </w:rPr>
              <w:t>、本前附表内容与招标文件其他内容不一致之处，以本前附表为准。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bottom w:val="single" w:color="auto" w:sz="12" w:space="0"/>
            </w:tcBorders>
            <w:shd w:val="clear" w:color="auto" w:fill="auto"/>
            <w:vAlign w:val="center"/>
          </w:tcPr>
          <w:p>
            <w:pPr>
              <w:autoSpaceDE w:val="0"/>
              <w:autoSpaceDN w:val="0"/>
              <w:adjustRightInd w:val="0"/>
              <w:snapToGrid w:val="0"/>
              <w:jc w:val="center"/>
              <w:rPr>
                <w:rFonts w:ascii="宋体" w:hAnsi="宋体" w:cs="Calibri"/>
                <w:color w:val="000000"/>
                <w:kern w:val="0"/>
                <w:sz w:val="22"/>
              </w:rPr>
            </w:pPr>
            <w:r>
              <w:rPr>
                <w:rFonts w:ascii="宋体" w:hAnsi="宋体" w:cs="Calibri"/>
                <w:color w:val="000000"/>
                <w:kern w:val="0"/>
                <w:sz w:val="22"/>
              </w:rPr>
              <w:t>10.3</w:t>
            </w:r>
          </w:p>
        </w:tc>
        <w:tc>
          <w:tcPr>
            <w:tcW w:w="2004" w:type="dxa"/>
            <w:tcBorders>
              <w:bottom w:val="single" w:color="auto" w:sz="12" w:space="0"/>
            </w:tcBorders>
            <w:shd w:val="clear" w:color="auto" w:fill="auto"/>
            <w:vAlign w:val="center"/>
          </w:tcPr>
          <w:p>
            <w:pPr>
              <w:pStyle w:val="14"/>
              <w:rPr>
                <w:rFonts w:ascii="宋体" w:hAnsi="宋体"/>
                <w:color w:val="000000"/>
              </w:rPr>
            </w:pPr>
            <w:r>
              <w:rPr>
                <w:rFonts w:hint="eastAsia" w:ascii="宋体" w:hAnsi="宋体"/>
                <w:color w:val="000000"/>
              </w:rPr>
              <w:t>备注</w:t>
            </w:r>
          </w:p>
        </w:tc>
        <w:tc>
          <w:tcPr>
            <w:tcW w:w="6487" w:type="dxa"/>
            <w:tcBorders>
              <w:bottom w:val="single" w:color="auto" w:sz="12" w:space="0"/>
            </w:tcBorders>
            <w:shd w:val="clear" w:color="auto" w:fill="FFFFFF"/>
            <w:vAlign w:val="center"/>
          </w:tcPr>
          <w:p>
            <w:pPr>
              <w:adjustRightInd w:val="0"/>
              <w:snapToGrid w:val="0"/>
              <w:rPr>
                <w:rFonts w:ascii="宋体" w:hAnsi="宋体" w:cs="Calibri"/>
                <w:snapToGrid w:val="0"/>
                <w:color w:val="000000"/>
                <w:kern w:val="0"/>
                <w:sz w:val="22"/>
              </w:rPr>
            </w:pPr>
            <w:r>
              <w:rPr>
                <w:rFonts w:hint="eastAsia" w:ascii="宋体" w:hAnsi="宋体" w:cs="Calibri"/>
                <w:snapToGrid w:val="0"/>
                <w:color w:val="000000"/>
                <w:kern w:val="0"/>
                <w:sz w:val="22"/>
              </w:rPr>
              <w:t>本前附表内容与招标文件其他内容不一致之处，以本前附表为准。</w:t>
            </w:r>
          </w:p>
        </w:tc>
      </w:tr>
    </w:tbl>
    <w:p>
      <w:pPr>
        <w:rPr>
          <w:b/>
          <w:sz w:val="28"/>
          <w:szCs w:val="28"/>
        </w:rPr>
      </w:pPr>
    </w:p>
    <w:p>
      <w:pPr>
        <w:rPr>
          <w:rFonts w:ascii="宋体" w:hAnsi="宋体" w:cs="Calibri"/>
          <w:b/>
          <w:bCs/>
          <w:color w:val="000000"/>
          <w:kern w:val="0"/>
          <w:sz w:val="22"/>
        </w:rPr>
      </w:pPr>
      <w:r>
        <w:rPr>
          <w:b/>
          <w:sz w:val="28"/>
          <w:szCs w:val="28"/>
        </w:rPr>
        <w:br w:type="page"/>
      </w:r>
      <w:r>
        <w:rPr>
          <w:rFonts w:ascii="宋体" w:hAnsi="宋体" w:cs="Calibri"/>
          <w:b/>
          <w:bCs/>
          <w:color w:val="000000"/>
          <w:kern w:val="0"/>
          <w:sz w:val="22"/>
        </w:rPr>
        <w:t>1.</w:t>
      </w:r>
      <w:r>
        <w:rPr>
          <w:rFonts w:hint="eastAsia" w:ascii="宋体" w:hAnsi="宋体" w:cs="Calibri"/>
          <w:b/>
          <w:bCs/>
          <w:color w:val="000000"/>
          <w:kern w:val="0"/>
          <w:sz w:val="22"/>
        </w:rPr>
        <w:t>总则</w:t>
      </w: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 xml:space="preserve">1.1 </w:t>
      </w:r>
      <w:r>
        <w:rPr>
          <w:rFonts w:hint="eastAsia" w:ascii="宋体" w:hAnsi="宋体" w:cs="Calibri"/>
          <w:b/>
          <w:bCs/>
          <w:color w:val="000000"/>
          <w:kern w:val="0"/>
          <w:sz w:val="22"/>
        </w:rPr>
        <w:t>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w:t>
      </w:r>
      <w:r>
        <w:rPr>
          <w:rFonts w:hint="eastAsia" w:ascii="宋体" w:hAnsi="宋体" w:cs="Calibri"/>
          <w:color w:val="000000"/>
          <w:kern w:val="0"/>
          <w:sz w:val="22"/>
        </w:rPr>
        <w:t>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w:t>
      </w:r>
      <w:r>
        <w:rPr>
          <w:rFonts w:hint="eastAsia" w:ascii="宋体" w:hAnsi="宋体" w:cs="Calibri"/>
          <w:color w:val="000000"/>
          <w:kern w:val="0"/>
          <w:sz w:val="22"/>
        </w:rPr>
        <w:t>项目建设地点见投标人须知前附表</w:t>
      </w:r>
      <w:r>
        <w:rPr>
          <w:rFonts w:hint="eastAsia" w:ascii="宋体" w:hAnsi="宋体" w:cs="Calibri"/>
          <w:color w:val="000000"/>
          <w:sz w:val="22"/>
        </w:rPr>
        <w:t>。</w:t>
      </w:r>
    </w:p>
    <w:p>
      <w:pPr>
        <w:autoSpaceDE w:val="0"/>
        <w:autoSpaceDN w:val="0"/>
        <w:adjustRightInd w:val="0"/>
        <w:snapToGrid w:val="0"/>
        <w:spacing w:line="360" w:lineRule="exact"/>
        <w:rPr>
          <w:rFonts w:ascii="宋体" w:hAnsi="宋体" w:cs="Calibri"/>
          <w:b/>
          <w:bCs/>
          <w:color w:val="000000"/>
          <w:kern w:val="0"/>
          <w:sz w:val="22"/>
        </w:rPr>
      </w:pPr>
      <w:bookmarkStart w:id="3" w:name="_Toc9136"/>
      <w:r>
        <w:rPr>
          <w:rFonts w:ascii="宋体" w:hAnsi="宋体" w:cs="Calibri"/>
          <w:b/>
          <w:bCs/>
          <w:color w:val="000000"/>
          <w:kern w:val="0"/>
          <w:sz w:val="22"/>
        </w:rPr>
        <w:t xml:space="preserve">1.2 </w:t>
      </w:r>
      <w:r>
        <w:rPr>
          <w:rFonts w:hint="eastAsia" w:ascii="宋体" w:hAnsi="宋体" w:cs="Calibri"/>
          <w:b/>
          <w:bCs/>
          <w:color w:val="000000"/>
          <w:kern w:val="0"/>
          <w:sz w:val="22"/>
        </w:rPr>
        <w:t>资金来源</w:t>
      </w:r>
      <w:bookmarkEnd w:id="3"/>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4" w:name="_Toc10673"/>
      <w:r>
        <w:rPr>
          <w:rFonts w:ascii="宋体" w:hAnsi="宋体" w:cs="Calibri"/>
          <w:b/>
          <w:bCs/>
          <w:color w:val="000000"/>
          <w:kern w:val="0"/>
          <w:sz w:val="22"/>
        </w:rPr>
        <w:t xml:space="preserve">1.3 </w:t>
      </w:r>
      <w:r>
        <w:rPr>
          <w:rFonts w:hint="eastAsia" w:ascii="宋体" w:hAnsi="宋体" w:cs="Calibri"/>
          <w:b/>
          <w:bCs/>
          <w:color w:val="000000"/>
          <w:kern w:val="0"/>
          <w:sz w:val="22"/>
        </w:rPr>
        <w:t>招标</w:t>
      </w:r>
      <w:bookmarkEnd w:id="4"/>
      <w:r>
        <w:rPr>
          <w:rFonts w:hint="eastAsia" w:ascii="宋体" w:hAnsi="宋体" w:cs="Calibri"/>
          <w:b/>
          <w:bCs/>
          <w:color w:val="000000"/>
          <w:kern w:val="0"/>
          <w:sz w:val="22"/>
        </w:rPr>
        <w:t>内容</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5" w:name="_Toc718"/>
      <w:r>
        <w:rPr>
          <w:rFonts w:ascii="宋体" w:hAnsi="宋体" w:cs="Calibri"/>
          <w:b/>
          <w:bCs/>
          <w:color w:val="000000"/>
          <w:kern w:val="0"/>
          <w:sz w:val="22"/>
        </w:rPr>
        <w:t xml:space="preserve">1.4 </w:t>
      </w:r>
      <w:r>
        <w:rPr>
          <w:rFonts w:hint="eastAsia" w:ascii="宋体" w:hAnsi="宋体" w:cs="Calibri"/>
          <w:b/>
          <w:bCs/>
          <w:color w:val="000000"/>
          <w:kern w:val="0"/>
          <w:sz w:val="22"/>
        </w:rPr>
        <w:t>招标方式</w:t>
      </w:r>
      <w:bookmarkEnd w:id="5"/>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6" w:name="_Toc9161"/>
      <w:r>
        <w:rPr>
          <w:rFonts w:ascii="宋体" w:hAnsi="宋体" w:cs="Calibri"/>
          <w:b/>
          <w:bCs/>
          <w:color w:val="000000"/>
          <w:kern w:val="0"/>
          <w:sz w:val="22"/>
        </w:rPr>
        <w:t xml:space="preserve">1.5 </w:t>
      </w:r>
      <w:r>
        <w:rPr>
          <w:rFonts w:hint="eastAsia" w:ascii="宋体" w:hAnsi="宋体" w:cs="Calibri"/>
          <w:b/>
          <w:bCs/>
          <w:color w:val="000000"/>
          <w:kern w:val="0"/>
          <w:sz w:val="22"/>
        </w:rPr>
        <w:t>资格审查</w:t>
      </w:r>
      <w:bookmarkEnd w:id="6"/>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7" w:name="_Toc13012"/>
      <w:r>
        <w:rPr>
          <w:rFonts w:ascii="宋体" w:hAnsi="宋体" w:cs="Calibri"/>
          <w:b/>
          <w:bCs/>
          <w:color w:val="000000"/>
          <w:kern w:val="0"/>
          <w:sz w:val="22"/>
        </w:rPr>
        <w:t xml:space="preserve">1.6 </w:t>
      </w:r>
      <w:r>
        <w:rPr>
          <w:rFonts w:hint="eastAsia" w:ascii="宋体" w:hAnsi="宋体" w:cs="Calibri"/>
          <w:b/>
          <w:bCs/>
          <w:color w:val="000000"/>
          <w:kern w:val="0"/>
          <w:sz w:val="22"/>
        </w:rPr>
        <w:t>投标人资质条件、能力和信誉</w:t>
      </w:r>
      <w:bookmarkEnd w:id="7"/>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8" w:name="_Toc2796"/>
      <w:r>
        <w:rPr>
          <w:rFonts w:ascii="宋体" w:hAnsi="宋体" w:cs="Calibri"/>
          <w:b/>
          <w:bCs/>
          <w:color w:val="000000"/>
          <w:kern w:val="0"/>
          <w:sz w:val="22"/>
        </w:rPr>
        <w:t xml:space="preserve">1.7 </w:t>
      </w:r>
      <w:r>
        <w:rPr>
          <w:rFonts w:hint="eastAsia" w:ascii="宋体" w:hAnsi="宋体" w:cs="Calibri"/>
          <w:b/>
          <w:bCs/>
          <w:color w:val="000000"/>
          <w:kern w:val="0"/>
          <w:sz w:val="22"/>
        </w:rPr>
        <w:t>工期</w:t>
      </w:r>
      <w:bookmarkEnd w:id="8"/>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 xml:space="preserve">1.8 </w:t>
      </w:r>
      <w:r>
        <w:rPr>
          <w:rFonts w:hint="eastAsia" w:ascii="宋体" w:hAnsi="宋体" w:cs="Calibri"/>
          <w:b/>
          <w:bCs/>
          <w:color w:val="000000"/>
          <w:kern w:val="0"/>
          <w:sz w:val="22"/>
        </w:rPr>
        <w:t>质量要求</w:t>
      </w:r>
    </w:p>
    <w:p>
      <w:pPr>
        <w:adjustRightInd w:val="0"/>
        <w:snapToGrid w:val="0"/>
        <w:spacing w:line="360" w:lineRule="exact"/>
        <w:ind w:firstLine="440"/>
        <w:rPr>
          <w:rFonts w:ascii="宋体" w:hAnsi="宋体" w:cs="Calibri"/>
          <w:color w:val="000000"/>
          <w:sz w:val="22"/>
        </w:rPr>
      </w:pPr>
      <w:bookmarkStart w:id="9" w:name="_Toc13907"/>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 xml:space="preserve">1.9 </w:t>
      </w:r>
      <w:r>
        <w:rPr>
          <w:rFonts w:hint="eastAsia" w:ascii="宋体" w:hAnsi="宋体" w:cs="Calibri"/>
          <w:b/>
          <w:bCs/>
          <w:color w:val="000000"/>
          <w:kern w:val="0"/>
          <w:sz w:val="22"/>
        </w:rPr>
        <w:t>踏勘现场</w:t>
      </w:r>
      <w:bookmarkEnd w:id="9"/>
    </w:p>
    <w:p>
      <w:pPr>
        <w:adjustRightInd w:val="0"/>
        <w:snapToGrid w:val="0"/>
        <w:spacing w:line="360" w:lineRule="exact"/>
        <w:ind w:left="460" w:leftChars="100" w:hanging="220" w:hangingChars="100"/>
        <w:rPr>
          <w:rFonts w:ascii="宋体" w:hAnsi="宋体" w:cs="Calibri"/>
          <w:color w:val="000000"/>
          <w:sz w:val="22"/>
        </w:rPr>
      </w:pPr>
      <w:r>
        <w:rPr>
          <w:rFonts w:ascii="宋体" w:hAnsi="宋体" w:cs="Calibri"/>
          <w:color w:val="000000"/>
          <w:sz w:val="22"/>
        </w:rPr>
        <w:t>1.9.1</w:t>
      </w:r>
      <w:r>
        <w:rPr>
          <w:rFonts w:hint="eastAsia" w:ascii="宋体" w:hAnsi="宋体" w:cs="Calibri"/>
          <w:color w:val="000000"/>
          <w:sz w:val="22"/>
        </w:rPr>
        <w:t>投标人须知前附表约定不组织踏勘现场的，投标人如有需要，可自行前往。</w:t>
      </w:r>
    </w:p>
    <w:p>
      <w:pPr>
        <w:adjustRightInd w:val="0"/>
        <w:snapToGrid w:val="0"/>
        <w:spacing w:line="360" w:lineRule="exact"/>
        <w:ind w:left="460" w:leftChars="100" w:hanging="220" w:hangingChars="100"/>
        <w:rPr>
          <w:rFonts w:ascii="宋体" w:hAnsi="宋体" w:cs="Calibri"/>
          <w:color w:val="000000"/>
          <w:sz w:val="22"/>
        </w:rPr>
      </w:pPr>
      <w:r>
        <w:rPr>
          <w:rFonts w:ascii="宋体" w:hAnsi="宋体" w:cs="Calibri"/>
          <w:color w:val="000000"/>
          <w:sz w:val="22"/>
        </w:rPr>
        <w:t xml:space="preserve">1.9.2 </w:t>
      </w:r>
      <w:r>
        <w:rPr>
          <w:rFonts w:hint="eastAsia" w:ascii="宋体" w:hAnsi="宋体" w:cs="Calibri"/>
          <w:color w:val="000000"/>
          <w:sz w:val="22"/>
        </w:rPr>
        <w:t>投标人踏勘现场发生的费用自理。</w:t>
      </w:r>
    </w:p>
    <w:p>
      <w:pPr>
        <w:adjustRightInd w:val="0"/>
        <w:snapToGrid w:val="0"/>
        <w:spacing w:line="360" w:lineRule="exact"/>
        <w:ind w:firstLine="220" w:firstLineChars="100"/>
        <w:rPr>
          <w:rFonts w:ascii="宋体" w:hAnsi="宋体" w:cs="Calibri"/>
          <w:color w:val="000000"/>
          <w:sz w:val="22"/>
        </w:rPr>
      </w:pPr>
      <w:r>
        <w:rPr>
          <w:rFonts w:ascii="宋体" w:hAnsi="宋体" w:cs="Calibri"/>
          <w:color w:val="000000"/>
          <w:sz w:val="22"/>
        </w:rPr>
        <w:t xml:space="preserve">1.9.3 </w:t>
      </w:r>
      <w:r>
        <w:rPr>
          <w:rFonts w:hint="eastAsia" w:ascii="宋体" w:hAnsi="宋体" w:cs="Calibri"/>
          <w:color w:val="000000"/>
          <w:sz w:val="22"/>
        </w:rPr>
        <w:t>投标人自行负责在踏勘现场中所发生的人员伤亡和财产损失。</w:t>
      </w:r>
    </w:p>
    <w:p>
      <w:pPr>
        <w:adjustRightInd w:val="0"/>
        <w:snapToGrid w:val="0"/>
        <w:spacing w:line="360" w:lineRule="exact"/>
        <w:ind w:firstLine="220" w:firstLineChars="100"/>
        <w:rPr>
          <w:rFonts w:ascii="宋体" w:hAnsi="宋体" w:cs="Calibri"/>
          <w:color w:val="000000"/>
          <w:sz w:val="22"/>
        </w:rPr>
      </w:pPr>
      <w:r>
        <w:rPr>
          <w:rFonts w:ascii="宋体" w:hAnsi="宋体" w:cs="Calibri"/>
          <w:color w:val="000000"/>
          <w:sz w:val="22"/>
        </w:rPr>
        <w:t xml:space="preserve">1.9.4 </w:t>
      </w:r>
      <w:r>
        <w:rPr>
          <w:rFonts w:hint="eastAsia" w:ascii="宋体" w:hAnsi="宋体" w:cs="Calibri"/>
          <w:color w:val="000000"/>
          <w:sz w:val="22"/>
        </w:rPr>
        <w:t>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color w:val="000000"/>
          <w:kern w:val="0"/>
          <w:sz w:val="22"/>
        </w:rPr>
      </w:pPr>
      <w:bookmarkStart w:id="10" w:name="_Toc4199"/>
      <w:r>
        <w:rPr>
          <w:rFonts w:ascii="宋体" w:hAnsi="宋体" w:cs="Calibri"/>
          <w:b/>
          <w:bCs/>
          <w:color w:val="000000"/>
          <w:kern w:val="0"/>
          <w:sz w:val="22"/>
        </w:rPr>
        <w:t xml:space="preserve">1.10 </w:t>
      </w:r>
      <w:r>
        <w:rPr>
          <w:rFonts w:hint="eastAsia" w:ascii="宋体" w:hAnsi="宋体" w:cs="Calibri"/>
          <w:b/>
          <w:bCs/>
          <w:color w:val="000000"/>
          <w:kern w:val="0"/>
          <w:sz w:val="22"/>
        </w:rPr>
        <w:t>投标预备会</w:t>
      </w:r>
      <w:bookmarkEnd w:id="10"/>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11" w:name="_Toc4584"/>
      <w:r>
        <w:rPr>
          <w:rFonts w:ascii="宋体" w:hAnsi="宋体" w:cs="Calibri"/>
          <w:b/>
          <w:bCs/>
          <w:color w:val="000000"/>
          <w:kern w:val="0"/>
          <w:sz w:val="22"/>
        </w:rPr>
        <w:t xml:space="preserve">1.11 </w:t>
      </w:r>
      <w:r>
        <w:rPr>
          <w:rFonts w:hint="eastAsia" w:ascii="宋体" w:hAnsi="宋体" w:cs="Calibri"/>
          <w:b/>
          <w:bCs/>
          <w:color w:val="000000"/>
          <w:kern w:val="0"/>
          <w:sz w:val="22"/>
        </w:rPr>
        <w:t>分包</w:t>
      </w:r>
      <w:bookmarkEnd w:id="11"/>
    </w:p>
    <w:p>
      <w:pPr>
        <w:autoSpaceDE w:val="0"/>
        <w:autoSpaceDN w:val="0"/>
        <w:adjustRightInd w:val="0"/>
        <w:snapToGrid w:val="0"/>
        <w:spacing w:line="360" w:lineRule="auto"/>
        <w:ind w:firstLine="440" w:firstLineChars="200"/>
        <w:rPr>
          <w:rFonts w:ascii="宋体" w:hAnsi="宋体" w:cs="Calibri"/>
          <w:color w:val="000000"/>
          <w:sz w:val="22"/>
        </w:rPr>
      </w:pPr>
      <w:bookmarkStart w:id="12" w:name="_Toc3996"/>
      <w:r>
        <w:rPr>
          <w:rFonts w:hint="eastAsia" w:ascii="宋体" w:hAnsi="宋体" w:cs="Calibri"/>
          <w:color w:val="000000"/>
          <w:sz w:val="22"/>
        </w:rPr>
        <w:t>本项目不允许分包。</w:t>
      </w: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 xml:space="preserve">1.12 </w:t>
      </w:r>
      <w:r>
        <w:rPr>
          <w:rFonts w:hint="eastAsia" w:ascii="宋体" w:hAnsi="宋体" w:cs="Calibri"/>
          <w:b/>
          <w:bCs/>
          <w:color w:val="000000"/>
          <w:kern w:val="0"/>
          <w:sz w:val="22"/>
        </w:rPr>
        <w:t>投标费用</w:t>
      </w:r>
      <w:bookmarkEnd w:id="12"/>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color w:val="000000"/>
          <w:kern w:val="0"/>
          <w:sz w:val="22"/>
        </w:rPr>
      </w:pPr>
      <w:bookmarkStart w:id="13" w:name="_Toc15241"/>
      <w:bookmarkStart w:id="14" w:name="_Toc143421657"/>
      <w:r>
        <w:rPr>
          <w:rFonts w:ascii="宋体" w:hAnsi="宋体" w:cs="Calibri"/>
          <w:b/>
          <w:bCs/>
          <w:color w:val="000000"/>
          <w:kern w:val="0"/>
          <w:sz w:val="22"/>
        </w:rPr>
        <w:t>2.</w:t>
      </w:r>
      <w:r>
        <w:rPr>
          <w:rFonts w:hint="eastAsia" w:ascii="宋体" w:hAnsi="宋体" w:cs="Calibri"/>
          <w:b/>
          <w:bCs/>
          <w:color w:val="000000"/>
          <w:kern w:val="0"/>
          <w:sz w:val="22"/>
        </w:rPr>
        <w:t>招标文件</w:t>
      </w:r>
      <w:bookmarkEnd w:id="13"/>
      <w:bookmarkEnd w:id="14"/>
    </w:p>
    <w:p>
      <w:pPr>
        <w:autoSpaceDE w:val="0"/>
        <w:autoSpaceDN w:val="0"/>
        <w:adjustRightInd w:val="0"/>
        <w:snapToGrid w:val="0"/>
        <w:spacing w:line="360" w:lineRule="exact"/>
        <w:rPr>
          <w:rFonts w:ascii="宋体" w:hAnsi="宋体" w:cs="Calibri"/>
          <w:b/>
          <w:bCs/>
          <w:color w:val="000000"/>
          <w:kern w:val="0"/>
          <w:sz w:val="22"/>
        </w:rPr>
      </w:pPr>
      <w:bookmarkStart w:id="15" w:name="_Toc1426"/>
      <w:r>
        <w:rPr>
          <w:rFonts w:ascii="宋体" w:hAnsi="宋体" w:cs="Calibri"/>
          <w:b/>
          <w:bCs/>
          <w:color w:val="000000"/>
          <w:kern w:val="0"/>
          <w:sz w:val="22"/>
        </w:rPr>
        <w:t xml:space="preserve">2.1 </w:t>
      </w:r>
      <w:r>
        <w:rPr>
          <w:rFonts w:hint="eastAsia" w:ascii="宋体" w:hAnsi="宋体" w:cs="Calibri"/>
          <w:b/>
          <w:bCs/>
          <w:color w:val="000000"/>
          <w:kern w:val="0"/>
          <w:sz w:val="22"/>
        </w:rPr>
        <w:t>招标文件的组成</w:t>
      </w:r>
      <w:bookmarkEnd w:id="15"/>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本招标文件包括：</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）招标公告</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）投标人须知及评标办法</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）合同条款及格式</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）参考工程量清单</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5</w:t>
      </w:r>
      <w:r>
        <w:rPr>
          <w:rFonts w:hint="eastAsia" w:ascii="宋体" w:hAnsi="宋体" w:cs="Calibri"/>
          <w:color w:val="000000"/>
          <w:kern w:val="0"/>
          <w:sz w:val="22"/>
        </w:rPr>
        <w:t>）图纸</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6</w:t>
      </w:r>
      <w:r>
        <w:rPr>
          <w:rFonts w:hint="eastAsia" w:ascii="宋体" w:hAnsi="宋体" w:cs="Calibri"/>
          <w:color w:val="000000"/>
          <w:kern w:val="0"/>
          <w:sz w:val="22"/>
        </w:rPr>
        <w:t>）投标文件格式</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sz w:val="22"/>
        </w:rPr>
        <w:t>根据本须知第</w:t>
      </w:r>
      <w:r>
        <w:rPr>
          <w:rFonts w:ascii="宋体" w:hAnsi="宋体" w:cs="Calibri"/>
          <w:color w:val="000000"/>
          <w:sz w:val="22"/>
        </w:rPr>
        <w:t>2.2</w:t>
      </w:r>
      <w:r>
        <w:rPr>
          <w:rFonts w:hint="eastAsia" w:ascii="宋体" w:hAnsi="宋体" w:cs="Calibri"/>
          <w:color w:val="000000"/>
          <w:sz w:val="22"/>
        </w:rPr>
        <w:t>款和</w:t>
      </w:r>
      <w:r>
        <w:rPr>
          <w:rFonts w:ascii="宋体" w:hAnsi="宋体" w:cs="Calibri"/>
          <w:color w:val="000000"/>
          <w:sz w:val="22"/>
        </w:rPr>
        <w:t>2.3</w:t>
      </w:r>
      <w:r>
        <w:rPr>
          <w:rFonts w:hint="eastAsia" w:ascii="宋体" w:hAnsi="宋体" w:cs="Calibri"/>
          <w:color w:val="000000"/>
          <w:sz w:val="22"/>
        </w:rPr>
        <w:t>款对招标文件做出的澄清、修改，构成招标文件的组成部分。</w:t>
      </w:r>
    </w:p>
    <w:p>
      <w:pPr>
        <w:autoSpaceDE w:val="0"/>
        <w:autoSpaceDN w:val="0"/>
        <w:adjustRightInd w:val="0"/>
        <w:snapToGrid w:val="0"/>
        <w:spacing w:line="360" w:lineRule="exact"/>
        <w:rPr>
          <w:rFonts w:ascii="宋体" w:hAnsi="宋体" w:cs="Calibri"/>
          <w:b/>
          <w:bCs/>
          <w:color w:val="000000"/>
          <w:kern w:val="0"/>
          <w:sz w:val="22"/>
        </w:rPr>
      </w:pPr>
      <w:bookmarkStart w:id="16" w:name="_Toc18230"/>
      <w:r>
        <w:rPr>
          <w:rFonts w:ascii="宋体" w:hAnsi="宋体" w:cs="Calibri"/>
          <w:b/>
          <w:bCs/>
          <w:color w:val="000000"/>
          <w:kern w:val="0"/>
          <w:sz w:val="22"/>
        </w:rPr>
        <w:t xml:space="preserve">2.2 </w:t>
      </w:r>
      <w:r>
        <w:rPr>
          <w:rFonts w:hint="eastAsia" w:ascii="宋体" w:hAnsi="宋体" w:cs="Calibri"/>
          <w:b/>
          <w:bCs/>
          <w:color w:val="000000"/>
          <w:kern w:val="0"/>
          <w:sz w:val="22"/>
        </w:rPr>
        <w:t>招标文件的澄清</w:t>
      </w:r>
      <w:bookmarkEnd w:id="1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w:t>
      </w:r>
      <w:r>
        <w:rPr>
          <w:rFonts w:hint="eastAsia" w:ascii="宋体" w:hAnsi="宋体" w:cs="Calibri"/>
          <w:color w:val="000000"/>
          <w:sz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color w:val="000000"/>
          <w:kern w:val="0"/>
          <w:sz w:val="22"/>
        </w:rPr>
        <w:t>招标人将视情况采用补充公告的方式予以澄清。</w:t>
      </w:r>
    </w:p>
    <w:p>
      <w:pPr>
        <w:autoSpaceDE w:val="0"/>
        <w:autoSpaceDN w:val="0"/>
        <w:adjustRightInd w:val="0"/>
        <w:snapToGrid w:val="0"/>
        <w:spacing w:line="360" w:lineRule="exact"/>
        <w:rPr>
          <w:rFonts w:ascii="宋体" w:hAnsi="宋体" w:cs="Calibri"/>
          <w:b/>
          <w:bCs/>
          <w:color w:val="000000"/>
          <w:kern w:val="0"/>
          <w:sz w:val="22"/>
        </w:rPr>
      </w:pPr>
      <w:bookmarkStart w:id="17" w:name="_Toc18303"/>
      <w:r>
        <w:rPr>
          <w:rFonts w:ascii="宋体" w:hAnsi="宋体" w:cs="Calibri"/>
          <w:b/>
          <w:bCs/>
          <w:color w:val="000000"/>
          <w:kern w:val="0"/>
          <w:sz w:val="22"/>
        </w:rPr>
        <w:t xml:space="preserve">2.3 </w:t>
      </w:r>
      <w:r>
        <w:rPr>
          <w:rFonts w:hint="eastAsia" w:ascii="宋体" w:hAnsi="宋体" w:cs="Calibri"/>
          <w:b/>
          <w:bCs/>
          <w:color w:val="000000"/>
          <w:kern w:val="0"/>
          <w:sz w:val="22"/>
        </w:rPr>
        <w:t>招标文件的修改</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color w:val="000000"/>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color w:val="000000"/>
          <w:kern w:val="0"/>
          <w:sz w:val="22"/>
        </w:rPr>
      </w:pPr>
      <w:bookmarkStart w:id="18" w:name="_Toc18870"/>
      <w:bookmarkStart w:id="19" w:name="_Toc143421658"/>
      <w:r>
        <w:rPr>
          <w:rFonts w:ascii="宋体" w:hAnsi="宋体" w:cs="Calibri"/>
          <w:b/>
          <w:bCs/>
          <w:color w:val="000000"/>
          <w:kern w:val="0"/>
          <w:sz w:val="22"/>
        </w:rPr>
        <w:t>3.</w:t>
      </w:r>
      <w:r>
        <w:rPr>
          <w:rFonts w:hint="eastAsia" w:ascii="宋体" w:hAnsi="宋体" w:cs="Calibri"/>
          <w:b/>
          <w:bCs/>
          <w:color w:val="000000"/>
          <w:kern w:val="0"/>
          <w:sz w:val="22"/>
        </w:rPr>
        <w:t>投标文件</w:t>
      </w:r>
      <w:bookmarkEnd w:id="18"/>
      <w:bookmarkEnd w:id="19"/>
    </w:p>
    <w:p>
      <w:pPr>
        <w:autoSpaceDE w:val="0"/>
        <w:autoSpaceDN w:val="0"/>
        <w:adjustRightInd w:val="0"/>
        <w:snapToGrid w:val="0"/>
        <w:spacing w:line="360" w:lineRule="exact"/>
        <w:rPr>
          <w:rFonts w:ascii="宋体" w:hAnsi="宋体" w:cs="Calibri"/>
          <w:b/>
          <w:bCs/>
          <w:color w:val="000000"/>
          <w:kern w:val="0"/>
          <w:sz w:val="22"/>
        </w:rPr>
      </w:pPr>
      <w:bookmarkStart w:id="20" w:name="_Toc461"/>
      <w:r>
        <w:rPr>
          <w:rFonts w:ascii="宋体" w:hAnsi="宋体" w:cs="Calibri"/>
          <w:b/>
          <w:bCs/>
          <w:color w:val="000000"/>
          <w:kern w:val="0"/>
          <w:sz w:val="22"/>
        </w:rPr>
        <w:t xml:space="preserve">3.1 </w:t>
      </w:r>
      <w:r>
        <w:rPr>
          <w:rFonts w:hint="eastAsia" w:ascii="宋体" w:hAnsi="宋体" w:cs="Calibri"/>
          <w:b/>
          <w:bCs/>
          <w:color w:val="000000"/>
          <w:kern w:val="0"/>
          <w:sz w:val="22"/>
        </w:rPr>
        <w:t>投标文件的语言和计量单位</w:t>
      </w:r>
      <w:bookmarkEnd w:id="20"/>
    </w:p>
    <w:p>
      <w:pPr>
        <w:adjustRightInd w:val="0"/>
        <w:snapToGrid w:val="0"/>
        <w:spacing w:line="360" w:lineRule="exact"/>
        <w:ind w:firstLine="440"/>
        <w:rPr>
          <w:rFonts w:ascii="宋体" w:hAnsi="宋体" w:cs="Calibri"/>
          <w:color w:val="000000"/>
          <w:kern w:val="0"/>
          <w:sz w:val="22"/>
        </w:rPr>
      </w:pPr>
      <w:r>
        <w:rPr>
          <w:rFonts w:ascii="宋体" w:hAnsi="宋体" w:cs="Calibri"/>
          <w:color w:val="000000"/>
          <w:sz w:val="22"/>
        </w:rPr>
        <w:t>3.1.1</w:t>
      </w:r>
      <w:r>
        <w:rPr>
          <w:rFonts w:hint="eastAsia" w:ascii="宋体" w:hAnsi="宋体" w:cs="Calibri"/>
          <w:color w:val="000000"/>
          <w:sz w:val="22"/>
        </w:rPr>
        <w:t>投标文件与投标有关的所有文件均应使用中文。</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3.1.2</w:t>
      </w:r>
      <w:r>
        <w:rPr>
          <w:rFonts w:hint="eastAsia" w:ascii="宋体" w:hAnsi="宋体" w:cs="Calibri"/>
          <w:color w:val="000000"/>
          <w:kern w:val="0"/>
          <w:sz w:val="22"/>
        </w:rPr>
        <w:t>除规范另有规定外，投标文件使用的度量衡单位，均采用中华人民共和国法定计量单位。</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3.1.3</w:t>
      </w:r>
      <w:r>
        <w:rPr>
          <w:rFonts w:hint="eastAsia" w:ascii="宋体" w:hAnsi="宋体" w:cs="Calibri"/>
          <w:color w:val="000000"/>
          <w:kern w:val="0"/>
          <w:sz w:val="22"/>
        </w:rPr>
        <w:t>招标文件中的“天”除特别说明外，均为日历天。</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3.1.4</w:t>
      </w:r>
      <w:r>
        <w:rPr>
          <w:rFonts w:hint="eastAsia" w:ascii="宋体" w:hAnsi="宋体" w:cs="Calibri"/>
          <w:color w:val="000000"/>
          <w:kern w:val="0"/>
          <w:sz w:val="22"/>
        </w:rPr>
        <w:t>招标文件中所指的“合同”除特别说明外，指</w:t>
      </w:r>
      <w:r>
        <w:rPr>
          <w:rFonts w:ascii="宋体" w:hAnsi="宋体" w:cs="Calibri"/>
          <w:color w:val="000000"/>
          <w:kern w:val="0"/>
          <w:sz w:val="22"/>
        </w:rPr>
        <w:t xml:space="preserve"> </w:t>
      </w:r>
      <w:r>
        <w:rPr>
          <w:rFonts w:hint="eastAsia" w:ascii="宋体" w:hAnsi="宋体" w:cs="Calibri"/>
          <w:color w:val="000000"/>
          <w:kern w:val="0"/>
          <w:sz w:val="22"/>
        </w:rPr>
        <w:t>“施工合同”。</w:t>
      </w:r>
    </w:p>
    <w:p>
      <w:pPr>
        <w:autoSpaceDE w:val="0"/>
        <w:autoSpaceDN w:val="0"/>
        <w:adjustRightInd w:val="0"/>
        <w:snapToGrid w:val="0"/>
        <w:spacing w:line="360" w:lineRule="exact"/>
        <w:rPr>
          <w:rFonts w:ascii="宋体" w:hAnsi="宋体" w:cs="Calibri"/>
          <w:b/>
          <w:bCs/>
          <w:color w:val="000000"/>
          <w:kern w:val="0"/>
          <w:sz w:val="22"/>
        </w:rPr>
      </w:pPr>
      <w:bookmarkStart w:id="21" w:name="_Toc1411"/>
      <w:r>
        <w:rPr>
          <w:rFonts w:ascii="宋体" w:hAnsi="宋体" w:cs="Calibri"/>
          <w:b/>
          <w:bCs/>
          <w:color w:val="000000"/>
          <w:kern w:val="0"/>
          <w:sz w:val="22"/>
        </w:rPr>
        <w:t xml:space="preserve">3.2 </w:t>
      </w:r>
      <w:r>
        <w:rPr>
          <w:rFonts w:hint="eastAsia" w:ascii="宋体" w:hAnsi="宋体" w:cs="Calibri"/>
          <w:b/>
          <w:bCs/>
          <w:color w:val="000000"/>
          <w:kern w:val="0"/>
          <w:sz w:val="22"/>
        </w:rPr>
        <w:t>投标文件的组成</w:t>
      </w:r>
      <w:bookmarkEnd w:id="21"/>
    </w:p>
    <w:p>
      <w:pPr>
        <w:adjustRightInd w:val="0"/>
        <w:snapToGrid w:val="0"/>
        <w:spacing w:line="360" w:lineRule="exact"/>
        <w:ind w:firstLine="440"/>
        <w:rPr>
          <w:rFonts w:ascii="宋体" w:hAnsi="宋体" w:cs="Calibri"/>
          <w:color w:val="000000"/>
          <w:sz w:val="22"/>
        </w:rPr>
      </w:pPr>
      <w:bookmarkStart w:id="22" w:name="_Toc32225"/>
      <w:r>
        <w:rPr>
          <w:rFonts w:ascii="宋体" w:hAnsi="宋体" w:cs="Calibri"/>
          <w:color w:val="000000"/>
          <w:sz w:val="22"/>
        </w:rPr>
        <w:t>3.2.1</w:t>
      </w:r>
      <w:r>
        <w:rPr>
          <w:rFonts w:hint="eastAsia" w:ascii="宋体" w:hAnsi="宋体" w:cs="Calibri"/>
          <w:color w:val="000000"/>
          <w:sz w:val="22"/>
        </w:rPr>
        <w:t>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3.2.2</w:t>
      </w:r>
      <w:r>
        <w:rPr>
          <w:rFonts w:hint="eastAsia"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3.2.3</w:t>
      </w:r>
      <w:r>
        <w:rPr>
          <w:rFonts w:hint="eastAsia"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3.2.4</w:t>
      </w:r>
      <w:r>
        <w:rPr>
          <w:rFonts w:hint="eastAsia" w:ascii="宋体" w:hAnsi="宋体" w:cs="Calibri"/>
          <w:color w:val="000000"/>
          <w:sz w:val="22"/>
        </w:rPr>
        <w:t>已标价工程量清单；</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 xml:space="preserve">3.2.6 </w:t>
      </w:r>
      <w:r>
        <w:rPr>
          <w:rFonts w:hint="eastAsia" w:ascii="宋体" w:hAnsi="宋体" w:cs="Calibri"/>
          <w:color w:val="000000"/>
          <w:sz w:val="22"/>
        </w:rPr>
        <w:t>项目管理机构</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 xml:space="preserve">3.2.7 </w:t>
      </w:r>
      <w:r>
        <w:rPr>
          <w:rFonts w:hint="eastAsia" w:ascii="宋体" w:hAnsi="宋体" w:cs="Calibri"/>
          <w:color w:val="000000"/>
          <w:sz w:val="22"/>
        </w:rPr>
        <w:t>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color w:val="000000"/>
          <w:sz w:val="22"/>
        </w:rPr>
      </w:pPr>
      <w:r>
        <w:rPr>
          <w:rFonts w:ascii="宋体" w:hAnsi="宋体" w:cs="宋体"/>
          <w:color w:val="000000"/>
          <w:sz w:val="22"/>
        </w:rPr>
        <w:t>3.2.8</w:t>
      </w:r>
      <w:r>
        <w:rPr>
          <w:rFonts w:hint="eastAsia" w:ascii="宋体" w:hAnsi="宋体" w:cs="Arial"/>
          <w:color w:val="000000"/>
          <w:sz w:val="22"/>
        </w:rPr>
        <w:t>投标人认为应该提供的其他材料</w:t>
      </w:r>
      <w:r>
        <w:rPr>
          <w:rFonts w:hint="eastAsia" w:ascii="宋体" w:hAnsi="宋体" w:cs="宋体"/>
          <w:color w:val="000000"/>
          <w:sz w:val="22"/>
        </w:rPr>
        <w:t>。</w:t>
      </w: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 xml:space="preserve">3.3 </w:t>
      </w:r>
      <w:r>
        <w:rPr>
          <w:rFonts w:hint="eastAsia" w:ascii="宋体" w:hAnsi="宋体" w:cs="Calibri"/>
          <w:b/>
          <w:bCs/>
          <w:color w:val="000000"/>
          <w:kern w:val="0"/>
          <w:sz w:val="22"/>
        </w:rPr>
        <w:t>投标报价</w:t>
      </w:r>
      <w:bookmarkEnd w:id="22"/>
    </w:p>
    <w:p>
      <w:pPr>
        <w:adjustRightInd w:val="0"/>
        <w:snapToGrid w:val="0"/>
        <w:spacing w:line="360" w:lineRule="exact"/>
        <w:ind w:firstLine="440"/>
        <w:rPr>
          <w:rFonts w:ascii="宋体" w:hAnsi="宋体" w:cs="宋体"/>
          <w:color w:val="000000"/>
          <w:sz w:val="22"/>
        </w:rPr>
      </w:pPr>
      <w:bookmarkStart w:id="23" w:name="_Toc13307"/>
      <w:r>
        <w:rPr>
          <w:rFonts w:ascii="宋体" w:hAnsi="宋体" w:cs="宋体"/>
          <w:color w:val="000000"/>
          <w:sz w:val="22"/>
        </w:rPr>
        <w:t>3.3.1</w:t>
      </w:r>
      <w:r>
        <w:rPr>
          <w:rFonts w:hint="eastAsia" w:ascii="宋体" w:hAnsi="宋体" w:cs="宋体"/>
          <w:color w:val="000000"/>
          <w:sz w:val="22"/>
        </w:rPr>
        <w:t>投标人应按第七章“投标文件格式”的要求填写相应表格并报价。</w:t>
      </w:r>
    </w:p>
    <w:p>
      <w:pPr>
        <w:adjustRightInd w:val="0"/>
        <w:snapToGrid w:val="0"/>
        <w:spacing w:line="360" w:lineRule="exact"/>
        <w:ind w:firstLine="440"/>
        <w:rPr>
          <w:rFonts w:ascii="宋体" w:hAnsi="宋体" w:cs="宋体"/>
          <w:color w:val="000000"/>
          <w:sz w:val="22"/>
        </w:rPr>
      </w:pPr>
      <w:r>
        <w:rPr>
          <w:rFonts w:ascii="宋体" w:hAnsi="宋体" w:cs="宋体"/>
          <w:color w:val="000000"/>
          <w:sz w:val="22"/>
        </w:rPr>
        <w:t>3.3.2</w:t>
      </w:r>
      <w:r>
        <w:rPr>
          <w:rFonts w:hint="eastAsia" w:ascii="宋体" w:hAnsi="宋体" w:cs="宋体"/>
          <w:color w:val="000000"/>
          <w:sz w:val="22"/>
        </w:rPr>
        <w:t>本工程各项取费标准及相关调整系数，根据《浙江省建设工程施工取费定额》（</w:t>
      </w:r>
      <w:r>
        <w:rPr>
          <w:rFonts w:ascii="宋体" w:hAnsi="宋体" w:cs="宋体"/>
          <w:color w:val="000000"/>
          <w:sz w:val="22"/>
        </w:rPr>
        <w:t>2010</w:t>
      </w:r>
      <w:r>
        <w:rPr>
          <w:rFonts w:hint="eastAsia" w:ascii="宋体" w:hAnsi="宋体" w:cs="宋体"/>
          <w:color w:val="000000"/>
          <w:sz w:val="22"/>
        </w:rPr>
        <w:t>版）及浙江省现行的相关文件规定，请投标人在投标报价中，按照上述文件精神执行。</w:t>
      </w:r>
    </w:p>
    <w:p>
      <w:pPr>
        <w:adjustRightInd w:val="0"/>
        <w:snapToGrid w:val="0"/>
        <w:spacing w:line="360" w:lineRule="exact"/>
        <w:ind w:firstLine="440"/>
        <w:rPr>
          <w:rFonts w:ascii="宋体" w:hAnsi="宋体" w:cs="宋体"/>
          <w:b/>
          <w:color w:val="000000"/>
          <w:sz w:val="22"/>
        </w:rPr>
      </w:pPr>
      <w:r>
        <w:rPr>
          <w:rFonts w:ascii="宋体" w:hAnsi="宋体" w:cs="宋体"/>
          <w:color w:val="000000"/>
          <w:sz w:val="22"/>
        </w:rPr>
        <w:t>3.3.3</w:t>
      </w:r>
      <w:r>
        <w:rPr>
          <w:rFonts w:hint="eastAsia" w:ascii="宋体" w:hAnsi="宋体" w:cs="宋体"/>
          <w:color w:val="000000"/>
          <w:sz w:val="22"/>
        </w:rPr>
        <w:t>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color w:val="000000"/>
          <w:sz w:val="22"/>
        </w:rPr>
      </w:pPr>
      <w:r>
        <w:rPr>
          <w:rFonts w:ascii="宋体" w:hAnsi="宋体" w:cs="宋体"/>
          <w:color w:val="000000"/>
          <w:sz w:val="22"/>
        </w:rPr>
        <w:t>3.3.4</w:t>
      </w:r>
      <w:r>
        <w:rPr>
          <w:rFonts w:hint="eastAsia" w:ascii="宋体" w:hAnsi="宋体" w:cs="宋体"/>
          <w:b/>
          <w:color w:val="000000"/>
          <w:sz w:val="22"/>
        </w:rPr>
        <w:t>本工程为固定总价合同（计日工除外）</w:t>
      </w:r>
      <w:r>
        <w:rPr>
          <w:rFonts w:hint="eastAsia" w:ascii="宋体" w:hAnsi="宋体" w:cs="宋体"/>
          <w:color w:val="000000"/>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color w:val="000000"/>
          <w:sz w:val="22"/>
        </w:rPr>
      </w:pPr>
      <w:r>
        <w:rPr>
          <w:rFonts w:ascii="宋体" w:hAnsi="宋体" w:cs="宋体"/>
          <w:color w:val="000000"/>
          <w:sz w:val="22"/>
        </w:rPr>
        <w:t>3.3.5</w:t>
      </w:r>
      <w:r>
        <w:rPr>
          <w:rFonts w:hint="eastAsia" w:ascii="宋体" w:hAnsi="宋体" w:cs="宋体"/>
          <w:color w:val="000000"/>
          <w:sz w:val="22"/>
        </w:rPr>
        <w:t>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color w:val="000000"/>
          <w:sz w:val="22"/>
        </w:rPr>
      </w:pPr>
      <w:r>
        <w:rPr>
          <w:rFonts w:ascii="宋体" w:hAnsi="宋体" w:cs="宋体"/>
          <w:color w:val="000000"/>
          <w:sz w:val="22"/>
        </w:rPr>
        <w:t xml:space="preserve">3.3.6 </w:t>
      </w:r>
      <w:r>
        <w:rPr>
          <w:rFonts w:hint="eastAsia" w:ascii="宋体" w:hAnsi="宋体" w:cs="宋体"/>
          <w:color w:val="000000"/>
          <w:sz w:val="22"/>
        </w:rPr>
        <w:t>工程量清单中的报价，均应以人民币元为单位，最终以人民币办理结算。</w:t>
      </w:r>
    </w:p>
    <w:p>
      <w:pPr>
        <w:adjustRightInd w:val="0"/>
        <w:snapToGrid w:val="0"/>
        <w:spacing w:line="360" w:lineRule="auto"/>
        <w:ind w:firstLine="440"/>
        <w:rPr>
          <w:rFonts w:ascii="宋体" w:hAnsi="宋体" w:cs="宋体"/>
          <w:bCs/>
          <w:color w:val="000000"/>
          <w:sz w:val="22"/>
        </w:rPr>
      </w:pPr>
      <w:r>
        <w:rPr>
          <w:rFonts w:ascii="宋体" w:hAnsi="宋体" w:cs="宋体"/>
          <w:bCs/>
          <w:color w:val="000000"/>
          <w:sz w:val="22"/>
        </w:rPr>
        <w:t>3.3.7</w:t>
      </w:r>
      <w:r>
        <w:rPr>
          <w:rFonts w:hint="eastAsia" w:ascii="宋体" w:hAnsi="宋体" w:cs="宋体"/>
          <w:bCs/>
          <w:color w:val="000000"/>
          <w:sz w:val="22"/>
        </w:rPr>
        <w:t>投标人应充分考虑以下各项风险因素可能导致发生或增加的费用，并计入投标报价中，不报视作优惠：</w:t>
      </w:r>
    </w:p>
    <w:p>
      <w:pPr>
        <w:numPr>
          <w:ilvl w:val="0"/>
          <w:numId w:val="2"/>
        </w:numPr>
        <w:adjustRightInd w:val="0"/>
        <w:snapToGrid w:val="0"/>
        <w:spacing w:line="360" w:lineRule="auto"/>
        <w:ind w:firstLine="440"/>
        <w:rPr>
          <w:rFonts w:ascii="宋体" w:hAnsi="宋体" w:cs="宋体"/>
          <w:bCs/>
          <w:color w:val="000000"/>
          <w:sz w:val="22"/>
          <w:u w:val="single"/>
        </w:rPr>
      </w:pPr>
      <w:r>
        <w:rPr>
          <w:rFonts w:hint="eastAsia" w:ascii="宋体" w:hAnsi="宋体" w:cs="宋体"/>
          <w:bCs/>
          <w:color w:val="000000"/>
          <w:sz w:val="22"/>
          <w:u w:val="single"/>
        </w:rPr>
        <w:t>隔离区施工监管费，按每个作业点每天</w:t>
      </w:r>
      <w:r>
        <w:rPr>
          <w:rFonts w:ascii="宋体" w:hAnsi="宋体" w:cs="宋体"/>
          <w:bCs/>
          <w:color w:val="000000"/>
          <w:sz w:val="22"/>
          <w:u w:val="single"/>
        </w:rPr>
        <w:t>400</w:t>
      </w:r>
      <w:r>
        <w:rPr>
          <w:rFonts w:hint="eastAsia" w:ascii="宋体" w:hAnsi="宋体" w:cs="宋体"/>
          <w:bCs/>
          <w:color w:val="000000"/>
          <w:sz w:val="22"/>
          <w:u w:val="single"/>
        </w:rPr>
        <w:t>元计；</w:t>
      </w:r>
    </w:p>
    <w:p>
      <w:pPr>
        <w:numPr>
          <w:ilvl w:val="0"/>
          <w:numId w:val="2"/>
        </w:numPr>
        <w:adjustRightInd w:val="0"/>
        <w:snapToGrid w:val="0"/>
        <w:spacing w:line="360" w:lineRule="auto"/>
        <w:ind w:firstLine="440"/>
        <w:rPr>
          <w:rFonts w:ascii="宋体" w:hAnsi="宋体" w:cs="宋体"/>
          <w:bCs/>
          <w:color w:val="000000"/>
          <w:sz w:val="22"/>
          <w:u w:val="single"/>
        </w:rPr>
      </w:pPr>
      <w:r>
        <w:rPr>
          <w:rFonts w:hint="eastAsia" w:ascii="宋体" w:hAnsi="宋体" w:cs="宋体"/>
          <w:bCs/>
          <w:color w:val="000000"/>
          <w:sz w:val="22"/>
          <w:u w:val="single"/>
        </w:rPr>
        <w:t>投标人将隔离区施工监管费单列。若未列明，默认包含在总价内。</w:t>
      </w:r>
    </w:p>
    <w:p>
      <w:pPr>
        <w:numPr>
          <w:ilvl w:val="0"/>
          <w:numId w:val="2"/>
        </w:numPr>
        <w:adjustRightInd w:val="0"/>
        <w:snapToGrid w:val="0"/>
        <w:spacing w:line="360" w:lineRule="auto"/>
        <w:ind w:firstLine="440"/>
        <w:rPr>
          <w:rFonts w:ascii="宋体" w:hAnsi="宋体" w:cs="宋体"/>
          <w:bCs/>
          <w:color w:val="000000"/>
          <w:sz w:val="22"/>
          <w:u w:val="single"/>
        </w:rPr>
      </w:pPr>
      <w:r>
        <w:rPr>
          <w:rFonts w:hint="eastAsia" w:ascii="宋体" w:hAnsi="宋体" w:cs="宋体"/>
          <w:bCs/>
          <w:color w:val="000000"/>
          <w:sz w:val="22"/>
          <w:u w:val="single"/>
        </w:rPr>
        <w:t>投标人合理评估隔离区内施工作业时间。</w:t>
      </w: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 xml:space="preserve">3.4 </w:t>
      </w:r>
      <w:r>
        <w:rPr>
          <w:rFonts w:hint="eastAsia" w:ascii="宋体" w:hAnsi="宋体" w:cs="Calibri"/>
          <w:b/>
          <w:bCs/>
          <w:color w:val="000000"/>
          <w:kern w:val="0"/>
          <w:sz w:val="22"/>
        </w:rPr>
        <w:t>投标有效期</w:t>
      </w:r>
      <w:bookmarkEnd w:id="23"/>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3.4.1</w:t>
      </w:r>
      <w:r>
        <w:rPr>
          <w:rFonts w:hint="eastAsia" w:ascii="宋体" w:hAnsi="宋体" w:cs="Calibri"/>
          <w:color w:val="000000"/>
          <w:kern w:val="0"/>
          <w:sz w:val="22"/>
        </w:rPr>
        <w:t>在投标人须知前附表规定的投标有效期内，投标人不得要求撤销和修改其投标文件。</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3.4.2</w:t>
      </w:r>
      <w:r>
        <w:rPr>
          <w:rFonts w:hint="eastAsia" w:ascii="宋体" w:hAnsi="宋体" w:cs="Calibri"/>
          <w:color w:val="000000"/>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color w:val="000000"/>
          <w:kern w:val="0"/>
          <w:sz w:val="22"/>
        </w:rPr>
      </w:pPr>
      <w:bookmarkStart w:id="24" w:name="_Toc30464"/>
      <w:r>
        <w:rPr>
          <w:rFonts w:ascii="宋体" w:hAnsi="宋体" w:cs="Calibri"/>
          <w:b/>
          <w:bCs/>
          <w:color w:val="000000"/>
          <w:kern w:val="0"/>
          <w:sz w:val="22"/>
        </w:rPr>
        <w:t xml:space="preserve">3.5 </w:t>
      </w:r>
      <w:r>
        <w:rPr>
          <w:rFonts w:hint="eastAsia" w:ascii="宋体" w:hAnsi="宋体" w:cs="Calibri"/>
          <w:b/>
          <w:bCs/>
          <w:color w:val="000000"/>
          <w:kern w:val="0"/>
          <w:sz w:val="22"/>
        </w:rPr>
        <w:t>投标保证金</w:t>
      </w:r>
      <w:bookmarkEnd w:id="24"/>
      <w:r>
        <w:rPr>
          <w:rFonts w:hint="eastAsia" w:ascii="宋体" w:hAnsi="宋体" w:cs="Calibri"/>
          <w:b/>
          <w:bCs/>
          <w:color w:val="000000"/>
          <w:kern w:val="0"/>
          <w:sz w:val="22"/>
        </w:rPr>
        <w:t>（如有）</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3.5.1</w:t>
      </w:r>
      <w:r>
        <w:rPr>
          <w:rFonts w:hint="eastAsia" w:ascii="宋体" w:hAnsi="宋体" w:cs="Calibri"/>
          <w:color w:val="000000"/>
          <w:kern w:val="0"/>
          <w:sz w:val="22"/>
        </w:rPr>
        <w:t>投标人在递交投标文件的同时，应按投标人须知前附表规定的金额、担保形式和第七章</w:t>
      </w:r>
      <w:r>
        <w:rPr>
          <w:rFonts w:hint="eastAsia" w:ascii="宋体" w:hAnsi="宋体" w:cs="Calibri"/>
          <w:color w:val="000000"/>
          <w:sz w:val="22"/>
        </w:rPr>
        <w:t>“投标文件格式”</w:t>
      </w:r>
      <w:r>
        <w:rPr>
          <w:rFonts w:hint="eastAsia" w:ascii="宋体" w:hAnsi="宋体" w:cs="Calibri"/>
          <w:color w:val="000000"/>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3.5.2</w:t>
      </w:r>
      <w:r>
        <w:rPr>
          <w:rFonts w:hint="eastAsia" w:ascii="宋体" w:hAnsi="宋体" w:cs="Calibri"/>
          <w:color w:val="000000"/>
          <w:kern w:val="0"/>
          <w:sz w:val="22"/>
        </w:rPr>
        <w:t>中标人的投标保证金，将在与招标人签订合同后</w:t>
      </w:r>
      <w:r>
        <w:rPr>
          <w:rFonts w:ascii="宋体" w:hAnsi="宋体" w:cs="Calibri"/>
          <w:color w:val="000000"/>
          <w:kern w:val="0"/>
          <w:sz w:val="22"/>
        </w:rPr>
        <w:t>5</w:t>
      </w:r>
      <w:r>
        <w:rPr>
          <w:rFonts w:hint="eastAsia" w:ascii="宋体" w:hAnsi="宋体" w:cs="Calibri"/>
          <w:color w:val="000000"/>
          <w:kern w:val="0"/>
          <w:sz w:val="22"/>
        </w:rPr>
        <w:t>日内无息退还（以银行转账方式）；未中标的投标保证金，将在中标公示结束后</w:t>
      </w:r>
      <w:r>
        <w:rPr>
          <w:rFonts w:ascii="宋体" w:hAnsi="宋体" w:cs="Calibri"/>
          <w:color w:val="000000"/>
          <w:kern w:val="0"/>
          <w:sz w:val="22"/>
        </w:rPr>
        <w:t>15</w:t>
      </w:r>
      <w:r>
        <w:rPr>
          <w:rFonts w:hint="eastAsia" w:ascii="宋体" w:hAnsi="宋体" w:cs="Calibri"/>
          <w:color w:val="000000"/>
          <w:kern w:val="0"/>
          <w:sz w:val="22"/>
        </w:rPr>
        <w:t>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3.5.3</w:t>
      </w:r>
      <w:r>
        <w:rPr>
          <w:rFonts w:hint="eastAsia" w:ascii="宋体" w:hAnsi="宋体" w:cs="Calibri"/>
          <w:color w:val="000000"/>
          <w:kern w:val="0"/>
          <w:sz w:val="22"/>
        </w:rPr>
        <w:t>投标人如有下列情形之一的，投标保证金将不予退还：</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）投标人在规定的投标有效期内撤销或修改其投标文件；</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）中标人在收到中标通知书后，</w:t>
      </w:r>
      <w:r>
        <w:rPr>
          <w:rFonts w:hint="eastAsia"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color w:val="000000"/>
          <w:kern w:val="0"/>
          <w:sz w:val="22"/>
        </w:rPr>
      </w:pPr>
      <w:bookmarkStart w:id="25" w:name="_Toc29989"/>
      <w:r>
        <w:rPr>
          <w:rFonts w:ascii="宋体" w:hAnsi="宋体" w:cs="Calibri"/>
          <w:b/>
          <w:bCs/>
          <w:color w:val="000000"/>
          <w:kern w:val="0"/>
          <w:sz w:val="22"/>
        </w:rPr>
        <w:t xml:space="preserve">3.6 </w:t>
      </w:r>
      <w:r>
        <w:rPr>
          <w:rFonts w:hint="eastAsia" w:ascii="宋体" w:hAnsi="宋体" w:cs="Calibri"/>
          <w:b/>
          <w:bCs/>
          <w:color w:val="000000"/>
          <w:kern w:val="0"/>
          <w:sz w:val="22"/>
        </w:rPr>
        <w:t>投标文件的编制</w:t>
      </w:r>
      <w:bookmarkEnd w:id="2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 xml:space="preserve">3.6.1 </w:t>
      </w:r>
      <w:r>
        <w:rPr>
          <w:rFonts w:hint="eastAsia" w:ascii="宋体" w:hAnsi="宋体" w:cs="Calibri"/>
          <w:color w:val="000000"/>
          <w:sz w:val="22"/>
        </w:rPr>
        <w:t>投标文件应按本须知第</w:t>
      </w:r>
      <w:r>
        <w:rPr>
          <w:rFonts w:ascii="宋体" w:hAnsi="宋体" w:cs="Calibri"/>
          <w:color w:val="000000"/>
          <w:sz w:val="22"/>
        </w:rPr>
        <w:t>3.2</w:t>
      </w:r>
      <w:r>
        <w:rPr>
          <w:rFonts w:hint="eastAsia" w:ascii="宋体" w:hAnsi="宋体" w:cs="Calibri"/>
          <w:color w:val="000000"/>
          <w:sz w:val="22"/>
        </w:rPr>
        <w:t>款规定的内容和第七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sz w:val="22"/>
        </w:rPr>
        <w:t xml:space="preserve">3.6.2 </w:t>
      </w:r>
      <w:r>
        <w:rPr>
          <w:rFonts w:hint="eastAsia" w:ascii="宋体" w:hAnsi="宋体" w:cs="Calibri"/>
          <w:color w:val="000000"/>
          <w:kern w:val="0"/>
          <w:sz w:val="22"/>
        </w:rPr>
        <w:t>投标文件应对招标文件有关工期、投标有效期、招标内容等实质性内容作出响应。</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 xml:space="preserve">3.6.3 </w:t>
      </w:r>
      <w:r>
        <w:rPr>
          <w:rFonts w:hint="eastAsia" w:ascii="宋体" w:hAnsi="宋体" w:cs="Calibri"/>
          <w:color w:val="000000"/>
          <w:sz w:val="22"/>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宋体" w:hAnsi="宋体" w:cs="Calibri"/>
          <w:color w:val="000000"/>
          <w:kern w:val="0"/>
          <w:sz w:val="22"/>
        </w:rPr>
        <w:t>签字或盖章的具体要求见投标人须知前附表。</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3.6.4</w:t>
      </w:r>
      <w:r>
        <w:rPr>
          <w:rFonts w:hint="eastAsia" w:ascii="宋体" w:hAnsi="宋体" w:cs="Calibri"/>
          <w:color w:val="000000"/>
          <w:sz w:val="22"/>
        </w:rPr>
        <w:t>投标文件正本一份，</w:t>
      </w:r>
      <w:r>
        <w:rPr>
          <w:rFonts w:ascii="宋体" w:hAnsi="宋体" w:cs="Calibri"/>
          <w:color w:val="000000"/>
          <w:sz w:val="22"/>
        </w:rPr>
        <w:t xml:space="preserve"> </w:t>
      </w:r>
      <w:r>
        <w:rPr>
          <w:rFonts w:hint="eastAsia" w:ascii="宋体" w:hAnsi="宋体" w:cs="Calibri"/>
          <w:color w:val="000000"/>
          <w:sz w:val="22"/>
        </w:rPr>
        <w:t>副本份数见投标人须知前附表。正本、副本的封面上应清楚地标记</w:t>
      </w:r>
      <w:r>
        <w:rPr>
          <w:rFonts w:hint="eastAsia" w:ascii="宋体" w:hAnsi="宋体" w:cs="Calibri"/>
          <w:b/>
          <w:bCs/>
          <w:color w:val="000000"/>
          <w:sz w:val="22"/>
        </w:rPr>
        <w:t>“正本</w:t>
      </w:r>
      <w:r>
        <w:rPr>
          <w:rFonts w:hint="eastAsia" w:ascii="宋体" w:hAnsi="宋体" w:cs="Calibri"/>
          <w:color w:val="000000"/>
          <w:sz w:val="22"/>
        </w:rPr>
        <w:t>”或“</w:t>
      </w:r>
      <w:r>
        <w:rPr>
          <w:rFonts w:hint="eastAsia" w:ascii="宋体" w:hAnsi="宋体" w:cs="Calibri"/>
          <w:b/>
          <w:bCs/>
          <w:color w:val="000000"/>
          <w:sz w:val="22"/>
        </w:rPr>
        <w:t>副本</w:t>
      </w:r>
      <w:r>
        <w:rPr>
          <w:rFonts w:hint="eastAsia" w:ascii="宋体" w:hAnsi="宋体" w:cs="Calibri"/>
          <w:color w:val="000000"/>
          <w:sz w:val="22"/>
        </w:rPr>
        <w:t>”的字样。当副本和正本不一致时，以正本为准。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3.6.5</w:t>
      </w:r>
      <w:r>
        <w:rPr>
          <w:rFonts w:hint="eastAsia" w:ascii="宋体" w:hAnsi="宋体" w:cs="Calibri"/>
          <w:color w:val="000000"/>
          <w:sz w:val="22"/>
        </w:rPr>
        <w:t>投标文件的正本与副本应分别按</w:t>
      </w:r>
      <w:r>
        <w:rPr>
          <w:rFonts w:ascii="宋体" w:hAnsi="宋体" w:cs="Calibri"/>
          <w:color w:val="000000"/>
          <w:sz w:val="22"/>
        </w:rPr>
        <w:t>A4</w:t>
      </w:r>
      <w:r>
        <w:rPr>
          <w:rFonts w:hint="eastAsia" w:ascii="宋体" w:hAnsi="宋体" w:cs="Calibri"/>
          <w:color w:val="000000"/>
          <w:sz w:val="22"/>
        </w:rPr>
        <w:t>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color w:val="000000"/>
          <w:kern w:val="0"/>
          <w:sz w:val="22"/>
        </w:rPr>
      </w:pPr>
      <w:bookmarkStart w:id="27" w:name="_Toc32652"/>
      <w:r>
        <w:rPr>
          <w:rFonts w:ascii="宋体" w:hAnsi="宋体" w:cs="Calibri"/>
          <w:b/>
          <w:bCs/>
          <w:color w:val="000000"/>
          <w:kern w:val="0"/>
          <w:sz w:val="22"/>
        </w:rPr>
        <w:t>4.</w:t>
      </w:r>
      <w:r>
        <w:rPr>
          <w:rFonts w:hint="eastAsia" w:ascii="宋体" w:hAnsi="宋体" w:cs="Calibri"/>
          <w:b/>
          <w:bCs/>
          <w:color w:val="000000"/>
          <w:kern w:val="0"/>
          <w:sz w:val="22"/>
        </w:rPr>
        <w:t>投标</w:t>
      </w:r>
      <w:bookmarkEnd w:id="26"/>
      <w:bookmarkEnd w:id="27"/>
    </w:p>
    <w:p>
      <w:pPr>
        <w:autoSpaceDE w:val="0"/>
        <w:autoSpaceDN w:val="0"/>
        <w:adjustRightInd w:val="0"/>
        <w:snapToGrid w:val="0"/>
        <w:spacing w:line="360" w:lineRule="exact"/>
        <w:rPr>
          <w:rFonts w:ascii="宋体" w:hAnsi="宋体" w:cs="Calibri"/>
          <w:b/>
          <w:bCs/>
          <w:color w:val="000000"/>
          <w:kern w:val="0"/>
          <w:sz w:val="22"/>
        </w:rPr>
      </w:pPr>
      <w:bookmarkStart w:id="28" w:name="_Toc649"/>
      <w:r>
        <w:rPr>
          <w:rFonts w:ascii="宋体" w:hAnsi="宋体" w:cs="Calibri"/>
          <w:b/>
          <w:bCs/>
          <w:color w:val="000000"/>
          <w:kern w:val="0"/>
          <w:sz w:val="22"/>
        </w:rPr>
        <w:t xml:space="preserve">4.1 </w:t>
      </w:r>
      <w:r>
        <w:rPr>
          <w:rFonts w:hint="eastAsia" w:ascii="宋体" w:hAnsi="宋体" w:cs="Calibri"/>
          <w:b/>
          <w:bCs/>
          <w:color w:val="000000"/>
          <w:kern w:val="0"/>
          <w:sz w:val="22"/>
        </w:rPr>
        <w:t>投标文件的密封和标识</w:t>
      </w:r>
      <w:bookmarkEnd w:id="28"/>
    </w:p>
    <w:p>
      <w:pPr>
        <w:adjustRightInd w:val="0"/>
        <w:snapToGrid w:val="0"/>
        <w:spacing w:line="360" w:lineRule="exact"/>
        <w:ind w:firstLine="440"/>
        <w:rPr>
          <w:rFonts w:ascii="宋体" w:hAnsi="宋体" w:cs="Calibri"/>
          <w:color w:val="000000"/>
          <w:kern w:val="0"/>
          <w:sz w:val="22"/>
        </w:rPr>
      </w:pPr>
      <w:r>
        <w:rPr>
          <w:rFonts w:ascii="宋体" w:hAnsi="宋体" w:cs="Calibri"/>
          <w:color w:val="000000"/>
          <w:sz w:val="22"/>
        </w:rPr>
        <w:t>4.1.1</w:t>
      </w:r>
      <w:r>
        <w:rPr>
          <w:rFonts w:hint="eastAsia" w:ascii="宋体" w:hAnsi="宋体" w:cs="Calibri"/>
          <w:color w:val="000000"/>
          <w:kern w:val="0"/>
          <w:sz w:val="22"/>
        </w:rPr>
        <w:t>投标文件的正本、副本及电子文档可一同密封包装，并在封口处加盖投标人单位公章或法定代表人盖章（或签字）或委托代理人盖章（或签字）。</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 xml:space="preserve">4.1.2 </w:t>
      </w:r>
      <w:r>
        <w:rPr>
          <w:rFonts w:hint="eastAsia" w:ascii="宋体" w:hAnsi="宋体" w:cs="Calibri"/>
          <w:color w:val="000000"/>
          <w:sz w:val="22"/>
        </w:rPr>
        <w:t>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 xml:space="preserve">4.1.3 </w:t>
      </w:r>
      <w:r>
        <w:rPr>
          <w:rFonts w:hint="eastAsia" w:ascii="宋体" w:hAnsi="宋体" w:cs="Calibri"/>
          <w:color w:val="000000"/>
          <w:sz w:val="22"/>
        </w:rPr>
        <w:t>未按本章第</w:t>
      </w:r>
      <w:r>
        <w:rPr>
          <w:rFonts w:ascii="宋体" w:hAnsi="宋体" w:cs="Calibri"/>
          <w:color w:val="000000"/>
          <w:sz w:val="22"/>
        </w:rPr>
        <w:t>4.1.1</w:t>
      </w:r>
      <w:r>
        <w:rPr>
          <w:rFonts w:hint="eastAsia" w:ascii="宋体" w:hAnsi="宋体" w:cs="Calibri"/>
          <w:color w:val="000000"/>
          <w:sz w:val="22"/>
        </w:rPr>
        <w:t>项或第</w:t>
      </w:r>
      <w:r>
        <w:rPr>
          <w:rFonts w:ascii="宋体" w:hAnsi="宋体" w:cs="Calibri"/>
          <w:color w:val="000000"/>
          <w:sz w:val="22"/>
        </w:rPr>
        <w:t>4.1.2</w:t>
      </w:r>
      <w:r>
        <w:rPr>
          <w:rFonts w:hint="eastAsia" w:ascii="宋体" w:hAnsi="宋体" w:cs="Calibri"/>
          <w:color w:val="000000"/>
          <w:sz w:val="22"/>
        </w:rPr>
        <w:t>项要求密封和加写标记的投标文件，招标人不予受理。</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4.1.4</w:t>
      </w:r>
      <w:r>
        <w:rPr>
          <w:rFonts w:hint="eastAsia" w:ascii="宋体" w:hAnsi="宋体" w:cs="Calibri"/>
          <w:color w:val="000000"/>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color w:val="000000"/>
          <w:kern w:val="0"/>
          <w:sz w:val="22"/>
        </w:rPr>
      </w:pPr>
      <w:bookmarkStart w:id="29" w:name="_Toc16616"/>
      <w:r>
        <w:rPr>
          <w:rFonts w:ascii="宋体" w:hAnsi="宋体" w:cs="Calibri"/>
          <w:b/>
          <w:bCs/>
          <w:color w:val="000000"/>
          <w:kern w:val="0"/>
          <w:sz w:val="22"/>
        </w:rPr>
        <w:t xml:space="preserve">4.2 </w:t>
      </w:r>
      <w:r>
        <w:rPr>
          <w:rFonts w:hint="eastAsia" w:ascii="宋体" w:hAnsi="宋体" w:cs="Calibri"/>
          <w:b/>
          <w:bCs/>
          <w:color w:val="000000"/>
          <w:kern w:val="0"/>
          <w:sz w:val="22"/>
        </w:rPr>
        <w:t>投标文件的递交</w:t>
      </w:r>
      <w:r>
        <w:rPr>
          <w:rFonts w:ascii="宋体" w:hAnsi="宋体" w:cs="Calibri"/>
          <w:b/>
          <w:bCs/>
          <w:color w:val="000000"/>
          <w:kern w:val="0"/>
          <w:sz w:val="22"/>
        </w:rPr>
        <w:t xml:space="preserve"> </w:t>
      </w:r>
      <w:bookmarkEnd w:id="29"/>
    </w:p>
    <w:p>
      <w:pPr>
        <w:autoSpaceDE w:val="0"/>
        <w:autoSpaceDN w:val="0"/>
        <w:adjustRightInd w:val="0"/>
        <w:snapToGrid w:val="0"/>
        <w:spacing w:line="360" w:lineRule="exact"/>
        <w:ind w:firstLine="476"/>
        <w:rPr>
          <w:rFonts w:ascii="宋体" w:hAnsi="宋体" w:cs="Calibri"/>
          <w:bCs/>
          <w:color w:val="000000"/>
          <w:kern w:val="0"/>
          <w:sz w:val="22"/>
        </w:rPr>
      </w:pPr>
      <w:r>
        <w:rPr>
          <w:rFonts w:ascii="宋体" w:hAnsi="宋体" w:cs="Calibri"/>
          <w:bCs/>
          <w:color w:val="000000"/>
          <w:kern w:val="0"/>
          <w:sz w:val="22"/>
        </w:rPr>
        <w:t>4.2.1</w:t>
      </w:r>
      <w:r>
        <w:rPr>
          <w:rFonts w:hint="eastAsia" w:ascii="宋体" w:hAnsi="宋体" w:cs="Calibri"/>
          <w:bCs/>
          <w:color w:val="000000"/>
          <w:kern w:val="0"/>
          <w:sz w:val="22"/>
        </w:rPr>
        <w:t>投标人应在本须知前附表规定的投标截止时间前递交投标文件。</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4.2.2</w:t>
      </w:r>
      <w:r>
        <w:rPr>
          <w:rFonts w:hint="eastAsia" w:ascii="宋体" w:hAnsi="宋体" w:cs="Calibri"/>
          <w:color w:val="000000"/>
          <w:sz w:val="22"/>
        </w:rPr>
        <w:t>投标人送达投标文件的地点：见投标人须知前附表。</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4.2.3</w:t>
      </w:r>
      <w:r>
        <w:rPr>
          <w:rFonts w:hint="eastAsia" w:ascii="宋体" w:hAnsi="宋体" w:cs="Calibri"/>
          <w:color w:val="000000"/>
          <w:sz w:val="22"/>
        </w:rPr>
        <w:t>除投标人须知前附表另有规定外，投标人所递交的投标文件不予退还。</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4.2.4</w:t>
      </w:r>
      <w:r>
        <w:rPr>
          <w:rFonts w:hint="eastAsia" w:ascii="宋体" w:hAnsi="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color w:val="000000"/>
          <w:kern w:val="0"/>
          <w:sz w:val="22"/>
        </w:rPr>
      </w:pPr>
      <w:bookmarkStart w:id="30" w:name="_Toc26099"/>
      <w:r>
        <w:rPr>
          <w:rFonts w:ascii="宋体" w:hAnsi="宋体" w:cs="Calibri"/>
          <w:b/>
          <w:bCs/>
          <w:color w:val="000000"/>
          <w:kern w:val="0"/>
          <w:sz w:val="22"/>
        </w:rPr>
        <w:t xml:space="preserve">4.3 </w:t>
      </w:r>
      <w:r>
        <w:rPr>
          <w:rFonts w:hint="eastAsia" w:ascii="宋体" w:hAnsi="宋体" w:cs="Calibri"/>
          <w:b/>
          <w:bCs/>
          <w:color w:val="000000"/>
          <w:kern w:val="0"/>
          <w:sz w:val="22"/>
        </w:rPr>
        <w:t>投标文件的修改和撤回</w:t>
      </w:r>
      <w:bookmarkEnd w:id="30"/>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4.3.1</w:t>
      </w:r>
      <w:r>
        <w:rPr>
          <w:rFonts w:hint="eastAsia" w:ascii="宋体" w:hAnsi="宋体" w:cs="Calibri"/>
          <w:color w:val="000000"/>
          <w:kern w:val="0"/>
          <w:sz w:val="22"/>
        </w:rPr>
        <w:t>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4.3.2</w:t>
      </w:r>
      <w:r>
        <w:rPr>
          <w:rFonts w:hint="eastAsia" w:ascii="宋体" w:hAnsi="宋体" w:cs="Calibri"/>
          <w:color w:val="000000"/>
          <w:kern w:val="0"/>
          <w:sz w:val="22"/>
        </w:rPr>
        <w:t>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4.3.3</w:t>
      </w:r>
      <w:r>
        <w:rPr>
          <w:rFonts w:hint="eastAsia" w:ascii="宋体" w:hAnsi="宋体" w:cs="Calibri"/>
          <w:color w:val="000000"/>
          <w:kern w:val="0"/>
          <w:sz w:val="22"/>
        </w:rPr>
        <w:t>修改的内容为投标文件的组成部分。修改的投标文件应按照本须知</w:t>
      </w:r>
      <w:r>
        <w:rPr>
          <w:rFonts w:ascii="宋体" w:hAnsi="宋体" w:cs="Calibri"/>
          <w:color w:val="000000"/>
          <w:kern w:val="0"/>
          <w:sz w:val="22"/>
        </w:rPr>
        <w:t>3</w:t>
      </w: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规定进行编制、密封、标识和递交，并标明“修改”字样。</w:t>
      </w:r>
    </w:p>
    <w:p>
      <w:pPr>
        <w:autoSpaceDE w:val="0"/>
        <w:autoSpaceDN w:val="0"/>
        <w:adjustRightInd w:val="0"/>
        <w:snapToGrid w:val="0"/>
        <w:spacing w:line="360" w:lineRule="exact"/>
        <w:rPr>
          <w:rFonts w:ascii="宋体" w:hAnsi="宋体" w:cs="Calibri"/>
          <w:b/>
          <w:bCs/>
          <w:color w:val="000000"/>
          <w:kern w:val="0"/>
          <w:sz w:val="22"/>
        </w:rPr>
      </w:pPr>
      <w:bookmarkStart w:id="31" w:name="_Toc29641"/>
      <w:r>
        <w:rPr>
          <w:rFonts w:ascii="宋体" w:hAnsi="宋体" w:cs="Calibri"/>
          <w:b/>
          <w:bCs/>
          <w:color w:val="000000"/>
          <w:kern w:val="0"/>
          <w:sz w:val="22"/>
        </w:rPr>
        <w:t>5.</w:t>
      </w:r>
      <w:r>
        <w:rPr>
          <w:rFonts w:hint="eastAsia" w:ascii="宋体" w:hAnsi="宋体" w:cs="Calibri"/>
          <w:b/>
          <w:bCs/>
          <w:color w:val="000000"/>
          <w:kern w:val="0"/>
          <w:sz w:val="22"/>
        </w:rPr>
        <w:t>开标</w:t>
      </w:r>
      <w:bookmarkEnd w:id="31"/>
    </w:p>
    <w:p>
      <w:pPr>
        <w:autoSpaceDE w:val="0"/>
        <w:autoSpaceDN w:val="0"/>
        <w:adjustRightInd w:val="0"/>
        <w:snapToGrid w:val="0"/>
        <w:spacing w:line="360" w:lineRule="exact"/>
        <w:rPr>
          <w:rFonts w:ascii="宋体" w:hAnsi="宋体" w:cs="Calibri"/>
          <w:b/>
          <w:bCs/>
          <w:color w:val="000000"/>
          <w:kern w:val="0"/>
          <w:sz w:val="22"/>
        </w:rPr>
      </w:pPr>
      <w:bookmarkStart w:id="32" w:name="_Toc15123"/>
      <w:r>
        <w:rPr>
          <w:rFonts w:ascii="宋体" w:hAnsi="宋体" w:cs="Calibri"/>
          <w:b/>
          <w:bCs/>
          <w:color w:val="000000"/>
          <w:kern w:val="0"/>
          <w:sz w:val="22"/>
        </w:rPr>
        <w:t xml:space="preserve">5.1 </w:t>
      </w:r>
      <w:r>
        <w:rPr>
          <w:rFonts w:hint="eastAsia" w:ascii="宋体" w:hAnsi="宋体" w:cs="Calibri"/>
          <w:b/>
          <w:bCs/>
          <w:color w:val="000000"/>
          <w:kern w:val="0"/>
          <w:sz w:val="22"/>
        </w:rPr>
        <w:t>开标时间和地点</w:t>
      </w:r>
      <w:bookmarkEnd w:id="3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5.1.1</w:t>
      </w:r>
      <w:r>
        <w:rPr>
          <w:rFonts w:hint="eastAsia" w:ascii="宋体" w:hAnsi="宋体" w:cs="Calibri"/>
          <w:color w:val="000000"/>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5.1.2</w:t>
      </w:r>
      <w:r>
        <w:rPr>
          <w:rFonts w:hint="eastAsia" w:ascii="宋体" w:hAnsi="宋体" w:cs="Calibri"/>
          <w:color w:val="000000"/>
          <w:sz w:val="22"/>
        </w:rPr>
        <w:t>投标人在投标时应随身携带下列资料提交招标人</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w:t>
      </w:r>
      <w:r>
        <w:rPr>
          <w:rFonts w:ascii="宋体" w:hAnsi="宋体" w:cs="Calibri"/>
          <w:color w:val="000000"/>
          <w:sz w:val="22"/>
        </w:rPr>
        <w:t>1</w:t>
      </w:r>
      <w:r>
        <w:rPr>
          <w:rFonts w:hint="eastAsia" w:ascii="宋体" w:hAnsi="宋体" w:cs="Calibri"/>
          <w:color w:val="000000"/>
          <w:sz w:val="22"/>
        </w:rPr>
        <w:t>）委托代理人的身份证、法定代表人授权委托书（装订在投标文件内亦可）；</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w:t>
      </w:r>
      <w:r>
        <w:rPr>
          <w:rFonts w:ascii="宋体" w:hAnsi="宋体" w:cs="Calibri"/>
          <w:color w:val="000000"/>
          <w:sz w:val="22"/>
        </w:rPr>
        <w:t>2</w:t>
      </w:r>
      <w:r>
        <w:rPr>
          <w:rFonts w:hint="eastAsia" w:ascii="宋体" w:hAnsi="宋体" w:cs="Calibri"/>
          <w:color w:val="000000"/>
          <w:sz w:val="22"/>
        </w:rPr>
        <w:t>）投标保证金收执证明或汇款凭证或银行回单（装订在投标文件内亦可）（如有）。</w:t>
      </w:r>
    </w:p>
    <w:p>
      <w:pPr>
        <w:autoSpaceDE w:val="0"/>
        <w:autoSpaceDN w:val="0"/>
        <w:adjustRightInd w:val="0"/>
        <w:snapToGrid w:val="0"/>
        <w:spacing w:line="360" w:lineRule="exact"/>
        <w:rPr>
          <w:rFonts w:ascii="宋体" w:hAnsi="宋体" w:cs="Calibri"/>
          <w:b/>
          <w:bCs/>
          <w:color w:val="000000"/>
          <w:kern w:val="0"/>
          <w:sz w:val="22"/>
        </w:rPr>
      </w:pPr>
      <w:bookmarkStart w:id="33" w:name="_Toc7101"/>
      <w:r>
        <w:rPr>
          <w:rFonts w:ascii="宋体" w:hAnsi="宋体" w:cs="Calibri"/>
          <w:b/>
          <w:bCs/>
          <w:color w:val="000000"/>
          <w:kern w:val="0"/>
          <w:sz w:val="22"/>
        </w:rPr>
        <w:t xml:space="preserve">5.2 </w:t>
      </w:r>
      <w:r>
        <w:rPr>
          <w:rFonts w:hint="eastAsia" w:ascii="宋体" w:hAnsi="宋体" w:cs="Calibri"/>
          <w:b/>
          <w:bCs/>
          <w:color w:val="000000"/>
          <w:kern w:val="0"/>
          <w:sz w:val="22"/>
        </w:rPr>
        <w:t>开标程序</w:t>
      </w:r>
      <w:bookmarkEnd w:id="33"/>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主持人按下列程序进行开标：</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）宣布开标纪律；</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）公布在投标截止时间前递交投标文件的投标人名称，并点名确认投标人是否派人到场；</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）宣布开标人、唱标人、记录人、监标人等有关人员姓名；</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）按照投标人须知前附表规定检查投标文件的密封情况；</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5</w:t>
      </w:r>
      <w:r>
        <w:rPr>
          <w:rFonts w:hint="eastAsia" w:ascii="宋体" w:hAnsi="宋体" w:cs="Calibri"/>
          <w:color w:val="000000"/>
          <w:kern w:val="0"/>
          <w:sz w:val="22"/>
        </w:rPr>
        <w:t>）按照投标人须知前附表的规定确定并宣布投标文件开标顺序；</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6</w:t>
      </w:r>
      <w:r>
        <w:rPr>
          <w:rFonts w:hint="eastAsia" w:ascii="宋体" w:hAnsi="宋体" w:cs="Calibri"/>
          <w:color w:val="000000"/>
          <w:kern w:val="0"/>
          <w:sz w:val="22"/>
        </w:rPr>
        <w:t>）</w:t>
      </w:r>
      <w:r>
        <w:rPr>
          <w:rFonts w:hint="eastAsia" w:ascii="宋体" w:hAnsi="宋体" w:cs="Calibri"/>
          <w:color w:val="000000"/>
          <w:sz w:val="22"/>
        </w:rPr>
        <w:t>按照宣布的开标顺序当众开标，公布投标人名称、投标保证金的递交情况、投标报价、工期、质量目标及其他内容，并记录在案；</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7</w:t>
      </w:r>
      <w:r>
        <w:rPr>
          <w:rFonts w:hint="eastAsia" w:ascii="宋体" w:hAnsi="宋体" w:cs="Calibri"/>
          <w:color w:val="000000"/>
          <w:kern w:val="0"/>
          <w:sz w:val="22"/>
        </w:rPr>
        <w:t>）投标人代表、招标人代表、监标人、记录人等有关人员在开标记录上签字确认；</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8</w:t>
      </w:r>
      <w:r>
        <w:rPr>
          <w:rFonts w:hint="eastAsia" w:ascii="宋体" w:hAnsi="宋体" w:cs="Calibri"/>
          <w:color w:val="000000"/>
          <w:kern w:val="0"/>
          <w:sz w:val="22"/>
        </w:rPr>
        <w:t>）开标结束。</w:t>
      </w:r>
    </w:p>
    <w:p>
      <w:pPr>
        <w:autoSpaceDE w:val="0"/>
        <w:autoSpaceDN w:val="0"/>
        <w:adjustRightInd w:val="0"/>
        <w:snapToGrid w:val="0"/>
        <w:spacing w:line="360" w:lineRule="exact"/>
        <w:rPr>
          <w:rFonts w:ascii="宋体" w:hAnsi="宋体" w:cs="Calibri"/>
          <w:b/>
          <w:bCs/>
          <w:color w:val="000000"/>
          <w:kern w:val="0"/>
          <w:sz w:val="22"/>
        </w:rPr>
      </w:pPr>
      <w:bookmarkStart w:id="34" w:name="_Toc31578"/>
      <w:r>
        <w:rPr>
          <w:rFonts w:ascii="宋体" w:hAnsi="宋体" w:cs="Calibri"/>
          <w:b/>
          <w:bCs/>
          <w:color w:val="000000"/>
          <w:kern w:val="0"/>
          <w:sz w:val="22"/>
        </w:rPr>
        <w:t>6.</w:t>
      </w:r>
      <w:r>
        <w:rPr>
          <w:rFonts w:hint="eastAsia" w:ascii="宋体" w:hAnsi="宋体" w:cs="Calibri"/>
          <w:b/>
          <w:bCs/>
          <w:color w:val="000000"/>
          <w:kern w:val="0"/>
          <w:sz w:val="22"/>
        </w:rPr>
        <w:t>评标</w:t>
      </w:r>
      <w:bookmarkEnd w:id="34"/>
    </w:p>
    <w:p>
      <w:pPr>
        <w:autoSpaceDE w:val="0"/>
        <w:autoSpaceDN w:val="0"/>
        <w:adjustRightInd w:val="0"/>
        <w:snapToGrid w:val="0"/>
        <w:spacing w:line="360" w:lineRule="exact"/>
        <w:rPr>
          <w:rFonts w:ascii="宋体" w:hAnsi="宋体" w:cs="Calibri"/>
          <w:b/>
          <w:bCs/>
          <w:color w:val="000000"/>
          <w:kern w:val="0"/>
          <w:sz w:val="22"/>
        </w:rPr>
      </w:pPr>
      <w:bookmarkStart w:id="35" w:name="_Toc10279"/>
      <w:r>
        <w:rPr>
          <w:rFonts w:ascii="宋体" w:hAnsi="宋体" w:cs="Calibri"/>
          <w:b/>
          <w:bCs/>
          <w:color w:val="000000"/>
          <w:kern w:val="0"/>
          <w:sz w:val="22"/>
        </w:rPr>
        <w:t xml:space="preserve">6.1 </w:t>
      </w:r>
      <w:r>
        <w:rPr>
          <w:rFonts w:hint="eastAsia" w:ascii="宋体" w:hAnsi="宋体" w:cs="Calibri"/>
          <w:b/>
          <w:bCs/>
          <w:color w:val="000000"/>
          <w:kern w:val="0"/>
          <w:sz w:val="22"/>
        </w:rPr>
        <w:t>评标委员会</w:t>
      </w:r>
      <w:bookmarkEnd w:id="35"/>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6.1.1</w:t>
      </w:r>
      <w:r>
        <w:rPr>
          <w:rFonts w:hint="eastAsia" w:ascii="宋体" w:hAnsi="宋体" w:cs="Calibri"/>
          <w:color w:val="000000"/>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6.1.2</w:t>
      </w:r>
      <w:r>
        <w:rPr>
          <w:rFonts w:hint="eastAsia" w:ascii="宋体" w:hAnsi="宋体" w:cs="Calibri"/>
          <w:color w:val="000000"/>
          <w:kern w:val="0"/>
          <w:sz w:val="22"/>
        </w:rPr>
        <w:t>评标委员会成员有下列情形之一的，应当回避：</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）招标人或投标人的主要负责人的近亲属；</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）项目主管部门或者行政监督部门的人员；</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）与投标人有经济利益关系，可能影响对投标公正评审的；</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color w:val="000000"/>
          <w:kern w:val="0"/>
          <w:sz w:val="22"/>
        </w:rPr>
      </w:pPr>
      <w:bookmarkStart w:id="36" w:name="_Toc3460"/>
      <w:r>
        <w:rPr>
          <w:rFonts w:ascii="宋体" w:hAnsi="宋体" w:cs="Calibri"/>
          <w:b/>
          <w:bCs/>
          <w:color w:val="000000"/>
          <w:kern w:val="0"/>
          <w:sz w:val="22"/>
        </w:rPr>
        <w:t xml:space="preserve">6.2 </w:t>
      </w:r>
      <w:r>
        <w:rPr>
          <w:rFonts w:hint="eastAsia" w:ascii="宋体" w:hAnsi="宋体" w:cs="Calibri"/>
          <w:b/>
          <w:bCs/>
          <w:color w:val="000000"/>
          <w:kern w:val="0"/>
          <w:sz w:val="22"/>
        </w:rPr>
        <w:t>评标原则</w:t>
      </w:r>
      <w:bookmarkEnd w:id="36"/>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cs="Calibri"/>
          <w:b/>
          <w:bCs/>
          <w:color w:val="000000"/>
          <w:kern w:val="0"/>
          <w:sz w:val="22"/>
        </w:rPr>
      </w:pPr>
      <w:bookmarkStart w:id="37" w:name="_Toc28178"/>
      <w:r>
        <w:rPr>
          <w:rFonts w:ascii="宋体" w:hAnsi="宋体" w:cs="Calibri"/>
          <w:b/>
          <w:bCs/>
          <w:color w:val="000000"/>
          <w:kern w:val="0"/>
          <w:sz w:val="22"/>
        </w:rPr>
        <w:t xml:space="preserve">6.3 </w:t>
      </w:r>
      <w:r>
        <w:rPr>
          <w:rFonts w:hint="eastAsia" w:ascii="宋体" w:hAnsi="宋体" w:cs="Calibri"/>
          <w:b/>
          <w:bCs/>
          <w:color w:val="000000"/>
          <w:kern w:val="0"/>
          <w:sz w:val="22"/>
        </w:rPr>
        <w:t>评标</w:t>
      </w:r>
      <w:bookmarkEnd w:id="37"/>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评标委员会按照第六章“评标方法及标准”对投标文件进行评审。第六章“评标方法及标准”没有规定的方法、评审因素和标准，不作为评标依据。</w:t>
      </w:r>
    </w:p>
    <w:p>
      <w:pPr>
        <w:autoSpaceDE w:val="0"/>
        <w:autoSpaceDN w:val="0"/>
        <w:adjustRightInd w:val="0"/>
        <w:snapToGrid w:val="0"/>
        <w:spacing w:line="360" w:lineRule="exact"/>
        <w:rPr>
          <w:rFonts w:ascii="宋体" w:hAnsi="宋体" w:cs="Calibri"/>
          <w:b/>
          <w:bCs/>
          <w:color w:val="000000"/>
          <w:kern w:val="0"/>
          <w:sz w:val="22"/>
        </w:rPr>
      </w:pPr>
      <w:bookmarkStart w:id="38" w:name="_Toc24237"/>
      <w:r>
        <w:rPr>
          <w:rFonts w:ascii="宋体" w:hAnsi="宋体" w:cs="Calibri"/>
          <w:b/>
          <w:bCs/>
          <w:color w:val="000000"/>
          <w:kern w:val="0"/>
          <w:sz w:val="22"/>
        </w:rPr>
        <w:t>7.</w:t>
      </w:r>
      <w:r>
        <w:rPr>
          <w:rFonts w:hint="eastAsia" w:ascii="宋体" w:hAnsi="宋体" w:cs="Calibri"/>
          <w:b/>
          <w:bCs/>
          <w:color w:val="000000"/>
          <w:kern w:val="0"/>
          <w:sz w:val="22"/>
        </w:rPr>
        <w:t>合同授予</w:t>
      </w:r>
      <w:bookmarkEnd w:id="38"/>
    </w:p>
    <w:p>
      <w:pPr>
        <w:autoSpaceDE w:val="0"/>
        <w:autoSpaceDN w:val="0"/>
        <w:adjustRightInd w:val="0"/>
        <w:snapToGrid w:val="0"/>
        <w:spacing w:line="360" w:lineRule="exact"/>
        <w:rPr>
          <w:rFonts w:ascii="宋体" w:hAnsi="宋体" w:cs="Calibri"/>
          <w:b/>
          <w:bCs/>
          <w:color w:val="000000"/>
          <w:kern w:val="0"/>
          <w:sz w:val="22"/>
        </w:rPr>
      </w:pPr>
      <w:bookmarkStart w:id="39" w:name="_Toc18809"/>
      <w:r>
        <w:rPr>
          <w:rFonts w:ascii="宋体" w:hAnsi="宋体" w:cs="Calibri"/>
          <w:b/>
          <w:bCs/>
          <w:color w:val="000000"/>
          <w:kern w:val="0"/>
          <w:sz w:val="22"/>
        </w:rPr>
        <w:t xml:space="preserve">7.1 </w:t>
      </w:r>
      <w:r>
        <w:rPr>
          <w:rFonts w:hint="eastAsia" w:ascii="宋体" w:hAnsi="宋体" w:cs="Calibri"/>
          <w:b/>
          <w:bCs/>
          <w:color w:val="000000"/>
          <w:kern w:val="0"/>
          <w:sz w:val="22"/>
        </w:rPr>
        <w:t>定标方式</w:t>
      </w:r>
      <w:bookmarkEnd w:id="39"/>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color w:val="000000"/>
          <w:kern w:val="0"/>
          <w:sz w:val="22"/>
        </w:rPr>
      </w:pPr>
      <w:bookmarkStart w:id="40" w:name="_Toc14573"/>
      <w:r>
        <w:rPr>
          <w:rFonts w:ascii="宋体" w:hAnsi="宋体" w:cs="Calibri"/>
          <w:b/>
          <w:bCs/>
          <w:color w:val="000000"/>
          <w:kern w:val="0"/>
          <w:sz w:val="22"/>
        </w:rPr>
        <w:t xml:space="preserve">7.2 </w:t>
      </w:r>
      <w:r>
        <w:rPr>
          <w:rFonts w:hint="eastAsia" w:ascii="宋体" w:hAnsi="宋体" w:cs="Calibri"/>
          <w:b/>
          <w:bCs/>
          <w:color w:val="000000"/>
          <w:kern w:val="0"/>
          <w:sz w:val="22"/>
        </w:rPr>
        <w:t>中标通知</w:t>
      </w:r>
      <w:bookmarkEnd w:id="40"/>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在投标人须知第</w:t>
      </w:r>
      <w:r>
        <w:rPr>
          <w:rFonts w:ascii="宋体" w:hAnsi="宋体" w:cs="Calibri"/>
          <w:color w:val="000000"/>
          <w:kern w:val="0"/>
          <w:sz w:val="22"/>
        </w:rPr>
        <w:t>3.4</w:t>
      </w:r>
      <w:r>
        <w:rPr>
          <w:rFonts w:hint="eastAsia" w:ascii="宋体" w:hAnsi="宋体" w:cs="Calibri"/>
          <w:color w:val="000000"/>
          <w:kern w:val="0"/>
          <w:sz w:val="22"/>
        </w:rPr>
        <w:t>款规定的投标有效期内，招标人以书面形式向中标人发出中标通知书。</w:t>
      </w:r>
    </w:p>
    <w:p>
      <w:pPr>
        <w:autoSpaceDE w:val="0"/>
        <w:autoSpaceDN w:val="0"/>
        <w:adjustRightInd w:val="0"/>
        <w:snapToGrid w:val="0"/>
        <w:spacing w:line="360" w:lineRule="exact"/>
        <w:rPr>
          <w:rFonts w:ascii="宋体" w:hAnsi="宋体" w:cs="Calibri"/>
          <w:b/>
          <w:bCs/>
          <w:color w:val="000000"/>
          <w:kern w:val="0"/>
          <w:sz w:val="22"/>
        </w:rPr>
      </w:pPr>
      <w:bookmarkStart w:id="41" w:name="_Toc27132"/>
      <w:r>
        <w:rPr>
          <w:rFonts w:ascii="宋体" w:hAnsi="宋体" w:cs="Calibri"/>
          <w:b/>
          <w:bCs/>
          <w:color w:val="000000"/>
          <w:kern w:val="0"/>
          <w:sz w:val="22"/>
        </w:rPr>
        <w:t xml:space="preserve">7.3 </w:t>
      </w:r>
      <w:r>
        <w:rPr>
          <w:rFonts w:hint="eastAsia" w:ascii="宋体" w:hAnsi="宋体" w:cs="Calibri"/>
          <w:b/>
          <w:bCs/>
          <w:color w:val="000000"/>
          <w:kern w:val="0"/>
          <w:sz w:val="22"/>
        </w:rPr>
        <w:t>履约保证金</w:t>
      </w:r>
      <w:bookmarkEnd w:id="41"/>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7.3.1</w:t>
      </w:r>
      <w:r>
        <w:rPr>
          <w:rFonts w:hint="eastAsia" w:ascii="宋体" w:hAnsi="宋体" w:cs="Calibri"/>
          <w:color w:val="000000"/>
          <w:kern w:val="0"/>
          <w:sz w:val="22"/>
        </w:rPr>
        <w:t>在签订合同前，中标人应按投标人须知前附表规定的金额和担保形式向招标人提交履约保证金。</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 xml:space="preserve">7.3.2 </w:t>
      </w:r>
      <w:r>
        <w:rPr>
          <w:rFonts w:hint="eastAsia" w:ascii="宋体" w:hAnsi="宋体" w:cs="Calibri"/>
          <w:color w:val="000000"/>
          <w:kern w:val="0"/>
          <w:sz w:val="22"/>
        </w:rPr>
        <w:t>中标人不能按本章第</w:t>
      </w:r>
      <w:r>
        <w:rPr>
          <w:rFonts w:ascii="宋体" w:hAnsi="宋体" w:cs="Calibri"/>
          <w:color w:val="000000"/>
          <w:kern w:val="0"/>
          <w:sz w:val="22"/>
        </w:rPr>
        <w:t>7.3.1</w:t>
      </w:r>
      <w:r>
        <w:rPr>
          <w:rFonts w:hint="eastAsia" w:ascii="宋体" w:hAnsi="宋体" w:cs="Calibri"/>
          <w:color w:val="000000"/>
          <w:kern w:val="0"/>
          <w:sz w:val="22"/>
        </w:rPr>
        <w:t>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color w:val="000000"/>
          <w:kern w:val="0"/>
          <w:sz w:val="22"/>
        </w:rPr>
      </w:pPr>
      <w:bookmarkStart w:id="42" w:name="_Toc27581"/>
      <w:r>
        <w:rPr>
          <w:rFonts w:ascii="宋体" w:hAnsi="宋体" w:cs="Calibri"/>
          <w:b/>
          <w:bCs/>
          <w:color w:val="000000"/>
          <w:kern w:val="0"/>
          <w:sz w:val="22"/>
        </w:rPr>
        <w:t xml:space="preserve">7.4 </w:t>
      </w:r>
      <w:r>
        <w:rPr>
          <w:rFonts w:hint="eastAsia" w:ascii="宋体" w:hAnsi="宋体" w:cs="Calibri"/>
          <w:b/>
          <w:bCs/>
          <w:color w:val="000000"/>
          <w:kern w:val="0"/>
          <w:sz w:val="22"/>
        </w:rPr>
        <w:t>签订合同</w:t>
      </w:r>
      <w:bookmarkEnd w:id="42"/>
    </w:p>
    <w:p>
      <w:pPr>
        <w:adjustRightInd w:val="0"/>
        <w:snapToGrid w:val="0"/>
        <w:spacing w:line="360" w:lineRule="exact"/>
        <w:ind w:firstLine="440"/>
        <w:rPr>
          <w:rFonts w:ascii="宋体" w:hAnsi="宋体" w:cs="Calibri"/>
          <w:color w:val="000000"/>
          <w:kern w:val="0"/>
          <w:sz w:val="22"/>
        </w:rPr>
      </w:pPr>
      <w:r>
        <w:rPr>
          <w:rFonts w:ascii="宋体" w:hAnsi="宋体" w:cs="Calibri"/>
          <w:color w:val="000000"/>
          <w:sz w:val="22"/>
        </w:rPr>
        <w:t>7</w:t>
      </w:r>
      <w:bookmarkStart w:id="43" w:name="_Toc11806"/>
      <w:bookmarkStart w:id="44" w:name="_Toc219809801"/>
      <w:bookmarkStart w:id="45" w:name="_Toc220123241"/>
      <w:r>
        <w:rPr>
          <w:rFonts w:ascii="宋体" w:hAnsi="宋体" w:cs="Calibri"/>
          <w:color w:val="000000"/>
          <w:kern w:val="0"/>
          <w:sz w:val="22"/>
        </w:rPr>
        <w:t>.4.1</w:t>
      </w:r>
      <w:r>
        <w:rPr>
          <w:rFonts w:hint="eastAsia" w:ascii="宋体" w:hAnsi="宋体" w:cs="Calibri"/>
          <w:color w:val="000000"/>
          <w:kern w:val="0"/>
          <w:sz w:val="22"/>
        </w:rPr>
        <w:t>招标人和中标人应当自中标通知书发出之日起</w:t>
      </w:r>
      <w:r>
        <w:rPr>
          <w:rFonts w:ascii="宋体" w:hAnsi="宋体" w:cs="Calibri"/>
          <w:color w:val="000000"/>
          <w:kern w:val="0"/>
          <w:sz w:val="22"/>
        </w:rPr>
        <w:t>30</w:t>
      </w:r>
      <w:r>
        <w:rPr>
          <w:rFonts w:hint="eastAsia" w:ascii="宋体" w:hAnsi="宋体" w:cs="Calibri"/>
          <w:color w:val="000000"/>
          <w:kern w:val="0"/>
          <w:sz w:val="22"/>
        </w:rPr>
        <w:t>个工作日内订立书面合同（合同条款按第三章“合同条款及格式”）。中标人无正当理由拒签合同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 xml:space="preserve">7.4.2 </w:t>
      </w:r>
      <w:r>
        <w:rPr>
          <w:rFonts w:hint="eastAsia" w:ascii="宋体" w:hAnsi="宋体" w:cs="Calibri"/>
          <w:color w:val="000000"/>
          <w:kern w:val="0"/>
          <w:sz w:val="22"/>
        </w:rPr>
        <w:t>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 xml:space="preserve">7.4.3 </w:t>
      </w:r>
      <w:r>
        <w:rPr>
          <w:rFonts w:hint="eastAsia" w:ascii="宋体" w:hAnsi="宋体" w:cs="Calibri"/>
          <w:b/>
          <w:color w:val="000000"/>
          <w:kern w:val="0"/>
          <w:sz w:val="22"/>
        </w:rPr>
        <w:t>招标人在授予合同前的任何时候，仍保留接受或者拒绝任何投标和拒绝所有投标的权利。</w:t>
      </w:r>
    </w:p>
    <w:p>
      <w:pPr>
        <w:adjustRightInd w:val="0"/>
        <w:snapToGrid w:val="0"/>
        <w:spacing w:line="360" w:lineRule="exact"/>
        <w:ind w:firstLine="440"/>
        <w:rPr>
          <w:rFonts w:ascii="宋体" w:hAnsi="宋体" w:cs="Calibri"/>
          <w:color w:val="000000"/>
          <w:kern w:val="0"/>
          <w:sz w:val="22"/>
        </w:rPr>
      </w:pPr>
    </w:p>
    <w:p>
      <w:pPr>
        <w:autoSpaceDE w:val="0"/>
        <w:autoSpaceDN w:val="0"/>
        <w:adjustRightInd w:val="0"/>
        <w:snapToGrid w:val="0"/>
        <w:spacing w:line="360" w:lineRule="exact"/>
        <w:rPr>
          <w:rFonts w:ascii="宋体" w:hAnsi="宋体" w:cs="Calibri"/>
          <w:b/>
          <w:bCs/>
          <w:color w:val="000000"/>
          <w:kern w:val="0"/>
          <w:sz w:val="22"/>
        </w:rPr>
      </w:pPr>
      <w:r>
        <w:rPr>
          <w:rFonts w:ascii="宋体" w:hAnsi="宋体" w:cs="Calibri"/>
          <w:b/>
          <w:bCs/>
          <w:color w:val="000000"/>
          <w:kern w:val="0"/>
          <w:sz w:val="22"/>
        </w:rPr>
        <w:t>8.</w:t>
      </w:r>
      <w:r>
        <w:rPr>
          <w:rFonts w:hint="eastAsia" w:ascii="宋体" w:hAnsi="宋体" w:cs="Calibri"/>
          <w:b/>
          <w:bCs/>
          <w:color w:val="000000"/>
          <w:kern w:val="0"/>
          <w:sz w:val="22"/>
        </w:rPr>
        <w:t>重新招标和不再招标</w:t>
      </w:r>
      <w:bookmarkEnd w:id="43"/>
      <w:bookmarkEnd w:id="44"/>
      <w:bookmarkEnd w:id="45"/>
    </w:p>
    <w:p>
      <w:pPr>
        <w:autoSpaceDE w:val="0"/>
        <w:autoSpaceDN w:val="0"/>
        <w:adjustRightInd w:val="0"/>
        <w:snapToGrid w:val="0"/>
        <w:spacing w:line="360" w:lineRule="exact"/>
        <w:rPr>
          <w:rFonts w:ascii="宋体" w:hAnsi="宋体" w:cs="Calibri"/>
          <w:b/>
          <w:bCs/>
          <w:color w:val="000000"/>
          <w:kern w:val="0"/>
          <w:sz w:val="22"/>
        </w:rPr>
      </w:pPr>
      <w:bookmarkStart w:id="46" w:name="_Toc220123242"/>
      <w:bookmarkStart w:id="47" w:name="_Toc15553"/>
      <w:bookmarkStart w:id="48" w:name="_Toc219809802"/>
      <w:r>
        <w:rPr>
          <w:rFonts w:ascii="宋体" w:hAnsi="宋体" w:cs="Calibri"/>
          <w:b/>
          <w:bCs/>
          <w:color w:val="000000"/>
          <w:kern w:val="0"/>
          <w:sz w:val="22"/>
        </w:rPr>
        <w:t xml:space="preserve">8.1 </w:t>
      </w:r>
      <w:r>
        <w:rPr>
          <w:rFonts w:hint="eastAsia" w:ascii="宋体" w:hAnsi="宋体" w:cs="Calibri"/>
          <w:b/>
          <w:bCs/>
          <w:color w:val="000000"/>
          <w:kern w:val="0"/>
          <w:sz w:val="22"/>
        </w:rPr>
        <w:t>重新招标</w:t>
      </w:r>
      <w:bookmarkEnd w:id="46"/>
      <w:bookmarkEnd w:id="47"/>
      <w:bookmarkEnd w:id="48"/>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有下列情形之一的，招标人将重新招标；</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）投标截止时间止，投标人少于</w:t>
      </w:r>
      <w:r>
        <w:rPr>
          <w:rFonts w:ascii="宋体" w:hAnsi="宋体" w:cs="Calibri"/>
          <w:color w:val="000000"/>
          <w:kern w:val="0"/>
          <w:sz w:val="22"/>
        </w:rPr>
        <w:t>3</w:t>
      </w:r>
      <w:r>
        <w:rPr>
          <w:rFonts w:hint="eastAsia" w:ascii="宋体" w:hAnsi="宋体" w:cs="Calibri"/>
          <w:color w:val="000000"/>
          <w:kern w:val="0"/>
          <w:sz w:val="22"/>
        </w:rPr>
        <w:t>个的；</w:t>
      </w:r>
    </w:p>
    <w:p>
      <w:pPr>
        <w:adjustRightInd w:val="0"/>
        <w:snapToGrid w:val="0"/>
        <w:spacing w:line="360" w:lineRule="exact"/>
        <w:ind w:firstLine="476"/>
        <w:rPr>
          <w:rFonts w:ascii="宋体" w:hAnsi="宋体" w:cs="Calibri"/>
          <w:b/>
          <w:color w:val="000000"/>
          <w:kern w:val="0"/>
          <w:sz w:val="22"/>
        </w:rPr>
      </w:pPr>
      <w:r>
        <w:rPr>
          <w:rFonts w:hint="eastAsia" w:ascii="宋体" w:hAnsi="宋体" w:cs="Calibri"/>
          <w:b/>
          <w:color w:val="000000"/>
          <w:kern w:val="0"/>
          <w:sz w:val="22"/>
        </w:rPr>
        <w:t>（</w:t>
      </w:r>
      <w:r>
        <w:rPr>
          <w:rFonts w:ascii="宋体" w:hAnsi="宋体" w:cs="Calibri"/>
          <w:b/>
          <w:color w:val="000000"/>
          <w:kern w:val="0"/>
          <w:sz w:val="22"/>
        </w:rPr>
        <w:t>2</w:t>
      </w:r>
      <w:r>
        <w:rPr>
          <w:rFonts w:hint="eastAsia" w:ascii="宋体" w:hAnsi="宋体" w:cs="Calibri"/>
          <w:b/>
          <w:color w:val="000000"/>
          <w:kern w:val="0"/>
          <w:sz w:val="22"/>
        </w:rPr>
        <w:t>）所有投标人的报价均偏高，招标人无法接受的；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cs="Calibri"/>
          <w:b/>
          <w:bCs/>
          <w:color w:val="000000"/>
          <w:kern w:val="0"/>
          <w:sz w:val="22"/>
        </w:rPr>
      </w:pPr>
      <w:bookmarkStart w:id="49" w:name="_Toc220123243"/>
      <w:bookmarkStart w:id="50" w:name="_Toc18806"/>
      <w:bookmarkStart w:id="51" w:name="_Toc219809803"/>
      <w:r>
        <w:rPr>
          <w:rFonts w:ascii="宋体" w:hAnsi="宋体" w:cs="Calibri"/>
          <w:b/>
          <w:bCs/>
          <w:color w:val="000000"/>
          <w:kern w:val="0"/>
          <w:sz w:val="22"/>
        </w:rPr>
        <w:t xml:space="preserve">8.2 </w:t>
      </w:r>
      <w:r>
        <w:rPr>
          <w:rFonts w:hint="eastAsia" w:ascii="宋体" w:hAnsi="宋体" w:cs="Calibri"/>
          <w:b/>
          <w:bCs/>
          <w:color w:val="000000"/>
          <w:kern w:val="0"/>
          <w:sz w:val="22"/>
        </w:rPr>
        <w:t>不再招标</w:t>
      </w:r>
      <w:bookmarkEnd w:id="49"/>
      <w:bookmarkEnd w:id="50"/>
      <w:bookmarkEnd w:id="51"/>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重新招标后投标人仍少于</w:t>
      </w:r>
      <w:r>
        <w:rPr>
          <w:rFonts w:ascii="宋体" w:hAnsi="宋体" w:cs="Calibri"/>
          <w:color w:val="000000"/>
          <w:sz w:val="22"/>
        </w:rPr>
        <w:t>3</w:t>
      </w:r>
      <w:r>
        <w:rPr>
          <w:rFonts w:hint="eastAsia" w:ascii="宋体" w:hAnsi="宋体" w:cs="Calibri"/>
          <w:color w:val="000000"/>
          <w:sz w:val="22"/>
        </w:rPr>
        <w:t>个或者所有投标被否决的，经批准后不再进行招标。</w:t>
      </w:r>
    </w:p>
    <w:p>
      <w:pPr>
        <w:autoSpaceDE w:val="0"/>
        <w:autoSpaceDN w:val="0"/>
        <w:adjustRightInd w:val="0"/>
        <w:snapToGrid w:val="0"/>
        <w:spacing w:line="360" w:lineRule="exact"/>
        <w:rPr>
          <w:rFonts w:ascii="宋体" w:hAnsi="宋体" w:cs="Calibri"/>
          <w:b/>
          <w:bCs/>
          <w:color w:val="000000"/>
          <w:kern w:val="0"/>
          <w:sz w:val="22"/>
        </w:rPr>
      </w:pPr>
      <w:bookmarkStart w:id="52" w:name="_Toc215941254"/>
      <w:bookmarkStart w:id="53" w:name="_Toc2986"/>
      <w:bookmarkStart w:id="54" w:name="_Toc220123244"/>
      <w:bookmarkStart w:id="55" w:name="_Toc219809804"/>
      <w:r>
        <w:rPr>
          <w:rFonts w:ascii="宋体" w:hAnsi="宋体" w:cs="Calibri"/>
          <w:b/>
          <w:bCs/>
          <w:color w:val="000000"/>
          <w:kern w:val="0"/>
          <w:sz w:val="22"/>
        </w:rPr>
        <w:t>9.</w:t>
      </w:r>
      <w:r>
        <w:rPr>
          <w:rFonts w:hint="eastAsia" w:ascii="宋体" w:hAnsi="宋体" w:cs="Calibri"/>
          <w:b/>
          <w:bCs/>
          <w:color w:val="000000"/>
          <w:kern w:val="0"/>
          <w:sz w:val="22"/>
        </w:rPr>
        <w:t>纪律和监督</w:t>
      </w:r>
      <w:bookmarkEnd w:id="52"/>
      <w:bookmarkEnd w:id="53"/>
      <w:bookmarkEnd w:id="54"/>
      <w:bookmarkEnd w:id="55"/>
    </w:p>
    <w:p>
      <w:pPr>
        <w:autoSpaceDE w:val="0"/>
        <w:autoSpaceDN w:val="0"/>
        <w:adjustRightInd w:val="0"/>
        <w:snapToGrid w:val="0"/>
        <w:spacing w:line="360" w:lineRule="exact"/>
        <w:rPr>
          <w:rFonts w:ascii="宋体" w:hAnsi="宋体" w:cs="Calibri"/>
          <w:b/>
          <w:bCs/>
          <w:color w:val="000000"/>
          <w:kern w:val="0"/>
          <w:sz w:val="22"/>
        </w:rPr>
      </w:pPr>
      <w:bookmarkStart w:id="56" w:name="_Toc219809805"/>
      <w:bookmarkStart w:id="57" w:name="_Toc5509"/>
      <w:bookmarkStart w:id="58" w:name="_Toc220123245"/>
      <w:r>
        <w:rPr>
          <w:rFonts w:ascii="宋体" w:hAnsi="宋体" w:cs="Calibri"/>
          <w:b/>
          <w:bCs/>
          <w:color w:val="000000"/>
          <w:kern w:val="0"/>
          <w:sz w:val="22"/>
        </w:rPr>
        <w:t xml:space="preserve">9.1 </w:t>
      </w:r>
      <w:r>
        <w:rPr>
          <w:rFonts w:hint="eastAsia" w:ascii="宋体" w:hAnsi="宋体" w:cs="Calibri"/>
          <w:b/>
          <w:bCs/>
          <w:color w:val="000000"/>
          <w:kern w:val="0"/>
          <w:sz w:val="22"/>
        </w:rPr>
        <w:t>对招标人的纪律要求</w:t>
      </w:r>
      <w:bookmarkEnd w:id="56"/>
      <w:bookmarkEnd w:id="57"/>
      <w:bookmarkEnd w:id="58"/>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color w:val="000000"/>
          <w:kern w:val="0"/>
          <w:sz w:val="22"/>
        </w:rPr>
      </w:pPr>
      <w:bookmarkStart w:id="59" w:name="_Toc220123246"/>
      <w:bookmarkStart w:id="60" w:name="_Toc10820"/>
      <w:bookmarkStart w:id="61" w:name="_Toc219809806"/>
      <w:r>
        <w:rPr>
          <w:rFonts w:ascii="宋体" w:hAnsi="宋体" w:cs="Calibri"/>
          <w:b/>
          <w:bCs/>
          <w:color w:val="000000"/>
          <w:kern w:val="0"/>
          <w:sz w:val="22"/>
        </w:rPr>
        <w:t xml:space="preserve">9.2 </w:t>
      </w:r>
      <w:r>
        <w:rPr>
          <w:rFonts w:hint="eastAsia" w:ascii="宋体" w:hAnsi="宋体" w:cs="Calibri"/>
          <w:b/>
          <w:bCs/>
          <w:color w:val="000000"/>
          <w:kern w:val="0"/>
          <w:sz w:val="22"/>
        </w:rPr>
        <w:t>对投标人的纪律要求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w:t>
      </w:r>
      <w:r>
        <w:rPr>
          <w:rFonts w:ascii="宋体" w:hAnsi="宋体" w:cs="Calibri"/>
          <w:b/>
          <w:color w:val="000000"/>
          <w:sz w:val="22"/>
        </w:rPr>
        <w:t>2</w:t>
      </w:r>
      <w:r>
        <w:rPr>
          <w:rFonts w:hint="eastAsia" w:ascii="宋体" w:hAnsi="宋体" w:cs="Calibri"/>
          <w:b/>
          <w:color w:val="000000"/>
          <w:sz w:val="22"/>
        </w:rPr>
        <w:t>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color w:val="000000"/>
          <w:kern w:val="0"/>
          <w:sz w:val="22"/>
        </w:rPr>
      </w:pPr>
      <w:bookmarkStart w:id="62" w:name="_Toc219809807"/>
      <w:bookmarkStart w:id="63" w:name="_Toc10756"/>
      <w:bookmarkStart w:id="64" w:name="_Toc220123247"/>
      <w:r>
        <w:rPr>
          <w:rFonts w:ascii="宋体" w:hAnsi="宋体" w:cs="Calibri"/>
          <w:b/>
          <w:bCs/>
          <w:color w:val="000000"/>
          <w:kern w:val="0"/>
          <w:sz w:val="22"/>
        </w:rPr>
        <w:t xml:space="preserve">9.3 </w:t>
      </w:r>
      <w:r>
        <w:rPr>
          <w:rFonts w:hint="eastAsia" w:ascii="宋体" w:hAnsi="宋体" w:cs="Calibri"/>
          <w:b/>
          <w:bCs/>
          <w:color w:val="000000"/>
          <w:kern w:val="0"/>
          <w:sz w:val="22"/>
        </w:rPr>
        <w:t>对评标委员会成员的纪律要求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六章“评标办法及标准”没有规定的评审因素和标准进行评标。</w:t>
      </w:r>
    </w:p>
    <w:p>
      <w:pPr>
        <w:autoSpaceDE w:val="0"/>
        <w:autoSpaceDN w:val="0"/>
        <w:adjustRightInd w:val="0"/>
        <w:snapToGrid w:val="0"/>
        <w:spacing w:line="360" w:lineRule="exact"/>
        <w:rPr>
          <w:rFonts w:ascii="宋体" w:hAnsi="宋体" w:cs="Calibri"/>
          <w:b/>
          <w:bCs/>
          <w:color w:val="000000"/>
          <w:kern w:val="0"/>
          <w:sz w:val="22"/>
        </w:rPr>
      </w:pPr>
      <w:bookmarkStart w:id="65" w:name="_Toc12792"/>
      <w:bookmarkStart w:id="66" w:name="_Toc219809808"/>
      <w:bookmarkStart w:id="67" w:name="_Toc220123248"/>
      <w:r>
        <w:rPr>
          <w:rFonts w:ascii="宋体" w:hAnsi="宋体" w:cs="Calibri"/>
          <w:b/>
          <w:bCs/>
          <w:color w:val="000000"/>
          <w:kern w:val="0"/>
          <w:sz w:val="22"/>
        </w:rPr>
        <w:t xml:space="preserve">9.4 </w:t>
      </w:r>
      <w:r>
        <w:rPr>
          <w:rFonts w:hint="eastAsia" w:ascii="宋体" w:hAnsi="宋体" w:cs="Calibri"/>
          <w:b/>
          <w:bCs/>
          <w:color w:val="000000"/>
          <w:kern w:val="0"/>
          <w:sz w:val="22"/>
        </w:rPr>
        <w:t>对评标活动有关的工作人员的纪律要求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color w:val="000000"/>
          <w:kern w:val="0"/>
          <w:sz w:val="22"/>
        </w:rPr>
      </w:pPr>
      <w:bookmarkStart w:id="68" w:name="_Toc220123249"/>
      <w:bookmarkStart w:id="69" w:name="_Toc239"/>
      <w:bookmarkStart w:id="70" w:name="_Toc219809809"/>
      <w:r>
        <w:rPr>
          <w:rFonts w:ascii="宋体" w:hAnsi="宋体" w:cs="Calibri"/>
          <w:b/>
          <w:bCs/>
          <w:color w:val="000000"/>
          <w:kern w:val="0"/>
          <w:sz w:val="22"/>
        </w:rPr>
        <w:t xml:space="preserve">9.5 </w:t>
      </w:r>
      <w:r>
        <w:rPr>
          <w:rFonts w:hint="eastAsia" w:ascii="宋体" w:hAnsi="宋体" w:cs="Calibri"/>
          <w:b/>
          <w:bCs/>
          <w:color w:val="000000"/>
          <w:kern w:val="0"/>
          <w:sz w:val="22"/>
        </w:rPr>
        <w:t>投诉</w:t>
      </w:r>
      <w:bookmarkEnd w:id="68"/>
      <w:bookmarkEnd w:id="69"/>
      <w:bookmarkEnd w:id="70"/>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color w:val="000000"/>
          <w:kern w:val="0"/>
          <w:sz w:val="22"/>
        </w:rPr>
      </w:pPr>
      <w:bookmarkStart w:id="71" w:name="_Toc10817"/>
      <w:r>
        <w:rPr>
          <w:rFonts w:ascii="宋体" w:hAnsi="宋体" w:cs="Calibri"/>
          <w:b/>
          <w:bCs/>
          <w:color w:val="000000"/>
          <w:kern w:val="0"/>
          <w:sz w:val="22"/>
        </w:rPr>
        <w:t xml:space="preserve">10. </w:t>
      </w:r>
      <w:r>
        <w:rPr>
          <w:rFonts w:hint="eastAsia" w:ascii="宋体" w:hAnsi="宋体" w:cs="Calibri"/>
          <w:b/>
          <w:bCs/>
          <w:color w:val="000000"/>
          <w:kern w:val="0"/>
          <w:sz w:val="22"/>
        </w:rPr>
        <w:t>需要补充的其他内容</w:t>
      </w:r>
      <w:bookmarkEnd w:id="71"/>
    </w:p>
    <w:p>
      <w:pPr>
        <w:autoSpaceDE w:val="0"/>
        <w:autoSpaceDN w:val="0"/>
        <w:adjustRightInd w:val="0"/>
        <w:snapToGrid w:val="0"/>
        <w:spacing w:line="360" w:lineRule="exact"/>
        <w:ind w:firstLine="440"/>
        <w:jc w:val="left"/>
        <w:rPr>
          <w:rFonts w:ascii="宋体" w:hAnsi="宋体" w:cs="Calibri"/>
          <w:color w:val="000000"/>
          <w:sz w:val="22"/>
        </w:rPr>
      </w:pPr>
      <w:r>
        <w:rPr>
          <w:rFonts w:hint="eastAsia" w:ascii="宋体" w:hAnsi="宋体" w:cs="Calibri"/>
          <w:color w:val="000000"/>
          <w:sz w:val="22"/>
        </w:rPr>
        <w:t>需要补充的其他内容：见投标人须知前附表。</w:t>
      </w:r>
    </w:p>
    <w:p>
      <w:pPr>
        <w:autoSpaceDE w:val="0"/>
        <w:autoSpaceDN w:val="0"/>
        <w:adjustRightInd w:val="0"/>
        <w:snapToGrid w:val="0"/>
        <w:spacing w:line="360" w:lineRule="exact"/>
        <w:jc w:val="left"/>
        <w:rPr>
          <w:rFonts w:ascii="宋体" w:cs="Calibri"/>
          <w:color w:val="000000"/>
          <w:sz w:val="22"/>
        </w:rPr>
      </w:pPr>
    </w:p>
    <w:p>
      <w:pPr>
        <w:pStyle w:val="15"/>
      </w:pPr>
      <w:r>
        <w:rPr>
          <w:sz w:val="24"/>
        </w:rPr>
        <w:br w:type="page"/>
      </w:r>
      <w:r>
        <w:rPr>
          <w:color w:val="000000"/>
        </w:rPr>
        <w:t xml:space="preserve"> </w:t>
      </w:r>
      <w:bookmarkStart w:id="72" w:name="_Toc13826047"/>
      <w:r>
        <w:rPr>
          <w:rFonts w:hint="eastAsia"/>
          <w:color w:val="000000"/>
        </w:rPr>
        <w:t>第三章 合同条款及格式</w:t>
      </w:r>
      <w:bookmarkEnd w:id="72"/>
      <w:bookmarkStart w:id="73" w:name="_Toc450630560"/>
      <w:bookmarkStart w:id="74" w:name="_Toc448097405"/>
    </w:p>
    <w:bookmarkEnd w:id="73"/>
    <w:bookmarkEnd w:id="74"/>
    <w:p>
      <w:pPr>
        <w:keepNext/>
        <w:keepLines/>
        <w:spacing w:before="120" w:after="120" w:line="400" w:lineRule="exact"/>
        <w:ind w:right="-17"/>
        <w:jc w:val="center"/>
        <w:rPr>
          <w:rFonts w:ascii="宋体" w:hAnsi="宋体" w:cs="宋体"/>
          <w:b/>
          <w:sz w:val="28"/>
          <w:szCs w:val="20"/>
        </w:rPr>
      </w:pPr>
      <w:r>
        <w:rPr>
          <w:rFonts w:hint="eastAsia" w:ascii="宋体" w:hAnsi="宋体" w:cs="宋体"/>
          <w:b/>
          <w:sz w:val="28"/>
          <w:szCs w:val="20"/>
        </w:rPr>
        <w:t>第一部分  合同协议书</w:t>
      </w:r>
    </w:p>
    <w:p>
      <w:pPr>
        <w:spacing w:line="400" w:lineRule="exact"/>
        <w:ind w:firstLine="440" w:firstLineChars="200"/>
        <w:rPr>
          <w:rFonts w:ascii="宋体" w:hAnsi="宋体"/>
          <w:sz w:val="22"/>
          <w:szCs w:val="22"/>
        </w:rPr>
      </w:pPr>
      <w:r>
        <w:rPr>
          <w:rFonts w:hint="eastAsia" w:ascii="宋体" w:hAnsi="宋体"/>
          <w:sz w:val="22"/>
          <w:szCs w:val="22"/>
        </w:rPr>
        <w:t>杭州萧山国际机场</w:t>
      </w:r>
      <w:r>
        <w:rPr>
          <w:rFonts w:ascii="宋体" w:hAnsi="宋体"/>
          <w:sz w:val="22"/>
          <w:szCs w:val="22"/>
        </w:rPr>
        <w:t>有限公司</w:t>
      </w:r>
      <w:r>
        <w:rPr>
          <w:rFonts w:hint="eastAsia" w:ascii="宋体" w:hAnsi="宋体"/>
          <w:sz w:val="22"/>
          <w:szCs w:val="22"/>
        </w:rPr>
        <w:t>（以下简称“发包人”）为实施</w:t>
      </w:r>
      <w:r>
        <w:rPr>
          <w:rFonts w:hint="eastAsia" w:ascii="宋体" w:hAnsi="宋体"/>
          <w:sz w:val="22"/>
          <w:szCs w:val="22"/>
          <w:u w:val="single"/>
        </w:rPr>
        <w:t>杭州萧山国际机场高空监控工程</w:t>
      </w:r>
      <w:r>
        <w:rPr>
          <w:rFonts w:hint="eastAsia" w:ascii="宋体" w:hAnsi="宋体"/>
          <w:sz w:val="22"/>
          <w:szCs w:val="22"/>
        </w:rPr>
        <w:t>，已接受（以下简称“承包人”）对该项目施工的投标。发包人和承包人共同达成如下协议。</w:t>
      </w:r>
    </w:p>
    <w:p>
      <w:pPr>
        <w:spacing w:line="400" w:lineRule="exact"/>
        <w:ind w:firstLine="440" w:firstLineChars="200"/>
        <w:rPr>
          <w:rFonts w:ascii="宋体" w:hAnsi="宋体"/>
          <w:sz w:val="22"/>
          <w:szCs w:val="22"/>
        </w:rPr>
      </w:pPr>
      <w:bookmarkStart w:id="75" w:name="_Toc152042548"/>
      <w:bookmarkStart w:id="76" w:name="_Toc144974828"/>
      <w:r>
        <w:rPr>
          <w:rFonts w:hint="eastAsia" w:ascii="宋体" w:hAnsi="宋体"/>
          <w:sz w:val="22"/>
          <w:szCs w:val="22"/>
        </w:rPr>
        <w:t>1. 本协议书与下列文件一起构成合同文件：</w:t>
      </w:r>
      <w:bookmarkEnd w:id="75"/>
      <w:bookmarkEnd w:id="76"/>
    </w:p>
    <w:p>
      <w:pPr>
        <w:spacing w:line="400" w:lineRule="exact"/>
        <w:ind w:firstLine="440" w:firstLineChars="200"/>
        <w:rPr>
          <w:rFonts w:ascii="宋体" w:hAnsi="宋体"/>
          <w:sz w:val="22"/>
          <w:szCs w:val="22"/>
        </w:rPr>
      </w:pPr>
      <w:r>
        <w:rPr>
          <w:rFonts w:hint="eastAsia" w:ascii="宋体" w:hAnsi="宋体"/>
          <w:sz w:val="22"/>
          <w:szCs w:val="22"/>
        </w:rPr>
        <w:t>(1)本合同书面（补充）协议以及合同履行中，双方有关工程的洽谈、变更等书面协议或文件；</w:t>
      </w:r>
    </w:p>
    <w:p>
      <w:pPr>
        <w:spacing w:line="400" w:lineRule="exact"/>
        <w:ind w:firstLine="440" w:firstLineChars="200"/>
        <w:rPr>
          <w:rFonts w:ascii="宋体" w:hAnsi="宋体"/>
          <w:sz w:val="22"/>
          <w:szCs w:val="22"/>
        </w:rPr>
      </w:pPr>
      <w:r>
        <w:rPr>
          <w:rFonts w:hint="eastAsia" w:ascii="宋体" w:hAnsi="宋体"/>
          <w:sz w:val="22"/>
          <w:szCs w:val="22"/>
        </w:rPr>
        <w:t>（2）本合同协议书（含合同谈判纪要）；</w:t>
      </w:r>
    </w:p>
    <w:p>
      <w:pPr>
        <w:spacing w:line="400" w:lineRule="exact"/>
        <w:ind w:firstLine="440" w:firstLineChars="200"/>
        <w:rPr>
          <w:rFonts w:ascii="宋体" w:hAnsi="宋体"/>
          <w:sz w:val="22"/>
          <w:szCs w:val="22"/>
        </w:rPr>
      </w:pPr>
      <w:r>
        <w:rPr>
          <w:rFonts w:hint="eastAsia" w:ascii="宋体" w:hAnsi="宋体"/>
          <w:sz w:val="22"/>
          <w:szCs w:val="22"/>
        </w:rPr>
        <w:t>（3）中标通知书；</w:t>
      </w:r>
    </w:p>
    <w:p>
      <w:pPr>
        <w:spacing w:line="400" w:lineRule="exact"/>
        <w:ind w:firstLine="440" w:firstLineChars="200"/>
        <w:rPr>
          <w:rFonts w:ascii="宋体" w:hAnsi="宋体"/>
          <w:sz w:val="22"/>
          <w:szCs w:val="22"/>
        </w:rPr>
      </w:pPr>
      <w:r>
        <w:rPr>
          <w:rFonts w:hint="eastAsia" w:ascii="宋体" w:hAnsi="宋体"/>
          <w:sz w:val="22"/>
          <w:szCs w:val="22"/>
        </w:rPr>
        <w:t>（4）本合同专用条款；</w:t>
      </w:r>
    </w:p>
    <w:p>
      <w:pPr>
        <w:spacing w:line="400" w:lineRule="exact"/>
        <w:ind w:firstLine="440" w:firstLineChars="200"/>
        <w:rPr>
          <w:rFonts w:ascii="宋体" w:hAnsi="宋体"/>
          <w:sz w:val="22"/>
          <w:szCs w:val="22"/>
        </w:rPr>
      </w:pPr>
      <w:r>
        <w:rPr>
          <w:rFonts w:hint="eastAsia" w:ascii="宋体" w:hAnsi="宋体"/>
          <w:sz w:val="22"/>
          <w:szCs w:val="22"/>
        </w:rPr>
        <w:t>（5）招标文件及其补充文件（包括询标记录）；</w:t>
      </w:r>
    </w:p>
    <w:p>
      <w:pPr>
        <w:spacing w:line="400" w:lineRule="exact"/>
        <w:ind w:firstLine="440" w:firstLineChars="200"/>
        <w:rPr>
          <w:rFonts w:ascii="宋体" w:hAnsi="宋体"/>
          <w:sz w:val="22"/>
          <w:szCs w:val="22"/>
        </w:rPr>
      </w:pPr>
      <w:r>
        <w:rPr>
          <w:rFonts w:hint="eastAsia" w:ascii="宋体" w:hAnsi="宋体"/>
          <w:sz w:val="22"/>
          <w:szCs w:val="22"/>
        </w:rPr>
        <w:t>（6）投标文件及其附件；</w:t>
      </w:r>
    </w:p>
    <w:p>
      <w:pPr>
        <w:spacing w:line="400" w:lineRule="exact"/>
        <w:ind w:firstLine="440" w:firstLineChars="200"/>
        <w:rPr>
          <w:rFonts w:ascii="宋体" w:hAnsi="宋体"/>
          <w:sz w:val="22"/>
          <w:szCs w:val="22"/>
        </w:rPr>
      </w:pPr>
      <w:r>
        <w:rPr>
          <w:rFonts w:hint="eastAsia" w:ascii="宋体" w:hAnsi="宋体"/>
          <w:sz w:val="22"/>
          <w:szCs w:val="22"/>
        </w:rPr>
        <w:t>（7）本合同通用条款；</w:t>
      </w:r>
    </w:p>
    <w:p>
      <w:pPr>
        <w:spacing w:line="400" w:lineRule="exact"/>
        <w:ind w:firstLine="440" w:firstLineChars="200"/>
        <w:rPr>
          <w:rFonts w:ascii="宋体" w:hAnsi="宋体"/>
          <w:sz w:val="22"/>
          <w:szCs w:val="22"/>
        </w:rPr>
      </w:pPr>
      <w:r>
        <w:rPr>
          <w:rFonts w:hint="eastAsia" w:ascii="宋体" w:hAnsi="宋体"/>
          <w:sz w:val="22"/>
          <w:szCs w:val="22"/>
        </w:rPr>
        <w:t>（8）标准、规范及有关技术文件；</w:t>
      </w:r>
    </w:p>
    <w:p>
      <w:pPr>
        <w:spacing w:line="400" w:lineRule="exact"/>
        <w:ind w:firstLine="440" w:firstLineChars="200"/>
        <w:rPr>
          <w:rFonts w:ascii="宋体" w:hAnsi="宋体"/>
          <w:sz w:val="22"/>
          <w:szCs w:val="22"/>
        </w:rPr>
      </w:pPr>
      <w:r>
        <w:rPr>
          <w:rFonts w:hint="eastAsia" w:ascii="宋体" w:hAnsi="宋体"/>
          <w:sz w:val="22"/>
          <w:szCs w:val="22"/>
        </w:rPr>
        <w:t>（9）图纸；</w:t>
      </w:r>
    </w:p>
    <w:p>
      <w:pPr>
        <w:spacing w:line="400" w:lineRule="exact"/>
        <w:ind w:firstLine="440" w:firstLineChars="200"/>
        <w:rPr>
          <w:rFonts w:ascii="宋体" w:hAnsi="宋体"/>
          <w:sz w:val="22"/>
          <w:szCs w:val="22"/>
        </w:rPr>
      </w:pPr>
      <w:r>
        <w:rPr>
          <w:rFonts w:hint="eastAsia" w:ascii="宋体" w:hAnsi="宋体"/>
          <w:sz w:val="22"/>
          <w:szCs w:val="22"/>
        </w:rPr>
        <w:t>（10）工程量清单；</w:t>
      </w:r>
    </w:p>
    <w:p>
      <w:pPr>
        <w:spacing w:line="400" w:lineRule="exact"/>
        <w:ind w:firstLine="440" w:firstLineChars="200"/>
        <w:rPr>
          <w:rFonts w:ascii="宋体" w:hAnsi="宋体"/>
          <w:sz w:val="22"/>
          <w:szCs w:val="22"/>
        </w:rPr>
      </w:pPr>
      <w:r>
        <w:rPr>
          <w:rFonts w:hint="eastAsia" w:ascii="宋体" w:hAnsi="宋体"/>
          <w:sz w:val="22"/>
          <w:szCs w:val="22"/>
        </w:rPr>
        <w:t>（11）工程报价书。 </w:t>
      </w:r>
    </w:p>
    <w:p>
      <w:pPr>
        <w:spacing w:line="400" w:lineRule="exact"/>
        <w:ind w:firstLine="440" w:firstLineChars="200"/>
        <w:rPr>
          <w:rFonts w:ascii="宋体" w:hAnsi="宋体"/>
          <w:sz w:val="22"/>
          <w:szCs w:val="22"/>
        </w:rPr>
      </w:pPr>
      <w:bookmarkStart w:id="77" w:name="_Toc152042549"/>
      <w:bookmarkStart w:id="78" w:name="_Toc144974829"/>
      <w:r>
        <w:rPr>
          <w:rFonts w:hint="eastAsia" w:ascii="宋体" w:hAnsi="宋体"/>
          <w:sz w:val="22"/>
          <w:szCs w:val="22"/>
        </w:rPr>
        <w:t>2. 上述文件互相补充和解释，如有不明确或不一致之处，以合同约定次序在先者为准。</w:t>
      </w:r>
      <w:bookmarkEnd w:id="77"/>
      <w:bookmarkEnd w:id="78"/>
    </w:p>
    <w:p>
      <w:pPr>
        <w:spacing w:line="400" w:lineRule="exact"/>
        <w:ind w:firstLine="440" w:firstLineChars="200"/>
        <w:rPr>
          <w:rFonts w:ascii="宋体" w:hAnsi="宋体"/>
          <w:sz w:val="22"/>
          <w:szCs w:val="22"/>
        </w:rPr>
      </w:pPr>
      <w:r>
        <w:rPr>
          <w:rFonts w:hint="eastAsia" w:ascii="宋体" w:hAnsi="宋体"/>
          <w:sz w:val="22"/>
          <w:szCs w:val="22"/>
        </w:rPr>
        <w:t>3. 本合同为【固定总价】合同，签约合同价：人民币（大写）</w:t>
      </w:r>
      <w:r>
        <w:rPr>
          <w:rFonts w:hint="eastAsia" w:ascii="宋体" w:hAnsi="宋体"/>
          <w:sz w:val="22"/>
          <w:szCs w:val="22"/>
          <w:u w:val="single"/>
        </w:rPr>
        <w:t xml:space="preserve">             </w:t>
      </w:r>
      <w:r>
        <w:rPr>
          <w:rFonts w:hint="eastAsia" w:ascii="宋体" w:hAnsi="宋体"/>
          <w:sz w:val="22"/>
          <w:szCs w:val="22"/>
        </w:rPr>
        <w:t>元（¥</w:t>
      </w:r>
      <w:r>
        <w:rPr>
          <w:rFonts w:hint="eastAsia" w:ascii="宋体" w:hAnsi="宋体"/>
          <w:sz w:val="22"/>
          <w:szCs w:val="22"/>
          <w:u w:val="single"/>
        </w:rPr>
        <w:t xml:space="preserve">              </w:t>
      </w:r>
      <w:r>
        <w:rPr>
          <w:rFonts w:hint="eastAsia" w:ascii="宋体" w:hAnsi="宋体"/>
          <w:sz w:val="22"/>
          <w:szCs w:val="22"/>
        </w:rPr>
        <w:t>元 ）。</w:t>
      </w:r>
    </w:p>
    <w:p>
      <w:pPr>
        <w:spacing w:line="400" w:lineRule="exact"/>
        <w:ind w:firstLine="442" w:firstLineChars="200"/>
        <w:rPr>
          <w:rFonts w:ascii="宋体" w:hAnsi="宋体"/>
          <w:b/>
          <w:sz w:val="22"/>
          <w:szCs w:val="22"/>
        </w:rPr>
      </w:pPr>
      <w:r>
        <w:rPr>
          <w:rFonts w:hint="eastAsia" w:ascii="宋体" w:hAnsi="宋体"/>
          <w:b/>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spacing w:line="400" w:lineRule="exact"/>
        <w:ind w:firstLine="440" w:firstLineChars="200"/>
        <w:rPr>
          <w:rFonts w:ascii="宋体" w:hAnsi="宋体"/>
          <w:sz w:val="22"/>
          <w:szCs w:val="22"/>
        </w:rPr>
      </w:pPr>
      <w:r>
        <w:rPr>
          <w:rFonts w:hint="eastAsia" w:ascii="宋体" w:hAnsi="宋体"/>
          <w:sz w:val="22"/>
          <w:szCs w:val="22"/>
        </w:rPr>
        <w:t xml:space="preserve">4. 承包人项目经理： </w:t>
      </w:r>
      <w:r>
        <w:rPr>
          <w:rFonts w:ascii="宋体" w:hAnsi="宋体"/>
          <w:sz w:val="22"/>
          <w:szCs w:val="22"/>
        </w:rPr>
        <w:t xml:space="preserve">   </w:t>
      </w:r>
      <w:r>
        <w:rPr>
          <w:rFonts w:hint="eastAsia" w:ascii="宋体" w:hAnsi="宋体"/>
          <w:sz w:val="22"/>
          <w:szCs w:val="22"/>
        </w:rPr>
        <w:t>。</w:t>
      </w:r>
    </w:p>
    <w:p>
      <w:pPr>
        <w:spacing w:line="400" w:lineRule="exact"/>
        <w:ind w:firstLine="440" w:firstLineChars="200"/>
        <w:rPr>
          <w:rFonts w:ascii="宋体" w:hAnsi="宋体"/>
          <w:sz w:val="22"/>
          <w:szCs w:val="22"/>
        </w:rPr>
      </w:pPr>
      <w:r>
        <w:rPr>
          <w:rFonts w:hint="eastAsia" w:ascii="宋体" w:hAnsi="宋体"/>
          <w:sz w:val="22"/>
          <w:szCs w:val="22"/>
        </w:rPr>
        <w:t>5. 工程质量符合</w:t>
      </w:r>
      <w:r>
        <w:rPr>
          <w:rFonts w:hint="eastAsia" w:ascii="宋体" w:hAnsi="宋体"/>
          <w:sz w:val="22"/>
          <w:szCs w:val="22"/>
          <w:u w:val="single"/>
        </w:rPr>
        <w:t xml:space="preserve">  合同约定且达到合格  </w:t>
      </w:r>
      <w:r>
        <w:rPr>
          <w:rFonts w:hint="eastAsia" w:ascii="宋体" w:hAnsi="宋体"/>
          <w:sz w:val="22"/>
          <w:szCs w:val="22"/>
        </w:rPr>
        <w:t>标准。</w:t>
      </w:r>
    </w:p>
    <w:p>
      <w:pPr>
        <w:spacing w:line="400" w:lineRule="exact"/>
        <w:ind w:firstLine="440" w:firstLineChars="200"/>
        <w:rPr>
          <w:rFonts w:ascii="宋体" w:hAnsi="宋体"/>
          <w:sz w:val="22"/>
          <w:szCs w:val="22"/>
        </w:rPr>
      </w:pPr>
      <w:r>
        <w:rPr>
          <w:rFonts w:hint="eastAsia" w:ascii="宋体" w:hAnsi="宋体"/>
          <w:sz w:val="22"/>
          <w:szCs w:val="22"/>
        </w:rPr>
        <w:t>6. 承包人承诺按合同约定承担工程的实施、完成及缺陷修复。</w:t>
      </w:r>
    </w:p>
    <w:p>
      <w:pPr>
        <w:spacing w:line="400" w:lineRule="exact"/>
        <w:ind w:firstLine="440" w:firstLineChars="200"/>
        <w:rPr>
          <w:rFonts w:ascii="宋体" w:hAnsi="宋体"/>
          <w:sz w:val="22"/>
          <w:szCs w:val="22"/>
        </w:rPr>
      </w:pPr>
      <w:r>
        <w:rPr>
          <w:rFonts w:hint="eastAsia" w:ascii="宋体" w:hAnsi="宋体"/>
          <w:sz w:val="22"/>
          <w:szCs w:val="22"/>
        </w:rPr>
        <w:t>7. 发包人承诺按合同约定的条件、时间和方式向承包人支付合同价款。</w:t>
      </w:r>
    </w:p>
    <w:p>
      <w:pPr>
        <w:spacing w:line="400" w:lineRule="exact"/>
        <w:ind w:firstLine="440" w:firstLineChars="200"/>
        <w:rPr>
          <w:rFonts w:ascii="宋体" w:hAnsi="宋体"/>
          <w:sz w:val="22"/>
          <w:szCs w:val="22"/>
        </w:rPr>
      </w:pPr>
      <w:r>
        <w:rPr>
          <w:rFonts w:hint="eastAsia" w:ascii="宋体" w:hAnsi="宋体"/>
          <w:sz w:val="22"/>
          <w:szCs w:val="22"/>
        </w:rPr>
        <w:t>8. 承包人应按照发包人指示开工，工期为</w:t>
      </w:r>
      <w:r>
        <w:rPr>
          <w:rFonts w:hint="eastAsia" w:ascii="宋体" w:hAnsi="宋体"/>
          <w:sz w:val="22"/>
          <w:szCs w:val="22"/>
          <w:u w:val="single"/>
        </w:rPr>
        <w:t xml:space="preserve">    </w:t>
      </w:r>
      <w:r>
        <w:rPr>
          <w:rFonts w:hint="eastAsia" w:ascii="宋体" w:hAnsi="宋体"/>
          <w:sz w:val="22"/>
          <w:szCs w:val="22"/>
        </w:rPr>
        <w:t>日历天。</w:t>
      </w:r>
    </w:p>
    <w:p>
      <w:pPr>
        <w:spacing w:line="400" w:lineRule="exact"/>
        <w:ind w:firstLine="440" w:firstLineChars="200"/>
        <w:rPr>
          <w:rFonts w:ascii="宋体" w:hAnsi="宋体"/>
          <w:sz w:val="22"/>
          <w:szCs w:val="22"/>
        </w:rPr>
      </w:pPr>
      <w:r>
        <w:rPr>
          <w:rFonts w:hint="eastAsia" w:ascii="宋体" w:hAnsi="宋体"/>
          <w:sz w:val="22"/>
          <w:szCs w:val="22"/>
        </w:rPr>
        <w:t>9. 本协议书一式陆份，甲方执肆份，乙方执贰份。</w:t>
      </w:r>
    </w:p>
    <w:p>
      <w:pPr>
        <w:spacing w:line="400" w:lineRule="exact"/>
        <w:ind w:firstLine="440" w:firstLineChars="200"/>
        <w:rPr>
          <w:rFonts w:ascii="宋体" w:hAnsi="宋体"/>
          <w:sz w:val="22"/>
          <w:szCs w:val="22"/>
        </w:rPr>
      </w:pPr>
      <w:bookmarkStart w:id="79" w:name="_Toc152042550"/>
      <w:bookmarkStart w:id="80" w:name="_Toc144974830"/>
      <w:r>
        <w:rPr>
          <w:rFonts w:hint="eastAsia" w:ascii="宋体" w:hAnsi="宋体"/>
          <w:sz w:val="22"/>
          <w:szCs w:val="22"/>
        </w:rPr>
        <w:t>10. 合同未尽事宜，双方另行签订补充协议。补充协议是合同的组成部分。</w:t>
      </w:r>
      <w:bookmarkEnd w:id="79"/>
      <w:bookmarkEnd w:id="80"/>
    </w:p>
    <w:p>
      <w:pPr>
        <w:spacing w:line="400" w:lineRule="exact"/>
        <w:ind w:firstLine="440" w:firstLineChars="200"/>
        <w:rPr>
          <w:rFonts w:ascii="宋体" w:hAnsi="宋体"/>
          <w:sz w:val="22"/>
          <w:szCs w:val="22"/>
        </w:rPr>
      </w:pPr>
      <w:r>
        <w:rPr>
          <w:rFonts w:hint="eastAsia" w:ascii="宋体" w:hAnsi="宋体"/>
          <w:sz w:val="22"/>
          <w:szCs w:val="22"/>
        </w:rPr>
        <w:t>11.合同生效：本合同自双方法定代表人或委托代理人签字盖章之日起生效。</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发包人：                （盖单位章）    承包人：                  （盖单位章）</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 xml:space="preserve">法定代表人或其委托代理人：              法定代表人或其委托代理人：          </w:t>
      </w:r>
    </w:p>
    <w:p>
      <w:pPr>
        <w:rPr>
          <w:rFonts w:ascii="宋体" w:hAnsi="宋体"/>
          <w:sz w:val="22"/>
        </w:rPr>
      </w:pPr>
    </w:p>
    <w:p>
      <w:pPr>
        <w:spacing w:line="400" w:lineRule="exact"/>
        <w:rPr>
          <w:rFonts w:ascii="宋体" w:hAnsi="宋体"/>
          <w:sz w:val="22"/>
        </w:rPr>
      </w:pPr>
      <w:r>
        <w:rPr>
          <w:rFonts w:ascii="宋体" w:hAnsi="宋体"/>
          <w:sz w:val="22"/>
        </w:rPr>
        <w:br w:type="page"/>
      </w:r>
    </w:p>
    <w:p>
      <w:pPr>
        <w:spacing w:line="400" w:lineRule="exact"/>
        <w:ind w:firstLine="482" w:firstLineChars="200"/>
        <w:jc w:val="center"/>
        <w:rPr>
          <w:b/>
          <w:szCs w:val="21"/>
        </w:rPr>
      </w:pPr>
      <w:bookmarkStart w:id="81" w:name="_Toc375636694"/>
      <w:bookmarkStart w:id="82" w:name="_Toc152045766"/>
      <w:bookmarkStart w:id="83" w:name="_Toc144974736"/>
      <w:bookmarkStart w:id="84" w:name="_Toc152042545"/>
      <w:r>
        <w:rPr>
          <w:rFonts w:hint="eastAsia"/>
          <w:b/>
          <w:szCs w:val="21"/>
        </w:rPr>
        <w:t>第二部分  通用合同条款</w:t>
      </w:r>
    </w:p>
    <w:p>
      <w:pPr>
        <w:spacing w:line="400" w:lineRule="exact"/>
        <w:ind w:firstLine="480" w:firstLineChars="200"/>
        <w:rPr>
          <w:szCs w:val="21"/>
        </w:rPr>
      </w:pPr>
      <w:r>
        <w:rPr>
          <w:rFonts w:hint="eastAsia"/>
          <w:szCs w:val="21"/>
        </w:rPr>
        <w:t>1. 一般约定</w:t>
      </w:r>
    </w:p>
    <w:p>
      <w:pPr>
        <w:spacing w:line="400" w:lineRule="exact"/>
        <w:ind w:firstLine="480" w:firstLineChars="200"/>
        <w:rPr>
          <w:szCs w:val="21"/>
        </w:rPr>
      </w:pPr>
      <w:r>
        <w:rPr>
          <w:rFonts w:hint="eastAsia"/>
          <w:szCs w:val="21"/>
        </w:rPr>
        <w:t>1.1 词语定义</w:t>
      </w:r>
    </w:p>
    <w:p>
      <w:pPr>
        <w:spacing w:line="400" w:lineRule="exact"/>
        <w:ind w:firstLine="480" w:firstLineChars="200"/>
        <w:rPr>
          <w:szCs w:val="21"/>
        </w:rPr>
      </w:pPr>
      <w:r>
        <w:rPr>
          <w:rFonts w:hint="eastAsia"/>
          <w:szCs w:val="21"/>
        </w:rPr>
        <w:t>1.1.1 合同</w:t>
      </w:r>
    </w:p>
    <w:p>
      <w:pPr>
        <w:spacing w:line="400" w:lineRule="exact"/>
        <w:ind w:firstLine="480" w:firstLineChars="200"/>
        <w:rPr>
          <w:szCs w:val="21"/>
        </w:rPr>
      </w:pPr>
      <w:r>
        <w:rPr>
          <w:rFonts w:hint="eastAsia"/>
          <w:szCs w:val="21"/>
        </w:rPr>
        <w:t>1.1.1.1 合同文件（或称合同）：指合同协议书、中标通知书、投标函及投标函附录、专用合同条款、通用合同条款、技术标准和要求、图纸、已标价工程量清单，以及其他合同文件。</w:t>
      </w:r>
    </w:p>
    <w:p>
      <w:pPr>
        <w:spacing w:line="400" w:lineRule="exact"/>
        <w:ind w:firstLine="480" w:firstLineChars="200"/>
        <w:rPr>
          <w:szCs w:val="21"/>
        </w:rPr>
      </w:pPr>
      <w:r>
        <w:rPr>
          <w:rFonts w:hint="eastAsia"/>
          <w:szCs w:val="21"/>
        </w:rPr>
        <w:t>1.1.1.2 合同协议书：指第1.5款所指的合同协议书。</w:t>
      </w:r>
    </w:p>
    <w:p>
      <w:pPr>
        <w:spacing w:line="400" w:lineRule="exact"/>
        <w:ind w:firstLine="480" w:firstLineChars="200"/>
        <w:rPr>
          <w:szCs w:val="21"/>
        </w:rPr>
      </w:pPr>
      <w:r>
        <w:rPr>
          <w:rFonts w:hint="eastAsia"/>
          <w:szCs w:val="21"/>
        </w:rPr>
        <w:t>1.1.1.3 中标通知书：指发包人通知承包人中标的函件。</w:t>
      </w:r>
    </w:p>
    <w:p>
      <w:pPr>
        <w:spacing w:line="400" w:lineRule="exact"/>
        <w:ind w:firstLine="480" w:firstLineChars="200"/>
        <w:rPr>
          <w:szCs w:val="21"/>
        </w:rPr>
      </w:pPr>
      <w:r>
        <w:rPr>
          <w:rFonts w:hint="eastAsia"/>
          <w:szCs w:val="21"/>
        </w:rPr>
        <w:t>1.1.1.4 投标函：指构成合同文件组成部分的由承包人填写并签署的投标函。</w:t>
      </w:r>
    </w:p>
    <w:p>
      <w:pPr>
        <w:spacing w:line="400" w:lineRule="exact"/>
        <w:ind w:firstLine="480" w:firstLineChars="200"/>
        <w:rPr>
          <w:szCs w:val="21"/>
        </w:rPr>
      </w:pPr>
      <w:r>
        <w:rPr>
          <w:rFonts w:hint="eastAsia"/>
          <w:szCs w:val="21"/>
        </w:rPr>
        <w:t>1.1.1.5 投标函附录：指附在投标函后构成合同文件的投标函附录。</w:t>
      </w:r>
    </w:p>
    <w:p>
      <w:pPr>
        <w:spacing w:line="400" w:lineRule="exact"/>
        <w:ind w:firstLine="480" w:firstLineChars="200"/>
        <w:rPr>
          <w:szCs w:val="21"/>
        </w:rPr>
      </w:pPr>
      <w:r>
        <w:rPr>
          <w:rFonts w:hint="eastAsia"/>
          <w:szCs w:val="21"/>
        </w:rPr>
        <w:t>1.1.1.6 技术标准和要求：指构成合同文件组成部分的名为技术标准和要求的文件，包括合同双方当事人约定对其所作的修改或补充。</w:t>
      </w:r>
    </w:p>
    <w:p>
      <w:pPr>
        <w:spacing w:line="400" w:lineRule="exact"/>
        <w:ind w:firstLine="480" w:firstLineChars="200"/>
        <w:rPr>
          <w:szCs w:val="21"/>
        </w:rPr>
      </w:pPr>
      <w:r>
        <w:rPr>
          <w:rFonts w:hint="eastAsia"/>
          <w:szCs w:val="21"/>
        </w:rPr>
        <w:t>1.1.1.7图纸：指包含在合同中的工程图纸，以及由发包人按合同约定提供的任何补充和修改的图纸，包括配套的说明。</w:t>
      </w:r>
    </w:p>
    <w:p>
      <w:pPr>
        <w:spacing w:line="400" w:lineRule="exact"/>
        <w:ind w:firstLine="480" w:firstLineChars="200"/>
        <w:rPr>
          <w:szCs w:val="21"/>
        </w:rPr>
      </w:pPr>
      <w:r>
        <w:rPr>
          <w:rFonts w:hint="eastAsia"/>
          <w:szCs w:val="21"/>
        </w:rPr>
        <w:t>1.1.1.8 已标价工程量清单：指构成合同文件组成部分的由承包人按照规定的格式和要求填写并标明价格的工程量清单。</w:t>
      </w:r>
    </w:p>
    <w:p>
      <w:pPr>
        <w:spacing w:line="400" w:lineRule="exact"/>
        <w:ind w:firstLine="480" w:firstLineChars="200"/>
        <w:rPr>
          <w:szCs w:val="21"/>
        </w:rPr>
      </w:pPr>
      <w:r>
        <w:rPr>
          <w:rFonts w:hint="eastAsia"/>
          <w:szCs w:val="21"/>
        </w:rPr>
        <w:t>1.1.1.9 其他合同文件：指经合同双方当事人确认构成合同文件的其他文件。</w:t>
      </w:r>
    </w:p>
    <w:p>
      <w:pPr>
        <w:spacing w:line="400" w:lineRule="exact"/>
        <w:ind w:firstLine="480" w:firstLineChars="200"/>
        <w:rPr>
          <w:szCs w:val="21"/>
        </w:rPr>
      </w:pPr>
      <w:r>
        <w:rPr>
          <w:rFonts w:hint="eastAsia"/>
          <w:szCs w:val="21"/>
        </w:rPr>
        <w:t>1.1.2 合同当事人和人员</w:t>
      </w:r>
    </w:p>
    <w:p>
      <w:pPr>
        <w:spacing w:line="400" w:lineRule="exact"/>
        <w:ind w:firstLine="480" w:firstLineChars="200"/>
        <w:rPr>
          <w:szCs w:val="21"/>
        </w:rPr>
      </w:pPr>
      <w:r>
        <w:rPr>
          <w:rFonts w:hint="eastAsia"/>
          <w:szCs w:val="21"/>
        </w:rPr>
        <w:t>1.1.2.1 合同当事人:指发包人和（或）承包人。</w:t>
      </w:r>
    </w:p>
    <w:p>
      <w:pPr>
        <w:spacing w:line="400" w:lineRule="exact"/>
        <w:ind w:firstLine="480" w:firstLineChars="200"/>
        <w:rPr>
          <w:szCs w:val="21"/>
        </w:rPr>
      </w:pPr>
      <w:r>
        <w:rPr>
          <w:rFonts w:hint="eastAsia"/>
          <w:szCs w:val="21"/>
        </w:rPr>
        <w:t>1.1.2.2 发包人：指专用合同条款中指明并与承包人在合同协议书中签字的当事人。</w:t>
      </w:r>
    </w:p>
    <w:p>
      <w:pPr>
        <w:spacing w:line="400" w:lineRule="exact"/>
        <w:ind w:firstLine="480" w:firstLineChars="200"/>
        <w:rPr>
          <w:szCs w:val="21"/>
        </w:rPr>
      </w:pPr>
      <w:r>
        <w:rPr>
          <w:rFonts w:hint="eastAsia"/>
          <w:szCs w:val="21"/>
        </w:rPr>
        <w:t>1.1.2.3 承包人：指与发包人签订合同协议书的当事人。</w:t>
      </w:r>
    </w:p>
    <w:p>
      <w:pPr>
        <w:spacing w:line="400" w:lineRule="exact"/>
        <w:ind w:firstLine="480" w:firstLineChars="200"/>
        <w:rPr>
          <w:szCs w:val="21"/>
        </w:rPr>
      </w:pPr>
      <w:r>
        <w:rPr>
          <w:rFonts w:hint="eastAsia"/>
          <w:szCs w:val="21"/>
        </w:rPr>
        <w:t>1.1.2.4 承包人项目经理：指承包人派驻施工场地的全权负责人。</w:t>
      </w:r>
    </w:p>
    <w:p>
      <w:pPr>
        <w:spacing w:line="400" w:lineRule="exact"/>
        <w:ind w:firstLine="480" w:firstLineChars="200"/>
        <w:rPr>
          <w:szCs w:val="21"/>
        </w:rPr>
      </w:pPr>
      <w:r>
        <w:rPr>
          <w:rFonts w:hint="eastAsia"/>
          <w:szCs w:val="21"/>
        </w:rPr>
        <w:t>1.1.2.5 分包人：指从承包人处分包合同中某一部分工程，并与其签订分包合同的分包人。</w:t>
      </w:r>
    </w:p>
    <w:p>
      <w:pPr>
        <w:spacing w:line="400" w:lineRule="exact"/>
        <w:ind w:firstLine="480" w:firstLineChars="200"/>
        <w:rPr>
          <w:szCs w:val="21"/>
        </w:rPr>
      </w:pPr>
      <w:r>
        <w:rPr>
          <w:rFonts w:hint="eastAsia"/>
          <w:szCs w:val="21"/>
        </w:rPr>
        <w:t>1.1.2.6 监理人：指在专用合同条款中指明的，受发包人委托对合同履行实施管理的法人或其他组织。</w:t>
      </w:r>
    </w:p>
    <w:p>
      <w:pPr>
        <w:spacing w:line="400" w:lineRule="exact"/>
        <w:ind w:firstLine="480" w:firstLineChars="200"/>
        <w:rPr>
          <w:szCs w:val="21"/>
        </w:rPr>
      </w:pPr>
      <w:r>
        <w:rPr>
          <w:rFonts w:hint="eastAsia"/>
          <w:szCs w:val="21"/>
        </w:rPr>
        <w:t>1.1.2.7 总监理工程师（总监）：指由监理人委派常驻施工场地对合同履行实施管理的全权负责人。</w:t>
      </w:r>
    </w:p>
    <w:p>
      <w:pPr>
        <w:spacing w:line="400" w:lineRule="exact"/>
        <w:ind w:firstLine="480" w:firstLineChars="200"/>
        <w:rPr>
          <w:szCs w:val="21"/>
        </w:rPr>
      </w:pPr>
      <w:r>
        <w:rPr>
          <w:rFonts w:hint="eastAsia"/>
          <w:szCs w:val="21"/>
        </w:rPr>
        <w:t>1.1.3 工程和设备</w:t>
      </w:r>
    </w:p>
    <w:p>
      <w:pPr>
        <w:spacing w:line="400" w:lineRule="exact"/>
        <w:ind w:firstLine="480" w:firstLineChars="200"/>
        <w:rPr>
          <w:szCs w:val="21"/>
        </w:rPr>
      </w:pPr>
      <w:r>
        <w:rPr>
          <w:rFonts w:hint="eastAsia"/>
          <w:szCs w:val="21"/>
        </w:rPr>
        <w:t>1.1.3.1 工程：指永久工程和（或）临时工程。</w:t>
      </w:r>
    </w:p>
    <w:p>
      <w:pPr>
        <w:spacing w:line="400" w:lineRule="exact"/>
        <w:ind w:firstLine="480" w:firstLineChars="200"/>
        <w:rPr>
          <w:szCs w:val="21"/>
        </w:rPr>
      </w:pPr>
      <w:r>
        <w:rPr>
          <w:rFonts w:hint="eastAsia"/>
          <w:szCs w:val="21"/>
        </w:rPr>
        <w:t>1.1.3.2 永久工程：指按合同约定建造并移交给发包人的工程，包括工程设备。</w:t>
      </w:r>
    </w:p>
    <w:p>
      <w:pPr>
        <w:spacing w:line="400" w:lineRule="exact"/>
        <w:ind w:firstLine="480" w:firstLineChars="200"/>
        <w:rPr>
          <w:szCs w:val="21"/>
        </w:rPr>
      </w:pPr>
      <w:r>
        <w:rPr>
          <w:rFonts w:hint="eastAsia"/>
          <w:szCs w:val="21"/>
        </w:rPr>
        <w:t>1.1.3.3 临时工程：指为完成合同约定的永久工程所修建的各类临时性工程，不包括施工设备。</w:t>
      </w:r>
    </w:p>
    <w:p>
      <w:pPr>
        <w:spacing w:line="400" w:lineRule="exact"/>
        <w:ind w:firstLine="480" w:firstLineChars="200"/>
        <w:rPr>
          <w:szCs w:val="21"/>
        </w:rPr>
      </w:pPr>
      <w:r>
        <w:rPr>
          <w:rFonts w:hint="eastAsia"/>
          <w:szCs w:val="21"/>
        </w:rPr>
        <w:t>1.1.3.4 单位工程：指专用合同条款中指明特定范围的永久工程。</w:t>
      </w:r>
    </w:p>
    <w:p>
      <w:pPr>
        <w:spacing w:line="400" w:lineRule="exact"/>
        <w:ind w:firstLine="480" w:firstLineChars="200"/>
        <w:rPr>
          <w:szCs w:val="21"/>
        </w:rPr>
      </w:pPr>
      <w:r>
        <w:rPr>
          <w:rFonts w:hint="eastAsia"/>
          <w:szCs w:val="21"/>
        </w:rPr>
        <w:t>1.1.3.5 工程设备：指构成或计划构成永久工程一部分的机电设备、金属结构设备、仪器装置及其他类似的设备和装置。</w:t>
      </w:r>
    </w:p>
    <w:p>
      <w:pPr>
        <w:spacing w:line="400" w:lineRule="exact"/>
        <w:ind w:firstLine="480" w:firstLineChars="200"/>
        <w:rPr>
          <w:szCs w:val="21"/>
        </w:rPr>
      </w:pPr>
      <w:r>
        <w:rPr>
          <w:rFonts w:hint="eastAsia"/>
          <w:szCs w:val="21"/>
        </w:rPr>
        <w:t>1.1.3.6 施工设备：指为完成合同约定的各项工作所需的设备、器具和其他物品，不包括临时工程和材料。</w:t>
      </w:r>
    </w:p>
    <w:p>
      <w:pPr>
        <w:spacing w:line="400" w:lineRule="exact"/>
        <w:ind w:firstLine="480" w:firstLineChars="200"/>
        <w:rPr>
          <w:szCs w:val="21"/>
        </w:rPr>
      </w:pPr>
      <w:r>
        <w:rPr>
          <w:rFonts w:hint="eastAsia"/>
          <w:szCs w:val="21"/>
        </w:rPr>
        <w:t>1.1.3.7 临时设施：指为完成合同约定的各项工作所服务的临时性生产和生活设施。</w:t>
      </w:r>
    </w:p>
    <w:p>
      <w:pPr>
        <w:spacing w:line="400" w:lineRule="exact"/>
        <w:ind w:firstLine="480" w:firstLineChars="200"/>
        <w:rPr>
          <w:szCs w:val="21"/>
        </w:rPr>
      </w:pPr>
      <w:r>
        <w:rPr>
          <w:rFonts w:hint="eastAsia"/>
          <w:szCs w:val="21"/>
        </w:rPr>
        <w:t>1.1.3.8 承包人设备：指承包人自带的施工设备。</w:t>
      </w:r>
    </w:p>
    <w:p>
      <w:pPr>
        <w:spacing w:line="400" w:lineRule="exact"/>
        <w:ind w:firstLine="480" w:firstLineChars="200"/>
        <w:rPr>
          <w:szCs w:val="21"/>
        </w:rPr>
      </w:pPr>
      <w:r>
        <w:rPr>
          <w:rFonts w:hint="eastAsia"/>
          <w:szCs w:val="21"/>
        </w:rPr>
        <w:t>1.1.3.9 施工场地（或称工地、现场）：指用于合同工程施工的场所，以及在合同中指定作为施工场地组成部分的其他场所，包括永久占地和临时占地。</w:t>
      </w:r>
    </w:p>
    <w:p>
      <w:pPr>
        <w:spacing w:line="400" w:lineRule="exact"/>
        <w:ind w:firstLine="480" w:firstLineChars="200"/>
        <w:rPr>
          <w:szCs w:val="21"/>
        </w:rPr>
      </w:pPr>
      <w:r>
        <w:rPr>
          <w:rFonts w:hint="eastAsia"/>
          <w:szCs w:val="21"/>
        </w:rPr>
        <w:t>1.1.3.10 永久占地：指专用合同条款中指明为实施合同工程需永久占用的土地。</w:t>
      </w:r>
    </w:p>
    <w:p>
      <w:pPr>
        <w:spacing w:line="400" w:lineRule="exact"/>
        <w:ind w:firstLine="480" w:firstLineChars="200"/>
        <w:rPr>
          <w:szCs w:val="21"/>
        </w:rPr>
      </w:pPr>
      <w:r>
        <w:rPr>
          <w:rFonts w:hint="eastAsia"/>
          <w:szCs w:val="21"/>
        </w:rPr>
        <w:t>1.1.3.11 临时占地：指专用合同条款中指明为实施合同工程需临时占用的土地。</w:t>
      </w:r>
    </w:p>
    <w:p>
      <w:pPr>
        <w:spacing w:line="400" w:lineRule="exact"/>
        <w:ind w:firstLine="480" w:firstLineChars="200"/>
        <w:rPr>
          <w:szCs w:val="21"/>
        </w:rPr>
      </w:pPr>
      <w:r>
        <w:rPr>
          <w:rFonts w:hint="eastAsia"/>
          <w:szCs w:val="21"/>
        </w:rPr>
        <w:t>1.1.4 日期</w:t>
      </w:r>
    </w:p>
    <w:p>
      <w:pPr>
        <w:spacing w:line="400" w:lineRule="exact"/>
        <w:ind w:firstLine="480" w:firstLineChars="200"/>
        <w:rPr>
          <w:szCs w:val="21"/>
        </w:rPr>
      </w:pPr>
      <w:r>
        <w:rPr>
          <w:rFonts w:hint="eastAsia"/>
          <w:szCs w:val="21"/>
        </w:rPr>
        <w:t>1.1.4.1 开工通知：指监理人按第11.1款通知承包人开工的函件。</w:t>
      </w:r>
    </w:p>
    <w:p>
      <w:pPr>
        <w:spacing w:line="400" w:lineRule="exact"/>
        <w:ind w:firstLine="480" w:firstLineChars="200"/>
        <w:rPr>
          <w:szCs w:val="21"/>
        </w:rPr>
      </w:pPr>
      <w:r>
        <w:rPr>
          <w:rFonts w:hint="eastAsia"/>
          <w:szCs w:val="21"/>
        </w:rPr>
        <w:t>1.1.4.2 开工日期：指监理人按第11.1款发出的开工通知中写明的开工日期。</w:t>
      </w:r>
    </w:p>
    <w:p>
      <w:pPr>
        <w:spacing w:line="400" w:lineRule="exact"/>
        <w:ind w:firstLine="480" w:firstLineChars="200"/>
        <w:rPr>
          <w:szCs w:val="21"/>
        </w:rPr>
      </w:pPr>
      <w:r>
        <w:rPr>
          <w:rFonts w:hint="eastAsia"/>
          <w:szCs w:val="21"/>
        </w:rPr>
        <w:t>1.1.4.3工期：指承包人在投标函中承诺的完成合同工程所需的期限，包括按第11.3款、第11.4款和第11.6款约定所作的变更。</w:t>
      </w:r>
    </w:p>
    <w:p>
      <w:pPr>
        <w:spacing w:line="400" w:lineRule="exact"/>
        <w:ind w:firstLine="480" w:firstLineChars="200"/>
        <w:rPr>
          <w:szCs w:val="21"/>
        </w:rPr>
      </w:pPr>
      <w:r>
        <w:rPr>
          <w:rFonts w:hint="eastAsia"/>
          <w:szCs w:val="21"/>
        </w:rPr>
        <w:t>1.1.4.4 竣工日期：指第1.1.4.3目约定工期届满时的日期。实际竣工日期以工程接收证书中写明的日期为准。</w:t>
      </w:r>
    </w:p>
    <w:p>
      <w:pPr>
        <w:spacing w:line="400" w:lineRule="exact"/>
        <w:ind w:firstLine="480" w:firstLineChars="200"/>
        <w:rPr>
          <w:szCs w:val="21"/>
        </w:rPr>
      </w:pPr>
      <w:r>
        <w:rPr>
          <w:rFonts w:hint="eastAsia"/>
          <w:szCs w:val="21"/>
        </w:rPr>
        <w:t>1.1.4.5 缺陷责任期：指履行第19.2款约定的缺陷责任的期限，具体期限由专用合同条款约定，包括根据第19.3款约定所作的延长。</w:t>
      </w:r>
    </w:p>
    <w:p>
      <w:pPr>
        <w:spacing w:line="400" w:lineRule="exact"/>
        <w:ind w:firstLine="480" w:firstLineChars="200"/>
        <w:rPr>
          <w:szCs w:val="21"/>
        </w:rPr>
      </w:pPr>
      <w:r>
        <w:rPr>
          <w:rFonts w:hint="eastAsia"/>
          <w:szCs w:val="21"/>
        </w:rPr>
        <w:t>1.1.4.6 基准日期：指投标截止时间前28天的日期。</w:t>
      </w:r>
    </w:p>
    <w:p>
      <w:pPr>
        <w:spacing w:line="400" w:lineRule="exact"/>
        <w:ind w:firstLine="480" w:firstLineChars="200"/>
        <w:rPr>
          <w:szCs w:val="21"/>
        </w:rPr>
      </w:pPr>
      <w:r>
        <w:rPr>
          <w:rFonts w:hint="eastAsia"/>
          <w:szCs w:val="21"/>
        </w:rPr>
        <w:t>1.1.4.7 天：除特别指明外，指日历天。合同中按天计算时间的，开始当天不计入，从次日开始计算。期限最后一天的截止时间为当天24:00。</w:t>
      </w:r>
    </w:p>
    <w:p>
      <w:pPr>
        <w:spacing w:line="400" w:lineRule="exact"/>
        <w:ind w:firstLine="480" w:firstLineChars="200"/>
        <w:rPr>
          <w:szCs w:val="21"/>
        </w:rPr>
      </w:pPr>
      <w:r>
        <w:rPr>
          <w:rFonts w:hint="eastAsia"/>
          <w:szCs w:val="21"/>
        </w:rPr>
        <w:t>1.1.5 合同价格和费用</w:t>
      </w:r>
    </w:p>
    <w:p>
      <w:pPr>
        <w:spacing w:line="400" w:lineRule="exact"/>
        <w:ind w:firstLine="480" w:firstLineChars="200"/>
        <w:rPr>
          <w:szCs w:val="21"/>
        </w:rPr>
      </w:pPr>
      <w:r>
        <w:rPr>
          <w:rFonts w:hint="eastAsia"/>
          <w:szCs w:val="21"/>
        </w:rPr>
        <w:t>1.1.5.1 签约合同价：指签订合同时合同协议书中写明的，包括了暂列金额、暂估价的合同总金额。</w:t>
      </w:r>
    </w:p>
    <w:p>
      <w:pPr>
        <w:spacing w:line="400" w:lineRule="exact"/>
        <w:ind w:firstLine="480" w:firstLineChars="200"/>
        <w:rPr>
          <w:szCs w:val="21"/>
        </w:rPr>
      </w:pPr>
      <w:r>
        <w:rPr>
          <w:rFonts w:hint="eastAsia"/>
          <w:szCs w:val="21"/>
        </w:rPr>
        <w:t>1.1.5.2 合同价格：指承包人按合同约定完成了包括缺陷责任期内的全部承包工作后，发包人应付给承包人的金额，包括在履行合同过程中按合同约定进行的变更和调整。</w:t>
      </w:r>
    </w:p>
    <w:p>
      <w:pPr>
        <w:spacing w:line="400" w:lineRule="exact"/>
        <w:ind w:firstLine="480" w:firstLineChars="200"/>
        <w:rPr>
          <w:szCs w:val="21"/>
        </w:rPr>
      </w:pPr>
      <w:r>
        <w:rPr>
          <w:rFonts w:hint="eastAsia"/>
          <w:szCs w:val="21"/>
        </w:rPr>
        <w:t>1.1.5.3 费用：指为履行合同所发生的或将要发生的所有合理开支，包括管理费和应分摊的其他费用，但不包括利润。</w:t>
      </w:r>
    </w:p>
    <w:p>
      <w:pPr>
        <w:spacing w:line="400" w:lineRule="exact"/>
        <w:ind w:firstLine="480" w:firstLineChars="200"/>
        <w:rPr>
          <w:szCs w:val="21"/>
        </w:rPr>
      </w:pPr>
      <w:r>
        <w:rPr>
          <w:rFonts w:hint="eastAsia"/>
          <w:szCs w:val="21"/>
        </w:rPr>
        <w:t>1.1.5.4 暂列金额：指已标价工程量清单中所列的暂列金额，用于在签订协议书时尚未确定或不可预见变更的施工及其所需材料、工程设备、服务等的金额，包括以计日工方式支付的金额。</w:t>
      </w:r>
    </w:p>
    <w:p>
      <w:pPr>
        <w:spacing w:line="400" w:lineRule="exact"/>
        <w:ind w:firstLine="480" w:firstLineChars="200"/>
        <w:rPr>
          <w:szCs w:val="21"/>
        </w:rPr>
      </w:pPr>
      <w:r>
        <w:rPr>
          <w:rFonts w:hint="eastAsia"/>
          <w:szCs w:val="21"/>
        </w:rPr>
        <w:t>1.1.5.5暂估价：指发包人在工程量清单中给定的用于支付必然发生但暂时不能确定价格的材料、设备以及专业工程的金额。</w:t>
      </w:r>
    </w:p>
    <w:p>
      <w:pPr>
        <w:spacing w:line="400" w:lineRule="exact"/>
        <w:ind w:firstLine="480" w:firstLineChars="200"/>
        <w:rPr>
          <w:szCs w:val="21"/>
        </w:rPr>
      </w:pPr>
      <w:r>
        <w:rPr>
          <w:rFonts w:hint="eastAsia"/>
          <w:szCs w:val="21"/>
        </w:rPr>
        <w:t>1.1.5.6 计日工：指对零星工作采取的一种计价方式，按合同中的计日工子目及其单价计价付款。</w:t>
      </w:r>
    </w:p>
    <w:p>
      <w:pPr>
        <w:spacing w:line="400" w:lineRule="exact"/>
        <w:ind w:firstLine="480" w:firstLineChars="200"/>
        <w:rPr>
          <w:szCs w:val="21"/>
        </w:rPr>
      </w:pPr>
      <w:r>
        <w:rPr>
          <w:rFonts w:hint="eastAsia"/>
          <w:szCs w:val="21"/>
        </w:rPr>
        <w:t>1.1.5.7 质量保证金（或称保留金）：指按第17.4.1项约定用于保证在缺陷责任期内履行缺陷修复义务的金额。</w:t>
      </w:r>
    </w:p>
    <w:p>
      <w:pPr>
        <w:spacing w:line="400" w:lineRule="exact"/>
        <w:ind w:firstLine="480" w:firstLineChars="200"/>
        <w:rPr>
          <w:szCs w:val="21"/>
        </w:rPr>
      </w:pPr>
      <w:r>
        <w:rPr>
          <w:rFonts w:hint="eastAsia"/>
          <w:szCs w:val="21"/>
        </w:rPr>
        <w:t>1.1.6 其他</w:t>
      </w:r>
    </w:p>
    <w:p>
      <w:pPr>
        <w:spacing w:line="400" w:lineRule="exact"/>
        <w:ind w:firstLine="480" w:firstLineChars="200"/>
        <w:rPr>
          <w:szCs w:val="21"/>
        </w:rPr>
      </w:pPr>
      <w:r>
        <w:rPr>
          <w:rFonts w:hint="eastAsia"/>
          <w:szCs w:val="21"/>
        </w:rPr>
        <w:t>1.1.6.1 书面形式：指合同文件、信函、电报、传真等可以有形地表现所载内容的形式。</w:t>
      </w:r>
    </w:p>
    <w:p>
      <w:pPr>
        <w:spacing w:line="400" w:lineRule="exact"/>
        <w:ind w:firstLine="480" w:firstLineChars="200"/>
        <w:rPr>
          <w:szCs w:val="21"/>
        </w:rPr>
      </w:pPr>
      <w:r>
        <w:rPr>
          <w:rFonts w:hint="eastAsia"/>
          <w:szCs w:val="21"/>
        </w:rPr>
        <w:t>1.2 语言文字</w:t>
      </w:r>
    </w:p>
    <w:p>
      <w:pPr>
        <w:spacing w:line="400" w:lineRule="exact"/>
        <w:ind w:firstLine="480" w:firstLineChars="200"/>
        <w:rPr>
          <w:szCs w:val="21"/>
        </w:rPr>
      </w:pPr>
      <w:r>
        <w:rPr>
          <w:rFonts w:hint="eastAsia"/>
          <w:szCs w:val="21"/>
        </w:rPr>
        <w:t>除专用术语外，合同使用的语言文字为中文。必要时专用术语应附有中文注释。</w:t>
      </w:r>
    </w:p>
    <w:p>
      <w:pPr>
        <w:spacing w:line="400" w:lineRule="exact"/>
        <w:ind w:firstLine="480" w:firstLineChars="200"/>
        <w:rPr>
          <w:szCs w:val="21"/>
        </w:rPr>
      </w:pPr>
      <w:r>
        <w:rPr>
          <w:rFonts w:hint="eastAsia"/>
          <w:szCs w:val="21"/>
        </w:rPr>
        <w:t>1.3 法律</w:t>
      </w:r>
    </w:p>
    <w:p>
      <w:pPr>
        <w:spacing w:line="400" w:lineRule="exact"/>
        <w:ind w:firstLine="480" w:firstLineChars="200"/>
        <w:rPr>
          <w:szCs w:val="21"/>
        </w:rPr>
      </w:pPr>
      <w:r>
        <w:rPr>
          <w:rFonts w:hint="eastAsia"/>
          <w:szCs w:val="21"/>
        </w:rPr>
        <w:t>适用于合同的法律包括中华人民共和国法律、行政法规、部门规章，以及工程所在地的地方法规、自治条例、单行条例和地方政府规章。</w:t>
      </w:r>
    </w:p>
    <w:p>
      <w:pPr>
        <w:spacing w:line="400" w:lineRule="exact"/>
        <w:ind w:firstLine="480" w:firstLineChars="200"/>
        <w:rPr>
          <w:szCs w:val="21"/>
        </w:rPr>
      </w:pPr>
      <w:r>
        <w:rPr>
          <w:rFonts w:hint="eastAsia"/>
          <w:szCs w:val="21"/>
        </w:rPr>
        <w:t>1.4 合同文件的优先顺序</w:t>
      </w:r>
    </w:p>
    <w:p>
      <w:pPr>
        <w:spacing w:line="400" w:lineRule="exact"/>
        <w:ind w:firstLine="480" w:firstLineChars="200"/>
        <w:rPr>
          <w:szCs w:val="21"/>
        </w:rPr>
      </w:pPr>
      <w:r>
        <w:rPr>
          <w:rFonts w:hint="eastAsia"/>
          <w:szCs w:val="21"/>
        </w:rPr>
        <w:t>组成合同的各项文件应互相解释，互为说明。除专用合同条款另有约定外，解释合同文件的优先顺序如下：</w:t>
      </w:r>
    </w:p>
    <w:p>
      <w:pPr>
        <w:spacing w:line="400" w:lineRule="exact"/>
        <w:ind w:firstLine="480" w:firstLineChars="200"/>
        <w:rPr>
          <w:szCs w:val="21"/>
        </w:rPr>
      </w:pPr>
      <w:r>
        <w:rPr>
          <w:rFonts w:hint="eastAsia"/>
          <w:szCs w:val="21"/>
        </w:rPr>
        <w:t>（1）合同协议书；</w:t>
      </w:r>
    </w:p>
    <w:p>
      <w:pPr>
        <w:spacing w:line="400" w:lineRule="exact"/>
        <w:ind w:firstLine="480" w:firstLineChars="200"/>
        <w:rPr>
          <w:szCs w:val="21"/>
        </w:rPr>
      </w:pPr>
      <w:r>
        <w:rPr>
          <w:rFonts w:hint="eastAsia"/>
          <w:szCs w:val="21"/>
        </w:rPr>
        <w:t>（2）中标通知书；</w:t>
      </w:r>
    </w:p>
    <w:p>
      <w:pPr>
        <w:spacing w:line="400" w:lineRule="exact"/>
        <w:ind w:firstLine="480" w:firstLineChars="200"/>
        <w:rPr>
          <w:szCs w:val="21"/>
        </w:rPr>
      </w:pPr>
      <w:r>
        <w:rPr>
          <w:rFonts w:hint="eastAsia"/>
          <w:szCs w:val="21"/>
        </w:rPr>
        <w:t>（3）投标函及投标函附录；</w:t>
      </w:r>
    </w:p>
    <w:p>
      <w:pPr>
        <w:spacing w:line="400" w:lineRule="exact"/>
        <w:ind w:firstLine="480" w:firstLineChars="200"/>
        <w:rPr>
          <w:szCs w:val="21"/>
        </w:rPr>
      </w:pPr>
      <w:r>
        <w:rPr>
          <w:rFonts w:hint="eastAsia"/>
          <w:szCs w:val="21"/>
        </w:rPr>
        <w:t>（4）专用合同条款；</w:t>
      </w:r>
    </w:p>
    <w:p>
      <w:pPr>
        <w:spacing w:line="400" w:lineRule="exact"/>
        <w:ind w:firstLine="480" w:firstLineChars="200"/>
        <w:rPr>
          <w:szCs w:val="21"/>
        </w:rPr>
      </w:pPr>
      <w:r>
        <w:rPr>
          <w:rFonts w:hint="eastAsia"/>
          <w:szCs w:val="21"/>
        </w:rPr>
        <w:t>（5）通用合同条款；</w:t>
      </w:r>
    </w:p>
    <w:p>
      <w:pPr>
        <w:spacing w:line="400" w:lineRule="exact"/>
        <w:ind w:firstLine="480" w:firstLineChars="200"/>
        <w:rPr>
          <w:szCs w:val="21"/>
        </w:rPr>
      </w:pPr>
      <w:r>
        <w:rPr>
          <w:rFonts w:hint="eastAsia"/>
          <w:szCs w:val="21"/>
        </w:rPr>
        <w:t>（6）技术标准和要求；</w:t>
      </w:r>
    </w:p>
    <w:p>
      <w:pPr>
        <w:spacing w:line="400" w:lineRule="exact"/>
        <w:ind w:firstLine="480" w:firstLineChars="200"/>
        <w:rPr>
          <w:szCs w:val="21"/>
        </w:rPr>
      </w:pPr>
      <w:r>
        <w:rPr>
          <w:rFonts w:hint="eastAsia"/>
          <w:szCs w:val="21"/>
        </w:rPr>
        <w:t>（7）图纸；</w:t>
      </w:r>
    </w:p>
    <w:p>
      <w:pPr>
        <w:spacing w:line="400" w:lineRule="exact"/>
        <w:ind w:firstLine="480" w:firstLineChars="200"/>
        <w:rPr>
          <w:szCs w:val="21"/>
        </w:rPr>
      </w:pPr>
      <w:r>
        <w:rPr>
          <w:rFonts w:hint="eastAsia"/>
          <w:szCs w:val="21"/>
        </w:rPr>
        <w:t>（8）已标价工程量清单；</w:t>
      </w:r>
    </w:p>
    <w:p>
      <w:pPr>
        <w:spacing w:line="400" w:lineRule="exact"/>
        <w:ind w:firstLine="480" w:firstLineChars="200"/>
        <w:rPr>
          <w:szCs w:val="21"/>
        </w:rPr>
      </w:pPr>
      <w:r>
        <w:rPr>
          <w:rFonts w:hint="eastAsia"/>
          <w:szCs w:val="21"/>
        </w:rPr>
        <w:t>（9）其他合同文件。</w:t>
      </w:r>
    </w:p>
    <w:p>
      <w:pPr>
        <w:spacing w:line="400" w:lineRule="exact"/>
        <w:ind w:firstLine="480" w:firstLineChars="200"/>
        <w:rPr>
          <w:szCs w:val="21"/>
        </w:rPr>
      </w:pPr>
      <w:r>
        <w:rPr>
          <w:rFonts w:hint="eastAsia"/>
          <w:szCs w:val="21"/>
        </w:rPr>
        <w:t>1.5 合同协议书</w:t>
      </w:r>
    </w:p>
    <w:p>
      <w:pPr>
        <w:spacing w:line="400" w:lineRule="exact"/>
        <w:ind w:firstLine="480" w:firstLineChars="200"/>
        <w:rPr>
          <w:szCs w:val="21"/>
        </w:rPr>
      </w:pPr>
      <w:r>
        <w:rPr>
          <w:rFonts w:hint="eastAsia"/>
          <w:szCs w:val="21"/>
        </w:rPr>
        <w:t>承包人按中标通知书规定的时间与发包人签订合同协议书。除法律另有规定或合同另有约定外，发包人和承包人的法定代表人或其委托代理人在合同协议书上签字并盖单位章后，合同生效。</w:t>
      </w:r>
    </w:p>
    <w:p>
      <w:pPr>
        <w:spacing w:line="400" w:lineRule="exact"/>
        <w:ind w:firstLine="480" w:firstLineChars="200"/>
        <w:rPr>
          <w:szCs w:val="21"/>
        </w:rPr>
      </w:pPr>
      <w:r>
        <w:rPr>
          <w:rFonts w:hint="eastAsia"/>
          <w:szCs w:val="21"/>
        </w:rPr>
        <w:t>1.6 图纸和承包人文件</w:t>
      </w:r>
    </w:p>
    <w:p>
      <w:pPr>
        <w:spacing w:line="400" w:lineRule="exact"/>
        <w:ind w:firstLine="480" w:firstLineChars="200"/>
        <w:rPr>
          <w:szCs w:val="21"/>
        </w:rPr>
      </w:pPr>
      <w:r>
        <w:rPr>
          <w:rFonts w:hint="eastAsia"/>
          <w:szCs w:val="21"/>
        </w:rPr>
        <w:t>1.6.1图纸的提供</w:t>
      </w:r>
    </w:p>
    <w:p>
      <w:pPr>
        <w:spacing w:line="400" w:lineRule="exact"/>
        <w:ind w:firstLine="480" w:firstLineChars="200"/>
        <w:rPr>
          <w:szCs w:val="21"/>
        </w:rPr>
      </w:pPr>
      <w:r>
        <w:rPr>
          <w:rFonts w:hint="eastAsia"/>
          <w:szCs w:val="21"/>
        </w:rPr>
        <w:t>除专用合同条款另有约定外，图纸应在合理的期限内按照合同约定的数量提供给承包人。由于发包人未按时提供图纸造成工期延误的，按第11.3款的约定办理。</w:t>
      </w:r>
    </w:p>
    <w:p>
      <w:pPr>
        <w:spacing w:line="400" w:lineRule="exact"/>
        <w:ind w:firstLine="480" w:firstLineChars="200"/>
        <w:rPr>
          <w:szCs w:val="21"/>
        </w:rPr>
      </w:pPr>
      <w:r>
        <w:rPr>
          <w:rFonts w:hint="eastAsia"/>
          <w:szCs w:val="21"/>
        </w:rPr>
        <w:t>1.6.2 承包人提供的文件</w:t>
      </w:r>
    </w:p>
    <w:p>
      <w:pPr>
        <w:spacing w:line="400" w:lineRule="exact"/>
        <w:ind w:firstLine="480" w:firstLineChars="200"/>
        <w:rPr>
          <w:szCs w:val="21"/>
        </w:rPr>
      </w:pPr>
      <w:r>
        <w:rPr>
          <w:rFonts w:hint="eastAsia"/>
          <w:szCs w:val="21"/>
        </w:rPr>
        <w:t>　　按专用合同条款约定由承包人提供的文件，包括部分工程的大样图、加工图等，承包人应按约定的数量和期限报送监理人。监理人应在专用合同条款约定的期限内批复。</w:t>
      </w:r>
    </w:p>
    <w:p>
      <w:pPr>
        <w:spacing w:line="400" w:lineRule="exact"/>
        <w:ind w:firstLine="480" w:firstLineChars="200"/>
        <w:rPr>
          <w:szCs w:val="21"/>
        </w:rPr>
      </w:pPr>
      <w:r>
        <w:rPr>
          <w:rFonts w:hint="eastAsia"/>
          <w:szCs w:val="21"/>
        </w:rPr>
        <w:t>1.6.3 图纸的修改</w:t>
      </w:r>
    </w:p>
    <w:p>
      <w:pPr>
        <w:spacing w:line="400" w:lineRule="exact"/>
        <w:ind w:firstLine="480" w:firstLineChars="200"/>
        <w:rPr>
          <w:szCs w:val="21"/>
        </w:rPr>
      </w:pPr>
      <w:r>
        <w:rPr>
          <w:rFonts w:hint="eastAsia"/>
          <w:szCs w:val="21"/>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pPr>
        <w:spacing w:line="400" w:lineRule="exact"/>
        <w:ind w:firstLine="480" w:firstLineChars="200"/>
        <w:rPr>
          <w:szCs w:val="21"/>
        </w:rPr>
      </w:pPr>
      <w:r>
        <w:rPr>
          <w:rFonts w:hint="eastAsia"/>
          <w:szCs w:val="21"/>
        </w:rPr>
        <w:t>1.6.4 图纸的错误</w:t>
      </w:r>
    </w:p>
    <w:p>
      <w:pPr>
        <w:spacing w:line="400" w:lineRule="exact"/>
        <w:ind w:firstLine="480" w:firstLineChars="200"/>
        <w:rPr>
          <w:szCs w:val="21"/>
        </w:rPr>
      </w:pPr>
      <w:r>
        <w:rPr>
          <w:rFonts w:hint="eastAsia"/>
          <w:szCs w:val="21"/>
        </w:rPr>
        <w:t>承包人发现发包人提供的图纸存在明显错误或疏忽，应及时通知监理人。</w:t>
      </w:r>
    </w:p>
    <w:p>
      <w:pPr>
        <w:spacing w:line="400" w:lineRule="exact"/>
        <w:ind w:firstLine="480" w:firstLineChars="200"/>
        <w:rPr>
          <w:szCs w:val="21"/>
        </w:rPr>
      </w:pPr>
      <w:r>
        <w:rPr>
          <w:rFonts w:hint="eastAsia"/>
          <w:szCs w:val="21"/>
        </w:rPr>
        <w:t>1.6.5 图纸和承包人文件的保管</w:t>
      </w:r>
    </w:p>
    <w:p>
      <w:pPr>
        <w:spacing w:line="400" w:lineRule="exact"/>
        <w:ind w:firstLine="480" w:firstLineChars="200"/>
        <w:rPr>
          <w:szCs w:val="21"/>
        </w:rPr>
      </w:pPr>
      <w:r>
        <w:rPr>
          <w:rFonts w:hint="eastAsia"/>
          <w:szCs w:val="21"/>
        </w:rPr>
        <w:t>监理人和承包人均应在施工场地各保存一套完整的包含第1.6.1项、第1.6.2项、第1.6.3项约定内容的图纸和承包人文件。</w:t>
      </w:r>
    </w:p>
    <w:p>
      <w:pPr>
        <w:spacing w:line="400" w:lineRule="exact"/>
        <w:ind w:firstLine="480" w:firstLineChars="200"/>
        <w:rPr>
          <w:szCs w:val="21"/>
        </w:rPr>
      </w:pPr>
      <w:r>
        <w:rPr>
          <w:rFonts w:hint="eastAsia"/>
          <w:szCs w:val="21"/>
        </w:rPr>
        <w:t>1.7 联络</w:t>
      </w:r>
    </w:p>
    <w:p>
      <w:pPr>
        <w:spacing w:line="400" w:lineRule="exact"/>
        <w:ind w:firstLine="480" w:firstLineChars="200"/>
        <w:rPr>
          <w:szCs w:val="21"/>
        </w:rPr>
      </w:pPr>
      <w:r>
        <w:rPr>
          <w:rFonts w:hint="eastAsia"/>
          <w:szCs w:val="21"/>
        </w:rPr>
        <w:t>1.7.1 与合同有关的通知、批准、证明、证书、指示、要求、请求、同意、意见、确定和决定等，均应采用书面形式。</w:t>
      </w:r>
    </w:p>
    <w:p>
      <w:pPr>
        <w:spacing w:line="400" w:lineRule="exact"/>
        <w:ind w:firstLine="480" w:firstLineChars="200"/>
        <w:rPr>
          <w:szCs w:val="21"/>
        </w:rPr>
      </w:pPr>
      <w:r>
        <w:rPr>
          <w:rFonts w:hint="eastAsia"/>
          <w:szCs w:val="21"/>
        </w:rPr>
        <w:t>1.7.2 第1.7.1项中的通知、批准、证明、证书、指示、要求、请求、同意、意见、确定和决定等来往函件，均应在合同约定的期限内送达指定地点和接收人，并办理签收手续。</w:t>
      </w:r>
    </w:p>
    <w:p>
      <w:pPr>
        <w:spacing w:line="400" w:lineRule="exact"/>
        <w:ind w:firstLine="480" w:firstLineChars="200"/>
        <w:rPr>
          <w:szCs w:val="21"/>
        </w:rPr>
      </w:pPr>
      <w:r>
        <w:rPr>
          <w:rFonts w:hint="eastAsia"/>
          <w:szCs w:val="21"/>
        </w:rPr>
        <w:t>1.8 转让</w:t>
      </w:r>
    </w:p>
    <w:p>
      <w:pPr>
        <w:spacing w:line="400" w:lineRule="exact"/>
        <w:ind w:firstLine="480" w:firstLineChars="200"/>
        <w:rPr>
          <w:szCs w:val="21"/>
        </w:rPr>
      </w:pPr>
      <w:r>
        <w:rPr>
          <w:rFonts w:hint="eastAsia"/>
          <w:szCs w:val="21"/>
        </w:rPr>
        <w:t>除合同另有约定外，未经对方当事人同意，一方当事人不得将合同权利全部或部分转让给第三人，也不得全部或部分转移合同义务。</w:t>
      </w:r>
    </w:p>
    <w:p>
      <w:pPr>
        <w:spacing w:line="400" w:lineRule="exact"/>
        <w:ind w:firstLine="480" w:firstLineChars="200"/>
        <w:rPr>
          <w:szCs w:val="21"/>
        </w:rPr>
      </w:pPr>
      <w:r>
        <w:rPr>
          <w:rFonts w:hint="eastAsia"/>
          <w:szCs w:val="21"/>
        </w:rPr>
        <w:t>1.9 严禁贿赂</w:t>
      </w:r>
    </w:p>
    <w:p>
      <w:pPr>
        <w:spacing w:line="400" w:lineRule="exact"/>
        <w:ind w:firstLine="480" w:firstLineChars="200"/>
        <w:rPr>
          <w:szCs w:val="21"/>
        </w:rPr>
      </w:pPr>
      <w:r>
        <w:rPr>
          <w:rFonts w:hint="eastAsia"/>
          <w:szCs w:val="21"/>
        </w:rPr>
        <w:t>合同双方当事人不得以贿赂或变相贿赂的方式，谋取不当利益或损害对方权益。因贿赂造成对方损失的，行为人应赔偿损失，并承担相应的法律责任。</w:t>
      </w:r>
    </w:p>
    <w:p>
      <w:pPr>
        <w:spacing w:line="400" w:lineRule="exact"/>
        <w:ind w:firstLine="480" w:firstLineChars="200"/>
        <w:rPr>
          <w:szCs w:val="21"/>
        </w:rPr>
      </w:pPr>
      <w:r>
        <w:rPr>
          <w:rFonts w:hint="eastAsia"/>
          <w:szCs w:val="21"/>
        </w:rPr>
        <w:t>1.10 化石、文物</w:t>
      </w:r>
    </w:p>
    <w:p>
      <w:pPr>
        <w:spacing w:line="400" w:lineRule="exact"/>
        <w:ind w:firstLine="480" w:firstLineChars="200"/>
        <w:rPr>
          <w:szCs w:val="21"/>
        </w:rPr>
      </w:pPr>
      <w:r>
        <w:rPr>
          <w:rFonts w:hint="eastAsia"/>
          <w:szCs w:val="21"/>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400" w:lineRule="exact"/>
        <w:ind w:firstLine="480" w:firstLineChars="200"/>
        <w:rPr>
          <w:szCs w:val="21"/>
        </w:rPr>
      </w:pPr>
      <w:r>
        <w:rPr>
          <w:rFonts w:hint="eastAsia"/>
          <w:szCs w:val="21"/>
        </w:rPr>
        <w:t>1.10.2 承包人发现文物后不及时报告或隐瞒不报，致使文物丢失或损坏的，应赔偿损失，并承担相应的法律责任。</w:t>
      </w:r>
    </w:p>
    <w:p>
      <w:pPr>
        <w:spacing w:line="400" w:lineRule="exact"/>
        <w:ind w:firstLine="480" w:firstLineChars="200"/>
        <w:rPr>
          <w:szCs w:val="21"/>
        </w:rPr>
      </w:pPr>
      <w:r>
        <w:rPr>
          <w:rFonts w:hint="eastAsia"/>
          <w:szCs w:val="21"/>
        </w:rPr>
        <w:t>1.11 专利技术</w:t>
      </w:r>
    </w:p>
    <w:p>
      <w:pPr>
        <w:spacing w:line="400" w:lineRule="exact"/>
        <w:ind w:firstLine="480" w:firstLineChars="200"/>
        <w:rPr>
          <w:szCs w:val="21"/>
        </w:rPr>
      </w:pPr>
      <w:r>
        <w:rPr>
          <w:rFonts w:hint="eastAsia"/>
          <w:szCs w:val="21"/>
        </w:rPr>
        <w:t>1.11.1 承包人在使用任何材料、承包人设备、工程设备或采用施工工艺时，因侵犯专利权或其他知识产权所引起的责任，由承包人承担，但由于遵照发包人提供的设计或技术标准和要求引起的除外。</w:t>
      </w:r>
    </w:p>
    <w:p>
      <w:pPr>
        <w:spacing w:line="400" w:lineRule="exact"/>
        <w:ind w:firstLine="480" w:firstLineChars="200"/>
        <w:rPr>
          <w:szCs w:val="21"/>
        </w:rPr>
      </w:pPr>
      <w:r>
        <w:rPr>
          <w:rFonts w:hint="eastAsia"/>
          <w:szCs w:val="21"/>
        </w:rPr>
        <w:t>1.11.2 承包人在投标文件中采用专利技术的，专利技术的使用费包含在投标报价内。</w:t>
      </w:r>
    </w:p>
    <w:p>
      <w:pPr>
        <w:spacing w:line="400" w:lineRule="exact"/>
        <w:ind w:firstLine="480" w:firstLineChars="200"/>
        <w:rPr>
          <w:szCs w:val="21"/>
        </w:rPr>
      </w:pPr>
      <w:r>
        <w:rPr>
          <w:rFonts w:hint="eastAsia"/>
          <w:szCs w:val="21"/>
        </w:rPr>
        <w:t>1.11.3 承包人的技术秘密和声明需要保密的资料和信息，发包人和监理人不得为合同以外的目的泄露给他人。</w:t>
      </w:r>
    </w:p>
    <w:p>
      <w:pPr>
        <w:spacing w:line="400" w:lineRule="exact"/>
        <w:ind w:firstLine="480" w:firstLineChars="200"/>
        <w:rPr>
          <w:szCs w:val="21"/>
        </w:rPr>
      </w:pPr>
      <w:r>
        <w:rPr>
          <w:rFonts w:hint="eastAsia"/>
          <w:szCs w:val="21"/>
        </w:rPr>
        <w:t>1.12 图纸和文件的保密</w:t>
      </w:r>
    </w:p>
    <w:p>
      <w:pPr>
        <w:spacing w:line="400" w:lineRule="exact"/>
        <w:ind w:firstLine="480" w:firstLineChars="200"/>
        <w:rPr>
          <w:szCs w:val="21"/>
        </w:rPr>
      </w:pPr>
      <w:r>
        <w:rPr>
          <w:rFonts w:hint="eastAsia"/>
          <w:szCs w:val="21"/>
        </w:rPr>
        <w:t>1.12.1 发包人提供的图纸和文件，未经发包人同意，承包人不得为合同以外的目的泄露给他人或公开发表与引用。</w:t>
      </w:r>
    </w:p>
    <w:p>
      <w:pPr>
        <w:spacing w:line="400" w:lineRule="exact"/>
        <w:ind w:firstLine="480" w:firstLineChars="200"/>
        <w:rPr>
          <w:szCs w:val="21"/>
        </w:rPr>
      </w:pPr>
      <w:r>
        <w:rPr>
          <w:rFonts w:hint="eastAsia"/>
          <w:szCs w:val="21"/>
        </w:rPr>
        <w:t>1.12.2 承包人提供的文件，未经承包人同意，发包人和监理人不得为合同以外的目的泄露给他人或公开发表与引用。</w:t>
      </w:r>
    </w:p>
    <w:p>
      <w:pPr>
        <w:spacing w:line="400" w:lineRule="exact"/>
        <w:ind w:firstLine="480" w:firstLineChars="200"/>
        <w:rPr>
          <w:szCs w:val="21"/>
        </w:rPr>
      </w:pPr>
      <w:r>
        <w:rPr>
          <w:rFonts w:hint="eastAsia"/>
          <w:szCs w:val="21"/>
        </w:rPr>
        <w:t>2. 发包人义务</w:t>
      </w:r>
    </w:p>
    <w:p>
      <w:pPr>
        <w:spacing w:line="400" w:lineRule="exact"/>
        <w:ind w:firstLine="480" w:firstLineChars="200"/>
        <w:rPr>
          <w:szCs w:val="21"/>
        </w:rPr>
      </w:pPr>
      <w:r>
        <w:rPr>
          <w:rFonts w:hint="eastAsia"/>
          <w:szCs w:val="21"/>
        </w:rPr>
        <w:t>2.1 遵守法律</w:t>
      </w:r>
    </w:p>
    <w:p>
      <w:pPr>
        <w:spacing w:line="400" w:lineRule="exact"/>
        <w:ind w:firstLine="480" w:firstLineChars="200"/>
        <w:rPr>
          <w:szCs w:val="21"/>
        </w:rPr>
      </w:pPr>
      <w:r>
        <w:rPr>
          <w:rFonts w:hint="eastAsia"/>
          <w:szCs w:val="21"/>
        </w:rPr>
        <w:t>发包人在履行合同过程中应遵守法律，并保证承包人免于承担因发包人违反法律而引起的任何责任。</w:t>
      </w:r>
    </w:p>
    <w:p>
      <w:pPr>
        <w:spacing w:line="400" w:lineRule="exact"/>
        <w:ind w:firstLine="480" w:firstLineChars="200"/>
        <w:rPr>
          <w:szCs w:val="21"/>
        </w:rPr>
      </w:pPr>
      <w:r>
        <w:rPr>
          <w:rFonts w:hint="eastAsia"/>
          <w:szCs w:val="21"/>
        </w:rPr>
        <w:t>2.2 发出开工通知</w:t>
      </w:r>
    </w:p>
    <w:p>
      <w:pPr>
        <w:spacing w:line="400" w:lineRule="exact"/>
        <w:ind w:firstLine="480" w:firstLineChars="200"/>
        <w:rPr>
          <w:szCs w:val="21"/>
        </w:rPr>
      </w:pPr>
      <w:r>
        <w:rPr>
          <w:rFonts w:hint="eastAsia"/>
          <w:szCs w:val="21"/>
        </w:rPr>
        <w:t>发包人应委托监理人按第11.1款的约定向承包人发出开工通知。</w:t>
      </w:r>
    </w:p>
    <w:p>
      <w:pPr>
        <w:spacing w:line="400" w:lineRule="exact"/>
        <w:ind w:firstLine="480" w:firstLineChars="200"/>
        <w:rPr>
          <w:szCs w:val="21"/>
        </w:rPr>
      </w:pPr>
      <w:r>
        <w:rPr>
          <w:rFonts w:hint="eastAsia"/>
          <w:szCs w:val="21"/>
        </w:rPr>
        <w:t>2.3 提供施工场地</w:t>
      </w:r>
    </w:p>
    <w:p>
      <w:pPr>
        <w:spacing w:line="400" w:lineRule="exact"/>
        <w:ind w:firstLine="480" w:firstLineChars="200"/>
        <w:rPr>
          <w:szCs w:val="21"/>
        </w:rPr>
      </w:pPr>
      <w:r>
        <w:rPr>
          <w:rFonts w:hint="eastAsia"/>
          <w:szCs w:val="21"/>
        </w:rPr>
        <w:t>发包人应按专用合同条款约定向承包人提供施工场地，以及施工场地内地下管线和地下设施等有关资料，并保证资料的真实、准确、完整。</w:t>
      </w:r>
    </w:p>
    <w:p>
      <w:pPr>
        <w:spacing w:line="400" w:lineRule="exact"/>
        <w:ind w:firstLine="480" w:firstLineChars="200"/>
        <w:rPr>
          <w:szCs w:val="21"/>
        </w:rPr>
      </w:pPr>
      <w:r>
        <w:rPr>
          <w:rFonts w:hint="eastAsia"/>
          <w:szCs w:val="21"/>
        </w:rPr>
        <w:t>2.4 协助承包人办理证件和批件</w:t>
      </w:r>
    </w:p>
    <w:p>
      <w:pPr>
        <w:spacing w:line="400" w:lineRule="exact"/>
        <w:ind w:firstLine="480" w:firstLineChars="200"/>
        <w:rPr>
          <w:szCs w:val="21"/>
        </w:rPr>
      </w:pPr>
      <w:r>
        <w:rPr>
          <w:rFonts w:hint="eastAsia"/>
          <w:szCs w:val="21"/>
        </w:rPr>
        <w:t>发包人应协助承包人办理法律规定的有关施工证件和批件。</w:t>
      </w:r>
    </w:p>
    <w:p>
      <w:pPr>
        <w:spacing w:line="400" w:lineRule="exact"/>
        <w:ind w:firstLine="480" w:firstLineChars="200"/>
        <w:rPr>
          <w:szCs w:val="21"/>
        </w:rPr>
      </w:pPr>
      <w:r>
        <w:rPr>
          <w:rFonts w:hint="eastAsia"/>
          <w:szCs w:val="21"/>
        </w:rPr>
        <w:t>2.5 组织设计交底</w:t>
      </w:r>
    </w:p>
    <w:p>
      <w:pPr>
        <w:spacing w:line="400" w:lineRule="exact"/>
        <w:ind w:firstLine="480" w:firstLineChars="200"/>
        <w:rPr>
          <w:szCs w:val="21"/>
        </w:rPr>
      </w:pPr>
      <w:r>
        <w:rPr>
          <w:rFonts w:hint="eastAsia"/>
          <w:szCs w:val="21"/>
        </w:rPr>
        <w:t>发包人应根据合同进度计划，组织设计单位向承包人进行设计交底。</w:t>
      </w:r>
    </w:p>
    <w:p>
      <w:pPr>
        <w:spacing w:line="400" w:lineRule="exact"/>
        <w:ind w:firstLine="480" w:firstLineChars="200"/>
        <w:rPr>
          <w:szCs w:val="21"/>
        </w:rPr>
      </w:pPr>
      <w:r>
        <w:rPr>
          <w:rFonts w:hint="eastAsia"/>
          <w:szCs w:val="21"/>
        </w:rPr>
        <w:t>2.6 支付合同价款</w:t>
      </w:r>
    </w:p>
    <w:p>
      <w:pPr>
        <w:spacing w:line="400" w:lineRule="exact"/>
        <w:ind w:firstLine="480" w:firstLineChars="200"/>
        <w:rPr>
          <w:szCs w:val="21"/>
        </w:rPr>
      </w:pPr>
      <w:r>
        <w:rPr>
          <w:rFonts w:hint="eastAsia"/>
          <w:szCs w:val="21"/>
        </w:rPr>
        <w:t>发包人应按合同约定向承包人及时支付合同价款。</w:t>
      </w:r>
    </w:p>
    <w:p>
      <w:pPr>
        <w:spacing w:line="400" w:lineRule="exact"/>
        <w:ind w:firstLine="480" w:firstLineChars="200"/>
        <w:rPr>
          <w:szCs w:val="21"/>
        </w:rPr>
      </w:pPr>
      <w:r>
        <w:rPr>
          <w:rFonts w:hint="eastAsia"/>
          <w:szCs w:val="21"/>
        </w:rPr>
        <w:t>2.7 组织竣工验收</w:t>
      </w:r>
    </w:p>
    <w:p>
      <w:pPr>
        <w:spacing w:line="400" w:lineRule="exact"/>
        <w:ind w:firstLine="480" w:firstLineChars="200"/>
        <w:rPr>
          <w:szCs w:val="21"/>
        </w:rPr>
      </w:pPr>
      <w:r>
        <w:rPr>
          <w:rFonts w:hint="eastAsia"/>
          <w:szCs w:val="21"/>
        </w:rPr>
        <w:t>发包人应按合同约定及时组织竣工验收。</w:t>
      </w:r>
    </w:p>
    <w:p>
      <w:pPr>
        <w:spacing w:line="400" w:lineRule="exact"/>
        <w:ind w:firstLine="480" w:firstLineChars="200"/>
        <w:rPr>
          <w:szCs w:val="21"/>
        </w:rPr>
      </w:pPr>
      <w:r>
        <w:rPr>
          <w:rFonts w:hint="eastAsia"/>
          <w:szCs w:val="21"/>
        </w:rPr>
        <w:t>2.8 其他义务</w:t>
      </w:r>
    </w:p>
    <w:p>
      <w:pPr>
        <w:spacing w:line="400" w:lineRule="exact"/>
        <w:ind w:firstLine="480" w:firstLineChars="200"/>
        <w:rPr>
          <w:szCs w:val="21"/>
        </w:rPr>
      </w:pPr>
      <w:r>
        <w:rPr>
          <w:rFonts w:hint="eastAsia"/>
          <w:szCs w:val="21"/>
        </w:rPr>
        <w:t>发包人应履行合同约定的其他义务。</w:t>
      </w:r>
    </w:p>
    <w:p>
      <w:pPr>
        <w:spacing w:line="400" w:lineRule="exact"/>
        <w:ind w:firstLine="480" w:firstLineChars="200"/>
        <w:rPr>
          <w:szCs w:val="21"/>
        </w:rPr>
      </w:pPr>
      <w:r>
        <w:rPr>
          <w:rFonts w:hint="eastAsia"/>
          <w:szCs w:val="21"/>
        </w:rPr>
        <w:t>3. 监理人</w:t>
      </w:r>
    </w:p>
    <w:p>
      <w:pPr>
        <w:spacing w:line="400" w:lineRule="exact"/>
        <w:ind w:firstLine="480" w:firstLineChars="200"/>
        <w:rPr>
          <w:szCs w:val="21"/>
        </w:rPr>
      </w:pPr>
      <w:r>
        <w:rPr>
          <w:rFonts w:hint="eastAsia"/>
          <w:szCs w:val="21"/>
        </w:rPr>
        <w:t>3.1 监理人的职责和权力</w:t>
      </w:r>
    </w:p>
    <w:p>
      <w:pPr>
        <w:spacing w:line="400" w:lineRule="exact"/>
        <w:ind w:firstLine="480" w:firstLineChars="200"/>
        <w:rPr>
          <w:szCs w:val="21"/>
        </w:rPr>
      </w:pPr>
      <w:r>
        <w:rPr>
          <w:rFonts w:hint="eastAsia"/>
          <w:szCs w:val="21"/>
        </w:rPr>
        <w:t>3.1.1 监理人受发包人委托，享有合同约定的权力。监理人在行使某项权力前需要经发包人事先批准而通用合同条款没有指明的，应在专用合同条款中指明。</w:t>
      </w:r>
    </w:p>
    <w:p>
      <w:pPr>
        <w:spacing w:line="400" w:lineRule="exact"/>
        <w:ind w:firstLine="480" w:firstLineChars="200"/>
        <w:rPr>
          <w:szCs w:val="21"/>
        </w:rPr>
      </w:pPr>
      <w:r>
        <w:rPr>
          <w:rFonts w:hint="eastAsia"/>
          <w:szCs w:val="21"/>
        </w:rPr>
        <w:t>3.1.2 监理人发出的任何指示应视为已得到发包人的批准，但监理人无权免除或变更合同约定的发包人和承包人的权利、义务和责任。</w:t>
      </w:r>
    </w:p>
    <w:p>
      <w:pPr>
        <w:spacing w:line="400" w:lineRule="exact"/>
        <w:ind w:firstLine="480" w:firstLineChars="200"/>
        <w:rPr>
          <w:szCs w:val="21"/>
        </w:rPr>
      </w:pPr>
      <w:r>
        <w:rPr>
          <w:rFonts w:hint="eastAsia"/>
          <w:szCs w:val="21"/>
        </w:rPr>
        <w:t>3.1.3 合同约定应由承包人承担的义务和责任，不因监理人对承包人提交文件的审查或批准，对工程、材料和设备的检查和检验，以及为实施监理作出的指示等职务行为而减轻或解除。</w:t>
      </w:r>
    </w:p>
    <w:p>
      <w:pPr>
        <w:spacing w:line="400" w:lineRule="exact"/>
        <w:ind w:firstLine="480" w:firstLineChars="200"/>
        <w:rPr>
          <w:szCs w:val="21"/>
        </w:rPr>
      </w:pPr>
      <w:r>
        <w:rPr>
          <w:rFonts w:hint="eastAsia"/>
          <w:szCs w:val="21"/>
        </w:rPr>
        <w:t>3.2 总监理工程师</w:t>
      </w:r>
    </w:p>
    <w:p>
      <w:pPr>
        <w:spacing w:line="400" w:lineRule="exact"/>
        <w:ind w:firstLine="480" w:firstLineChars="200"/>
        <w:rPr>
          <w:szCs w:val="21"/>
        </w:rPr>
      </w:pPr>
      <w:r>
        <w:rPr>
          <w:rFonts w:hint="eastAsia"/>
          <w:szCs w:val="21"/>
        </w:rPr>
        <w:t>发包人应在发出开工通知前将总监理工程师的任命通知承包人。总监理工程师更换时，应在调离14天前通知承包人。总监理工程师短期离开施工场地的，应委派代表代行其职责，并通知承包人。</w:t>
      </w:r>
    </w:p>
    <w:p>
      <w:pPr>
        <w:spacing w:line="400" w:lineRule="exact"/>
        <w:ind w:firstLine="480" w:firstLineChars="200"/>
        <w:rPr>
          <w:szCs w:val="21"/>
        </w:rPr>
      </w:pPr>
      <w:r>
        <w:rPr>
          <w:rFonts w:hint="eastAsia"/>
          <w:szCs w:val="21"/>
        </w:rPr>
        <w:t>3.3 监理人员</w:t>
      </w:r>
    </w:p>
    <w:p>
      <w:pPr>
        <w:spacing w:line="400" w:lineRule="exact"/>
        <w:ind w:firstLine="480" w:firstLineChars="200"/>
        <w:rPr>
          <w:szCs w:val="21"/>
        </w:rPr>
      </w:pPr>
      <w:r>
        <w:rPr>
          <w:rFonts w:hint="eastAsia"/>
          <w:szCs w:val="21"/>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spacing w:line="400" w:lineRule="exact"/>
        <w:ind w:firstLine="480" w:firstLineChars="200"/>
        <w:rPr>
          <w:szCs w:val="21"/>
        </w:rPr>
      </w:pPr>
      <w:r>
        <w:rPr>
          <w:rFonts w:hint="eastAsia"/>
          <w:szCs w:val="21"/>
        </w:rPr>
        <w:t>3.3.2 监理人员对承包人的任何工作、工程或其采用的材料和工程设备未在约定的或合理的期限内提出否定意见的，视为已获批准，但不影响监理人在以后拒绝该项工作、工程、材料或工程设备的权利。</w:t>
      </w:r>
    </w:p>
    <w:p>
      <w:pPr>
        <w:spacing w:line="400" w:lineRule="exact"/>
        <w:ind w:firstLine="480" w:firstLineChars="200"/>
        <w:rPr>
          <w:szCs w:val="21"/>
        </w:rPr>
      </w:pPr>
      <w:r>
        <w:rPr>
          <w:rFonts w:hint="eastAsia"/>
          <w:szCs w:val="21"/>
        </w:rPr>
        <w:t>3.3.3 承包人对总监理工程师授权的监理人员发出的指示有疑问的，可向总监理工程师提出书面异议，总监理工程师应在48小时内对该指示予以确认、更改或撤销。</w:t>
      </w:r>
    </w:p>
    <w:p>
      <w:pPr>
        <w:spacing w:line="400" w:lineRule="exact"/>
        <w:ind w:firstLine="480" w:firstLineChars="200"/>
        <w:rPr>
          <w:szCs w:val="21"/>
        </w:rPr>
      </w:pPr>
      <w:r>
        <w:rPr>
          <w:rFonts w:hint="eastAsia"/>
          <w:szCs w:val="21"/>
        </w:rPr>
        <w:t>3.3.4 除专用合同条款另有约定外，总监理工程师不应将第3.5款约定应由总监理工程师作出确定的权力授权或委托给其他监理人员。</w:t>
      </w:r>
    </w:p>
    <w:p>
      <w:pPr>
        <w:spacing w:line="400" w:lineRule="exact"/>
        <w:ind w:firstLine="480" w:firstLineChars="200"/>
        <w:rPr>
          <w:szCs w:val="21"/>
        </w:rPr>
      </w:pPr>
      <w:r>
        <w:rPr>
          <w:rFonts w:hint="eastAsia"/>
          <w:szCs w:val="21"/>
        </w:rPr>
        <w:t>3.4 监理人的指示</w:t>
      </w:r>
    </w:p>
    <w:p>
      <w:pPr>
        <w:spacing w:line="400" w:lineRule="exact"/>
        <w:ind w:firstLine="480" w:firstLineChars="200"/>
        <w:rPr>
          <w:szCs w:val="21"/>
        </w:rPr>
      </w:pPr>
      <w:r>
        <w:rPr>
          <w:rFonts w:hint="eastAsia"/>
          <w:szCs w:val="21"/>
        </w:rPr>
        <w:t>3.4.1 监理人应按第3.1款的约定向承包人发出指示，监理人的指示应盖有监理人授权的施工场地机构章，并由总监理工程师或总监理工程师按第3.3.1项约定授权的监理人员签字。</w:t>
      </w:r>
    </w:p>
    <w:p>
      <w:pPr>
        <w:spacing w:line="400" w:lineRule="exact"/>
        <w:ind w:firstLine="480" w:firstLineChars="200"/>
        <w:rPr>
          <w:szCs w:val="21"/>
        </w:rPr>
      </w:pPr>
      <w:r>
        <w:rPr>
          <w:rFonts w:hint="eastAsia"/>
          <w:szCs w:val="21"/>
        </w:rPr>
        <w:t>3.4.2 承包人收到监理人按第3.4.1项作出的指示后应遵照执行。指示构成变更的，应按第15条处理。</w:t>
      </w:r>
    </w:p>
    <w:p>
      <w:pPr>
        <w:spacing w:line="400" w:lineRule="exact"/>
        <w:ind w:firstLine="480" w:firstLineChars="200"/>
        <w:rPr>
          <w:szCs w:val="21"/>
        </w:rPr>
      </w:pPr>
      <w:r>
        <w:rPr>
          <w:rFonts w:hint="eastAsia"/>
          <w:szCs w:val="21"/>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pacing w:line="400" w:lineRule="exact"/>
        <w:ind w:firstLine="480" w:firstLineChars="200"/>
        <w:rPr>
          <w:szCs w:val="21"/>
        </w:rPr>
      </w:pPr>
      <w:r>
        <w:rPr>
          <w:rFonts w:hint="eastAsia"/>
          <w:szCs w:val="21"/>
        </w:rPr>
        <w:t>3.4.4 除合同另有约定外，承包人只从总监理工程师或按第3.3.1项被授权的监理人员处取得指示。</w:t>
      </w:r>
    </w:p>
    <w:p>
      <w:pPr>
        <w:spacing w:line="400" w:lineRule="exact"/>
        <w:ind w:firstLine="480" w:firstLineChars="200"/>
        <w:rPr>
          <w:szCs w:val="21"/>
        </w:rPr>
      </w:pPr>
      <w:r>
        <w:rPr>
          <w:rFonts w:hint="eastAsia"/>
          <w:szCs w:val="21"/>
        </w:rPr>
        <w:t xml:space="preserve">3.4.5 由于监理人未能按合同约定发出指示、指示延误或指示错误而导致承包人费用增加和（或）工期延误的，由发包人承担赔偿责任。 </w:t>
      </w:r>
    </w:p>
    <w:p>
      <w:pPr>
        <w:spacing w:line="400" w:lineRule="exact"/>
        <w:ind w:firstLine="480" w:firstLineChars="200"/>
        <w:rPr>
          <w:szCs w:val="21"/>
        </w:rPr>
      </w:pPr>
      <w:r>
        <w:rPr>
          <w:rFonts w:hint="eastAsia"/>
          <w:szCs w:val="21"/>
        </w:rPr>
        <w:t>3.5 商定或确定</w:t>
      </w:r>
    </w:p>
    <w:p>
      <w:pPr>
        <w:spacing w:line="400" w:lineRule="exact"/>
        <w:ind w:firstLine="480" w:firstLineChars="200"/>
        <w:rPr>
          <w:szCs w:val="21"/>
        </w:rPr>
      </w:pPr>
      <w:r>
        <w:rPr>
          <w:rFonts w:hint="eastAsia"/>
          <w:szCs w:val="21"/>
        </w:rPr>
        <w:t>3.5.1合同约定总监理工程师应按照本款对任何事项进行商定或确定时，总监理工程师应与合同当事人协商，尽量达成一致。不能达成一致的，总监理工程师应认真研究后审慎确定。</w:t>
      </w:r>
    </w:p>
    <w:p>
      <w:pPr>
        <w:spacing w:line="400" w:lineRule="exact"/>
        <w:ind w:firstLine="480" w:firstLineChars="200"/>
        <w:rPr>
          <w:szCs w:val="21"/>
        </w:rPr>
      </w:pPr>
      <w:r>
        <w:rPr>
          <w:rFonts w:hint="eastAsia"/>
          <w:szCs w:val="21"/>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spacing w:line="400" w:lineRule="exact"/>
        <w:ind w:firstLine="480" w:firstLineChars="200"/>
        <w:rPr>
          <w:szCs w:val="21"/>
        </w:rPr>
      </w:pPr>
      <w:r>
        <w:rPr>
          <w:rFonts w:hint="eastAsia"/>
          <w:szCs w:val="21"/>
        </w:rPr>
        <w:t>4. 承包人</w:t>
      </w:r>
    </w:p>
    <w:p>
      <w:pPr>
        <w:spacing w:line="400" w:lineRule="exact"/>
        <w:ind w:firstLine="480" w:firstLineChars="200"/>
        <w:rPr>
          <w:szCs w:val="21"/>
        </w:rPr>
      </w:pPr>
      <w:r>
        <w:rPr>
          <w:rFonts w:hint="eastAsia"/>
          <w:szCs w:val="21"/>
        </w:rPr>
        <w:t>4.1 承包人的一般义务</w:t>
      </w:r>
    </w:p>
    <w:p>
      <w:pPr>
        <w:spacing w:line="400" w:lineRule="exact"/>
        <w:ind w:firstLine="480" w:firstLineChars="200"/>
        <w:rPr>
          <w:szCs w:val="21"/>
        </w:rPr>
      </w:pPr>
      <w:r>
        <w:rPr>
          <w:rFonts w:hint="eastAsia"/>
          <w:szCs w:val="21"/>
        </w:rPr>
        <w:t>4.1.1 遵守法律</w:t>
      </w:r>
    </w:p>
    <w:p>
      <w:pPr>
        <w:spacing w:line="400" w:lineRule="exact"/>
        <w:ind w:firstLine="480" w:firstLineChars="200"/>
        <w:rPr>
          <w:szCs w:val="21"/>
        </w:rPr>
      </w:pPr>
      <w:r>
        <w:rPr>
          <w:rFonts w:hint="eastAsia"/>
          <w:szCs w:val="21"/>
        </w:rPr>
        <w:t>承包人在履行合同过程中应遵守法律，并保证发包人免于承担因承包人违反法律而引起的任何责任。</w:t>
      </w:r>
    </w:p>
    <w:p>
      <w:pPr>
        <w:spacing w:line="400" w:lineRule="exact"/>
        <w:ind w:firstLine="480" w:firstLineChars="200"/>
        <w:rPr>
          <w:szCs w:val="21"/>
        </w:rPr>
      </w:pPr>
      <w:r>
        <w:rPr>
          <w:rFonts w:hint="eastAsia"/>
          <w:szCs w:val="21"/>
        </w:rPr>
        <w:t>4.1.2 依法纳税</w:t>
      </w:r>
    </w:p>
    <w:p>
      <w:pPr>
        <w:spacing w:line="400" w:lineRule="exact"/>
        <w:ind w:firstLine="480" w:firstLineChars="200"/>
        <w:rPr>
          <w:szCs w:val="21"/>
        </w:rPr>
      </w:pPr>
      <w:r>
        <w:rPr>
          <w:rFonts w:hint="eastAsia"/>
          <w:szCs w:val="21"/>
        </w:rPr>
        <w:t>承包人应按有关法律规定纳税，应缴纳的税金包括在合同价格内。</w:t>
      </w:r>
    </w:p>
    <w:p>
      <w:pPr>
        <w:spacing w:line="400" w:lineRule="exact"/>
        <w:ind w:firstLine="480" w:firstLineChars="200"/>
        <w:rPr>
          <w:szCs w:val="21"/>
        </w:rPr>
      </w:pPr>
      <w:r>
        <w:rPr>
          <w:rFonts w:hint="eastAsia"/>
          <w:szCs w:val="21"/>
        </w:rPr>
        <w:t>4.1.3 完成各项承包工作</w:t>
      </w:r>
    </w:p>
    <w:p>
      <w:pPr>
        <w:spacing w:line="400" w:lineRule="exact"/>
        <w:ind w:firstLine="480" w:firstLineChars="200"/>
        <w:rPr>
          <w:szCs w:val="21"/>
        </w:rPr>
      </w:pPr>
      <w:r>
        <w:rPr>
          <w:rFonts w:hint="eastAsia"/>
          <w:szCs w:val="21"/>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spacing w:line="400" w:lineRule="exact"/>
        <w:ind w:firstLine="480" w:firstLineChars="200"/>
        <w:rPr>
          <w:szCs w:val="21"/>
        </w:rPr>
      </w:pPr>
      <w:r>
        <w:rPr>
          <w:rFonts w:hint="eastAsia"/>
          <w:szCs w:val="21"/>
        </w:rPr>
        <w:t>4.1.4 对施工作业和施工方法的完备性负责</w:t>
      </w:r>
    </w:p>
    <w:p>
      <w:pPr>
        <w:spacing w:line="400" w:lineRule="exact"/>
        <w:ind w:firstLine="480" w:firstLineChars="200"/>
        <w:rPr>
          <w:szCs w:val="21"/>
        </w:rPr>
      </w:pPr>
      <w:r>
        <w:rPr>
          <w:rFonts w:hint="eastAsia"/>
          <w:szCs w:val="21"/>
        </w:rPr>
        <w:t>承包人应按合同约定的工作内容和施工进度要求，编制施工组织设计和施工措施计划，并对所有施工作业和施工方法的完备性和安全可靠性负责。</w:t>
      </w:r>
    </w:p>
    <w:p>
      <w:pPr>
        <w:spacing w:line="400" w:lineRule="exact"/>
        <w:ind w:firstLine="480" w:firstLineChars="200"/>
        <w:rPr>
          <w:szCs w:val="21"/>
        </w:rPr>
      </w:pPr>
      <w:r>
        <w:rPr>
          <w:rFonts w:hint="eastAsia"/>
          <w:szCs w:val="21"/>
        </w:rPr>
        <w:t>4.1.5 保证工程施工和人员的安全</w:t>
      </w:r>
    </w:p>
    <w:p>
      <w:pPr>
        <w:spacing w:line="400" w:lineRule="exact"/>
        <w:ind w:firstLine="480" w:firstLineChars="200"/>
        <w:rPr>
          <w:szCs w:val="21"/>
        </w:rPr>
      </w:pPr>
      <w:r>
        <w:rPr>
          <w:rFonts w:hint="eastAsia"/>
          <w:szCs w:val="21"/>
        </w:rPr>
        <w:t>承包人应按第9.2款约定采取施工安全措施，确保工程及其人员、材料、设备和设施的安全，防止因工程施工造成的人身伤害和财产损失。</w:t>
      </w:r>
    </w:p>
    <w:p>
      <w:pPr>
        <w:spacing w:line="400" w:lineRule="exact"/>
        <w:ind w:firstLine="480" w:firstLineChars="200"/>
        <w:rPr>
          <w:szCs w:val="21"/>
        </w:rPr>
      </w:pPr>
      <w:r>
        <w:rPr>
          <w:rFonts w:hint="eastAsia"/>
          <w:szCs w:val="21"/>
        </w:rPr>
        <w:t>4.1.6 负责施工场地及其周边环境与生态的保护工作</w:t>
      </w:r>
    </w:p>
    <w:p>
      <w:pPr>
        <w:spacing w:line="400" w:lineRule="exact"/>
        <w:ind w:firstLine="480" w:firstLineChars="200"/>
        <w:rPr>
          <w:szCs w:val="21"/>
        </w:rPr>
      </w:pPr>
      <w:r>
        <w:rPr>
          <w:rFonts w:hint="eastAsia"/>
          <w:szCs w:val="21"/>
        </w:rPr>
        <w:t>承包人应按照第9.4款约定负责施工场地及其周边环境与生态的保护工作。</w:t>
      </w:r>
    </w:p>
    <w:p>
      <w:pPr>
        <w:spacing w:line="400" w:lineRule="exact"/>
        <w:ind w:firstLine="480" w:firstLineChars="200"/>
        <w:rPr>
          <w:szCs w:val="21"/>
        </w:rPr>
      </w:pPr>
      <w:r>
        <w:rPr>
          <w:rFonts w:hint="eastAsia"/>
          <w:szCs w:val="21"/>
        </w:rPr>
        <w:t>4.1.7 避免施工对公众与他人的利益造成损害</w:t>
      </w:r>
    </w:p>
    <w:p>
      <w:pPr>
        <w:spacing w:line="400" w:lineRule="exact"/>
        <w:ind w:firstLine="480" w:firstLineChars="200"/>
        <w:rPr>
          <w:szCs w:val="21"/>
        </w:rPr>
      </w:pPr>
      <w:r>
        <w:rPr>
          <w:rFonts w:hint="eastAsia"/>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400" w:lineRule="exact"/>
        <w:ind w:firstLine="480" w:firstLineChars="200"/>
        <w:rPr>
          <w:szCs w:val="21"/>
        </w:rPr>
      </w:pPr>
      <w:r>
        <w:rPr>
          <w:rFonts w:hint="eastAsia"/>
          <w:szCs w:val="21"/>
        </w:rPr>
        <w:t>4.1.8 为他人提供方便</w:t>
      </w:r>
    </w:p>
    <w:p>
      <w:pPr>
        <w:spacing w:line="400" w:lineRule="exact"/>
        <w:ind w:firstLine="480" w:firstLineChars="200"/>
        <w:rPr>
          <w:szCs w:val="21"/>
        </w:rPr>
      </w:pPr>
      <w:r>
        <w:rPr>
          <w:rFonts w:hint="eastAsia"/>
          <w:szCs w:val="21"/>
        </w:rPr>
        <w:t>承包人应按监理人的指示为他人在施工场地或附近实施与工程有关的其他各项工作提供可能的条件。除合同另有约定外，提供有关条件的内容和可能发生的费用，由监理人按第3.5款商定或确定。</w:t>
      </w:r>
    </w:p>
    <w:p>
      <w:pPr>
        <w:spacing w:line="400" w:lineRule="exact"/>
        <w:ind w:firstLine="480" w:firstLineChars="200"/>
        <w:rPr>
          <w:szCs w:val="21"/>
        </w:rPr>
      </w:pPr>
      <w:r>
        <w:rPr>
          <w:rFonts w:hint="eastAsia"/>
          <w:szCs w:val="21"/>
        </w:rPr>
        <w:t>4.1.9 工程的维护和照管</w:t>
      </w:r>
    </w:p>
    <w:p>
      <w:pPr>
        <w:spacing w:line="400" w:lineRule="exact"/>
        <w:ind w:firstLine="480" w:firstLineChars="200"/>
        <w:rPr>
          <w:szCs w:val="21"/>
        </w:rPr>
      </w:pPr>
      <w:r>
        <w:rPr>
          <w:rFonts w:hint="eastAsia"/>
          <w:szCs w:val="21"/>
        </w:rPr>
        <w:t>工程接收证书颁发前，承包人应负责照管和维护工程。工程接收证书颁发时尚有部分未竣工工程的，承包人还应负责该未竣工工程的照管和维护工作，直至竣工后移交给发包人为止。</w:t>
      </w:r>
    </w:p>
    <w:p>
      <w:pPr>
        <w:spacing w:line="400" w:lineRule="exact"/>
        <w:ind w:firstLine="480" w:firstLineChars="200"/>
        <w:rPr>
          <w:szCs w:val="21"/>
        </w:rPr>
      </w:pPr>
      <w:r>
        <w:rPr>
          <w:rFonts w:hint="eastAsia"/>
          <w:szCs w:val="21"/>
        </w:rPr>
        <w:t>4.1.10 其他义务</w:t>
      </w:r>
    </w:p>
    <w:p>
      <w:pPr>
        <w:spacing w:line="400" w:lineRule="exact"/>
        <w:ind w:firstLine="480" w:firstLineChars="200"/>
        <w:rPr>
          <w:szCs w:val="21"/>
        </w:rPr>
      </w:pPr>
      <w:r>
        <w:rPr>
          <w:rFonts w:hint="eastAsia"/>
          <w:szCs w:val="21"/>
        </w:rPr>
        <w:t>承包人应履行合同约定的其他义务。</w:t>
      </w:r>
    </w:p>
    <w:p>
      <w:pPr>
        <w:spacing w:line="400" w:lineRule="exact"/>
        <w:ind w:firstLine="480" w:firstLineChars="200"/>
        <w:rPr>
          <w:szCs w:val="21"/>
        </w:rPr>
      </w:pPr>
      <w:r>
        <w:rPr>
          <w:rFonts w:hint="eastAsia"/>
          <w:szCs w:val="21"/>
        </w:rPr>
        <w:t>4.2 履约担保</w:t>
      </w:r>
    </w:p>
    <w:p>
      <w:pPr>
        <w:spacing w:line="400" w:lineRule="exact"/>
        <w:ind w:firstLine="480" w:firstLineChars="200"/>
        <w:rPr>
          <w:szCs w:val="21"/>
        </w:rPr>
      </w:pPr>
      <w:r>
        <w:rPr>
          <w:rFonts w:hint="eastAsia"/>
          <w:szCs w:val="21"/>
        </w:rPr>
        <w:t>承包人应保证其履约担保在发包人颁发工程接收证书前一直有效。发包人应在工程接收证书颁发后28天内把履约担保退还给承包人。</w:t>
      </w:r>
    </w:p>
    <w:p>
      <w:pPr>
        <w:spacing w:line="400" w:lineRule="exact"/>
        <w:ind w:firstLine="480" w:firstLineChars="200"/>
        <w:rPr>
          <w:szCs w:val="21"/>
        </w:rPr>
      </w:pPr>
      <w:r>
        <w:rPr>
          <w:rFonts w:hint="eastAsia"/>
          <w:szCs w:val="21"/>
        </w:rPr>
        <w:t>4.3 分包</w:t>
      </w:r>
    </w:p>
    <w:p>
      <w:pPr>
        <w:spacing w:line="400" w:lineRule="exact"/>
        <w:ind w:firstLine="480" w:firstLineChars="200"/>
        <w:rPr>
          <w:szCs w:val="21"/>
        </w:rPr>
      </w:pPr>
      <w:r>
        <w:rPr>
          <w:rFonts w:hint="eastAsia"/>
          <w:szCs w:val="21"/>
        </w:rPr>
        <w:t>4.3.1 承包人不得将其承包的全部工程转包给第三人，或将其承包的全部工程肢解后以分包的名义转包给第三人。</w:t>
      </w:r>
    </w:p>
    <w:p>
      <w:pPr>
        <w:spacing w:line="400" w:lineRule="exact"/>
        <w:ind w:firstLine="480" w:firstLineChars="200"/>
        <w:rPr>
          <w:szCs w:val="21"/>
        </w:rPr>
      </w:pPr>
      <w:r>
        <w:rPr>
          <w:rFonts w:hint="eastAsia"/>
          <w:szCs w:val="21"/>
        </w:rPr>
        <w:t>4.3.2 承包人不得将工程主体、关键性工作分包给第三人。除专用合同条款另有约定外，未经发包人同意，承包人不得将工程的其他部分或工作分包给第三人。</w:t>
      </w:r>
    </w:p>
    <w:p>
      <w:pPr>
        <w:spacing w:line="400" w:lineRule="exact"/>
        <w:ind w:firstLine="480" w:firstLineChars="200"/>
        <w:rPr>
          <w:szCs w:val="21"/>
        </w:rPr>
      </w:pPr>
      <w:r>
        <w:rPr>
          <w:rFonts w:hint="eastAsia"/>
          <w:szCs w:val="21"/>
        </w:rPr>
        <w:t>4.3.3 分包人的资格能力应与其分包工程的标准和规模相适应。</w:t>
      </w:r>
    </w:p>
    <w:p>
      <w:pPr>
        <w:spacing w:line="400" w:lineRule="exact"/>
        <w:ind w:firstLine="480" w:firstLineChars="200"/>
        <w:rPr>
          <w:szCs w:val="21"/>
        </w:rPr>
      </w:pPr>
      <w:r>
        <w:rPr>
          <w:rFonts w:hint="eastAsia"/>
          <w:szCs w:val="21"/>
        </w:rPr>
        <w:t>4.3.4 按投标函附录约定分包工程的，承包人应向发包人和监理人提交分包合同副本。</w:t>
      </w:r>
    </w:p>
    <w:p>
      <w:pPr>
        <w:spacing w:line="400" w:lineRule="exact"/>
        <w:ind w:firstLine="480" w:firstLineChars="200"/>
        <w:rPr>
          <w:szCs w:val="21"/>
        </w:rPr>
      </w:pPr>
      <w:r>
        <w:rPr>
          <w:rFonts w:hint="eastAsia"/>
          <w:szCs w:val="21"/>
        </w:rPr>
        <w:t>4.3.5 承包人应与分包人就分包工程向发包人承担连带责任。</w:t>
      </w:r>
    </w:p>
    <w:p>
      <w:pPr>
        <w:spacing w:line="400" w:lineRule="exact"/>
        <w:ind w:firstLine="480" w:firstLineChars="200"/>
        <w:rPr>
          <w:szCs w:val="21"/>
        </w:rPr>
      </w:pPr>
      <w:r>
        <w:rPr>
          <w:rFonts w:hint="eastAsia"/>
          <w:szCs w:val="21"/>
        </w:rPr>
        <w:t>4.4 联合体</w:t>
      </w:r>
    </w:p>
    <w:p>
      <w:pPr>
        <w:spacing w:line="400" w:lineRule="exact"/>
        <w:ind w:firstLine="480" w:firstLineChars="200"/>
        <w:rPr>
          <w:szCs w:val="21"/>
        </w:rPr>
      </w:pPr>
      <w:r>
        <w:rPr>
          <w:rFonts w:hint="eastAsia"/>
          <w:szCs w:val="21"/>
        </w:rPr>
        <w:t>4.4.1 联合体各方应共同与发包人签订合同协议书。联合体各方应为履行合同承担连带责任。</w:t>
      </w:r>
    </w:p>
    <w:p>
      <w:pPr>
        <w:spacing w:line="400" w:lineRule="exact"/>
        <w:ind w:firstLine="480" w:firstLineChars="200"/>
        <w:rPr>
          <w:szCs w:val="21"/>
        </w:rPr>
      </w:pPr>
      <w:r>
        <w:rPr>
          <w:rFonts w:hint="eastAsia"/>
          <w:szCs w:val="21"/>
        </w:rPr>
        <w:t>4.4.2 联合体协议经发包人确认后作为合同附件。在履行合同过程中，未经发包人同意，不得修改联合体协议。</w:t>
      </w:r>
    </w:p>
    <w:p>
      <w:pPr>
        <w:spacing w:line="400" w:lineRule="exact"/>
        <w:ind w:firstLine="480" w:firstLineChars="200"/>
        <w:rPr>
          <w:szCs w:val="21"/>
        </w:rPr>
      </w:pPr>
      <w:r>
        <w:rPr>
          <w:rFonts w:hint="eastAsia"/>
          <w:szCs w:val="21"/>
        </w:rPr>
        <w:t>4.4.3 联合体牵头人负责与发包人和监理人联系，并接受指示，负责组织联合体各成员全面履行合同。</w:t>
      </w:r>
    </w:p>
    <w:p>
      <w:pPr>
        <w:spacing w:line="400" w:lineRule="exact"/>
        <w:ind w:firstLine="480" w:firstLineChars="200"/>
        <w:rPr>
          <w:szCs w:val="21"/>
        </w:rPr>
      </w:pPr>
      <w:r>
        <w:rPr>
          <w:rFonts w:hint="eastAsia"/>
          <w:szCs w:val="21"/>
        </w:rPr>
        <w:t>4.5 承包人项目经理</w:t>
      </w:r>
    </w:p>
    <w:p>
      <w:pPr>
        <w:spacing w:line="400" w:lineRule="exact"/>
        <w:ind w:firstLine="480" w:firstLineChars="200"/>
        <w:rPr>
          <w:szCs w:val="21"/>
        </w:rPr>
      </w:pPr>
      <w:r>
        <w:rPr>
          <w:rFonts w:hint="eastAsia"/>
          <w:szCs w:val="21"/>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spacing w:line="400" w:lineRule="exact"/>
        <w:ind w:firstLine="480" w:firstLineChars="200"/>
        <w:rPr>
          <w:szCs w:val="21"/>
        </w:rPr>
      </w:pPr>
      <w:r>
        <w:rPr>
          <w:rFonts w:hint="eastAsia"/>
          <w:szCs w:val="21"/>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spacing w:line="400" w:lineRule="exact"/>
        <w:ind w:firstLine="480" w:firstLineChars="200"/>
        <w:rPr>
          <w:szCs w:val="21"/>
        </w:rPr>
      </w:pPr>
      <w:r>
        <w:rPr>
          <w:rFonts w:hint="eastAsia"/>
          <w:szCs w:val="21"/>
        </w:rPr>
        <w:t>4.5.3承包人为履行合同发出的一切函件均应盖有承包人授权的施工场地管理机构章，并由承包人项目经理或其授权代表签字。</w:t>
      </w:r>
    </w:p>
    <w:p>
      <w:pPr>
        <w:spacing w:line="400" w:lineRule="exact"/>
        <w:ind w:firstLine="480" w:firstLineChars="200"/>
        <w:rPr>
          <w:szCs w:val="21"/>
        </w:rPr>
      </w:pPr>
      <w:r>
        <w:rPr>
          <w:rFonts w:hint="eastAsia"/>
          <w:szCs w:val="21"/>
        </w:rPr>
        <w:t>4.5.4 承包人项目经理可以授权其下属人员履行其某项职责，但事先应将这些人员的姓名和授权范围通知监理人。</w:t>
      </w:r>
    </w:p>
    <w:p>
      <w:pPr>
        <w:spacing w:line="400" w:lineRule="exact"/>
        <w:ind w:firstLine="480" w:firstLineChars="200"/>
        <w:rPr>
          <w:szCs w:val="21"/>
        </w:rPr>
      </w:pPr>
      <w:r>
        <w:rPr>
          <w:rFonts w:hint="eastAsia"/>
          <w:szCs w:val="21"/>
        </w:rPr>
        <w:t>4.6 承包人人员的管理</w:t>
      </w:r>
    </w:p>
    <w:p>
      <w:pPr>
        <w:spacing w:line="400" w:lineRule="exact"/>
        <w:ind w:firstLine="480" w:firstLineChars="200"/>
        <w:rPr>
          <w:szCs w:val="21"/>
        </w:rPr>
      </w:pPr>
      <w:r>
        <w:rPr>
          <w:rFonts w:hint="eastAsia"/>
          <w:szCs w:val="21"/>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400" w:lineRule="exact"/>
        <w:ind w:firstLine="480" w:firstLineChars="200"/>
        <w:rPr>
          <w:szCs w:val="21"/>
        </w:rPr>
      </w:pPr>
      <w:r>
        <w:rPr>
          <w:rFonts w:hint="eastAsia"/>
          <w:szCs w:val="21"/>
        </w:rPr>
        <w:t>4.6.2 为完成合同约定的各项工作，承包人应向施工场地派遣或雇佣足够数量的下列人员：</w:t>
      </w:r>
    </w:p>
    <w:p>
      <w:pPr>
        <w:spacing w:line="400" w:lineRule="exact"/>
        <w:ind w:firstLine="480" w:firstLineChars="200"/>
        <w:rPr>
          <w:szCs w:val="21"/>
        </w:rPr>
      </w:pPr>
      <w:r>
        <w:rPr>
          <w:rFonts w:hint="eastAsia"/>
          <w:szCs w:val="21"/>
        </w:rPr>
        <w:t>（1）具有相应资格的专业技工和合格的普工；</w:t>
      </w:r>
    </w:p>
    <w:p>
      <w:pPr>
        <w:spacing w:line="400" w:lineRule="exact"/>
        <w:ind w:firstLine="480" w:firstLineChars="200"/>
        <w:rPr>
          <w:szCs w:val="21"/>
        </w:rPr>
      </w:pPr>
      <w:r>
        <w:rPr>
          <w:rFonts w:hint="eastAsia"/>
          <w:szCs w:val="21"/>
        </w:rPr>
        <w:t>（2）具有相应施工经验的技术人员；</w:t>
      </w:r>
    </w:p>
    <w:p>
      <w:pPr>
        <w:spacing w:line="400" w:lineRule="exact"/>
        <w:ind w:firstLine="480" w:firstLineChars="200"/>
        <w:rPr>
          <w:szCs w:val="21"/>
        </w:rPr>
      </w:pPr>
      <w:r>
        <w:rPr>
          <w:rFonts w:hint="eastAsia"/>
          <w:szCs w:val="21"/>
        </w:rPr>
        <w:t>（3）具有相应岗位资格的各级管理人员。</w:t>
      </w:r>
    </w:p>
    <w:p>
      <w:pPr>
        <w:spacing w:line="400" w:lineRule="exact"/>
        <w:ind w:firstLine="480" w:firstLineChars="200"/>
        <w:rPr>
          <w:szCs w:val="21"/>
        </w:rPr>
      </w:pPr>
      <w:r>
        <w:rPr>
          <w:rFonts w:hint="eastAsia"/>
          <w:szCs w:val="21"/>
        </w:rPr>
        <w:t>4.6.3 承包人安排在施工场地的主要管理人员和技术骨干应相对稳定。承包人更换主要管理人员和技术骨干时，应取得监理人的同意。</w:t>
      </w:r>
    </w:p>
    <w:p>
      <w:pPr>
        <w:spacing w:line="400" w:lineRule="exact"/>
        <w:ind w:firstLine="480" w:firstLineChars="200"/>
        <w:rPr>
          <w:szCs w:val="21"/>
        </w:rPr>
      </w:pPr>
      <w:r>
        <w:rPr>
          <w:rFonts w:hint="eastAsia"/>
          <w:szCs w:val="21"/>
        </w:rPr>
        <w:t>4.6.4 特殊岗位的工作人员均应持有相应的资格证明，监理人有权随时检查。监理人认为有必要时，可进行现场考核。</w:t>
      </w:r>
    </w:p>
    <w:p>
      <w:pPr>
        <w:spacing w:line="400" w:lineRule="exact"/>
        <w:ind w:firstLine="480" w:firstLineChars="200"/>
        <w:rPr>
          <w:szCs w:val="21"/>
        </w:rPr>
      </w:pPr>
      <w:r>
        <w:rPr>
          <w:rFonts w:hint="eastAsia"/>
          <w:szCs w:val="21"/>
        </w:rPr>
        <w:t>4.7 撤换承包人项目经理和其他人员</w:t>
      </w:r>
    </w:p>
    <w:p>
      <w:pPr>
        <w:spacing w:line="400" w:lineRule="exact"/>
        <w:ind w:firstLine="480" w:firstLineChars="200"/>
        <w:rPr>
          <w:szCs w:val="21"/>
        </w:rPr>
      </w:pPr>
      <w:r>
        <w:rPr>
          <w:rFonts w:hint="eastAsia"/>
          <w:szCs w:val="21"/>
        </w:rPr>
        <w:t>承包人应对其项目经理和其他人员进行有效管理。发包人、监理人要求撤换不能胜任本职工作、行为不端或玩忽职守的承包人项目经理和其他人员的，承包人应予以撤换。</w:t>
      </w:r>
    </w:p>
    <w:p>
      <w:pPr>
        <w:spacing w:line="400" w:lineRule="exact"/>
        <w:ind w:firstLine="480" w:firstLineChars="200"/>
        <w:rPr>
          <w:szCs w:val="21"/>
        </w:rPr>
      </w:pPr>
      <w:r>
        <w:rPr>
          <w:rFonts w:hint="eastAsia"/>
          <w:szCs w:val="21"/>
        </w:rPr>
        <w:t>4.8 保障承包人人员的合法权益</w:t>
      </w:r>
    </w:p>
    <w:p>
      <w:pPr>
        <w:spacing w:line="400" w:lineRule="exact"/>
        <w:ind w:firstLine="480" w:firstLineChars="200"/>
        <w:rPr>
          <w:szCs w:val="21"/>
        </w:rPr>
      </w:pPr>
      <w:r>
        <w:rPr>
          <w:rFonts w:hint="eastAsia"/>
          <w:szCs w:val="21"/>
        </w:rPr>
        <w:t>4.8.1 承包人应与其雇佣的人员签订劳动合同，并按时发放工资。</w:t>
      </w:r>
    </w:p>
    <w:p>
      <w:pPr>
        <w:spacing w:line="400" w:lineRule="exact"/>
        <w:ind w:firstLine="480" w:firstLineChars="200"/>
        <w:rPr>
          <w:szCs w:val="21"/>
        </w:rPr>
      </w:pPr>
      <w:r>
        <w:rPr>
          <w:rFonts w:hint="eastAsia"/>
          <w:szCs w:val="21"/>
        </w:rPr>
        <w:t>4.8.2 承包人应按劳动法的规定安排工作时间，保证其雇佣人员享有休息和休假的权利。因工程施工的特殊需要占用休假日或延长工作时间的，应不超过法律规定的限度，并按法律规定给予补休或付酬。</w:t>
      </w:r>
    </w:p>
    <w:p>
      <w:pPr>
        <w:spacing w:line="400" w:lineRule="exact"/>
        <w:ind w:firstLine="480" w:firstLineChars="200"/>
        <w:rPr>
          <w:szCs w:val="21"/>
        </w:rPr>
      </w:pPr>
      <w:r>
        <w:rPr>
          <w:rFonts w:hint="eastAsia"/>
          <w:szCs w:val="21"/>
        </w:rPr>
        <w:t>4.8.3 承包人应为其雇佣人员提供必要的食宿条件，以及符合环境保护和卫生要求的生活环境，在远离城镇的施工场地，还应配备必要的伤病防治和急救的医务人员与医疗设施。</w:t>
      </w:r>
    </w:p>
    <w:p>
      <w:pPr>
        <w:spacing w:line="400" w:lineRule="exact"/>
        <w:ind w:firstLine="480" w:firstLineChars="200"/>
        <w:rPr>
          <w:szCs w:val="21"/>
        </w:rPr>
      </w:pPr>
      <w:r>
        <w:rPr>
          <w:rFonts w:hint="eastAsia"/>
          <w:szCs w:val="21"/>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400" w:lineRule="exact"/>
        <w:ind w:firstLine="480" w:firstLineChars="200"/>
        <w:rPr>
          <w:szCs w:val="21"/>
        </w:rPr>
      </w:pPr>
      <w:r>
        <w:rPr>
          <w:rFonts w:hint="eastAsia"/>
          <w:szCs w:val="21"/>
        </w:rPr>
        <w:t>4.8.5 承包人应按有关法律规定和合同约定，为其雇佣人员办理保险。</w:t>
      </w:r>
    </w:p>
    <w:p>
      <w:pPr>
        <w:spacing w:line="400" w:lineRule="exact"/>
        <w:ind w:firstLine="480" w:firstLineChars="200"/>
        <w:rPr>
          <w:szCs w:val="21"/>
        </w:rPr>
      </w:pPr>
      <w:r>
        <w:rPr>
          <w:rFonts w:hint="eastAsia"/>
          <w:szCs w:val="21"/>
        </w:rPr>
        <w:t>4.8.6 承包人应负责处理其雇佣人员因工伤亡事故的善后事宜。</w:t>
      </w:r>
    </w:p>
    <w:p>
      <w:pPr>
        <w:spacing w:line="400" w:lineRule="exact"/>
        <w:ind w:firstLine="480" w:firstLineChars="200"/>
        <w:rPr>
          <w:szCs w:val="21"/>
        </w:rPr>
      </w:pPr>
      <w:r>
        <w:rPr>
          <w:rFonts w:hint="eastAsia"/>
          <w:szCs w:val="21"/>
        </w:rPr>
        <w:t>4.9 工程价款应专款专用</w:t>
      </w:r>
    </w:p>
    <w:p>
      <w:pPr>
        <w:spacing w:line="400" w:lineRule="exact"/>
        <w:ind w:firstLine="480" w:firstLineChars="200"/>
        <w:rPr>
          <w:szCs w:val="21"/>
        </w:rPr>
      </w:pPr>
      <w:r>
        <w:rPr>
          <w:rFonts w:hint="eastAsia"/>
          <w:szCs w:val="21"/>
        </w:rPr>
        <w:t>发包人按合同约定支付给承包人的各项价款应专用于合同工程。</w:t>
      </w:r>
    </w:p>
    <w:p>
      <w:pPr>
        <w:spacing w:line="400" w:lineRule="exact"/>
        <w:ind w:firstLine="480" w:firstLineChars="200"/>
        <w:rPr>
          <w:szCs w:val="21"/>
        </w:rPr>
      </w:pPr>
      <w:r>
        <w:rPr>
          <w:rFonts w:hint="eastAsia"/>
          <w:szCs w:val="21"/>
        </w:rPr>
        <w:t xml:space="preserve">4.10 承包人现场查勘                                                                                                           </w:t>
      </w:r>
    </w:p>
    <w:p>
      <w:pPr>
        <w:spacing w:line="400" w:lineRule="exact"/>
        <w:ind w:firstLine="480" w:firstLineChars="200"/>
        <w:rPr>
          <w:szCs w:val="21"/>
        </w:rPr>
      </w:pPr>
      <w:r>
        <w:rPr>
          <w:rFonts w:hint="eastAsia"/>
          <w:szCs w:val="21"/>
        </w:rPr>
        <w:t>4.10.1 发包人应将其持有的现场地质勘探资料、水文气象资料提供给承包人，并对其准确性负责。但承包人应对其阅读上述有关资料后所作出的解释和推断负责。</w:t>
      </w:r>
    </w:p>
    <w:p>
      <w:pPr>
        <w:spacing w:line="400" w:lineRule="exact"/>
        <w:ind w:firstLine="480" w:firstLineChars="200"/>
        <w:rPr>
          <w:szCs w:val="21"/>
        </w:rPr>
      </w:pPr>
      <w:r>
        <w:rPr>
          <w:rFonts w:hint="eastAsia"/>
          <w:szCs w:val="21"/>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spacing w:line="400" w:lineRule="exact"/>
        <w:ind w:firstLine="480" w:firstLineChars="200"/>
        <w:rPr>
          <w:szCs w:val="21"/>
        </w:rPr>
      </w:pPr>
      <w:r>
        <w:rPr>
          <w:rFonts w:hint="eastAsia"/>
          <w:szCs w:val="21"/>
        </w:rPr>
        <w:t>4.11 不利物质条件</w:t>
      </w:r>
    </w:p>
    <w:p>
      <w:pPr>
        <w:spacing w:line="400" w:lineRule="exact"/>
        <w:ind w:firstLine="480" w:firstLineChars="200"/>
        <w:rPr>
          <w:szCs w:val="21"/>
        </w:rPr>
      </w:pPr>
      <w:r>
        <w:rPr>
          <w:rFonts w:hint="eastAsia"/>
          <w:szCs w:val="21"/>
        </w:rPr>
        <w:t>4.11.1 不利物质条件，除专用合同条款另有约定外，是指承包人在施工场地遇到的不可预见的自然物质条件、非自然的物质障碍和污染物，包括地下和水文条件，但不包括气候条件。</w:t>
      </w:r>
    </w:p>
    <w:p>
      <w:pPr>
        <w:spacing w:line="400" w:lineRule="exact"/>
        <w:ind w:firstLine="480" w:firstLineChars="200"/>
        <w:rPr>
          <w:szCs w:val="21"/>
        </w:rPr>
      </w:pPr>
      <w:r>
        <w:rPr>
          <w:rFonts w:hint="eastAsia"/>
          <w:szCs w:val="21"/>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pPr>
        <w:spacing w:line="400" w:lineRule="exact"/>
        <w:ind w:firstLine="480" w:firstLineChars="200"/>
        <w:rPr>
          <w:szCs w:val="21"/>
        </w:rPr>
      </w:pPr>
      <w:r>
        <w:rPr>
          <w:rFonts w:hint="eastAsia"/>
          <w:szCs w:val="21"/>
        </w:rPr>
        <w:t>5. 材料和工程设备</w:t>
      </w:r>
    </w:p>
    <w:p>
      <w:pPr>
        <w:spacing w:line="400" w:lineRule="exact"/>
        <w:ind w:firstLine="480" w:firstLineChars="200"/>
        <w:rPr>
          <w:szCs w:val="21"/>
        </w:rPr>
      </w:pPr>
      <w:r>
        <w:rPr>
          <w:rFonts w:hint="eastAsia"/>
          <w:szCs w:val="21"/>
        </w:rPr>
        <w:t>5.1 承包人提供的材料和工程设备</w:t>
      </w:r>
    </w:p>
    <w:p>
      <w:pPr>
        <w:spacing w:line="400" w:lineRule="exact"/>
        <w:ind w:firstLine="480" w:firstLineChars="200"/>
        <w:rPr>
          <w:szCs w:val="21"/>
        </w:rPr>
      </w:pPr>
      <w:r>
        <w:rPr>
          <w:rFonts w:hint="eastAsia"/>
          <w:szCs w:val="21"/>
        </w:rPr>
        <w:t>5.1.1 除专用合同条款另有约定外，承包人提供的材料和工程设备均由承包人负责采购、运输和保管。承包人应对其采购的材料和工程设备负责。</w:t>
      </w:r>
    </w:p>
    <w:p>
      <w:pPr>
        <w:spacing w:line="400" w:lineRule="exact"/>
        <w:ind w:firstLine="480" w:firstLineChars="200"/>
        <w:rPr>
          <w:szCs w:val="21"/>
        </w:rPr>
      </w:pPr>
      <w:r>
        <w:rPr>
          <w:rFonts w:hint="eastAsia"/>
          <w:szCs w:val="21"/>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pacing w:line="400" w:lineRule="exact"/>
        <w:ind w:firstLine="480" w:firstLineChars="200"/>
        <w:rPr>
          <w:szCs w:val="21"/>
        </w:rPr>
      </w:pPr>
      <w:r>
        <w:rPr>
          <w:rFonts w:hint="eastAsia"/>
          <w:szCs w:val="21"/>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spacing w:line="400" w:lineRule="exact"/>
        <w:ind w:firstLine="480" w:firstLineChars="200"/>
        <w:rPr>
          <w:szCs w:val="21"/>
        </w:rPr>
      </w:pPr>
      <w:r>
        <w:rPr>
          <w:rFonts w:hint="eastAsia"/>
          <w:szCs w:val="21"/>
        </w:rPr>
        <w:t>5.2 发包人提供的材料和工程设备</w:t>
      </w:r>
    </w:p>
    <w:p>
      <w:pPr>
        <w:spacing w:line="400" w:lineRule="exact"/>
        <w:ind w:firstLine="480" w:firstLineChars="200"/>
        <w:rPr>
          <w:szCs w:val="21"/>
        </w:rPr>
      </w:pPr>
      <w:r>
        <w:rPr>
          <w:rFonts w:hint="eastAsia"/>
          <w:szCs w:val="21"/>
        </w:rPr>
        <w:t>5.2.1 发包人提供的材料和工程设备，应在专用合同条款中写明材料和工程设备的名称、规格、数量、价格、交货方式、交货地点和计划交货日期等。</w:t>
      </w:r>
    </w:p>
    <w:p>
      <w:pPr>
        <w:spacing w:line="400" w:lineRule="exact"/>
        <w:ind w:firstLine="480" w:firstLineChars="200"/>
        <w:rPr>
          <w:szCs w:val="21"/>
        </w:rPr>
      </w:pPr>
      <w:r>
        <w:rPr>
          <w:rFonts w:hint="eastAsia"/>
          <w:szCs w:val="21"/>
        </w:rPr>
        <w:t>5.2.2 承包人应根据合同进度计划的安排，向监理人报送要求发包人交货的日期计划。发包人应按照监理人与合同双方当事人商定的交货日期，向承包人提交材料和工程设备。</w:t>
      </w:r>
    </w:p>
    <w:p>
      <w:pPr>
        <w:spacing w:line="400" w:lineRule="exact"/>
        <w:ind w:firstLine="480" w:firstLineChars="200"/>
        <w:rPr>
          <w:szCs w:val="21"/>
        </w:rPr>
      </w:pPr>
      <w:r>
        <w:rPr>
          <w:rFonts w:hint="eastAsia"/>
          <w:szCs w:val="21"/>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pPr>
        <w:spacing w:line="400" w:lineRule="exact"/>
        <w:ind w:firstLine="480" w:firstLineChars="200"/>
        <w:rPr>
          <w:szCs w:val="21"/>
        </w:rPr>
      </w:pPr>
      <w:r>
        <w:rPr>
          <w:rFonts w:hint="eastAsia"/>
          <w:szCs w:val="21"/>
        </w:rPr>
        <w:t xml:space="preserve">5.2.4 发包人要求向承包人提前交货的，承包人不得拒绝，但发包人应承担承包人由此增加的费用。 </w:t>
      </w:r>
    </w:p>
    <w:p>
      <w:pPr>
        <w:spacing w:line="400" w:lineRule="exact"/>
        <w:ind w:firstLine="480" w:firstLineChars="200"/>
        <w:rPr>
          <w:szCs w:val="21"/>
        </w:rPr>
      </w:pPr>
      <w:r>
        <w:rPr>
          <w:rFonts w:hint="eastAsia"/>
          <w:szCs w:val="21"/>
        </w:rPr>
        <w:t xml:space="preserve">5.2.5 承包人要求更改交货日期或地点的，应事先报请监理人批准。由于承包人要求更改交货时间或地点所增加的费用和（或）工期延误由承包人承担。 </w:t>
      </w:r>
    </w:p>
    <w:p>
      <w:pPr>
        <w:spacing w:line="400" w:lineRule="exact"/>
        <w:ind w:firstLine="480" w:firstLineChars="200"/>
        <w:rPr>
          <w:szCs w:val="21"/>
        </w:rPr>
      </w:pPr>
      <w:r>
        <w:rPr>
          <w:rFonts w:hint="eastAsia"/>
          <w:szCs w:val="21"/>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spacing w:line="400" w:lineRule="exact"/>
        <w:ind w:firstLine="480" w:firstLineChars="200"/>
        <w:rPr>
          <w:szCs w:val="21"/>
        </w:rPr>
      </w:pPr>
      <w:r>
        <w:rPr>
          <w:rFonts w:hint="eastAsia"/>
          <w:szCs w:val="21"/>
        </w:rPr>
        <w:t>5.3 材料和工程设备专用于合同工程</w:t>
      </w:r>
    </w:p>
    <w:p>
      <w:pPr>
        <w:spacing w:line="400" w:lineRule="exact"/>
        <w:ind w:firstLine="480" w:firstLineChars="200"/>
        <w:rPr>
          <w:szCs w:val="21"/>
        </w:rPr>
      </w:pPr>
      <w:r>
        <w:rPr>
          <w:rFonts w:hint="eastAsia"/>
          <w:szCs w:val="21"/>
        </w:rPr>
        <w:t>5.3.1运入施工场地的材料、工程设备，包括备品备件、安装专用工器具与随机资料，必须专用于合同工程，未经监理人同意，承包人不得运出施工场地或挪作他用。</w:t>
      </w:r>
    </w:p>
    <w:p>
      <w:pPr>
        <w:spacing w:line="400" w:lineRule="exact"/>
        <w:ind w:firstLine="480" w:firstLineChars="200"/>
        <w:rPr>
          <w:szCs w:val="21"/>
        </w:rPr>
      </w:pPr>
      <w:r>
        <w:rPr>
          <w:rFonts w:hint="eastAsia"/>
          <w:szCs w:val="21"/>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spacing w:line="400" w:lineRule="exact"/>
        <w:ind w:firstLine="480" w:firstLineChars="200"/>
        <w:rPr>
          <w:szCs w:val="21"/>
        </w:rPr>
      </w:pPr>
      <w:r>
        <w:rPr>
          <w:rFonts w:hint="eastAsia"/>
          <w:szCs w:val="21"/>
        </w:rPr>
        <w:t>5.4 禁止使用不合格的材料和工程设备</w:t>
      </w:r>
    </w:p>
    <w:p>
      <w:pPr>
        <w:spacing w:line="400" w:lineRule="exact"/>
        <w:ind w:firstLine="480" w:firstLineChars="200"/>
        <w:rPr>
          <w:szCs w:val="21"/>
        </w:rPr>
      </w:pPr>
      <w:r>
        <w:rPr>
          <w:rFonts w:hint="eastAsia"/>
          <w:szCs w:val="21"/>
        </w:rPr>
        <w:t>5.4.1 监理人有权拒绝承包人提供的不合格材料或工程设备，并要求承包人立即进行更换。监理人应在更换后再次进行检查和检验，由此增加的费用和（或）工期延误由承包人承担。</w:t>
      </w:r>
    </w:p>
    <w:p>
      <w:pPr>
        <w:spacing w:line="400" w:lineRule="exact"/>
        <w:ind w:firstLine="480" w:firstLineChars="200"/>
        <w:rPr>
          <w:szCs w:val="21"/>
        </w:rPr>
      </w:pPr>
      <w:r>
        <w:rPr>
          <w:rFonts w:hint="eastAsia"/>
          <w:szCs w:val="21"/>
        </w:rPr>
        <w:t>5.4.2 监理人发现承包人使用了不合格的材料和工程设备，应即时发出指示要求承包人立即改正，并禁止在工程中继续使用不合格的材料和工程设备。</w:t>
      </w:r>
    </w:p>
    <w:p>
      <w:pPr>
        <w:spacing w:line="400" w:lineRule="exact"/>
        <w:ind w:firstLine="480" w:firstLineChars="200"/>
        <w:rPr>
          <w:szCs w:val="21"/>
        </w:rPr>
      </w:pPr>
      <w:r>
        <w:rPr>
          <w:rFonts w:hint="eastAsia"/>
          <w:szCs w:val="21"/>
        </w:rPr>
        <w:t>5.4.3 发包人提供的材料或工程设备不符合合同要求的，承包人有权拒绝，并可要求发包人更换，由此增加的费用和（或）工期延误由发包人承担。</w:t>
      </w:r>
    </w:p>
    <w:p>
      <w:pPr>
        <w:spacing w:line="400" w:lineRule="exact"/>
        <w:ind w:firstLine="480" w:firstLineChars="200"/>
        <w:rPr>
          <w:szCs w:val="21"/>
        </w:rPr>
      </w:pPr>
      <w:r>
        <w:rPr>
          <w:rFonts w:hint="eastAsia"/>
          <w:szCs w:val="21"/>
        </w:rPr>
        <w:t>6. 施工设备和临时设施</w:t>
      </w:r>
    </w:p>
    <w:p>
      <w:pPr>
        <w:spacing w:line="400" w:lineRule="exact"/>
        <w:ind w:firstLine="480" w:firstLineChars="200"/>
        <w:rPr>
          <w:szCs w:val="21"/>
        </w:rPr>
      </w:pPr>
      <w:r>
        <w:rPr>
          <w:rFonts w:hint="eastAsia"/>
          <w:szCs w:val="21"/>
        </w:rPr>
        <w:t>6.1 承包人提供的施工设备和临时设施</w:t>
      </w:r>
    </w:p>
    <w:p>
      <w:pPr>
        <w:spacing w:line="400" w:lineRule="exact"/>
        <w:ind w:firstLine="480" w:firstLineChars="200"/>
        <w:rPr>
          <w:szCs w:val="21"/>
        </w:rPr>
      </w:pPr>
      <w:r>
        <w:rPr>
          <w:rFonts w:hint="eastAsia"/>
          <w:szCs w:val="21"/>
        </w:rPr>
        <w:t>6.1.1 承包人应按合同进度计划的要求，及时配置施工设备和修建临时设施。进入施工场地的承包人设备需经监理人核查后才能投入使用。承包人更换合同约定的承包人设备的，应报监理人批准。</w:t>
      </w:r>
    </w:p>
    <w:p>
      <w:pPr>
        <w:spacing w:line="400" w:lineRule="exact"/>
        <w:ind w:firstLine="480" w:firstLineChars="200"/>
        <w:rPr>
          <w:szCs w:val="21"/>
        </w:rPr>
      </w:pPr>
      <w:r>
        <w:rPr>
          <w:rFonts w:hint="eastAsia"/>
          <w:szCs w:val="21"/>
        </w:rPr>
        <w:t>6.1.2除专用合同条款另有约定外，承包人应自行承担修建临时设施的费用，需要临时占地的，应由发包人办理申请手续并承担相应费用。</w:t>
      </w:r>
    </w:p>
    <w:p>
      <w:pPr>
        <w:spacing w:line="400" w:lineRule="exact"/>
        <w:ind w:firstLine="480" w:firstLineChars="200"/>
        <w:rPr>
          <w:szCs w:val="21"/>
        </w:rPr>
      </w:pPr>
      <w:r>
        <w:rPr>
          <w:rFonts w:hint="eastAsia"/>
          <w:szCs w:val="21"/>
        </w:rPr>
        <w:t>6.2 发包人提供的施工设备和临时设施</w:t>
      </w:r>
    </w:p>
    <w:p>
      <w:pPr>
        <w:spacing w:line="400" w:lineRule="exact"/>
        <w:ind w:firstLine="480" w:firstLineChars="200"/>
        <w:rPr>
          <w:szCs w:val="21"/>
        </w:rPr>
      </w:pPr>
      <w:r>
        <w:rPr>
          <w:rFonts w:hint="eastAsia"/>
          <w:szCs w:val="21"/>
        </w:rPr>
        <w:t>发包人提供的施工设备或临时设施在专用合同条款中约定。</w:t>
      </w:r>
    </w:p>
    <w:p>
      <w:pPr>
        <w:spacing w:line="400" w:lineRule="exact"/>
        <w:ind w:firstLine="480" w:firstLineChars="200"/>
        <w:rPr>
          <w:szCs w:val="21"/>
        </w:rPr>
      </w:pPr>
      <w:r>
        <w:rPr>
          <w:rFonts w:hint="eastAsia"/>
          <w:szCs w:val="21"/>
        </w:rPr>
        <w:t>6.3 要求承包人增加或更换施工设备</w:t>
      </w:r>
    </w:p>
    <w:p>
      <w:pPr>
        <w:spacing w:line="400" w:lineRule="exact"/>
        <w:ind w:firstLine="480" w:firstLineChars="200"/>
        <w:rPr>
          <w:szCs w:val="21"/>
        </w:rPr>
      </w:pPr>
      <w:r>
        <w:rPr>
          <w:rFonts w:hint="eastAsia"/>
          <w:szCs w:val="21"/>
        </w:rPr>
        <w:t>承包人使用的施工设备不能满足合同进度计划和（或）质量要求时，监理人有权要求承包人增加或更换施工设备，承包人应及时增加或更换，由此增加的费用和（或）工期延误由承包人承担。</w:t>
      </w:r>
    </w:p>
    <w:p>
      <w:pPr>
        <w:spacing w:line="400" w:lineRule="exact"/>
        <w:ind w:firstLine="480" w:firstLineChars="200"/>
        <w:rPr>
          <w:szCs w:val="21"/>
        </w:rPr>
      </w:pPr>
      <w:r>
        <w:rPr>
          <w:rFonts w:hint="eastAsia"/>
          <w:szCs w:val="21"/>
        </w:rPr>
        <w:t>6.4 施工设备和临时设施专用于合同工程</w:t>
      </w:r>
    </w:p>
    <w:p>
      <w:pPr>
        <w:spacing w:line="400" w:lineRule="exact"/>
        <w:ind w:firstLine="480" w:firstLineChars="200"/>
        <w:rPr>
          <w:szCs w:val="21"/>
        </w:rPr>
      </w:pPr>
      <w:r>
        <w:rPr>
          <w:rFonts w:hint="eastAsia"/>
          <w:szCs w:val="21"/>
        </w:rPr>
        <w:t>6.4.1除合同另有约定外，运入施工场地的所有施工设备以及在施工场地建设的临时设施应专用于合同工程。未经监理人同意，不得将上述施工设备和临时设施中的任何部分运出施工场地或挪作他用。</w:t>
      </w:r>
    </w:p>
    <w:p>
      <w:pPr>
        <w:spacing w:line="400" w:lineRule="exact"/>
        <w:ind w:firstLine="480" w:firstLineChars="200"/>
        <w:rPr>
          <w:szCs w:val="21"/>
        </w:rPr>
      </w:pPr>
      <w:r>
        <w:rPr>
          <w:rFonts w:hint="eastAsia"/>
          <w:szCs w:val="21"/>
        </w:rPr>
        <w:t>6.4.2 经监理人同意，承包人可根据合同进度计划撤走闲置的施工设备。</w:t>
      </w:r>
    </w:p>
    <w:p>
      <w:pPr>
        <w:spacing w:line="400" w:lineRule="exact"/>
        <w:ind w:firstLine="480" w:firstLineChars="200"/>
        <w:rPr>
          <w:szCs w:val="21"/>
        </w:rPr>
      </w:pPr>
      <w:r>
        <w:rPr>
          <w:rFonts w:hint="eastAsia"/>
          <w:szCs w:val="21"/>
        </w:rPr>
        <w:t>7. 交通运输</w:t>
      </w:r>
    </w:p>
    <w:p>
      <w:pPr>
        <w:spacing w:line="400" w:lineRule="exact"/>
        <w:ind w:firstLine="480" w:firstLineChars="200"/>
        <w:rPr>
          <w:szCs w:val="21"/>
        </w:rPr>
      </w:pPr>
      <w:r>
        <w:rPr>
          <w:rFonts w:hint="eastAsia"/>
          <w:szCs w:val="21"/>
        </w:rPr>
        <w:t>7.1 道路通行权和场外设施</w:t>
      </w:r>
    </w:p>
    <w:p>
      <w:pPr>
        <w:spacing w:line="400" w:lineRule="exact"/>
        <w:ind w:firstLine="480" w:firstLineChars="200"/>
        <w:rPr>
          <w:szCs w:val="21"/>
        </w:rPr>
      </w:pPr>
      <w:r>
        <w:rPr>
          <w:rFonts w:hint="eastAsia"/>
          <w:szCs w:val="21"/>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spacing w:line="400" w:lineRule="exact"/>
        <w:ind w:firstLine="480" w:firstLineChars="200"/>
        <w:rPr>
          <w:szCs w:val="21"/>
        </w:rPr>
      </w:pPr>
      <w:r>
        <w:rPr>
          <w:rFonts w:hint="eastAsia"/>
          <w:szCs w:val="21"/>
        </w:rPr>
        <w:t>7.2 场内施工道路</w:t>
      </w:r>
    </w:p>
    <w:p>
      <w:pPr>
        <w:spacing w:line="400" w:lineRule="exact"/>
        <w:ind w:firstLine="480" w:firstLineChars="200"/>
        <w:rPr>
          <w:szCs w:val="21"/>
        </w:rPr>
      </w:pPr>
      <w:r>
        <w:rPr>
          <w:rFonts w:hint="eastAsia"/>
          <w:szCs w:val="21"/>
        </w:rPr>
        <w:t>7.2.1 除专用合同条款另有约定外，承包人应负责修建、维修、养护和管理施工所需的临时道路和交通设施，包括维修、养护和管理发包人提供的道路和交通设施，并承担相应费用。</w:t>
      </w:r>
    </w:p>
    <w:p>
      <w:pPr>
        <w:spacing w:line="400" w:lineRule="exact"/>
        <w:ind w:firstLine="480" w:firstLineChars="200"/>
        <w:rPr>
          <w:szCs w:val="21"/>
        </w:rPr>
      </w:pPr>
      <w:r>
        <w:rPr>
          <w:rFonts w:hint="eastAsia"/>
          <w:szCs w:val="21"/>
        </w:rPr>
        <w:t>7.2.2 除专用合同条款另有约定外，承包人修建的临时道路和交通设施应免费提供发包人和监理人使用。</w:t>
      </w:r>
    </w:p>
    <w:p>
      <w:pPr>
        <w:spacing w:line="400" w:lineRule="exact"/>
        <w:ind w:firstLine="480" w:firstLineChars="200"/>
        <w:rPr>
          <w:szCs w:val="21"/>
        </w:rPr>
      </w:pPr>
      <w:r>
        <w:rPr>
          <w:rFonts w:hint="eastAsia"/>
          <w:szCs w:val="21"/>
        </w:rPr>
        <w:t>7.3 场外交通</w:t>
      </w:r>
    </w:p>
    <w:p>
      <w:pPr>
        <w:spacing w:line="400" w:lineRule="exact"/>
        <w:ind w:firstLine="480" w:firstLineChars="200"/>
        <w:rPr>
          <w:szCs w:val="21"/>
        </w:rPr>
      </w:pPr>
      <w:r>
        <w:rPr>
          <w:rFonts w:hint="eastAsia"/>
          <w:szCs w:val="21"/>
        </w:rPr>
        <w:t>7.3.1 承包人车辆外出行驶所需的场外公共道路的通行费、养路费和税款等由承包人承担。</w:t>
      </w:r>
    </w:p>
    <w:p>
      <w:pPr>
        <w:spacing w:line="400" w:lineRule="exact"/>
        <w:ind w:firstLine="480" w:firstLineChars="200"/>
        <w:rPr>
          <w:szCs w:val="21"/>
        </w:rPr>
      </w:pPr>
      <w:r>
        <w:rPr>
          <w:rFonts w:hint="eastAsia"/>
          <w:szCs w:val="21"/>
        </w:rPr>
        <w:t>7.3.2 承包人应遵守有关交通法规，严格按照道路和桥梁的限制荷重安全行驶，并服从交通管理部门的检查和监督。</w:t>
      </w:r>
    </w:p>
    <w:p>
      <w:pPr>
        <w:spacing w:line="400" w:lineRule="exact"/>
        <w:ind w:firstLine="480" w:firstLineChars="200"/>
        <w:rPr>
          <w:szCs w:val="21"/>
        </w:rPr>
      </w:pPr>
      <w:r>
        <w:rPr>
          <w:rFonts w:hint="eastAsia"/>
          <w:szCs w:val="21"/>
        </w:rPr>
        <w:t>7.4 超大件和超重件的运输</w:t>
      </w:r>
    </w:p>
    <w:p>
      <w:pPr>
        <w:spacing w:line="400" w:lineRule="exact"/>
        <w:ind w:firstLine="480" w:firstLineChars="200"/>
        <w:rPr>
          <w:szCs w:val="21"/>
        </w:rPr>
      </w:pPr>
      <w:r>
        <w:rPr>
          <w:rFonts w:hint="eastAsia"/>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400" w:lineRule="exact"/>
        <w:ind w:firstLine="480" w:firstLineChars="200"/>
        <w:rPr>
          <w:szCs w:val="21"/>
        </w:rPr>
      </w:pPr>
      <w:r>
        <w:rPr>
          <w:rFonts w:hint="eastAsia"/>
          <w:szCs w:val="21"/>
        </w:rPr>
        <w:t>7.5 道路和桥梁的损坏责任</w:t>
      </w:r>
    </w:p>
    <w:p>
      <w:pPr>
        <w:spacing w:line="400" w:lineRule="exact"/>
        <w:ind w:firstLine="480" w:firstLineChars="200"/>
        <w:rPr>
          <w:szCs w:val="21"/>
        </w:rPr>
      </w:pPr>
      <w:r>
        <w:rPr>
          <w:rFonts w:hint="eastAsia"/>
          <w:szCs w:val="21"/>
        </w:rPr>
        <w:t>因承包人运输造成施工场地内外公共道路和桥梁损坏的，由承包人承担修复损坏的全部费用和可能引起的赔偿。</w:t>
      </w:r>
    </w:p>
    <w:p>
      <w:pPr>
        <w:spacing w:line="400" w:lineRule="exact"/>
        <w:ind w:firstLine="480" w:firstLineChars="200"/>
        <w:rPr>
          <w:szCs w:val="21"/>
        </w:rPr>
      </w:pPr>
      <w:r>
        <w:rPr>
          <w:rFonts w:hint="eastAsia"/>
          <w:szCs w:val="21"/>
        </w:rPr>
        <w:t>7.6 水路和航空运输</w:t>
      </w:r>
    </w:p>
    <w:p>
      <w:pPr>
        <w:spacing w:line="400" w:lineRule="exact"/>
        <w:ind w:firstLine="480" w:firstLineChars="200"/>
        <w:rPr>
          <w:szCs w:val="21"/>
        </w:rPr>
      </w:pPr>
      <w:r>
        <w:rPr>
          <w:rFonts w:hint="eastAsia"/>
          <w:szCs w:val="21"/>
        </w:rPr>
        <w:t xml:space="preserve">本条上述各款的内容适用于水路运输和航空运输，其中“道路”一词的涵义包括河道、航线、船闸、机场、码头、堤防以及水路或航空运输中其他相似结构物；“车辆”一词的涵义包括船舶和飞机等。 </w:t>
      </w:r>
    </w:p>
    <w:p>
      <w:pPr>
        <w:spacing w:line="400" w:lineRule="exact"/>
        <w:ind w:firstLine="480" w:firstLineChars="200"/>
        <w:rPr>
          <w:szCs w:val="21"/>
        </w:rPr>
      </w:pPr>
      <w:r>
        <w:rPr>
          <w:rFonts w:hint="eastAsia"/>
          <w:szCs w:val="21"/>
        </w:rPr>
        <w:t>8. 测量放线</w:t>
      </w:r>
    </w:p>
    <w:p>
      <w:pPr>
        <w:spacing w:line="400" w:lineRule="exact"/>
        <w:ind w:firstLine="480" w:firstLineChars="200"/>
        <w:rPr>
          <w:szCs w:val="21"/>
        </w:rPr>
      </w:pPr>
      <w:r>
        <w:rPr>
          <w:rFonts w:hint="eastAsia"/>
          <w:szCs w:val="21"/>
        </w:rPr>
        <w:t>8.1 施工控制网</w:t>
      </w:r>
    </w:p>
    <w:p>
      <w:pPr>
        <w:spacing w:line="400" w:lineRule="exact"/>
        <w:ind w:firstLine="480" w:firstLineChars="200"/>
        <w:rPr>
          <w:szCs w:val="21"/>
        </w:rPr>
      </w:pPr>
      <w:r>
        <w:rPr>
          <w:rFonts w:hint="eastAsia"/>
          <w:szCs w:val="21"/>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spacing w:line="400" w:lineRule="exact"/>
        <w:ind w:firstLine="480" w:firstLineChars="200"/>
        <w:rPr>
          <w:szCs w:val="21"/>
        </w:rPr>
      </w:pPr>
      <w:r>
        <w:rPr>
          <w:rFonts w:hint="eastAsia"/>
          <w:szCs w:val="21"/>
        </w:rPr>
        <w:t>8.1.2承包人应负责管理施工控制网点。施工控制网点丢失或损坏的，承包人应及时修复。承包人应承担施工控制网点的管理与修复费用，并在工程竣工后将施工控制网点移交发包人。</w:t>
      </w:r>
    </w:p>
    <w:p>
      <w:pPr>
        <w:spacing w:line="400" w:lineRule="exact"/>
        <w:ind w:firstLine="480" w:firstLineChars="200"/>
        <w:rPr>
          <w:szCs w:val="21"/>
        </w:rPr>
      </w:pPr>
      <w:r>
        <w:rPr>
          <w:rFonts w:hint="eastAsia"/>
          <w:szCs w:val="21"/>
        </w:rPr>
        <w:t>8.2 施工测量</w:t>
      </w:r>
    </w:p>
    <w:p>
      <w:pPr>
        <w:spacing w:line="400" w:lineRule="exact"/>
        <w:ind w:firstLine="480" w:firstLineChars="200"/>
        <w:rPr>
          <w:szCs w:val="21"/>
        </w:rPr>
      </w:pPr>
      <w:r>
        <w:rPr>
          <w:rFonts w:hint="eastAsia"/>
          <w:szCs w:val="21"/>
        </w:rPr>
        <w:t>8.2.1承包人应负责施工过程中的全部施工测量放线工作，并配置合格的人员、仪器、设备和其他物品。</w:t>
      </w:r>
    </w:p>
    <w:p>
      <w:pPr>
        <w:spacing w:line="400" w:lineRule="exact"/>
        <w:ind w:firstLine="480" w:firstLineChars="200"/>
        <w:rPr>
          <w:szCs w:val="21"/>
        </w:rPr>
      </w:pPr>
      <w:r>
        <w:rPr>
          <w:rFonts w:hint="eastAsia"/>
          <w:szCs w:val="21"/>
        </w:rPr>
        <w:t>8.2.2监理人可以指示承包人进行抽样复测，当复测中发现错误或出现超过合同约定的误差时，承包人应按监理人指示进行修正或补测，并承担相应的复测费用。</w:t>
      </w:r>
    </w:p>
    <w:p>
      <w:pPr>
        <w:spacing w:line="400" w:lineRule="exact"/>
        <w:ind w:firstLine="480" w:firstLineChars="200"/>
        <w:rPr>
          <w:szCs w:val="21"/>
        </w:rPr>
      </w:pPr>
      <w:r>
        <w:rPr>
          <w:rFonts w:hint="eastAsia"/>
          <w:szCs w:val="21"/>
        </w:rPr>
        <w:t>8.3 基准资料错误的责任</w:t>
      </w:r>
    </w:p>
    <w:p>
      <w:pPr>
        <w:spacing w:line="400" w:lineRule="exact"/>
        <w:ind w:firstLine="480" w:firstLineChars="200"/>
        <w:rPr>
          <w:szCs w:val="21"/>
        </w:rPr>
      </w:pPr>
      <w:r>
        <w:rPr>
          <w:rFonts w:hint="eastAsia"/>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spacing w:line="400" w:lineRule="exact"/>
        <w:ind w:firstLine="480" w:firstLineChars="200"/>
        <w:rPr>
          <w:szCs w:val="21"/>
        </w:rPr>
      </w:pPr>
      <w:r>
        <w:rPr>
          <w:rFonts w:hint="eastAsia"/>
          <w:szCs w:val="21"/>
        </w:rPr>
        <w:t>8.4 监理人使用施工控制网</w:t>
      </w:r>
    </w:p>
    <w:p>
      <w:pPr>
        <w:spacing w:line="400" w:lineRule="exact"/>
        <w:ind w:firstLine="480" w:firstLineChars="200"/>
        <w:rPr>
          <w:szCs w:val="21"/>
        </w:rPr>
      </w:pPr>
      <w:r>
        <w:rPr>
          <w:rFonts w:hint="eastAsia"/>
          <w:szCs w:val="21"/>
        </w:rPr>
        <w:t>监理人需要使用施工控制网的，承包人应提供必要的协助，发包人不再为此支付费用。</w:t>
      </w:r>
    </w:p>
    <w:p>
      <w:pPr>
        <w:spacing w:line="400" w:lineRule="exact"/>
        <w:ind w:firstLine="480" w:firstLineChars="200"/>
        <w:rPr>
          <w:szCs w:val="21"/>
        </w:rPr>
      </w:pPr>
      <w:r>
        <w:rPr>
          <w:rFonts w:hint="eastAsia"/>
          <w:szCs w:val="21"/>
        </w:rPr>
        <w:t>9. 施工安全、治安保卫和环境保护</w:t>
      </w:r>
    </w:p>
    <w:p>
      <w:pPr>
        <w:spacing w:line="400" w:lineRule="exact"/>
        <w:ind w:firstLine="480" w:firstLineChars="200"/>
        <w:rPr>
          <w:szCs w:val="21"/>
        </w:rPr>
      </w:pPr>
      <w:r>
        <w:rPr>
          <w:rFonts w:hint="eastAsia"/>
          <w:szCs w:val="21"/>
        </w:rPr>
        <w:t>9.1 发包人的施工安全责任</w:t>
      </w:r>
    </w:p>
    <w:p>
      <w:pPr>
        <w:spacing w:line="400" w:lineRule="exact"/>
        <w:ind w:firstLine="480" w:firstLineChars="200"/>
        <w:rPr>
          <w:szCs w:val="21"/>
        </w:rPr>
      </w:pPr>
      <w:r>
        <w:rPr>
          <w:rFonts w:hint="eastAsia"/>
          <w:szCs w:val="21"/>
        </w:rPr>
        <w:t>9.1.1 发包人应按合同约定履行安全职责，授权监理人按合同约定的安全工作内容监督、检查承包人安全工作的实施，组织承包人和有关单位进行安全检查。</w:t>
      </w:r>
    </w:p>
    <w:p>
      <w:pPr>
        <w:spacing w:line="400" w:lineRule="exact"/>
        <w:ind w:firstLine="480" w:firstLineChars="200"/>
        <w:rPr>
          <w:szCs w:val="21"/>
        </w:rPr>
      </w:pPr>
      <w:r>
        <w:rPr>
          <w:rFonts w:hint="eastAsia"/>
          <w:szCs w:val="21"/>
        </w:rPr>
        <w:t>9.1.2 发包人应对其现场机构雇佣的全部人员的工伤事故承担责任，但由于承包人原因造成发包人人员工伤的，应由承包人承担责任。</w:t>
      </w:r>
    </w:p>
    <w:p>
      <w:pPr>
        <w:spacing w:line="400" w:lineRule="exact"/>
        <w:ind w:firstLine="480" w:firstLineChars="200"/>
        <w:rPr>
          <w:szCs w:val="21"/>
        </w:rPr>
      </w:pPr>
      <w:r>
        <w:rPr>
          <w:rFonts w:hint="eastAsia"/>
          <w:szCs w:val="21"/>
        </w:rPr>
        <w:t>9.1.3 发包人应负责赔偿以下各种情况造成的第三者人身伤亡和财产损失：</w:t>
      </w:r>
    </w:p>
    <w:p>
      <w:pPr>
        <w:spacing w:line="400" w:lineRule="exact"/>
        <w:ind w:firstLine="480" w:firstLineChars="200"/>
        <w:rPr>
          <w:szCs w:val="21"/>
        </w:rPr>
      </w:pPr>
      <w:r>
        <w:rPr>
          <w:rFonts w:hint="eastAsia"/>
          <w:szCs w:val="21"/>
        </w:rPr>
        <w:t>（1） 工程或工程的任何部分对土地的占用所造成的第三者财产损失；</w:t>
      </w:r>
    </w:p>
    <w:p>
      <w:pPr>
        <w:spacing w:line="400" w:lineRule="exact"/>
        <w:ind w:firstLine="480" w:firstLineChars="200"/>
        <w:rPr>
          <w:szCs w:val="21"/>
        </w:rPr>
      </w:pPr>
      <w:r>
        <w:rPr>
          <w:rFonts w:hint="eastAsia"/>
          <w:szCs w:val="21"/>
        </w:rPr>
        <w:t>（2） 由于发包人原因在施工场地及其毗邻地带造成的第三者人身伤亡和财产损失。</w:t>
      </w:r>
    </w:p>
    <w:p>
      <w:pPr>
        <w:spacing w:line="400" w:lineRule="exact"/>
        <w:ind w:firstLine="480" w:firstLineChars="200"/>
        <w:rPr>
          <w:szCs w:val="21"/>
        </w:rPr>
      </w:pPr>
      <w:r>
        <w:rPr>
          <w:rFonts w:hint="eastAsia"/>
          <w:szCs w:val="21"/>
        </w:rPr>
        <w:t>9.2 承包人的施工安全责任</w:t>
      </w:r>
    </w:p>
    <w:p>
      <w:pPr>
        <w:spacing w:line="400" w:lineRule="exact"/>
        <w:ind w:firstLine="480" w:firstLineChars="200"/>
        <w:rPr>
          <w:szCs w:val="21"/>
        </w:rPr>
      </w:pPr>
      <w:r>
        <w:rPr>
          <w:rFonts w:hint="eastAsia"/>
          <w:szCs w:val="21"/>
        </w:rPr>
        <w:t>9.2.1 承包人应按合同约定履行安全职责,执行监理人有关安全工作的指示,并在专用合同条款约定的期限内，按合同约定的安全工作内容，编制施工安全措施计划报送监理人审批。</w:t>
      </w:r>
    </w:p>
    <w:p>
      <w:pPr>
        <w:spacing w:line="400" w:lineRule="exact"/>
        <w:ind w:firstLine="480" w:firstLineChars="200"/>
        <w:rPr>
          <w:szCs w:val="21"/>
        </w:rPr>
      </w:pPr>
      <w:r>
        <w:rPr>
          <w:rFonts w:hint="eastAsia"/>
          <w:szCs w:val="21"/>
        </w:rPr>
        <w:t>9.2.2 承包人应加强施工作业安全管理，特别应加强易燃、易爆材料、火工器材、有毒与腐蚀性材料和其他危险品的管理，以及对爆破作业和地下工程施工等危险作业的管理。</w:t>
      </w:r>
    </w:p>
    <w:p>
      <w:pPr>
        <w:spacing w:line="400" w:lineRule="exact"/>
        <w:ind w:firstLine="480" w:firstLineChars="200"/>
        <w:rPr>
          <w:szCs w:val="21"/>
        </w:rPr>
      </w:pPr>
      <w:r>
        <w:rPr>
          <w:rFonts w:hint="eastAsia"/>
          <w:szCs w:val="21"/>
        </w:rPr>
        <w:t>9.2.3 承包人应严格按照国家安全标准制定施工安全操作规程，配备必要的安全生产和劳动保护设施，加强对承包人人员的安全教育，并发放安全工作手册和劳动保护用具。</w:t>
      </w:r>
    </w:p>
    <w:p>
      <w:pPr>
        <w:spacing w:line="400" w:lineRule="exact"/>
        <w:ind w:firstLine="480" w:firstLineChars="200"/>
        <w:rPr>
          <w:szCs w:val="21"/>
        </w:rPr>
      </w:pPr>
      <w:r>
        <w:rPr>
          <w:rFonts w:hint="eastAsia"/>
          <w:szCs w:val="21"/>
        </w:rPr>
        <w:t>9.2.4 承包人应按监理人的指示制定应对灾害的紧急预案，报送监理人审批。承包人还应按预案做好安全检查，配置必要的救助物资和器材，切实保护好有关人员的人身和财产安全。</w:t>
      </w:r>
    </w:p>
    <w:p>
      <w:pPr>
        <w:spacing w:line="400" w:lineRule="exact"/>
        <w:ind w:firstLine="480" w:firstLineChars="200"/>
        <w:rPr>
          <w:szCs w:val="21"/>
        </w:rPr>
      </w:pPr>
      <w:r>
        <w:rPr>
          <w:rFonts w:hint="eastAsia"/>
          <w:szCs w:val="21"/>
        </w:rPr>
        <w:t>9.2.5 合同约定的安全作业环境及安全施工措施所需费用应遵守有关规定，并包括在相关工作的合同价格中。因采取合同未约定的安全作业环境及安全施工措施增加的费用，由监理人按第3.5款商定或确定。</w:t>
      </w:r>
    </w:p>
    <w:p>
      <w:pPr>
        <w:spacing w:line="400" w:lineRule="exact"/>
        <w:ind w:firstLine="480" w:firstLineChars="200"/>
        <w:rPr>
          <w:szCs w:val="21"/>
        </w:rPr>
      </w:pPr>
      <w:r>
        <w:rPr>
          <w:rFonts w:hint="eastAsia"/>
          <w:szCs w:val="21"/>
        </w:rPr>
        <w:t>9.2.6 承包人应对其履行合同所雇佣的全部人员，包括分包人人员的工伤事故承担责任，但由于发包人原因造成承包人人员工伤事故的，应由发包人承担责任。</w:t>
      </w:r>
    </w:p>
    <w:p>
      <w:pPr>
        <w:spacing w:line="400" w:lineRule="exact"/>
        <w:ind w:firstLine="480" w:firstLineChars="200"/>
        <w:rPr>
          <w:szCs w:val="21"/>
        </w:rPr>
      </w:pPr>
      <w:r>
        <w:rPr>
          <w:rFonts w:hint="eastAsia"/>
          <w:szCs w:val="21"/>
        </w:rPr>
        <w:t>9.2.7 由于承包人原因在施工场地内及其毗邻地带造成的第三者人员伤亡和财产损失，由承包人负责赔偿。</w:t>
      </w:r>
    </w:p>
    <w:p>
      <w:pPr>
        <w:spacing w:line="400" w:lineRule="exact"/>
        <w:ind w:firstLine="480" w:firstLineChars="200"/>
        <w:rPr>
          <w:szCs w:val="21"/>
        </w:rPr>
      </w:pPr>
      <w:r>
        <w:rPr>
          <w:rFonts w:hint="eastAsia"/>
          <w:szCs w:val="21"/>
        </w:rPr>
        <w:t>9.3 治安保卫</w:t>
      </w:r>
    </w:p>
    <w:p>
      <w:pPr>
        <w:spacing w:line="400" w:lineRule="exact"/>
        <w:ind w:firstLine="480" w:firstLineChars="200"/>
        <w:rPr>
          <w:szCs w:val="21"/>
        </w:rPr>
      </w:pPr>
      <w:r>
        <w:rPr>
          <w:rFonts w:hint="eastAsia"/>
          <w:szCs w:val="21"/>
        </w:rPr>
        <w:t>9.3.1 除合同另有约定外，发包人应与当地公安部门协商，在现场建立治安管理机构或联防组织，统一管理施工场地的治安保卫事项，履行合同工程的治安保卫职责。</w:t>
      </w:r>
    </w:p>
    <w:p>
      <w:pPr>
        <w:spacing w:line="400" w:lineRule="exact"/>
        <w:ind w:firstLine="480" w:firstLineChars="200"/>
        <w:rPr>
          <w:szCs w:val="21"/>
        </w:rPr>
      </w:pPr>
      <w:r>
        <w:rPr>
          <w:rFonts w:hint="eastAsia"/>
          <w:szCs w:val="21"/>
        </w:rPr>
        <w:t>9.3.2 发包人和承包人除应协助现场治安管理机构或联防组织维护施工场地的社会治安外，还应做好包括生活区在内的各自管辖区的治安保卫工作。</w:t>
      </w:r>
    </w:p>
    <w:p>
      <w:pPr>
        <w:spacing w:line="400" w:lineRule="exact"/>
        <w:ind w:firstLine="480" w:firstLineChars="200"/>
        <w:rPr>
          <w:szCs w:val="21"/>
        </w:rPr>
      </w:pPr>
      <w:r>
        <w:rPr>
          <w:rFonts w:hint="eastAsia"/>
          <w:szCs w:val="21"/>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spacing w:line="400" w:lineRule="exact"/>
        <w:ind w:firstLine="480" w:firstLineChars="200"/>
        <w:rPr>
          <w:szCs w:val="21"/>
        </w:rPr>
      </w:pPr>
      <w:r>
        <w:rPr>
          <w:rFonts w:hint="eastAsia"/>
          <w:szCs w:val="21"/>
        </w:rPr>
        <w:t>9.4 环境保护</w:t>
      </w:r>
    </w:p>
    <w:p>
      <w:pPr>
        <w:spacing w:line="400" w:lineRule="exact"/>
        <w:ind w:firstLine="480" w:firstLineChars="200"/>
        <w:rPr>
          <w:szCs w:val="21"/>
        </w:rPr>
      </w:pPr>
      <w:r>
        <w:rPr>
          <w:rFonts w:hint="eastAsia"/>
          <w:szCs w:val="21"/>
        </w:rPr>
        <w:t>9.4.1 承包人在施工过程中，应遵守有关环境保护的法律，履行合同约定的环境保护义务，并对违反法律和合同约定义务所造成的环境破坏、人身伤害和财产损失负责。</w:t>
      </w:r>
    </w:p>
    <w:p>
      <w:pPr>
        <w:spacing w:line="400" w:lineRule="exact"/>
        <w:ind w:firstLine="480" w:firstLineChars="200"/>
        <w:rPr>
          <w:szCs w:val="21"/>
        </w:rPr>
      </w:pPr>
      <w:r>
        <w:rPr>
          <w:rFonts w:hint="eastAsia"/>
          <w:szCs w:val="21"/>
        </w:rPr>
        <w:t>9.4.2 承包人应按合同约定的环保工作内容，编制施工环保措施计划，报送监理人审批。</w:t>
      </w:r>
    </w:p>
    <w:p>
      <w:pPr>
        <w:spacing w:line="400" w:lineRule="exact"/>
        <w:ind w:firstLine="480" w:firstLineChars="200"/>
        <w:rPr>
          <w:szCs w:val="21"/>
        </w:rPr>
      </w:pPr>
      <w:r>
        <w:rPr>
          <w:rFonts w:hint="eastAsia"/>
          <w:szCs w:val="21"/>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400" w:lineRule="exact"/>
        <w:ind w:firstLine="480" w:firstLineChars="200"/>
        <w:rPr>
          <w:szCs w:val="21"/>
        </w:rPr>
      </w:pPr>
      <w:r>
        <w:rPr>
          <w:rFonts w:hint="eastAsia"/>
          <w:szCs w:val="21"/>
        </w:rPr>
        <w:t>9.4.4 承包人应按合同约定采取有效措施，对施工开挖的边坡及时进行支护,维护排水设施，并进行水土保护，避免因施工造成的地质灾害。</w:t>
      </w:r>
    </w:p>
    <w:p>
      <w:pPr>
        <w:spacing w:line="400" w:lineRule="exact"/>
        <w:ind w:firstLine="480" w:firstLineChars="200"/>
        <w:rPr>
          <w:szCs w:val="21"/>
        </w:rPr>
      </w:pPr>
      <w:r>
        <w:rPr>
          <w:rFonts w:hint="eastAsia"/>
          <w:szCs w:val="21"/>
        </w:rPr>
        <w:t>9.4.5 承包人应按国家饮用水管理标准定期对饮用水源进行监测，防止施工活动污染饮用水源。</w:t>
      </w:r>
    </w:p>
    <w:p>
      <w:pPr>
        <w:spacing w:line="400" w:lineRule="exact"/>
        <w:ind w:firstLine="480" w:firstLineChars="200"/>
        <w:rPr>
          <w:szCs w:val="21"/>
        </w:rPr>
      </w:pPr>
      <w:r>
        <w:rPr>
          <w:rFonts w:hint="eastAsia"/>
          <w:szCs w:val="21"/>
        </w:rPr>
        <w:t>9.4.6 承包人应按合同约定，加强对噪声、粉尘、废气、废水和废油的控制，努力降低噪声，控制粉尘和废气浓度，做好废水和废油的治理和排放。</w:t>
      </w:r>
    </w:p>
    <w:p>
      <w:pPr>
        <w:spacing w:line="400" w:lineRule="exact"/>
        <w:ind w:firstLine="480" w:firstLineChars="200"/>
        <w:rPr>
          <w:szCs w:val="21"/>
        </w:rPr>
      </w:pPr>
      <w:r>
        <w:rPr>
          <w:rFonts w:hint="eastAsia"/>
          <w:szCs w:val="21"/>
        </w:rPr>
        <w:t>9.5 事故处理</w:t>
      </w:r>
    </w:p>
    <w:p>
      <w:pPr>
        <w:spacing w:line="400" w:lineRule="exact"/>
        <w:ind w:firstLine="480" w:firstLineChars="200"/>
        <w:rPr>
          <w:szCs w:val="21"/>
        </w:rPr>
      </w:pPr>
      <w:r>
        <w:rPr>
          <w:rFonts w:hint="eastAsia"/>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400" w:lineRule="exact"/>
        <w:ind w:firstLine="480" w:firstLineChars="200"/>
        <w:rPr>
          <w:szCs w:val="21"/>
        </w:rPr>
      </w:pPr>
      <w:r>
        <w:rPr>
          <w:rFonts w:hint="eastAsia"/>
          <w:szCs w:val="21"/>
        </w:rPr>
        <w:t>10. 进度计划</w:t>
      </w:r>
    </w:p>
    <w:p>
      <w:pPr>
        <w:spacing w:line="400" w:lineRule="exact"/>
        <w:ind w:firstLine="480" w:firstLineChars="200"/>
        <w:rPr>
          <w:szCs w:val="21"/>
        </w:rPr>
      </w:pPr>
      <w:r>
        <w:rPr>
          <w:rFonts w:hint="eastAsia"/>
          <w:szCs w:val="21"/>
        </w:rPr>
        <w:t>10.1 合同进度计划</w:t>
      </w:r>
    </w:p>
    <w:p>
      <w:pPr>
        <w:spacing w:line="400" w:lineRule="exact"/>
        <w:ind w:firstLine="480" w:firstLineChars="200"/>
        <w:rPr>
          <w:szCs w:val="21"/>
        </w:rPr>
      </w:pPr>
      <w:r>
        <w:rPr>
          <w:rFonts w:hint="eastAsia"/>
          <w:szCs w:val="21"/>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pPr>
        <w:spacing w:line="400" w:lineRule="exact"/>
        <w:ind w:firstLine="480" w:firstLineChars="200"/>
        <w:rPr>
          <w:szCs w:val="21"/>
        </w:rPr>
      </w:pPr>
      <w:r>
        <w:rPr>
          <w:rFonts w:hint="eastAsia"/>
          <w:szCs w:val="21"/>
        </w:rPr>
        <w:t>10.2 合同进度计划的修订</w:t>
      </w:r>
    </w:p>
    <w:p>
      <w:pPr>
        <w:spacing w:line="400" w:lineRule="exact"/>
        <w:ind w:firstLine="480" w:firstLineChars="200"/>
        <w:rPr>
          <w:szCs w:val="21"/>
        </w:rPr>
      </w:pPr>
      <w:r>
        <w:rPr>
          <w:rFonts w:hint="eastAsia"/>
          <w:szCs w:val="21"/>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spacing w:line="400" w:lineRule="exact"/>
        <w:ind w:firstLine="480" w:firstLineChars="200"/>
        <w:rPr>
          <w:szCs w:val="21"/>
        </w:rPr>
      </w:pPr>
      <w:r>
        <w:rPr>
          <w:rFonts w:hint="eastAsia"/>
          <w:szCs w:val="21"/>
        </w:rPr>
        <w:t>11. 开工和竣工</w:t>
      </w:r>
    </w:p>
    <w:p>
      <w:pPr>
        <w:spacing w:line="400" w:lineRule="exact"/>
        <w:ind w:firstLine="480" w:firstLineChars="200"/>
        <w:rPr>
          <w:szCs w:val="21"/>
        </w:rPr>
      </w:pPr>
      <w:r>
        <w:rPr>
          <w:rFonts w:hint="eastAsia"/>
          <w:szCs w:val="21"/>
        </w:rPr>
        <w:t>11.1 开工</w:t>
      </w:r>
    </w:p>
    <w:p>
      <w:pPr>
        <w:spacing w:line="400" w:lineRule="exact"/>
        <w:ind w:firstLine="480" w:firstLineChars="200"/>
        <w:rPr>
          <w:szCs w:val="21"/>
        </w:rPr>
      </w:pPr>
      <w:r>
        <w:rPr>
          <w:rFonts w:hint="eastAsia"/>
          <w:szCs w:val="21"/>
        </w:rPr>
        <w:t>11.1.1 监理人应在开工日期7天前向承包人发出开工通知。监理人在发出开工通知前应获得发包人同意。工期自监理人发出的开工通知中载明的开工日期起计算。承包人应在开工日期后尽快施工。</w:t>
      </w:r>
    </w:p>
    <w:p>
      <w:pPr>
        <w:spacing w:line="400" w:lineRule="exact"/>
        <w:ind w:firstLine="480" w:firstLineChars="200"/>
        <w:rPr>
          <w:szCs w:val="21"/>
        </w:rPr>
      </w:pPr>
      <w:r>
        <w:rPr>
          <w:rFonts w:hint="eastAsia"/>
          <w:szCs w:val="21"/>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spacing w:line="400" w:lineRule="exact"/>
        <w:ind w:firstLine="480" w:firstLineChars="200"/>
        <w:rPr>
          <w:szCs w:val="21"/>
        </w:rPr>
      </w:pPr>
      <w:r>
        <w:rPr>
          <w:rFonts w:hint="eastAsia"/>
          <w:szCs w:val="21"/>
        </w:rPr>
        <w:t>11.2 竣工</w:t>
      </w:r>
    </w:p>
    <w:p>
      <w:pPr>
        <w:spacing w:line="400" w:lineRule="exact"/>
        <w:ind w:firstLine="480" w:firstLineChars="200"/>
        <w:rPr>
          <w:szCs w:val="21"/>
        </w:rPr>
      </w:pPr>
      <w:r>
        <w:rPr>
          <w:rFonts w:hint="eastAsia"/>
          <w:szCs w:val="21"/>
        </w:rPr>
        <w:t>承包人应在第1.1.4.3目约定的期限内完成合同工程。实际竣工日期在接收证书中写明。</w:t>
      </w:r>
    </w:p>
    <w:p>
      <w:pPr>
        <w:spacing w:line="400" w:lineRule="exact"/>
        <w:ind w:firstLine="480" w:firstLineChars="200"/>
        <w:rPr>
          <w:szCs w:val="21"/>
        </w:rPr>
      </w:pPr>
      <w:r>
        <w:rPr>
          <w:rFonts w:hint="eastAsia"/>
          <w:szCs w:val="21"/>
        </w:rPr>
        <w:t>11.3 发包人的工期延误</w:t>
      </w:r>
    </w:p>
    <w:p>
      <w:pPr>
        <w:spacing w:line="400" w:lineRule="exact"/>
        <w:ind w:firstLine="480" w:firstLineChars="200"/>
        <w:rPr>
          <w:szCs w:val="21"/>
        </w:rPr>
      </w:pPr>
      <w:r>
        <w:rPr>
          <w:rFonts w:hint="eastAsia"/>
          <w:szCs w:val="21"/>
        </w:rPr>
        <w:t>在履行合同过程中，由于发包人的下列原因造成工期延误的，承包人有权要求发包人延长工期和（或）增加费用，并支付合理利润。需要修订合同进度计划的，按照第10.2款的约定办理。</w:t>
      </w:r>
    </w:p>
    <w:p>
      <w:pPr>
        <w:spacing w:line="400" w:lineRule="exact"/>
        <w:ind w:firstLine="480" w:firstLineChars="200"/>
        <w:rPr>
          <w:szCs w:val="21"/>
        </w:rPr>
      </w:pPr>
      <w:r>
        <w:rPr>
          <w:rFonts w:hint="eastAsia"/>
          <w:szCs w:val="21"/>
        </w:rPr>
        <w:t>（1）增加合同工作内容；</w:t>
      </w:r>
    </w:p>
    <w:p>
      <w:pPr>
        <w:spacing w:line="400" w:lineRule="exact"/>
        <w:ind w:firstLine="480" w:firstLineChars="200"/>
        <w:rPr>
          <w:szCs w:val="21"/>
        </w:rPr>
      </w:pPr>
      <w:r>
        <w:rPr>
          <w:rFonts w:hint="eastAsia"/>
          <w:szCs w:val="21"/>
        </w:rPr>
        <w:t>（2）改变合同中任何一项工作的质量要求或其他特性；</w:t>
      </w:r>
    </w:p>
    <w:p>
      <w:pPr>
        <w:spacing w:line="400" w:lineRule="exact"/>
        <w:ind w:firstLine="480" w:firstLineChars="200"/>
        <w:rPr>
          <w:szCs w:val="21"/>
        </w:rPr>
      </w:pPr>
      <w:r>
        <w:rPr>
          <w:rFonts w:hint="eastAsia"/>
          <w:szCs w:val="21"/>
        </w:rPr>
        <w:t>（3）发包人迟延提供材料、工程设备或变更交货地点的；</w:t>
      </w:r>
    </w:p>
    <w:p>
      <w:pPr>
        <w:spacing w:line="400" w:lineRule="exact"/>
        <w:ind w:firstLine="480" w:firstLineChars="200"/>
        <w:rPr>
          <w:szCs w:val="21"/>
        </w:rPr>
      </w:pPr>
      <w:r>
        <w:rPr>
          <w:rFonts w:hint="eastAsia"/>
          <w:szCs w:val="21"/>
        </w:rPr>
        <w:t>（4）因发包人原因导致的暂停施工；</w:t>
      </w:r>
    </w:p>
    <w:p>
      <w:pPr>
        <w:spacing w:line="400" w:lineRule="exact"/>
        <w:ind w:firstLine="480" w:firstLineChars="200"/>
        <w:rPr>
          <w:szCs w:val="21"/>
        </w:rPr>
      </w:pPr>
      <w:r>
        <w:rPr>
          <w:rFonts w:hint="eastAsia"/>
          <w:szCs w:val="21"/>
        </w:rPr>
        <w:t>（5）提供图纸延误；</w:t>
      </w:r>
    </w:p>
    <w:p>
      <w:pPr>
        <w:spacing w:line="400" w:lineRule="exact"/>
        <w:ind w:firstLine="480" w:firstLineChars="200"/>
        <w:rPr>
          <w:szCs w:val="21"/>
        </w:rPr>
      </w:pPr>
      <w:r>
        <w:rPr>
          <w:rFonts w:hint="eastAsia"/>
          <w:szCs w:val="21"/>
        </w:rPr>
        <w:t>（6）未按合同约定及时支付预付款、进度款；</w:t>
      </w:r>
    </w:p>
    <w:p>
      <w:pPr>
        <w:spacing w:line="400" w:lineRule="exact"/>
        <w:ind w:firstLine="480" w:firstLineChars="200"/>
        <w:rPr>
          <w:szCs w:val="21"/>
        </w:rPr>
      </w:pPr>
      <w:r>
        <w:rPr>
          <w:rFonts w:hint="eastAsia"/>
          <w:szCs w:val="21"/>
        </w:rPr>
        <w:t>（7）发包人造成工期延误的其他原因。</w:t>
      </w:r>
    </w:p>
    <w:p>
      <w:pPr>
        <w:spacing w:line="400" w:lineRule="exact"/>
        <w:ind w:firstLine="480" w:firstLineChars="200"/>
        <w:rPr>
          <w:szCs w:val="21"/>
        </w:rPr>
      </w:pPr>
      <w:r>
        <w:rPr>
          <w:rFonts w:hint="eastAsia"/>
          <w:szCs w:val="21"/>
        </w:rPr>
        <w:t>11.4 异常恶劣的气候条件</w:t>
      </w:r>
    </w:p>
    <w:p>
      <w:pPr>
        <w:spacing w:line="400" w:lineRule="exact"/>
        <w:ind w:firstLine="480" w:firstLineChars="200"/>
        <w:rPr>
          <w:szCs w:val="21"/>
        </w:rPr>
      </w:pPr>
      <w:r>
        <w:rPr>
          <w:rFonts w:hint="eastAsia"/>
          <w:szCs w:val="21"/>
        </w:rPr>
        <w:t>由于出现专用合同条款规定的异常恶劣气候的条件导致工期延误的，承包人有权要求发包人延长工期。</w:t>
      </w:r>
    </w:p>
    <w:p>
      <w:pPr>
        <w:spacing w:line="400" w:lineRule="exact"/>
        <w:ind w:firstLine="480" w:firstLineChars="200"/>
        <w:rPr>
          <w:szCs w:val="21"/>
        </w:rPr>
      </w:pPr>
      <w:r>
        <w:rPr>
          <w:rFonts w:hint="eastAsia"/>
          <w:szCs w:val="21"/>
        </w:rPr>
        <w:t>11.5 承包人的工期延误</w:t>
      </w:r>
    </w:p>
    <w:p>
      <w:pPr>
        <w:spacing w:line="400" w:lineRule="exact"/>
        <w:ind w:firstLine="480" w:firstLineChars="200"/>
        <w:rPr>
          <w:szCs w:val="21"/>
        </w:rPr>
      </w:pPr>
      <w:r>
        <w:rPr>
          <w:rFonts w:hint="eastAsia"/>
          <w:szCs w:val="21"/>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spacing w:line="400" w:lineRule="exact"/>
        <w:ind w:firstLine="480" w:firstLineChars="200"/>
        <w:rPr>
          <w:szCs w:val="21"/>
        </w:rPr>
      </w:pPr>
      <w:r>
        <w:rPr>
          <w:rFonts w:hint="eastAsia"/>
          <w:szCs w:val="21"/>
        </w:rPr>
        <w:t>11.6 工期提前</w:t>
      </w:r>
    </w:p>
    <w:p>
      <w:pPr>
        <w:spacing w:line="400" w:lineRule="exact"/>
        <w:ind w:firstLine="480" w:firstLineChars="200"/>
        <w:rPr>
          <w:szCs w:val="21"/>
        </w:rPr>
      </w:pPr>
      <w:r>
        <w:rPr>
          <w:rFonts w:hint="eastAsia"/>
          <w:szCs w:val="21"/>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pPr>
        <w:spacing w:line="400" w:lineRule="exact"/>
        <w:ind w:firstLine="480" w:firstLineChars="200"/>
        <w:rPr>
          <w:szCs w:val="21"/>
        </w:rPr>
      </w:pPr>
      <w:r>
        <w:rPr>
          <w:rFonts w:hint="eastAsia"/>
          <w:szCs w:val="21"/>
        </w:rPr>
        <w:t>12. 暂停施工</w:t>
      </w:r>
    </w:p>
    <w:p>
      <w:pPr>
        <w:spacing w:line="400" w:lineRule="exact"/>
        <w:ind w:firstLine="480" w:firstLineChars="200"/>
        <w:rPr>
          <w:szCs w:val="21"/>
        </w:rPr>
      </w:pPr>
      <w:r>
        <w:rPr>
          <w:rFonts w:hint="eastAsia"/>
          <w:szCs w:val="21"/>
        </w:rPr>
        <w:t>12.1 承包人暂停施工的责任</w:t>
      </w:r>
    </w:p>
    <w:p>
      <w:pPr>
        <w:spacing w:line="400" w:lineRule="exact"/>
        <w:ind w:firstLine="480" w:firstLineChars="200"/>
        <w:rPr>
          <w:szCs w:val="21"/>
        </w:rPr>
      </w:pPr>
      <w:r>
        <w:rPr>
          <w:rFonts w:hint="eastAsia"/>
          <w:szCs w:val="21"/>
        </w:rPr>
        <w:t>因下列暂停施工增加的费用和（或）工期延误由承包人承担：</w:t>
      </w:r>
    </w:p>
    <w:p>
      <w:pPr>
        <w:spacing w:line="400" w:lineRule="exact"/>
        <w:ind w:firstLine="480" w:firstLineChars="200"/>
        <w:rPr>
          <w:szCs w:val="21"/>
        </w:rPr>
      </w:pPr>
      <w:r>
        <w:rPr>
          <w:rFonts w:hint="eastAsia"/>
          <w:szCs w:val="21"/>
        </w:rPr>
        <w:t>（1）承包人违约引起的暂停施工；</w:t>
      </w:r>
    </w:p>
    <w:p>
      <w:pPr>
        <w:spacing w:line="400" w:lineRule="exact"/>
        <w:ind w:firstLine="480" w:firstLineChars="200"/>
        <w:rPr>
          <w:szCs w:val="21"/>
        </w:rPr>
      </w:pPr>
      <w:r>
        <w:rPr>
          <w:rFonts w:hint="eastAsia"/>
          <w:szCs w:val="21"/>
        </w:rPr>
        <w:t>（2）由于承包人原因为工程合理施工和安全保障所必需的暂停施工；</w:t>
      </w:r>
    </w:p>
    <w:p>
      <w:pPr>
        <w:spacing w:line="400" w:lineRule="exact"/>
        <w:ind w:firstLine="480" w:firstLineChars="200"/>
        <w:rPr>
          <w:szCs w:val="21"/>
        </w:rPr>
      </w:pPr>
      <w:r>
        <w:rPr>
          <w:rFonts w:hint="eastAsia"/>
          <w:szCs w:val="21"/>
        </w:rPr>
        <w:t>（3）承包人擅自暂停施工；</w:t>
      </w:r>
    </w:p>
    <w:p>
      <w:pPr>
        <w:spacing w:line="400" w:lineRule="exact"/>
        <w:ind w:firstLine="480" w:firstLineChars="200"/>
        <w:rPr>
          <w:szCs w:val="21"/>
        </w:rPr>
      </w:pPr>
      <w:r>
        <w:rPr>
          <w:rFonts w:hint="eastAsia"/>
          <w:szCs w:val="21"/>
        </w:rPr>
        <w:t>（4）承包人其他原因引起的暂停施工；</w:t>
      </w:r>
    </w:p>
    <w:p>
      <w:pPr>
        <w:spacing w:line="400" w:lineRule="exact"/>
        <w:ind w:firstLine="480" w:firstLineChars="200"/>
        <w:rPr>
          <w:szCs w:val="21"/>
        </w:rPr>
      </w:pPr>
      <w:r>
        <w:rPr>
          <w:rFonts w:hint="eastAsia"/>
          <w:szCs w:val="21"/>
        </w:rPr>
        <w:t>（5）专用合同条款约定由承包人承担的其他暂停施工。</w:t>
      </w:r>
    </w:p>
    <w:p>
      <w:pPr>
        <w:spacing w:line="400" w:lineRule="exact"/>
        <w:ind w:firstLine="480" w:firstLineChars="200"/>
        <w:rPr>
          <w:szCs w:val="21"/>
        </w:rPr>
      </w:pPr>
      <w:r>
        <w:rPr>
          <w:rFonts w:hint="eastAsia"/>
          <w:szCs w:val="21"/>
        </w:rPr>
        <w:t>12.2 发包人暂停施工的责任</w:t>
      </w:r>
    </w:p>
    <w:p>
      <w:pPr>
        <w:spacing w:line="400" w:lineRule="exact"/>
        <w:ind w:firstLine="480" w:firstLineChars="200"/>
        <w:rPr>
          <w:szCs w:val="21"/>
        </w:rPr>
      </w:pPr>
      <w:r>
        <w:rPr>
          <w:rFonts w:hint="eastAsia"/>
          <w:szCs w:val="21"/>
        </w:rPr>
        <w:t>由于发包人原因引起的暂停施工造成工期延误的，承包人有权要求发包人延长工期和（或）增加费用，并支付合理利润。</w:t>
      </w:r>
    </w:p>
    <w:p>
      <w:pPr>
        <w:spacing w:line="400" w:lineRule="exact"/>
        <w:ind w:firstLine="480" w:firstLineChars="200"/>
        <w:rPr>
          <w:szCs w:val="21"/>
        </w:rPr>
      </w:pPr>
      <w:r>
        <w:rPr>
          <w:rFonts w:hint="eastAsia"/>
          <w:szCs w:val="21"/>
        </w:rPr>
        <w:t>12.3 监理人暂停施工指示</w:t>
      </w:r>
    </w:p>
    <w:p>
      <w:pPr>
        <w:spacing w:line="400" w:lineRule="exact"/>
        <w:ind w:firstLine="480" w:firstLineChars="200"/>
        <w:rPr>
          <w:szCs w:val="21"/>
        </w:rPr>
      </w:pPr>
      <w:r>
        <w:rPr>
          <w:rFonts w:hint="eastAsia"/>
          <w:szCs w:val="21"/>
        </w:rPr>
        <w:t>12.3.1 监理人认为有必要时，可向承包人作出暂停施工的指示，承包人应按监理人指示暂停施工。不论由于何种原因引起的暂停施工，暂停施工期间承包人应负责妥善保护工程并提供安全保障。</w:t>
      </w:r>
    </w:p>
    <w:p>
      <w:pPr>
        <w:spacing w:line="400" w:lineRule="exact"/>
        <w:ind w:firstLine="480" w:firstLineChars="200"/>
        <w:rPr>
          <w:szCs w:val="21"/>
        </w:rPr>
      </w:pPr>
      <w:r>
        <w:rPr>
          <w:rFonts w:hint="eastAsia"/>
          <w:szCs w:val="21"/>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spacing w:line="400" w:lineRule="exact"/>
        <w:ind w:firstLine="480" w:firstLineChars="200"/>
        <w:rPr>
          <w:szCs w:val="21"/>
        </w:rPr>
      </w:pPr>
      <w:r>
        <w:rPr>
          <w:rFonts w:hint="eastAsia"/>
          <w:szCs w:val="21"/>
        </w:rPr>
        <w:t>12.4 暂停施工后的复工</w:t>
      </w:r>
    </w:p>
    <w:p>
      <w:pPr>
        <w:spacing w:line="400" w:lineRule="exact"/>
        <w:ind w:firstLine="480" w:firstLineChars="200"/>
        <w:rPr>
          <w:szCs w:val="21"/>
        </w:rPr>
      </w:pPr>
      <w:r>
        <w:rPr>
          <w:rFonts w:hint="eastAsia"/>
          <w:szCs w:val="21"/>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400" w:lineRule="exact"/>
        <w:ind w:firstLine="480" w:firstLineChars="200"/>
        <w:rPr>
          <w:szCs w:val="21"/>
        </w:rPr>
      </w:pPr>
      <w:r>
        <w:rPr>
          <w:rFonts w:hint="eastAsia"/>
          <w:szCs w:val="21"/>
        </w:rPr>
        <w:t>12.4.2 承包人无故拖延和拒绝复工的，由此增加的费用和工期延误由承包人承担；因发包人原因无法按时复工的，承包人有权要求发包人延长工期和（或）增加费用，并支付合理利润。</w:t>
      </w:r>
    </w:p>
    <w:p>
      <w:pPr>
        <w:spacing w:line="400" w:lineRule="exact"/>
        <w:ind w:firstLine="480" w:firstLineChars="200"/>
        <w:rPr>
          <w:szCs w:val="21"/>
        </w:rPr>
      </w:pPr>
      <w:r>
        <w:rPr>
          <w:rFonts w:hint="eastAsia"/>
          <w:szCs w:val="21"/>
        </w:rPr>
        <w:t>12.5 暂停施工持续56天以上</w:t>
      </w:r>
    </w:p>
    <w:p>
      <w:pPr>
        <w:spacing w:line="400" w:lineRule="exact"/>
        <w:ind w:firstLine="480" w:firstLineChars="200"/>
        <w:rPr>
          <w:szCs w:val="21"/>
        </w:rPr>
      </w:pPr>
      <w:r>
        <w:rPr>
          <w:rFonts w:hint="eastAsia"/>
          <w:szCs w:val="21"/>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pPr>
        <w:spacing w:line="400" w:lineRule="exact"/>
        <w:ind w:firstLine="480" w:firstLineChars="200"/>
        <w:rPr>
          <w:szCs w:val="21"/>
        </w:rPr>
      </w:pPr>
      <w:r>
        <w:rPr>
          <w:rFonts w:hint="eastAsia"/>
          <w:szCs w:val="21"/>
        </w:rPr>
        <w:t>12.5.2 由于承包人责任引起的暂停施工，如承包人在收到监理人暂停施工指示后56天内不认真采取有效的复工措施，造成工期延误，可视为承包人违约，应按第22.1款的规定办理。</w:t>
      </w:r>
    </w:p>
    <w:p>
      <w:pPr>
        <w:spacing w:line="400" w:lineRule="exact"/>
        <w:ind w:firstLine="480" w:firstLineChars="200"/>
        <w:rPr>
          <w:szCs w:val="21"/>
        </w:rPr>
      </w:pPr>
      <w:r>
        <w:rPr>
          <w:rFonts w:hint="eastAsia"/>
          <w:szCs w:val="21"/>
        </w:rPr>
        <w:t>13. 工程质量</w:t>
      </w:r>
    </w:p>
    <w:p>
      <w:pPr>
        <w:spacing w:line="400" w:lineRule="exact"/>
        <w:ind w:firstLine="480" w:firstLineChars="200"/>
        <w:rPr>
          <w:szCs w:val="21"/>
        </w:rPr>
      </w:pPr>
      <w:r>
        <w:rPr>
          <w:rFonts w:hint="eastAsia"/>
          <w:szCs w:val="21"/>
        </w:rPr>
        <w:t>13.1 工程质量要求</w:t>
      </w:r>
    </w:p>
    <w:p>
      <w:pPr>
        <w:spacing w:line="400" w:lineRule="exact"/>
        <w:ind w:firstLine="480" w:firstLineChars="200"/>
        <w:rPr>
          <w:szCs w:val="21"/>
        </w:rPr>
      </w:pPr>
      <w:r>
        <w:rPr>
          <w:rFonts w:hint="eastAsia"/>
          <w:szCs w:val="21"/>
        </w:rPr>
        <w:t>13.1.1 工程质量验收按合同约定验收标准执行。</w:t>
      </w:r>
    </w:p>
    <w:p>
      <w:pPr>
        <w:spacing w:line="400" w:lineRule="exact"/>
        <w:ind w:firstLine="480" w:firstLineChars="200"/>
        <w:rPr>
          <w:szCs w:val="21"/>
        </w:rPr>
      </w:pPr>
      <w:r>
        <w:rPr>
          <w:rFonts w:hint="eastAsia"/>
          <w:szCs w:val="21"/>
        </w:rPr>
        <w:t>13.1.2 因承包人原因造成工程质量达不到合同约定验收标准的，监理人有权要求承包人返工直至符合合同要求为止，由此造成的费用增加和（或）工期延误由承包人承担。</w:t>
      </w:r>
    </w:p>
    <w:p>
      <w:pPr>
        <w:spacing w:line="400" w:lineRule="exact"/>
        <w:ind w:firstLine="480" w:firstLineChars="200"/>
        <w:rPr>
          <w:szCs w:val="21"/>
        </w:rPr>
      </w:pPr>
      <w:r>
        <w:rPr>
          <w:rFonts w:hint="eastAsia"/>
          <w:szCs w:val="21"/>
        </w:rPr>
        <w:t>13.1.3 因发包人原因造成工程质量达不到合同约定验收标准的，发包人应承担由于承包人返工造成的费用增加和（或）工期延误，并支付承包人合理利润。</w:t>
      </w:r>
    </w:p>
    <w:p>
      <w:pPr>
        <w:spacing w:line="400" w:lineRule="exact"/>
        <w:ind w:firstLine="480" w:firstLineChars="200"/>
        <w:rPr>
          <w:szCs w:val="21"/>
        </w:rPr>
      </w:pPr>
      <w:r>
        <w:rPr>
          <w:rFonts w:hint="eastAsia"/>
          <w:szCs w:val="21"/>
        </w:rPr>
        <w:t>13.2 承包人的质量管理</w:t>
      </w:r>
    </w:p>
    <w:p>
      <w:pPr>
        <w:spacing w:line="400" w:lineRule="exact"/>
        <w:ind w:firstLine="480" w:firstLineChars="200"/>
        <w:rPr>
          <w:szCs w:val="21"/>
        </w:rPr>
      </w:pPr>
      <w:r>
        <w:rPr>
          <w:rFonts w:hint="eastAsia"/>
          <w:szCs w:val="21"/>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spacing w:line="400" w:lineRule="exact"/>
        <w:ind w:firstLine="480" w:firstLineChars="200"/>
        <w:rPr>
          <w:szCs w:val="21"/>
        </w:rPr>
      </w:pPr>
      <w:r>
        <w:rPr>
          <w:rFonts w:hint="eastAsia"/>
          <w:szCs w:val="21"/>
        </w:rPr>
        <w:t>13.2.2 承包人应加强对施工人员的质量教育和技术培训，定期考核施工人员的劳动技能，严格执行规范和操作规程。</w:t>
      </w:r>
    </w:p>
    <w:p>
      <w:pPr>
        <w:spacing w:line="400" w:lineRule="exact"/>
        <w:ind w:firstLine="480" w:firstLineChars="200"/>
        <w:rPr>
          <w:szCs w:val="21"/>
        </w:rPr>
      </w:pPr>
      <w:r>
        <w:rPr>
          <w:rFonts w:hint="eastAsia"/>
          <w:szCs w:val="21"/>
        </w:rPr>
        <w:t>13.3 承包人的质量检查</w:t>
      </w:r>
    </w:p>
    <w:p>
      <w:pPr>
        <w:spacing w:line="400" w:lineRule="exact"/>
        <w:ind w:firstLine="480" w:firstLineChars="200"/>
        <w:rPr>
          <w:szCs w:val="21"/>
        </w:rPr>
      </w:pPr>
      <w:r>
        <w:rPr>
          <w:rFonts w:hint="eastAsia"/>
          <w:szCs w:val="21"/>
        </w:rPr>
        <w:t>承包人应按合同约定对材料、工程设备以及工程的所有部位及其施工工艺进行全过程的质量检查和检验，并作详细记录，编制工程质量报表，报送监理人审查。</w:t>
      </w:r>
    </w:p>
    <w:p>
      <w:pPr>
        <w:spacing w:line="400" w:lineRule="exact"/>
        <w:ind w:firstLine="480" w:firstLineChars="200"/>
        <w:rPr>
          <w:szCs w:val="21"/>
        </w:rPr>
      </w:pPr>
      <w:r>
        <w:rPr>
          <w:rFonts w:hint="eastAsia"/>
          <w:szCs w:val="21"/>
        </w:rPr>
        <w:t>13.4 监理人的质量检查</w:t>
      </w:r>
    </w:p>
    <w:p>
      <w:pPr>
        <w:spacing w:line="400" w:lineRule="exact"/>
        <w:ind w:firstLine="480" w:firstLineChars="200"/>
        <w:rPr>
          <w:szCs w:val="21"/>
        </w:rPr>
      </w:pPr>
      <w:r>
        <w:rPr>
          <w:rFonts w:hint="eastAsia"/>
          <w:szCs w:val="21"/>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spacing w:line="400" w:lineRule="exact"/>
        <w:ind w:firstLine="480" w:firstLineChars="200"/>
        <w:rPr>
          <w:szCs w:val="21"/>
        </w:rPr>
      </w:pPr>
      <w:r>
        <w:rPr>
          <w:rFonts w:hint="eastAsia"/>
          <w:szCs w:val="21"/>
        </w:rPr>
        <w:t>13.5 工程隐蔽部位覆盖前的检查</w:t>
      </w:r>
    </w:p>
    <w:p>
      <w:pPr>
        <w:spacing w:line="400" w:lineRule="exact"/>
        <w:ind w:firstLine="480" w:firstLineChars="200"/>
        <w:rPr>
          <w:szCs w:val="21"/>
        </w:rPr>
      </w:pPr>
      <w:r>
        <w:rPr>
          <w:rFonts w:hint="eastAsia"/>
          <w:szCs w:val="21"/>
        </w:rPr>
        <w:t>13.5.1 通知监理人检查</w:t>
      </w:r>
    </w:p>
    <w:p>
      <w:pPr>
        <w:spacing w:line="400" w:lineRule="exact"/>
        <w:ind w:firstLine="480" w:firstLineChars="200"/>
        <w:rPr>
          <w:szCs w:val="21"/>
        </w:rPr>
      </w:pPr>
      <w:r>
        <w:rPr>
          <w:rFonts w:hint="eastAsia"/>
          <w:szCs w:val="21"/>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400" w:lineRule="exact"/>
        <w:ind w:firstLine="480" w:firstLineChars="200"/>
        <w:rPr>
          <w:szCs w:val="21"/>
        </w:rPr>
      </w:pPr>
      <w:r>
        <w:rPr>
          <w:rFonts w:hint="eastAsia"/>
          <w:szCs w:val="21"/>
        </w:rPr>
        <w:t>13.5.2 监理人未到场检查</w:t>
      </w:r>
    </w:p>
    <w:p>
      <w:pPr>
        <w:spacing w:line="400" w:lineRule="exact"/>
        <w:ind w:firstLine="480" w:firstLineChars="200"/>
        <w:rPr>
          <w:szCs w:val="21"/>
        </w:rPr>
      </w:pPr>
      <w:r>
        <w:rPr>
          <w:rFonts w:hint="eastAsia"/>
          <w:szCs w:val="21"/>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spacing w:line="400" w:lineRule="exact"/>
        <w:ind w:firstLine="480" w:firstLineChars="200"/>
        <w:rPr>
          <w:szCs w:val="21"/>
        </w:rPr>
      </w:pPr>
      <w:r>
        <w:rPr>
          <w:rFonts w:hint="eastAsia"/>
          <w:szCs w:val="21"/>
        </w:rPr>
        <w:t>13.5.3 监理人重新检查</w:t>
      </w:r>
    </w:p>
    <w:p>
      <w:pPr>
        <w:spacing w:line="400" w:lineRule="exact"/>
        <w:ind w:firstLine="480" w:firstLineChars="200"/>
        <w:rPr>
          <w:szCs w:val="21"/>
        </w:rPr>
      </w:pPr>
      <w:r>
        <w:rPr>
          <w:rFonts w:hint="eastAsia"/>
          <w:szCs w:val="21"/>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400" w:lineRule="exact"/>
        <w:ind w:firstLine="480" w:firstLineChars="200"/>
        <w:rPr>
          <w:szCs w:val="21"/>
        </w:rPr>
      </w:pPr>
      <w:r>
        <w:rPr>
          <w:rFonts w:hint="eastAsia"/>
          <w:szCs w:val="21"/>
        </w:rPr>
        <w:t>13.5.4 承包人私自覆盖</w:t>
      </w:r>
    </w:p>
    <w:p>
      <w:pPr>
        <w:spacing w:line="400" w:lineRule="exact"/>
        <w:ind w:firstLine="480" w:firstLineChars="200"/>
        <w:rPr>
          <w:szCs w:val="21"/>
        </w:rPr>
      </w:pPr>
      <w:r>
        <w:rPr>
          <w:rFonts w:hint="eastAsia"/>
          <w:szCs w:val="21"/>
        </w:rPr>
        <w:t>承包人未通知监理人到场检查，私自将工程隐蔽部位覆盖的，监理人有权指示承包人钻孔探测或揭开检查，由此增加的费用和（或）工期延误由承包人承担。</w:t>
      </w:r>
    </w:p>
    <w:p>
      <w:pPr>
        <w:spacing w:line="400" w:lineRule="exact"/>
        <w:ind w:firstLine="480" w:firstLineChars="200"/>
        <w:rPr>
          <w:szCs w:val="21"/>
        </w:rPr>
      </w:pPr>
      <w:r>
        <w:rPr>
          <w:rFonts w:hint="eastAsia"/>
          <w:szCs w:val="21"/>
        </w:rPr>
        <w:t>13.6 清除不合格工程</w:t>
      </w:r>
    </w:p>
    <w:p>
      <w:pPr>
        <w:spacing w:line="400" w:lineRule="exact"/>
        <w:ind w:firstLine="480" w:firstLineChars="200"/>
        <w:rPr>
          <w:szCs w:val="21"/>
        </w:rPr>
      </w:pPr>
      <w:r>
        <w:rPr>
          <w:rFonts w:hint="eastAsia"/>
          <w:szCs w:val="21"/>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400" w:lineRule="exact"/>
        <w:ind w:firstLine="480" w:firstLineChars="200"/>
        <w:rPr>
          <w:szCs w:val="21"/>
        </w:rPr>
      </w:pPr>
      <w:r>
        <w:rPr>
          <w:rFonts w:hint="eastAsia"/>
          <w:szCs w:val="21"/>
        </w:rPr>
        <w:t>13.6.2 由于发包人提供的材料或工程设备不合格造成的工程不合格，需要承包人采取措施补救的，发包人应承担由此增加的费用和（或）工期延误，并支付承包人合理利润。</w:t>
      </w:r>
    </w:p>
    <w:p>
      <w:pPr>
        <w:spacing w:line="400" w:lineRule="exact"/>
        <w:ind w:firstLine="480" w:firstLineChars="200"/>
        <w:rPr>
          <w:szCs w:val="21"/>
        </w:rPr>
      </w:pPr>
      <w:r>
        <w:rPr>
          <w:rFonts w:hint="eastAsia"/>
          <w:szCs w:val="21"/>
        </w:rPr>
        <w:t>14. 试验和检验</w:t>
      </w:r>
    </w:p>
    <w:p>
      <w:pPr>
        <w:spacing w:line="400" w:lineRule="exact"/>
        <w:ind w:firstLine="480" w:firstLineChars="200"/>
        <w:rPr>
          <w:szCs w:val="21"/>
        </w:rPr>
      </w:pPr>
      <w:r>
        <w:rPr>
          <w:rFonts w:hint="eastAsia"/>
          <w:szCs w:val="21"/>
        </w:rPr>
        <w:t>14.1 材料、工程设备和工程的试验和检验</w:t>
      </w:r>
    </w:p>
    <w:p>
      <w:pPr>
        <w:spacing w:line="400" w:lineRule="exact"/>
        <w:ind w:firstLine="480" w:firstLineChars="200"/>
        <w:rPr>
          <w:szCs w:val="21"/>
        </w:rPr>
      </w:pPr>
      <w:r>
        <w:rPr>
          <w:rFonts w:hint="eastAsia"/>
          <w:szCs w:val="21"/>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400" w:lineRule="exact"/>
        <w:ind w:firstLine="480" w:firstLineChars="200"/>
        <w:rPr>
          <w:szCs w:val="21"/>
        </w:rPr>
      </w:pPr>
      <w:r>
        <w:rPr>
          <w:rFonts w:hint="eastAsia"/>
          <w:szCs w:val="21"/>
        </w:rPr>
        <w:t>14.1.2 监理人未按合同约定派员参加试验和检验的，除监理人另有指示外，承包人可自行试验和检验，并应立即将试验和检验结果报送监理人，监理人应签字确认。</w:t>
      </w:r>
    </w:p>
    <w:p>
      <w:pPr>
        <w:spacing w:line="400" w:lineRule="exact"/>
        <w:ind w:firstLine="480" w:firstLineChars="200"/>
        <w:rPr>
          <w:szCs w:val="21"/>
        </w:rPr>
      </w:pPr>
      <w:r>
        <w:rPr>
          <w:rFonts w:hint="eastAsia"/>
          <w:szCs w:val="21"/>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spacing w:line="400" w:lineRule="exact"/>
        <w:ind w:firstLine="480" w:firstLineChars="200"/>
        <w:rPr>
          <w:szCs w:val="21"/>
        </w:rPr>
      </w:pPr>
      <w:r>
        <w:rPr>
          <w:rFonts w:hint="eastAsia"/>
          <w:szCs w:val="21"/>
        </w:rPr>
        <w:t>14.2 现场材料试验</w:t>
      </w:r>
    </w:p>
    <w:p>
      <w:pPr>
        <w:spacing w:line="400" w:lineRule="exact"/>
        <w:ind w:firstLine="480" w:firstLineChars="200"/>
        <w:rPr>
          <w:szCs w:val="21"/>
        </w:rPr>
      </w:pPr>
      <w:r>
        <w:rPr>
          <w:rFonts w:hint="eastAsia"/>
          <w:szCs w:val="21"/>
        </w:rPr>
        <w:t>14.2.1 承包人根据合同约定或监理人指示进行的现场材料试验，应由承包人提供试验场所、试验人员、试验设备器材以及其他必要的试验条件。</w:t>
      </w:r>
    </w:p>
    <w:p>
      <w:pPr>
        <w:spacing w:line="400" w:lineRule="exact"/>
        <w:ind w:firstLine="480" w:firstLineChars="200"/>
        <w:rPr>
          <w:szCs w:val="21"/>
        </w:rPr>
      </w:pPr>
      <w:r>
        <w:rPr>
          <w:rFonts w:hint="eastAsia"/>
          <w:szCs w:val="21"/>
        </w:rPr>
        <w:t>14.2.2 监理人在必要时可以使用承包人的试验场所、试验设备器材以及其他试验条件，进行以工程质量检查为目的的复核性材料试验，承包人应予以协助。</w:t>
      </w:r>
    </w:p>
    <w:p>
      <w:pPr>
        <w:spacing w:line="400" w:lineRule="exact"/>
        <w:ind w:firstLine="480" w:firstLineChars="200"/>
        <w:rPr>
          <w:szCs w:val="21"/>
        </w:rPr>
      </w:pPr>
      <w:r>
        <w:rPr>
          <w:rFonts w:hint="eastAsia"/>
          <w:szCs w:val="21"/>
        </w:rPr>
        <w:t>14.3 现场工艺试验</w:t>
      </w:r>
    </w:p>
    <w:p>
      <w:pPr>
        <w:spacing w:line="400" w:lineRule="exact"/>
        <w:ind w:firstLine="480" w:firstLineChars="200"/>
        <w:rPr>
          <w:szCs w:val="21"/>
        </w:rPr>
      </w:pPr>
      <w:r>
        <w:rPr>
          <w:rFonts w:hint="eastAsia"/>
          <w:szCs w:val="21"/>
        </w:rPr>
        <w:t>承包人应按合同约定或监理人指示进行现场工艺试验。对大型的现场工艺试验，监理人认为必要时，应由承包人根据监理人提出的工艺试验要求，编制工艺试验措施计划，报送监理人审批。</w:t>
      </w:r>
    </w:p>
    <w:p>
      <w:pPr>
        <w:spacing w:line="400" w:lineRule="exact"/>
        <w:ind w:firstLine="480" w:firstLineChars="200"/>
        <w:rPr>
          <w:szCs w:val="21"/>
        </w:rPr>
      </w:pPr>
      <w:r>
        <w:rPr>
          <w:rFonts w:hint="eastAsia"/>
          <w:szCs w:val="21"/>
        </w:rPr>
        <w:t>15. 变更</w:t>
      </w:r>
    </w:p>
    <w:p>
      <w:pPr>
        <w:spacing w:line="400" w:lineRule="exact"/>
        <w:ind w:firstLine="480" w:firstLineChars="200"/>
        <w:rPr>
          <w:szCs w:val="21"/>
        </w:rPr>
      </w:pPr>
      <w:r>
        <w:rPr>
          <w:rFonts w:hint="eastAsia"/>
          <w:szCs w:val="21"/>
        </w:rPr>
        <w:t>15.1 变更的范围和内容</w:t>
      </w:r>
    </w:p>
    <w:p>
      <w:pPr>
        <w:spacing w:line="400" w:lineRule="exact"/>
        <w:ind w:firstLine="480" w:firstLineChars="200"/>
        <w:rPr>
          <w:szCs w:val="21"/>
        </w:rPr>
      </w:pPr>
      <w:r>
        <w:rPr>
          <w:rFonts w:hint="eastAsia"/>
          <w:szCs w:val="21"/>
        </w:rPr>
        <w:t>除专用合同条款另有约定外，在履行合同中发生以下情形之一，应按照本条规定进行变更。</w:t>
      </w:r>
    </w:p>
    <w:p>
      <w:pPr>
        <w:spacing w:line="400" w:lineRule="exact"/>
        <w:ind w:firstLine="480" w:firstLineChars="200"/>
        <w:rPr>
          <w:szCs w:val="21"/>
        </w:rPr>
      </w:pPr>
      <w:r>
        <w:rPr>
          <w:rFonts w:hint="eastAsia"/>
          <w:szCs w:val="21"/>
        </w:rPr>
        <w:t>（1）取消合同中任何一项工作，但被取消的工作不能转由发包人或其他人实施；</w:t>
      </w:r>
    </w:p>
    <w:p>
      <w:pPr>
        <w:spacing w:line="400" w:lineRule="exact"/>
        <w:ind w:firstLine="480" w:firstLineChars="200"/>
        <w:rPr>
          <w:szCs w:val="21"/>
        </w:rPr>
      </w:pPr>
      <w:r>
        <w:rPr>
          <w:rFonts w:hint="eastAsia"/>
          <w:szCs w:val="21"/>
        </w:rPr>
        <w:t>（2）改变合同中任何一项工作的质量或其他特性；</w:t>
      </w:r>
    </w:p>
    <w:p>
      <w:pPr>
        <w:spacing w:line="400" w:lineRule="exact"/>
        <w:ind w:firstLine="480" w:firstLineChars="200"/>
        <w:rPr>
          <w:szCs w:val="21"/>
        </w:rPr>
      </w:pPr>
      <w:r>
        <w:rPr>
          <w:rFonts w:hint="eastAsia"/>
          <w:szCs w:val="21"/>
        </w:rPr>
        <w:t>（3）改变合同工程的基线、标高、位置或尺寸；</w:t>
      </w:r>
    </w:p>
    <w:p>
      <w:pPr>
        <w:spacing w:line="400" w:lineRule="exact"/>
        <w:ind w:firstLine="480" w:firstLineChars="200"/>
        <w:rPr>
          <w:szCs w:val="21"/>
        </w:rPr>
      </w:pPr>
      <w:r>
        <w:rPr>
          <w:rFonts w:hint="eastAsia"/>
          <w:szCs w:val="21"/>
        </w:rPr>
        <w:t>（4）改变合同中任何一项工作的施工时间或改变已批准的施工工艺或顺序；</w:t>
      </w:r>
    </w:p>
    <w:p>
      <w:pPr>
        <w:spacing w:line="400" w:lineRule="exact"/>
        <w:ind w:firstLine="480" w:firstLineChars="200"/>
        <w:rPr>
          <w:szCs w:val="21"/>
        </w:rPr>
      </w:pPr>
      <w:r>
        <w:rPr>
          <w:rFonts w:hint="eastAsia"/>
          <w:szCs w:val="21"/>
        </w:rPr>
        <w:t>（5）为完成工程需要追加的额外工作。</w:t>
      </w:r>
    </w:p>
    <w:p>
      <w:pPr>
        <w:spacing w:line="400" w:lineRule="exact"/>
        <w:ind w:firstLine="480" w:firstLineChars="200"/>
        <w:rPr>
          <w:szCs w:val="21"/>
        </w:rPr>
      </w:pPr>
      <w:r>
        <w:rPr>
          <w:rFonts w:hint="eastAsia"/>
          <w:szCs w:val="21"/>
        </w:rPr>
        <w:t>15.2 变更权</w:t>
      </w:r>
    </w:p>
    <w:p>
      <w:pPr>
        <w:spacing w:line="400" w:lineRule="exact"/>
        <w:ind w:firstLine="480" w:firstLineChars="200"/>
        <w:rPr>
          <w:szCs w:val="21"/>
        </w:rPr>
      </w:pPr>
      <w:r>
        <w:rPr>
          <w:rFonts w:hint="eastAsia"/>
          <w:szCs w:val="21"/>
        </w:rPr>
        <w:t>在履行合同过程中，经发包人同意，监理人可按第15.3款约定的变更程序向承包人作出变更指示，承包人应遵照执行。没有监理人的变更指示，承包人不得擅自变更。</w:t>
      </w:r>
    </w:p>
    <w:p>
      <w:pPr>
        <w:spacing w:line="400" w:lineRule="exact"/>
        <w:ind w:firstLine="480" w:firstLineChars="200"/>
        <w:rPr>
          <w:szCs w:val="21"/>
        </w:rPr>
      </w:pPr>
      <w:r>
        <w:rPr>
          <w:rFonts w:hint="eastAsia"/>
          <w:szCs w:val="21"/>
        </w:rPr>
        <w:t>15.3 变更程序</w:t>
      </w:r>
    </w:p>
    <w:p>
      <w:pPr>
        <w:spacing w:line="400" w:lineRule="exact"/>
        <w:ind w:firstLine="480" w:firstLineChars="200"/>
        <w:rPr>
          <w:szCs w:val="21"/>
        </w:rPr>
      </w:pPr>
      <w:r>
        <w:rPr>
          <w:rFonts w:hint="eastAsia"/>
          <w:szCs w:val="21"/>
        </w:rPr>
        <w:t>15.3.1 变更的提出</w:t>
      </w:r>
    </w:p>
    <w:p>
      <w:pPr>
        <w:spacing w:line="400" w:lineRule="exact"/>
        <w:ind w:firstLine="480" w:firstLineChars="200"/>
        <w:rPr>
          <w:szCs w:val="21"/>
        </w:rPr>
      </w:pPr>
      <w:r>
        <w:rPr>
          <w:rFonts w:hint="eastAsia"/>
          <w:szCs w:val="21"/>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pPr>
        <w:spacing w:line="400" w:lineRule="exact"/>
        <w:ind w:firstLine="480" w:firstLineChars="200"/>
        <w:rPr>
          <w:szCs w:val="21"/>
        </w:rPr>
      </w:pPr>
      <w:r>
        <w:rPr>
          <w:rFonts w:hint="eastAsia"/>
          <w:szCs w:val="21"/>
        </w:rPr>
        <w:t>（2）在合同履行过程中，发生第15.1款约定情形的，监理人应按照第15.3.3项约定向承包人发出变更指示。</w:t>
      </w:r>
    </w:p>
    <w:p>
      <w:pPr>
        <w:spacing w:line="400" w:lineRule="exact"/>
        <w:ind w:firstLine="480" w:firstLineChars="200"/>
        <w:rPr>
          <w:szCs w:val="21"/>
        </w:rPr>
      </w:pPr>
      <w:r>
        <w:rPr>
          <w:rFonts w:hint="eastAsia"/>
          <w:szCs w:val="21"/>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spacing w:line="400" w:lineRule="exact"/>
        <w:ind w:firstLine="480" w:firstLineChars="200"/>
        <w:rPr>
          <w:szCs w:val="21"/>
        </w:rPr>
      </w:pPr>
      <w:r>
        <w:rPr>
          <w:rFonts w:hint="eastAsia"/>
          <w:szCs w:val="21"/>
        </w:rPr>
        <w:t>（4）若承包人收到监理人的变更意向书后认为难以实施此项变更，应立即通知监理人，说明原因并附详细依据。监理人与承包人和发包人协商后确定撤销、改变或不改变原变更意向书。</w:t>
      </w:r>
    </w:p>
    <w:p>
      <w:pPr>
        <w:spacing w:line="400" w:lineRule="exact"/>
        <w:ind w:firstLine="480" w:firstLineChars="200"/>
        <w:rPr>
          <w:szCs w:val="21"/>
        </w:rPr>
      </w:pPr>
      <w:r>
        <w:rPr>
          <w:rFonts w:hint="eastAsia"/>
          <w:szCs w:val="21"/>
        </w:rPr>
        <w:t>15.3.2 变更估价</w:t>
      </w:r>
    </w:p>
    <w:p>
      <w:pPr>
        <w:spacing w:line="400" w:lineRule="exact"/>
        <w:ind w:firstLine="480" w:firstLineChars="200"/>
        <w:rPr>
          <w:szCs w:val="21"/>
        </w:rPr>
      </w:pPr>
      <w:r>
        <w:rPr>
          <w:rFonts w:hint="eastAsia"/>
          <w:szCs w:val="21"/>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spacing w:line="400" w:lineRule="exact"/>
        <w:ind w:firstLine="480" w:firstLineChars="200"/>
        <w:rPr>
          <w:szCs w:val="21"/>
        </w:rPr>
      </w:pPr>
      <w:r>
        <w:rPr>
          <w:rFonts w:hint="eastAsia"/>
          <w:szCs w:val="21"/>
        </w:rPr>
        <w:t>（2）变更工作影响工期的，承包人应提出调整工期的具体细节。监理人认为有必要时，可要求承包人提交要求提前或延长工期的施工进度计划及相应施工措施等详细资料。</w:t>
      </w:r>
    </w:p>
    <w:p>
      <w:pPr>
        <w:spacing w:line="400" w:lineRule="exact"/>
        <w:ind w:firstLine="480" w:firstLineChars="200"/>
        <w:rPr>
          <w:szCs w:val="21"/>
        </w:rPr>
      </w:pPr>
      <w:r>
        <w:rPr>
          <w:rFonts w:hint="eastAsia"/>
          <w:szCs w:val="21"/>
        </w:rPr>
        <w:t>（3）除专用合同条款对期限另有约定外，监理人收到承包人变更报价书后的14天内，根据第15.4款约定的估价原则，按照第3.5款商定或确定变更价格。</w:t>
      </w:r>
    </w:p>
    <w:p>
      <w:pPr>
        <w:spacing w:line="400" w:lineRule="exact"/>
        <w:ind w:firstLine="480" w:firstLineChars="200"/>
        <w:rPr>
          <w:szCs w:val="21"/>
        </w:rPr>
      </w:pPr>
      <w:r>
        <w:rPr>
          <w:rFonts w:hint="eastAsia"/>
          <w:szCs w:val="21"/>
        </w:rPr>
        <w:t>15.3.3 变更指示</w:t>
      </w:r>
    </w:p>
    <w:p>
      <w:pPr>
        <w:spacing w:line="400" w:lineRule="exact"/>
        <w:ind w:firstLine="480" w:firstLineChars="200"/>
        <w:rPr>
          <w:szCs w:val="21"/>
        </w:rPr>
      </w:pPr>
      <w:r>
        <w:rPr>
          <w:rFonts w:hint="eastAsia"/>
          <w:szCs w:val="21"/>
        </w:rPr>
        <w:t>（1）变更指示只能由监理人发出。</w:t>
      </w:r>
    </w:p>
    <w:p>
      <w:pPr>
        <w:spacing w:line="400" w:lineRule="exact"/>
        <w:ind w:firstLine="480" w:firstLineChars="200"/>
        <w:rPr>
          <w:szCs w:val="21"/>
        </w:rPr>
      </w:pPr>
      <w:r>
        <w:rPr>
          <w:rFonts w:hint="eastAsia"/>
          <w:szCs w:val="21"/>
        </w:rPr>
        <w:t>（2）变更指示应说明变更的目的、范围、变更内容以及变更的工程量及其进度和技术要求，并附有关图纸和文件。承包人收到变更指示后，应按变更指示进行变更工作。</w:t>
      </w:r>
    </w:p>
    <w:p>
      <w:pPr>
        <w:spacing w:line="400" w:lineRule="exact"/>
        <w:ind w:firstLine="480" w:firstLineChars="200"/>
        <w:rPr>
          <w:szCs w:val="21"/>
        </w:rPr>
      </w:pPr>
      <w:r>
        <w:rPr>
          <w:rFonts w:hint="eastAsia"/>
          <w:szCs w:val="21"/>
        </w:rPr>
        <w:t>15.4 变更的估价原则</w:t>
      </w:r>
    </w:p>
    <w:p>
      <w:pPr>
        <w:spacing w:line="400" w:lineRule="exact"/>
        <w:ind w:firstLine="480" w:firstLineChars="200"/>
        <w:rPr>
          <w:szCs w:val="21"/>
        </w:rPr>
      </w:pPr>
      <w:r>
        <w:rPr>
          <w:rFonts w:hint="eastAsia"/>
          <w:szCs w:val="21"/>
        </w:rPr>
        <w:t>除专用合同条款另有约定外，因变更引起的价格调整按照本款约定处理。</w:t>
      </w:r>
    </w:p>
    <w:p>
      <w:pPr>
        <w:spacing w:line="400" w:lineRule="exact"/>
        <w:ind w:firstLine="480" w:firstLineChars="200"/>
        <w:rPr>
          <w:szCs w:val="21"/>
        </w:rPr>
      </w:pPr>
      <w:r>
        <w:rPr>
          <w:rFonts w:hint="eastAsia"/>
          <w:szCs w:val="21"/>
        </w:rPr>
        <w:t>15.4.1 已标价工程量清单中有适用于变更工作的子目的，采用该子目的单价。</w:t>
      </w:r>
    </w:p>
    <w:p>
      <w:pPr>
        <w:spacing w:line="400" w:lineRule="exact"/>
        <w:ind w:firstLine="480" w:firstLineChars="200"/>
        <w:rPr>
          <w:szCs w:val="21"/>
        </w:rPr>
      </w:pPr>
      <w:r>
        <w:rPr>
          <w:rFonts w:hint="eastAsia"/>
          <w:szCs w:val="21"/>
        </w:rPr>
        <w:t>15.4.2 已标价工程量清单中无适用于变更工作的子目，但有类似子目的，可在合理范围内参照类似子目的单价，由监理人按第3.5款商定或确定变更工作的单价。</w:t>
      </w:r>
    </w:p>
    <w:p>
      <w:pPr>
        <w:spacing w:line="400" w:lineRule="exact"/>
        <w:ind w:firstLine="480" w:firstLineChars="200"/>
        <w:rPr>
          <w:szCs w:val="21"/>
        </w:rPr>
      </w:pPr>
      <w:r>
        <w:rPr>
          <w:rFonts w:hint="eastAsia"/>
          <w:szCs w:val="21"/>
        </w:rPr>
        <w:t>15.4.3 已标价工程量清单中无适用或类似子目的单价，可按照成本加利润的原则，由监理人按第3.5款商定或确定变更工作的单价。</w:t>
      </w:r>
    </w:p>
    <w:p>
      <w:pPr>
        <w:spacing w:line="400" w:lineRule="exact"/>
        <w:ind w:firstLine="480" w:firstLineChars="200"/>
        <w:rPr>
          <w:szCs w:val="21"/>
        </w:rPr>
      </w:pPr>
      <w:r>
        <w:rPr>
          <w:rFonts w:hint="eastAsia"/>
          <w:szCs w:val="21"/>
        </w:rPr>
        <w:t>15.5 承包人的合理化建议</w:t>
      </w:r>
    </w:p>
    <w:p>
      <w:pPr>
        <w:spacing w:line="400" w:lineRule="exact"/>
        <w:ind w:firstLine="480" w:firstLineChars="200"/>
        <w:rPr>
          <w:szCs w:val="21"/>
        </w:rPr>
      </w:pPr>
      <w:r>
        <w:rPr>
          <w:rFonts w:hint="eastAsia"/>
          <w:szCs w:val="21"/>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pacing w:line="400" w:lineRule="exact"/>
        <w:ind w:firstLine="480" w:firstLineChars="200"/>
        <w:rPr>
          <w:szCs w:val="21"/>
        </w:rPr>
      </w:pPr>
      <w:r>
        <w:rPr>
          <w:rFonts w:hint="eastAsia"/>
          <w:szCs w:val="21"/>
        </w:rPr>
        <w:t>15.5.2 承包人提出的合理化建议降低了合同价格、缩短了工期或者提高了工程经济效益的，发包人可按国家有关规定在专用合同条款中约定给予奖励。</w:t>
      </w:r>
    </w:p>
    <w:p>
      <w:pPr>
        <w:spacing w:line="400" w:lineRule="exact"/>
        <w:ind w:firstLine="480" w:firstLineChars="200"/>
        <w:rPr>
          <w:szCs w:val="21"/>
        </w:rPr>
      </w:pPr>
      <w:r>
        <w:rPr>
          <w:rFonts w:hint="eastAsia"/>
          <w:szCs w:val="21"/>
        </w:rPr>
        <w:t>15.6 暂列金额</w:t>
      </w:r>
    </w:p>
    <w:p>
      <w:pPr>
        <w:spacing w:line="400" w:lineRule="exact"/>
        <w:ind w:firstLine="480" w:firstLineChars="200"/>
        <w:rPr>
          <w:szCs w:val="21"/>
        </w:rPr>
      </w:pPr>
      <w:r>
        <w:rPr>
          <w:rFonts w:hint="eastAsia"/>
          <w:szCs w:val="21"/>
        </w:rPr>
        <w:t>暂列金额只能按照监理人的指示使用，并对合同价格进行相应调整。</w:t>
      </w:r>
    </w:p>
    <w:p>
      <w:pPr>
        <w:spacing w:line="400" w:lineRule="exact"/>
        <w:ind w:firstLine="480" w:firstLineChars="200"/>
        <w:rPr>
          <w:szCs w:val="21"/>
        </w:rPr>
      </w:pPr>
      <w:r>
        <w:rPr>
          <w:rFonts w:hint="eastAsia"/>
          <w:szCs w:val="21"/>
        </w:rPr>
        <w:t>15.7 计日工</w:t>
      </w:r>
    </w:p>
    <w:p>
      <w:pPr>
        <w:spacing w:line="400" w:lineRule="exact"/>
        <w:ind w:firstLine="480" w:firstLineChars="200"/>
        <w:rPr>
          <w:szCs w:val="21"/>
        </w:rPr>
      </w:pPr>
      <w:r>
        <w:rPr>
          <w:rFonts w:hint="eastAsia"/>
          <w:szCs w:val="21"/>
        </w:rPr>
        <w:t>15.7.1 发包人认为有必要时，由监理人通知承包人以计日工方式实施变更的零星工作。其价款按列入已标价工程量清单中的计日工计价子目及其单价进行计算。</w:t>
      </w:r>
    </w:p>
    <w:p>
      <w:pPr>
        <w:spacing w:line="400" w:lineRule="exact"/>
        <w:ind w:firstLine="480" w:firstLineChars="200"/>
        <w:rPr>
          <w:szCs w:val="21"/>
        </w:rPr>
      </w:pPr>
      <w:r>
        <w:rPr>
          <w:rFonts w:hint="eastAsia"/>
          <w:szCs w:val="21"/>
        </w:rPr>
        <w:t>15.7.2 采用计日工计价的任何一项变更工作，应从暂列金额中支付，承包人应在该项变更的实施过程中，每天提交以下报表和有关凭证报送监理人审批：</w:t>
      </w:r>
    </w:p>
    <w:p>
      <w:pPr>
        <w:spacing w:line="400" w:lineRule="exact"/>
        <w:ind w:firstLine="480" w:firstLineChars="200"/>
        <w:rPr>
          <w:szCs w:val="21"/>
        </w:rPr>
      </w:pPr>
      <w:r>
        <w:rPr>
          <w:rFonts w:hint="eastAsia"/>
          <w:szCs w:val="21"/>
        </w:rPr>
        <w:t>（1）工作名称、内容和数量；</w:t>
      </w:r>
    </w:p>
    <w:p>
      <w:pPr>
        <w:spacing w:line="400" w:lineRule="exact"/>
        <w:ind w:firstLine="480" w:firstLineChars="200"/>
        <w:rPr>
          <w:szCs w:val="21"/>
        </w:rPr>
      </w:pPr>
      <w:r>
        <w:rPr>
          <w:rFonts w:hint="eastAsia"/>
          <w:szCs w:val="21"/>
        </w:rPr>
        <w:t>（2）投入该工作所有人员的姓名、工种、级别和耗用工时；</w:t>
      </w:r>
    </w:p>
    <w:p>
      <w:pPr>
        <w:spacing w:line="400" w:lineRule="exact"/>
        <w:ind w:firstLine="480" w:firstLineChars="200"/>
        <w:rPr>
          <w:szCs w:val="21"/>
        </w:rPr>
      </w:pPr>
      <w:r>
        <w:rPr>
          <w:rFonts w:hint="eastAsia"/>
          <w:szCs w:val="21"/>
        </w:rPr>
        <w:t>（3）投入该工作的材料类别和数量；</w:t>
      </w:r>
    </w:p>
    <w:p>
      <w:pPr>
        <w:spacing w:line="400" w:lineRule="exact"/>
        <w:ind w:firstLine="480" w:firstLineChars="200"/>
        <w:rPr>
          <w:szCs w:val="21"/>
        </w:rPr>
      </w:pPr>
      <w:r>
        <w:rPr>
          <w:rFonts w:hint="eastAsia"/>
          <w:szCs w:val="21"/>
        </w:rPr>
        <w:t>（4）投入该工作的施工设备型号、台数和耗用台时；</w:t>
      </w:r>
    </w:p>
    <w:p>
      <w:pPr>
        <w:spacing w:line="400" w:lineRule="exact"/>
        <w:ind w:firstLine="480" w:firstLineChars="200"/>
        <w:rPr>
          <w:szCs w:val="21"/>
        </w:rPr>
      </w:pPr>
      <w:r>
        <w:rPr>
          <w:rFonts w:hint="eastAsia"/>
          <w:szCs w:val="21"/>
        </w:rPr>
        <w:t>（5）监理人要求提交的其他资料和凭证。</w:t>
      </w:r>
    </w:p>
    <w:p>
      <w:pPr>
        <w:spacing w:line="400" w:lineRule="exact"/>
        <w:ind w:firstLine="480" w:firstLineChars="200"/>
        <w:rPr>
          <w:szCs w:val="21"/>
        </w:rPr>
      </w:pPr>
      <w:r>
        <w:rPr>
          <w:rFonts w:hint="eastAsia"/>
          <w:szCs w:val="21"/>
        </w:rPr>
        <w:t>15.7.3 计日工由承包人汇总后，按第17.3.2项的约定列入进度付款申请单，由监理人复核并经发包人同意后列入进度付款。</w:t>
      </w:r>
    </w:p>
    <w:p>
      <w:pPr>
        <w:spacing w:line="400" w:lineRule="exact"/>
        <w:ind w:firstLine="480" w:firstLineChars="200"/>
        <w:rPr>
          <w:szCs w:val="21"/>
        </w:rPr>
      </w:pPr>
      <w:r>
        <w:rPr>
          <w:rFonts w:hint="eastAsia"/>
          <w:szCs w:val="21"/>
        </w:rPr>
        <w:t>15.8 暂估价</w:t>
      </w:r>
    </w:p>
    <w:p>
      <w:pPr>
        <w:spacing w:line="400" w:lineRule="exact"/>
        <w:ind w:firstLine="480" w:firstLineChars="200"/>
        <w:rPr>
          <w:szCs w:val="21"/>
        </w:rPr>
      </w:pPr>
      <w:r>
        <w:rPr>
          <w:rFonts w:hint="eastAsia"/>
          <w:szCs w:val="21"/>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spacing w:line="400" w:lineRule="exact"/>
        <w:ind w:firstLine="480" w:firstLineChars="200"/>
        <w:rPr>
          <w:szCs w:val="21"/>
        </w:rPr>
      </w:pPr>
      <w:r>
        <w:rPr>
          <w:rFonts w:hint="eastAsia"/>
          <w:szCs w:val="21"/>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spacing w:line="400" w:lineRule="exact"/>
        <w:ind w:firstLine="480" w:firstLineChars="200"/>
        <w:rPr>
          <w:szCs w:val="21"/>
        </w:rPr>
      </w:pPr>
      <w:r>
        <w:rPr>
          <w:rFonts w:hint="eastAsia"/>
          <w:szCs w:val="21"/>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spacing w:line="400" w:lineRule="exact"/>
        <w:ind w:firstLine="480" w:firstLineChars="200"/>
        <w:rPr>
          <w:szCs w:val="21"/>
        </w:rPr>
      </w:pPr>
      <w:r>
        <w:rPr>
          <w:rFonts w:hint="eastAsia"/>
          <w:szCs w:val="21"/>
        </w:rPr>
        <w:t>16. 价格调整</w:t>
      </w:r>
    </w:p>
    <w:p>
      <w:pPr>
        <w:spacing w:line="400" w:lineRule="exact"/>
        <w:ind w:firstLine="480" w:firstLineChars="200"/>
        <w:rPr>
          <w:szCs w:val="21"/>
        </w:rPr>
      </w:pPr>
      <w:r>
        <w:rPr>
          <w:rFonts w:hint="eastAsia"/>
          <w:szCs w:val="21"/>
        </w:rPr>
        <w:t>16.1 物价波动引起的价格调整</w:t>
      </w:r>
    </w:p>
    <w:p>
      <w:pPr>
        <w:spacing w:line="400" w:lineRule="exact"/>
        <w:ind w:firstLine="480" w:firstLineChars="200"/>
        <w:rPr>
          <w:szCs w:val="21"/>
        </w:rPr>
      </w:pPr>
      <w:r>
        <w:rPr>
          <w:rFonts w:hint="eastAsia"/>
          <w:szCs w:val="21"/>
        </w:rPr>
        <w:t>除专用合同条款另有约定外，因物价波动引起的价格调整按照本款约定处理。</w:t>
      </w:r>
    </w:p>
    <w:p>
      <w:pPr>
        <w:spacing w:line="400" w:lineRule="exact"/>
        <w:ind w:firstLine="480" w:firstLineChars="200"/>
        <w:rPr>
          <w:szCs w:val="21"/>
        </w:rPr>
      </w:pPr>
      <w:r>
        <w:rPr>
          <w:rFonts w:hint="eastAsia"/>
          <w:szCs w:val="21"/>
        </w:rPr>
        <w:t>16.1.1 采用价格指数调整价格差额</w:t>
      </w:r>
    </w:p>
    <w:p>
      <w:pPr>
        <w:spacing w:line="400" w:lineRule="exact"/>
        <w:ind w:firstLine="480" w:firstLineChars="200"/>
        <w:rPr>
          <w:szCs w:val="21"/>
        </w:rPr>
      </w:pPr>
      <w:r>
        <w:rPr>
          <w:rFonts w:hint="eastAsia"/>
          <w:szCs w:val="21"/>
        </w:rPr>
        <w:t>16.1.1.1 价格调整公式</w:t>
      </w:r>
    </w:p>
    <w:p>
      <w:pPr>
        <w:spacing w:line="400" w:lineRule="exact"/>
        <w:ind w:firstLine="480" w:firstLineChars="200"/>
        <w:rPr>
          <w:szCs w:val="21"/>
        </w:rPr>
      </w:pPr>
      <w:r>
        <w:rPr>
          <w:rFonts w:hint="eastAsia"/>
          <w:szCs w:val="21"/>
        </w:rPr>
        <w:t>因人工、材料和设备等价格波动影响合同价格时，根据投标函附录中的价格指数和权重表约定的数据，按以下公式计算差额并调整合同价格。</w:t>
      </w:r>
    </w:p>
    <w:p>
      <w:pPr>
        <w:spacing w:line="400" w:lineRule="exact"/>
        <w:ind w:firstLine="480" w:firstLineChars="200"/>
        <w:rPr>
          <w:szCs w:val="21"/>
        </w:rPr>
      </w:pPr>
      <w:r>
        <w:rPr>
          <w:szCs w:val="21"/>
        </w:rPr>
        <w:t xml:space="preserve">         </w:t>
      </w:r>
    </w:p>
    <w:p>
      <w:pPr>
        <w:spacing w:line="400" w:lineRule="exact"/>
        <w:ind w:firstLine="480" w:firstLineChars="200"/>
        <w:rPr>
          <w:szCs w:val="21"/>
        </w:rPr>
      </w:pPr>
      <w:r>
        <w:rPr>
          <w:rFonts w:hint="eastAsia"/>
          <w:szCs w:val="21"/>
        </w:rPr>
        <w:t>式中： △P -- 需调整的价格差额；</w:t>
      </w:r>
    </w:p>
    <w:p>
      <w:pPr>
        <w:spacing w:line="400" w:lineRule="exact"/>
        <w:ind w:firstLine="480" w:firstLineChars="200"/>
        <w:rPr>
          <w:szCs w:val="21"/>
        </w:rPr>
      </w:pPr>
      <w:r>
        <w:rPr>
          <w:rFonts w:hint="eastAsia"/>
          <w:szCs w:val="21"/>
        </w:rPr>
        <w:tab/>
      </w:r>
      <w:r>
        <w:rPr>
          <w:rFonts w:hint="eastAsia"/>
          <w:szCs w:val="21"/>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spacing w:line="400" w:lineRule="exact"/>
        <w:ind w:firstLine="480" w:firstLineChars="200"/>
        <w:rPr>
          <w:szCs w:val="21"/>
        </w:rPr>
      </w:pPr>
      <w:r>
        <w:rPr>
          <w:rFonts w:hint="eastAsia"/>
          <w:szCs w:val="21"/>
        </w:rPr>
        <w:tab/>
      </w:r>
      <w:r>
        <w:rPr>
          <w:rFonts w:hint="eastAsia"/>
          <w:szCs w:val="21"/>
        </w:rPr>
        <w:t>A -- 定值权重(即不调部分的权重)；</w:t>
      </w:r>
    </w:p>
    <w:p>
      <w:pPr>
        <w:spacing w:line="400" w:lineRule="exact"/>
        <w:ind w:firstLine="480" w:firstLineChars="200"/>
        <w:rPr>
          <w:szCs w:val="21"/>
        </w:rPr>
      </w:pPr>
      <w:r>
        <w:rPr>
          <w:rFonts w:hint="eastAsia"/>
          <w:szCs w:val="21"/>
        </w:rPr>
        <w:tab/>
      </w:r>
      <w:r>
        <w:rPr>
          <w:rFonts w:hint="eastAsia"/>
          <w:szCs w:val="21"/>
        </w:rPr>
        <w:t>B1; B2 ;B3·····Bn -- 各可调因子的变值权重(即可调部分的权重)为各可调因子在投标函投标总报价中所占的比例；</w:t>
      </w:r>
    </w:p>
    <w:p>
      <w:pPr>
        <w:spacing w:line="400" w:lineRule="exact"/>
        <w:ind w:firstLine="480" w:firstLineChars="200"/>
        <w:rPr>
          <w:szCs w:val="21"/>
        </w:rPr>
      </w:pPr>
      <w:r>
        <w:rPr>
          <w:rFonts w:hint="eastAsia"/>
          <w:szCs w:val="21"/>
        </w:rPr>
        <w:tab/>
      </w:r>
      <w:r>
        <w:rPr>
          <w:rFonts w:hint="eastAsia"/>
          <w:szCs w:val="21"/>
        </w:rPr>
        <w:t>Ft1 ;Ft2 ;Ft3·····Ftn -- 各可调因子的现行价格指数，指第17.3.3项、第17.5.2项和第17.6.2项约定的付款证书相关周期最后一天的前42天的各可调因子的价格指数；</w:t>
      </w:r>
    </w:p>
    <w:p>
      <w:pPr>
        <w:spacing w:line="400" w:lineRule="exact"/>
        <w:ind w:firstLine="480" w:firstLineChars="200"/>
        <w:rPr>
          <w:szCs w:val="21"/>
        </w:rPr>
      </w:pPr>
      <w:r>
        <w:rPr>
          <w:rFonts w:hint="eastAsia"/>
          <w:szCs w:val="21"/>
        </w:rPr>
        <w:tab/>
      </w:r>
      <w:r>
        <w:rPr>
          <w:rFonts w:hint="eastAsia"/>
          <w:szCs w:val="21"/>
        </w:rPr>
        <w:t>Fo1; Fo2; Fo3·····Fon -- 各可调因子的基本价格指数，指基准日期的各可调因子的价格指数。</w:t>
      </w:r>
    </w:p>
    <w:p>
      <w:pPr>
        <w:spacing w:line="400" w:lineRule="exact"/>
        <w:ind w:firstLine="480" w:firstLineChars="200"/>
        <w:rPr>
          <w:szCs w:val="21"/>
        </w:rPr>
      </w:pPr>
      <w:r>
        <w:rPr>
          <w:rFonts w:hint="eastAsia"/>
          <w:szCs w:val="21"/>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pacing w:line="400" w:lineRule="exact"/>
        <w:ind w:firstLine="480" w:firstLineChars="200"/>
        <w:rPr>
          <w:szCs w:val="21"/>
        </w:rPr>
      </w:pPr>
      <w:r>
        <w:rPr>
          <w:rFonts w:hint="eastAsia"/>
          <w:szCs w:val="21"/>
        </w:rPr>
        <w:t>16.1.1.2 暂时确定调整差额</w:t>
      </w:r>
    </w:p>
    <w:p>
      <w:pPr>
        <w:spacing w:line="400" w:lineRule="exact"/>
        <w:ind w:firstLine="480" w:firstLineChars="200"/>
        <w:rPr>
          <w:szCs w:val="21"/>
        </w:rPr>
      </w:pPr>
      <w:r>
        <w:rPr>
          <w:rFonts w:hint="eastAsia"/>
          <w:szCs w:val="21"/>
        </w:rPr>
        <w:t>在计算调整差额时得不到现行价格指数的，可暂用上一次价格指数计算，并在以后的付款中再按实际价格指数进行调整。</w:t>
      </w:r>
    </w:p>
    <w:p>
      <w:pPr>
        <w:spacing w:line="400" w:lineRule="exact"/>
        <w:ind w:firstLine="480" w:firstLineChars="200"/>
        <w:rPr>
          <w:szCs w:val="21"/>
        </w:rPr>
      </w:pPr>
      <w:r>
        <w:rPr>
          <w:rFonts w:hint="eastAsia"/>
          <w:szCs w:val="21"/>
        </w:rPr>
        <w:t>16.1.1.3 权重的调整</w:t>
      </w:r>
    </w:p>
    <w:p>
      <w:pPr>
        <w:spacing w:line="400" w:lineRule="exact"/>
        <w:ind w:firstLine="480" w:firstLineChars="200"/>
        <w:rPr>
          <w:szCs w:val="21"/>
        </w:rPr>
      </w:pPr>
      <w:r>
        <w:rPr>
          <w:rFonts w:hint="eastAsia"/>
          <w:szCs w:val="21"/>
        </w:rPr>
        <w:t>按第15.1款约定的变更导致原定合同中的权重不合理时，由监理人与承包人和发包人协商后进行调整。</w:t>
      </w:r>
    </w:p>
    <w:p>
      <w:pPr>
        <w:spacing w:line="400" w:lineRule="exact"/>
        <w:ind w:firstLine="480" w:firstLineChars="200"/>
        <w:rPr>
          <w:szCs w:val="21"/>
        </w:rPr>
      </w:pPr>
      <w:r>
        <w:rPr>
          <w:rFonts w:hint="eastAsia"/>
          <w:szCs w:val="21"/>
        </w:rPr>
        <w:t>16.1.1.4 承包人工期延误后的价格调整</w:t>
      </w:r>
    </w:p>
    <w:p>
      <w:pPr>
        <w:spacing w:line="400" w:lineRule="exact"/>
        <w:ind w:firstLine="480" w:firstLineChars="200"/>
        <w:rPr>
          <w:szCs w:val="21"/>
        </w:rPr>
      </w:pPr>
      <w:r>
        <w:rPr>
          <w:rFonts w:hint="eastAsia"/>
          <w:szCs w:val="21"/>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spacing w:line="400" w:lineRule="exact"/>
        <w:ind w:firstLine="480" w:firstLineChars="200"/>
        <w:rPr>
          <w:szCs w:val="21"/>
        </w:rPr>
      </w:pPr>
      <w:r>
        <w:rPr>
          <w:rFonts w:hint="eastAsia"/>
          <w:szCs w:val="21"/>
        </w:rPr>
        <w:t>16.1.2 采用造价信息调整价格差额</w:t>
      </w:r>
    </w:p>
    <w:p>
      <w:pPr>
        <w:spacing w:line="400" w:lineRule="exact"/>
        <w:ind w:firstLine="480" w:firstLineChars="200"/>
        <w:rPr>
          <w:szCs w:val="21"/>
        </w:rPr>
      </w:pPr>
      <w:r>
        <w:rPr>
          <w:rFonts w:hint="eastAsia"/>
          <w:szCs w:val="21"/>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spacing w:line="400" w:lineRule="exact"/>
        <w:ind w:firstLine="480" w:firstLineChars="200"/>
        <w:rPr>
          <w:szCs w:val="21"/>
        </w:rPr>
      </w:pPr>
      <w:r>
        <w:rPr>
          <w:rFonts w:hint="eastAsia"/>
          <w:szCs w:val="21"/>
        </w:rPr>
        <w:t>16.2 法律变化引起的价格调整</w:t>
      </w:r>
    </w:p>
    <w:p>
      <w:pPr>
        <w:spacing w:line="400" w:lineRule="exact"/>
        <w:ind w:firstLine="480" w:firstLineChars="200"/>
        <w:rPr>
          <w:szCs w:val="21"/>
        </w:rPr>
      </w:pPr>
      <w:r>
        <w:rPr>
          <w:rFonts w:hint="eastAsia"/>
          <w:szCs w:val="21"/>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spacing w:line="400" w:lineRule="exact"/>
        <w:ind w:firstLine="480" w:firstLineChars="200"/>
        <w:rPr>
          <w:szCs w:val="21"/>
        </w:rPr>
      </w:pPr>
      <w:r>
        <w:rPr>
          <w:rFonts w:hint="eastAsia"/>
          <w:szCs w:val="21"/>
        </w:rPr>
        <w:t>17. 计量与支付</w:t>
      </w:r>
    </w:p>
    <w:p>
      <w:pPr>
        <w:spacing w:line="400" w:lineRule="exact"/>
        <w:ind w:firstLine="480" w:firstLineChars="200"/>
        <w:rPr>
          <w:szCs w:val="21"/>
        </w:rPr>
      </w:pPr>
      <w:r>
        <w:rPr>
          <w:rFonts w:hint="eastAsia"/>
          <w:szCs w:val="21"/>
        </w:rPr>
        <w:t>17.1 计量</w:t>
      </w:r>
    </w:p>
    <w:p>
      <w:pPr>
        <w:spacing w:line="400" w:lineRule="exact"/>
        <w:ind w:firstLine="480" w:firstLineChars="200"/>
        <w:rPr>
          <w:szCs w:val="21"/>
        </w:rPr>
      </w:pPr>
      <w:r>
        <w:rPr>
          <w:rFonts w:hint="eastAsia"/>
          <w:szCs w:val="21"/>
        </w:rPr>
        <w:t>17.1.1 计量单位</w:t>
      </w:r>
    </w:p>
    <w:p>
      <w:pPr>
        <w:spacing w:line="400" w:lineRule="exact"/>
        <w:ind w:firstLine="480" w:firstLineChars="200"/>
        <w:rPr>
          <w:szCs w:val="21"/>
        </w:rPr>
      </w:pPr>
      <w:r>
        <w:rPr>
          <w:rFonts w:hint="eastAsia"/>
          <w:szCs w:val="21"/>
        </w:rPr>
        <w:t>计量采用国家法定的计量单位。</w:t>
      </w:r>
    </w:p>
    <w:p>
      <w:pPr>
        <w:spacing w:line="400" w:lineRule="exact"/>
        <w:ind w:firstLine="480" w:firstLineChars="200"/>
        <w:rPr>
          <w:szCs w:val="21"/>
        </w:rPr>
      </w:pPr>
      <w:r>
        <w:rPr>
          <w:rFonts w:hint="eastAsia"/>
          <w:szCs w:val="21"/>
        </w:rPr>
        <w:t>17.1.2 计量方法</w:t>
      </w:r>
    </w:p>
    <w:p>
      <w:pPr>
        <w:spacing w:line="400" w:lineRule="exact"/>
        <w:ind w:firstLine="480" w:firstLineChars="200"/>
        <w:rPr>
          <w:szCs w:val="21"/>
        </w:rPr>
      </w:pPr>
      <w:r>
        <w:rPr>
          <w:rFonts w:hint="eastAsia"/>
          <w:szCs w:val="21"/>
        </w:rPr>
        <w:t>工程量清单中的工程量计算规则应按有关国家标准、行业标准的规定，并在合同中约定执行。</w:t>
      </w:r>
    </w:p>
    <w:p>
      <w:pPr>
        <w:spacing w:line="400" w:lineRule="exact"/>
        <w:ind w:firstLine="480" w:firstLineChars="200"/>
        <w:rPr>
          <w:szCs w:val="21"/>
        </w:rPr>
      </w:pPr>
      <w:r>
        <w:rPr>
          <w:rFonts w:hint="eastAsia"/>
          <w:szCs w:val="21"/>
        </w:rPr>
        <w:t>17.1.3 计量周期</w:t>
      </w:r>
    </w:p>
    <w:p>
      <w:pPr>
        <w:spacing w:line="400" w:lineRule="exact"/>
        <w:ind w:firstLine="480" w:firstLineChars="200"/>
        <w:rPr>
          <w:szCs w:val="21"/>
        </w:rPr>
      </w:pPr>
      <w:r>
        <w:rPr>
          <w:rFonts w:hint="eastAsia"/>
          <w:szCs w:val="21"/>
        </w:rPr>
        <w:t>除专用合同条款另有约定外，单价子目已完成工程量按月计量，总价子目的计量周期按批准的支付分解报告确定。</w:t>
      </w:r>
    </w:p>
    <w:p>
      <w:pPr>
        <w:spacing w:line="400" w:lineRule="exact"/>
        <w:ind w:firstLine="480" w:firstLineChars="200"/>
        <w:rPr>
          <w:szCs w:val="21"/>
        </w:rPr>
      </w:pPr>
      <w:r>
        <w:rPr>
          <w:rFonts w:hint="eastAsia"/>
          <w:szCs w:val="21"/>
        </w:rPr>
        <w:t>17.1.4 单价子目的计量</w:t>
      </w:r>
    </w:p>
    <w:p>
      <w:pPr>
        <w:spacing w:line="400" w:lineRule="exact"/>
        <w:ind w:firstLine="480" w:firstLineChars="200"/>
        <w:rPr>
          <w:szCs w:val="21"/>
        </w:rPr>
      </w:pPr>
      <w:r>
        <w:rPr>
          <w:rFonts w:hint="eastAsia"/>
          <w:szCs w:val="21"/>
        </w:rPr>
        <w:t>（1）已标价工程量清单中的单价子目工程量为估算工程量。结算工程量是承包人实际完成的，并按合同约定的计量方法进行计量的工程量。</w:t>
      </w:r>
    </w:p>
    <w:p>
      <w:pPr>
        <w:spacing w:line="400" w:lineRule="exact"/>
        <w:ind w:firstLine="480" w:firstLineChars="200"/>
        <w:rPr>
          <w:szCs w:val="21"/>
        </w:rPr>
      </w:pPr>
      <w:r>
        <w:rPr>
          <w:rFonts w:hint="eastAsia"/>
          <w:szCs w:val="21"/>
        </w:rPr>
        <w:t>（2）承包人对已完成的工程进行计量，向监理人提交进度付款申请单、已完成工程量报表和有关计量资料。</w:t>
      </w:r>
    </w:p>
    <w:p>
      <w:pPr>
        <w:spacing w:line="400" w:lineRule="exact"/>
        <w:ind w:firstLine="480" w:firstLineChars="200"/>
        <w:rPr>
          <w:szCs w:val="21"/>
        </w:rPr>
      </w:pPr>
      <w:r>
        <w:rPr>
          <w:rFonts w:hint="eastAsia"/>
          <w:szCs w:val="21"/>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spacing w:line="400" w:lineRule="exact"/>
        <w:ind w:firstLine="480" w:firstLineChars="200"/>
        <w:rPr>
          <w:szCs w:val="21"/>
        </w:rPr>
      </w:pPr>
      <w:r>
        <w:rPr>
          <w:rFonts w:hint="eastAsia"/>
          <w:szCs w:val="21"/>
        </w:rPr>
        <w:t>（4）监理人认为有必要时，可通知承包人共同进行联合测量、计量，承包人应遵照执行。</w:t>
      </w:r>
    </w:p>
    <w:p>
      <w:pPr>
        <w:spacing w:line="400" w:lineRule="exact"/>
        <w:ind w:firstLine="480" w:firstLineChars="200"/>
        <w:rPr>
          <w:szCs w:val="21"/>
        </w:rPr>
      </w:pPr>
      <w:r>
        <w:rPr>
          <w:rFonts w:hint="eastAsia"/>
          <w:szCs w:val="21"/>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spacing w:line="400" w:lineRule="exact"/>
        <w:ind w:firstLine="480" w:firstLineChars="200"/>
        <w:rPr>
          <w:szCs w:val="21"/>
        </w:rPr>
      </w:pPr>
      <w:r>
        <w:rPr>
          <w:rFonts w:hint="eastAsia"/>
          <w:szCs w:val="21"/>
        </w:rPr>
        <w:t>（6）监理人应在收到承包人提交的工程量报表后的7天内进行复核，监理人未在约定时间内复核的，承包人提交的工程量报表中的工程量视为承包人实际完成的工程量，据此计算工程价款。</w:t>
      </w:r>
    </w:p>
    <w:p>
      <w:pPr>
        <w:spacing w:line="400" w:lineRule="exact"/>
        <w:ind w:firstLine="480" w:firstLineChars="200"/>
        <w:rPr>
          <w:szCs w:val="21"/>
        </w:rPr>
      </w:pPr>
      <w:r>
        <w:rPr>
          <w:rFonts w:hint="eastAsia"/>
          <w:szCs w:val="21"/>
        </w:rPr>
        <w:t>17.1.5 总价子目的计量</w:t>
      </w:r>
    </w:p>
    <w:p>
      <w:pPr>
        <w:spacing w:line="400" w:lineRule="exact"/>
        <w:ind w:firstLine="480" w:firstLineChars="200"/>
        <w:rPr>
          <w:szCs w:val="21"/>
        </w:rPr>
      </w:pPr>
      <w:r>
        <w:rPr>
          <w:rFonts w:hint="eastAsia"/>
          <w:szCs w:val="21"/>
        </w:rPr>
        <w:t>除专用合同条款另有约定外，总价子目的分解和计量按照下述约定进行。</w:t>
      </w:r>
    </w:p>
    <w:p>
      <w:pPr>
        <w:spacing w:line="400" w:lineRule="exact"/>
        <w:ind w:firstLine="480" w:firstLineChars="200"/>
        <w:rPr>
          <w:szCs w:val="21"/>
        </w:rPr>
      </w:pPr>
      <w:r>
        <w:rPr>
          <w:rFonts w:hint="eastAsia"/>
          <w:szCs w:val="21"/>
        </w:rPr>
        <w:t>（1）总价子目的计量和支付应以总价为基础，不因第16.1款中的因素而进行调整。承包人实际完成的工程量，是进行工程目标管理和控制进度支付的依据。</w:t>
      </w:r>
    </w:p>
    <w:p>
      <w:pPr>
        <w:spacing w:line="400" w:lineRule="exact"/>
        <w:ind w:firstLine="480" w:firstLineChars="200"/>
        <w:rPr>
          <w:szCs w:val="21"/>
        </w:rPr>
      </w:pPr>
      <w:r>
        <w:rPr>
          <w:rFonts w:hint="eastAsia"/>
          <w:szCs w:val="21"/>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spacing w:line="400" w:lineRule="exact"/>
        <w:ind w:firstLine="480" w:firstLineChars="200"/>
        <w:rPr>
          <w:szCs w:val="21"/>
        </w:rPr>
      </w:pPr>
      <w:r>
        <w:rPr>
          <w:rFonts w:hint="eastAsia"/>
          <w:szCs w:val="21"/>
        </w:rPr>
        <w:t>（3）监理人对承包人提交的上述资料进行复核，以确定分阶段实际完成的工程量和工程形象目标。对其有异议的，可要求承包人按第8.2款约定进行共同复核和抽样复测。</w:t>
      </w:r>
    </w:p>
    <w:p>
      <w:pPr>
        <w:spacing w:line="400" w:lineRule="exact"/>
        <w:ind w:firstLine="480" w:firstLineChars="200"/>
        <w:rPr>
          <w:szCs w:val="21"/>
        </w:rPr>
      </w:pPr>
      <w:r>
        <w:rPr>
          <w:rFonts w:hint="eastAsia"/>
          <w:szCs w:val="21"/>
        </w:rPr>
        <w:t xml:space="preserve">（4）除按照第15条约定的变更外，总价子目的工程量是承包人用于结算的最终工程量。 </w:t>
      </w:r>
    </w:p>
    <w:p>
      <w:pPr>
        <w:spacing w:line="400" w:lineRule="exact"/>
        <w:ind w:firstLine="480" w:firstLineChars="200"/>
        <w:rPr>
          <w:szCs w:val="21"/>
        </w:rPr>
      </w:pPr>
      <w:r>
        <w:rPr>
          <w:rFonts w:hint="eastAsia"/>
          <w:szCs w:val="21"/>
        </w:rPr>
        <w:t>17.2 预付款</w:t>
      </w:r>
    </w:p>
    <w:p>
      <w:pPr>
        <w:spacing w:line="400" w:lineRule="exact"/>
        <w:ind w:firstLine="480" w:firstLineChars="200"/>
        <w:rPr>
          <w:szCs w:val="21"/>
        </w:rPr>
      </w:pPr>
      <w:r>
        <w:rPr>
          <w:rFonts w:hint="eastAsia"/>
          <w:szCs w:val="21"/>
        </w:rPr>
        <w:t>17.2.1 预付款</w:t>
      </w:r>
    </w:p>
    <w:p>
      <w:pPr>
        <w:spacing w:line="400" w:lineRule="exact"/>
        <w:ind w:firstLine="480" w:firstLineChars="200"/>
        <w:rPr>
          <w:szCs w:val="21"/>
        </w:rPr>
      </w:pPr>
      <w:r>
        <w:rPr>
          <w:rFonts w:hint="eastAsia"/>
          <w:szCs w:val="21"/>
        </w:rPr>
        <w:t>预付款用于承包人为合同工程施工购置材料、工程设备、施工设备、修建临时设施以及组织施工队伍进场等。预付款的额度和预付办法在专用合同条款中约定。预付款必须专用于合同工程。</w:t>
      </w:r>
    </w:p>
    <w:p>
      <w:pPr>
        <w:spacing w:line="400" w:lineRule="exact"/>
        <w:ind w:firstLine="480" w:firstLineChars="200"/>
        <w:rPr>
          <w:szCs w:val="21"/>
        </w:rPr>
      </w:pPr>
      <w:r>
        <w:rPr>
          <w:rFonts w:hint="eastAsia"/>
          <w:szCs w:val="21"/>
        </w:rPr>
        <w:t>17.2.2 预付款保函</w:t>
      </w:r>
    </w:p>
    <w:p>
      <w:pPr>
        <w:spacing w:line="400" w:lineRule="exact"/>
        <w:ind w:firstLine="480" w:firstLineChars="200"/>
        <w:rPr>
          <w:szCs w:val="21"/>
        </w:rPr>
      </w:pPr>
      <w:r>
        <w:rPr>
          <w:rFonts w:hint="eastAsia"/>
          <w:szCs w:val="21"/>
        </w:rPr>
        <w:t>除专用合同条款另有约定外，承包人应在收到预付款的同时向发包人提交预付款保函，预付款保函的担保金额应与预付款金额相同。保函的担保金额可根据预付款扣回的金额相应递减。</w:t>
      </w:r>
    </w:p>
    <w:p>
      <w:pPr>
        <w:spacing w:line="400" w:lineRule="exact"/>
        <w:ind w:firstLine="480" w:firstLineChars="200"/>
        <w:rPr>
          <w:szCs w:val="21"/>
        </w:rPr>
      </w:pPr>
      <w:r>
        <w:rPr>
          <w:rFonts w:hint="eastAsia"/>
          <w:szCs w:val="21"/>
        </w:rPr>
        <w:t>17.2.3 预付款的扣回与还清</w:t>
      </w:r>
    </w:p>
    <w:p>
      <w:pPr>
        <w:spacing w:line="400" w:lineRule="exact"/>
        <w:ind w:firstLine="480" w:firstLineChars="200"/>
        <w:rPr>
          <w:szCs w:val="21"/>
        </w:rPr>
      </w:pPr>
      <w:r>
        <w:rPr>
          <w:rFonts w:hint="eastAsia"/>
          <w:szCs w:val="21"/>
        </w:rPr>
        <w:t>预付款在进度付款中扣回，扣回办法在专用合同条款中约定。在颁发工程接收证书前，由于不可抗力或其他原因解除合同时，预付款尚未扣清的，尚未扣清的预付款余额应作为承包人的到期应付款。</w:t>
      </w:r>
    </w:p>
    <w:p>
      <w:pPr>
        <w:spacing w:line="400" w:lineRule="exact"/>
        <w:ind w:firstLine="480" w:firstLineChars="200"/>
        <w:rPr>
          <w:szCs w:val="21"/>
        </w:rPr>
      </w:pPr>
      <w:r>
        <w:rPr>
          <w:rFonts w:hint="eastAsia"/>
          <w:szCs w:val="21"/>
        </w:rPr>
        <w:t>17.3 工程进度付款</w:t>
      </w:r>
    </w:p>
    <w:p>
      <w:pPr>
        <w:spacing w:line="400" w:lineRule="exact"/>
        <w:ind w:firstLine="480" w:firstLineChars="200"/>
        <w:rPr>
          <w:szCs w:val="21"/>
        </w:rPr>
      </w:pPr>
      <w:r>
        <w:rPr>
          <w:rFonts w:hint="eastAsia"/>
          <w:szCs w:val="21"/>
        </w:rPr>
        <w:t>17.3.1 付款周期</w:t>
      </w:r>
    </w:p>
    <w:p>
      <w:pPr>
        <w:spacing w:line="400" w:lineRule="exact"/>
        <w:ind w:firstLine="480" w:firstLineChars="200"/>
        <w:rPr>
          <w:szCs w:val="21"/>
        </w:rPr>
      </w:pPr>
      <w:r>
        <w:rPr>
          <w:rFonts w:hint="eastAsia"/>
          <w:szCs w:val="21"/>
        </w:rPr>
        <w:t>付款周期同计量周期。</w:t>
      </w:r>
    </w:p>
    <w:p>
      <w:pPr>
        <w:spacing w:line="400" w:lineRule="exact"/>
        <w:ind w:firstLine="480" w:firstLineChars="200"/>
        <w:rPr>
          <w:szCs w:val="21"/>
        </w:rPr>
      </w:pPr>
      <w:r>
        <w:rPr>
          <w:rFonts w:hint="eastAsia"/>
          <w:szCs w:val="21"/>
        </w:rPr>
        <w:t>17.3.2 进度付款申请单</w:t>
      </w:r>
    </w:p>
    <w:p>
      <w:pPr>
        <w:spacing w:line="400" w:lineRule="exact"/>
        <w:ind w:firstLine="480" w:firstLineChars="200"/>
        <w:rPr>
          <w:szCs w:val="21"/>
        </w:rPr>
      </w:pPr>
      <w:r>
        <w:rPr>
          <w:rFonts w:hint="eastAsia"/>
          <w:szCs w:val="21"/>
        </w:rPr>
        <w:t>承包人应在每个付款周期末，按监理人批准的格式和专用合同条款约定的份数，向监理人提交进度付款申请单，并附相应的支持性证明文件。除专用合同条款另有约定外，进度付款申请单应包括下列内容：</w:t>
      </w:r>
    </w:p>
    <w:p>
      <w:pPr>
        <w:spacing w:line="400" w:lineRule="exact"/>
        <w:ind w:firstLine="480" w:firstLineChars="200"/>
        <w:rPr>
          <w:szCs w:val="21"/>
        </w:rPr>
      </w:pPr>
      <w:r>
        <w:rPr>
          <w:rFonts w:hint="eastAsia"/>
          <w:szCs w:val="21"/>
        </w:rPr>
        <w:t>（1）截至本次付款周期末已实施工程的价款；</w:t>
      </w:r>
    </w:p>
    <w:p>
      <w:pPr>
        <w:spacing w:line="400" w:lineRule="exact"/>
        <w:ind w:firstLine="480" w:firstLineChars="200"/>
        <w:rPr>
          <w:szCs w:val="21"/>
        </w:rPr>
      </w:pPr>
      <w:r>
        <w:rPr>
          <w:rFonts w:hint="eastAsia"/>
          <w:szCs w:val="21"/>
        </w:rPr>
        <w:t>（2）根据第15条应增加和扣减的变更金额；</w:t>
      </w:r>
    </w:p>
    <w:p>
      <w:pPr>
        <w:spacing w:line="400" w:lineRule="exact"/>
        <w:ind w:firstLine="480" w:firstLineChars="200"/>
        <w:rPr>
          <w:szCs w:val="21"/>
        </w:rPr>
      </w:pPr>
      <w:r>
        <w:rPr>
          <w:rFonts w:hint="eastAsia"/>
          <w:szCs w:val="21"/>
        </w:rPr>
        <w:t>（3）根据第23条应增加和扣减的索赔金额；</w:t>
      </w:r>
    </w:p>
    <w:p>
      <w:pPr>
        <w:spacing w:line="400" w:lineRule="exact"/>
        <w:ind w:firstLine="480" w:firstLineChars="200"/>
        <w:rPr>
          <w:szCs w:val="21"/>
        </w:rPr>
      </w:pPr>
      <w:r>
        <w:rPr>
          <w:rFonts w:hint="eastAsia"/>
          <w:szCs w:val="21"/>
        </w:rPr>
        <w:t>（4）根据第17.2款约定应支付的预付款和扣减的返还预付款；</w:t>
      </w:r>
    </w:p>
    <w:p>
      <w:pPr>
        <w:spacing w:line="400" w:lineRule="exact"/>
        <w:ind w:firstLine="480" w:firstLineChars="200"/>
        <w:rPr>
          <w:szCs w:val="21"/>
        </w:rPr>
      </w:pPr>
      <w:r>
        <w:rPr>
          <w:rFonts w:hint="eastAsia"/>
          <w:szCs w:val="21"/>
        </w:rPr>
        <w:t>（5）根据第17.4.1项约定应扣减的质量保证金；</w:t>
      </w:r>
    </w:p>
    <w:p>
      <w:pPr>
        <w:spacing w:line="400" w:lineRule="exact"/>
        <w:ind w:firstLine="480" w:firstLineChars="200"/>
        <w:rPr>
          <w:szCs w:val="21"/>
        </w:rPr>
      </w:pPr>
      <w:r>
        <w:rPr>
          <w:rFonts w:hint="eastAsia"/>
          <w:szCs w:val="21"/>
        </w:rPr>
        <w:t>（6）根据合同应增加和扣减的其他金额。</w:t>
      </w:r>
    </w:p>
    <w:p>
      <w:pPr>
        <w:spacing w:line="400" w:lineRule="exact"/>
        <w:ind w:firstLine="480" w:firstLineChars="200"/>
        <w:rPr>
          <w:szCs w:val="21"/>
        </w:rPr>
      </w:pPr>
      <w:r>
        <w:rPr>
          <w:rFonts w:hint="eastAsia"/>
          <w:szCs w:val="21"/>
        </w:rPr>
        <w:t>17.3.3 进度付款证书和支付时间</w:t>
      </w:r>
    </w:p>
    <w:p>
      <w:pPr>
        <w:spacing w:line="400" w:lineRule="exact"/>
        <w:ind w:firstLine="480" w:firstLineChars="200"/>
        <w:rPr>
          <w:szCs w:val="21"/>
        </w:rPr>
      </w:pPr>
      <w:r>
        <w:rPr>
          <w:rFonts w:hint="eastAsia"/>
          <w:szCs w:val="21"/>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400" w:lineRule="exact"/>
        <w:ind w:firstLine="480" w:firstLineChars="200"/>
        <w:rPr>
          <w:szCs w:val="21"/>
        </w:rPr>
      </w:pPr>
      <w:r>
        <w:rPr>
          <w:rFonts w:hint="eastAsia"/>
          <w:szCs w:val="21"/>
        </w:rPr>
        <w:t>（2）发包人应在监理人收到进度付款申请单后的28天内，将进度应付款支付给承包人。发包人不按期支付的，按专用合同条款的约定支付逾期付款违约金。</w:t>
      </w:r>
    </w:p>
    <w:p>
      <w:pPr>
        <w:spacing w:line="400" w:lineRule="exact"/>
        <w:ind w:firstLine="480" w:firstLineChars="200"/>
        <w:rPr>
          <w:szCs w:val="21"/>
        </w:rPr>
      </w:pPr>
      <w:r>
        <w:rPr>
          <w:rFonts w:hint="eastAsia"/>
          <w:szCs w:val="21"/>
        </w:rPr>
        <w:t>（3）监理人出具进度付款证书，不应视为监理人已同意、批准或接受了承包人完成的该部分工作。</w:t>
      </w:r>
    </w:p>
    <w:p>
      <w:pPr>
        <w:spacing w:line="400" w:lineRule="exact"/>
        <w:ind w:firstLine="480" w:firstLineChars="200"/>
        <w:rPr>
          <w:szCs w:val="21"/>
        </w:rPr>
      </w:pPr>
      <w:r>
        <w:rPr>
          <w:rFonts w:hint="eastAsia"/>
          <w:szCs w:val="21"/>
        </w:rPr>
        <w:t>（4）进度付款涉及政府投资资金的，按照国库集中支付等国家相关规定和专用合同条款的约定办理。</w:t>
      </w:r>
    </w:p>
    <w:p>
      <w:pPr>
        <w:spacing w:line="400" w:lineRule="exact"/>
        <w:ind w:firstLine="480" w:firstLineChars="200"/>
        <w:rPr>
          <w:szCs w:val="21"/>
        </w:rPr>
      </w:pPr>
      <w:r>
        <w:rPr>
          <w:rFonts w:hint="eastAsia"/>
          <w:szCs w:val="21"/>
        </w:rPr>
        <w:t>17.3.4 工程进度付款的修正</w:t>
      </w:r>
    </w:p>
    <w:p>
      <w:pPr>
        <w:spacing w:line="400" w:lineRule="exact"/>
        <w:ind w:firstLine="480" w:firstLineChars="200"/>
        <w:rPr>
          <w:szCs w:val="21"/>
        </w:rPr>
      </w:pPr>
      <w:r>
        <w:rPr>
          <w:rFonts w:hint="eastAsia"/>
          <w:szCs w:val="21"/>
        </w:rPr>
        <w:t>在对以往历次已签发的进度付款证书进行汇总和复核中发现错、漏或重复的，监理人有权予以修正，承包人也有权提出修正申请。经双方复核同意的修正，应在本次进度付款中支付或扣除。</w:t>
      </w:r>
    </w:p>
    <w:p>
      <w:pPr>
        <w:spacing w:line="400" w:lineRule="exact"/>
        <w:ind w:firstLine="480" w:firstLineChars="200"/>
        <w:rPr>
          <w:szCs w:val="21"/>
        </w:rPr>
      </w:pPr>
      <w:r>
        <w:rPr>
          <w:rFonts w:hint="eastAsia"/>
          <w:szCs w:val="21"/>
        </w:rPr>
        <w:t>17.4 质量保证金</w:t>
      </w:r>
    </w:p>
    <w:p>
      <w:pPr>
        <w:spacing w:line="400" w:lineRule="exact"/>
        <w:ind w:firstLine="480" w:firstLineChars="200"/>
        <w:rPr>
          <w:szCs w:val="21"/>
        </w:rPr>
      </w:pPr>
      <w:r>
        <w:rPr>
          <w:rFonts w:hint="eastAsia"/>
          <w:szCs w:val="21"/>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spacing w:line="400" w:lineRule="exact"/>
        <w:ind w:firstLine="480" w:firstLineChars="200"/>
        <w:rPr>
          <w:szCs w:val="21"/>
        </w:rPr>
      </w:pPr>
      <w:r>
        <w:rPr>
          <w:rFonts w:hint="eastAsia"/>
          <w:szCs w:val="21"/>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spacing w:line="400" w:lineRule="exact"/>
        <w:ind w:firstLine="480" w:firstLineChars="200"/>
        <w:rPr>
          <w:szCs w:val="21"/>
        </w:rPr>
      </w:pPr>
      <w:r>
        <w:rPr>
          <w:rFonts w:hint="eastAsia"/>
          <w:szCs w:val="21"/>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pPr>
        <w:spacing w:line="400" w:lineRule="exact"/>
        <w:ind w:firstLine="480" w:firstLineChars="200"/>
        <w:rPr>
          <w:szCs w:val="21"/>
        </w:rPr>
      </w:pPr>
      <w:r>
        <w:rPr>
          <w:rFonts w:hint="eastAsia"/>
          <w:szCs w:val="21"/>
        </w:rPr>
        <w:t>17.5 竣工结算</w:t>
      </w:r>
    </w:p>
    <w:p>
      <w:pPr>
        <w:spacing w:line="400" w:lineRule="exact"/>
        <w:ind w:firstLine="480" w:firstLineChars="200"/>
        <w:rPr>
          <w:szCs w:val="21"/>
        </w:rPr>
      </w:pPr>
      <w:r>
        <w:rPr>
          <w:rFonts w:hint="eastAsia"/>
          <w:szCs w:val="21"/>
        </w:rPr>
        <w:t>17.5.1 竣工付款申请单</w:t>
      </w:r>
    </w:p>
    <w:p>
      <w:pPr>
        <w:spacing w:line="400" w:lineRule="exact"/>
        <w:ind w:firstLine="480" w:firstLineChars="200"/>
        <w:rPr>
          <w:szCs w:val="21"/>
        </w:rPr>
      </w:pPr>
      <w:r>
        <w:rPr>
          <w:rFonts w:hint="eastAsia"/>
          <w:szCs w:val="21"/>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line="400" w:lineRule="exact"/>
        <w:ind w:firstLine="480" w:firstLineChars="200"/>
        <w:rPr>
          <w:szCs w:val="21"/>
        </w:rPr>
      </w:pPr>
      <w:r>
        <w:rPr>
          <w:rFonts w:hint="eastAsia"/>
          <w:szCs w:val="21"/>
        </w:rPr>
        <w:t>（2）监理人对竣工付款申请单有异议的，有权要求承包人进行修正和提供补充资料。经监理人和承包人协商后，由承包人向监理人提交修正后的竣工付款申请单。</w:t>
      </w:r>
    </w:p>
    <w:p>
      <w:pPr>
        <w:spacing w:line="400" w:lineRule="exact"/>
        <w:ind w:firstLine="480" w:firstLineChars="200"/>
        <w:rPr>
          <w:szCs w:val="21"/>
        </w:rPr>
      </w:pPr>
      <w:r>
        <w:rPr>
          <w:rFonts w:hint="eastAsia"/>
          <w:szCs w:val="21"/>
        </w:rPr>
        <w:t>17.5.2 竣工付款证书及支付时间</w:t>
      </w:r>
    </w:p>
    <w:p>
      <w:pPr>
        <w:spacing w:line="400" w:lineRule="exact"/>
        <w:ind w:firstLine="480" w:firstLineChars="200"/>
        <w:rPr>
          <w:szCs w:val="21"/>
        </w:rPr>
      </w:pPr>
      <w:r>
        <w:rPr>
          <w:rFonts w:hint="eastAsia"/>
          <w:szCs w:val="21"/>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spacing w:line="400" w:lineRule="exact"/>
        <w:ind w:firstLine="480" w:firstLineChars="200"/>
        <w:rPr>
          <w:szCs w:val="21"/>
        </w:rPr>
      </w:pPr>
      <w:r>
        <w:rPr>
          <w:rFonts w:hint="eastAsia"/>
          <w:szCs w:val="21"/>
        </w:rPr>
        <w:t>（2）发包人应在监理人出具竣工付款证书后的14天内，将应支付款支付给承包人。发包人不按期支付的，按第17.3.3（2）目的约定，将逾期付款违约金支付给承包人。</w:t>
      </w:r>
    </w:p>
    <w:p>
      <w:pPr>
        <w:spacing w:line="400" w:lineRule="exact"/>
        <w:ind w:firstLine="480" w:firstLineChars="200"/>
        <w:rPr>
          <w:szCs w:val="21"/>
        </w:rPr>
      </w:pPr>
      <w:r>
        <w:rPr>
          <w:rFonts w:hint="eastAsia"/>
          <w:szCs w:val="21"/>
        </w:rPr>
        <w:t>（3）承包人对发包人签认的竣工付款证书有异议的，发包人可出具竣工付款申请单中承包人已同意部分的临时付款证书。存在争议的部分，按第24条的约定办理。</w:t>
      </w:r>
    </w:p>
    <w:p>
      <w:pPr>
        <w:spacing w:line="400" w:lineRule="exact"/>
        <w:ind w:firstLine="480" w:firstLineChars="200"/>
        <w:rPr>
          <w:szCs w:val="21"/>
        </w:rPr>
      </w:pPr>
      <w:r>
        <w:rPr>
          <w:rFonts w:hint="eastAsia"/>
          <w:szCs w:val="21"/>
        </w:rPr>
        <w:t>（4）竣工付款涉及政府投资资金的，按第17.3.3（4）目的约定办理。</w:t>
      </w:r>
    </w:p>
    <w:p>
      <w:pPr>
        <w:spacing w:line="400" w:lineRule="exact"/>
        <w:ind w:firstLine="480" w:firstLineChars="200"/>
        <w:rPr>
          <w:szCs w:val="21"/>
        </w:rPr>
      </w:pPr>
      <w:r>
        <w:rPr>
          <w:rFonts w:hint="eastAsia"/>
          <w:szCs w:val="21"/>
        </w:rPr>
        <w:t>17.6 最终结清</w:t>
      </w:r>
    </w:p>
    <w:p>
      <w:pPr>
        <w:spacing w:line="400" w:lineRule="exact"/>
        <w:ind w:firstLine="480" w:firstLineChars="200"/>
        <w:rPr>
          <w:szCs w:val="21"/>
        </w:rPr>
      </w:pPr>
      <w:r>
        <w:rPr>
          <w:rFonts w:hint="eastAsia"/>
          <w:szCs w:val="21"/>
        </w:rPr>
        <w:t>17.6.1 最终结清申请单</w:t>
      </w:r>
    </w:p>
    <w:p>
      <w:pPr>
        <w:spacing w:line="400" w:lineRule="exact"/>
        <w:ind w:firstLine="480" w:firstLineChars="200"/>
        <w:rPr>
          <w:szCs w:val="21"/>
        </w:rPr>
      </w:pPr>
      <w:r>
        <w:rPr>
          <w:rFonts w:hint="eastAsia"/>
          <w:szCs w:val="21"/>
        </w:rPr>
        <w:t>（1）缺陷责任期终止证书签发后，承包人可按专用合同条款约定的份数和期限向监理人提交最终结清申请单，并提供相关证明材料。</w:t>
      </w:r>
    </w:p>
    <w:p>
      <w:pPr>
        <w:spacing w:line="400" w:lineRule="exact"/>
        <w:ind w:firstLine="480" w:firstLineChars="200"/>
        <w:rPr>
          <w:szCs w:val="21"/>
        </w:rPr>
      </w:pPr>
      <w:r>
        <w:rPr>
          <w:rFonts w:hint="eastAsia"/>
          <w:szCs w:val="21"/>
        </w:rPr>
        <w:t>（2）发包人对最终结清申请单内容有异议的，有权要求承包人进行修正和提供补充资料，由承包人向监理人提交修正后的最终结清申请单。</w:t>
      </w:r>
    </w:p>
    <w:p>
      <w:pPr>
        <w:spacing w:line="400" w:lineRule="exact"/>
        <w:ind w:firstLine="480" w:firstLineChars="200"/>
        <w:rPr>
          <w:szCs w:val="21"/>
        </w:rPr>
      </w:pPr>
      <w:r>
        <w:rPr>
          <w:rFonts w:hint="eastAsia"/>
          <w:szCs w:val="21"/>
        </w:rPr>
        <w:t>17.6.2 最终结清证书和支付时间</w:t>
      </w:r>
    </w:p>
    <w:p>
      <w:pPr>
        <w:spacing w:line="400" w:lineRule="exact"/>
        <w:ind w:firstLine="480" w:firstLineChars="200"/>
        <w:rPr>
          <w:szCs w:val="21"/>
        </w:rPr>
      </w:pPr>
      <w:r>
        <w:rPr>
          <w:rFonts w:hint="eastAsia"/>
          <w:szCs w:val="21"/>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400" w:lineRule="exact"/>
        <w:ind w:firstLine="480" w:firstLineChars="200"/>
        <w:rPr>
          <w:szCs w:val="21"/>
        </w:rPr>
      </w:pPr>
      <w:r>
        <w:rPr>
          <w:rFonts w:hint="eastAsia"/>
          <w:szCs w:val="21"/>
        </w:rPr>
        <w:t>（2）发包人应在监理人出具最终结清证书后的14天内，将应支付款支付给承包人。发包人不按期支付的，按第17.3.3（2）目的约定，将逾期付款违约金支付给承包人。</w:t>
      </w:r>
    </w:p>
    <w:p>
      <w:pPr>
        <w:spacing w:line="400" w:lineRule="exact"/>
        <w:ind w:firstLine="480" w:firstLineChars="200"/>
        <w:rPr>
          <w:szCs w:val="21"/>
        </w:rPr>
      </w:pPr>
      <w:r>
        <w:rPr>
          <w:rFonts w:hint="eastAsia"/>
          <w:szCs w:val="21"/>
        </w:rPr>
        <w:t>（3）承包人对发包人签认的最终结清证书有异议的，按第24条的约定办理。</w:t>
      </w:r>
    </w:p>
    <w:p>
      <w:pPr>
        <w:spacing w:line="400" w:lineRule="exact"/>
        <w:ind w:firstLine="480" w:firstLineChars="200"/>
        <w:rPr>
          <w:szCs w:val="21"/>
        </w:rPr>
      </w:pPr>
      <w:r>
        <w:rPr>
          <w:rFonts w:hint="eastAsia"/>
          <w:szCs w:val="21"/>
        </w:rPr>
        <w:t>（4）最终结清付款涉及政府投资资金的，按第17.3.3（4）目的约定办理。</w:t>
      </w:r>
    </w:p>
    <w:p>
      <w:pPr>
        <w:spacing w:line="400" w:lineRule="exact"/>
        <w:ind w:firstLine="480" w:firstLineChars="200"/>
        <w:rPr>
          <w:szCs w:val="21"/>
        </w:rPr>
      </w:pPr>
      <w:r>
        <w:rPr>
          <w:rFonts w:hint="eastAsia"/>
          <w:szCs w:val="21"/>
        </w:rPr>
        <w:t>18. 竣工验收</w:t>
      </w:r>
    </w:p>
    <w:p>
      <w:pPr>
        <w:spacing w:line="400" w:lineRule="exact"/>
        <w:ind w:firstLine="480" w:firstLineChars="200"/>
        <w:rPr>
          <w:szCs w:val="21"/>
        </w:rPr>
      </w:pPr>
      <w:r>
        <w:rPr>
          <w:rFonts w:hint="eastAsia"/>
          <w:szCs w:val="21"/>
        </w:rPr>
        <w:t>18.1 竣工验收的含义</w:t>
      </w:r>
    </w:p>
    <w:p>
      <w:pPr>
        <w:spacing w:line="400" w:lineRule="exact"/>
        <w:ind w:firstLine="480" w:firstLineChars="200"/>
        <w:rPr>
          <w:szCs w:val="21"/>
        </w:rPr>
      </w:pPr>
      <w:r>
        <w:rPr>
          <w:rFonts w:hint="eastAsia"/>
          <w:szCs w:val="21"/>
        </w:rPr>
        <w:t>18.1.1 竣工验收指承包人完成了全部合同工作后，发包人按合同要求进行的验收（竣工验收和行业验收）。</w:t>
      </w:r>
    </w:p>
    <w:p>
      <w:pPr>
        <w:spacing w:line="400" w:lineRule="exact"/>
        <w:ind w:firstLine="480" w:firstLineChars="200"/>
        <w:rPr>
          <w:szCs w:val="21"/>
        </w:rPr>
      </w:pPr>
      <w:r>
        <w:rPr>
          <w:rFonts w:hint="eastAsia"/>
          <w:szCs w:val="21"/>
        </w:rPr>
        <w:t>18.1.2 国家验收是政府有关部门根据法律、规范、规程和政策要求，针对发包人全面组织实施的整个工程正式交付投运前的验收。</w:t>
      </w:r>
    </w:p>
    <w:p>
      <w:pPr>
        <w:spacing w:line="400" w:lineRule="exact"/>
        <w:ind w:firstLine="480" w:firstLineChars="200"/>
        <w:rPr>
          <w:szCs w:val="21"/>
        </w:rPr>
      </w:pPr>
      <w:r>
        <w:rPr>
          <w:rFonts w:hint="eastAsia"/>
          <w:szCs w:val="21"/>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pPr>
        <w:spacing w:line="400" w:lineRule="exact"/>
        <w:ind w:firstLine="480" w:firstLineChars="200"/>
        <w:rPr>
          <w:szCs w:val="21"/>
        </w:rPr>
      </w:pPr>
      <w:r>
        <w:rPr>
          <w:rFonts w:hint="eastAsia"/>
          <w:szCs w:val="21"/>
        </w:rPr>
        <w:t>18.2 竣工验收申请报告</w:t>
      </w:r>
    </w:p>
    <w:p>
      <w:pPr>
        <w:spacing w:line="400" w:lineRule="exact"/>
        <w:ind w:firstLine="480" w:firstLineChars="200"/>
        <w:rPr>
          <w:szCs w:val="21"/>
        </w:rPr>
      </w:pPr>
      <w:r>
        <w:rPr>
          <w:rFonts w:hint="eastAsia"/>
          <w:szCs w:val="21"/>
        </w:rPr>
        <w:t>当工程具备以下条件时，承包人即可向监理人报送竣工验收申请报告：</w:t>
      </w:r>
    </w:p>
    <w:p>
      <w:pPr>
        <w:spacing w:line="400" w:lineRule="exact"/>
        <w:ind w:firstLine="480" w:firstLineChars="200"/>
        <w:rPr>
          <w:szCs w:val="21"/>
        </w:rPr>
      </w:pPr>
      <w:r>
        <w:rPr>
          <w:rFonts w:hint="eastAsia"/>
          <w:szCs w:val="21"/>
        </w:rPr>
        <w:t>（1）除监理人同意列入缺陷责任期内完成的尾工（甩项）工程和缺陷修补工作外，合同范围内的全部单位工程以及有关工作，包括合同要求的试验、试运行以及检验和验收均已完成，并符合合同要求；</w:t>
      </w:r>
    </w:p>
    <w:p>
      <w:pPr>
        <w:spacing w:line="400" w:lineRule="exact"/>
        <w:ind w:firstLine="480" w:firstLineChars="200"/>
        <w:rPr>
          <w:szCs w:val="21"/>
        </w:rPr>
      </w:pPr>
      <w:r>
        <w:rPr>
          <w:rFonts w:hint="eastAsia"/>
          <w:szCs w:val="21"/>
        </w:rPr>
        <w:t xml:space="preserve">（2）已按合同约定的内容和份数备齐了符合要求的竣工资料； </w:t>
      </w:r>
    </w:p>
    <w:p>
      <w:pPr>
        <w:spacing w:line="400" w:lineRule="exact"/>
        <w:ind w:firstLine="480" w:firstLineChars="200"/>
        <w:rPr>
          <w:szCs w:val="21"/>
        </w:rPr>
      </w:pPr>
      <w:r>
        <w:rPr>
          <w:rFonts w:hint="eastAsia"/>
          <w:szCs w:val="21"/>
        </w:rPr>
        <w:t>（3）已按监理人的要求编制了在缺陷责任期内完成的尾工（甩项）工程和缺陷修补工作清单以及相应施工计划；</w:t>
      </w:r>
    </w:p>
    <w:p>
      <w:pPr>
        <w:spacing w:line="400" w:lineRule="exact"/>
        <w:ind w:firstLine="480" w:firstLineChars="200"/>
        <w:rPr>
          <w:szCs w:val="21"/>
        </w:rPr>
      </w:pPr>
      <w:r>
        <w:rPr>
          <w:rFonts w:hint="eastAsia"/>
          <w:szCs w:val="21"/>
        </w:rPr>
        <w:t>（4）监理人要求在竣工验收前应完成的其他工作；</w:t>
      </w:r>
    </w:p>
    <w:p>
      <w:pPr>
        <w:spacing w:line="400" w:lineRule="exact"/>
        <w:ind w:firstLine="480" w:firstLineChars="200"/>
        <w:rPr>
          <w:szCs w:val="21"/>
        </w:rPr>
      </w:pPr>
      <w:r>
        <w:rPr>
          <w:rFonts w:hint="eastAsia"/>
          <w:szCs w:val="21"/>
        </w:rPr>
        <w:t>（5）监理人要求提交的竣工验收资料清单。</w:t>
      </w:r>
    </w:p>
    <w:p>
      <w:pPr>
        <w:spacing w:line="400" w:lineRule="exact"/>
        <w:ind w:firstLine="480" w:firstLineChars="200"/>
        <w:rPr>
          <w:szCs w:val="21"/>
        </w:rPr>
      </w:pPr>
      <w:r>
        <w:rPr>
          <w:rFonts w:hint="eastAsia"/>
          <w:szCs w:val="21"/>
        </w:rPr>
        <w:t>18.3 验收</w:t>
      </w:r>
    </w:p>
    <w:p>
      <w:pPr>
        <w:spacing w:line="400" w:lineRule="exact"/>
        <w:ind w:firstLine="480" w:firstLineChars="200"/>
        <w:rPr>
          <w:szCs w:val="21"/>
        </w:rPr>
      </w:pPr>
      <w:r>
        <w:rPr>
          <w:rFonts w:hint="eastAsia"/>
          <w:szCs w:val="21"/>
        </w:rPr>
        <w:t>监理人收到承包人按第18.2款约定提交的竣工验收申请报告后，应审查申请报告的各项内容，并按以下不同情况进行处理。</w:t>
      </w:r>
    </w:p>
    <w:p>
      <w:pPr>
        <w:spacing w:line="400" w:lineRule="exact"/>
        <w:ind w:firstLine="480" w:firstLineChars="200"/>
        <w:rPr>
          <w:szCs w:val="21"/>
        </w:rPr>
      </w:pPr>
      <w:r>
        <w:rPr>
          <w:rFonts w:hint="eastAsia"/>
          <w:szCs w:val="21"/>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pPr>
        <w:spacing w:line="400" w:lineRule="exact"/>
        <w:ind w:firstLine="480" w:firstLineChars="200"/>
        <w:rPr>
          <w:szCs w:val="21"/>
        </w:rPr>
      </w:pPr>
      <w:r>
        <w:rPr>
          <w:rFonts w:hint="eastAsia"/>
          <w:szCs w:val="21"/>
        </w:rPr>
        <w:t>18.3.2 监理人审查后认为已具备竣工验收条件的，应在收到竣工验收申请报告后的28天内提请发包人进行工程验收。</w:t>
      </w:r>
    </w:p>
    <w:p>
      <w:pPr>
        <w:spacing w:line="400" w:lineRule="exact"/>
        <w:ind w:firstLine="480" w:firstLineChars="200"/>
        <w:rPr>
          <w:szCs w:val="21"/>
        </w:rPr>
      </w:pPr>
      <w:r>
        <w:rPr>
          <w:rFonts w:hint="eastAsia"/>
          <w:szCs w:val="21"/>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400" w:lineRule="exact"/>
        <w:ind w:firstLine="480" w:firstLineChars="200"/>
        <w:rPr>
          <w:szCs w:val="21"/>
        </w:rPr>
      </w:pPr>
      <w:r>
        <w:rPr>
          <w:rFonts w:hint="eastAsia"/>
          <w:szCs w:val="21"/>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pPr>
        <w:spacing w:line="400" w:lineRule="exact"/>
        <w:ind w:firstLine="480" w:firstLineChars="200"/>
        <w:rPr>
          <w:szCs w:val="21"/>
        </w:rPr>
      </w:pPr>
      <w:r>
        <w:rPr>
          <w:rFonts w:hint="eastAsia"/>
          <w:szCs w:val="21"/>
        </w:rPr>
        <w:t>18.3.5 除专用合同条款另有约定外，经验收合格工程的实际竣工日期，以提交竣工验收申请报告的日期为准，并在工程接收证书中写明。</w:t>
      </w:r>
    </w:p>
    <w:p>
      <w:pPr>
        <w:spacing w:line="400" w:lineRule="exact"/>
        <w:ind w:firstLine="480" w:firstLineChars="200"/>
        <w:rPr>
          <w:szCs w:val="21"/>
        </w:rPr>
      </w:pPr>
      <w:r>
        <w:rPr>
          <w:rFonts w:hint="eastAsia"/>
          <w:szCs w:val="21"/>
        </w:rPr>
        <w:t>18.3.6 发包人在收到承包人竣工验收申请报告56天后未进行验收的，视为验收合格，实际竣工日期以提交竣工验收申请报告的日期为准，但发包人由于不可抗力不能进行验收的除外。</w:t>
      </w:r>
    </w:p>
    <w:p>
      <w:pPr>
        <w:spacing w:line="400" w:lineRule="exact"/>
        <w:ind w:firstLine="480" w:firstLineChars="200"/>
        <w:rPr>
          <w:szCs w:val="21"/>
        </w:rPr>
      </w:pPr>
      <w:r>
        <w:rPr>
          <w:rFonts w:hint="eastAsia"/>
          <w:szCs w:val="21"/>
        </w:rPr>
        <w:t>18.4 单位工程验收</w:t>
      </w:r>
    </w:p>
    <w:p>
      <w:pPr>
        <w:spacing w:line="400" w:lineRule="exact"/>
        <w:ind w:firstLine="480" w:firstLineChars="200"/>
        <w:rPr>
          <w:szCs w:val="21"/>
        </w:rPr>
      </w:pPr>
      <w:r>
        <w:rPr>
          <w:rFonts w:hint="eastAsia"/>
          <w:szCs w:val="21"/>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spacing w:line="400" w:lineRule="exact"/>
        <w:ind w:firstLine="480" w:firstLineChars="200"/>
        <w:rPr>
          <w:szCs w:val="21"/>
        </w:rPr>
      </w:pPr>
      <w:r>
        <w:rPr>
          <w:rFonts w:hint="eastAsia"/>
          <w:szCs w:val="21"/>
        </w:rPr>
        <w:t>18.4.2 发包人在全部工程竣工前，使用已接收的单位工程导致承包人费用增加的，发包人应承担由此增加的费用和（或）工期延误，并支付承包人合理利润。</w:t>
      </w:r>
    </w:p>
    <w:p>
      <w:pPr>
        <w:spacing w:line="400" w:lineRule="exact"/>
        <w:ind w:firstLine="480" w:firstLineChars="200"/>
        <w:rPr>
          <w:szCs w:val="21"/>
        </w:rPr>
      </w:pPr>
      <w:r>
        <w:rPr>
          <w:rFonts w:hint="eastAsia"/>
          <w:szCs w:val="21"/>
        </w:rPr>
        <w:t>18.5 施工期运行</w:t>
      </w:r>
    </w:p>
    <w:p>
      <w:pPr>
        <w:spacing w:line="400" w:lineRule="exact"/>
        <w:ind w:firstLine="480" w:firstLineChars="200"/>
        <w:rPr>
          <w:szCs w:val="21"/>
        </w:rPr>
      </w:pPr>
      <w:r>
        <w:rPr>
          <w:rFonts w:hint="eastAsia"/>
          <w:szCs w:val="21"/>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pPr>
        <w:spacing w:line="400" w:lineRule="exact"/>
        <w:ind w:firstLine="480" w:firstLineChars="200"/>
        <w:rPr>
          <w:szCs w:val="21"/>
        </w:rPr>
      </w:pPr>
      <w:r>
        <w:rPr>
          <w:rFonts w:hint="eastAsia"/>
          <w:szCs w:val="21"/>
        </w:rPr>
        <w:t>18.5.2 在施工期运行中发现工程或工程设备损坏或存在缺陷的，由承包人按第19.2款约定进行修复。</w:t>
      </w:r>
    </w:p>
    <w:p>
      <w:pPr>
        <w:spacing w:line="400" w:lineRule="exact"/>
        <w:ind w:firstLine="480" w:firstLineChars="200"/>
        <w:rPr>
          <w:szCs w:val="21"/>
        </w:rPr>
      </w:pPr>
      <w:r>
        <w:rPr>
          <w:rFonts w:hint="eastAsia"/>
          <w:szCs w:val="21"/>
        </w:rPr>
        <w:t>18.6 试运行</w:t>
      </w:r>
    </w:p>
    <w:p>
      <w:pPr>
        <w:spacing w:line="400" w:lineRule="exact"/>
        <w:ind w:firstLine="480" w:firstLineChars="200"/>
        <w:rPr>
          <w:szCs w:val="21"/>
        </w:rPr>
      </w:pPr>
      <w:r>
        <w:rPr>
          <w:rFonts w:hint="eastAsia"/>
          <w:szCs w:val="21"/>
        </w:rPr>
        <w:t>18.6.1 除专用合同条款另有约定外，承包人应按专用合同条款约定进行工程及工程设备试运行，负责提供试运行所需的人员、器材和必要的条件，并承担全部试运行费用。</w:t>
      </w:r>
    </w:p>
    <w:p>
      <w:pPr>
        <w:spacing w:line="400" w:lineRule="exact"/>
        <w:ind w:firstLine="480" w:firstLineChars="200"/>
        <w:rPr>
          <w:szCs w:val="21"/>
        </w:rPr>
      </w:pPr>
      <w:r>
        <w:rPr>
          <w:rFonts w:hint="eastAsia"/>
          <w:szCs w:val="21"/>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spacing w:line="400" w:lineRule="exact"/>
        <w:ind w:firstLine="480" w:firstLineChars="200"/>
        <w:rPr>
          <w:szCs w:val="21"/>
        </w:rPr>
      </w:pPr>
      <w:r>
        <w:rPr>
          <w:rFonts w:hint="eastAsia"/>
          <w:szCs w:val="21"/>
        </w:rPr>
        <w:t>18.7 竣工清场</w:t>
      </w:r>
    </w:p>
    <w:p>
      <w:pPr>
        <w:spacing w:line="400" w:lineRule="exact"/>
        <w:ind w:firstLine="480" w:firstLineChars="200"/>
        <w:rPr>
          <w:szCs w:val="21"/>
        </w:rPr>
      </w:pPr>
      <w:r>
        <w:rPr>
          <w:rFonts w:hint="eastAsia"/>
          <w:szCs w:val="21"/>
        </w:rPr>
        <w:t>18.7.1 除合同另有约定外，工程接收证书颁发后，承包人应按以下要求对施工场地进行清理，直至监理人检验合格为止。竣工清场费用由承包人承担。</w:t>
      </w:r>
    </w:p>
    <w:p>
      <w:pPr>
        <w:spacing w:line="400" w:lineRule="exact"/>
        <w:ind w:firstLine="480" w:firstLineChars="200"/>
        <w:rPr>
          <w:szCs w:val="21"/>
        </w:rPr>
      </w:pPr>
      <w:r>
        <w:rPr>
          <w:rFonts w:hint="eastAsia"/>
          <w:szCs w:val="21"/>
        </w:rPr>
        <w:t>（1）施工场地内残留的垃圾已全部清除出场；</w:t>
      </w:r>
    </w:p>
    <w:p>
      <w:pPr>
        <w:spacing w:line="400" w:lineRule="exact"/>
        <w:ind w:firstLine="480" w:firstLineChars="200"/>
        <w:rPr>
          <w:szCs w:val="21"/>
        </w:rPr>
      </w:pPr>
      <w:r>
        <w:rPr>
          <w:rFonts w:hint="eastAsia"/>
          <w:szCs w:val="21"/>
        </w:rPr>
        <w:t>（2）临时工程已拆除，场地已按合同要求进行清理、平整或复原；</w:t>
      </w:r>
    </w:p>
    <w:p>
      <w:pPr>
        <w:spacing w:line="400" w:lineRule="exact"/>
        <w:ind w:firstLine="480" w:firstLineChars="200"/>
        <w:rPr>
          <w:szCs w:val="21"/>
        </w:rPr>
      </w:pPr>
      <w:r>
        <w:rPr>
          <w:rFonts w:hint="eastAsia"/>
          <w:szCs w:val="21"/>
        </w:rPr>
        <w:t>（3）按合同约定应撤离的承包人设备和剩余的材料，包括废弃的施工设备和材料，已按计划撤离施工场地；</w:t>
      </w:r>
    </w:p>
    <w:p>
      <w:pPr>
        <w:spacing w:line="400" w:lineRule="exact"/>
        <w:ind w:firstLine="480" w:firstLineChars="200"/>
        <w:rPr>
          <w:szCs w:val="21"/>
        </w:rPr>
      </w:pPr>
      <w:r>
        <w:rPr>
          <w:rFonts w:hint="eastAsia"/>
          <w:szCs w:val="21"/>
        </w:rPr>
        <w:t>（4）工程建筑物周边及其附近道路、河道的施工堆积物，已按监理人指示全部清理；</w:t>
      </w:r>
    </w:p>
    <w:p>
      <w:pPr>
        <w:spacing w:line="400" w:lineRule="exact"/>
        <w:ind w:firstLine="480" w:firstLineChars="200"/>
        <w:rPr>
          <w:szCs w:val="21"/>
        </w:rPr>
      </w:pPr>
      <w:r>
        <w:rPr>
          <w:rFonts w:hint="eastAsia"/>
          <w:szCs w:val="21"/>
        </w:rPr>
        <w:t>（5）监理人指示的其他场地清理工作已全部完成。</w:t>
      </w:r>
    </w:p>
    <w:p>
      <w:pPr>
        <w:spacing w:line="400" w:lineRule="exact"/>
        <w:ind w:firstLine="480" w:firstLineChars="200"/>
        <w:rPr>
          <w:szCs w:val="21"/>
        </w:rPr>
      </w:pPr>
      <w:r>
        <w:rPr>
          <w:rFonts w:hint="eastAsia"/>
          <w:szCs w:val="21"/>
        </w:rPr>
        <w:t>18.7.2 承包人未按监理人的要求恢复临时占地，或者场地清理未达到合同约定的，发包人有权委托其他人恢复或清理，所发生的金额从拟支付给承包人的款项中扣除。</w:t>
      </w:r>
    </w:p>
    <w:p>
      <w:pPr>
        <w:spacing w:line="400" w:lineRule="exact"/>
        <w:ind w:firstLine="480" w:firstLineChars="200"/>
        <w:rPr>
          <w:szCs w:val="21"/>
        </w:rPr>
      </w:pPr>
      <w:r>
        <w:rPr>
          <w:rFonts w:hint="eastAsia"/>
          <w:szCs w:val="21"/>
        </w:rPr>
        <w:t>18.8 施工队伍的撤离</w:t>
      </w:r>
    </w:p>
    <w:p>
      <w:pPr>
        <w:spacing w:line="400" w:lineRule="exact"/>
        <w:ind w:firstLine="480" w:firstLineChars="200"/>
        <w:rPr>
          <w:szCs w:val="21"/>
        </w:rPr>
      </w:pPr>
      <w:r>
        <w:rPr>
          <w:rFonts w:hint="eastAsia"/>
          <w:szCs w:val="21"/>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spacing w:line="400" w:lineRule="exact"/>
        <w:ind w:firstLine="480" w:firstLineChars="200"/>
        <w:rPr>
          <w:szCs w:val="21"/>
        </w:rPr>
      </w:pPr>
      <w:r>
        <w:rPr>
          <w:rFonts w:hint="eastAsia"/>
          <w:szCs w:val="21"/>
        </w:rPr>
        <w:t>19. 缺陷责任与保修责任</w:t>
      </w:r>
    </w:p>
    <w:p>
      <w:pPr>
        <w:spacing w:line="400" w:lineRule="exact"/>
        <w:ind w:firstLine="480" w:firstLineChars="200"/>
        <w:rPr>
          <w:szCs w:val="21"/>
        </w:rPr>
      </w:pPr>
      <w:r>
        <w:rPr>
          <w:rFonts w:hint="eastAsia"/>
          <w:szCs w:val="21"/>
        </w:rPr>
        <w:t>19.1 缺陷责任期的起算时间</w:t>
      </w:r>
    </w:p>
    <w:p>
      <w:pPr>
        <w:spacing w:line="400" w:lineRule="exact"/>
        <w:ind w:firstLine="480" w:firstLineChars="200"/>
        <w:rPr>
          <w:szCs w:val="21"/>
        </w:rPr>
      </w:pPr>
      <w:r>
        <w:rPr>
          <w:rFonts w:hint="eastAsia"/>
          <w:szCs w:val="21"/>
        </w:rPr>
        <w:t>缺陷责任期自实际竣工日期起计算。在全部工程竣工验收前，已经发包人提前验收的单位工程，其缺陷责任期的起算日期相应提前。</w:t>
      </w:r>
    </w:p>
    <w:p>
      <w:pPr>
        <w:spacing w:line="400" w:lineRule="exact"/>
        <w:ind w:firstLine="480" w:firstLineChars="200"/>
        <w:rPr>
          <w:szCs w:val="21"/>
        </w:rPr>
      </w:pPr>
      <w:r>
        <w:rPr>
          <w:rFonts w:hint="eastAsia"/>
          <w:szCs w:val="21"/>
        </w:rPr>
        <w:t>19.2 缺陷责任</w:t>
      </w:r>
    </w:p>
    <w:p>
      <w:pPr>
        <w:spacing w:line="400" w:lineRule="exact"/>
        <w:ind w:firstLine="480" w:firstLineChars="200"/>
        <w:rPr>
          <w:szCs w:val="21"/>
        </w:rPr>
      </w:pPr>
      <w:r>
        <w:rPr>
          <w:rFonts w:hint="eastAsia"/>
          <w:szCs w:val="21"/>
        </w:rPr>
        <w:t>19.2.1 承包人应在缺陷责任期内对已交付使用的工程承担缺陷责任。</w:t>
      </w:r>
    </w:p>
    <w:p>
      <w:pPr>
        <w:spacing w:line="400" w:lineRule="exact"/>
        <w:ind w:firstLine="480" w:firstLineChars="200"/>
        <w:rPr>
          <w:szCs w:val="21"/>
        </w:rPr>
      </w:pPr>
      <w:r>
        <w:rPr>
          <w:rFonts w:hint="eastAsia"/>
          <w:szCs w:val="21"/>
        </w:rPr>
        <w:t>19.2.2 缺陷责任期内，发包人对已接收使用的工程负责日常维护工作。发包人在使用过程中，发现已接收的工程存在新的缺陷或已修复的缺陷部位或部件又遭损坏的，承包人应负责修复，直至检验合格为止。</w:t>
      </w:r>
    </w:p>
    <w:p>
      <w:pPr>
        <w:spacing w:line="400" w:lineRule="exact"/>
        <w:ind w:firstLine="480" w:firstLineChars="200"/>
        <w:rPr>
          <w:szCs w:val="21"/>
        </w:rPr>
      </w:pPr>
      <w:r>
        <w:rPr>
          <w:rFonts w:hint="eastAsia"/>
          <w:szCs w:val="21"/>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400" w:lineRule="exact"/>
        <w:ind w:firstLine="480" w:firstLineChars="200"/>
        <w:rPr>
          <w:szCs w:val="21"/>
        </w:rPr>
      </w:pPr>
      <w:r>
        <w:rPr>
          <w:rFonts w:hint="eastAsia"/>
          <w:szCs w:val="21"/>
        </w:rPr>
        <w:t>19.2.4 承包人不能在合理时间内修复缺陷的，发包人可自行修复或委托其他人修复，所需费用和利润的承担，按第19.2.3项约定办理。</w:t>
      </w:r>
    </w:p>
    <w:p>
      <w:pPr>
        <w:spacing w:line="400" w:lineRule="exact"/>
        <w:ind w:firstLine="480" w:firstLineChars="200"/>
        <w:rPr>
          <w:szCs w:val="21"/>
        </w:rPr>
      </w:pPr>
      <w:r>
        <w:rPr>
          <w:rFonts w:hint="eastAsia"/>
          <w:szCs w:val="21"/>
        </w:rPr>
        <w:t>19.3 缺陷责任期的延长</w:t>
      </w:r>
    </w:p>
    <w:p>
      <w:pPr>
        <w:spacing w:line="400" w:lineRule="exact"/>
        <w:ind w:firstLine="480" w:firstLineChars="200"/>
        <w:rPr>
          <w:szCs w:val="21"/>
        </w:rPr>
      </w:pPr>
      <w:r>
        <w:rPr>
          <w:rFonts w:hint="eastAsia"/>
          <w:szCs w:val="21"/>
        </w:rPr>
        <w:t>由于承包人原因造成某项缺陷或损坏使某项工程或工程设备不能按原定目标使用而需要再次检查、检验和修复的，发包人有权要求承包人相应延长缺陷责任期，但缺陷责任期延长最长不超过2年。</w:t>
      </w:r>
    </w:p>
    <w:p>
      <w:pPr>
        <w:spacing w:line="400" w:lineRule="exact"/>
        <w:ind w:firstLine="480" w:firstLineChars="200"/>
        <w:rPr>
          <w:szCs w:val="21"/>
        </w:rPr>
      </w:pPr>
      <w:r>
        <w:rPr>
          <w:rFonts w:hint="eastAsia"/>
          <w:szCs w:val="21"/>
        </w:rPr>
        <w:t>19.4 进一步试验和试运行</w:t>
      </w:r>
    </w:p>
    <w:p>
      <w:pPr>
        <w:spacing w:line="400" w:lineRule="exact"/>
        <w:ind w:firstLine="480" w:firstLineChars="200"/>
        <w:rPr>
          <w:szCs w:val="21"/>
        </w:rPr>
      </w:pPr>
      <w:r>
        <w:rPr>
          <w:rFonts w:hint="eastAsia"/>
          <w:szCs w:val="21"/>
        </w:rPr>
        <w:t>任何一项缺陷或损坏修复后，经检查证明其影响了工程或工程设备的使用性能，承包人应重新进行合同约定的试验和试运行，试验和试运行的全部费用应由责任方承担。</w:t>
      </w:r>
    </w:p>
    <w:p>
      <w:pPr>
        <w:spacing w:line="400" w:lineRule="exact"/>
        <w:ind w:firstLine="480" w:firstLineChars="200"/>
        <w:rPr>
          <w:szCs w:val="21"/>
        </w:rPr>
      </w:pPr>
      <w:r>
        <w:rPr>
          <w:rFonts w:hint="eastAsia"/>
          <w:szCs w:val="21"/>
        </w:rPr>
        <w:t>19.5 承包人的进入权</w:t>
      </w:r>
    </w:p>
    <w:p>
      <w:pPr>
        <w:spacing w:line="400" w:lineRule="exact"/>
        <w:ind w:firstLine="480" w:firstLineChars="200"/>
        <w:rPr>
          <w:szCs w:val="21"/>
        </w:rPr>
      </w:pPr>
      <w:r>
        <w:rPr>
          <w:rFonts w:hint="eastAsia"/>
          <w:szCs w:val="21"/>
        </w:rPr>
        <w:t>缺陷责任期内承包人为缺陷修复工作需要，有权进入工程现场，但应遵守发包人的保安和保密规定。</w:t>
      </w:r>
    </w:p>
    <w:p>
      <w:pPr>
        <w:spacing w:line="400" w:lineRule="exact"/>
        <w:ind w:firstLine="480" w:firstLineChars="200"/>
        <w:rPr>
          <w:szCs w:val="21"/>
        </w:rPr>
      </w:pPr>
      <w:r>
        <w:rPr>
          <w:rFonts w:hint="eastAsia"/>
          <w:szCs w:val="21"/>
        </w:rPr>
        <w:t>19.6 缺陷责任期终止证书</w:t>
      </w:r>
    </w:p>
    <w:p>
      <w:pPr>
        <w:spacing w:line="400" w:lineRule="exact"/>
        <w:ind w:firstLine="480" w:firstLineChars="200"/>
        <w:rPr>
          <w:szCs w:val="21"/>
        </w:rPr>
      </w:pPr>
      <w:r>
        <w:rPr>
          <w:rFonts w:hint="eastAsia"/>
          <w:szCs w:val="21"/>
        </w:rPr>
        <w:t>在第1.1.4.5目约定的缺陷责任期，包括根据第19.3款延长的期限终止后14天内，由监理人向承包人出具经发包人签认的缺陷责任期终止证书，并退还剩余的质量保证金。</w:t>
      </w:r>
    </w:p>
    <w:p>
      <w:pPr>
        <w:spacing w:line="400" w:lineRule="exact"/>
        <w:ind w:firstLine="480" w:firstLineChars="200"/>
        <w:rPr>
          <w:szCs w:val="21"/>
        </w:rPr>
      </w:pPr>
      <w:r>
        <w:rPr>
          <w:rFonts w:hint="eastAsia"/>
          <w:szCs w:val="21"/>
        </w:rPr>
        <w:t>19.7 保修责任</w:t>
      </w:r>
    </w:p>
    <w:p>
      <w:pPr>
        <w:spacing w:line="400" w:lineRule="exact"/>
        <w:ind w:firstLine="480" w:firstLineChars="200"/>
        <w:rPr>
          <w:szCs w:val="21"/>
        </w:rPr>
      </w:pPr>
      <w:r>
        <w:rPr>
          <w:rFonts w:hint="eastAsia"/>
          <w:szCs w:val="21"/>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spacing w:line="400" w:lineRule="exact"/>
        <w:ind w:firstLine="480" w:firstLineChars="200"/>
        <w:rPr>
          <w:szCs w:val="21"/>
        </w:rPr>
      </w:pPr>
      <w:r>
        <w:rPr>
          <w:rFonts w:hint="eastAsia"/>
          <w:szCs w:val="21"/>
        </w:rPr>
        <w:t>20. 保险</w:t>
      </w:r>
    </w:p>
    <w:p>
      <w:pPr>
        <w:spacing w:line="400" w:lineRule="exact"/>
        <w:ind w:firstLine="480" w:firstLineChars="200"/>
        <w:rPr>
          <w:szCs w:val="21"/>
        </w:rPr>
      </w:pPr>
      <w:r>
        <w:rPr>
          <w:rFonts w:hint="eastAsia"/>
          <w:szCs w:val="21"/>
        </w:rPr>
        <w:t>20.1 工程保险</w:t>
      </w:r>
    </w:p>
    <w:p>
      <w:pPr>
        <w:spacing w:line="400" w:lineRule="exact"/>
        <w:ind w:firstLine="480" w:firstLineChars="200"/>
        <w:rPr>
          <w:szCs w:val="21"/>
        </w:rPr>
      </w:pPr>
      <w:r>
        <w:rPr>
          <w:rFonts w:hint="eastAsia"/>
          <w:szCs w:val="21"/>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spacing w:line="400" w:lineRule="exact"/>
        <w:ind w:firstLine="480" w:firstLineChars="200"/>
        <w:rPr>
          <w:szCs w:val="21"/>
        </w:rPr>
      </w:pPr>
      <w:r>
        <w:rPr>
          <w:rFonts w:hint="eastAsia"/>
          <w:szCs w:val="21"/>
        </w:rPr>
        <w:t>20.2 人员工伤事故的保险</w:t>
      </w:r>
    </w:p>
    <w:p>
      <w:pPr>
        <w:spacing w:line="400" w:lineRule="exact"/>
        <w:ind w:firstLine="480" w:firstLineChars="200"/>
        <w:rPr>
          <w:szCs w:val="21"/>
        </w:rPr>
      </w:pPr>
      <w:r>
        <w:rPr>
          <w:rFonts w:hint="eastAsia"/>
          <w:szCs w:val="21"/>
        </w:rPr>
        <w:t>20.2.1 承包人员工伤事故的保险</w:t>
      </w:r>
    </w:p>
    <w:p>
      <w:pPr>
        <w:spacing w:line="400" w:lineRule="exact"/>
        <w:ind w:firstLine="480" w:firstLineChars="200"/>
        <w:rPr>
          <w:szCs w:val="21"/>
        </w:rPr>
      </w:pPr>
      <w:r>
        <w:rPr>
          <w:rFonts w:hint="eastAsia"/>
          <w:szCs w:val="21"/>
        </w:rPr>
        <w:t>承包人应依照有关法律规定参加工伤保险，为其履行合同所雇佣的全部人员，缴纳工伤保险费，并要求其分包人也进行此项保险。</w:t>
      </w:r>
    </w:p>
    <w:p>
      <w:pPr>
        <w:spacing w:line="400" w:lineRule="exact"/>
        <w:ind w:firstLine="480" w:firstLineChars="200"/>
        <w:rPr>
          <w:szCs w:val="21"/>
        </w:rPr>
      </w:pPr>
      <w:r>
        <w:rPr>
          <w:rFonts w:hint="eastAsia"/>
          <w:szCs w:val="21"/>
        </w:rPr>
        <w:t>20.2.2 发包人员工伤事故的保险</w:t>
      </w:r>
    </w:p>
    <w:p>
      <w:pPr>
        <w:spacing w:line="400" w:lineRule="exact"/>
        <w:ind w:firstLine="480" w:firstLineChars="200"/>
        <w:rPr>
          <w:szCs w:val="21"/>
        </w:rPr>
      </w:pPr>
      <w:r>
        <w:rPr>
          <w:rFonts w:hint="eastAsia"/>
          <w:szCs w:val="21"/>
        </w:rPr>
        <w:t>发包人应依照有关法律规定参加工伤保险，为其现场机构雇佣的全部人员，缴纳工伤保险费，并要求其监理人也进行此项保险。</w:t>
      </w:r>
    </w:p>
    <w:p>
      <w:pPr>
        <w:spacing w:line="400" w:lineRule="exact"/>
        <w:ind w:firstLine="480" w:firstLineChars="200"/>
        <w:rPr>
          <w:szCs w:val="21"/>
        </w:rPr>
      </w:pPr>
      <w:r>
        <w:rPr>
          <w:rFonts w:hint="eastAsia"/>
          <w:szCs w:val="21"/>
        </w:rPr>
        <w:t>20.3 人身意外伤害险</w:t>
      </w:r>
    </w:p>
    <w:p>
      <w:pPr>
        <w:spacing w:line="400" w:lineRule="exact"/>
        <w:ind w:firstLine="480" w:firstLineChars="200"/>
        <w:rPr>
          <w:szCs w:val="21"/>
        </w:rPr>
      </w:pPr>
      <w:r>
        <w:rPr>
          <w:rFonts w:hint="eastAsia"/>
          <w:szCs w:val="21"/>
        </w:rPr>
        <w:t>20.3.1 发包人应在整个施工期间为其现场机构雇用的全部人员，投保人身意外伤害险，缴纳保险费，并要求其监理人也进行此项保险。</w:t>
      </w:r>
    </w:p>
    <w:p>
      <w:pPr>
        <w:spacing w:line="400" w:lineRule="exact"/>
        <w:ind w:firstLine="480" w:firstLineChars="200"/>
        <w:rPr>
          <w:szCs w:val="21"/>
        </w:rPr>
      </w:pPr>
      <w:r>
        <w:rPr>
          <w:rFonts w:hint="eastAsia"/>
          <w:szCs w:val="21"/>
        </w:rPr>
        <w:t>20.3.2 承包人应在整个施工期间为其现场机构雇用的全部人员，投保人身意外伤害险，缴纳保险费，并要求其分包人也进行此项保险。</w:t>
      </w:r>
    </w:p>
    <w:p>
      <w:pPr>
        <w:spacing w:line="400" w:lineRule="exact"/>
        <w:ind w:firstLine="480" w:firstLineChars="200"/>
        <w:rPr>
          <w:szCs w:val="21"/>
        </w:rPr>
      </w:pPr>
      <w:r>
        <w:rPr>
          <w:rFonts w:hint="eastAsia"/>
          <w:szCs w:val="21"/>
        </w:rPr>
        <w:t>20.4 第三者责任险</w:t>
      </w:r>
    </w:p>
    <w:p>
      <w:pPr>
        <w:spacing w:line="400" w:lineRule="exact"/>
        <w:ind w:firstLine="480" w:firstLineChars="200"/>
        <w:rPr>
          <w:szCs w:val="21"/>
        </w:rPr>
      </w:pPr>
      <w:r>
        <w:rPr>
          <w:rFonts w:hint="eastAsia"/>
          <w:szCs w:val="21"/>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pacing w:line="400" w:lineRule="exact"/>
        <w:ind w:firstLine="480" w:firstLineChars="200"/>
        <w:rPr>
          <w:szCs w:val="21"/>
        </w:rPr>
      </w:pPr>
      <w:r>
        <w:rPr>
          <w:rFonts w:hint="eastAsia"/>
          <w:szCs w:val="21"/>
        </w:rPr>
        <w:t>20.4.2 在缺陷责任期终止证书颁发前，承包人应以承包人和发包人的共同名义，投保第20.4.1项约定的第三者责任险，其保险费率、保险金额等有关内容在专用合同条款中约定。</w:t>
      </w:r>
    </w:p>
    <w:p>
      <w:pPr>
        <w:spacing w:line="400" w:lineRule="exact"/>
        <w:ind w:firstLine="480" w:firstLineChars="200"/>
        <w:rPr>
          <w:szCs w:val="21"/>
        </w:rPr>
      </w:pPr>
      <w:r>
        <w:rPr>
          <w:rFonts w:hint="eastAsia"/>
          <w:szCs w:val="21"/>
        </w:rPr>
        <w:t>20.5 其他保险</w:t>
      </w:r>
    </w:p>
    <w:p>
      <w:pPr>
        <w:spacing w:line="400" w:lineRule="exact"/>
        <w:ind w:firstLine="480" w:firstLineChars="200"/>
        <w:rPr>
          <w:szCs w:val="21"/>
        </w:rPr>
      </w:pPr>
      <w:r>
        <w:rPr>
          <w:rFonts w:hint="eastAsia"/>
          <w:szCs w:val="21"/>
        </w:rPr>
        <w:t>除专用合同条款另有约定外，承包人应为其施工设备、进场的材料和工程设备等办理保险。</w:t>
      </w:r>
    </w:p>
    <w:p>
      <w:pPr>
        <w:spacing w:line="400" w:lineRule="exact"/>
        <w:ind w:firstLine="480" w:firstLineChars="200"/>
        <w:rPr>
          <w:szCs w:val="21"/>
        </w:rPr>
      </w:pPr>
      <w:r>
        <w:rPr>
          <w:rFonts w:hint="eastAsia"/>
          <w:szCs w:val="21"/>
        </w:rPr>
        <w:t>20.6 对各项保险的一般要求</w:t>
      </w:r>
    </w:p>
    <w:p>
      <w:pPr>
        <w:spacing w:line="400" w:lineRule="exact"/>
        <w:ind w:firstLine="480" w:firstLineChars="200"/>
        <w:rPr>
          <w:szCs w:val="21"/>
        </w:rPr>
      </w:pPr>
      <w:r>
        <w:rPr>
          <w:rFonts w:hint="eastAsia"/>
          <w:szCs w:val="21"/>
        </w:rPr>
        <w:t>20.6.1 保险凭证</w:t>
      </w:r>
    </w:p>
    <w:p>
      <w:pPr>
        <w:spacing w:line="400" w:lineRule="exact"/>
        <w:ind w:firstLine="480" w:firstLineChars="200"/>
        <w:rPr>
          <w:szCs w:val="21"/>
        </w:rPr>
      </w:pPr>
      <w:r>
        <w:rPr>
          <w:rFonts w:hint="eastAsia"/>
          <w:szCs w:val="21"/>
        </w:rPr>
        <w:t>承包人应在专用合同条款约定的期限内向发包人提交各项保险生效的证据和保险单副本，保险单必须与专用合同条款约定的条件保持一致。</w:t>
      </w:r>
    </w:p>
    <w:p>
      <w:pPr>
        <w:spacing w:line="400" w:lineRule="exact"/>
        <w:ind w:firstLine="480" w:firstLineChars="200"/>
        <w:rPr>
          <w:szCs w:val="21"/>
        </w:rPr>
      </w:pPr>
      <w:r>
        <w:rPr>
          <w:rFonts w:hint="eastAsia"/>
          <w:szCs w:val="21"/>
        </w:rPr>
        <w:t>20.6.2 保险合同条款的变动</w:t>
      </w:r>
    </w:p>
    <w:p>
      <w:pPr>
        <w:spacing w:line="400" w:lineRule="exact"/>
        <w:ind w:firstLine="480" w:firstLineChars="200"/>
        <w:rPr>
          <w:szCs w:val="21"/>
        </w:rPr>
      </w:pPr>
      <w:r>
        <w:rPr>
          <w:rFonts w:hint="eastAsia"/>
          <w:szCs w:val="21"/>
        </w:rPr>
        <w:t>承包人需要变动保险合同条款时，应事先征得发包人同意，并通知监理人。保险人作出变动的，承包人应在收到保险人通知后立即通知发包人和监理人。</w:t>
      </w:r>
    </w:p>
    <w:p>
      <w:pPr>
        <w:spacing w:line="400" w:lineRule="exact"/>
        <w:ind w:firstLine="480" w:firstLineChars="200"/>
        <w:rPr>
          <w:szCs w:val="21"/>
        </w:rPr>
      </w:pPr>
      <w:r>
        <w:rPr>
          <w:rFonts w:hint="eastAsia"/>
          <w:szCs w:val="21"/>
        </w:rPr>
        <w:t>20.6.3 持续保险</w:t>
      </w:r>
    </w:p>
    <w:p>
      <w:pPr>
        <w:spacing w:line="400" w:lineRule="exact"/>
        <w:ind w:firstLine="480" w:firstLineChars="200"/>
        <w:rPr>
          <w:szCs w:val="21"/>
        </w:rPr>
      </w:pPr>
      <w:r>
        <w:rPr>
          <w:rFonts w:hint="eastAsia"/>
          <w:szCs w:val="21"/>
        </w:rPr>
        <w:t>承包人应与保险人保持联系，使保险人能够随时了解工程实施中的变动，并确保按保险合同条款要求持续保险。</w:t>
      </w:r>
    </w:p>
    <w:p>
      <w:pPr>
        <w:spacing w:line="400" w:lineRule="exact"/>
        <w:ind w:firstLine="480" w:firstLineChars="200"/>
        <w:rPr>
          <w:szCs w:val="21"/>
        </w:rPr>
      </w:pPr>
      <w:r>
        <w:rPr>
          <w:rFonts w:hint="eastAsia"/>
          <w:szCs w:val="21"/>
        </w:rPr>
        <w:t>20.6.4 保险金不足的补偿</w:t>
      </w:r>
    </w:p>
    <w:p>
      <w:pPr>
        <w:spacing w:line="400" w:lineRule="exact"/>
        <w:ind w:firstLine="480" w:firstLineChars="200"/>
        <w:rPr>
          <w:szCs w:val="21"/>
        </w:rPr>
      </w:pPr>
      <w:r>
        <w:rPr>
          <w:rFonts w:hint="eastAsia"/>
          <w:szCs w:val="21"/>
        </w:rPr>
        <w:t>保险金不足以补偿损失的，应由承包人和（或）发包人按合同约定负责补偿。</w:t>
      </w:r>
    </w:p>
    <w:p>
      <w:pPr>
        <w:spacing w:line="400" w:lineRule="exact"/>
        <w:ind w:firstLine="480" w:firstLineChars="200"/>
        <w:rPr>
          <w:szCs w:val="21"/>
        </w:rPr>
      </w:pPr>
      <w:r>
        <w:rPr>
          <w:rFonts w:hint="eastAsia"/>
          <w:szCs w:val="21"/>
        </w:rPr>
        <w:t>20.6.5 未按约定投保的补救</w:t>
      </w:r>
    </w:p>
    <w:p>
      <w:pPr>
        <w:spacing w:line="400" w:lineRule="exact"/>
        <w:ind w:firstLine="480" w:firstLineChars="200"/>
        <w:rPr>
          <w:szCs w:val="21"/>
        </w:rPr>
      </w:pPr>
      <w:r>
        <w:rPr>
          <w:rFonts w:hint="eastAsia"/>
          <w:szCs w:val="21"/>
        </w:rPr>
        <w:t>（1）由于负有投保义务的一方当事人未按合同约定办理保险，或未能使保险持续有效的，另一方当事人可代为办理，所需费用由对方当事人承担。</w:t>
      </w:r>
    </w:p>
    <w:p>
      <w:pPr>
        <w:spacing w:line="400" w:lineRule="exact"/>
        <w:ind w:firstLine="480" w:firstLineChars="200"/>
        <w:rPr>
          <w:szCs w:val="21"/>
        </w:rPr>
      </w:pPr>
      <w:r>
        <w:rPr>
          <w:rFonts w:hint="eastAsia"/>
          <w:szCs w:val="21"/>
        </w:rPr>
        <w:t>（2）由于负有投保义务的一方当事人未按合同约定办理某项保险，导致受益人未能得到保险人的赔偿，原应从该项保险得到的保险金应由负有投保义务的一方当事人支付。</w:t>
      </w:r>
    </w:p>
    <w:p>
      <w:pPr>
        <w:spacing w:line="400" w:lineRule="exact"/>
        <w:ind w:firstLine="480" w:firstLineChars="200"/>
        <w:rPr>
          <w:szCs w:val="21"/>
        </w:rPr>
      </w:pPr>
      <w:r>
        <w:rPr>
          <w:rFonts w:hint="eastAsia"/>
          <w:szCs w:val="21"/>
        </w:rPr>
        <w:t>20.6.6 报告义务</w:t>
      </w:r>
    </w:p>
    <w:p>
      <w:pPr>
        <w:spacing w:line="400" w:lineRule="exact"/>
        <w:ind w:firstLine="480" w:firstLineChars="200"/>
        <w:rPr>
          <w:szCs w:val="21"/>
        </w:rPr>
      </w:pPr>
      <w:r>
        <w:rPr>
          <w:rFonts w:hint="eastAsia"/>
          <w:szCs w:val="21"/>
        </w:rPr>
        <w:t>当保险事故发生时，投保人应按照保险单规定的条件和期限及时向保险人报告。</w:t>
      </w:r>
    </w:p>
    <w:p>
      <w:pPr>
        <w:spacing w:line="400" w:lineRule="exact"/>
        <w:ind w:firstLine="480" w:firstLineChars="200"/>
        <w:rPr>
          <w:szCs w:val="21"/>
        </w:rPr>
      </w:pPr>
      <w:r>
        <w:rPr>
          <w:rFonts w:hint="eastAsia"/>
          <w:szCs w:val="21"/>
        </w:rPr>
        <w:t>21. 不可抗力</w:t>
      </w:r>
    </w:p>
    <w:p>
      <w:pPr>
        <w:spacing w:line="400" w:lineRule="exact"/>
        <w:ind w:firstLine="480" w:firstLineChars="200"/>
        <w:rPr>
          <w:szCs w:val="21"/>
        </w:rPr>
      </w:pPr>
      <w:r>
        <w:rPr>
          <w:rFonts w:hint="eastAsia"/>
          <w:szCs w:val="21"/>
        </w:rPr>
        <w:t>21.1 不可抗力的确认</w:t>
      </w:r>
    </w:p>
    <w:p>
      <w:pPr>
        <w:spacing w:line="400" w:lineRule="exact"/>
        <w:ind w:firstLine="480" w:firstLineChars="200"/>
        <w:rPr>
          <w:szCs w:val="21"/>
        </w:rPr>
      </w:pPr>
      <w:r>
        <w:rPr>
          <w:rFonts w:hint="eastAsia"/>
          <w:szCs w:val="21"/>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400" w:lineRule="exact"/>
        <w:ind w:firstLine="480" w:firstLineChars="200"/>
        <w:rPr>
          <w:szCs w:val="21"/>
        </w:rPr>
      </w:pPr>
      <w:r>
        <w:rPr>
          <w:rFonts w:hint="eastAsia"/>
          <w:szCs w:val="21"/>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spacing w:line="400" w:lineRule="exact"/>
        <w:ind w:firstLine="480" w:firstLineChars="200"/>
        <w:rPr>
          <w:szCs w:val="21"/>
        </w:rPr>
      </w:pPr>
      <w:r>
        <w:rPr>
          <w:rFonts w:hint="eastAsia"/>
          <w:szCs w:val="21"/>
        </w:rPr>
        <w:t>21.2 不可抗力的通知</w:t>
      </w:r>
    </w:p>
    <w:p>
      <w:pPr>
        <w:spacing w:line="400" w:lineRule="exact"/>
        <w:ind w:firstLine="480" w:firstLineChars="200"/>
        <w:rPr>
          <w:szCs w:val="21"/>
        </w:rPr>
      </w:pPr>
      <w:r>
        <w:rPr>
          <w:rFonts w:hint="eastAsia"/>
          <w:szCs w:val="21"/>
        </w:rPr>
        <w:t>21.2.1 合同一方当事人遇到不可抗力事件，使其履行合同义务受到阻碍时，应立即通知合同另一方当事人和监理人，书面说明不可抗力和受阻碍的详细情况，并提供必要的证明。</w:t>
      </w:r>
    </w:p>
    <w:p>
      <w:pPr>
        <w:spacing w:line="400" w:lineRule="exact"/>
        <w:ind w:firstLine="480" w:firstLineChars="200"/>
        <w:rPr>
          <w:szCs w:val="21"/>
        </w:rPr>
      </w:pPr>
      <w:r>
        <w:rPr>
          <w:rFonts w:hint="eastAsia"/>
          <w:szCs w:val="21"/>
        </w:rPr>
        <w:t>21.2.2 如不可抗力持续发生，合同一方当事人应及时向合同另一方当事人和监理人提交中间报告，说明不可抗力和履行合同受阻的情况，并于不可抗力事件结束后28天内提交最终报告及有关资料。</w:t>
      </w:r>
    </w:p>
    <w:p>
      <w:pPr>
        <w:spacing w:line="400" w:lineRule="exact"/>
        <w:ind w:firstLine="480" w:firstLineChars="200"/>
        <w:rPr>
          <w:szCs w:val="21"/>
        </w:rPr>
      </w:pPr>
      <w:r>
        <w:rPr>
          <w:rFonts w:hint="eastAsia"/>
          <w:szCs w:val="21"/>
        </w:rPr>
        <w:t>21.3 不可抗力后果及其处理</w:t>
      </w:r>
    </w:p>
    <w:p>
      <w:pPr>
        <w:spacing w:line="400" w:lineRule="exact"/>
        <w:ind w:firstLine="480" w:firstLineChars="200"/>
        <w:rPr>
          <w:szCs w:val="21"/>
        </w:rPr>
      </w:pPr>
      <w:r>
        <w:rPr>
          <w:rFonts w:hint="eastAsia"/>
          <w:szCs w:val="21"/>
        </w:rPr>
        <w:t>21.3.1 不可抗力造成损害的责任</w:t>
      </w:r>
    </w:p>
    <w:p>
      <w:pPr>
        <w:spacing w:line="400" w:lineRule="exact"/>
        <w:ind w:firstLine="480" w:firstLineChars="200"/>
        <w:rPr>
          <w:szCs w:val="21"/>
        </w:rPr>
      </w:pPr>
      <w:r>
        <w:rPr>
          <w:rFonts w:hint="eastAsia"/>
          <w:szCs w:val="21"/>
        </w:rPr>
        <w:t>除专用合同条款另有约定外，不可抗力导致的人员伤亡、财产损失、费用增加和（或）工期延误等后果，由合同双方按以下原则承担：</w:t>
      </w:r>
    </w:p>
    <w:p>
      <w:pPr>
        <w:spacing w:line="400" w:lineRule="exact"/>
        <w:ind w:firstLine="480" w:firstLineChars="200"/>
        <w:rPr>
          <w:szCs w:val="21"/>
        </w:rPr>
      </w:pPr>
      <w:r>
        <w:rPr>
          <w:rFonts w:hint="eastAsia"/>
          <w:szCs w:val="21"/>
        </w:rPr>
        <w:t>（1）永久工程，包括已运至施工场地的材料和工程设备的损害，以及因工程损害造成的第三者人员伤亡和财产损失由发包人承担；</w:t>
      </w:r>
    </w:p>
    <w:p>
      <w:pPr>
        <w:spacing w:line="400" w:lineRule="exact"/>
        <w:ind w:firstLine="480" w:firstLineChars="200"/>
        <w:rPr>
          <w:szCs w:val="21"/>
        </w:rPr>
      </w:pPr>
      <w:r>
        <w:rPr>
          <w:rFonts w:hint="eastAsia"/>
          <w:szCs w:val="21"/>
        </w:rPr>
        <w:t>（2）承包人设备的损坏由承包人承担；</w:t>
      </w:r>
    </w:p>
    <w:p>
      <w:pPr>
        <w:spacing w:line="400" w:lineRule="exact"/>
        <w:ind w:firstLine="480" w:firstLineChars="200"/>
        <w:rPr>
          <w:szCs w:val="21"/>
        </w:rPr>
      </w:pPr>
      <w:r>
        <w:rPr>
          <w:rFonts w:hint="eastAsia"/>
          <w:szCs w:val="21"/>
        </w:rPr>
        <w:t>（3）发包人和承包人各自承担其人员伤亡和其他财产损失及其相关费用；</w:t>
      </w:r>
    </w:p>
    <w:p>
      <w:pPr>
        <w:spacing w:line="400" w:lineRule="exact"/>
        <w:ind w:firstLine="480" w:firstLineChars="200"/>
        <w:rPr>
          <w:szCs w:val="21"/>
        </w:rPr>
      </w:pPr>
      <w:r>
        <w:rPr>
          <w:rFonts w:hint="eastAsia"/>
          <w:szCs w:val="21"/>
        </w:rPr>
        <w:t>（4）承包人的停工损失由承包人承担，但停工期间应监理人要求照管工程和清理、修复工程的金额由发包人承担；</w:t>
      </w:r>
    </w:p>
    <w:p>
      <w:pPr>
        <w:spacing w:line="400" w:lineRule="exact"/>
        <w:ind w:firstLine="480" w:firstLineChars="200"/>
        <w:rPr>
          <w:szCs w:val="21"/>
        </w:rPr>
      </w:pPr>
      <w:r>
        <w:rPr>
          <w:rFonts w:hint="eastAsia"/>
          <w:szCs w:val="21"/>
        </w:rPr>
        <w:t>（5）不能按期竣工的，应合理延长工期，承包人不需支付逾期竣工违约金。发包人要求赶工的，承包人应采取赶工措施，赶工费用由发包人承担。</w:t>
      </w:r>
    </w:p>
    <w:p>
      <w:pPr>
        <w:spacing w:line="400" w:lineRule="exact"/>
        <w:ind w:firstLine="480" w:firstLineChars="200"/>
        <w:rPr>
          <w:szCs w:val="21"/>
        </w:rPr>
      </w:pPr>
      <w:r>
        <w:rPr>
          <w:rFonts w:hint="eastAsia"/>
          <w:szCs w:val="21"/>
        </w:rPr>
        <w:t>21.3.2 延迟履行期间发生的不可抗力</w:t>
      </w:r>
    </w:p>
    <w:p>
      <w:pPr>
        <w:spacing w:line="400" w:lineRule="exact"/>
        <w:ind w:firstLine="480" w:firstLineChars="200"/>
        <w:rPr>
          <w:szCs w:val="21"/>
        </w:rPr>
      </w:pPr>
      <w:r>
        <w:rPr>
          <w:rFonts w:hint="eastAsia"/>
          <w:szCs w:val="21"/>
        </w:rPr>
        <w:t>合同一方当事人延迟履行，在延迟履行期间发生不可抗力的，不免除其责任。</w:t>
      </w:r>
    </w:p>
    <w:p>
      <w:pPr>
        <w:spacing w:line="400" w:lineRule="exact"/>
        <w:ind w:firstLine="480" w:firstLineChars="200"/>
        <w:rPr>
          <w:szCs w:val="21"/>
        </w:rPr>
      </w:pPr>
      <w:r>
        <w:rPr>
          <w:rFonts w:hint="eastAsia"/>
          <w:szCs w:val="21"/>
        </w:rPr>
        <w:t>21.3.3 避免和减少不可抗力损失</w:t>
      </w:r>
    </w:p>
    <w:p>
      <w:pPr>
        <w:spacing w:line="400" w:lineRule="exact"/>
        <w:ind w:firstLine="480" w:firstLineChars="200"/>
        <w:rPr>
          <w:szCs w:val="21"/>
        </w:rPr>
      </w:pPr>
      <w:r>
        <w:rPr>
          <w:rFonts w:hint="eastAsia"/>
          <w:szCs w:val="21"/>
        </w:rPr>
        <w:t>不可抗力发生后，发包人和承包人均应采取措施尽量避免和减少损失的扩大，任何一方没有采取有效措施导致损失扩大的，应对扩大的损失承担责任。</w:t>
      </w:r>
    </w:p>
    <w:p>
      <w:pPr>
        <w:spacing w:line="400" w:lineRule="exact"/>
        <w:ind w:firstLine="480" w:firstLineChars="200"/>
        <w:rPr>
          <w:szCs w:val="21"/>
        </w:rPr>
      </w:pPr>
      <w:r>
        <w:rPr>
          <w:rFonts w:hint="eastAsia"/>
          <w:szCs w:val="21"/>
        </w:rPr>
        <w:t>21.3.4 因不可抗力解除合同</w:t>
      </w:r>
    </w:p>
    <w:p>
      <w:pPr>
        <w:spacing w:line="400" w:lineRule="exact"/>
        <w:ind w:firstLine="480" w:firstLineChars="200"/>
        <w:rPr>
          <w:szCs w:val="21"/>
        </w:rPr>
      </w:pPr>
      <w:r>
        <w:rPr>
          <w:rFonts w:hint="eastAsia"/>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spacing w:line="400" w:lineRule="exact"/>
        <w:ind w:firstLine="480" w:firstLineChars="200"/>
        <w:rPr>
          <w:szCs w:val="21"/>
        </w:rPr>
      </w:pPr>
      <w:r>
        <w:rPr>
          <w:rFonts w:hint="eastAsia"/>
          <w:szCs w:val="21"/>
        </w:rPr>
        <w:t>22. 违约</w:t>
      </w:r>
    </w:p>
    <w:p>
      <w:pPr>
        <w:spacing w:line="400" w:lineRule="exact"/>
        <w:ind w:firstLine="480" w:firstLineChars="200"/>
        <w:rPr>
          <w:szCs w:val="21"/>
        </w:rPr>
      </w:pPr>
      <w:r>
        <w:rPr>
          <w:rFonts w:hint="eastAsia"/>
          <w:szCs w:val="21"/>
        </w:rPr>
        <w:t>22.1 承包人违约</w:t>
      </w:r>
    </w:p>
    <w:p>
      <w:pPr>
        <w:spacing w:line="400" w:lineRule="exact"/>
        <w:ind w:firstLine="480" w:firstLineChars="200"/>
        <w:rPr>
          <w:szCs w:val="21"/>
        </w:rPr>
      </w:pPr>
      <w:r>
        <w:rPr>
          <w:rFonts w:hint="eastAsia"/>
          <w:szCs w:val="21"/>
        </w:rPr>
        <w:t>22.1.1 承包人违约的情形</w:t>
      </w:r>
    </w:p>
    <w:p>
      <w:pPr>
        <w:spacing w:line="400" w:lineRule="exact"/>
        <w:ind w:firstLine="480" w:firstLineChars="200"/>
        <w:rPr>
          <w:szCs w:val="21"/>
        </w:rPr>
      </w:pPr>
      <w:r>
        <w:rPr>
          <w:rFonts w:hint="eastAsia"/>
          <w:szCs w:val="21"/>
        </w:rPr>
        <w:t>在履行合同过程中发生的下列情况属承包人违约：</w:t>
      </w:r>
    </w:p>
    <w:p>
      <w:pPr>
        <w:spacing w:line="400" w:lineRule="exact"/>
        <w:ind w:firstLine="480" w:firstLineChars="200"/>
        <w:rPr>
          <w:szCs w:val="21"/>
        </w:rPr>
      </w:pPr>
      <w:r>
        <w:rPr>
          <w:rFonts w:hint="eastAsia"/>
          <w:szCs w:val="21"/>
        </w:rPr>
        <w:t>（1）承包人违反第1.8款或第4.3款的约定，私自将合同的全部或部分权利转让给其他人，或私自将合同的全部或部分义务转移给其他人；</w:t>
      </w:r>
    </w:p>
    <w:p>
      <w:pPr>
        <w:spacing w:line="400" w:lineRule="exact"/>
        <w:ind w:firstLine="480" w:firstLineChars="200"/>
        <w:rPr>
          <w:szCs w:val="21"/>
        </w:rPr>
      </w:pPr>
      <w:r>
        <w:rPr>
          <w:rFonts w:hint="eastAsia"/>
          <w:szCs w:val="21"/>
        </w:rPr>
        <w:t>（2）承包人违反第5.3款或第6.4款的约定，未经监理人批准，私自将已按合同约定进入施工场地的施工设备、临时设施或材料撤离施工场地；</w:t>
      </w:r>
    </w:p>
    <w:p>
      <w:pPr>
        <w:spacing w:line="400" w:lineRule="exact"/>
        <w:ind w:firstLine="480" w:firstLineChars="200"/>
        <w:rPr>
          <w:szCs w:val="21"/>
        </w:rPr>
      </w:pPr>
      <w:r>
        <w:rPr>
          <w:rFonts w:hint="eastAsia"/>
          <w:szCs w:val="21"/>
        </w:rPr>
        <w:t>（3）承包人违反第5.4款的约定使用了不合格材料或工程设备，工程质量达不到标准要求，又拒绝清除不合格工程；</w:t>
      </w:r>
    </w:p>
    <w:p>
      <w:pPr>
        <w:spacing w:line="400" w:lineRule="exact"/>
        <w:ind w:firstLine="480" w:firstLineChars="200"/>
        <w:rPr>
          <w:szCs w:val="21"/>
        </w:rPr>
      </w:pPr>
      <w:r>
        <w:rPr>
          <w:rFonts w:hint="eastAsia"/>
          <w:szCs w:val="21"/>
        </w:rPr>
        <w:t>（4）承包人未能按合同进度计划及时完成合同约定的工作，已造成或预期造成工期延误；</w:t>
      </w:r>
    </w:p>
    <w:p>
      <w:pPr>
        <w:spacing w:line="400" w:lineRule="exact"/>
        <w:ind w:firstLine="480" w:firstLineChars="200"/>
        <w:rPr>
          <w:szCs w:val="21"/>
        </w:rPr>
      </w:pPr>
      <w:r>
        <w:rPr>
          <w:rFonts w:hint="eastAsia"/>
          <w:szCs w:val="21"/>
        </w:rPr>
        <w:t>（5）承包人在缺陷责任期内，未能对工程接收证书所列的缺陷清单的内容或缺陷责任期内发生的缺陷进行修复，而又拒绝按监理人指示再进行修补；</w:t>
      </w:r>
    </w:p>
    <w:p>
      <w:pPr>
        <w:spacing w:line="400" w:lineRule="exact"/>
        <w:ind w:firstLine="480" w:firstLineChars="200"/>
        <w:rPr>
          <w:szCs w:val="21"/>
        </w:rPr>
      </w:pPr>
      <w:r>
        <w:rPr>
          <w:rFonts w:hint="eastAsia"/>
          <w:szCs w:val="21"/>
        </w:rPr>
        <w:t>（6）承包人无法继续履行或明确表示不履行或实质上已停止履行合同；</w:t>
      </w:r>
    </w:p>
    <w:p>
      <w:pPr>
        <w:spacing w:line="400" w:lineRule="exact"/>
        <w:ind w:firstLine="480" w:firstLineChars="200"/>
        <w:rPr>
          <w:szCs w:val="21"/>
        </w:rPr>
      </w:pPr>
      <w:r>
        <w:rPr>
          <w:rFonts w:hint="eastAsia"/>
          <w:szCs w:val="21"/>
        </w:rPr>
        <w:t>（7）承包人不按合同约定履行义务的其他情况。</w:t>
      </w:r>
    </w:p>
    <w:p>
      <w:pPr>
        <w:spacing w:line="400" w:lineRule="exact"/>
        <w:ind w:firstLine="480" w:firstLineChars="200"/>
        <w:rPr>
          <w:szCs w:val="21"/>
        </w:rPr>
      </w:pPr>
      <w:r>
        <w:rPr>
          <w:rFonts w:hint="eastAsia"/>
          <w:szCs w:val="21"/>
        </w:rPr>
        <w:t>22.1.2 对承包人违约的处理</w:t>
      </w:r>
    </w:p>
    <w:p>
      <w:pPr>
        <w:spacing w:line="400" w:lineRule="exact"/>
        <w:ind w:firstLine="480" w:firstLineChars="200"/>
        <w:rPr>
          <w:szCs w:val="21"/>
        </w:rPr>
      </w:pPr>
      <w:r>
        <w:rPr>
          <w:rFonts w:hint="eastAsia"/>
          <w:szCs w:val="21"/>
        </w:rPr>
        <w:t>（1）承包人发生第22.1.1（6）目约定的违约情况时，发包人可通知承包人立即解除合同，并按有关法律处理。</w:t>
      </w:r>
    </w:p>
    <w:p>
      <w:pPr>
        <w:spacing w:line="400" w:lineRule="exact"/>
        <w:ind w:firstLine="480" w:firstLineChars="200"/>
        <w:rPr>
          <w:szCs w:val="21"/>
        </w:rPr>
      </w:pPr>
      <w:r>
        <w:rPr>
          <w:rFonts w:hint="eastAsia"/>
          <w:szCs w:val="21"/>
        </w:rPr>
        <w:t>（2）承包人发生除第22.1.1（6）目约定以外的其他违约情况时，监理人可向承包人发出整改通知，要求其在指定的期限内改正。承包人应承担其违约所引起的费用增加和（或）工期延误。</w:t>
      </w:r>
    </w:p>
    <w:p>
      <w:pPr>
        <w:spacing w:line="400" w:lineRule="exact"/>
        <w:ind w:firstLine="480" w:firstLineChars="200"/>
        <w:rPr>
          <w:szCs w:val="21"/>
        </w:rPr>
      </w:pPr>
      <w:r>
        <w:rPr>
          <w:rFonts w:hint="eastAsia"/>
          <w:szCs w:val="21"/>
        </w:rPr>
        <w:t>（3）经检查证明承包人已采取了有效措施纠正违约行为，具备复工条件的，可由监理人签发复工通知复工。</w:t>
      </w:r>
    </w:p>
    <w:p>
      <w:pPr>
        <w:spacing w:line="400" w:lineRule="exact"/>
        <w:ind w:firstLine="480" w:firstLineChars="200"/>
        <w:rPr>
          <w:szCs w:val="21"/>
        </w:rPr>
      </w:pPr>
      <w:r>
        <w:rPr>
          <w:rFonts w:hint="eastAsia"/>
          <w:szCs w:val="21"/>
        </w:rPr>
        <w:t>22.1.3 承包人违约解除合同</w:t>
      </w:r>
    </w:p>
    <w:p>
      <w:pPr>
        <w:spacing w:line="400" w:lineRule="exact"/>
        <w:ind w:firstLine="480" w:firstLineChars="200"/>
        <w:rPr>
          <w:szCs w:val="21"/>
        </w:rPr>
      </w:pPr>
      <w:r>
        <w:rPr>
          <w:rFonts w:hint="eastAsia"/>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400" w:lineRule="exact"/>
        <w:ind w:firstLine="480" w:firstLineChars="200"/>
        <w:rPr>
          <w:szCs w:val="21"/>
        </w:rPr>
      </w:pPr>
      <w:r>
        <w:rPr>
          <w:rFonts w:hint="eastAsia"/>
          <w:szCs w:val="21"/>
        </w:rPr>
        <w:t>22.1.4 合同解除后的估价、付款和结清</w:t>
      </w:r>
    </w:p>
    <w:p>
      <w:pPr>
        <w:spacing w:line="400" w:lineRule="exact"/>
        <w:ind w:firstLine="480" w:firstLineChars="200"/>
        <w:rPr>
          <w:szCs w:val="21"/>
        </w:rPr>
      </w:pPr>
      <w:r>
        <w:rPr>
          <w:rFonts w:hint="eastAsia"/>
          <w:szCs w:val="21"/>
        </w:rPr>
        <w:t xml:space="preserve">（1）合同解除后，监理人按第3.5款商定或确定承包人实际完成工作的价值，以及承包人已提供的材料、施工设备、工程设备和临时工程等的价值。 </w:t>
      </w:r>
    </w:p>
    <w:p>
      <w:pPr>
        <w:spacing w:line="400" w:lineRule="exact"/>
        <w:ind w:firstLine="480" w:firstLineChars="200"/>
        <w:rPr>
          <w:szCs w:val="21"/>
        </w:rPr>
      </w:pPr>
      <w:r>
        <w:rPr>
          <w:rFonts w:hint="eastAsia"/>
          <w:szCs w:val="21"/>
        </w:rPr>
        <w:t xml:space="preserve">（2）合同解除后，发包人应暂停对承包人的一切付款，查清各项付款和已扣款金额，包括承包人应支付的违约金。 </w:t>
      </w:r>
    </w:p>
    <w:p>
      <w:pPr>
        <w:spacing w:line="400" w:lineRule="exact"/>
        <w:ind w:firstLine="480" w:firstLineChars="200"/>
        <w:rPr>
          <w:szCs w:val="21"/>
        </w:rPr>
      </w:pPr>
      <w:r>
        <w:rPr>
          <w:rFonts w:hint="eastAsia"/>
          <w:szCs w:val="21"/>
        </w:rPr>
        <w:t>（3）合同解除后，发包人应按第23.4款的约定向承包人索赔由于解除合同给发包人造成的损失。</w:t>
      </w:r>
    </w:p>
    <w:p>
      <w:pPr>
        <w:spacing w:line="400" w:lineRule="exact"/>
        <w:ind w:firstLine="480" w:firstLineChars="200"/>
        <w:rPr>
          <w:szCs w:val="21"/>
        </w:rPr>
      </w:pPr>
      <w:r>
        <w:rPr>
          <w:rFonts w:hint="eastAsia"/>
          <w:szCs w:val="21"/>
        </w:rPr>
        <w:t>（4）合同双方确认上述往来款项后，出具最终结清付款证书，结清全部合同款项。</w:t>
      </w:r>
    </w:p>
    <w:p>
      <w:pPr>
        <w:spacing w:line="400" w:lineRule="exact"/>
        <w:ind w:firstLine="480" w:firstLineChars="200"/>
        <w:rPr>
          <w:szCs w:val="21"/>
        </w:rPr>
      </w:pPr>
      <w:r>
        <w:rPr>
          <w:rFonts w:hint="eastAsia"/>
          <w:szCs w:val="21"/>
        </w:rPr>
        <w:t>（5）发包人和承包人未能就解除合同后的结清达成一致而形成争议的，按第24条的约定办理。</w:t>
      </w:r>
    </w:p>
    <w:p>
      <w:pPr>
        <w:spacing w:line="400" w:lineRule="exact"/>
        <w:ind w:firstLine="480" w:firstLineChars="200"/>
        <w:rPr>
          <w:szCs w:val="21"/>
        </w:rPr>
      </w:pPr>
      <w:r>
        <w:rPr>
          <w:rFonts w:hint="eastAsia"/>
          <w:szCs w:val="21"/>
        </w:rPr>
        <w:t>22.1.5 协议利益的转让</w:t>
      </w:r>
    </w:p>
    <w:p>
      <w:pPr>
        <w:spacing w:line="400" w:lineRule="exact"/>
        <w:ind w:firstLine="480" w:firstLineChars="200"/>
        <w:rPr>
          <w:szCs w:val="21"/>
        </w:rPr>
      </w:pPr>
      <w:r>
        <w:rPr>
          <w:rFonts w:hint="eastAsia"/>
          <w:szCs w:val="21"/>
        </w:rPr>
        <w:t xml:space="preserve">因承包人违约解除合同的，发包人有权要求承包人将其为实施合同而签订的材料和设备的订货协议或任何服务协议利益转让给发包人，并在解除合同后的14天内，依法办理转让手续。 </w:t>
      </w:r>
    </w:p>
    <w:p>
      <w:pPr>
        <w:spacing w:line="400" w:lineRule="exact"/>
        <w:ind w:firstLine="480" w:firstLineChars="200"/>
        <w:rPr>
          <w:szCs w:val="21"/>
        </w:rPr>
      </w:pPr>
      <w:r>
        <w:rPr>
          <w:rFonts w:hint="eastAsia"/>
          <w:szCs w:val="21"/>
        </w:rPr>
        <w:t>22.1.6 紧急情况下无能力或不愿进行抢救</w:t>
      </w:r>
    </w:p>
    <w:p>
      <w:pPr>
        <w:spacing w:line="400" w:lineRule="exact"/>
        <w:ind w:firstLine="480" w:firstLineChars="200"/>
        <w:rPr>
          <w:szCs w:val="21"/>
        </w:rPr>
      </w:pPr>
      <w:r>
        <w:rPr>
          <w:rFonts w:hint="eastAsia"/>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spacing w:line="400" w:lineRule="exact"/>
        <w:ind w:firstLine="480" w:firstLineChars="200"/>
        <w:rPr>
          <w:szCs w:val="21"/>
        </w:rPr>
      </w:pPr>
      <w:r>
        <w:rPr>
          <w:rFonts w:hint="eastAsia"/>
          <w:szCs w:val="21"/>
        </w:rPr>
        <w:t>22.2 发包人违约</w:t>
      </w:r>
    </w:p>
    <w:p>
      <w:pPr>
        <w:spacing w:line="400" w:lineRule="exact"/>
        <w:ind w:firstLine="480" w:firstLineChars="200"/>
        <w:rPr>
          <w:szCs w:val="21"/>
        </w:rPr>
      </w:pPr>
      <w:r>
        <w:rPr>
          <w:rFonts w:hint="eastAsia"/>
          <w:szCs w:val="21"/>
        </w:rPr>
        <w:t>22.2.1 发包人违约的情形</w:t>
      </w:r>
    </w:p>
    <w:p>
      <w:pPr>
        <w:spacing w:line="400" w:lineRule="exact"/>
        <w:ind w:firstLine="480" w:firstLineChars="200"/>
        <w:rPr>
          <w:szCs w:val="21"/>
        </w:rPr>
      </w:pPr>
      <w:r>
        <w:rPr>
          <w:rFonts w:hint="eastAsia"/>
          <w:szCs w:val="21"/>
        </w:rPr>
        <w:t>在履行合同过程中发生的下列情形，属发包人违约：</w:t>
      </w:r>
    </w:p>
    <w:p>
      <w:pPr>
        <w:spacing w:line="400" w:lineRule="exact"/>
        <w:ind w:firstLine="480" w:firstLineChars="200"/>
        <w:rPr>
          <w:szCs w:val="21"/>
        </w:rPr>
      </w:pPr>
      <w:r>
        <w:rPr>
          <w:rFonts w:hint="eastAsia"/>
          <w:szCs w:val="21"/>
        </w:rPr>
        <w:t>（1）发包人未能按合同约定支付预付款或合同价款，或拖延、拒绝批准付款申请和支付凭证，导致付款延误的；</w:t>
      </w:r>
    </w:p>
    <w:p>
      <w:pPr>
        <w:spacing w:line="400" w:lineRule="exact"/>
        <w:ind w:firstLine="480" w:firstLineChars="200"/>
        <w:rPr>
          <w:szCs w:val="21"/>
        </w:rPr>
      </w:pPr>
      <w:r>
        <w:rPr>
          <w:rFonts w:hint="eastAsia"/>
          <w:szCs w:val="21"/>
        </w:rPr>
        <w:t>（2）发包人原因造成停工的；</w:t>
      </w:r>
    </w:p>
    <w:p>
      <w:pPr>
        <w:spacing w:line="400" w:lineRule="exact"/>
        <w:ind w:firstLine="480" w:firstLineChars="200"/>
        <w:rPr>
          <w:szCs w:val="21"/>
        </w:rPr>
      </w:pPr>
      <w:r>
        <w:rPr>
          <w:rFonts w:hint="eastAsia"/>
          <w:szCs w:val="21"/>
        </w:rPr>
        <w:t>（3）监理人无正当理由没有在约定期限内发出复工指示，导致承包人无法复工的；</w:t>
      </w:r>
    </w:p>
    <w:p>
      <w:pPr>
        <w:spacing w:line="400" w:lineRule="exact"/>
        <w:ind w:firstLine="480" w:firstLineChars="200"/>
        <w:rPr>
          <w:szCs w:val="21"/>
        </w:rPr>
      </w:pPr>
      <w:r>
        <w:rPr>
          <w:rFonts w:hint="eastAsia"/>
          <w:szCs w:val="21"/>
        </w:rPr>
        <w:t>（4）发包人无法继续履行或明确表示不履行或实质上已停止履行合同的；</w:t>
      </w:r>
    </w:p>
    <w:p>
      <w:pPr>
        <w:spacing w:line="400" w:lineRule="exact"/>
        <w:ind w:firstLine="480" w:firstLineChars="200"/>
        <w:rPr>
          <w:szCs w:val="21"/>
        </w:rPr>
      </w:pPr>
      <w:r>
        <w:rPr>
          <w:rFonts w:hint="eastAsia"/>
          <w:szCs w:val="21"/>
        </w:rPr>
        <w:t>（5）发包人不履行合同约定其他义务的。</w:t>
      </w:r>
    </w:p>
    <w:p>
      <w:pPr>
        <w:spacing w:line="400" w:lineRule="exact"/>
        <w:ind w:firstLine="480" w:firstLineChars="200"/>
        <w:rPr>
          <w:szCs w:val="21"/>
        </w:rPr>
      </w:pPr>
      <w:r>
        <w:rPr>
          <w:rFonts w:hint="eastAsia"/>
          <w:szCs w:val="21"/>
        </w:rPr>
        <w:t>22.2.2 承包人有权暂停施工</w:t>
      </w:r>
    </w:p>
    <w:p>
      <w:pPr>
        <w:spacing w:line="400" w:lineRule="exact"/>
        <w:ind w:firstLine="480" w:firstLineChars="200"/>
        <w:rPr>
          <w:szCs w:val="21"/>
        </w:rPr>
      </w:pPr>
      <w:r>
        <w:rPr>
          <w:rFonts w:hint="eastAsia"/>
          <w:szCs w:val="21"/>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400" w:lineRule="exact"/>
        <w:ind w:firstLine="480" w:firstLineChars="200"/>
        <w:rPr>
          <w:szCs w:val="21"/>
        </w:rPr>
      </w:pPr>
      <w:r>
        <w:rPr>
          <w:rFonts w:hint="eastAsia"/>
          <w:szCs w:val="21"/>
        </w:rPr>
        <w:t xml:space="preserve">22.2.3 发包人违约解除合同 </w:t>
      </w:r>
    </w:p>
    <w:p>
      <w:pPr>
        <w:spacing w:line="400" w:lineRule="exact"/>
        <w:ind w:firstLine="480" w:firstLineChars="200"/>
        <w:rPr>
          <w:szCs w:val="21"/>
        </w:rPr>
      </w:pPr>
      <w:r>
        <w:rPr>
          <w:rFonts w:hint="eastAsia"/>
          <w:szCs w:val="21"/>
        </w:rPr>
        <w:t xml:space="preserve">（1）发生第22.2.1（4）目的违约情况时，承包人可书面通知发包人解除合同。   </w:t>
      </w:r>
    </w:p>
    <w:p>
      <w:pPr>
        <w:spacing w:line="400" w:lineRule="exact"/>
        <w:ind w:firstLine="480" w:firstLineChars="200"/>
        <w:rPr>
          <w:szCs w:val="21"/>
        </w:rPr>
      </w:pPr>
      <w:r>
        <w:rPr>
          <w:rFonts w:hint="eastAsia"/>
          <w:szCs w:val="21"/>
        </w:rPr>
        <w:t>（2）承包人按22.2.2项暂停施工28天后，发包人仍不纠正违约行为的，承包人可向发包人发出解除合同通知。但承包人的这一行动不免除发包人承担的违约责任，也不影响承包人根据合同约定享有的索赔权利。</w:t>
      </w:r>
    </w:p>
    <w:p>
      <w:pPr>
        <w:spacing w:line="400" w:lineRule="exact"/>
        <w:ind w:firstLine="480" w:firstLineChars="200"/>
        <w:rPr>
          <w:szCs w:val="21"/>
        </w:rPr>
      </w:pPr>
      <w:r>
        <w:rPr>
          <w:rFonts w:hint="eastAsia"/>
          <w:szCs w:val="21"/>
        </w:rPr>
        <w:t>22.2.4 解除合同后的付款</w:t>
      </w:r>
    </w:p>
    <w:p>
      <w:pPr>
        <w:spacing w:line="400" w:lineRule="exact"/>
        <w:ind w:firstLine="480" w:firstLineChars="200"/>
        <w:rPr>
          <w:szCs w:val="21"/>
        </w:rPr>
      </w:pPr>
      <w:r>
        <w:rPr>
          <w:rFonts w:hint="eastAsia"/>
          <w:szCs w:val="21"/>
        </w:rPr>
        <w:t>因发包人违约解除合同的，发包人应在解除合同后28天内向承包人支付下列金额，承包人应在此期限内及时向发包人提交要求支付下列金额的有关资料和凭证：</w:t>
      </w:r>
    </w:p>
    <w:p>
      <w:pPr>
        <w:spacing w:line="400" w:lineRule="exact"/>
        <w:ind w:firstLine="480" w:firstLineChars="200"/>
        <w:rPr>
          <w:szCs w:val="21"/>
        </w:rPr>
      </w:pPr>
      <w:r>
        <w:rPr>
          <w:rFonts w:hint="eastAsia"/>
          <w:szCs w:val="21"/>
        </w:rPr>
        <w:t>（1）合同解除日以前所完成工作的价款；</w:t>
      </w:r>
    </w:p>
    <w:p>
      <w:pPr>
        <w:spacing w:line="400" w:lineRule="exact"/>
        <w:ind w:firstLine="480" w:firstLineChars="200"/>
        <w:rPr>
          <w:szCs w:val="21"/>
        </w:rPr>
      </w:pPr>
      <w:r>
        <w:rPr>
          <w:rFonts w:hint="eastAsia"/>
          <w:szCs w:val="21"/>
        </w:rPr>
        <w:t>（2）承包人为该工程施工订购并已付款的材料、工程设备和其他物品的金额。发包人付还后，该材料、工程设备和其他物品归发包人所有；</w:t>
      </w:r>
    </w:p>
    <w:p>
      <w:pPr>
        <w:spacing w:line="400" w:lineRule="exact"/>
        <w:ind w:firstLine="480" w:firstLineChars="200"/>
        <w:rPr>
          <w:szCs w:val="21"/>
        </w:rPr>
      </w:pPr>
      <w:r>
        <w:rPr>
          <w:rFonts w:hint="eastAsia"/>
          <w:szCs w:val="21"/>
        </w:rPr>
        <w:t>（3）承包人为完成工程所发生的，而发包人未支付的金额；</w:t>
      </w:r>
    </w:p>
    <w:p>
      <w:pPr>
        <w:spacing w:line="400" w:lineRule="exact"/>
        <w:ind w:firstLine="480" w:firstLineChars="200"/>
        <w:rPr>
          <w:szCs w:val="21"/>
        </w:rPr>
      </w:pPr>
      <w:r>
        <w:rPr>
          <w:rFonts w:hint="eastAsia"/>
          <w:szCs w:val="21"/>
        </w:rPr>
        <w:t>（4）承包人撤离施工场地以及遣散承包人人员的金额；</w:t>
      </w:r>
    </w:p>
    <w:p>
      <w:pPr>
        <w:spacing w:line="400" w:lineRule="exact"/>
        <w:ind w:firstLine="480" w:firstLineChars="200"/>
        <w:rPr>
          <w:szCs w:val="21"/>
        </w:rPr>
      </w:pPr>
      <w:r>
        <w:rPr>
          <w:rFonts w:hint="eastAsia"/>
          <w:szCs w:val="21"/>
        </w:rPr>
        <w:t>（5）由于解除合同应赔偿的承包人损失；</w:t>
      </w:r>
    </w:p>
    <w:p>
      <w:pPr>
        <w:spacing w:line="400" w:lineRule="exact"/>
        <w:ind w:firstLine="480" w:firstLineChars="200"/>
        <w:rPr>
          <w:szCs w:val="21"/>
        </w:rPr>
      </w:pPr>
      <w:r>
        <w:rPr>
          <w:rFonts w:hint="eastAsia"/>
          <w:szCs w:val="21"/>
        </w:rPr>
        <w:t>（6）按合同约定在合同解除日前应支付给承包人的其他金额。</w:t>
      </w:r>
    </w:p>
    <w:p>
      <w:pPr>
        <w:spacing w:line="400" w:lineRule="exact"/>
        <w:ind w:firstLine="480" w:firstLineChars="200"/>
        <w:rPr>
          <w:szCs w:val="21"/>
        </w:rPr>
      </w:pPr>
      <w:r>
        <w:rPr>
          <w:rFonts w:hint="eastAsia"/>
          <w:szCs w:val="21"/>
        </w:rPr>
        <w:t>发包人应按本项约定支付上述金额并退还质量保证金和履约担保，但有权要求承包人支付应偿还给发包人的各项金额。</w:t>
      </w:r>
    </w:p>
    <w:p>
      <w:pPr>
        <w:spacing w:line="400" w:lineRule="exact"/>
        <w:ind w:firstLine="480" w:firstLineChars="200"/>
        <w:rPr>
          <w:szCs w:val="21"/>
        </w:rPr>
      </w:pPr>
      <w:r>
        <w:rPr>
          <w:rFonts w:hint="eastAsia"/>
          <w:szCs w:val="21"/>
        </w:rPr>
        <w:t>22.2.5 解除合同后的承包人撤离</w:t>
      </w:r>
    </w:p>
    <w:p>
      <w:pPr>
        <w:spacing w:line="400" w:lineRule="exact"/>
        <w:ind w:firstLine="480" w:firstLineChars="200"/>
        <w:rPr>
          <w:szCs w:val="21"/>
        </w:rPr>
      </w:pPr>
      <w:r>
        <w:rPr>
          <w:rFonts w:hint="eastAsia"/>
          <w:szCs w:val="21"/>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spacing w:line="400" w:lineRule="exact"/>
        <w:ind w:firstLine="480" w:firstLineChars="200"/>
        <w:rPr>
          <w:szCs w:val="21"/>
        </w:rPr>
      </w:pPr>
      <w:r>
        <w:rPr>
          <w:rFonts w:hint="eastAsia"/>
          <w:szCs w:val="21"/>
        </w:rPr>
        <w:t>22.3 第三人造成的违约</w:t>
      </w:r>
    </w:p>
    <w:p>
      <w:pPr>
        <w:spacing w:line="400" w:lineRule="exact"/>
        <w:ind w:firstLine="480" w:firstLineChars="200"/>
        <w:rPr>
          <w:szCs w:val="21"/>
        </w:rPr>
      </w:pPr>
      <w:r>
        <w:rPr>
          <w:rFonts w:hint="eastAsia"/>
          <w:szCs w:val="21"/>
        </w:rPr>
        <w:t>在履行合同过程中，一方当事人因第三人的原因造成违约的，应当向对方当事人承担违约责任。一方当事人和第三人之间的纠纷，依照法律规定或者按照约定解决。</w:t>
      </w:r>
    </w:p>
    <w:p>
      <w:pPr>
        <w:spacing w:line="400" w:lineRule="exact"/>
        <w:ind w:firstLine="480" w:firstLineChars="200"/>
        <w:rPr>
          <w:szCs w:val="21"/>
        </w:rPr>
      </w:pPr>
      <w:r>
        <w:rPr>
          <w:rFonts w:hint="eastAsia"/>
          <w:szCs w:val="21"/>
        </w:rPr>
        <w:t>23. 索赔</w:t>
      </w:r>
    </w:p>
    <w:p>
      <w:pPr>
        <w:spacing w:line="400" w:lineRule="exact"/>
        <w:ind w:firstLine="480" w:firstLineChars="200"/>
        <w:rPr>
          <w:szCs w:val="21"/>
        </w:rPr>
      </w:pPr>
      <w:r>
        <w:rPr>
          <w:rFonts w:hint="eastAsia"/>
          <w:szCs w:val="21"/>
        </w:rPr>
        <w:t>23.1 承包人索赔的提出</w:t>
      </w:r>
    </w:p>
    <w:p>
      <w:pPr>
        <w:spacing w:line="400" w:lineRule="exact"/>
        <w:ind w:firstLine="480" w:firstLineChars="200"/>
        <w:rPr>
          <w:szCs w:val="21"/>
        </w:rPr>
      </w:pPr>
      <w:r>
        <w:rPr>
          <w:rFonts w:hint="eastAsia"/>
          <w:szCs w:val="21"/>
        </w:rPr>
        <w:t>根据合同约定，承包人认为有权得到追加付款和（或）延长工期的，应按以下程序向发包人提出索赔：</w:t>
      </w:r>
    </w:p>
    <w:p>
      <w:pPr>
        <w:spacing w:line="400" w:lineRule="exact"/>
        <w:ind w:firstLine="480" w:firstLineChars="200"/>
        <w:rPr>
          <w:szCs w:val="21"/>
        </w:rPr>
      </w:pPr>
      <w:r>
        <w:rPr>
          <w:rFonts w:hint="eastAsia"/>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400" w:lineRule="exact"/>
        <w:ind w:firstLine="480" w:firstLineChars="200"/>
        <w:rPr>
          <w:szCs w:val="21"/>
        </w:rPr>
      </w:pPr>
      <w:r>
        <w:rPr>
          <w:rFonts w:hint="eastAsia"/>
          <w:szCs w:val="21"/>
        </w:rPr>
        <w:t>（2）承包人应在发出索赔意向通知书后28天内，向监理人正式递交索赔通知书。索赔通知书应详细说明索赔理由以及要求追加的付款金额和（或）延长的工期，并附必要的记录和证明材料；</w:t>
      </w:r>
    </w:p>
    <w:p>
      <w:pPr>
        <w:spacing w:line="400" w:lineRule="exact"/>
        <w:ind w:firstLine="480" w:firstLineChars="200"/>
        <w:rPr>
          <w:szCs w:val="21"/>
        </w:rPr>
      </w:pPr>
      <w:r>
        <w:rPr>
          <w:rFonts w:hint="eastAsia"/>
          <w:szCs w:val="21"/>
        </w:rPr>
        <w:t>（3）索赔事件具有连续影响的，承包人应按合理时间间隔继续递交延续索赔通知，说明连续影响的实际情况和记录，列出累计的追加付款金额和（或）工期延长天数；</w:t>
      </w:r>
    </w:p>
    <w:p>
      <w:pPr>
        <w:spacing w:line="400" w:lineRule="exact"/>
        <w:ind w:firstLine="480" w:firstLineChars="200"/>
        <w:rPr>
          <w:szCs w:val="21"/>
        </w:rPr>
      </w:pPr>
      <w:r>
        <w:rPr>
          <w:rFonts w:hint="eastAsia"/>
          <w:szCs w:val="21"/>
        </w:rPr>
        <w:t>（4）在索赔事件影响结束后的28天内，承包人应向监理人递交最终索赔通知书，说明最终要求索赔的追加付款金额和延长的工期，并附必要的记录和证明材料。</w:t>
      </w:r>
    </w:p>
    <w:p>
      <w:pPr>
        <w:spacing w:line="400" w:lineRule="exact"/>
        <w:ind w:firstLine="480" w:firstLineChars="200"/>
        <w:rPr>
          <w:szCs w:val="21"/>
        </w:rPr>
      </w:pPr>
      <w:r>
        <w:rPr>
          <w:rFonts w:hint="eastAsia"/>
          <w:szCs w:val="21"/>
        </w:rPr>
        <w:t>23.2 承包人索赔处理程序</w:t>
      </w:r>
    </w:p>
    <w:p>
      <w:pPr>
        <w:spacing w:line="400" w:lineRule="exact"/>
        <w:ind w:firstLine="480" w:firstLineChars="200"/>
        <w:rPr>
          <w:szCs w:val="21"/>
        </w:rPr>
      </w:pPr>
      <w:r>
        <w:rPr>
          <w:rFonts w:hint="eastAsia"/>
          <w:szCs w:val="21"/>
        </w:rPr>
        <w:t>（1）监理人收到承包人提交的索赔通知书后，应及时审查索赔通知书的内容、查验承包人的记录和证明材料，必要时监理人可要求承包人提交全部原始记录副本。</w:t>
      </w:r>
    </w:p>
    <w:p>
      <w:pPr>
        <w:spacing w:line="400" w:lineRule="exact"/>
        <w:ind w:firstLine="480" w:firstLineChars="200"/>
        <w:rPr>
          <w:szCs w:val="21"/>
        </w:rPr>
      </w:pPr>
      <w:r>
        <w:rPr>
          <w:rFonts w:hint="eastAsia"/>
          <w:szCs w:val="21"/>
        </w:rPr>
        <w:t>（2）监理人应按第3.5款商定或确定追加的付款和（或）延长的工期，并在收到上述索赔通知书或有关索赔的进一步证明材料后的42天内，将索赔处理结果答复承包人。</w:t>
      </w:r>
    </w:p>
    <w:p>
      <w:pPr>
        <w:spacing w:line="400" w:lineRule="exact"/>
        <w:ind w:firstLine="480" w:firstLineChars="200"/>
        <w:rPr>
          <w:szCs w:val="21"/>
        </w:rPr>
      </w:pPr>
      <w:r>
        <w:rPr>
          <w:rFonts w:hint="eastAsia"/>
          <w:szCs w:val="21"/>
        </w:rPr>
        <w:t>（3）承包人接受索赔处理结果的，发包人应在作出索赔处理结果答复后28天内完成赔付。承包人不接受索赔处理结果的，按第24条的约定办理。</w:t>
      </w:r>
    </w:p>
    <w:p>
      <w:pPr>
        <w:spacing w:line="400" w:lineRule="exact"/>
        <w:ind w:firstLine="480" w:firstLineChars="200"/>
        <w:rPr>
          <w:szCs w:val="21"/>
        </w:rPr>
      </w:pPr>
      <w:r>
        <w:rPr>
          <w:rFonts w:hint="eastAsia"/>
          <w:szCs w:val="21"/>
        </w:rPr>
        <w:t>23.3 承包人提出索赔的期限</w:t>
      </w:r>
    </w:p>
    <w:p>
      <w:pPr>
        <w:spacing w:line="400" w:lineRule="exact"/>
        <w:ind w:firstLine="480" w:firstLineChars="200"/>
        <w:rPr>
          <w:szCs w:val="21"/>
        </w:rPr>
      </w:pPr>
      <w:r>
        <w:rPr>
          <w:rFonts w:hint="eastAsia"/>
          <w:szCs w:val="21"/>
        </w:rPr>
        <w:t>23.3.1 承包人按第17.5款的约定接受了竣工付款证书后，应被认为已无权再提出在合同工程接收证书颁发前所发生的任何索赔。</w:t>
      </w:r>
    </w:p>
    <w:p>
      <w:pPr>
        <w:spacing w:line="400" w:lineRule="exact"/>
        <w:ind w:firstLine="480" w:firstLineChars="200"/>
        <w:rPr>
          <w:szCs w:val="21"/>
        </w:rPr>
      </w:pPr>
      <w:r>
        <w:rPr>
          <w:rFonts w:hint="eastAsia"/>
          <w:szCs w:val="21"/>
        </w:rPr>
        <w:t xml:space="preserve">23.3.2 承包人按第17.6款的约定提交的最终结清申请单中，只限于提出工程接收证书颁发后发生的索赔。提出索赔的期限自接受最终结清证书时终止。 </w:t>
      </w:r>
    </w:p>
    <w:p>
      <w:pPr>
        <w:spacing w:line="400" w:lineRule="exact"/>
        <w:ind w:firstLine="480" w:firstLineChars="200"/>
        <w:rPr>
          <w:szCs w:val="21"/>
        </w:rPr>
      </w:pPr>
      <w:r>
        <w:rPr>
          <w:rFonts w:hint="eastAsia"/>
          <w:szCs w:val="21"/>
        </w:rPr>
        <w:t>23.4 发包人的索赔</w:t>
      </w:r>
    </w:p>
    <w:p>
      <w:pPr>
        <w:spacing w:line="400" w:lineRule="exact"/>
        <w:ind w:firstLine="480" w:firstLineChars="200"/>
        <w:rPr>
          <w:szCs w:val="21"/>
        </w:rPr>
      </w:pPr>
      <w:r>
        <w:rPr>
          <w:rFonts w:hint="eastAsia"/>
          <w:szCs w:val="21"/>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spacing w:line="400" w:lineRule="exact"/>
        <w:ind w:firstLine="480" w:firstLineChars="200"/>
        <w:rPr>
          <w:szCs w:val="21"/>
        </w:rPr>
      </w:pPr>
      <w:r>
        <w:rPr>
          <w:rFonts w:hint="eastAsia"/>
          <w:szCs w:val="21"/>
        </w:rPr>
        <w:t>23.4.2 监理人按第3.5款商定或确定发包人从承包人处得到赔付的金额和（或）缺陷责任期的延长期。承包人应付给发包人的金额可从拟支付给承包人的合同价款中扣除，或由承包人以其他方式支付给发包人。</w:t>
      </w:r>
    </w:p>
    <w:p>
      <w:pPr>
        <w:spacing w:line="400" w:lineRule="exact"/>
        <w:ind w:firstLine="480" w:firstLineChars="200"/>
        <w:rPr>
          <w:szCs w:val="21"/>
        </w:rPr>
      </w:pPr>
      <w:r>
        <w:rPr>
          <w:rFonts w:hint="eastAsia"/>
          <w:szCs w:val="21"/>
        </w:rPr>
        <w:t>24. 争议的解决</w:t>
      </w:r>
    </w:p>
    <w:p>
      <w:pPr>
        <w:spacing w:line="400" w:lineRule="exact"/>
        <w:ind w:firstLine="480" w:firstLineChars="200"/>
        <w:rPr>
          <w:szCs w:val="21"/>
        </w:rPr>
      </w:pPr>
      <w:r>
        <w:rPr>
          <w:rFonts w:hint="eastAsia"/>
          <w:szCs w:val="21"/>
        </w:rPr>
        <w:t>24.1 争议的解决方式</w:t>
      </w:r>
    </w:p>
    <w:p>
      <w:pPr>
        <w:spacing w:line="400" w:lineRule="exact"/>
        <w:ind w:firstLine="480" w:firstLineChars="200"/>
        <w:rPr>
          <w:szCs w:val="21"/>
        </w:rPr>
      </w:pPr>
      <w:r>
        <w:rPr>
          <w:rFonts w:hint="eastAsia"/>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400" w:lineRule="exact"/>
        <w:ind w:firstLine="480" w:firstLineChars="200"/>
        <w:rPr>
          <w:szCs w:val="21"/>
        </w:rPr>
      </w:pPr>
      <w:r>
        <w:rPr>
          <w:rFonts w:hint="eastAsia"/>
          <w:szCs w:val="21"/>
        </w:rPr>
        <w:t>（1）向约定的仲裁委员会申请仲裁；</w:t>
      </w:r>
    </w:p>
    <w:p>
      <w:pPr>
        <w:spacing w:line="400" w:lineRule="exact"/>
        <w:ind w:firstLine="480" w:firstLineChars="200"/>
        <w:rPr>
          <w:szCs w:val="21"/>
        </w:rPr>
      </w:pPr>
      <w:r>
        <w:rPr>
          <w:rFonts w:hint="eastAsia"/>
          <w:szCs w:val="21"/>
        </w:rPr>
        <w:t>（2）向有管辖权的人民法院提起诉讼。</w:t>
      </w:r>
    </w:p>
    <w:p>
      <w:pPr>
        <w:spacing w:line="400" w:lineRule="exact"/>
        <w:ind w:firstLine="480" w:firstLineChars="200"/>
        <w:rPr>
          <w:szCs w:val="21"/>
        </w:rPr>
      </w:pPr>
      <w:r>
        <w:rPr>
          <w:rFonts w:hint="eastAsia"/>
          <w:szCs w:val="21"/>
        </w:rPr>
        <w:t>24.2 友好解决</w:t>
      </w:r>
    </w:p>
    <w:p>
      <w:pPr>
        <w:spacing w:line="400" w:lineRule="exact"/>
        <w:ind w:firstLine="480" w:firstLineChars="200"/>
        <w:rPr>
          <w:szCs w:val="21"/>
        </w:rPr>
      </w:pPr>
      <w:r>
        <w:rPr>
          <w:rFonts w:hint="eastAsia"/>
          <w:szCs w:val="21"/>
        </w:rPr>
        <w:t>在提请争议评审、仲裁或者诉讼前，以及在争议评审、仲裁或诉讼过程中，发包人和承包人均可共同努力友好协商解决争议。</w:t>
      </w:r>
    </w:p>
    <w:p>
      <w:pPr>
        <w:spacing w:line="400" w:lineRule="exact"/>
        <w:ind w:firstLine="480" w:firstLineChars="200"/>
        <w:rPr>
          <w:szCs w:val="21"/>
        </w:rPr>
      </w:pPr>
      <w:r>
        <w:rPr>
          <w:rFonts w:hint="eastAsia"/>
          <w:szCs w:val="21"/>
        </w:rPr>
        <w:t>24.3 争议评审</w:t>
      </w:r>
    </w:p>
    <w:p>
      <w:pPr>
        <w:spacing w:line="400" w:lineRule="exact"/>
        <w:ind w:firstLine="480" w:firstLineChars="200"/>
        <w:rPr>
          <w:szCs w:val="21"/>
        </w:rPr>
      </w:pPr>
      <w:r>
        <w:rPr>
          <w:rFonts w:hint="eastAsia"/>
          <w:szCs w:val="21"/>
        </w:rPr>
        <w:t>24.3.1 采用争议评审的，发包人和承包人应在开工日后的28天内或在争议发生后，协商成立争议评审组。争议评审组由有合同管理和工程实践经验的专家组成。</w:t>
      </w:r>
    </w:p>
    <w:p>
      <w:pPr>
        <w:spacing w:line="400" w:lineRule="exact"/>
        <w:ind w:firstLine="480" w:firstLineChars="200"/>
        <w:rPr>
          <w:szCs w:val="21"/>
        </w:rPr>
      </w:pPr>
      <w:r>
        <w:rPr>
          <w:rFonts w:hint="eastAsia"/>
          <w:szCs w:val="21"/>
        </w:rPr>
        <w:t>24.3.2 合同双方的争议，应首先由申请人向争议评审组提交一份详细的评审申请报告，并附必要的文件、图纸和证明材料，申请人还应将上述报告的副本同时提交给被申请人和监理人。</w:t>
      </w:r>
    </w:p>
    <w:p>
      <w:pPr>
        <w:spacing w:line="400" w:lineRule="exact"/>
        <w:ind w:firstLine="480" w:firstLineChars="200"/>
        <w:rPr>
          <w:szCs w:val="21"/>
        </w:rPr>
      </w:pPr>
      <w:r>
        <w:rPr>
          <w:rFonts w:hint="eastAsia"/>
          <w:szCs w:val="21"/>
        </w:rPr>
        <w:t>24.3.3 被申请人在收到申请人评审申请报告副本后的28天内，向争议评审组提交一份答辩报告，并附证明材料。被申请人应将答辩报告的副本同时提交给申请人和监理人。</w:t>
      </w:r>
    </w:p>
    <w:p>
      <w:pPr>
        <w:spacing w:line="400" w:lineRule="exact"/>
        <w:ind w:firstLine="480" w:firstLineChars="200"/>
        <w:rPr>
          <w:szCs w:val="21"/>
        </w:rPr>
      </w:pPr>
      <w:r>
        <w:rPr>
          <w:rFonts w:hint="eastAsia"/>
          <w:szCs w:val="21"/>
        </w:rPr>
        <w:t>24.3.4 除专用合同条款另有约定外，争议评审组在收到合同双方报告后的14天内，公告双方代表和有关人员举行调查会，向双方调查争议细节；必要时争议评审组可要求双方进一步提供补充材料。</w:t>
      </w:r>
    </w:p>
    <w:p>
      <w:pPr>
        <w:spacing w:line="400" w:lineRule="exact"/>
        <w:ind w:firstLine="480" w:firstLineChars="200"/>
        <w:rPr>
          <w:szCs w:val="21"/>
        </w:rPr>
      </w:pPr>
      <w:r>
        <w:rPr>
          <w:rFonts w:hint="eastAsia"/>
          <w:szCs w:val="21"/>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400" w:lineRule="exact"/>
        <w:ind w:firstLine="480" w:firstLineChars="200"/>
        <w:rPr>
          <w:szCs w:val="21"/>
        </w:rPr>
      </w:pPr>
      <w:r>
        <w:rPr>
          <w:rFonts w:hint="eastAsia"/>
          <w:szCs w:val="21"/>
        </w:rPr>
        <w:t>24.3.6 发包人和承包人接受评审意见的，由监理人根据评审意见拟定执行协议，经争议双方签字后作为合同的补充文件，并遵照执行。</w:t>
      </w:r>
    </w:p>
    <w:p>
      <w:pPr>
        <w:spacing w:line="400" w:lineRule="exact"/>
        <w:ind w:firstLine="480" w:firstLineChars="200"/>
        <w:rPr>
          <w:szCs w:val="21"/>
        </w:rPr>
      </w:pPr>
      <w:r>
        <w:rPr>
          <w:rFonts w:hint="eastAsia"/>
          <w:szCs w:val="21"/>
        </w:rPr>
        <w:t>24.3.7 发包人或承包人不接受评审意见，并要求提交仲裁或提起诉讼的，应在收到评审意见后的14天内将仲裁或起诉意向书面通知另一方，并抄送监理人，但在仲裁或诉讼结束前应暂按总监理工程师的确定执行。</w:t>
      </w:r>
    </w:p>
    <w:bookmarkEnd w:id="81"/>
    <w:bookmarkEnd w:id="82"/>
    <w:bookmarkEnd w:id="83"/>
    <w:bookmarkEnd w:id="84"/>
    <w:p>
      <w:pPr>
        <w:keepNext/>
        <w:keepLines/>
        <w:spacing w:before="120" w:after="120" w:line="400" w:lineRule="exact"/>
        <w:ind w:right="-17"/>
        <w:jc w:val="center"/>
        <w:rPr>
          <w:rFonts w:ascii="宋体" w:hAnsi="宋体" w:cs="宋体"/>
          <w:b/>
          <w:sz w:val="28"/>
          <w:szCs w:val="20"/>
        </w:rPr>
      </w:pPr>
      <w:r>
        <w:rPr>
          <w:rFonts w:hint="eastAsia" w:ascii="宋体" w:hAnsi="宋体" w:cs="宋体"/>
          <w:b/>
          <w:sz w:val="28"/>
          <w:szCs w:val="20"/>
        </w:rPr>
        <w:t>第三部分  专用合同条款</w:t>
      </w:r>
    </w:p>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ind w:firstLine="440" w:firstLineChars="200"/>
        <w:rPr>
          <w:rFonts w:ascii="宋体" w:hAnsi="宋体" w:cs="宋体"/>
          <w:sz w:val="22"/>
        </w:rPr>
      </w:pPr>
      <w:r>
        <w:rPr>
          <w:rFonts w:hint="eastAsia" w:ascii="宋体" w:hAnsi="宋体" w:cs="宋体"/>
          <w:sz w:val="22"/>
        </w:rPr>
        <w:t>1.1.4 日期</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图纸；（10）工程量清单；（11）工程报价书。 </w:t>
      </w:r>
    </w:p>
    <w:p>
      <w:pPr>
        <w:snapToGrid w:val="0"/>
        <w:spacing w:line="360" w:lineRule="exact"/>
        <w:rPr>
          <w:rFonts w:ascii="宋体" w:hAnsi="宋体" w:cs="宋体"/>
          <w:sz w:val="22"/>
        </w:rPr>
      </w:pPr>
      <w:r>
        <w:rPr>
          <w:rFonts w:hint="eastAsia" w:ascii="宋体" w:hAnsi="宋体" w:cs="宋体"/>
          <w:sz w:val="22"/>
        </w:rPr>
        <w:t>1.6 图纸和承包人文件</w:t>
      </w:r>
    </w:p>
    <w:p>
      <w:pPr>
        <w:snapToGrid w:val="0"/>
        <w:spacing w:line="360" w:lineRule="exact"/>
        <w:ind w:firstLine="440" w:firstLineChars="200"/>
        <w:rPr>
          <w:rFonts w:ascii="宋体" w:hAnsi="宋体" w:cs="宋体"/>
          <w:sz w:val="22"/>
        </w:rPr>
      </w:pPr>
      <w:r>
        <w:rPr>
          <w:rFonts w:hint="eastAsia" w:ascii="宋体" w:hAnsi="宋体" w:cs="宋体"/>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宋体" w:hAnsi="宋体" w:cs="宋体"/>
          <w:sz w:val="22"/>
        </w:rPr>
      </w:pPr>
      <w:r>
        <w:rPr>
          <w:rFonts w:hint="eastAsia" w:ascii="宋体" w:hAnsi="宋体" w:cs="宋体"/>
          <w:sz w:val="22"/>
        </w:rPr>
        <w:t>1.6.3 图纸修改图具体签发期限：在该工程或工程相应部位施工前的3天内。</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再者：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4.2 履约担保</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4.2.1承包人向发包人提供履约担保，担保方式为：支票、银行汇票、电汇，担保额度：合同总价（扣除暂列金额）的10％。 履约担保包括以下类别：工期担保为履约担保金的</w:t>
      </w:r>
      <w:r>
        <w:rPr>
          <w:rFonts w:ascii="宋体" w:hAnsi="宋体" w:cs="宋体"/>
          <w:sz w:val="22"/>
        </w:rPr>
        <w:t>30</w:t>
      </w:r>
      <w:r>
        <w:rPr>
          <w:rFonts w:hint="eastAsia" w:ascii="宋体" w:hAnsi="宋体" w:cs="宋体"/>
          <w:sz w:val="22"/>
        </w:rPr>
        <w:t>%，质量担保为履约担保金的35%，人员及设备到位率担保为履约担保金的</w:t>
      </w:r>
      <w:r>
        <w:rPr>
          <w:rFonts w:ascii="宋体" w:hAnsi="宋体" w:cs="宋体"/>
          <w:sz w:val="22"/>
        </w:rPr>
        <w:t>15</w:t>
      </w:r>
      <w:r>
        <w:rPr>
          <w:rFonts w:hint="eastAsia" w:ascii="宋体" w:hAnsi="宋体" w:cs="宋体"/>
          <w:sz w:val="22"/>
        </w:rPr>
        <w:t>%，安全文明施工、治安、交通及机场空防安全担保为履约担保金的20%。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宋体" w:hAnsi="宋体" w:cs="宋体"/>
          <w:sz w:val="22"/>
        </w:rPr>
      </w:pPr>
      <w:r>
        <w:rPr>
          <w:rFonts w:hint="eastAsia" w:ascii="宋体" w:hAnsi="宋体" w:cs="宋体"/>
          <w:sz w:val="22"/>
        </w:rPr>
        <w:t>4.2.2承包人违约情形以发包人代表出具的书面意见为准，发包人有权直接以此为索赔依据，要求承包人承担违约责任。</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（3）出现上述两种情况时，</w:t>
      </w:r>
      <w:r>
        <w:rPr>
          <w:rFonts w:hint="eastAsia" w:ascii="宋体" w:hAnsi="宋体" w:cs="宋体"/>
          <w:b/>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宋体" w:hAnsi="宋体" w:cs="宋体"/>
          <w:sz w:val="22"/>
        </w:rPr>
        <w:t>若承包人擅自更换项目经理，发包人有权终止合同，没收全部履约保证金并向相关部门通报其违约信息。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5.2.8发包人供应材料设备发生的损耗按浙江省2010定额相关规定结算。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sz w:val="22"/>
        </w:rPr>
      </w:pPr>
      <w:r>
        <w:rPr>
          <w:rFonts w:hint="eastAsia" w:ascii="宋体" w:hAnsi="宋体" w:cs="宋体"/>
          <w:sz w:val="22"/>
        </w:rPr>
        <w:t>（1）没收履约担保金中相应的工期部分或全部履约保证金；</w:t>
      </w:r>
    </w:p>
    <w:p>
      <w:pPr>
        <w:snapToGrid w:val="0"/>
        <w:spacing w:line="360" w:lineRule="exact"/>
        <w:ind w:firstLine="440" w:firstLineChars="200"/>
        <w:rPr>
          <w:rFonts w:ascii="宋体" w:hAnsi="宋体" w:cs="宋体"/>
          <w:b/>
          <w:sz w:val="22"/>
        </w:rPr>
      </w:pPr>
      <w:r>
        <w:rPr>
          <w:rFonts w:hint="eastAsia" w:ascii="宋体" w:hAnsi="宋体" w:cs="宋体"/>
          <w:sz w:val="22"/>
        </w:rPr>
        <w:t>（2）按合同总工期每延误一天承包人应支付违约金人民币10000元；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（3）根据本合同的其他约定支付违约金，并视给发包人造成的实际损失给予赔偿；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pacing w:line="360" w:lineRule="exact"/>
        <w:rPr>
          <w:rFonts w:ascii="宋体" w:hAnsi="宋体" w:cs="宋体"/>
          <w:sz w:val="22"/>
        </w:rPr>
      </w:pPr>
      <w:r>
        <w:rPr>
          <w:rFonts w:ascii="宋体" w:hAnsi="宋体" w:cs="宋体"/>
          <w:sz w:val="22"/>
        </w:rPr>
        <w:t>15．变更</w:t>
      </w:r>
    </w:p>
    <w:p>
      <w:pPr>
        <w:spacing w:line="360" w:lineRule="exact"/>
        <w:rPr>
          <w:rFonts w:ascii="宋体" w:hAnsi="宋体" w:cs="宋体"/>
          <w:sz w:val="22"/>
        </w:rPr>
      </w:pPr>
      <w:r>
        <w:rPr>
          <w:rFonts w:ascii="宋体" w:hAnsi="宋体" w:cs="宋体"/>
          <w:sz w:val="22"/>
        </w:rPr>
        <w:t xml:space="preserve">15.1 </w:t>
      </w:r>
      <w:r>
        <w:rPr>
          <w:rFonts w:hint="eastAsia" w:ascii="宋体" w:hAnsi="宋体" w:cs="宋体"/>
          <w:sz w:val="22"/>
        </w:rPr>
        <w:t>变更的范围和内容</w:t>
      </w:r>
      <w:r>
        <w:rPr>
          <w:rFonts w:ascii="宋体" w:hAnsi="宋体" w:cs="宋体"/>
          <w:sz w:val="22"/>
        </w:rPr>
        <w:cr/>
      </w:r>
      <w:r>
        <w:rPr>
          <w:rFonts w:ascii="宋体" w:hAnsi="宋体" w:cs="宋体"/>
          <w:sz w:val="22"/>
        </w:rPr>
        <w:t xml:space="preserve">   双方约定，在履行合同中发生以下情形之一，不得进行变更。</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1）承包人投标报价时漏报的综合单价内的工作内容；</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2）合同执行期内，除约定的因物价波动引起的价格调整范围以外的投标材料、人工价格的市场变化；</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3）合同执行期内，施工临时停电、停水或因机场运营需要造成的连续8小时内的停工；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4）合同执行期内，因承包人原因造成停工、窝工；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5）合同执行期内，可能发生的其他费用，包括市政、市容、环保、治安等。</w:t>
      </w:r>
    </w:p>
    <w:p>
      <w:pPr>
        <w:spacing w:line="360" w:lineRule="exact"/>
        <w:rPr>
          <w:rFonts w:ascii="宋体" w:hAnsi="宋体" w:cs="宋体"/>
          <w:sz w:val="22"/>
        </w:rPr>
      </w:pPr>
      <w:r>
        <w:rPr>
          <w:rFonts w:ascii="宋体" w:hAnsi="宋体" w:cs="宋体"/>
          <w:sz w:val="22"/>
        </w:rPr>
        <w:t xml:space="preserve">15.4 变更的估价原则 </w:t>
      </w:r>
      <w:r>
        <w:rPr>
          <w:rFonts w:ascii="宋体" w:hAnsi="宋体" w:cs="宋体"/>
          <w:sz w:val="22"/>
        </w:rPr>
        <w:cr/>
      </w:r>
      <w:r>
        <w:rPr>
          <w:rFonts w:ascii="宋体" w:hAnsi="宋体" w:cs="宋体"/>
          <w:sz w:val="22"/>
        </w:rPr>
        <w:t xml:space="preserve">    15.4.1工程量清单计价表中有的项目，按工程量清单计价表中该项综合单价计价；</w:t>
      </w:r>
      <w:r>
        <w:rPr>
          <w:rFonts w:ascii="宋体" w:hAnsi="宋体" w:cs="宋体"/>
          <w:sz w:val="22"/>
        </w:rPr>
        <w:cr/>
      </w:r>
      <w:r>
        <w:rPr>
          <w:rFonts w:ascii="宋体" w:hAnsi="宋体" w:cs="宋体"/>
          <w:sz w:val="22"/>
        </w:rPr>
        <w:t xml:space="preserve">    15.4.2工程量清单计价表中类似的项目，参照工程量清单计价表中类似项目综合单价计价。上述“类似”指工作内容或工料机部分调整，能够利用已有项目进行综合单价调整的。综合单价调整的方法：工料机费用调整，其他费用不调整；</w:t>
      </w:r>
      <w:r>
        <w:rPr>
          <w:rFonts w:ascii="宋体" w:hAnsi="宋体" w:cs="宋体"/>
          <w:sz w:val="22"/>
        </w:rPr>
        <w:cr/>
      </w:r>
      <w:r>
        <w:rPr>
          <w:rFonts w:ascii="宋体" w:hAnsi="宋体" w:cs="宋体"/>
          <w:sz w:val="22"/>
        </w:rPr>
        <w:t xml:space="preserve">    15.4.3工程量清单计价表中无适用或类似子目的单价，由承包人在施工前提出并补充编制工料单价预算书，套用浙江省2010定额，按直接工程费＋综合费用（按投标口径，只计取综合费率、规费、农民工工伤保险和税金）计取；不能套用浙江省2010定额的项目，可按照成本加利润的原则，承包人与发包人协商后交由监理人按通用条款执行。</w:t>
      </w:r>
    </w:p>
    <w:p>
      <w:pPr>
        <w:spacing w:line="360" w:lineRule="exact"/>
        <w:ind w:firstLine="440" w:firstLineChars="200"/>
        <w:rPr>
          <w:rFonts w:ascii="宋体" w:hAnsi="宋体" w:cs="宋体"/>
          <w:sz w:val="22"/>
        </w:rPr>
      </w:pPr>
      <w:r>
        <w:rPr>
          <w:rFonts w:ascii="宋体" w:hAnsi="宋体" w:cs="宋体"/>
          <w:sz w:val="22"/>
        </w:rPr>
        <w:t>15.4.4对发包人要求变更的工程，费用在发包人提出该等要求之日起24小时内可由发包人、承包人商定的，则应由三方（发包人、承包人、监理人）签字认可。若不能当时认定的，承包人应无条件执行并实施变更，待施工完毕后再由发包人、承包人和监理人据实协商进行定价。承包人应在发包人提供变更单后24小时内，实施变更工程。若承包人拒绝或懈怠实施变更工程，每拖延一天应按10000元/天向发包人支付违约金。</w:t>
      </w:r>
      <w:r>
        <w:rPr>
          <w:rFonts w:hint="eastAsia" w:ascii="宋体" w:hAnsi="宋体" w:cs="宋体"/>
          <w:sz w:val="22"/>
        </w:rPr>
        <w:t>超过</w:t>
      </w:r>
      <w:r>
        <w:rPr>
          <w:rFonts w:ascii="宋体" w:hAnsi="宋体" w:cs="宋体"/>
          <w:sz w:val="22"/>
        </w:rPr>
        <w:t>10天的，发包人有权单方终止合同，并委托第三方代为实施，所产生的费用全部由承包人承担。同时，发包人有权没收履约保证金，且承包人应赔偿发包人违约金为合同总价的30%。</w:t>
      </w:r>
    </w:p>
    <w:p>
      <w:pPr>
        <w:spacing w:line="360" w:lineRule="exact"/>
        <w:rPr>
          <w:rFonts w:ascii="宋体" w:hAnsi="宋体" w:cs="宋体"/>
          <w:sz w:val="22"/>
        </w:rPr>
      </w:pPr>
      <w:r>
        <w:rPr>
          <w:rFonts w:ascii="宋体" w:hAnsi="宋体" w:cs="宋体"/>
          <w:sz w:val="22"/>
        </w:rPr>
        <w:t xml:space="preserve">15.9 </w:t>
      </w:r>
      <w:r>
        <w:rPr>
          <w:rFonts w:hint="eastAsia" w:ascii="宋体" w:hAnsi="宋体" w:cs="宋体"/>
          <w:sz w:val="22"/>
        </w:rPr>
        <w:t>其他</w:t>
      </w:r>
    </w:p>
    <w:p>
      <w:pPr>
        <w:spacing w:line="360" w:lineRule="exact"/>
        <w:ind w:firstLine="440" w:firstLineChars="200"/>
        <w:rPr>
          <w:rFonts w:ascii="宋体" w:hAnsi="宋体" w:cs="宋体"/>
          <w:sz w:val="22"/>
        </w:rPr>
      </w:pPr>
      <w:r>
        <w:rPr>
          <w:rFonts w:ascii="宋体" w:hAnsi="宋体" w:cs="宋体"/>
          <w:sz w:val="22"/>
        </w:rPr>
        <w:t>15.9.1本工程的所有变更必须按照有关规定执行，所有变更事项，承包人必须按照“工程变更联系单”中所列明的内容和要求进行施工，若未按上述办法规定擅自进行变更的，发包人一律不予认可，工程变更费用不予结算。对已实施的工程变更，发包人责令承包人按原设计要求限期整改，由此造成发包人经济损失、工期延误或影响工程质量的，将按照施工合同的有关约定，追究承包人的违约责任。</w:t>
      </w:r>
    </w:p>
    <w:p>
      <w:pPr>
        <w:spacing w:line="360" w:lineRule="exact"/>
        <w:ind w:firstLine="440" w:firstLineChars="200"/>
        <w:rPr>
          <w:rFonts w:ascii="宋体" w:hAnsi="宋体" w:cs="宋体"/>
          <w:sz w:val="22"/>
        </w:rPr>
      </w:pPr>
      <w:r>
        <w:rPr>
          <w:rFonts w:ascii="宋体" w:hAnsi="宋体" w:cs="宋体"/>
          <w:sz w:val="22"/>
        </w:rPr>
        <w:t xml:space="preserve">15.9.2 </w:t>
      </w:r>
      <w:r>
        <w:rPr>
          <w:rFonts w:hint="eastAsia" w:ascii="宋体" w:hAnsi="宋体" w:cs="宋体"/>
          <w:sz w:val="22"/>
        </w:rPr>
        <w:t>由于承包人自身原因，未按规定的时间和要求上报工程变更费用增减的书面报告和资料，或者对工程变更费用争议部分久拖不决的，从而影响工程结算和建设项目竣工财务决算的，发包人将向承包人发出书面函告。发出函告</w:t>
      </w:r>
      <w:r>
        <w:rPr>
          <w:rFonts w:ascii="宋体" w:hAnsi="宋体" w:cs="宋体"/>
          <w:sz w:val="22"/>
        </w:rPr>
        <w:t>1个月后，承包人无正当理由仍拒不执行的，视作承包人自动放弃权利的主张，发包人将不予结算工程变更费用或争议部分的费用。</w:t>
      </w:r>
    </w:p>
    <w:p>
      <w:pPr>
        <w:spacing w:line="360" w:lineRule="exact"/>
        <w:rPr>
          <w:rFonts w:ascii="宋体" w:hAnsi="宋体" w:cs="宋体"/>
          <w:sz w:val="22"/>
          <w:szCs w:val="22"/>
        </w:rPr>
      </w:pPr>
      <w:r>
        <w:rPr>
          <w:rFonts w:ascii="宋体" w:hAnsi="宋体" w:cs="宋体"/>
          <w:sz w:val="22"/>
          <w:szCs w:val="22"/>
        </w:rPr>
        <w:t>16．价格调整</w:t>
      </w:r>
    </w:p>
    <w:p>
      <w:pPr>
        <w:spacing w:line="360" w:lineRule="exact"/>
        <w:rPr>
          <w:rFonts w:ascii="宋体" w:hAnsi="宋体" w:cs="宋体"/>
          <w:sz w:val="22"/>
          <w:szCs w:val="22"/>
        </w:rPr>
      </w:pPr>
      <w:r>
        <w:rPr>
          <w:rFonts w:ascii="宋体" w:hAnsi="宋体" w:cs="宋体"/>
          <w:sz w:val="22"/>
          <w:szCs w:val="22"/>
        </w:rPr>
        <w:t>16.1物价波动引起的价格调整</w:t>
      </w:r>
    </w:p>
    <w:p>
      <w:pPr>
        <w:spacing w:line="360" w:lineRule="exact"/>
        <w:ind w:firstLine="440" w:firstLineChars="200"/>
        <w:rPr>
          <w:rFonts w:ascii="宋体" w:hAnsi="宋体" w:cs="宋体"/>
          <w:sz w:val="22"/>
          <w:szCs w:val="22"/>
        </w:rPr>
      </w:pPr>
      <w:r>
        <w:rPr>
          <w:rFonts w:ascii="宋体" w:hAnsi="宋体" w:cs="宋体"/>
          <w:sz w:val="22"/>
          <w:szCs w:val="22"/>
        </w:rPr>
        <w:t>16.1.1价格调整按下列规定执行：</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1）双方约定的因物价波动引起的价格调整范围为：无。</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2）计日外的其他所有人工、材料一律不做价格调整。</w:t>
      </w:r>
    </w:p>
    <w:p>
      <w:pPr>
        <w:spacing w:line="360" w:lineRule="exact"/>
        <w:rPr>
          <w:rFonts w:ascii="宋体" w:hAnsi="宋体" w:cs="宋体"/>
          <w:sz w:val="22"/>
          <w:szCs w:val="22"/>
        </w:rPr>
      </w:pPr>
      <w:r>
        <w:rPr>
          <w:rFonts w:ascii="宋体" w:hAnsi="宋体" w:cs="宋体"/>
          <w:sz w:val="22"/>
          <w:szCs w:val="22"/>
        </w:rPr>
        <w:t>16.3风险范围以外合同价款调整方法：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16.3.1本合同价款采用固定单价合同方式确定。</w:t>
      </w:r>
    </w:p>
    <w:p>
      <w:pPr>
        <w:spacing w:line="360" w:lineRule="exact"/>
        <w:ind w:firstLine="440" w:firstLineChars="200"/>
        <w:rPr>
          <w:rFonts w:ascii="宋体" w:hAnsi="宋体" w:cs="宋体"/>
          <w:sz w:val="22"/>
          <w:szCs w:val="22"/>
        </w:rPr>
      </w:pPr>
      <w:r>
        <w:rPr>
          <w:rFonts w:hint="eastAsia" w:ascii="宋体" w:hAnsi="宋体" w:cs="宋体"/>
          <w:sz w:val="22"/>
          <w:szCs w:val="22"/>
        </w:rPr>
        <w:t>合同价款中包括的风险范围：</w:t>
      </w:r>
      <w:r>
        <w:rPr>
          <w:rFonts w:ascii="宋体" w:hAnsi="宋体" w:cs="宋体"/>
          <w:sz w:val="22"/>
          <w:szCs w:val="22"/>
        </w:rPr>
        <w:t>a、发包范围内招标图纸包含的工程内容；b、合同执行期内，投标材料的市场变化；c、合同执行期内，施工临时停电、停水或因机场运营需要造成的连续8小时内的停工；d、合同执行期内，因承包人原因造成停工、窝工；e、合同执行期内可能发生的其他费用，包括市政、市容、环保、治安等。</w:t>
      </w:r>
    </w:p>
    <w:p>
      <w:pPr>
        <w:spacing w:line="360" w:lineRule="exact"/>
        <w:ind w:firstLine="440" w:firstLineChars="200"/>
        <w:rPr>
          <w:rFonts w:ascii="宋体" w:hAnsi="宋体" w:cs="宋体"/>
          <w:sz w:val="22"/>
          <w:szCs w:val="22"/>
        </w:rPr>
      </w:pPr>
      <w:r>
        <w:rPr>
          <w:rFonts w:hint="eastAsia" w:ascii="宋体" w:hAnsi="宋体" w:cs="宋体"/>
          <w:sz w:val="22"/>
          <w:szCs w:val="22"/>
        </w:rPr>
        <w:t>风险费用的计算方法：承包人在投标报价时综合考虑，不再另行计取。</w:t>
      </w:r>
    </w:p>
    <w:p>
      <w:pPr>
        <w:spacing w:line="360" w:lineRule="exact"/>
        <w:ind w:firstLine="440" w:firstLineChars="200"/>
        <w:rPr>
          <w:rFonts w:ascii="宋体" w:hAnsi="宋体" w:cs="宋体"/>
          <w:sz w:val="22"/>
          <w:szCs w:val="22"/>
        </w:rPr>
      </w:pPr>
      <w:r>
        <w:rPr>
          <w:rFonts w:ascii="宋体" w:hAnsi="宋体" w:cs="宋体"/>
          <w:sz w:val="22"/>
          <w:szCs w:val="22"/>
        </w:rPr>
        <w:t>16.3.2风险范围以外合同价款调整方法：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16.3.2.1工程实施过程中，分部分项工程量清单项目工程量发生增减时，工程量按清单计价规则计算，其单价执行原投标综合单价，并按投标口径计取规费、</w:t>
      </w:r>
      <w:r>
        <w:rPr>
          <w:rFonts w:hint="eastAsia" w:ascii="宋体" w:hAnsi="宋体" w:cs="宋体"/>
          <w:sz w:val="22"/>
          <w:szCs w:val="22"/>
        </w:rPr>
        <w:t>危险作业意外伤害保险</w:t>
      </w:r>
      <w:r>
        <w:rPr>
          <w:rFonts w:ascii="宋体" w:hAnsi="宋体" w:cs="宋体"/>
          <w:sz w:val="22"/>
          <w:szCs w:val="22"/>
        </w:rPr>
        <w:t>和税金，不再计其他任何费用（16.3.2.2（7）约定的费用调整除外）。若合价金额占合同价2%及以上的分部分项清单项目，其工程量增减超过本项目工程量清单数量15%及以上时，工程量按清单规则计算，其综合单价按以下规定计算：</w:t>
      </w:r>
    </w:p>
    <w:p>
      <w:pPr>
        <w:spacing w:line="360" w:lineRule="exact"/>
        <w:ind w:firstLine="440" w:firstLineChars="200"/>
        <w:rPr>
          <w:rFonts w:ascii="宋体" w:hAnsi="宋体" w:cs="宋体"/>
          <w:sz w:val="22"/>
          <w:szCs w:val="22"/>
        </w:rPr>
      </w:pPr>
      <w:r>
        <w:rPr>
          <w:rFonts w:hint="eastAsia" w:ascii="宋体" w:hAnsi="宋体" w:cs="宋体"/>
          <w:sz w:val="22"/>
          <w:szCs w:val="22"/>
        </w:rPr>
        <w:t>计价依据：</w:t>
      </w:r>
    </w:p>
    <w:p>
      <w:pPr>
        <w:spacing w:line="360" w:lineRule="exact"/>
        <w:ind w:firstLine="440" w:firstLineChars="200"/>
        <w:rPr>
          <w:rFonts w:ascii="宋体" w:hAnsi="宋体" w:cs="宋体"/>
          <w:sz w:val="22"/>
          <w:szCs w:val="22"/>
        </w:rPr>
      </w:pPr>
      <w:r>
        <w:rPr>
          <w:rFonts w:hint="eastAsia" w:ascii="宋体" w:hAnsi="宋体" w:cs="宋体"/>
          <w:sz w:val="22"/>
          <w:szCs w:val="22"/>
        </w:rPr>
        <w:t>《浙建站定（201</w:t>
      </w:r>
      <w:r>
        <w:rPr>
          <w:rFonts w:ascii="宋体" w:hAnsi="宋体" w:cs="宋体"/>
          <w:sz w:val="22"/>
          <w:szCs w:val="22"/>
        </w:rPr>
        <w:t>6</w:t>
      </w:r>
      <w:r>
        <w:rPr>
          <w:rFonts w:hint="eastAsia" w:ascii="宋体" w:hAnsi="宋体" w:cs="宋体"/>
          <w:sz w:val="22"/>
          <w:szCs w:val="22"/>
        </w:rPr>
        <w:t>）</w:t>
      </w:r>
      <w:r>
        <w:rPr>
          <w:rFonts w:ascii="宋体" w:hAnsi="宋体" w:cs="宋体"/>
          <w:sz w:val="22"/>
          <w:szCs w:val="22"/>
        </w:rPr>
        <w:t>23</w:t>
      </w:r>
      <w:r>
        <w:rPr>
          <w:rFonts w:hint="eastAsia" w:ascii="宋体" w:hAnsi="宋体" w:cs="宋体"/>
          <w:sz w:val="22"/>
          <w:szCs w:val="22"/>
        </w:rPr>
        <w:t>号》、《浙建站定（201</w:t>
      </w:r>
      <w:r>
        <w:rPr>
          <w:rFonts w:ascii="宋体" w:hAnsi="宋体" w:cs="宋体"/>
          <w:sz w:val="22"/>
          <w:szCs w:val="22"/>
        </w:rPr>
        <w:t>6</w:t>
      </w:r>
      <w:r>
        <w:rPr>
          <w:rFonts w:hint="eastAsia" w:ascii="宋体" w:hAnsi="宋体" w:cs="宋体"/>
          <w:sz w:val="22"/>
          <w:szCs w:val="22"/>
        </w:rPr>
        <w:t>）</w:t>
      </w:r>
      <w:r>
        <w:rPr>
          <w:rFonts w:ascii="宋体" w:hAnsi="宋体" w:cs="宋体"/>
          <w:sz w:val="22"/>
          <w:szCs w:val="22"/>
        </w:rPr>
        <w:t>35</w:t>
      </w:r>
      <w:r>
        <w:rPr>
          <w:rFonts w:hint="eastAsia" w:ascii="宋体" w:hAnsi="宋体" w:cs="宋体"/>
          <w:sz w:val="22"/>
          <w:szCs w:val="22"/>
        </w:rPr>
        <w:t>号》、《建建发（201</w:t>
      </w:r>
      <w:r>
        <w:rPr>
          <w:rFonts w:ascii="宋体" w:hAnsi="宋体" w:cs="宋体"/>
          <w:sz w:val="22"/>
          <w:szCs w:val="22"/>
        </w:rPr>
        <w:t>6</w:t>
      </w:r>
      <w:r>
        <w:rPr>
          <w:rFonts w:hint="eastAsia" w:ascii="宋体" w:hAnsi="宋体" w:cs="宋体"/>
          <w:sz w:val="22"/>
          <w:szCs w:val="22"/>
        </w:rPr>
        <w:t>）</w:t>
      </w:r>
      <w:r>
        <w:rPr>
          <w:rFonts w:ascii="宋体" w:hAnsi="宋体" w:cs="宋体"/>
          <w:sz w:val="22"/>
          <w:szCs w:val="22"/>
        </w:rPr>
        <w:t>144</w:t>
      </w:r>
      <w:r>
        <w:rPr>
          <w:rFonts w:hint="eastAsia" w:ascii="宋体" w:hAnsi="宋体" w:cs="宋体"/>
          <w:sz w:val="22"/>
          <w:szCs w:val="22"/>
        </w:rPr>
        <w:t>号》及《杭建造价投资办[2016]23号》</w:t>
      </w:r>
    </w:p>
    <w:p>
      <w:pPr>
        <w:spacing w:line="360" w:lineRule="exact"/>
        <w:ind w:firstLine="440" w:firstLineChars="200"/>
        <w:rPr>
          <w:rFonts w:ascii="宋体" w:hAnsi="宋体" w:cs="宋体"/>
          <w:sz w:val="22"/>
          <w:szCs w:val="22"/>
        </w:rPr>
      </w:pPr>
      <w:r>
        <w:rPr>
          <w:rFonts w:hint="eastAsia" w:ascii="宋体" w:hAnsi="宋体" w:cs="宋体"/>
          <w:sz w:val="22"/>
          <w:szCs w:val="22"/>
        </w:rPr>
        <w:t>《浙江省建设工程施工取费定额（</w:t>
      </w:r>
      <w:r>
        <w:rPr>
          <w:rFonts w:ascii="宋体" w:hAnsi="宋体" w:cs="宋体"/>
          <w:sz w:val="22"/>
          <w:szCs w:val="22"/>
        </w:rPr>
        <w:t>2010版）》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《浙江省市政公用工程预算定额（</w:t>
      </w:r>
      <w:r>
        <w:rPr>
          <w:rFonts w:ascii="宋体" w:hAnsi="宋体" w:cs="宋体"/>
          <w:sz w:val="22"/>
          <w:szCs w:val="22"/>
        </w:rPr>
        <w:t>2010版）》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《浙江省建筑工程预算定额（</w:t>
      </w:r>
      <w:r>
        <w:rPr>
          <w:rFonts w:ascii="宋体" w:hAnsi="宋体" w:cs="宋体"/>
          <w:sz w:val="22"/>
          <w:szCs w:val="22"/>
        </w:rPr>
        <w:t>2010版）》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《浙江省安装工程预算定额（</w:t>
      </w:r>
      <w:r>
        <w:rPr>
          <w:rFonts w:ascii="宋体" w:hAnsi="宋体" w:cs="宋体"/>
          <w:sz w:val="22"/>
          <w:szCs w:val="22"/>
        </w:rPr>
        <w:t>2010版）》</w:t>
      </w:r>
    </w:p>
    <w:p>
      <w:pPr>
        <w:spacing w:line="360" w:lineRule="exact"/>
        <w:ind w:firstLine="440" w:firstLineChars="200"/>
        <w:rPr>
          <w:rFonts w:ascii="宋体" w:hAnsi="宋体" w:cs="宋体"/>
          <w:sz w:val="22"/>
          <w:szCs w:val="22"/>
        </w:rPr>
      </w:pPr>
      <w:r>
        <w:rPr>
          <w:rFonts w:hint="eastAsia" w:ascii="宋体" w:hAnsi="宋体" w:cs="宋体"/>
          <w:sz w:val="22"/>
          <w:szCs w:val="22"/>
        </w:rPr>
        <w:t>综合费率、规费、危险作业意外伤害保险和税金按投标口径计取，措施费用按合同</w:t>
      </w:r>
      <w:r>
        <w:rPr>
          <w:rFonts w:ascii="宋体" w:hAnsi="宋体" w:cs="宋体"/>
          <w:sz w:val="22"/>
          <w:szCs w:val="22"/>
        </w:rPr>
        <w:t>16.3.2.2（7）约定调整。</w:t>
      </w:r>
    </w:p>
    <w:p>
      <w:pPr>
        <w:spacing w:line="360" w:lineRule="exact"/>
        <w:ind w:firstLine="440" w:firstLineChars="200"/>
        <w:rPr>
          <w:rFonts w:ascii="宋体" w:hAnsi="宋体" w:cs="宋体"/>
          <w:sz w:val="22"/>
          <w:szCs w:val="22"/>
        </w:rPr>
      </w:pPr>
      <w:r>
        <w:rPr>
          <w:rFonts w:ascii="宋体" w:hAnsi="宋体" w:cs="宋体"/>
          <w:sz w:val="22"/>
          <w:szCs w:val="22"/>
        </w:rPr>
        <w:t>16.3.2.2其他情况</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1）计日工单价无论何种情况均执行投标价，只计取税金，数量按实际签证量计入结算。</w:t>
      </w:r>
    </w:p>
    <w:p>
      <w:pPr>
        <w:spacing w:line="360" w:lineRule="exact"/>
        <w:ind w:firstLine="440" w:firstLineChars="200"/>
        <w:rPr>
          <w:rFonts w:ascii="宋体" w:hAnsi="宋体" w:cs="宋体"/>
          <w:sz w:val="22"/>
          <w:szCs w:val="22"/>
        </w:rPr>
      </w:pPr>
      <w:r>
        <w:rPr>
          <w:rFonts w:hint="eastAsia" w:ascii="宋体" w:hAnsi="宋体" w:cs="宋体"/>
          <w:sz w:val="22"/>
          <w:szCs w:val="22"/>
        </w:rPr>
        <w:t>（2</w:t>
      </w:r>
      <w:r>
        <w:rPr>
          <w:rFonts w:ascii="宋体" w:hAnsi="宋体" w:cs="宋体"/>
          <w:sz w:val="22"/>
          <w:szCs w:val="22"/>
        </w:rPr>
        <w:t>）不可抗力因素造成承包人的直接损失费用，发包方将根据实际情况另行协商，但属于应该预见、预防、承包人没有及时预防或预防不力造成的损失，发包方不负责补偿。</w:t>
      </w:r>
    </w:p>
    <w:p>
      <w:pPr>
        <w:spacing w:line="360" w:lineRule="exact"/>
        <w:ind w:firstLine="440" w:firstLineChars="200"/>
        <w:rPr>
          <w:rFonts w:ascii="宋体" w:hAnsi="宋体" w:cs="宋体"/>
          <w:sz w:val="22"/>
          <w:szCs w:val="22"/>
        </w:rPr>
      </w:pPr>
      <w:r>
        <w:rPr>
          <w:rFonts w:hint="eastAsia" w:ascii="宋体" w:hAnsi="宋体" w:cs="宋体"/>
          <w:sz w:val="22"/>
          <w:szCs w:val="22"/>
        </w:rPr>
        <w:t>（3</w:t>
      </w:r>
      <w:r>
        <w:rPr>
          <w:rFonts w:ascii="宋体" w:hAnsi="宋体" w:cs="宋体"/>
          <w:sz w:val="22"/>
          <w:szCs w:val="22"/>
        </w:rPr>
        <w:t>）经发包人签证的材料单价按签证单价调整。</w:t>
      </w:r>
    </w:p>
    <w:p>
      <w:pPr>
        <w:snapToGrid w:val="0"/>
        <w:spacing w:line="360" w:lineRule="exact"/>
        <w:ind w:firstLine="440" w:firstLineChars="200"/>
        <w:rPr>
          <w:rFonts w:ascii="宋体" w:hAnsi="宋体" w:cs="宋体"/>
          <w:sz w:val="22"/>
          <w:szCs w:val="22"/>
        </w:rPr>
      </w:pPr>
      <w:r>
        <w:rPr>
          <w:rFonts w:hint="eastAsia" w:ascii="宋体" w:hAnsi="宋体" w:cs="宋体"/>
          <w:sz w:val="22"/>
          <w:szCs w:val="22"/>
        </w:rPr>
        <w:t>（4</w:t>
      </w:r>
      <w:r>
        <w:rPr>
          <w:rFonts w:ascii="宋体" w:hAnsi="宋体" w:cs="宋体"/>
          <w:sz w:val="22"/>
          <w:szCs w:val="22"/>
        </w:rPr>
        <w:t>）发包人提出，经双方书面约定的其他调整因素。</w:t>
      </w:r>
    </w:p>
    <w:p>
      <w:pPr>
        <w:snapToGrid w:val="0"/>
        <w:spacing w:line="360" w:lineRule="exact"/>
        <w:ind w:firstLine="440" w:firstLineChars="200"/>
        <w:rPr>
          <w:rFonts w:ascii="宋体" w:hAnsi="宋体" w:cs="宋体"/>
          <w:sz w:val="22"/>
        </w:rPr>
      </w:pPr>
      <w:r>
        <w:rPr>
          <w:rFonts w:hint="eastAsia" w:ascii="宋体" w:hAnsi="宋体" w:cs="宋体"/>
          <w:sz w:val="22"/>
          <w:szCs w:val="22"/>
        </w:rPr>
        <w:t>（5</w:t>
      </w:r>
      <w:r>
        <w:rPr>
          <w:rFonts w:ascii="宋体" w:hAnsi="宋体" w:cs="宋体"/>
          <w:sz w:val="22"/>
          <w:szCs w:val="22"/>
        </w:rPr>
        <w:t>）合同执行期内因设计变更和工程签证引起的措施项目费的调整：以“项”为单位的技术措施费项目、由承包人自行测算报价的技术措施费项目、施工组织措施费项目一次性包干，不予调整；发包人提供实物工程量的项目，经发包人及造价咨询单位审核后，按实调整。</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17.3.1 进度付款申请单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双方约定的进度付款申请单份数：6 份，时间：每月5日前上报上月付款申请。</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pStyle w:val="24"/>
        <w:spacing w:line="400" w:lineRule="exact"/>
        <w:ind w:firstLine="442" w:firstLineChars="200"/>
        <w:rPr>
          <w:rFonts w:ascii="宋体" w:hAnsi="宋体" w:cs="宋体"/>
          <w:b/>
          <w:bCs/>
          <w:sz w:val="22"/>
        </w:rPr>
      </w:pPr>
      <w:r>
        <w:rPr>
          <w:rFonts w:hint="eastAsia" w:ascii="宋体" w:hAnsi="宋体" w:cs="宋体"/>
          <w:b/>
          <w:bCs/>
          <w:sz w:val="22"/>
        </w:rPr>
        <w:t>当经发包人核定后的实际完成工程量完成30%时，支付合同价款的30%；经发包人核定后的实际完成工程量为70%时，支付至合同价款的70%；工程竣工验收通过并完成工程结算，经发包人认可后30天内，发包人向承包人支付至结算价的95%，并无息退还承包人履约保证金。结算价的5%留作质量保证金，待缺陷责任期（24个月）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发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（1）没收承包人履约保证金；</w:t>
      </w:r>
    </w:p>
    <w:p>
      <w:pPr>
        <w:snapToGrid w:val="0"/>
        <w:spacing w:line="360" w:lineRule="exact"/>
        <w:ind w:firstLine="440" w:firstLineChars="200"/>
        <w:rPr>
          <w:rFonts w:ascii="宋体" w:hAnsi="宋体" w:cs="宋体"/>
          <w:sz w:val="22"/>
        </w:rPr>
      </w:pPr>
      <w:r>
        <w:rPr>
          <w:rFonts w:hint="eastAsia" w:ascii="宋体" w:hAnsi="宋体" w:cs="宋体"/>
          <w:sz w:val="22"/>
        </w:rPr>
        <w:t>（2）及时整改及承担费用的责任；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（5）承包人须承担因其违约导致发包人所遭受的第三人索赔；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（6）承包人须承担其违约行为导致发包人所遭受其他实际损害的赔偿责任；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（7）本专用合同其他条款约定的违约金。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宋体" w:hAnsi="宋体" w:cs="宋体"/>
          <w:sz w:val="22"/>
        </w:rPr>
      </w:pPr>
      <w:r>
        <w:rPr>
          <w:rFonts w:hint="eastAsia" w:ascii="宋体" w:hAnsi="宋体" w:cs="宋体"/>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双方约定，在履行合同过程中产生的争议时，可请工程所在地建设行政主管部门调解，协商不成的：向杭州仲裁委员会申请仲裁。</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25.14施工及生活用水：由发包人提供用水接口，场内接管、安装水表由承包人自行解决，承包人施工前需向机场水电管理部门提出申请并通过。水费以水务集团水价4.4元/吨为基础单价，并在基础单价上加收【3</w:t>
      </w:r>
      <w:r>
        <w:rPr>
          <w:rFonts w:ascii="宋体" w:hAnsi="宋体" w:cs="宋体"/>
          <w:sz w:val="22"/>
          <w:lang w:val="zh-CN"/>
        </w:rPr>
        <w:t>0</w:t>
      </w:r>
      <w:r>
        <w:rPr>
          <w:rFonts w:hint="eastAsia" w:ascii="宋体" w:hAnsi="宋体" w:cs="宋体"/>
          <w:sz w:val="22"/>
          <w:lang w:val="zh-CN"/>
        </w:rPr>
        <w:t>%】的水费转供设施维护费（加收部分主要是损耗、运行维护、维修费等）。如自来水公司水价调整，水费单价也作相应的调整，收取的【3</w:t>
      </w:r>
      <w:r>
        <w:rPr>
          <w:rFonts w:ascii="宋体" w:hAnsi="宋体" w:cs="宋体"/>
          <w:sz w:val="22"/>
          <w:lang w:val="zh-CN"/>
        </w:rPr>
        <w:t>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25.15施工用电：由发包人提供用电接口，场内接管、安装电表由承包人自行解决，承包人施工前需向机场水电管理部门提出申请并通过。电费以供电局电价0.8149元/度为基础单价，并在基础单价上加收【2</w:t>
      </w:r>
      <w:r>
        <w:rPr>
          <w:rFonts w:ascii="宋体" w:hAnsi="宋体" w:cs="宋体"/>
          <w:sz w:val="22"/>
          <w:lang w:val="zh-CN"/>
        </w:rPr>
        <w:t>0</w:t>
      </w:r>
      <w:r>
        <w:rPr>
          <w:rFonts w:hint="eastAsia" w:ascii="宋体" w:hAnsi="宋体" w:cs="宋体"/>
          <w:sz w:val="22"/>
          <w:lang w:val="zh-CN"/>
        </w:rPr>
        <w:t>%】的电费转供设施维护费（加收部分主要是损耗、运行维护、维修费等）。如供电局电价调整，电费单价也作相应的调整，收取的【2</w:t>
      </w:r>
      <w:r>
        <w:rPr>
          <w:rFonts w:ascii="宋体" w:hAnsi="宋体" w:cs="宋体"/>
          <w:sz w:val="22"/>
          <w:lang w:val="zh-CN"/>
        </w:rPr>
        <w:t>0</w:t>
      </w:r>
      <w:r>
        <w:rPr>
          <w:rFonts w:hint="eastAsia" w:ascii="宋体" w:hAnsi="宋体" w:cs="宋体"/>
          <w:sz w:val="22"/>
          <w:lang w:val="zh-CN"/>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25.16合同份数：一式陆份，甲方执肆份，乙方执贰份，同等有效。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附件1：工程质量保修书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附件2：安全文明施工协议书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附件3：廉洁自律承诺书</w:t>
      </w:r>
    </w:p>
    <w:p>
      <w:pPr>
        <w:snapToGrid w:val="0"/>
        <w:spacing w:line="360" w:lineRule="exact"/>
        <w:ind w:firstLine="440" w:firstLineChars="200"/>
        <w:rPr>
          <w:rFonts w:ascii="宋体" w:hAnsi="宋体" w:cs="宋体"/>
          <w:sz w:val="22"/>
        </w:rPr>
      </w:pPr>
      <w:r>
        <w:rPr>
          <w:rFonts w:hint="eastAsia" w:ascii="宋体" w:hAnsi="宋体" w:cs="宋体"/>
          <w:sz w:val="22"/>
        </w:rPr>
        <w:t>附件4：已标价工程量清单</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Cs/>
          <w:sz w:val="22"/>
          <w:u w:val="single"/>
        </w:rPr>
        <w:t>杭州萧山国际机场场区高空监控工程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Cs/>
          <w:sz w:val="22"/>
          <w:u w:val="single"/>
        </w:rPr>
        <w:t>杭州萧山国际机场场区高空监控工程招标文件</w:t>
      </w:r>
      <w:r>
        <w:rPr>
          <w:rFonts w:hint="eastAsia" w:ascii="宋体" w:hAnsi="宋体" w:cs="宋体"/>
          <w:sz w:val="22"/>
        </w:rPr>
        <w:t>施工图纸所示内容。</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w:t>
      </w:r>
      <w:r>
        <w:rPr>
          <w:rFonts w:hint="eastAsia" w:ascii="宋体" w:hAnsi="宋体" w:cs="宋体"/>
          <w:sz w:val="22"/>
          <w:u w:val="single"/>
        </w:rPr>
        <w:t>2</w:t>
      </w:r>
      <w:r>
        <w:rPr>
          <w:rFonts w:ascii="宋体" w:hAnsi="宋体" w:cs="宋体"/>
          <w:sz w:val="22"/>
          <w:u w:val="single"/>
        </w:rPr>
        <w:t>4</w:t>
      </w:r>
      <w:r>
        <w:rPr>
          <w:rFonts w:hint="eastAsia" w:ascii="宋体" w:hAnsi="宋体" w:cs="宋体"/>
          <w:sz w:val="22"/>
          <w:u w:val="single"/>
        </w:rPr>
        <w:t>个月</w:t>
      </w:r>
      <w:r>
        <w:rPr>
          <w:rFonts w:hint="eastAsia" w:ascii="宋体" w:hAnsi="宋体" w:cs="宋体"/>
          <w:sz w:val="22"/>
        </w:rPr>
        <w:t>。</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ind w:firstLine="440" w:firstLineChars="200"/>
        <w:rPr>
          <w:rFonts w:ascii="宋体" w:hAnsi="宋体" w:cs="宋体"/>
          <w:sz w:val="22"/>
        </w:rPr>
      </w:pPr>
      <w:r>
        <w:rPr>
          <w:rFonts w:hint="eastAsia" w:ascii="宋体" w:hAnsi="宋体" w:cs="宋体"/>
          <w:sz w:val="22"/>
        </w:rPr>
        <w:t xml:space="preserve">1．属于保修范围、内容的项目，承包人应当在接到保修通知后【 </w:t>
      </w:r>
      <w:r>
        <w:rPr>
          <w:rFonts w:ascii="宋体" w:hAnsi="宋体" w:cs="宋体"/>
          <w:sz w:val="22"/>
        </w:rPr>
        <w:t xml:space="preserve"> </w:t>
      </w:r>
      <w:r>
        <w:rPr>
          <w:rFonts w:hint="eastAsia" w:ascii="宋体" w:hAnsi="宋体" w:cs="宋体"/>
          <w:sz w:val="22"/>
        </w:rPr>
        <w:t>】小时内赶到现场（注明：具体到场时间根据投标文件内容填写），</w:t>
      </w:r>
      <w:r>
        <w:rPr>
          <w:rFonts w:hint="eastAsia" w:ascii="宋体" w:hAnsi="宋体"/>
          <w:sz w:val="22"/>
        </w:rPr>
        <w:t>持续维修直至故障排除设备完全恢复正常使用为止。在故障解决之后，承包人应将故障现象及原因、处理过程和方法、完成处理及恢复正常的时间和日期等以书面形式报告发包人。</w:t>
      </w:r>
      <w:r>
        <w:rPr>
          <w:rFonts w:hint="eastAsia" w:ascii="宋体" w:hAnsi="宋体" w:cs="宋体"/>
          <w:sz w:val="22"/>
        </w:rPr>
        <w:t>承包人不在约定期限内派人保修的，发包人可以自行委托他人修理。费用从质量保证金中扣除。修复部分的质保期自修复之日起重新开始计算。</w:t>
      </w:r>
    </w:p>
    <w:p>
      <w:pPr>
        <w:ind w:firstLine="440" w:firstLineChars="200"/>
        <w:rPr>
          <w:rFonts w:ascii="宋体" w:hAnsi="宋体" w:cs="宋体"/>
          <w:sz w:val="22"/>
        </w:rPr>
      </w:pPr>
      <w:r>
        <w:rPr>
          <w:rFonts w:ascii="宋体" w:hAnsi="宋体" w:cs="宋体"/>
          <w:sz w:val="22"/>
        </w:rPr>
        <w:t>2.</w:t>
      </w:r>
      <w:r>
        <w:rPr>
          <w:rFonts w:hint="eastAsia" w:ascii="宋体" w:hAnsi="宋体" w:cs="宋体"/>
          <w:sz w:val="22"/>
        </w:rPr>
        <w:t>承包人必须每月进行一次例行的系统检查并出具系统检查报告。</w:t>
      </w:r>
    </w:p>
    <w:p>
      <w:pPr>
        <w:ind w:firstLine="440" w:firstLineChars="200"/>
        <w:rPr>
          <w:rFonts w:ascii="宋体" w:hAnsi="宋体" w:cs="宋体"/>
          <w:sz w:val="22"/>
        </w:rPr>
      </w:pPr>
      <w:r>
        <w:rPr>
          <w:rFonts w:hint="eastAsia" w:ascii="宋体" w:hAnsi="宋体" w:cs="宋体"/>
          <w:sz w:val="22"/>
        </w:rPr>
        <w:t>3.承包人必须免费提供系统配置修改、软件缺陷修补。</w:t>
      </w:r>
    </w:p>
    <w:p>
      <w:pPr>
        <w:ind w:firstLine="440" w:firstLineChars="200"/>
        <w:rPr>
          <w:rFonts w:ascii="宋体" w:hAnsi="宋体" w:cs="宋体"/>
          <w:sz w:val="22"/>
        </w:rPr>
      </w:pPr>
      <w:r>
        <w:rPr>
          <w:rFonts w:hint="eastAsia" w:ascii="宋体" w:hAnsi="宋体" w:cs="宋体"/>
          <w:sz w:val="22"/>
        </w:rPr>
        <w:t>4.承包人承担系统质保期内的维修和维护保养工作，并委派指定的技术人员进行维修工作和定期进行维护保养，委派人员名单必须报发包人审批，发包人认为不合格的，承包人应及时给予更换。</w:t>
      </w:r>
    </w:p>
    <w:p>
      <w:pPr>
        <w:ind w:firstLine="440" w:firstLineChars="200"/>
        <w:rPr>
          <w:rFonts w:ascii="宋体" w:hAnsi="宋体" w:cs="宋体"/>
          <w:sz w:val="22"/>
        </w:rPr>
      </w:pPr>
      <w:r>
        <w:rPr>
          <w:rFonts w:hint="eastAsia" w:ascii="宋体" w:hAnsi="宋体" w:cs="宋体"/>
          <w:sz w:val="22"/>
        </w:rPr>
        <w:t>5.系统设备无论什么原因发生任何故障或损坏，承包人应在24小时内提供替换设备，承包人必须负责维修，维修期限不得超过5天，一切费用由承包人承担。如果维修时限超过5天，承包人应向发包人支付赔偿金，赔偿金额按超期天数计算，每超过一天承包人按质保金的0.2%赔偿发包人的经济损失，如造成的损失超过发包人实际损失的，发包人有权向承包人追偿全部损失。</w:t>
      </w:r>
    </w:p>
    <w:p>
      <w:pPr>
        <w:spacing w:line="340" w:lineRule="exact"/>
        <w:ind w:firstLine="440" w:firstLineChars="200"/>
        <w:rPr>
          <w:rFonts w:ascii="宋体" w:hAnsi="宋体" w:cs="宋体"/>
          <w:sz w:val="22"/>
        </w:rPr>
      </w:pPr>
      <w:r>
        <w:rPr>
          <w:rFonts w:ascii="宋体" w:hAnsi="宋体" w:cs="宋体"/>
          <w:sz w:val="22"/>
        </w:rPr>
        <w:t>6</w:t>
      </w:r>
      <w:r>
        <w:rPr>
          <w:rFonts w:hint="eastAsia" w:ascii="宋体" w:hAnsi="宋体" w:cs="宋体"/>
          <w:sz w:val="22"/>
        </w:rPr>
        <w:t>.发生紧急事故需抢修的，承包人在接到事故通知后，应当立即到达事故现场进行持续抢修直至修复。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ascii="宋体" w:hAnsi="宋体" w:cs="宋体"/>
          <w:sz w:val="22"/>
        </w:rPr>
        <w:t>7</w:t>
      </w:r>
      <w:r>
        <w:rPr>
          <w:rFonts w:hint="eastAsia" w:ascii="宋体" w:hAnsi="宋体" w:cs="宋体"/>
          <w:sz w:val="22"/>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ascii="宋体" w:hAnsi="宋体" w:cs="宋体"/>
          <w:sz w:val="22"/>
        </w:rPr>
        <w:t>8</w:t>
      </w:r>
      <w:r>
        <w:rPr>
          <w:rFonts w:hint="eastAsia" w:ascii="宋体" w:hAnsi="宋体" w:cs="宋体"/>
          <w:sz w:val="22"/>
        </w:rPr>
        <w:t>.质量保修完成后，由发包人组织验收。验收不合格的，发包人有权自行委托第三方修理，全部费用由承包人承担，由发包人与第三方确认后直接从质保金中扣除。</w:t>
      </w:r>
    </w:p>
    <w:p>
      <w:pPr>
        <w:spacing w:line="340" w:lineRule="exact"/>
        <w:ind w:firstLine="440" w:firstLineChars="200"/>
        <w:rPr>
          <w:rFonts w:ascii="宋体" w:hAnsi="宋体" w:cs="宋体"/>
          <w:sz w:val="22"/>
        </w:rPr>
      </w:pPr>
      <w:r>
        <w:rPr>
          <w:rFonts w:hint="eastAsia" w:ascii="宋体" w:hAnsi="宋体" w:cs="宋体"/>
          <w:sz w:val="22"/>
        </w:rPr>
        <w:t>9</w:t>
      </w:r>
      <w:r>
        <w:rPr>
          <w:rFonts w:ascii="宋体" w:hAnsi="宋体" w:cs="宋体"/>
          <w:sz w:val="22"/>
        </w:rPr>
        <w:t>.</w:t>
      </w:r>
      <w:r>
        <w:rPr>
          <w:rFonts w:hint="eastAsia" w:ascii="宋体" w:hAnsi="宋体" w:cs="宋体"/>
          <w:sz w:val="22"/>
        </w:rPr>
        <w:t>在质量保修期结束时，承包人提供包括但不限于：质保期的维护和维修记录。</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w:t>
      </w:r>
      <w:r>
        <w:rPr>
          <w:rFonts w:hint="eastAsia" w:ascii="宋体" w:hAnsi="宋体" w:cs="宋体"/>
          <w:b/>
          <w:sz w:val="22"/>
        </w:rPr>
        <w:t>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rPr>
          <w:rFonts w:ascii="宋体" w:hAnsi="宋体"/>
          <w:sz w:val="22"/>
        </w:rPr>
      </w:pPr>
      <w:r>
        <w:rPr>
          <w:rFonts w:hint="eastAsia" w:ascii="宋体" w:hAnsi="宋体"/>
          <w:sz w:val="22"/>
        </w:rPr>
        <w:t>发</w:t>
      </w:r>
      <w:r>
        <w:rPr>
          <w:rFonts w:ascii="宋体" w:hAnsi="宋体"/>
          <w:sz w:val="22"/>
        </w:rPr>
        <w:t xml:space="preserve">    </w:t>
      </w:r>
      <w:r>
        <w:rPr>
          <w:rFonts w:hint="eastAsia" w:ascii="宋体" w:hAnsi="宋体"/>
          <w:sz w:val="22"/>
        </w:rPr>
        <w:t>包</w:t>
      </w:r>
      <w:r>
        <w:rPr>
          <w:rFonts w:ascii="宋体" w:hAnsi="宋体"/>
          <w:sz w:val="22"/>
        </w:rPr>
        <w:t xml:space="preserve">    </w:t>
      </w:r>
      <w:r>
        <w:rPr>
          <w:rFonts w:hint="eastAsia" w:ascii="宋体" w:hAnsi="宋体"/>
          <w:sz w:val="22"/>
        </w:rPr>
        <w:t>人（盖章）：</w:t>
      </w:r>
      <w:r>
        <w:rPr>
          <w:rFonts w:ascii="宋体" w:hAnsi="宋体"/>
          <w:sz w:val="22"/>
        </w:rPr>
        <w:t xml:space="preserve">             </w:t>
      </w:r>
      <w:r>
        <w:rPr>
          <w:rFonts w:ascii="宋体" w:hAnsi="宋体"/>
          <w:sz w:val="22"/>
        </w:rPr>
        <w:tab/>
      </w:r>
      <w:r>
        <w:rPr>
          <w:rFonts w:hint="eastAsia" w:ascii="宋体" w:hAnsi="宋体"/>
          <w:sz w:val="22"/>
        </w:rPr>
        <w:t>承</w:t>
      </w:r>
      <w:r>
        <w:rPr>
          <w:rFonts w:ascii="宋体" w:hAnsi="宋体"/>
          <w:sz w:val="22"/>
        </w:rPr>
        <w:t xml:space="preserve">    </w:t>
      </w:r>
      <w:r>
        <w:rPr>
          <w:rFonts w:hint="eastAsia" w:ascii="宋体" w:hAnsi="宋体"/>
          <w:sz w:val="22"/>
        </w:rPr>
        <w:t>包</w:t>
      </w:r>
      <w:r>
        <w:rPr>
          <w:rFonts w:ascii="宋体" w:hAnsi="宋体"/>
          <w:sz w:val="22"/>
        </w:rPr>
        <w:t xml:space="preserve">    </w:t>
      </w:r>
      <w:r>
        <w:rPr>
          <w:rFonts w:hint="eastAsia" w:ascii="宋体" w:hAnsi="宋体"/>
          <w:sz w:val="22"/>
        </w:rPr>
        <w:t>人（盖章）：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szCs w:val="22"/>
        </w:rPr>
      </w:pPr>
      <w:r>
        <w:rPr>
          <w:rFonts w:hint="eastAsia" w:ascii="宋体" w:hAnsi="宋体"/>
          <w:b/>
          <w:sz w:val="22"/>
          <w:szCs w:val="22"/>
        </w:rPr>
        <w:t>发包人（甲方）：</w:t>
      </w:r>
      <w:r>
        <w:rPr>
          <w:rFonts w:hint="eastAsia" w:ascii="宋体" w:hAnsi="宋体"/>
          <w:b/>
          <w:sz w:val="22"/>
          <w:szCs w:val="22"/>
          <w:u w:val="single"/>
        </w:rPr>
        <w:t>杭州萧山国际机场有限公司</w:t>
      </w:r>
    </w:p>
    <w:p>
      <w:pPr>
        <w:spacing w:line="360" w:lineRule="exact"/>
        <w:rPr>
          <w:rFonts w:ascii="宋体" w:hAnsi="宋体"/>
          <w:b/>
          <w:sz w:val="22"/>
          <w:szCs w:val="22"/>
          <w:u w:val="single"/>
        </w:rPr>
      </w:pPr>
      <w:r>
        <w:rPr>
          <w:rFonts w:hint="eastAsia" w:ascii="宋体" w:hAnsi="宋体"/>
          <w:b/>
          <w:sz w:val="22"/>
          <w:szCs w:val="22"/>
        </w:rPr>
        <w:t>承包人（乙方）：</w:t>
      </w:r>
    </w:p>
    <w:p>
      <w:pPr>
        <w:spacing w:line="360" w:lineRule="exact"/>
        <w:ind w:firstLine="440" w:firstLineChars="200"/>
        <w:rPr>
          <w:rFonts w:ascii="宋体" w:hAnsi="宋体"/>
          <w:sz w:val="22"/>
          <w:szCs w:val="22"/>
        </w:rPr>
      </w:pPr>
      <w:r>
        <w:rPr>
          <w:rFonts w:ascii="宋体" w:hAnsi="宋体"/>
          <w:sz w:val="22"/>
          <w:szCs w:val="22"/>
        </w:rPr>
        <w:t>为确保</w:t>
      </w:r>
      <w:r>
        <w:rPr>
          <w:rFonts w:hint="eastAsia" w:ascii="宋体" w:hAnsi="宋体"/>
          <w:sz w:val="22"/>
          <w:szCs w:val="22"/>
        </w:rPr>
        <w:t>杭州萧山国际机场场区高空监控工程招标文件</w:t>
      </w:r>
      <w:r>
        <w:rPr>
          <w:rFonts w:ascii="宋体" w:hAnsi="宋体"/>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szCs w:val="22"/>
        </w:rPr>
      </w:pPr>
      <w:r>
        <w:rPr>
          <w:rFonts w:ascii="宋体" w:hAnsi="宋体"/>
          <w:b/>
          <w:sz w:val="22"/>
          <w:szCs w:val="22"/>
        </w:rPr>
        <w:t>一、甲方对乙方实行安全目标管理，安全目标的具体内容是</w:t>
      </w:r>
      <w:r>
        <w:rPr>
          <w:rFonts w:ascii="宋体" w:hAnsi="宋体"/>
          <w:sz w:val="22"/>
          <w:szCs w:val="22"/>
        </w:rPr>
        <w:t>：</w:t>
      </w:r>
    </w:p>
    <w:p>
      <w:pPr>
        <w:spacing w:line="360" w:lineRule="exact"/>
        <w:ind w:firstLine="440" w:firstLineChars="200"/>
        <w:rPr>
          <w:rFonts w:ascii="宋体" w:hAnsi="宋体"/>
          <w:sz w:val="22"/>
          <w:szCs w:val="22"/>
        </w:rPr>
      </w:pPr>
      <w:r>
        <w:rPr>
          <w:rFonts w:ascii="宋体" w:hAnsi="宋体"/>
          <w:sz w:val="22"/>
          <w:szCs w:val="22"/>
        </w:rPr>
        <w:t>1、无死亡事故和重大伤害事故(含道路交通事故)。</w:t>
      </w:r>
    </w:p>
    <w:p>
      <w:pPr>
        <w:spacing w:line="360" w:lineRule="exact"/>
        <w:ind w:firstLine="440" w:firstLineChars="200"/>
        <w:rPr>
          <w:rFonts w:ascii="宋体" w:hAnsi="宋体"/>
          <w:sz w:val="22"/>
          <w:szCs w:val="22"/>
        </w:rPr>
      </w:pPr>
      <w:r>
        <w:rPr>
          <w:rFonts w:ascii="宋体" w:hAnsi="宋体"/>
          <w:sz w:val="22"/>
          <w:szCs w:val="22"/>
        </w:rPr>
        <w:t>2、无重大责任事故。</w:t>
      </w:r>
    </w:p>
    <w:p>
      <w:pPr>
        <w:spacing w:line="360" w:lineRule="exact"/>
        <w:ind w:firstLine="440" w:firstLineChars="200"/>
        <w:rPr>
          <w:rFonts w:ascii="宋体" w:hAnsi="宋体"/>
          <w:sz w:val="22"/>
          <w:szCs w:val="22"/>
        </w:rPr>
      </w:pPr>
      <w:r>
        <w:rPr>
          <w:rFonts w:ascii="宋体" w:hAnsi="宋体"/>
          <w:sz w:val="22"/>
          <w:szCs w:val="22"/>
        </w:rPr>
        <w:t>3、无空防安全事故。</w:t>
      </w:r>
    </w:p>
    <w:p>
      <w:pPr>
        <w:spacing w:line="360" w:lineRule="exact"/>
        <w:ind w:firstLine="440" w:firstLineChars="200"/>
        <w:rPr>
          <w:rFonts w:ascii="宋体" w:hAnsi="宋体"/>
          <w:sz w:val="22"/>
          <w:szCs w:val="22"/>
        </w:rPr>
      </w:pPr>
      <w:r>
        <w:rPr>
          <w:rFonts w:ascii="宋体" w:hAnsi="宋体"/>
          <w:sz w:val="22"/>
          <w:szCs w:val="22"/>
        </w:rPr>
        <w:t>4、无七类重大刑事案件(杀人、绑架、强奸、放火、爆炸、劫持、故意伤害致死)及其它严重、恶性案件。</w:t>
      </w:r>
    </w:p>
    <w:p>
      <w:pPr>
        <w:spacing w:line="360" w:lineRule="exact"/>
        <w:ind w:firstLine="440" w:firstLineChars="200"/>
        <w:rPr>
          <w:rFonts w:ascii="宋体" w:hAnsi="宋体"/>
          <w:sz w:val="22"/>
          <w:szCs w:val="22"/>
        </w:rPr>
      </w:pPr>
      <w:r>
        <w:rPr>
          <w:rFonts w:ascii="宋体" w:hAnsi="宋体"/>
          <w:sz w:val="22"/>
          <w:szCs w:val="22"/>
        </w:rPr>
        <w:t>上述情况的认定按国家和行业的有关规定和标准执行。</w:t>
      </w:r>
    </w:p>
    <w:p>
      <w:pPr>
        <w:spacing w:line="360" w:lineRule="exact"/>
        <w:ind w:firstLine="442" w:firstLineChars="200"/>
        <w:rPr>
          <w:rFonts w:ascii="宋体" w:hAnsi="宋体"/>
          <w:b/>
          <w:sz w:val="22"/>
          <w:szCs w:val="22"/>
        </w:rPr>
      </w:pPr>
      <w:r>
        <w:rPr>
          <w:rFonts w:ascii="宋体" w:hAnsi="宋体"/>
          <w:b/>
          <w:sz w:val="22"/>
          <w:szCs w:val="22"/>
        </w:rPr>
        <w:t>二、甲方的协助责任和权利</w:t>
      </w:r>
    </w:p>
    <w:p>
      <w:pPr>
        <w:spacing w:line="360" w:lineRule="exact"/>
        <w:ind w:firstLine="440" w:firstLineChars="200"/>
        <w:rPr>
          <w:rFonts w:ascii="宋体" w:hAnsi="宋体"/>
          <w:sz w:val="22"/>
          <w:szCs w:val="22"/>
        </w:rPr>
      </w:pPr>
      <w:r>
        <w:rPr>
          <w:rFonts w:ascii="宋体" w:hAnsi="宋体"/>
          <w:sz w:val="22"/>
          <w:szCs w:val="22"/>
        </w:rPr>
        <w:t xml:space="preserve">5、不得对乙方提出违反国家法律、法规和强制性标准规定的要求。 </w:t>
      </w:r>
    </w:p>
    <w:p>
      <w:pPr>
        <w:spacing w:line="360" w:lineRule="exact"/>
        <w:ind w:firstLine="440" w:firstLineChars="200"/>
        <w:rPr>
          <w:rFonts w:ascii="宋体" w:hAnsi="宋体"/>
          <w:sz w:val="22"/>
          <w:szCs w:val="22"/>
        </w:rPr>
      </w:pPr>
      <w:r>
        <w:rPr>
          <w:rFonts w:ascii="宋体" w:hAnsi="宋体"/>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szCs w:val="22"/>
        </w:rPr>
      </w:pPr>
      <w:r>
        <w:rPr>
          <w:rFonts w:ascii="宋体" w:hAnsi="宋体"/>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szCs w:val="22"/>
        </w:rPr>
      </w:pPr>
      <w:r>
        <w:rPr>
          <w:rFonts w:ascii="宋体" w:hAnsi="宋体"/>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szCs w:val="22"/>
        </w:rPr>
      </w:pPr>
      <w:r>
        <w:rPr>
          <w:rFonts w:ascii="宋体" w:hAnsi="宋体"/>
          <w:sz w:val="22"/>
          <w:szCs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szCs w:val="22"/>
        </w:rPr>
      </w:pPr>
      <w:r>
        <w:rPr>
          <w:rFonts w:ascii="宋体" w:hAnsi="宋体"/>
          <w:sz w:val="22"/>
          <w:szCs w:val="22"/>
        </w:rPr>
        <w:t>10、乙方拒不按照本协议条款规定组织安全文明施工的，甲方有权责令乙方停工整改直至终止合同。</w:t>
      </w:r>
    </w:p>
    <w:p>
      <w:pPr>
        <w:spacing w:line="360" w:lineRule="exact"/>
        <w:ind w:firstLine="440" w:firstLineChars="200"/>
        <w:rPr>
          <w:rFonts w:ascii="宋体" w:hAnsi="宋体"/>
          <w:sz w:val="22"/>
          <w:szCs w:val="22"/>
        </w:rPr>
      </w:pPr>
      <w:r>
        <w:rPr>
          <w:rFonts w:ascii="宋体" w:hAnsi="宋体"/>
          <w:sz w:val="22"/>
          <w:szCs w:val="22"/>
        </w:rPr>
        <w:t>11、甲方有权对乙方各项安全工作进行监督、检查。</w:t>
      </w:r>
    </w:p>
    <w:p>
      <w:pPr>
        <w:spacing w:line="360" w:lineRule="exact"/>
        <w:ind w:firstLine="440" w:firstLineChars="200"/>
        <w:rPr>
          <w:rFonts w:ascii="宋体" w:hAnsi="宋体"/>
          <w:sz w:val="22"/>
          <w:szCs w:val="22"/>
        </w:rPr>
      </w:pPr>
      <w:r>
        <w:rPr>
          <w:rFonts w:ascii="宋体" w:hAnsi="宋体"/>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szCs w:val="22"/>
        </w:rPr>
      </w:pPr>
      <w:r>
        <w:rPr>
          <w:rFonts w:ascii="宋体" w:hAnsi="宋体"/>
          <w:b/>
          <w:sz w:val="22"/>
          <w:szCs w:val="22"/>
        </w:rPr>
        <w:t>三、乙方的安全责任和权利</w:t>
      </w:r>
    </w:p>
    <w:p>
      <w:pPr>
        <w:spacing w:line="360" w:lineRule="exact"/>
        <w:ind w:firstLine="440" w:firstLineChars="200"/>
        <w:rPr>
          <w:rFonts w:ascii="宋体" w:hAnsi="宋体"/>
          <w:sz w:val="22"/>
          <w:szCs w:val="22"/>
        </w:rPr>
      </w:pPr>
      <w:r>
        <w:rPr>
          <w:rFonts w:ascii="宋体" w:hAnsi="宋体"/>
          <w:sz w:val="22"/>
          <w:szCs w:val="22"/>
        </w:rPr>
        <w:t>（一）乙方应从事的施工安全管理</w:t>
      </w:r>
    </w:p>
    <w:p>
      <w:pPr>
        <w:spacing w:line="360" w:lineRule="exact"/>
        <w:ind w:firstLine="440" w:firstLineChars="200"/>
        <w:rPr>
          <w:rFonts w:ascii="宋体" w:hAnsi="宋体"/>
          <w:sz w:val="22"/>
          <w:szCs w:val="22"/>
        </w:rPr>
      </w:pPr>
      <w:r>
        <w:rPr>
          <w:rFonts w:ascii="宋体" w:hAnsi="宋体"/>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szCs w:val="22"/>
        </w:rPr>
      </w:pPr>
      <w:r>
        <w:rPr>
          <w:rFonts w:ascii="宋体" w:hAnsi="宋体"/>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szCs w:val="22"/>
        </w:rPr>
      </w:pPr>
      <w:r>
        <w:rPr>
          <w:rFonts w:ascii="宋体" w:hAnsi="宋体"/>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szCs w:val="22"/>
        </w:rPr>
      </w:pPr>
      <w:r>
        <w:rPr>
          <w:rFonts w:ascii="宋体" w:hAnsi="宋体"/>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szCs w:val="22"/>
        </w:rPr>
      </w:pPr>
      <w:r>
        <w:rPr>
          <w:rFonts w:ascii="宋体" w:hAnsi="宋体"/>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szCs w:val="22"/>
        </w:rPr>
      </w:pPr>
      <w:r>
        <w:rPr>
          <w:rFonts w:ascii="宋体" w:hAnsi="宋体"/>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szCs w:val="22"/>
        </w:rPr>
      </w:pPr>
      <w:r>
        <w:rPr>
          <w:rFonts w:ascii="宋体" w:hAnsi="宋体"/>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szCs w:val="22"/>
        </w:rPr>
      </w:pPr>
      <w:r>
        <w:rPr>
          <w:rFonts w:ascii="宋体" w:hAnsi="宋体"/>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szCs w:val="22"/>
        </w:rPr>
      </w:pPr>
      <w:r>
        <w:rPr>
          <w:rFonts w:ascii="宋体" w:hAnsi="宋体"/>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szCs w:val="22"/>
        </w:rPr>
      </w:pPr>
      <w:r>
        <w:rPr>
          <w:rFonts w:ascii="宋体" w:hAnsi="宋体"/>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szCs w:val="22"/>
        </w:rPr>
      </w:pPr>
      <w:r>
        <w:rPr>
          <w:rFonts w:ascii="宋体" w:hAnsi="宋体"/>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szCs w:val="22"/>
        </w:rPr>
      </w:pPr>
      <w:r>
        <w:rPr>
          <w:rFonts w:ascii="宋体" w:hAnsi="宋体"/>
          <w:sz w:val="22"/>
          <w:szCs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szCs w:val="22"/>
        </w:rPr>
      </w:pPr>
      <w:r>
        <w:rPr>
          <w:rFonts w:ascii="宋体" w:hAnsi="宋体"/>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szCs w:val="22"/>
        </w:rPr>
      </w:pPr>
      <w:r>
        <w:rPr>
          <w:rFonts w:ascii="宋体" w:hAnsi="宋体"/>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szCs w:val="22"/>
        </w:rPr>
      </w:pPr>
      <w:r>
        <w:rPr>
          <w:rFonts w:ascii="宋体" w:hAnsi="宋体"/>
          <w:sz w:val="22"/>
          <w:szCs w:val="22"/>
        </w:rPr>
        <w:t>（二）乙方应从事的空防安全管理</w:t>
      </w:r>
    </w:p>
    <w:p>
      <w:pPr>
        <w:spacing w:line="360" w:lineRule="exact"/>
        <w:ind w:firstLine="440" w:firstLineChars="200"/>
        <w:rPr>
          <w:rFonts w:ascii="宋体" w:hAnsi="宋体"/>
          <w:sz w:val="22"/>
          <w:szCs w:val="22"/>
        </w:rPr>
      </w:pPr>
      <w:r>
        <w:rPr>
          <w:rFonts w:ascii="宋体" w:hAnsi="宋体"/>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szCs w:val="22"/>
        </w:rPr>
      </w:pPr>
      <w:r>
        <w:rPr>
          <w:rFonts w:ascii="宋体" w:hAnsi="宋体"/>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szCs w:val="22"/>
        </w:rPr>
      </w:pPr>
      <w:r>
        <w:rPr>
          <w:rFonts w:ascii="宋体" w:hAnsi="宋体"/>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szCs w:val="22"/>
        </w:rPr>
      </w:pPr>
      <w:r>
        <w:rPr>
          <w:rFonts w:ascii="宋体" w:hAnsi="宋体"/>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szCs w:val="22"/>
        </w:rPr>
      </w:pPr>
      <w:r>
        <w:rPr>
          <w:rFonts w:ascii="宋体" w:hAnsi="宋体"/>
          <w:sz w:val="22"/>
          <w:szCs w:val="22"/>
        </w:rPr>
        <w:t>（三）乙方应从事的不停航施工项目安全管理</w:t>
      </w:r>
    </w:p>
    <w:p>
      <w:pPr>
        <w:spacing w:line="360" w:lineRule="exact"/>
        <w:ind w:firstLine="440" w:firstLineChars="200"/>
        <w:rPr>
          <w:rFonts w:ascii="宋体" w:hAnsi="宋体"/>
          <w:sz w:val="22"/>
          <w:szCs w:val="22"/>
        </w:rPr>
      </w:pPr>
      <w:r>
        <w:rPr>
          <w:rFonts w:ascii="宋体" w:hAnsi="宋体"/>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szCs w:val="22"/>
        </w:rPr>
      </w:pPr>
      <w:r>
        <w:rPr>
          <w:rFonts w:ascii="宋体" w:hAnsi="宋体"/>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szCs w:val="22"/>
        </w:rPr>
      </w:pPr>
      <w:r>
        <w:rPr>
          <w:rFonts w:ascii="宋体" w:hAnsi="宋体"/>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szCs w:val="22"/>
        </w:rPr>
      </w:pPr>
      <w:r>
        <w:rPr>
          <w:rFonts w:ascii="宋体" w:hAnsi="宋体"/>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szCs w:val="22"/>
        </w:rPr>
      </w:pPr>
      <w:r>
        <w:rPr>
          <w:rFonts w:ascii="宋体" w:hAnsi="宋体"/>
          <w:sz w:val="22"/>
          <w:szCs w:val="22"/>
        </w:rPr>
        <w:t xml:space="preserve">（四）乙方的文明施工责任 </w:t>
      </w:r>
    </w:p>
    <w:p>
      <w:pPr>
        <w:spacing w:line="360" w:lineRule="exact"/>
        <w:ind w:firstLine="440" w:firstLineChars="200"/>
        <w:rPr>
          <w:rFonts w:ascii="宋体" w:hAnsi="宋体"/>
          <w:sz w:val="22"/>
          <w:szCs w:val="22"/>
        </w:rPr>
      </w:pPr>
      <w:r>
        <w:rPr>
          <w:rFonts w:ascii="宋体" w:hAnsi="宋体"/>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szCs w:val="22"/>
        </w:rPr>
      </w:pPr>
      <w:r>
        <w:rPr>
          <w:rFonts w:ascii="宋体" w:hAnsi="宋体"/>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szCs w:val="22"/>
        </w:rPr>
      </w:pPr>
      <w:r>
        <w:rPr>
          <w:rFonts w:ascii="宋体" w:hAnsi="宋体"/>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szCs w:val="22"/>
        </w:rPr>
      </w:pPr>
      <w:r>
        <w:rPr>
          <w:rFonts w:ascii="宋体" w:hAnsi="宋体"/>
          <w:sz w:val="22"/>
          <w:szCs w:val="22"/>
        </w:rPr>
        <w:t>（五）乙方应从事的社会治安综合治理</w:t>
      </w:r>
    </w:p>
    <w:p>
      <w:pPr>
        <w:spacing w:line="360" w:lineRule="exact"/>
        <w:ind w:firstLine="440" w:firstLineChars="200"/>
        <w:rPr>
          <w:rFonts w:ascii="宋体" w:hAnsi="宋体"/>
          <w:sz w:val="22"/>
          <w:szCs w:val="22"/>
        </w:rPr>
      </w:pPr>
      <w:r>
        <w:rPr>
          <w:rFonts w:ascii="宋体" w:hAnsi="宋体"/>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szCs w:val="22"/>
        </w:rPr>
      </w:pPr>
      <w:r>
        <w:rPr>
          <w:rFonts w:ascii="宋体" w:hAnsi="宋体"/>
          <w:sz w:val="22"/>
          <w:szCs w:val="22"/>
        </w:rPr>
        <w:t>39、认真排查、调处各类矛盾，及时消除隐患，杜绝各类社会矛盾引发的群体性事件的发生。</w:t>
      </w:r>
    </w:p>
    <w:p>
      <w:pPr>
        <w:spacing w:line="360" w:lineRule="exact"/>
        <w:ind w:firstLine="440" w:firstLineChars="200"/>
        <w:rPr>
          <w:rFonts w:ascii="宋体" w:hAnsi="宋体"/>
          <w:sz w:val="22"/>
          <w:szCs w:val="22"/>
        </w:rPr>
      </w:pPr>
      <w:r>
        <w:rPr>
          <w:rFonts w:ascii="宋体" w:hAnsi="宋体"/>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szCs w:val="22"/>
        </w:rPr>
      </w:pPr>
      <w:r>
        <w:rPr>
          <w:rFonts w:ascii="宋体" w:hAnsi="宋体"/>
          <w:sz w:val="22"/>
          <w:szCs w:val="22"/>
        </w:rPr>
        <w:t>（六）乙方应从事的消防安全管理</w:t>
      </w:r>
    </w:p>
    <w:p>
      <w:pPr>
        <w:spacing w:line="360" w:lineRule="exact"/>
        <w:ind w:firstLine="440" w:firstLineChars="200"/>
        <w:rPr>
          <w:rFonts w:ascii="宋体" w:hAnsi="宋体"/>
          <w:sz w:val="22"/>
          <w:szCs w:val="22"/>
        </w:rPr>
      </w:pPr>
      <w:r>
        <w:rPr>
          <w:rFonts w:ascii="宋体" w:hAnsi="宋体"/>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szCs w:val="22"/>
        </w:rPr>
      </w:pPr>
      <w:r>
        <w:rPr>
          <w:rFonts w:ascii="宋体" w:hAnsi="宋体"/>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szCs w:val="22"/>
        </w:rPr>
      </w:pPr>
      <w:r>
        <w:rPr>
          <w:rFonts w:ascii="宋体" w:hAnsi="宋体"/>
          <w:sz w:val="22"/>
          <w:szCs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szCs w:val="22"/>
        </w:rPr>
      </w:pPr>
      <w:r>
        <w:rPr>
          <w:rFonts w:ascii="宋体" w:hAnsi="宋体"/>
          <w:sz w:val="22"/>
          <w:szCs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szCs w:val="22"/>
        </w:rPr>
      </w:pPr>
      <w:r>
        <w:rPr>
          <w:rFonts w:ascii="宋体" w:hAnsi="宋体"/>
          <w:sz w:val="22"/>
          <w:szCs w:val="22"/>
        </w:rPr>
        <w:t>（七）乙方应从事的交通安全管理</w:t>
      </w:r>
    </w:p>
    <w:p>
      <w:pPr>
        <w:spacing w:line="360" w:lineRule="exact"/>
        <w:ind w:firstLine="440" w:firstLineChars="200"/>
        <w:rPr>
          <w:rFonts w:ascii="宋体" w:hAnsi="宋体"/>
          <w:sz w:val="22"/>
          <w:szCs w:val="22"/>
        </w:rPr>
      </w:pPr>
      <w:r>
        <w:rPr>
          <w:rFonts w:ascii="宋体" w:hAnsi="宋体"/>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szCs w:val="22"/>
        </w:rPr>
      </w:pPr>
      <w:r>
        <w:rPr>
          <w:rFonts w:ascii="宋体" w:hAnsi="宋体"/>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szCs w:val="22"/>
        </w:rPr>
      </w:pPr>
      <w:r>
        <w:rPr>
          <w:rFonts w:ascii="宋体" w:hAnsi="宋体"/>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szCs w:val="22"/>
        </w:rPr>
      </w:pPr>
      <w:r>
        <w:rPr>
          <w:rFonts w:ascii="宋体" w:hAnsi="宋体"/>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szCs w:val="22"/>
        </w:rPr>
      </w:pPr>
      <w:r>
        <w:rPr>
          <w:rFonts w:ascii="宋体" w:hAnsi="宋体"/>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szCs w:val="22"/>
        </w:rPr>
      </w:pPr>
      <w:r>
        <w:rPr>
          <w:rFonts w:ascii="宋体" w:hAnsi="宋体"/>
          <w:b/>
          <w:sz w:val="22"/>
          <w:szCs w:val="22"/>
        </w:rPr>
        <w:t>四、违约责任</w:t>
      </w:r>
    </w:p>
    <w:p>
      <w:pPr>
        <w:spacing w:line="360" w:lineRule="exact"/>
        <w:ind w:firstLine="440" w:firstLineChars="200"/>
        <w:rPr>
          <w:rFonts w:ascii="宋体" w:hAnsi="宋体"/>
          <w:sz w:val="22"/>
          <w:szCs w:val="22"/>
        </w:rPr>
      </w:pPr>
      <w:r>
        <w:rPr>
          <w:rFonts w:ascii="宋体" w:hAnsi="宋体"/>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szCs w:val="22"/>
        </w:rPr>
      </w:pPr>
      <w:r>
        <w:rPr>
          <w:rFonts w:ascii="宋体" w:hAnsi="宋体"/>
          <w:sz w:val="22"/>
          <w:szCs w:val="22"/>
        </w:rPr>
        <w:t>51、严禁因乙方行为导致发生飞行事故征侯，违者扣合同总款的20%，如发生飞行事故扣合同年度总款50％，并追究法律责任。</w:t>
      </w:r>
    </w:p>
    <w:p>
      <w:pPr>
        <w:spacing w:line="360" w:lineRule="exact"/>
        <w:ind w:firstLine="442" w:firstLineChars="200"/>
        <w:rPr>
          <w:rFonts w:ascii="宋体" w:hAnsi="宋体"/>
          <w:b/>
          <w:sz w:val="22"/>
          <w:szCs w:val="22"/>
        </w:rPr>
      </w:pPr>
      <w:r>
        <w:rPr>
          <w:rFonts w:ascii="宋体" w:hAnsi="宋体"/>
          <w:b/>
          <w:sz w:val="22"/>
          <w:szCs w:val="22"/>
        </w:rPr>
        <w:t>五、</w:t>
      </w:r>
      <w:r>
        <w:rPr>
          <w:rFonts w:hint="eastAsia" w:ascii="宋体" w:hAnsi="宋体"/>
          <w:b/>
          <w:sz w:val="22"/>
          <w:szCs w:val="22"/>
        </w:rPr>
        <w:t>本协议书附于《                 合同》后，双方盖章后生效。</w:t>
      </w:r>
    </w:p>
    <w:p>
      <w:pPr>
        <w:spacing w:line="360" w:lineRule="exact"/>
        <w:ind w:firstLine="442" w:firstLineChars="200"/>
        <w:rPr>
          <w:rFonts w:ascii="宋体" w:hAnsi="宋体"/>
          <w:b/>
          <w:sz w:val="22"/>
          <w:szCs w:val="22"/>
        </w:rPr>
      </w:pPr>
      <w:r>
        <w:rPr>
          <w:rFonts w:hint="eastAsia" w:ascii="宋体" w:hAnsi="宋体"/>
          <w:b/>
          <w:sz w:val="22"/>
          <w:szCs w:val="22"/>
        </w:rPr>
        <w:t>六</w:t>
      </w:r>
      <w:r>
        <w:rPr>
          <w:rFonts w:ascii="宋体" w:hAnsi="宋体"/>
          <w:b/>
          <w:sz w:val="22"/>
          <w:szCs w:val="22"/>
        </w:rPr>
        <w:t>、附则：</w:t>
      </w:r>
    </w:p>
    <w:p>
      <w:pPr>
        <w:adjustRightInd w:val="0"/>
        <w:snapToGrid w:val="0"/>
        <w:spacing w:line="360" w:lineRule="exact"/>
        <w:rPr>
          <w:rFonts w:ascii="宋体" w:hAnsi="宋体"/>
          <w:sz w:val="22"/>
          <w:szCs w:val="22"/>
        </w:rPr>
      </w:pPr>
      <w:r>
        <w:rPr>
          <w:rFonts w:ascii="宋体" w:hAnsi="宋体"/>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szCs w:val="22"/>
        </w:rPr>
      </w:pPr>
      <w:r>
        <w:rPr>
          <w:rFonts w:ascii="宋体" w:hAnsi="宋体"/>
          <w:sz w:val="22"/>
          <w:szCs w:val="22"/>
        </w:rPr>
        <w:t>（二）本责任书解释权归甲方。</w:t>
      </w:r>
    </w:p>
    <w:p>
      <w:pPr>
        <w:adjustRightInd w:val="0"/>
        <w:snapToGrid w:val="0"/>
        <w:spacing w:line="360" w:lineRule="exact"/>
        <w:rPr>
          <w:rFonts w:ascii="宋体" w:hAnsi="宋体"/>
          <w:sz w:val="22"/>
          <w:szCs w:val="22"/>
        </w:rPr>
      </w:pPr>
      <w:r>
        <w:rPr>
          <w:rFonts w:ascii="宋体" w:hAnsi="宋体"/>
          <w:sz w:val="22"/>
          <w:szCs w:val="22"/>
        </w:rPr>
        <w:t>（三）本责任书由甲乙双方共同盖章后生效。</w:t>
      </w:r>
    </w:p>
    <w:p>
      <w:pPr>
        <w:adjustRightInd w:val="0"/>
        <w:snapToGrid w:val="0"/>
        <w:spacing w:line="360" w:lineRule="exact"/>
        <w:rPr>
          <w:rFonts w:ascii="宋体" w:hAnsi="宋体"/>
          <w:sz w:val="22"/>
          <w:szCs w:val="22"/>
        </w:rPr>
      </w:pPr>
      <w:r>
        <w:rPr>
          <w:rFonts w:hint="eastAsia" w:ascii="宋体" w:hAnsi="宋体"/>
          <w:sz w:val="22"/>
          <w:szCs w:val="22"/>
        </w:rPr>
        <w:t>（四）附件：杭州萧山国际机场基建项目安全文明施工考核办法</w:t>
      </w:r>
    </w:p>
    <w:p>
      <w:pPr>
        <w:adjustRightInd w:val="0"/>
        <w:snapToGrid w:val="0"/>
        <w:spacing w:line="360" w:lineRule="exact"/>
        <w:rPr>
          <w:rFonts w:ascii="宋体" w:hAnsi="宋体"/>
          <w:sz w:val="22"/>
          <w:szCs w:val="22"/>
        </w:rPr>
      </w:pPr>
    </w:p>
    <w:p>
      <w:pPr>
        <w:adjustRightInd w:val="0"/>
        <w:snapToGrid w:val="0"/>
        <w:spacing w:line="360" w:lineRule="exact"/>
        <w:rPr>
          <w:rFonts w:ascii="宋体" w:hAnsi="宋体"/>
          <w:b/>
          <w:sz w:val="22"/>
        </w:rPr>
      </w:pPr>
      <w:r>
        <w:rPr>
          <w:rFonts w:hint="eastAsia" w:ascii="宋体" w:hAnsi="宋体"/>
          <w:b/>
          <w:sz w:val="22"/>
        </w:rPr>
        <w:t xml:space="preserve">发    包    人（盖章）：             </w:t>
      </w:r>
      <w:r>
        <w:rPr>
          <w:rFonts w:hint="eastAsia" w:ascii="宋体" w:hAnsi="宋体"/>
          <w:b/>
          <w:sz w:val="22"/>
        </w:rPr>
        <w:tab/>
      </w:r>
      <w:r>
        <w:rPr>
          <w:rFonts w:ascii="宋体" w:hAnsi="宋体"/>
          <w:b/>
          <w:sz w:val="22"/>
        </w:rPr>
        <w:t xml:space="preserve">  </w:t>
      </w:r>
      <w:r>
        <w:rPr>
          <w:rFonts w:hint="eastAsia" w:ascii="宋体" w:hAnsi="宋体"/>
          <w:b/>
          <w:sz w:val="22"/>
        </w:rPr>
        <w:t>承    包    人（盖章）：</w:t>
      </w:r>
    </w:p>
    <w:p>
      <w:pPr>
        <w:rPr>
          <w:rFonts w:ascii="宋体" w:hAnsi="宋体"/>
          <w:sz w:val="22"/>
        </w:rPr>
      </w:pPr>
    </w:p>
    <w:p>
      <w:pPr>
        <w:rPr>
          <w:rFonts w:ascii="宋体" w:hAnsi="宋体"/>
          <w:sz w:val="22"/>
        </w:rPr>
      </w:pPr>
      <w:r>
        <w:rPr>
          <w:rFonts w:ascii="宋体" w:hAnsi="宋体"/>
          <w:sz w:val="22"/>
        </w:rPr>
        <w:br w:type="page"/>
      </w:r>
      <w:r>
        <w:rPr>
          <w:rFonts w:hint="eastAsia" w:ascii="宋体" w:hAnsi="宋体"/>
          <w:sz w:val="22"/>
        </w:rPr>
        <w:t>附件</w:t>
      </w:r>
      <w:r>
        <w:rPr>
          <w:rFonts w:ascii="宋体" w:hAnsi="宋体"/>
          <w:sz w:val="22"/>
        </w:rPr>
        <w:t>3</w:t>
      </w:r>
      <w:r>
        <w:rPr>
          <w:rFonts w:hint="eastAsia" w:ascii="宋体" w:hAnsi="宋体"/>
          <w:sz w:val="22"/>
        </w:rPr>
        <w:t>：</w:t>
      </w:r>
    </w:p>
    <w:p>
      <w:pPr>
        <w:rPr>
          <w:rFonts w:ascii="宋体" w:hAnsi="宋体"/>
          <w:sz w:val="22"/>
        </w:rPr>
      </w:pPr>
    </w:p>
    <w:p>
      <w:pPr>
        <w:jc w:val="center"/>
        <w:rPr>
          <w:rFonts w:ascii="宋体" w:hAnsi="宋体"/>
          <w:b/>
          <w:sz w:val="22"/>
        </w:rPr>
      </w:pPr>
      <w:r>
        <w:rPr>
          <w:rFonts w:hint="eastAsia" w:ascii="宋体" w:hAnsi="宋体"/>
          <w:b/>
          <w:sz w:val="22"/>
        </w:rPr>
        <w:t>杭州萧山国际机场基建项目安全文明施工考核办法</w:t>
      </w:r>
    </w:p>
    <w:p>
      <w:pPr>
        <w:rPr>
          <w:rFonts w:ascii="宋体" w:hAnsi="宋体"/>
          <w:sz w:val="22"/>
        </w:rPr>
      </w:pPr>
    </w:p>
    <w:p>
      <w:pPr>
        <w:rPr>
          <w:rFonts w:ascii="宋体" w:hAnsi="宋体"/>
          <w:sz w:val="22"/>
        </w:rPr>
      </w:pPr>
      <w:r>
        <w:rPr>
          <w:rFonts w:hint="eastAsia" w:ascii="宋体" w:hAnsi="宋体"/>
          <w:sz w:val="22"/>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rPr>
          <w:rFonts w:ascii="宋体" w:hAnsi="宋体"/>
          <w:sz w:val="22"/>
        </w:rPr>
      </w:pPr>
      <w:r>
        <w:rPr>
          <w:rFonts w:hint="eastAsia" w:ascii="宋体" w:hAnsi="宋体"/>
          <w:sz w:val="22"/>
        </w:rPr>
        <w:t>一、考核原则</w:t>
      </w:r>
    </w:p>
    <w:p>
      <w:pPr>
        <w:rPr>
          <w:rFonts w:ascii="宋体" w:hAnsi="宋体"/>
          <w:sz w:val="22"/>
        </w:rPr>
      </w:pPr>
      <w:r>
        <w:rPr>
          <w:rFonts w:hint="eastAsia" w:ascii="宋体" w:hAnsi="宋体"/>
          <w:sz w:val="22"/>
        </w:rPr>
        <w:t>（一）预先通知原则。信导部各工程管理业务科室（包括临时成立的检查小组）对于发现的安全问题隐患，首先开具《安全隐患整改通知书》（以下简称“整改通知书”，附后），施工项目部接到《整改通知书》后在指定期限内未整改到位的，按照本考核办法予以处罚，未预先书面通知的不予处罚。</w:t>
      </w:r>
    </w:p>
    <w:p>
      <w:pPr>
        <w:rPr>
          <w:rFonts w:ascii="宋体" w:hAnsi="宋体"/>
          <w:sz w:val="22"/>
        </w:rPr>
      </w:pPr>
      <w:r>
        <w:rPr>
          <w:rFonts w:hint="eastAsia" w:ascii="宋体" w:hAnsi="宋体"/>
          <w:sz w:val="22"/>
        </w:rPr>
        <w:t>（二）奖励与处罚相结合原则。通过考核与评比，在机场公司或信导部组织的各类检查评比中，获得好评的的施工项目部将按照相关规定予以奖励；对违反国家相关法律、法规和安全生产规范、规程、标准及《杭州萧山国际机场安全文明施工协议书》的，将严格按照本考核办法扣罚。</w:t>
      </w:r>
    </w:p>
    <w:p>
      <w:pPr>
        <w:rPr>
          <w:rFonts w:ascii="宋体" w:hAnsi="宋体"/>
          <w:sz w:val="22"/>
        </w:rPr>
      </w:pPr>
      <w:r>
        <w:rPr>
          <w:rFonts w:hint="eastAsia" w:ascii="宋体" w:hAnsi="宋体"/>
          <w:sz w:val="22"/>
        </w:rPr>
        <w:t>（三）考核与结算相结合原则。信导部各工程管理业务科室（包括临时成立的检查小组）对其查出的安全问题隐患，经通知仍未整改的，开具《安全文明施工工作联系单》（以下简称“联系单”，附后）督促跟踪整改，并做好备案记录，一并于项目竣工后结算。</w:t>
      </w:r>
    </w:p>
    <w:p>
      <w:pPr>
        <w:rPr>
          <w:rFonts w:ascii="宋体" w:hAnsi="宋体"/>
          <w:sz w:val="22"/>
        </w:rPr>
      </w:pPr>
      <w:r>
        <w:rPr>
          <w:rFonts w:hint="eastAsia" w:ascii="宋体" w:hAnsi="宋体"/>
          <w:sz w:val="22"/>
        </w:rPr>
        <w:t>（四）考核与经济利益直接挂钩原则。以《安全文明施工工作联系单》确认的奖惩数额为准。</w:t>
      </w:r>
    </w:p>
    <w:p>
      <w:pPr>
        <w:rPr>
          <w:rFonts w:ascii="宋体" w:hAnsi="宋体"/>
          <w:sz w:val="22"/>
        </w:rPr>
      </w:pPr>
      <w:r>
        <w:rPr>
          <w:rFonts w:hint="eastAsia" w:ascii="宋体" w:hAnsi="宋体"/>
          <w:sz w:val="22"/>
        </w:rPr>
        <w:t>二、适用范围</w:t>
      </w:r>
    </w:p>
    <w:p>
      <w:pPr>
        <w:rPr>
          <w:rFonts w:ascii="宋体" w:hAnsi="宋体"/>
          <w:sz w:val="22"/>
        </w:rPr>
      </w:pPr>
      <w:r>
        <w:rPr>
          <w:rFonts w:hint="eastAsia" w:ascii="宋体" w:hAnsi="宋体"/>
          <w:sz w:val="22"/>
        </w:rPr>
        <w:t>本考核办法适用于参与杭州萧山国际机场基本建设的各施工监理单位。与总包单位签订分包合同的分包单位纳入对总包单位的考核，不作为被考核主体。</w:t>
      </w:r>
    </w:p>
    <w:p>
      <w:pPr>
        <w:rPr>
          <w:rFonts w:ascii="宋体" w:hAnsi="宋体"/>
          <w:sz w:val="22"/>
        </w:rPr>
      </w:pPr>
      <w:r>
        <w:rPr>
          <w:rFonts w:hint="eastAsia" w:ascii="宋体" w:hAnsi="宋体"/>
          <w:sz w:val="22"/>
        </w:rPr>
        <w:t>三、考核程序</w:t>
      </w:r>
    </w:p>
    <w:p>
      <w:pPr>
        <w:rPr>
          <w:rFonts w:ascii="宋体" w:hAnsi="宋体"/>
          <w:sz w:val="22"/>
        </w:rPr>
      </w:pPr>
      <w:r>
        <w:rPr>
          <w:rFonts w:hint="eastAsia" w:ascii="宋体" w:hAnsi="宋体"/>
          <w:sz w:val="22"/>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rPr>
          <w:rFonts w:ascii="宋体" w:hAnsi="宋体"/>
          <w:sz w:val="22"/>
        </w:rPr>
      </w:pPr>
      <w:r>
        <w:rPr>
          <w:rFonts w:hint="eastAsia" w:ascii="宋体" w:hAnsi="宋体"/>
          <w:sz w:val="22"/>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rPr>
          <w:rFonts w:ascii="宋体" w:hAnsi="宋体"/>
          <w:sz w:val="22"/>
        </w:rPr>
      </w:pPr>
      <w:r>
        <w:rPr>
          <w:rFonts w:hint="eastAsia" w:ascii="宋体" w:hAnsi="宋体"/>
          <w:sz w:val="22"/>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经责任施工或监理项目部签章后，由检查人员签字，检查部门盖章后签发。《安全文明施工工作联系单》一式四份，签发人、责任施工项目部、责任监理项目部各持一份，报信导部一份。</w:t>
      </w:r>
    </w:p>
    <w:p>
      <w:pPr>
        <w:rPr>
          <w:rFonts w:ascii="宋体" w:hAnsi="宋体"/>
          <w:sz w:val="22"/>
        </w:rPr>
      </w:pPr>
      <w:r>
        <w:rPr>
          <w:rFonts w:hint="eastAsia" w:ascii="宋体" w:hAnsi="宋体"/>
          <w:sz w:val="22"/>
        </w:rPr>
        <w:t>（四）考核最终汇总兑现。各施工项目部工程结束后由信导部计算出累计处罚总数，从工程履约保证金中扣除，但不得超过工程履约保证金的</w:t>
      </w:r>
      <w:r>
        <w:rPr>
          <w:rFonts w:ascii="宋体" w:hAnsi="宋体"/>
          <w:sz w:val="22"/>
        </w:rPr>
        <w:t>20%</w:t>
      </w:r>
      <w:r>
        <w:rPr>
          <w:rFonts w:hint="eastAsia" w:ascii="宋体" w:hAnsi="宋体"/>
          <w:sz w:val="22"/>
        </w:rPr>
        <w:t>。</w:t>
      </w:r>
    </w:p>
    <w:p>
      <w:pPr>
        <w:rPr>
          <w:rFonts w:ascii="宋体" w:hAnsi="宋体"/>
          <w:sz w:val="22"/>
        </w:rPr>
      </w:pPr>
      <w:r>
        <w:rPr>
          <w:rFonts w:hint="eastAsia" w:ascii="宋体" w:hAnsi="宋体"/>
          <w:sz w:val="22"/>
        </w:rPr>
        <w:t>四、其它</w:t>
      </w:r>
    </w:p>
    <w:p>
      <w:pPr>
        <w:rPr>
          <w:rFonts w:ascii="宋体" w:hAnsi="宋体"/>
          <w:sz w:val="22"/>
        </w:rPr>
      </w:pPr>
      <w:r>
        <w:rPr>
          <w:rFonts w:hint="eastAsia" w:ascii="宋体" w:hAnsi="宋体"/>
          <w:sz w:val="22"/>
        </w:rPr>
        <w:t>（一）施工项目部突破《杭州萧山国际机场安全文明施工协议书》安全控制目标内容之一的，不属于本办法考核范围，由信导部依据有关规定直接进行处罚。</w:t>
      </w:r>
    </w:p>
    <w:p>
      <w:pPr>
        <w:rPr>
          <w:rFonts w:ascii="宋体" w:hAnsi="宋体"/>
          <w:sz w:val="22"/>
        </w:rPr>
      </w:pPr>
      <w:r>
        <w:rPr>
          <w:rFonts w:hint="eastAsia" w:ascii="宋体" w:hAnsi="宋体"/>
          <w:sz w:val="22"/>
        </w:rPr>
        <w:t>（二）《处罚标准》中所称的“协议”是指机场公司与施工项目部签订的《杭州萧山国际机场安全文明施工协议书》及各种协议文件；“建标”是指《建筑施工安全检查标准》（</w:t>
      </w:r>
      <w:r>
        <w:rPr>
          <w:rFonts w:ascii="宋体" w:hAnsi="宋体"/>
          <w:sz w:val="22"/>
        </w:rPr>
        <w:t>JGJ59-2011</w:t>
      </w:r>
      <w:r>
        <w:rPr>
          <w:rFonts w:hint="eastAsia" w:ascii="宋体" w:hAnsi="宋体"/>
          <w:sz w:val="22"/>
        </w:rPr>
        <w:t>）。</w:t>
      </w:r>
    </w:p>
    <w:p>
      <w:pPr>
        <w:rPr>
          <w:rFonts w:ascii="宋体" w:hAnsi="宋体"/>
          <w:sz w:val="22"/>
        </w:rPr>
      </w:pPr>
      <w:r>
        <w:rPr>
          <w:rFonts w:hint="eastAsia" w:ascii="宋体" w:hAnsi="宋体"/>
          <w:sz w:val="22"/>
        </w:rPr>
        <w:t>（三）施工项目部收到《安全文明施工工作联系单》后，在指定期限内仍未整改到位，加倍处罚直至整改到位为止。</w:t>
      </w:r>
    </w:p>
    <w:p>
      <w:pPr>
        <w:rPr>
          <w:rFonts w:ascii="宋体" w:hAnsi="宋体"/>
          <w:sz w:val="22"/>
        </w:rPr>
      </w:pPr>
      <w:r>
        <w:rPr>
          <w:rFonts w:hint="eastAsia" w:ascii="宋体" w:hAnsi="宋体"/>
          <w:sz w:val="22"/>
        </w:rPr>
        <w:t>（四）本考核办法未作规定，但已违反国家相关法律、法规和安全生产规范、规程、标准及《杭州萧山国际机场安全文明施工协议书》的行为，由信导部参照《处罚标准》相关规定进行处罚。</w:t>
      </w:r>
    </w:p>
    <w:p>
      <w:pPr>
        <w:rPr>
          <w:rFonts w:ascii="宋体" w:hAnsi="宋体"/>
          <w:sz w:val="22"/>
        </w:rPr>
      </w:pPr>
      <w:r>
        <w:rPr>
          <w:rFonts w:hint="eastAsia" w:ascii="宋体" w:hAnsi="宋体"/>
          <w:sz w:val="22"/>
        </w:rPr>
        <w:t>（五）本考核办法以实际发文为准。</w:t>
      </w:r>
    </w:p>
    <w:p>
      <w:pPr>
        <w:rPr>
          <w:rFonts w:ascii="宋体" w:hAnsi="宋体"/>
          <w:sz w:val="22"/>
        </w:rPr>
      </w:pPr>
    </w:p>
    <w:p>
      <w:pPr>
        <w:rPr>
          <w:rFonts w:ascii="宋体" w:hAnsi="宋体"/>
          <w:sz w:val="22"/>
        </w:rPr>
      </w:pPr>
      <w:r>
        <w:rPr>
          <w:rFonts w:ascii="宋体" w:hAnsi="宋体"/>
          <w:sz w:val="22"/>
        </w:rPr>
        <w:t xml:space="preserve">    </w:t>
      </w: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p>
      <w:pPr>
        <w:jc w:val="center"/>
        <w:rPr>
          <w:rFonts w:ascii="宋体" w:hAnsi="宋体"/>
          <w:b/>
          <w:sz w:val="22"/>
        </w:rPr>
      </w:pPr>
      <w:r>
        <w:rPr>
          <w:rFonts w:ascii="宋体" w:hAnsi="宋体"/>
          <w:sz w:val="22"/>
        </w:rPr>
        <w:br w:type="page"/>
      </w:r>
      <w:r>
        <w:rPr>
          <w:rFonts w:hint="eastAsia" w:ascii="宋体" w:hAnsi="宋体"/>
          <w:b/>
          <w:sz w:val="22"/>
        </w:rPr>
        <w:t>基建项目安全文明施工处罚标准</w:t>
      </w:r>
    </w:p>
    <w:p>
      <w:pPr>
        <w:rPr>
          <w:rFonts w:ascii="宋体" w:hAnsi="宋体"/>
          <w:sz w:val="22"/>
        </w:rPr>
      </w:pPr>
    </w:p>
    <w:tbl>
      <w:tblPr>
        <w:tblStyle w:val="19"/>
        <w:tblW w:w="98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6660"/>
        <w:gridCol w:w="7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hint="eastAsia" w:ascii="宋体" w:hAnsi="宋体"/>
                <w:sz w:val="22"/>
              </w:rPr>
              <w:t>序列号</w:t>
            </w:r>
          </w:p>
        </w:tc>
        <w:tc>
          <w:tcPr>
            <w:tcW w:w="6660" w:type="dxa"/>
            <w:vAlign w:val="center"/>
          </w:tcPr>
          <w:p>
            <w:pPr>
              <w:rPr>
                <w:rFonts w:ascii="宋体" w:hAnsi="宋体"/>
                <w:sz w:val="22"/>
              </w:rPr>
            </w:pPr>
            <w:r>
              <w:rPr>
                <w:rFonts w:hint="eastAsia" w:ascii="宋体" w:hAnsi="宋体"/>
                <w:sz w:val="22"/>
              </w:rPr>
              <w:t>内</w:t>
            </w:r>
            <w:r>
              <w:rPr>
                <w:rFonts w:ascii="宋体" w:hAnsi="宋体"/>
                <w:sz w:val="22"/>
              </w:rPr>
              <w:t xml:space="preserve">       </w:t>
            </w:r>
            <w:r>
              <w:rPr>
                <w:rFonts w:hint="eastAsia" w:ascii="宋体" w:hAnsi="宋体"/>
                <w:sz w:val="22"/>
              </w:rPr>
              <w:t>容</w:t>
            </w:r>
          </w:p>
        </w:tc>
        <w:tc>
          <w:tcPr>
            <w:tcW w:w="720" w:type="dxa"/>
            <w:vAlign w:val="center"/>
          </w:tcPr>
          <w:p>
            <w:pPr>
              <w:rPr>
                <w:rFonts w:ascii="宋体" w:hAnsi="宋体"/>
                <w:sz w:val="22"/>
              </w:rPr>
            </w:pPr>
            <w:r>
              <w:rPr>
                <w:rFonts w:hint="eastAsia" w:ascii="宋体" w:hAnsi="宋体"/>
                <w:sz w:val="22"/>
              </w:rPr>
              <w:t>依据</w:t>
            </w:r>
          </w:p>
        </w:tc>
        <w:tc>
          <w:tcPr>
            <w:tcW w:w="1440" w:type="dxa"/>
            <w:vAlign w:val="center"/>
          </w:tcPr>
          <w:p>
            <w:pPr>
              <w:rPr>
                <w:rFonts w:ascii="宋体" w:hAnsi="宋体"/>
                <w:sz w:val="22"/>
              </w:rPr>
            </w:pPr>
            <w:r>
              <w:rPr>
                <w:rFonts w:hint="eastAsia" w:ascii="宋体" w:hAnsi="宋体"/>
                <w:sz w:val="22"/>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hint="eastAsia" w:ascii="宋体" w:hAnsi="宋体"/>
                <w:sz w:val="22"/>
              </w:rPr>
              <w:t>１</w:t>
            </w:r>
          </w:p>
        </w:tc>
        <w:tc>
          <w:tcPr>
            <w:tcW w:w="6660" w:type="dxa"/>
            <w:vAlign w:val="center"/>
          </w:tcPr>
          <w:p>
            <w:pPr>
              <w:rPr>
                <w:rFonts w:ascii="宋体" w:hAnsi="宋体"/>
                <w:sz w:val="22"/>
              </w:rPr>
            </w:pPr>
            <w:r>
              <w:rPr>
                <w:rFonts w:hint="eastAsia" w:ascii="宋体" w:hAnsi="宋体"/>
                <w:sz w:val="22"/>
              </w:rPr>
              <w:t>隔离区施工</w:t>
            </w:r>
          </w:p>
        </w:tc>
        <w:tc>
          <w:tcPr>
            <w:tcW w:w="720" w:type="dxa"/>
            <w:vAlign w:val="center"/>
          </w:tcPr>
          <w:p>
            <w:pPr>
              <w:rPr>
                <w:rFonts w:ascii="宋体" w:hAnsi="宋体"/>
                <w:sz w:val="22"/>
              </w:rPr>
            </w:pPr>
          </w:p>
        </w:tc>
        <w:tc>
          <w:tcPr>
            <w:tcW w:w="1440" w:type="dxa"/>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hint="eastAsia" w:ascii="宋体" w:hAnsi="宋体"/>
                <w:sz w:val="22"/>
              </w:rPr>
              <w:t>１</w:t>
            </w:r>
            <w:r>
              <w:rPr>
                <w:rFonts w:ascii="宋体" w:hAnsi="宋体"/>
                <w:sz w:val="22"/>
              </w:rPr>
              <w:t>.1</w:t>
            </w:r>
          </w:p>
        </w:tc>
        <w:tc>
          <w:tcPr>
            <w:tcW w:w="6660" w:type="dxa"/>
          </w:tcPr>
          <w:p>
            <w:pPr>
              <w:rPr>
                <w:rFonts w:ascii="宋体" w:hAnsi="宋体"/>
                <w:sz w:val="22"/>
              </w:rPr>
            </w:pPr>
            <w:r>
              <w:rPr>
                <w:rFonts w:hint="eastAsia" w:ascii="宋体" w:hAnsi="宋体"/>
                <w:sz w:val="22"/>
              </w:rPr>
              <w:t>未按照杭州国际机场隔离区施工组织方案、安全保障措施进行施工作业影响机场正常运行或造成不安全事件的</w:t>
            </w:r>
          </w:p>
        </w:tc>
        <w:tc>
          <w:tcPr>
            <w:tcW w:w="720" w:type="dxa"/>
            <w:vAlign w:val="center"/>
          </w:tcPr>
          <w:p>
            <w:pPr>
              <w:rPr>
                <w:rFonts w:ascii="宋体" w:hAnsi="宋体"/>
                <w:sz w:val="22"/>
              </w:rPr>
            </w:pPr>
            <w:r>
              <w:rPr>
                <w:rFonts w:hint="eastAsia" w:ascii="宋体" w:hAnsi="宋体"/>
                <w:sz w:val="22"/>
              </w:rPr>
              <w:t>方案</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hint="eastAsia" w:ascii="宋体" w:hAnsi="宋体"/>
                <w:sz w:val="22"/>
              </w:rPr>
              <w:t>１</w:t>
            </w:r>
            <w:r>
              <w:rPr>
                <w:rFonts w:ascii="宋体" w:hAnsi="宋体"/>
                <w:sz w:val="22"/>
              </w:rPr>
              <w:t>.2</w:t>
            </w:r>
          </w:p>
        </w:tc>
        <w:tc>
          <w:tcPr>
            <w:tcW w:w="6660" w:type="dxa"/>
          </w:tcPr>
          <w:p>
            <w:pPr>
              <w:rPr>
                <w:rFonts w:ascii="宋体" w:hAnsi="宋体"/>
                <w:sz w:val="22"/>
              </w:rPr>
            </w:pPr>
            <w:r>
              <w:rPr>
                <w:rFonts w:hint="eastAsia" w:ascii="宋体" w:hAnsi="宋体"/>
                <w:sz w:val="22"/>
              </w:rPr>
              <w:t>无故不参加各类隔离区施工例会、专题会议的</w:t>
            </w:r>
          </w:p>
        </w:tc>
        <w:tc>
          <w:tcPr>
            <w:tcW w:w="720" w:type="dxa"/>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hint="eastAsia" w:ascii="宋体" w:hAnsi="宋体"/>
                <w:sz w:val="22"/>
              </w:rPr>
              <w:t>１</w:t>
            </w:r>
            <w:r>
              <w:rPr>
                <w:rFonts w:ascii="宋体" w:hAnsi="宋体"/>
                <w:sz w:val="22"/>
              </w:rPr>
              <w:t>.3</w:t>
            </w:r>
          </w:p>
        </w:tc>
        <w:tc>
          <w:tcPr>
            <w:tcW w:w="6660" w:type="dxa"/>
          </w:tcPr>
          <w:p>
            <w:pPr>
              <w:rPr>
                <w:rFonts w:ascii="宋体" w:hAnsi="宋体"/>
                <w:sz w:val="22"/>
              </w:rPr>
            </w:pPr>
            <w:r>
              <w:rPr>
                <w:rFonts w:hint="eastAsia" w:ascii="宋体" w:hAnsi="宋体"/>
                <w:sz w:val="22"/>
              </w:rPr>
              <w:t>未对施工人员进行空防安全和运行安全教育培训或教育培训无台帐记录的</w:t>
            </w:r>
          </w:p>
        </w:tc>
        <w:tc>
          <w:tcPr>
            <w:tcW w:w="720" w:type="dxa"/>
            <w:vAlign w:val="center"/>
          </w:tcPr>
          <w:p>
            <w:pPr>
              <w:rPr>
                <w:rFonts w:ascii="宋体" w:hAnsi="宋体"/>
                <w:sz w:val="22"/>
              </w:rPr>
            </w:pPr>
            <w:r>
              <w:rPr>
                <w:rFonts w:hint="eastAsia" w:ascii="宋体" w:hAnsi="宋体"/>
                <w:sz w:val="22"/>
              </w:rPr>
              <w:t>方案</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hint="eastAsia" w:ascii="宋体" w:hAnsi="宋体"/>
                <w:sz w:val="22"/>
              </w:rPr>
              <w:t>１</w:t>
            </w:r>
            <w:r>
              <w:rPr>
                <w:rFonts w:ascii="宋体" w:hAnsi="宋体"/>
                <w:sz w:val="22"/>
              </w:rPr>
              <w:t>.4</w:t>
            </w:r>
          </w:p>
        </w:tc>
        <w:tc>
          <w:tcPr>
            <w:tcW w:w="6660" w:type="dxa"/>
          </w:tcPr>
          <w:p>
            <w:pPr>
              <w:rPr>
                <w:rFonts w:ascii="宋体" w:hAnsi="宋体"/>
                <w:sz w:val="22"/>
              </w:rPr>
            </w:pPr>
            <w:r>
              <w:rPr>
                <w:rFonts w:hint="eastAsia" w:ascii="宋体" w:hAnsi="宋体"/>
                <w:sz w:val="22"/>
              </w:rPr>
              <w:t>施工进场前未对施工人员进行安全教育或交底的</w:t>
            </w:r>
          </w:p>
        </w:tc>
        <w:tc>
          <w:tcPr>
            <w:tcW w:w="720" w:type="dxa"/>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hint="eastAsia" w:ascii="宋体" w:hAnsi="宋体"/>
                <w:sz w:val="22"/>
              </w:rPr>
              <w:t>１</w:t>
            </w:r>
            <w:r>
              <w:rPr>
                <w:rFonts w:ascii="宋体" w:hAnsi="宋体"/>
                <w:sz w:val="22"/>
              </w:rPr>
              <w:t>.5</w:t>
            </w:r>
          </w:p>
        </w:tc>
        <w:tc>
          <w:tcPr>
            <w:tcW w:w="6660" w:type="dxa"/>
          </w:tcPr>
          <w:p>
            <w:pPr>
              <w:rPr>
                <w:rFonts w:ascii="宋体" w:hAnsi="宋体"/>
                <w:sz w:val="22"/>
              </w:rPr>
            </w:pPr>
            <w:r>
              <w:rPr>
                <w:rFonts w:hint="eastAsia" w:ascii="宋体" w:hAnsi="宋体"/>
                <w:sz w:val="22"/>
              </w:rPr>
              <w:t>管理人员擅离岗位、未实施全程监管或未有效履行安全管理职责的</w:t>
            </w:r>
          </w:p>
        </w:tc>
        <w:tc>
          <w:tcPr>
            <w:tcW w:w="720" w:type="dxa"/>
            <w:vAlign w:val="center"/>
          </w:tcPr>
          <w:p>
            <w:pPr>
              <w:rPr>
                <w:rFonts w:ascii="宋体" w:hAnsi="宋体"/>
                <w:sz w:val="22"/>
              </w:rPr>
            </w:pPr>
            <w:r>
              <w:rPr>
                <w:rFonts w:hint="eastAsia" w:ascii="宋体" w:hAnsi="宋体"/>
                <w:sz w:val="22"/>
              </w:rPr>
              <w:t>方案</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hint="eastAsia" w:ascii="宋体" w:hAnsi="宋体"/>
                <w:sz w:val="22"/>
              </w:rPr>
              <w:t>１</w:t>
            </w:r>
            <w:r>
              <w:rPr>
                <w:rFonts w:ascii="宋体" w:hAnsi="宋体"/>
                <w:sz w:val="22"/>
              </w:rPr>
              <w:t>.6</w:t>
            </w:r>
          </w:p>
        </w:tc>
        <w:tc>
          <w:tcPr>
            <w:tcW w:w="6660" w:type="dxa"/>
          </w:tcPr>
          <w:p>
            <w:pPr>
              <w:rPr>
                <w:rFonts w:ascii="宋体" w:hAnsi="宋体"/>
                <w:sz w:val="22"/>
              </w:rPr>
            </w:pPr>
            <w:r>
              <w:rPr>
                <w:rFonts w:hint="eastAsia" w:ascii="宋体" w:hAnsi="宋体"/>
                <w:sz w:val="22"/>
              </w:rPr>
              <w:t>现场不服从机场或信导部现场管理人员指挥、管理的</w:t>
            </w:r>
          </w:p>
        </w:tc>
        <w:tc>
          <w:tcPr>
            <w:tcW w:w="720" w:type="dxa"/>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hint="eastAsia" w:ascii="宋体" w:hAnsi="宋体"/>
                <w:sz w:val="22"/>
              </w:rPr>
              <w:t>１</w:t>
            </w:r>
            <w:r>
              <w:rPr>
                <w:rFonts w:ascii="宋体" w:hAnsi="宋体"/>
                <w:sz w:val="22"/>
              </w:rPr>
              <w:t>.7</w:t>
            </w:r>
          </w:p>
        </w:tc>
        <w:tc>
          <w:tcPr>
            <w:tcW w:w="6660" w:type="dxa"/>
            <w:vAlign w:val="center"/>
          </w:tcPr>
          <w:p>
            <w:pPr>
              <w:rPr>
                <w:rFonts w:ascii="宋体" w:hAnsi="宋体"/>
                <w:sz w:val="22"/>
              </w:rPr>
            </w:pPr>
            <w:r>
              <w:rPr>
                <w:rFonts w:hint="eastAsia" w:ascii="宋体" w:hAnsi="宋体"/>
                <w:sz w:val="22"/>
              </w:rPr>
              <w:t>未按规定设置或撤除警戒围栏的</w:t>
            </w:r>
          </w:p>
        </w:tc>
        <w:tc>
          <w:tcPr>
            <w:tcW w:w="720" w:type="dxa"/>
            <w:vAlign w:val="center"/>
          </w:tcPr>
          <w:p>
            <w:pPr>
              <w:rPr>
                <w:rFonts w:ascii="宋体" w:hAnsi="宋体"/>
                <w:sz w:val="22"/>
              </w:rPr>
            </w:pPr>
            <w:r>
              <w:rPr>
                <w:rFonts w:hint="eastAsia" w:ascii="宋体" w:hAnsi="宋体"/>
                <w:sz w:val="22"/>
              </w:rPr>
              <w:t>方案</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hint="eastAsia" w:ascii="宋体" w:hAnsi="宋体"/>
                <w:sz w:val="22"/>
              </w:rPr>
              <w:t>１</w:t>
            </w:r>
            <w:r>
              <w:rPr>
                <w:rFonts w:ascii="宋体" w:hAnsi="宋体"/>
                <w:sz w:val="22"/>
              </w:rPr>
              <w:t>.8</w:t>
            </w:r>
          </w:p>
        </w:tc>
        <w:tc>
          <w:tcPr>
            <w:tcW w:w="6660" w:type="dxa"/>
            <w:vAlign w:val="center"/>
          </w:tcPr>
          <w:p>
            <w:pPr>
              <w:rPr>
                <w:rFonts w:ascii="宋体" w:hAnsi="宋体"/>
                <w:sz w:val="22"/>
              </w:rPr>
            </w:pPr>
            <w:r>
              <w:rPr>
                <w:rFonts w:hint="eastAsia" w:ascii="宋体" w:hAnsi="宋体"/>
                <w:sz w:val="22"/>
              </w:rPr>
              <w:t>施工人员擅自侵入飞行活动区的</w:t>
            </w:r>
          </w:p>
        </w:tc>
        <w:tc>
          <w:tcPr>
            <w:tcW w:w="720" w:type="dxa"/>
            <w:vAlign w:val="center"/>
          </w:tcPr>
          <w:p>
            <w:pPr>
              <w:rPr>
                <w:rFonts w:ascii="宋体" w:hAnsi="宋体"/>
                <w:sz w:val="22"/>
              </w:rPr>
            </w:pPr>
            <w:r>
              <w:rPr>
                <w:rFonts w:hint="eastAsia" w:ascii="宋体" w:hAnsi="宋体"/>
                <w:sz w:val="22"/>
              </w:rPr>
              <w:t>协议</w:t>
            </w:r>
          </w:p>
        </w:tc>
        <w:tc>
          <w:tcPr>
            <w:tcW w:w="1440" w:type="dxa"/>
            <w:vAlign w:val="center"/>
          </w:tcPr>
          <w:p>
            <w:pPr>
              <w:rPr>
                <w:rFonts w:ascii="宋体" w:hAnsi="宋体"/>
                <w:sz w:val="22"/>
              </w:rPr>
            </w:pPr>
            <w:r>
              <w:rPr>
                <w:rFonts w:ascii="宋体" w:hAnsi="宋体"/>
                <w:sz w:val="22"/>
              </w:rPr>
              <w:t>20000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hint="eastAsia" w:ascii="宋体" w:hAnsi="宋体"/>
                <w:sz w:val="22"/>
              </w:rPr>
              <w:t>１</w:t>
            </w:r>
            <w:r>
              <w:rPr>
                <w:rFonts w:ascii="宋体" w:hAnsi="宋体"/>
                <w:sz w:val="22"/>
              </w:rPr>
              <w:t>.9</w:t>
            </w:r>
          </w:p>
        </w:tc>
        <w:tc>
          <w:tcPr>
            <w:tcW w:w="6660" w:type="dxa"/>
          </w:tcPr>
          <w:p>
            <w:pPr>
              <w:rPr>
                <w:rFonts w:ascii="宋体" w:hAnsi="宋体"/>
                <w:sz w:val="22"/>
              </w:rPr>
            </w:pPr>
            <w:r>
              <w:rPr>
                <w:rFonts w:hint="eastAsia" w:ascii="宋体" w:hAnsi="宋体"/>
                <w:sz w:val="22"/>
              </w:rPr>
              <w:t>施工人员攀爬、翻越、跨越隔离围栏及其他安全防护设施或向控制区内传递物品等，尚未影响机场正常运行的</w:t>
            </w:r>
          </w:p>
        </w:tc>
        <w:tc>
          <w:tcPr>
            <w:tcW w:w="720" w:type="dxa"/>
            <w:vAlign w:val="center"/>
          </w:tcPr>
          <w:p>
            <w:pPr>
              <w:rPr>
                <w:rFonts w:ascii="宋体" w:hAnsi="宋体"/>
                <w:sz w:val="22"/>
              </w:rPr>
            </w:pPr>
            <w:r>
              <w:rPr>
                <w:rFonts w:hint="eastAsia" w:ascii="宋体" w:hAnsi="宋体"/>
                <w:sz w:val="22"/>
              </w:rPr>
              <w:t>协议</w:t>
            </w:r>
          </w:p>
        </w:tc>
        <w:tc>
          <w:tcPr>
            <w:tcW w:w="1440" w:type="dxa"/>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hint="eastAsia" w:ascii="宋体" w:hAnsi="宋体"/>
                <w:sz w:val="22"/>
              </w:rPr>
              <w:t>１</w:t>
            </w:r>
            <w:r>
              <w:rPr>
                <w:rFonts w:ascii="宋体" w:hAnsi="宋体"/>
                <w:sz w:val="22"/>
              </w:rPr>
              <w:t>.10</w:t>
            </w:r>
          </w:p>
        </w:tc>
        <w:tc>
          <w:tcPr>
            <w:tcW w:w="6660" w:type="dxa"/>
            <w:vAlign w:val="center"/>
          </w:tcPr>
          <w:p>
            <w:pPr>
              <w:rPr>
                <w:rFonts w:ascii="宋体" w:hAnsi="宋体"/>
                <w:sz w:val="22"/>
              </w:rPr>
            </w:pPr>
            <w:r>
              <w:rPr>
                <w:rFonts w:hint="eastAsia" w:ascii="宋体" w:hAnsi="宋体"/>
                <w:sz w:val="22"/>
              </w:rPr>
              <w:t>施工人员擅自超越指定施工活动范围的</w:t>
            </w:r>
          </w:p>
        </w:tc>
        <w:tc>
          <w:tcPr>
            <w:tcW w:w="720" w:type="dxa"/>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hint="eastAsia" w:ascii="宋体" w:hAnsi="宋体"/>
                <w:sz w:val="22"/>
              </w:rPr>
              <w:t>１</w:t>
            </w:r>
            <w:r>
              <w:rPr>
                <w:rFonts w:ascii="宋体" w:hAnsi="宋体"/>
                <w:sz w:val="22"/>
              </w:rPr>
              <w:t>.11</w:t>
            </w:r>
          </w:p>
        </w:tc>
        <w:tc>
          <w:tcPr>
            <w:tcW w:w="6660" w:type="dxa"/>
            <w:vAlign w:val="center"/>
          </w:tcPr>
          <w:p>
            <w:pPr>
              <w:rPr>
                <w:rFonts w:ascii="宋体" w:hAnsi="宋体"/>
                <w:sz w:val="22"/>
              </w:rPr>
            </w:pPr>
            <w:r>
              <w:rPr>
                <w:rFonts w:hint="eastAsia" w:ascii="宋体" w:hAnsi="宋体"/>
                <w:sz w:val="22"/>
              </w:rPr>
              <w:t>不按要求作业，挖破或挖断地下管线</w:t>
            </w:r>
          </w:p>
        </w:tc>
        <w:tc>
          <w:tcPr>
            <w:tcW w:w="720" w:type="dxa"/>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hint="eastAsia" w:ascii="宋体" w:hAnsi="宋体"/>
                <w:sz w:val="22"/>
              </w:rPr>
              <w:t>１</w:t>
            </w:r>
            <w:r>
              <w:rPr>
                <w:rFonts w:ascii="宋体" w:hAnsi="宋体"/>
                <w:sz w:val="22"/>
              </w:rPr>
              <w:t>.12</w:t>
            </w:r>
          </w:p>
        </w:tc>
        <w:tc>
          <w:tcPr>
            <w:tcW w:w="6660" w:type="dxa"/>
            <w:vAlign w:val="center"/>
          </w:tcPr>
          <w:p>
            <w:pPr>
              <w:rPr>
                <w:rFonts w:ascii="宋体" w:hAnsi="宋体"/>
                <w:sz w:val="22"/>
              </w:rPr>
            </w:pPr>
            <w:r>
              <w:rPr>
                <w:rFonts w:hint="eastAsia" w:ascii="宋体" w:hAnsi="宋体"/>
                <w:sz w:val="22"/>
              </w:rPr>
              <w:t>未做到工完场清，沿线道面、施工现场遗留工具、材料、垃圾未及时清理清扫的</w:t>
            </w:r>
          </w:p>
        </w:tc>
        <w:tc>
          <w:tcPr>
            <w:tcW w:w="720" w:type="dxa"/>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hint="eastAsia" w:ascii="宋体" w:hAnsi="宋体"/>
                <w:sz w:val="22"/>
              </w:rPr>
              <w:t>１</w:t>
            </w:r>
            <w:r>
              <w:rPr>
                <w:rFonts w:ascii="宋体" w:hAnsi="宋体"/>
                <w:sz w:val="22"/>
              </w:rPr>
              <w:t>.13</w:t>
            </w:r>
          </w:p>
        </w:tc>
        <w:tc>
          <w:tcPr>
            <w:tcW w:w="6660" w:type="dxa"/>
            <w:vAlign w:val="center"/>
          </w:tcPr>
          <w:p>
            <w:pPr>
              <w:rPr>
                <w:rFonts w:ascii="宋体" w:hAnsi="宋体"/>
                <w:sz w:val="22"/>
              </w:rPr>
            </w:pPr>
            <w:r>
              <w:rPr>
                <w:rFonts w:hint="eastAsia" w:ascii="宋体" w:hAnsi="宋体"/>
                <w:sz w:val="22"/>
              </w:rPr>
              <w:t>发生其它违反《民用机场运行安全管理规定》（</w:t>
            </w:r>
            <w:r>
              <w:rPr>
                <w:rFonts w:ascii="宋体" w:hAnsi="宋体"/>
                <w:sz w:val="22"/>
              </w:rPr>
              <w:t>191</w:t>
            </w:r>
            <w:r>
              <w:rPr>
                <w:rFonts w:hint="eastAsia" w:ascii="宋体" w:hAnsi="宋体"/>
                <w:sz w:val="22"/>
              </w:rPr>
              <w:t>号令）和杭州萧山国际机场安全运行管理规定行为的</w:t>
            </w:r>
          </w:p>
        </w:tc>
        <w:tc>
          <w:tcPr>
            <w:tcW w:w="720" w:type="dxa"/>
            <w:vAlign w:val="center"/>
          </w:tcPr>
          <w:p>
            <w:pPr>
              <w:rPr>
                <w:rFonts w:ascii="宋体" w:hAnsi="宋体"/>
                <w:sz w:val="22"/>
              </w:rPr>
            </w:pPr>
            <w:r>
              <w:rPr>
                <w:rFonts w:hint="eastAsia" w:ascii="宋体" w:hAnsi="宋体"/>
                <w:sz w:val="22"/>
              </w:rPr>
              <w:t>方案</w:t>
            </w:r>
          </w:p>
        </w:tc>
        <w:tc>
          <w:tcPr>
            <w:tcW w:w="1440" w:type="dxa"/>
            <w:vAlign w:val="center"/>
          </w:tcPr>
          <w:p>
            <w:pPr>
              <w:rPr>
                <w:rFonts w:ascii="宋体" w:hAnsi="宋体"/>
                <w:sz w:val="22"/>
              </w:rPr>
            </w:pPr>
            <w:r>
              <w:rPr>
                <w:rFonts w:hint="eastAsia" w:ascii="宋体" w:hAnsi="宋体"/>
                <w:sz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2</w:t>
            </w:r>
          </w:p>
        </w:tc>
        <w:tc>
          <w:tcPr>
            <w:tcW w:w="6660" w:type="dxa"/>
            <w:vAlign w:val="center"/>
          </w:tcPr>
          <w:p>
            <w:pPr>
              <w:rPr>
                <w:rFonts w:ascii="宋体" w:hAnsi="宋体"/>
                <w:sz w:val="22"/>
              </w:rPr>
            </w:pPr>
            <w:r>
              <w:rPr>
                <w:rFonts w:hint="eastAsia" w:ascii="宋体" w:hAnsi="宋体"/>
                <w:sz w:val="22"/>
              </w:rPr>
              <w:t>空防安全</w:t>
            </w:r>
          </w:p>
        </w:tc>
        <w:tc>
          <w:tcPr>
            <w:tcW w:w="720" w:type="dxa"/>
            <w:vAlign w:val="center"/>
          </w:tcPr>
          <w:p>
            <w:pPr>
              <w:rPr>
                <w:rFonts w:ascii="宋体" w:hAnsi="宋体"/>
                <w:sz w:val="22"/>
              </w:rPr>
            </w:pPr>
          </w:p>
        </w:tc>
        <w:tc>
          <w:tcPr>
            <w:tcW w:w="1440" w:type="dxa"/>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2.1</w:t>
            </w:r>
          </w:p>
        </w:tc>
        <w:tc>
          <w:tcPr>
            <w:tcW w:w="6660" w:type="dxa"/>
          </w:tcPr>
          <w:p>
            <w:pPr>
              <w:rPr>
                <w:rFonts w:ascii="宋体" w:hAnsi="宋体"/>
                <w:sz w:val="22"/>
              </w:rPr>
            </w:pPr>
            <w:r>
              <w:rPr>
                <w:rFonts w:hint="eastAsia" w:ascii="宋体" w:hAnsi="宋体"/>
                <w:sz w:val="22"/>
              </w:rPr>
              <w:t>进入控制区的人员不服从机场管理人员的管理、检查的</w:t>
            </w:r>
          </w:p>
        </w:tc>
        <w:tc>
          <w:tcPr>
            <w:tcW w:w="720" w:type="dxa"/>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2.2</w:t>
            </w:r>
          </w:p>
        </w:tc>
        <w:tc>
          <w:tcPr>
            <w:tcW w:w="6660" w:type="dxa"/>
          </w:tcPr>
          <w:p>
            <w:pPr>
              <w:rPr>
                <w:rFonts w:ascii="宋体" w:hAnsi="宋体"/>
                <w:sz w:val="22"/>
              </w:rPr>
            </w:pPr>
            <w:r>
              <w:rPr>
                <w:rFonts w:hint="eastAsia" w:ascii="宋体" w:hAnsi="宋体"/>
                <w:sz w:val="22"/>
              </w:rPr>
              <w:t>把关不严，提供虚假证明、证件或其它相关资料申办控制区人员通行证的</w:t>
            </w:r>
          </w:p>
        </w:tc>
        <w:tc>
          <w:tcPr>
            <w:tcW w:w="720" w:type="dxa"/>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2.3</w:t>
            </w:r>
          </w:p>
        </w:tc>
        <w:tc>
          <w:tcPr>
            <w:tcW w:w="6660" w:type="dxa"/>
          </w:tcPr>
          <w:p>
            <w:pPr>
              <w:rPr>
                <w:rFonts w:ascii="宋体" w:hAnsi="宋体"/>
                <w:sz w:val="22"/>
              </w:rPr>
            </w:pPr>
            <w:r>
              <w:rPr>
                <w:rFonts w:hint="eastAsia" w:ascii="宋体" w:hAnsi="宋体"/>
                <w:sz w:val="22"/>
              </w:rPr>
              <w:t>提供虚假车辆、设备证件、检验记录和保险凭证申办《车辆通行证》的</w:t>
            </w:r>
          </w:p>
        </w:tc>
        <w:tc>
          <w:tcPr>
            <w:tcW w:w="720" w:type="dxa"/>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2.4</w:t>
            </w:r>
          </w:p>
        </w:tc>
        <w:tc>
          <w:tcPr>
            <w:tcW w:w="6660" w:type="dxa"/>
          </w:tcPr>
          <w:p>
            <w:pPr>
              <w:rPr>
                <w:rFonts w:ascii="宋体" w:hAnsi="宋体"/>
                <w:sz w:val="22"/>
              </w:rPr>
            </w:pPr>
            <w:r>
              <w:rPr>
                <w:rFonts w:hint="eastAsia" w:ascii="宋体" w:hAnsi="宋体"/>
                <w:sz w:val="22"/>
              </w:rPr>
              <w:t>车辆证件、检验记录和保险凭证过期失效未补办后续手续，仍进入控制区施工作业的</w:t>
            </w:r>
          </w:p>
        </w:tc>
        <w:tc>
          <w:tcPr>
            <w:tcW w:w="720" w:type="dxa"/>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w:t>
            </w:r>
            <w:r>
              <w:rPr>
                <w:rFonts w:hint="eastAsia" w:ascii="宋体" w:hAnsi="宋体"/>
                <w:sz w:val="22"/>
              </w:rPr>
              <w:t>元</w:t>
            </w:r>
            <w:r>
              <w:rPr>
                <w:rFonts w:ascii="宋体" w:hAnsi="宋体"/>
                <w:sz w:val="22"/>
              </w:rPr>
              <w:t>/</w:t>
            </w:r>
            <w:r>
              <w:rPr>
                <w:rFonts w:hint="eastAsia" w:ascii="宋体" w:hAnsi="宋体"/>
                <w:sz w:val="22"/>
              </w:rPr>
              <w:t>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2.5</w:t>
            </w:r>
          </w:p>
        </w:tc>
        <w:tc>
          <w:tcPr>
            <w:tcW w:w="6660" w:type="dxa"/>
          </w:tcPr>
          <w:p>
            <w:pPr>
              <w:rPr>
                <w:rFonts w:ascii="宋体" w:hAnsi="宋体"/>
                <w:sz w:val="22"/>
              </w:rPr>
            </w:pPr>
            <w:r>
              <w:rPr>
                <w:rFonts w:hint="eastAsia" w:ascii="宋体" w:hAnsi="宋体"/>
                <w:sz w:val="22"/>
              </w:rPr>
              <w:t>未建立控制区通行证统一保管制度，无控制区通行证管理台帐或台帐记录不全的</w:t>
            </w:r>
          </w:p>
        </w:tc>
        <w:tc>
          <w:tcPr>
            <w:tcW w:w="720" w:type="dxa"/>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2.6</w:t>
            </w:r>
          </w:p>
        </w:tc>
        <w:tc>
          <w:tcPr>
            <w:tcW w:w="6660" w:type="dxa"/>
          </w:tcPr>
          <w:p>
            <w:pPr>
              <w:rPr>
                <w:rFonts w:ascii="宋体" w:hAnsi="宋体"/>
                <w:sz w:val="22"/>
              </w:rPr>
            </w:pPr>
            <w:r>
              <w:rPr>
                <w:rFonts w:hint="eastAsia" w:ascii="宋体" w:hAnsi="宋体"/>
                <w:sz w:val="22"/>
              </w:rPr>
              <w:t>发生无证施工人员进入控制区的</w:t>
            </w:r>
          </w:p>
        </w:tc>
        <w:tc>
          <w:tcPr>
            <w:tcW w:w="720" w:type="dxa"/>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w:t>
            </w:r>
            <w:r>
              <w:rPr>
                <w:rFonts w:hint="eastAsia" w:ascii="宋体" w:hAnsi="宋体"/>
                <w:sz w:val="22"/>
              </w:rPr>
              <w:t>元</w:t>
            </w:r>
            <w:r>
              <w:rPr>
                <w:rFonts w:ascii="宋体" w:hAnsi="宋体"/>
                <w:sz w:val="22"/>
              </w:rPr>
              <w:t>/</w:t>
            </w:r>
            <w:r>
              <w:rPr>
                <w:rFonts w:hint="eastAsia" w:ascii="宋体" w:hAnsi="宋体"/>
                <w:sz w:val="22"/>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2.7</w:t>
            </w:r>
          </w:p>
        </w:tc>
        <w:tc>
          <w:tcPr>
            <w:tcW w:w="6660" w:type="dxa"/>
          </w:tcPr>
          <w:p>
            <w:pPr>
              <w:rPr>
                <w:rFonts w:ascii="宋体" w:hAnsi="宋体"/>
                <w:sz w:val="22"/>
              </w:rPr>
            </w:pPr>
            <w:r>
              <w:rPr>
                <w:rFonts w:hint="eastAsia" w:ascii="宋体" w:hAnsi="宋体"/>
                <w:sz w:val="22"/>
              </w:rPr>
              <w:t>发生施工人员转借、涂改、冒用他人通行证的</w:t>
            </w:r>
          </w:p>
        </w:tc>
        <w:tc>
          <w:tcPr>
            <w:tcW w:w="720" w:type="dxa"/>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2.8</w:t>
            </w:r>
          </w:p>
        </w:tc>
        <w:tc>
          <w:tcPr>
            <w:tcW w:w="6660" w:type="dxa"/>
          </w:tcPr>
          <w:p>
            <w:pPr>
              <w:rPr>
                <w:rFonts w:ascii="宋体" w:hAnsi="宋体"/>
                <w:sz w:val="22"/>
              </w:rPr>
            </w:pPr>
            <w:r>
              <w:rPr>
                <w:rFonts w:hint="eastAsia" w:ascii="宋体" w:hAnsi="宋体"/>
                <w:sz w:val="22"/>
              </w:rPr>
              <w:t>人员、车辆通行证保管不善，造成丢失；或通行证遗失不及时上报的</w:t>
            </w:r>
          </w:p>
        </w:tc>
        <w:tc>
          <w:tcPr>
            <w:tcW w:w="720" w:type="dxa"/>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2.9</w:t>
            </w:r>
          </w:p>
        </w:tc>
        <w:tc>
          <w:tcPr>
            <w:tcW w:w="6660" w:type="dxa"/>
          </w:tcPr>
          <w:p>
            <w:pPr>
              <w:rPr>
                <w:rFonts w:ascii="宋体" w:hAnsi="宋体"/>
                <w:sz w:val="22"/>
              </w:rPr>
            </w:pPr>
            <w:r>
              <w:rPr>
                <w:rFonts w:hint="eastAsia" w:ascii="宋体" w:hAnsi="宋体"/>
                <w:sz w:val="22"/>
              </w:rPr>
              <w:t>人员调离、辞退、开除，车辆重新调配，或通行证到期，证件未在规定时限内交回注销的</w:t>
            </w:r>
          </w:p>
        </w:tc>
        <w:tc>
          <w:tcPr>
            <w:tcW w:w="720" w:type="dxa"/>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2.10</w:t>
            </w:r>
          </w:p>
        </w:tc>
        <w:tc>
          <w:tcPr>
            <w:tcW w:w="6660" w:type="dxa"/>
          </w:tcPr>
          <w:p>
            <w:pPr>
              <w:rPr>
                <w:rFonts w:ascii="宋体" w:hAnsi="宋体"/>
                <w:sz w:val="22"/>
              </w:rPr>
            </w:pPr>
            <w:r>
              <w:rPr>
                <w:rFonts w:hint="eastAsia" w:ascii="宋体" w:hAnsi="宋体"/>
                <w:sz w:val="22"/>
              </w:rPr>
              <w:t>施工队伍中有违法、犯罪人员，隐瞒不报的</w:t>
            </w:r>
          </w:p>
        </w:tc>
        <w:tc>
          <w:tcPr>
            <w:tcW w:w="720" w:type="dxa"/>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2000</w:t>
            </w:r>
            <w:r>
              <w:rPr>
                <w:rFonts w:hint="eastAsia" w:ascii="宋体" w:hAnsi="宋体"/>
                <w:sz w:val="22"/>
              </w:rPr>
              <w:t>元</w:t>
            </w:r>
            <w:r>
              <w:rPr>
                <w:rFonts w:ascii="宋体" w:hAnsi="宋体"/>
                <w:sz w:val="22"/>
              </w:rPr>
              <w:t>/</w:t>
            </w:r>
            <w:r>
              <w:rPr>
                <w:rFonts w:hint="eastAsia" w:ascii="宋体" w:hAnsi="宋体"/>
                <w:sz w:val="22"/>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2.11</w:t>
            </w:r>
          </w:p>
        </w:tc>
        <w:tc>
          <w:tcPr>
            <w:tcW w:w="6660" w:type="dxa"/>
          </w:tcPr>
          <w:p>
            <w:pPr>
              <w:rPr>
                <w:rFonts w:ascii="宋体" w:hAnsi="宋体"/>
                <w:sz w:val="22"/>
              </w:rPr>
            </w:pPr>
            <w:r>
              <w:rPr>
                <w:rFonts w:hint="eastAsia" w:ascii="宋体" w:hAnsi="宋体"/>
                <w:sz w:val="22"/>
              </w:rPr>
              <w:t>毗邻控制区施工，未安装沿场区监控探头或监控探头存有盲区（段），监控无专人值守或值守人员离岗脱岗的</w:t>
            </w:r>
          </w:p>
        </w:tc>
        <w:tc>
          <w:tcPr>
            <w:tcW w:w="720" w:type="dxa"/>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hint="eastAsia" w:ascii="宋体" w:hAnsi="宋体"/>
                <w:sz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2.12</w:t>
            </w:r>
          </w:p>
        </w:tc>
        <w:tc>
          <w:tcPr>
            <w:tcW w:w="6660" w:type="dxa"/>
          </w:tcPr>
          <w:p>
            <w:pPr>
              <w:rPr>
                <w:rFonts w:ascii="宋体" w:hAnsi="宋体"/>
                <w:sz w:val="22"/>
              </w:rPr>
            </w:pPr>
            <w:r>
              <w:rPr>
                <w:rFonts w:hint="eastAsia" w:ascii="宋体" w:hAnsi="宋体"/>
                <w:sz w:val="22"/>
              </w:rPr>
              <w:t>毗邻控制区施工，沿场区未设置专门看护的固定和巡逻保安岗位、保安人员擅离岗位或保安人员未履职管理的</w:t>
            </w:r>
          </w:p>
        </w:tc>
        <w:tc>
          <w:tcPr>
            <w:tcW w:w="720" w:type="dxa"/>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2.13</w:t>
            </w:r>
          </w:p>
        </w:tc>
        <w:tc>
          <w:tcPr>
            <w:tcW w:w="6660" w:type="dxa"/>
          </w:tcPr>
          <w:p>
            <w:pPr>
              <w:rPr>
                <w:rFonts w:ascii="宋体" w:hAnsi="宋体"/>
                <w:sz w:val="22"/>
              </w:rPr>
            </w:pPr>
            <w:r>
              <w:rPr>
                <w:rFonts w:hint="eastAsia" w:ascii="宋体" w:hAnsi="宋体"/>
                <w:sz w:val="22"/>
              </w:rPr>
              <w:t>在机场区域内燃放烟花、爆竹，或施放气球、风筝等升空物体的</w:t>
            </w:r>
          </w:p>
        </w:tc>
        <w:tc>
          <w:tcPr>
            <w:tcW w:w="720" w:type="dxa"/>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2.14</w:t>
            </w:r>
          </w:p>
        </w:tc>
        <w:tc>
          <w:tcPr>
            <w:tcW w:w="6660" w:type="dxa"/>
          </w:tcPr>
          <w:p>
            <w:pPr>
              <w:rPr>
                <w:rFonts w:ascii="宋体" w:hAnsi="宋体"/>
                <w:sz w:val="22"/>
              </w:rPr>
            </w:pPr>
            <w:r>
              <w:rPr>
                <w:rFonts w:hint="eastAsia" w:ascii="宋体" w:hAnsi="宋体"/>
                <w:sz w:val="22"/>
              </w:rPr>
              <w:t>在机场区域内饲养猫、狗、鸡、鸭等牲畜、动物的</w:t>
            </w:r>
          </w:p>
        </w:tc>
        <w:tc>
          <w:tcPr>
            <w:tcW w:w="720" w:type="dxa"/>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2.15</w:t>
            </w:r>
          </w:p>
        </w:tc>
        <w:tc>
          <w:tcPr>
            <w:tcW w:w="6660" w:type="dxa"/>
          </w:tcPr>
          <w:p>
            <w:pPr>
              <w:rPr>
                <w:rFonts w:ascii="宋体" w:hAnsi="宋体"/>
                <w:sz w:val="22"/>
              </w:rPr>
            </w:pPr>
            <w:r>
              <w:rPr>
                <w:rFonts w:hint="eastAsia" w:ascii="宋体" w:hAnsi="宋体"/>
                <w:sz w:val="22"/>
              </w:rPr>
              <w:t>其它违反民用航空安全、法律、法规和机场空防安全管理规定的</w:t>
            </w:r>
          </w:p>
        </w:tc>
        <w:tc>
          <w:tcPr>
            <w:tcW w:w="720" w:type="dxa"/>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hint="eastAsia" w:ascii="宋体" w:hAnsi="宋体"/>
                <w:sz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w:t>
            </w:r>
          </w:p>
        </w:tc>
        <w:tc>
          <w:tcPr>
            <w:tcW w:w="6660" w:type="dxa"/>
          </w:tcPr>
          <w:p>
            <w:pPr>
              <w:rPr>
                <w:rFonts w:ascii="宋体" w:hAnsi="宋体"/>
                <w:sz w:val="22"/>
              </w:rPr>
            </w:pPr>
            <w:r>
              <w:rPr>
                <w:rFonts w:hint="eastAsia" w:ascii="宋体" w:hAnsi="宋体"/>
                <w:sz w:val="22"/>
              </w:rPr>
              <w:t>安全生产</w:t>
            </w:r>
          </w:p>
        </w:tc>
        <w:tc>
          <w:tcPr>
            <w:tcW w:w="720" w:type="dxa"/>
            <w:vAlign w:val="center"/>
          </w:tcPr>
          <w:p>
            <w:pPr>
              <w:rPr>
                <w:rFonts w:ascii="宋体" w:hAnsi="宋体"/>
                <w:sz w:val="22"/>
              </w:rPr>
            </w:pPr>
          </w:p>
        </w:tc>
        <w:tc>
          <w:tcPr>
            <w:tcW w:w="1440" w:type="dxa"/>
            <w:tcBorders>
              <w:top w:val="single" w:color="auto" w:sz="2" w:space="0"/>
              <w:bottom w:val="single" w:color="auto" w:sz="2" w:space="0"/>
            </w:tcBorders>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3.1</w:t>
            </w:r>
          </w:p>
        </w:tc>
        <w:tc>
          <w:tcPr>
            <w:tcW w:w="6660" w:type="dxa"/>
          </w:tcPr>
          <w:p>
            <w:pPr>
              <w:rPr>
                <w:rFonts w:ascii="宋体" w:hAnsi="宋体"/>
                <w:sz w:val="22"/>
              </w:rPr>
            </w:pPr>
            <w:r>
              <w:rPr>
                <w:rFonts w:hint="eastAsia" w:ascii="宋体" w:hAnsi="宋体"/>
                <w:sz w:val="22"/>
              </w:rPr>
              <w:t>安全生产管理体制</w:t>
            </w:r>
          </w:p>
        </w:tc>
        <w:tc>
          <w:tcPr>
            <w:tcW w:w="720" w:type="dxa"/>
            <w:vAlign w:val="center"/>
          </w:tcPr>
          <w:p>
            <w:pPr>
              <w:rPr>
                <w:rFonts w:ascii="宋体" w:hAnsi="宋体"/>
                <w:sz w:val="22"/>
              </w:rPr>
            </w:pPr>
          </w:p>
        </w:tc>
        <w:tc>
          <w:tcPr>
            <w:tcW w:w="1440" w:type="dxa"/>
            <w:tcBorders>
              <w:top w:val="single" w:color="auto" w:sz="2" w:space="0"/>
              <w:bottom w:val="single" w:color="auto" w:sz="2" w:space="0"/>
            </w:tcBorders>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3.1.1</w:t>
            </w:r>
          </w:p>
        </w:tc>
        <w:tc>
          <w:tcPr>
            <w:tcW w:w="6660" w:type="dxa"/>
          </w:tcPr>
          <w:p>
            <w:pPr>
              <w:rPr>
                <w:rFonts w:ascii="宋体" w:hAnsi="宋体"/>
                <w:sz w:val="22"/>
              </w:rPr>
            </w:pPr>
            <w:r>
              <w:rPr>
                <w:rFonts w:hint="eastAsia" w:ascii="宋体" w:hAnsi="宋体"/>
                <w:sz w:val="22"/>
              </w:rPr>
              <w:t>安全管理制度不健全，项目经理、项目技术负责人等各类管理人员（包括安全员、资料员、质控员）未按相关规定要求到位的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3.1.2</w:t>
            </w:r>
          </w:p>
        </w:tc>
        <w:tc>
          <w:tcPr>
            <w:tcW w:w="6660" w:type="dxa"/>
          </w:tcPr>
          <w:p>
            <w:pPr>
              <w:rPr>
                <w:rFonts w:ascii="宋体" w:hAnsi="宋体"/>
                <w:sz w:val="22"/>
              </w:rPr>
            </w:pPr>
            <w:r>
              <w:rPr>
                <w:rFonts w:hint="eastAsia" w:ascii="宋体" w:hAnsi="宋体"/>
                <w:sz w:val="22"/>
              </w:rPr>
              <w:t>安全制度执行不力，无考核机制或考核制度执行不严</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3.1.3</w:t>
            </w:r>
          </w:p>
        </w:tc>
        <w:tc>
          <w:tcPr>
            <w:tcW w:w="6660" w:type="dxa"/>
            <w:tcBorders>
              <w:bottom w:val="single" w:color="auto" w:sz="2" w:space="0"/>
            </w:tcBorders>
          </w:tcPr>
          <w:p>
            <w:pPr>
              <w:rPr>
                <w:rFonts w:ascii="宋体" w:hAnsi="宋体"/>
                <w:sz w:val="22"/>
              </w:rPr>
            </w:pPr>
            <w:r>
              <w:rPr>
                <w:rFonts w:hint="eastAsia" w:ascii="宋体" w:hAnsi="宋体"/>
                <w:sz w:val="22"/>
              </w:rPr>
              <w:t>安全责任制未建立</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3.1.4</w:t>
            </w:r>
          </w:p>
        </w:tc>
        <w:tc>
          <w:tcPr>
            <w:tcW w:w="6660" w:type="dxa"/>
            <w:tcBorders>
              <w:bottom w:val="single" w:color="auto" w:sz="2" w:space="0"/>
            </w:tcBorders>
          </w:tcPr>
          <w:p>
            <w:pPr>
              <w:rPr>
                <w:rFonts w:ascii="宋体" w:hAnsi="宋体"/>
                <w:sz w:val="22"/>
              </w:rPr>
            </w:pPr>
            <w:r>
              <w:rPr>
                <w:rFonts w:hint="eastAsia" w:ascii="宋体" w:hAnsi="宋体"/>
                <w:sz w:val="22"/>
              </w:rPr>
              <w:t>安全责任制不健全，未层层签订至班组或岗位的各级安全责任书</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top w:val="single" w:color="auto" w:sz="2" w:space="0"/>
              <w:bottom w:val="single" w:color="auto" w:sz="2" w:space="0"/>
            </w:tcBorders>
            <w:vAlign w:val="center"/>
          </w:tcPr>
          <w:p>
            <w:pPr>
              <w:rPr>
                <w:rFonts w:ascii="宋体" w:hAnsi="宋体"/>
                <w:sz w:val="22"/>
              </w:rPr>
            </w:pPr>
            <w:r>
              <w:rPr>
                <w:rFonts w:ascii="宋体" w:hAnsi="宋体"/>
                <w:sz w:val="22"/>
              </w:rPr>
              <w:t>3.1.5</w:t>
            </w:r>
          </w:p>
        </w:tc>
        <w:tc>
          <w:tcPr>
            <w:tcW w:w="6660" w:type="dxa"/>
            <w:tcBorders>
              <w:top w:val="single" w:color="auto" w:sz="2" w:space="0"/>
              <w:bottom w:val="single" w:color="auto" w:sz="2" w:space="0"/>
            </w:tcBorders>
          </w:tcPr>
          <w:p>
            <w:pPr>
              <w:rPr>
                <w:rFonts w:ascii="宋体" w:hAnsi="宋体"/>
                <w:sz w:val="22"/>
              </w:rPr>
            </w:pPr>
            <w:r>
              <w:rPr>
                <w:rFonts w:hint="eastAsia" w:ascii="宋体" w:hAnsi="宋体"/>
                <w:sz w:val="22"/>
              </w:rPr>
              <w:t>各级各部门未执行责任制的</w:t>
            </w:r>
          </w:p>
        </w:tc>
        <w:tc>
          <w:tcPr>
            <w:tcW w:w="720" w:type="dxa"/>
            <w:tcBorders>
              <w:top w:val="single" w:color="auto" w:sz="2" w:space="0"/>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3.1.6</w:t>
            </w:r>
          </w:p>
        </w:tc>
        <w:tc>
          <w:tcPr>
            <w:tcW w:w="6660" w:type="dxa"/>
            <w:tcBorders>
              <w:bottom w:val="single" w:color="auto" w:sz="2" w:space="0"/>
            </w:tcBorders>
          </w:tcPr>
          <w:p>
            <w:pPr>
              <w:rPr>
                <w:rFonts w:ascii="宋体" w:hAnsi="宋体"/>
                <w:sz w:val="22"/>
              </w:rPr>
            </w:pPr>
            <w:r>
              <w:rPr>
                <w:rFonts w:hint="eastAsia" w:ascii="宋体" w:hAnsi="宋体"/>
                <w:sz w:val="22"/>
              </w:rPr>
              <w:t>经济承包中无安全生产、文明施工目标管理或目标管理不落实</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08" w:type="dxa"/>
            <w:tcBorders>
              <w:top w:val="single" w:color="auto" w:sz="2" w:space="0"/>
              <w:bottom w:val="single" w:color="auto" w:sz="2" w:space="0"/>
            </w:tcBorders>
            <w:vAlign w:val="center"/>
          </w:tcPr>
          <w:p>
            <w:pPr>
              <w:rPr>
                <w:rFonts w:ascii="宋体" w:hAnsi="宋体"/>
                <w:sz w:val="22"/>
              </w:rPr>
            </w:pPr>
            <w:r>
              <w:rPr>
                <w:rFonts w:ascii="宋体" w:hAnsi="宋体"/>
                <w:sz w:val="22"/>
              </w:rPr>
              <w:t>3.1.7</w:t>
            </w:r>
          </w:p>
        </w:tc>
        <w:tc>
          <w:tcPr>
            <w:tcW w:w="6660" w:type="dxa"/>
            <w:tcBorders>
              <w:top w:val="single" w:color="auto" w:sz="2" w:space="0"/>
              <w:bottom w:val="single" w:color="auto" w:sz="2" w:space="0"/>
            </w:tcBorders>
          </w:tcPr>
          <w:p>
            <w:pPr>
              <w:rPr>
                <w:rFonts w:ascii="宋体" w:hAnsi="宋体"/>
                <w:sz w:val="22"/>
              </w:rPr>
            </w:pPr>
            <w:r>
              <w:rPr>
                <w:rFonts w:hint="eastAsia" w:ascii="宋体" w:hAnsi="宋体"/>
                <w:sz w:val="22"/>
              </w:rPr>
              <w:t>未制定各工种安全技术操作规程的</w:t>
            </w:r>
          </w:p>
        </w:tc>
        <w:tc>
          <w:tcPr>
            <w:tcW w:w="720" w:type="dxa"/>
            <w:tcBorders>
              <w:top w:val="single" w:color="auto" w:sz="2" w:space="0"/>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008" w:type="dxa"/>
            <w:tcBorders>
              <w:top w:val="single" w:color="auto" w:sz="2" w:space="0"/>
              <w:bottom w:val="single" w:color="auto" w:sz="2" w:space="0"/>
            </w:tcBorders>
            <w:vAlign w:val="center"/>
          </w:tcPr>
          <w:p>
            <w:pPr>
              <w:rPr>
                <w:rFonts w:ascii="宋体" w:hAnsi="宋体"/>
                <w:sz w:val="22"/>
              </w:rPr>
            </w:pPr>
            <w:r>
              <w:rPr>
                <w:rFonts w:ascii="宋体" w:hAnsi="宋体"/>
                <w:sz w:val="22"/>
              </w:rPr>
              <w:t>3.1.8</w:t>
            </w:r>
          </w:p>
        </w:tc>
        <w:tc>
          <w:tcPr>
            <w:tcW w:w="6660" w:type="dxa"/>
            <w:tcBorders>
              <w:top w:val="single" w:color="auto" w:sz="2" w:space="0"/>
              <w:bottom w:val="single" w:color="auto" w:sz="2" w:space="0"/>
            </w:tcBorders>
          </w:tcPr>
          <w:p>
            <w:pPr>
              <w:rPr>
                <w:rFonts w:ascii="宋体" w:hAnsi="宋体"/>
                <w:sz w:val="22"/>
              </w:rPr>
            </w:pPr>
            <w:r>
              <w:rPr>
                <w:rFonts w:hint="eastAsia" w:ascii="宋体" w:hAnsi="宋体"/>
                <w:sz w:val="22"/>
              </w:rPr>
              <w:t>专（兼）职安全员不按规定如数到位的</w:t>
            </w:r>
          </w:p>
        </w:tc>
        <w:tc>
          <w:tcPr>
            <w:tcW w:w="720" w:type="dxa"/>
            <w:tcBorders>
              <w:top w:val="single" w:color="auto" w:sz="2" w:space="0"/>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3.1.9</w:t>
            </w:r>
          </w:p>
        </w:tc>
        <w:tc>
          <w:tcPr>
            <w:tcW w:w="6660" w:type="dxa"/>
            <w:tcBorders>
              <w:bottom w:val="single" w:color="auto" w:sz="2" w:space="0"/>
            </w:tcBorders>
          </w:tcPr>
          <w:p>
            <w:pPr>
              <w:rPr>
                <w:rFonts w:ascii="宋体" w:hAnsi="宋体"/>
                <w:sz w:val="22"/>
              </w:rPr>
            </w:pPr>
            <w:r>
              <w:rPr>
                <w:rFonts w:hint="eastAsia" w:ascii="宋体" w:hAnsi="宋体"/>
                <w:sz w:val="22"/>
              </w:rPr>
              <w:t>单位内部安全网络未建立或不健全</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3.1.10</w:t>
            </w:r>
          </w:p>
        </w:tc>
        <w:tc>
          <w:tcPr>
            <w:tcW w:w="6660" w:type="dxa"/>
            <w:tcBorders>
              <w:bottom w:val="single" w:color="auto" w:sz="2" w:space="0"/>
            </w:tcBorders>
          </w:tcPr>
          <w:p>
            <w:pPr>
              <w:rPr>
                <w:rFonts w:ascii="宋体" w:hAnsi="宋体"/>
                <w:sz w:val="22"/>
              </w:rPr>
            </w:pPr>
            <w:r>
              <w:rPr>
                <w:rFonts w:hint="eastAsia" w:ascii="宋体" w:hAnsi="宋体"/>
                <w:sz w:val="22"/>
              </w:rPr>
              <w:t>拒绝或拖延加入基建安全网络</w:t>
            </w:r>
          </w:p>
        </w:tc>
        <w:tc>
          <w:tcPr>
            <w:tcW w:w="720" w:type="dxa"/>
            <w:tcBorders>
              <w:bottom w:val="single" w:color="auto" w:sz="2" w:space="0"/>
            </w:tcBorders>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3.1.11</w:t>
            </w:r>
          </w:p>
        </w:tc>
        <w:tc>
          <w:tcPr>
            <w:tcW w:w="6660" w:type="dxa"/>
            <w:tcBorders>
              <w:bottom w:val="single" w:color="auto" w:sz="2" w:space="0"/>
            </w:tcBorders>
          </w:tcPr>
          <w:p>
            <w:pPr>
              <w:rPr>
                <w:rFonts w:ascii="宋体" w:hAnsi="宋体"/>
                <w:sz w:val="22"/>
              </w:rPr>
            </w:pPr>
            <w:r>
              <w:rPr>
                <w:rFonts w:hint="eastAsia" w:ascii="宋体" w:hAnsi="宋体"/>
                <w:sz w:val="22"/>
              </w:rPr>
              <w:t>无故不参加信导部组织的各种安全会议、网络活动</w:t>
            </w:r>
          </w:p>
        </w:tc>
        <w:tc>
          <w:tcPr>
            <w:tcW w:w="720" w:type="dxa"/>
            <w:tcBorders>
              <w:bottom w:val="single" w:color="auto" w:sz="2" w:space="0"/>
            </w:tcBorders>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3.1.12</w:t>
            </w:r>
          </w:p>
        </w:tc>
        <w:tc>
          <w:tcPr>
            <w:tcW w:w="6660" w:type="dxa"/>
            <w:tcBorders>
              <w:bottom w:val="single" w:color="auto" w:sz="2" w:space="0"/>
            </w:tcBorders>
          </w:tcPr>
          <w:p>
            <w:pPr>
              <w:rPr>
                <w:rFonts w:ascii="宋体" w:hAnsi="宋体"/>
                <w:sz w:val="22"/>
              </w:rPr>
            </w:pPr>
            <w:r>
              <w:rPr>
                <w:rFonts w:hint="eastAsia" w:ascii="宋体" w:hAnsi="宋体"/>
                <w:sz w:val="22"/>
              </w:rPr>
              <w:t>不按规定开展各级、各类安全教育培训，未按规定设置民工学校</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3.1.13</w:t>
            </w:r>
          </w:p>
        </w:tc>
        <w:tc>
          <w:tcPr>
            <w:tcW w:w="6660" w:type="dxa"/>
            <w:tcBorders>
              <w:bottom w:val="single" w:color="auto" w:sz="2" w:space="0"/>
            </w:tcBorders>
          </w:tcPr>
          <w:p>
            <w:pPr>
              <w:rPr>
                <w:rFonts w:ascii="宋体" w:hAnsi="宋体"/>
                <w:sz w:val="22"/>
              </w:rPr>
            </w:pPr>
            <w:r>
              <w:rPr>
                <w:rFonts w:hint="eastAsia" w:ascii="宋体" w:hAnsi="宋体"/>
                <w:sz w:val="22"/>
              </w:rPr>
              <w:t>对施工人员无安全教育或安全教育无针对性</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3.1.14</w:t>
            </w:r>
          </w:p>
        </w:tc>
        <w:tc>
          <w:tcPr>
            <w:tcW w:w="6660" w:type="dxa"/>
            <w:tcBorders>
              <w:bottom w:val="single" w:color="auto" w:sz="2" w:space="0"/>
            </w:tcBorders>
          </w:tcPr>
          <w:p>
            <w:pPr>
              <w:rPr>
                <w:rFonts w:ascii="宋体" w:hAnsi="宋体"/>
                <w:sz w:val="22"/>
              </w:rPr>
            </w:pPr>
            <w:r>
              <w:rPr>
                <w:rFonts w:hint="eastAsia" w:ascii="宋体" w:hAnsi="宋体"/>
                <w:sz w:val="22"/>
              </w:rPr>
              <w:t>无日常安全检查、定期安全检查、专项安全检查记录或记录不全</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3.1.15</w:t>
            </w:r>
          </w:p>
        </w:tc>
        <w:tc>
          <w:tcPr>
            <w:tcW w:w="6660" w:type="dxa"/>
            <w:tcBorders>
              <w:bottom w:val="single" w:color="auto" w:sz="2" w:space="0"/>
            </w:tcBorders>
          </w:tcPr>
          <w:p>
            <w:pPr>
              <w:rPr>
                <w:rFonts w:ascii="宋体" w:hAnsi="宋体"/>
                <w:sz w:val="22"/>
              </w:rPr>
            </w:pPr>
            <w:r>
              <w:rPr>
                <w:rFonts w:hint="eastAsia" w:ascii="宋体" w:hAnsi="宋体"/>
                <w:sz w:val="22"/>
              </w:rPr>
              <w:t>无安全管理台账或安全管理台账缺失不全</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3.1.16</w:t>
            </w:r>
          </w:p>
        </w:tc>
        <w:tc>
          <w:tcPr>
            <w:tcW w:w="6660" w:type="dxa"/>
            <w:tcBorders>
              <w:bottom w:val="single" w:color="auto" w:sz="2" w:space="0"/>
            </w:tcBorders>
          </w:tcPr>
          <w:p>
            <w:pPr>
              <w:rPr>
                <w:rFonts w:ascii="宋体" w:hAnsi="宋体"/>
                <w:sz w:val="22"/>
              </w:rPr>
            </w:pPr>
            <w:r>
              <w:rPr>
                <w:rFonts w:hint="eastAsia" w:ascii="宋体" w:hAnsi="宋体"/>
                <w:sz w:val="22"/>
              </w:rPr>
              <w:t>对查出的隐患整改做不到定人、定时间、定措施进行整改落实的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1008" w:type="dxa"/>
            <w:tcBorders>
              <w:top w:val="single" w:color="auto" w:sz="2" w:space="0"/>
            </w:tcBorders>
            <w:vAlign w:val="center"/>
          </w:tcPr>
          <w:p>
            <w:pPr>
              <w:rPr>
                <w:rFonts w:ascii="宋体" w:hAnsi="宋体"/>
                <w:sz w:val="22"/>
              </w:rPr>
            </w:pPr>
            <w:r>
              <w:rPr>
                <w:rFonts w:ascii="宋体" w:hAnsi="宋体"/>
                <w:sz w:val="22"/>
              </w:rPr>
              <w:t>3.1.17</w:t>
            </w:r>
          </w:p>
        </w:tc>
        <w:tc>
          <w:tcPr>
            <w:tcW w:w="6660" w:type="dxa"/>
            <w:tcBorders>
              <w:top w:val="single" w:color="auto" w:sz="2" w:space="0"/>
            </w:tcBorders>
          </w:tcPr>
          <w:p>
            <w:pPr>
              <w:rPr>
                <w:rFonts w:ascii="宋体" w:hAnsi="宋体"/>
                <w:sz w:val="22"/>
              </w:rPr>
            </w:pPr>
            <w:r>
              <w:rPr>
                <w:rFonts w:hint="eastAsia" w:ascii="宋体" w:hAnsi="宋体"/>
                <w:sz w:val="22"/>
              </w:rPr>
              <w:t>对隐患整改通知书所列项目未如期整改完成的</w:t>
            </w:r>
          </w:p>
        </w:tc>
        <w:tc>
          <w:tcPr>
            <w:tcW w:w="720" w:type="dxa"/>
            <w:tcBorders>
              <w:top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3.2</w:t>
            </w:r>
          </w:p>
        </w:tc>
        <w:tc>
          <w:tcPr>
            <w:tcW w:w="6660" w:type="dxa"/>
          </w:tcPr>
          <w:p>
            <w:pPr>
              <w:rPr>
                <w:rFonts w:ascii="宋体" w:hAnsi="宋体"/>
                <w:sz w:val="22"/>
              </w:rPr>
            </w:pPr>
            <w:r>
              <w:rPr>
                <w:rFonts w:hint="eastAsia" w:ascii="宋体" w:hAnsi="宋体"/>
                <w:sz w:val="22"/>
              </w:rPr>
              <w:t>施工组织</w:t>
            </w:r>
          </w:p>
        </w:tc>
        <w:tc>
          <w:tcPr>
            <w:tcW w:w="720" w:type="dxa"/>
            <w:vAlign w:val="center"/>
          </w:tcPr>
          <w:p>
            <w:pPr>
              <w:rPr>
                <w:rFonts w:ascii="宋体" w:hAnsi="宋体"/>
                <w:sz w:val="22"/>
              </w:rPr>
            </w:pPr>
          </w:p>
        </w:tc>
        <w:tc>
          <w:tcPr>
            <w:tcW w:w="1440" w:type="dxa"/>
            <w:tcBorders>
              <w:top w:val="single" w:color="auto" w:sz="2" w:space="0"/>
              <w:bottom w:val="single" w:color="auto" w:sz="2" w:space="0"/>
            </w:tcBorders>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3.2.1</w:t>
            </w:r>
          </w:p>
        </w:tc>
        <w:tc>
          <w:tcPr>
            <w:tcW w:w="6660" w:type="dxa"/>
            <w:tcBorders>
              <w:bottom w:val="single" w:color="auto" w:sz="2" w:space="0"/>
            </w:tcBorders>
          </w:tcPr>
          <w:p>
            <w:pPr>
              <w:rPr>
                <w:rFonts w:ascii="宋体" w:hAnsi="宋体"/>
                <w:sz w:val="22"/>
              </w:rPr>
            </w:pPr>
            <w:r>
              <w:rPr>
                <w:rFonts w:hint="eastAsia" w:ascii="宋体" w:hAnsi="宋体"/>
                <w:sz w:val="22"/>
              </w:rPr>
              <w:t>无施工组织设计或施工组织设计未经审批的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8" w:type="dxa"/>
            <w:tcBorders>
              <w:top w:val="single" w:color="auto" w:sz="2" w:space="0"/>
              <w:bottom w:val="single" w:color="auto" w:sz="2" w:space="0"/>
            </w:tcBorders>
            <w:vAlign w:val="center"/>
          </w:tcPr>
          <w:p>
            <w:pPr>
              <w:rPr>
                <w:rFonts w:ascii="宋体" w:hAnsi="宋体"/>
                <w:sz w:val="22"/>
              </w:rPr>
            </w:pPr>
            <w:r>
              <w:rPr>
                <w:rFonts w:ascii="宋体" w:hAnsi="宋体"/>
                <w:sz w:val="22"/>
              </w:rPr>
              <w:t>3.2.2</w:t>
            </w:r>
          </w:p>
        </w:tc>
        <w:tc>
          <w:tcPr>
            <w:tcW w:w="6660" w:type="dxa"/>
            <w:tcBorders>
              <w:top w:val="single" w:color="auto" w:sz="2" w:space="0"/>
              <w:bottom w:val="single" w:color="auto" w:sz="2" w:space="0"/>
            </w:tcBorders>
          </w:tcPr>
          <w:p>
            <w:pPr>
              <w:rPr>
                <w:rFonts w:ascii="宋体" w:hAnsi="宋体"/>
                <w:sz w:val="22"/>
              </w:rPr>
            </w:pPr>
            <w:r>
              <w:rPr>
                <w:rFonts w:hint="eastAsia" w:ascii="宋体" w:hAnsi="宋体"/>
                <w:sz w:val="22"/>
              </w:rPr>
              <w:t>施工组织设计中无安全措施或安全措施不全面、无针对性</w:t>
            </w:r>
          </w:p>
        </w:tc>
        <w:tc>
          <w:tcPr>
            <w:tcW w:w="720" w:type="dxa"/>
            <w:tcBorders>
              <w:top w:val="single" w:color="auto" w:sz="2" w:space="0"/>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8" w:type="dxa"/>
            <w:tcBorders>
              <w:top w:val="single" w:color="auto" w:sz="2" w:space="0"/>
              <w:bottom w:val="single" w:color="auto" w:sz="2" w:space="0"/>
            </w:tcBorders>
            <w:vAlign w:val="center"/>
          </w:tcPr>
          <w:p>
            <w:pPr>
              <w:rPr>
                <w:rFonts w:ascii="宋体" w:hAnsi="宋体"/>
                <w:sz w:val="22"/>
              </w:rPr>
            </w:pPr>
            <w:r>
              <w:rPr>
                <w:rFonts w:ascii="宋体" w:hAnsi="宋体"/>
                <w:sz w:val="22"/>
              </w:rPr>
              <w:t>3.2.3</w:t>
            </w:r>
          </w:p>
        </w:tc>
        <w:tc>
          <w:tcPr>
            <w:tcW w:w="6660" w:type="dxa"/>
            <w:tcBorders>
              <w:top w:val="single" w:color="auto" w:sz="2" w:space="0"/>
              <w:bottom w:val="single" w:color="auto" w:sz="2" w:space="0"/>
            </w:tcBorders>
          </w:tcPr>
          <w:p>
            <w:pPr>
              <w:rPr>
                <w:rFonts w:ascii="宋体" w:hAnsi="宋体"/>
                <w:sz w:val="22"/>
              </w:rPr>
            </w:pPr>
            <w:r>
              <w:rPr>
                <w:rFonts w:hint="eastAsia" w:ascii="宋体" w:hAnsi="宋体"/>
                <w:sz w:val="22"/>
              </w:rPr>
              <w:t>专业性较强、危险性较大的项目，未单独编制专项安全施工组织设计、未制定专项施工方案或未经过专家论证的</w:t>
            </w:r>
          </w:p>
        </w:tc>
        <w:tc>
          <w:tcPr>
            <w:tcW w:w="720" w:type="dxa"/>
            <w:tcBorders>
              <w:top w:val="single" w:color="auto" w:sz="2" w:space="0"/>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008" w:type="dxa"/>
            <w:tcBorders>
              <w:top w:val="single" w:color="auto" w:sz="2" w:space="0"/>
              <w:bottom w:val="single" w:color="auto" w:sz="2" w:space="0"/>
            </w:tcBorders>
            <w:vAlign w:val="center"/>
          </w:tcPr>
          <w:p>
            <w:pPr>
              <w:rPr>
                <w:rFonts w:ascii="宋体" w:hAnsi="宋体"/>
                <w:sz w:val="22"/>
              </w:rPr>
            </w:pPr>
            <w:r>
              <w:rPr>
                <w:rFonts w:ascii="宋体" w:hAnsi="宋体"/>
                <w:sz w:val="22"/>
              </w:rPr>
              <w:t>3.2.4</w:t>
            </w:r>
          </w:p>
        </w:tc>
        <w:tc>
          <w:tcPr>
            <w:tcW w:w="6660" w:type="dxa"/>
            <w:tcBorders>
              <w:top w:val="single" w:color="auto" w:sz="2" w:space="0"/>
              <w:bottom w:val="single" w:color="auto" w:sz="2" w:space="0"/>
            </w:tcBorders>
          </w:tcPr>
          <w:p>
            <w:pPr>
              <w:rPr>
                <w:rFonts w:ascii="宋体" w:hAnsi="宋体"/>
                <w:sz w:val="22"/>
              </w:rPr>
            </w:pPr>
            <w:r>
              <w:rPr>
                <w:rFonts w:hint="eastAsia" w:ascii="宋体" w:hAnsi="宋体"/>
                <w:sz w:val="22"/>
              </w:rPr>
              <w:t>施工组织设计安全措施未落实或落实有漏项的</w:t>
            </w:r>
          </w:p>
        </w:tc>
        <w:tc>
          <w:tcPr>
            <w:tcW w:w="720" w:type="dxa"/>
            <w:tcBorders>
              <w:top w:val="single" w:color="auto" w:sz="2" w:space="0"/>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1008" w:type="dxa"/>
            <w:tcBorders>
              <w:top w:val="single" w:color="auto" w:sz="2" w:space="0"/>
            </w:tcBorders>
            <w:vAlign w:val="center"/>
          </w:tcPr>
          <w:p>
            <w:pPr>
              <w:rPr>
                <w:rFonts w:ascii="宋体" w:hAnsi="宋体"/>
                <w:sz w:val="22"/>
              </w:rPr>
            </w:pPr>
            <w:r>
              <w:rPr>
                <w:rFonts w:ascii="宋体" w:hAnsi="宋体"/>
                <w:sz w:val="22"/>
              </w:rPr>
              <w:t>3.2.5</w:t>
            </w:r>
          </w:p>
        </w:tc>
        <w:tc>
          <w:tcPr>
            <w:tcW w:w="6660" w:type="dxa"/>
            <w:tcBorders>
              <w:top w:val="single" w:color="auto" w:sz="2" w:space="0"/>
            </w:tcBorders>
          </w:tcPr>
          <w:p>
            <w:pPr>
              <w:rPr>
                <w:rFonts w:ascii="宋体" w:hAnsi="宋体"/>
                <w:sz w:val="22"/>
              </w:rPr>
            </w:pPr>
            <w:r>
              <w:rPr>
                <w:rFonts w:hint="eastAsia" w:ascii="宋体" w:hAnsi="宋体"/>
                <w:sz w:val="22"/>
              </w:rPr>
              <w:t>不按规定进行安全技术交底，或交底不全、交底针对性不强</w:t>
            </w:r>
          </w:p>
        </w:tc>
        <w:tc>
          <w:tcPr>
            <w:tcW w:w="720" w:type="dxa"/>
            <w:tcBorders>
              <w:top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3.3</w:t>
            </w:r>
          </w:p>
        </w:tc>
        <w:tc>
          <w:tcPr>
            <w:tcW w:w="6660" w:type="dxa"/>
          </w:tcPr>
          <w:p>
            <w:pPr>
              <w:rPr>
                <w:rFonts w:ascii="宋体" w:hAnsi="宋体"/>
                <w:sz w:val="22"/>
              </w:rPr>
            </w:pPr>
            <w:r>
              <w:rPr>
                <w:rFonts w:hint="eastAsia" w:ascii="宋体" w:hAnsi="宋体"/>
                <w:sz w:val="22"/>
              </w:rPr>
              <w:t>现场安全设施和措施</w:t>
            </w:r>
          </w:p>
        </w:tc>
        <w:tc>
          <w:tcPr>
            <w:tcW w:w="720" w:type="dxa"/>
            <w:vAlign w:val="center"/>
          </w:tcPr>
          <w:p>
            <w:pPr>
              <w:rPr>
                <w:rFonts w:ascii="宋体" w:hAnsi="宋体"/>
                <w:sz w:val="22"/>
              </w:rPr>
            </w:pPr>
          </w:p>
        </w:tc>
        <w:tc>
          <w:tcPr>
            <w:tcW w:w="1440" w:type="dxa"/>
            <w:tcBorders>
              <w:top w:val="single" w:color="auto" w:sz="2" w:space="0"/>
              <w:bottom w:val="single" w:color="auto" w:sz="2" w:space="0"/>
            </w:tcBorders>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3.3.1</w:t>
            </w:r>
          </w:p>
        </w:tc>
        <w:tc>
          <w:tcPr>
            <w:tcW w:w="6660" w:type="dxa"/>
          </w:tcPr>
          <w:p>
            <w:pPr>
              <w:rPr>
                <w:rFonts w:ascii="宋体" w:hAnsi="宋体"/>
                <w:sz w:val="22"/>
              </w:rPr>
            </w:pPr>
            <w:r>
              <w:rPr>
                <w:rFonts w:hint="eastAsia" w:ascii="宋体" w:hAnsi="宋体"/>
                <w:sz w:val="22"/>
              </w:rPr>
              <w:t>使用国家明令淘汰、禁止使用的危及施工安全的工艺、设备、材料的。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1000</w:t>
            </w:r>
            <w:r>
              <w:rPr>
                <w:rFonts w:hint="eastAsia" w:ascii="宋体" w:hAnsi="宋体"/>
                <w:sz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3.3.2</w:t>
            </w:r>
          </w:p>
        </w:tc>
        <w:tc>
          <w:tcPr>
            <w:tcW w:w="6660" w:type="dxa"/>
            <w:tcBorders>
              <w:bottom w:val="single" w:color="auto" w:sz="2" w:space="0"/>
            </w:tcBorders>
          </w:tcPr>
          <w:p>
            <w:pPr>
              <w:rPr>
                <w:rFonts w:ascii="宋体" w:hAnsi="宋体"/>
                <w:sz w:val="22"/>
              </w:rPr>
            </w:pPr>
            <w:r>
              <w:rPr>
                <w:rFonts w:hint="eastAsia" w:ascii="宋体" w:hAnsi="宋体"/>
                <w:sz w:val="22"/>
              </w:rPr>
              <w:t>地面开挖作业未对毗邻建筑物、构筑物和地下管线等采取专项防护措施的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1008" w:type="dxa"/>
            <w:tcBorders>
              <w:top w:val="single" w:color="auto" w:sz="2" w:space="0"/>
              <w:bottom w:val="single" w:color="auto" w:sz="2" w:space="0"/>
            </w:tcBorders>
            <w:vAlign w:val="center"/>
          </w:tcPr>
          <w:p>
            <w:pPr>
              <w:rPr>
                <w:rFonts w:ascii="宋体" w:hAnsi="宋体"/>
                <w:sz w:val="22"/>
              </w:rPr>
            </w:pPr>
            <w:r>
              <w:rPr>
                <w:rFonts w:ascii="宋体" w:hAnsi="宋体"/>
                <w:sz w:val="22"/>
              </w:rPr>
              <w:t>3.3.3</w:t>
            </w:r>
          </w:p>
        </w:tc>
        <w:tc>
          <w:tcPr>
            <w:tcW w:w="6660" w:type="dxa"/>
            <w:tcBorders>
              <w:top w:val="single" w:color="auto" w:sz="2" w:space="0"/>
              <w:bottom w:val="single" w:color="auto" w:sz="2" w:space="0"/>
            </w:tcBorders>
          </w:tcPr>
          <w:p>
            <w:pPr>
              <w:rPr>
                <w:rFonts w:ascii="宋体" w:hAnsi="宋体"/>
                <w:sz w:val="22"/>
              </w:rPr>
            </w:pPr>
            <w:r>
              <w:rPr>
                <w:rFonts w:hint="eastAsia" w:ascii="宋体" w:hAnsi="宋体"/>
                <w:sz w:val="22"/>
              </w:rPr>
              <w:t>基坑支护无方案或不按方案实施的</w:t>
            </w:r>
          </w:p>
        </w:tc>
        <w:tc>
          <w:tcPr>
            <w:tcW w:w="720" w:type="dxa"/>
            <w:tcBorders>
              <w:top w:val="single" w:color="auto" w:sz="2" w:space="0"/>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rFonts w:ascii="宋体" w:hAnsi="宋体"/>
                <w:sz w:val="22"/>
              </w:rPr>
            </w:pPr>
            <w:r>
              <w:rPr>
                <w:rFonts w:ascii="宋体" w:hAnsi="宋体"/>
                <w:sz w:val="22"/>
              </w:rPr>
              <w:t>3.3.4</w:t>
            </w:r>
          </w:p>
        </w:tc>
        <w:tc>
          <w:tcPr>
            <w:tcW w:w="6660" w:type="dxa"/>
            <w:tcBorders>
              <w:top w:val="single" w:color="auto" w:sz="2" w:space="0"/>
            </w:tcBorders>
          </w:tcPr>
          <w:p>
            <w:pPr>
              <w:rPr>
                <w:rFonts w:ascii="宋体" w:hAnsi="宋体"/>
                <w:sz w:val="22"/>
              </w:rPr>
            </w:pPr>
            <w:r>
              <w:rPr>
                <w:rFonts w:hint="eastAsia" w:ascii="宋体" w:hAnsi="宋体"/>
                <w:sz w:val="22"/>
              </w:rPr>
              <w:t>未按规定进行基坑支护变形监测和对毗邻建筑物、重要管线、道路进行沉降观测的</w:t>
            </w:r>
          </w:p>
        </w:tc>
        <w:tc>
          <w:tcPr>
            <w:tcW w:w="720" w:type="dxa"/>
            <w:tcBorders>
              <w:top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3.3.5</w:t>
            </w:r>
          </w:p>
        </w:tc>
        <w:tc>
          <w:tcPr>
            <w:tcW w:w="6660" w:type="dxa"/>
            <w:tcBorders>
              <w:bottom w:val="single" w:color="auto" w:sz="2" w:space="0"/>
            </w:tcBorders>
          </w:tcPr>
          <w:p>
            <w:pPr>
              <w:rPr>
                <w:rFonts w:ascii="宋体" w:hAnsi="宋体"/>
                <w:sz w:val="22"/>
              </w:rPr>
            </w:pPr>
            <w:r>
              <w:rPr>
                <w:rFonts w:hint="eastAsia" w:ascii="宋体" w:hAnsi="宋体"/>
                <w:sz w:val="22"/>
              </w:rPr>
              <w:t>支护设施产生局部变形未采取措施调整的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008" w:type="dxa"/>
            <w:tcBorders>
              <w:top w:val="single" w:color="auto" w:sz="2" w:space="0"/>
            </w:tcBorders>
            <w:vAlign w:val="center"/>
          </w:tcPr>
          <w:p>
            <w:pPr>
              <w:rPr>
                <w:rFonts w:ascii="宋体" w:hAnsi="宋体"/>
                <w:sz w:val="22"/>
              </w:rPr>
            </w:pPr>
            <w:r>
              <w:rPr>
                <w:rFonts w:ascii="宋体" w:hAnsi="宋体"/>
                <w:sz w:val="22"/>
              </w:rPr>
              <w:t>3.3.6</w:t>
            </w:r>
          </w:p>
        </w:tc>
        <w:tc>
          <w:tcPr>
            <w:tcW w:w="6660" w:type="dxa"/>
            <w:tcBorders>
              <w:top w:val="single" w:color="auto" w:sz="2" w:space="0"/>
            </w:tcBorders>
          </w:tcPr>
          <w:p>
            <w:pPr>
              <w:rPr>
                <w:rFonts w:ascii="宋体" w:hAnsi="宋体"/>
                <w:sz w:val="22"/>
              </w:rPr>
            </w:pPr>
            <w:r>
              <w:rPr>
                <w:rFonts w:hint="eastAsia" w:ascii="宋体" w:hAnsi="宋体"/>
                <w:sz w:val="22"/>
              </w:rPr>
              <w:t>基坑施工未设置有效排水措施，或深基础施工采用坑外降水，无防止临近建筑危险沉降措施的</w:t>
            </w:r>
          </w:p>
        </w:tc>
        <w:tc>
          <w:tcPr>
            <w:tcW w:w="720" w:type="dxa"/>
            <w:tcBorders>
              <w:top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rFonts w:ascii="宋体" w:hAnsi="宋体"/>
                <w:sz w:val="22"/>
              </w:rPr>
            </w:pPr>
            <w:r>
              <w:rPr>
                <w:rFonts w:ascii="宋体" w:hAnsi="宋体"/>
                <w:sz w:val="22"/>
              </w:rPr>
              <w:t>3.3.7</w:t>
            </w:r>
          </w:p>
        </w:tc>
        <w:tc>
          <w:tcPr>
            <w:tcW w:w="6660" w:type="dxa"/>
            <w:tcBorders>
              <w:top w:val="single" w:color="auto" w:sz="2" w:space="0"/>
            </w:tcBorders>
          </w:tcPr>
          <w:p>
            <w:pPr>
              <w:rPr>
                <w:rFonts w:ascii="宋体" w:hAnsi="宋体"/>
                <w:sz w:val="22"/>
              </w:rPr>
            </w:pPr>
            <w:r>
              <w:rPr>
                <w:rFonts w:hint="eastAsia" w:ascii="宋体" w:hAnsi="宋体"/>
                <w:sz w:val="22"/>
              </w:rPr>
              <w:t>积土、料具堆放、机械设备施工距槽边距离小于设计规定，又无措施的</w:t>
            </w:r>
          </w:p>
        </w:tc>
        <w:tc>
          <w:tcPr>
            <w:tcW w:w="720" w:type="dxa"/>
            <w:tcBorders>
              <w:top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3.3.8</w:t>
            </w:r>
          </w:p>
        </w:tc>
        <w:tc>
          <w:tcPr>
            <w:tcW w:w="6660" w:type="dxa"/>
          </w:tcPr>
          <w:p>
            <w:pPr>
              <w:rPr>
                <w:rFonts w:ascii="宋体" w:hAnsi="宋体"/>
                <w:sz w:val="22"/>
              </w:rPr>
            </w:pPr>
            <w:r>
              <w:rPr>
                <w:rFonts w:hint="eastAsia" w:ascii="宋体" w:hAnsi="宋体"/>
                <w:sz w:val="22"/>
              </w:rPr>
              <w:t>基坑内作业人员无必要安全防护措施和充足照明的</w:t>
            </w:r>
          </w:p>
        </w:tc>
        <w:tc>
          <w:tcPr>
            <w:tcW w:w="720" w:type="dxa"/>
            <w:vAlign w:val="center"/>
          </w:tcPr>
          <w:p>
            <w:pPr>
              <w:rPr>
                <w:rFonts w:ascii="宋体" w:hAnsi="宋体"/>
                <w:sz w:val="22"/>
              </w:rPr>
            </w:pPr>
            <w:r>
              <w:rPr>
                <w:rFonts w:hint="eastAsia" w:ascii="宋体" w:hAnsi="宋体"/>
                <w:sz w:val="22"/>
              </w:rPr>
              <w:t>建标</w:t>
            </w:r>
          </w:p>
        </w:tc>
        <w:tc>
          <w:tcPr>
            <w:tcW w:w="1440" w:type="dxa"/>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3.3.9</w:t>
            </w:r>
          </w:p>
        </w:tc>
        <w:tc>
          <w:tcPr>
            <w:tcW w:w="6660" w:type="dxa"/>
            <w:tcBorders>
              <w:bottom w:val="single" w:color="auto" w:sz="2" w:space="0"/>
            </w:tcBorders>
          </w:tcPr>
          <w:p>
            <w:pPr>
              <w:rPr>
                <w:rFonts w:ascii="宋体" w:hAnsi="宋体"/>
                <w:sz w:val="22"/>
              </w:rPr>
            </w:pPr>
            <w:r>
              <w:rPr>
                <w:rFonts w:hint="eastAsia" w:ascii="宋体" w:hAnsi="宋体"/>
                <w:sz w:val="22"/>
              </w:rPr>
              <w:t>支模架施工未按施工专项方案实施的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8" w:type="dxa"/>
            <w:tcBorders>
              <w:top w:val="single" w:color="auto" w:sz="2" w:space="0"/>
            </w:tcBorders>
            <w:vAlign w:val="center"/>
          </w:tcPr>
          <w:p>
            <w:pPr>
              <w:rPr>
                <w:rFonts w:ascii="宋体" w:hAnsi="宋体"/>
                <w:sz w:val="22"/>
              </w:rPr>
            </w:pPr>
            <w:r>
              <w:rPr>
                <w:rFonts w:ascii="宋体" w:hAnsi="宋体"/>
                <w:sz w:val="22"/>
              </w:rPr>
              <w:t>3.3.10</w:t>
            </w:r>
          </w:p>
        </w:tc>
        <w:tc>
          <w:tcPr>
            <w:tcW w:w="6660" w:type="dxa"/>
            <w:tcBorders>
              <w:top w:val="single" w:color="auto" w:sz="2" w:space="0"/>
            </w:tcBorders>
          </w:tcPr>
          <w:p>
            <w:pPr>
              <w:rPr>
                <w:rFonts w:ascii="宋体" w:hAnsi="宋体"/>
                <w:sz w:val="22"/>
              </w:rPr>
            </w:pPr>
            <w:r>
              <w:rPr>
                <w:rFonts w:hint="eastAsia" w:ascii="宋体" w:hAnsi="宋体"/>
                <w:sz w:val="22"/>
              </w:rPr>
              <w:t>临边无防护措施，防护设施不规范或有空档、超过间隙的</w:t>
            </w:r>
          </w:p>
        </w:tc>
        <w:tc>
          <w:tcPr>
            <w:tcW w:w="720" w:type="dxa"/>
            <w:tcBorders>
              <w:top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3.3.11</w:t>
            </w:r>
          </w:p>
        </w:tc>
        <w:tc>
          <w:tcPr>
            <w:tcW w:w="6660" w:type="dxa"/>
            <w:tcBorders>
              <w:bottom w:val="single" w:color="auto" w:sz="2" w:space="0"/>
            </w:tcBorders>
          </w:tcPr>
          <w:p>
            <w:pPr>
              <w:rPr>
                <w:rFonts w:ascii="宋体" w:hAnsi="宋体"/>
                <w:sz w:val="22"/>
              </w:rPr>
            </w:pPr>
            <w:r>
              <w:rPr>
                <w:rFonts w:hint="eastAsia" w:ascii="宋体" w:hAnsi="宋体"/>
                <w:sz w:val="22"/>
              </w:rPr>
              <w:t>高处作业不按规定设置防坠网或防坠网规格、材质、覆盖面积不符合要求的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3.3.12</w:t>
            </w:r>
          </w:p>
        </w:tc>
        <w:tc>
          <w:tcPr>
            <w:tcW w:w="6660" w:type="dxa"/>
            <w:tcBorders>
              <w:bottom w:val="single" w:color="auto" w:sz="2" w:space="0"/>
            </w:tcBorders>
          </w:tcPr>
          <w:p>
            <w:pPr>
              <w:rPr>
                <w:rFonts w:ascii="宋体" w:hAnsi="宋体"/>
                <w:sz w:val="22"/>
              </w:rPr>
            </w:pPr>
            <w:r>
              <w:rPr>
                <w:rFonts w:hint="eastAsia" w:ascii="宋体" w:hAnsi="宋体"/>
                <w:sz w:val="22"/>
              </w:rPr>
              <w:t>各种洞（井）口、梯口、通道口无防护措施，防护措施不符合要求或不严密，未形成定型化、工具化的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3.3.13</w:t>
            </w:r>
          </w:p>
        </w:tc>
        <w:tc>
          <w:tcPr>
            <w:tcW w:w="6660" w:type="dxa"/>
            <w:tcBorders>
              <w:bottom w:val="single" w:color="auto" w:sz="2" w:space="0"/>
            </w:tcBorders>
          </w:tcPr>
          <w:p>
            <w:pPr>
              <w:rPr>
                <w:rFonts w:ascii="宋体" w:hAnsi="宋体"/>
                <w:sz w:val="22"/>
              </w:rPr>
            </w:pPr>
            <w:r>
              <w:rPr>
                <w:rFonts w:hint="eastAsia" w:ascii="宋体" w:hAnsi="宋体"/>
                <w:sz w:val="22"/>
              </w:rPr>
              <w:t>电梯井不封闭，电梯井内每隔两层</w:t>
            </w:r>
            <w:r>
              <w:rPr>
                <w:rFonts w:ascii="宋体" w:hAnsi="宋体"/>
                <w:sz w:val="22"/>
              </w:rPr>
              <w:t>(</w:t>
            </w:r>
            <w:r>
              <w:rPr>
                <w:rFonts w:hint="eastAsia" w:ascii="宋体" w:hAnsi="宋体"/>
                <w:sz w:val="22"/>
              </w:rPr>
              <w:t>不大于</w:t>
            </w:r>
            <w:r>
              <w:rPr>
                <w:rFonts w:ascii="宋体" w:hAnsi="宋体"/>
                <w:sz w:val="22"/>
              </w:rPr>
              <w:t>l0m)</w:t>
            </w:r>
            <w:r>
              <w:rPr>
                <w:rFonts w:hint="eastAsia" w:ascii="宋体" w:hAnsi="宋体"/>
                <w:sz w:val="22"/>
              </w:rPr>
              <w:t>少一道平网的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3.3.14</w:t>
            </w:r>
          </w:p>
        </w:tc>
        <w:tc>
          <w:tcPr>
            <w:tcW w:w="6660" w:type="dxa"/>
            <w:tcBorders>
              <w:bottom w:val="single" w:color="auto" w:sz="2" w:space="0"/>
            </w:tcBorders>
          </w:tcPr>
          <w:p>
            <w:pPr>
              <w:rPr>
                <w:rFonts w:ascii="宋体" w:hAnsi="宋体"/>
                <w:sz w:val="22"/>
              </w:rPr>
            </w:pPr>
            <w:r>
              <w:rPr>
                <w:rFonts w:hint="eastAsia" w:ascii="宋体" w:hAnsi="宋体"/>
                <w:sz w:val="22"/>
              </w:rPr>
              <w:t>通道口无防护棚，通道口防护不严或防护棚不牢固、材质不符合要求的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008" w:type="dxa"/>
            <w:tcBorders>
              <w:top w:val="single" w:color="auto" w:sz="2" w:space="0"/>
            </w:tcBorders>
            <w:vAlign w:val="center"/>
          </w:tcPr>
          <w:p>
            <w:pPr>
              <w:rPr>
                <w:rFonts w:ascii="宋体" w:hAnsi="宋体"/>
                <w:sz w:val="22"/>
              </w:rPr>
            </w:pPr>
            <w:r>
              <w:rPr>
                <w:rFonts w:ascii="宋体" w:hAnsi="宋体"/>
                <w:sz w:val="22"/>
              </w:rPr>
              <w:t>3.3.15</w:t>
            </w:r>
          </w:p>
        </w:tc>
        <w:tc>
          <w:tcPr>
            <w:tcW w:w="6660" w:type="dxa"/>
            <w:tcBorders>
              <w:top w:val="single" w:color="auto" w:sz="2" w:space="0"/>
            </w:tcBorders>
          </w:tcPr>
          <w:p>
            <w:pPr>
              <w:rPr>
                <w:rFonts w:ascii="宋体" w:hAnsi="宋体"/>
                <w:sz w:val="22"/>
              </w:rPr>
            </w:pPr>
            <w:r>
              <w:rPr>
                <w:rFonts w:hint="eastAsia" w:ascii="宋体" w:hAnsi="宋体"/>
                <w:sz w:val="22"/>
              </w:rPr>
              <w:t>脚手架、升降、吊装等设施设备的拆装队伍没有取得资格证书的</w:t>
            </w:r>
          </w:p>
        </w:tc>
        <w:tc>
          <w:tcPr>
            <w:tcW w:w="720" w:type="dxa"/>
            <w:tcBorders>
              <w:top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008" w:type="dxa"/>
            <w:tcBorders>
              <w:top w:val="single" w:color="auto" w:sz="2" w:space="0"/>
            </w:tcBorders>
            <w:vAlign w:val="center"/>
          </w:tcPr>
          <w:p>
            <w:pPr>
              <w:rPr>
                <w:rFonts w:ascii="宋体" w:hAnsi="宋体"/>
                <w:sz w:val="22"/>
              </w:rPr>
            </w:pPr>
            <w:r>
              <w:rPr>
                <w:rFonts w:ascii="宋体" w:hAnsi="宋体"/>
                <w:sz w:val="22"/>
              </w:rPr>
              <w:t>3.3.16</w:t>
            </w:r>
          </w:p>
        </w:tc>
        <w:tc>
          <w:tcPr>
            <w:tcW w:w="6660" w:type="dxa"/>
            <w:tcBorders>
              <w:top w:val="single" w:color="auto" w:sz="2" w:space="0"/>
            </w:tcBorders>
          </w:tcPr>
          <w:p>
            <w:pPr>
              <w:rPr>
                <w:rFonts w:ascii="宋体" w:hAnsi="宋体"/>
                <w:sz w:val="22"/>
              </w:rPr>
            </w:pPr>
            <w:r>
              <w:rPr>
                <w:rFonts w:hint="eastAsia" w:ascii="宋体" w:hAnsi="宋体"/>
                <w:sz w:val="22"/>
              </w:rPr>
              <w:t>脚手架、脚手板等不按要求搭设，空隙过大或材质不符合要求的</w:t>
            </w:r>
          </w:p>
        </w:tc>
        <w:tc>
          <w:tcPr>
            <w:tcW w:w="720" w:type="dxa"/>
            <w:tcBorders>
              <w:top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3.3.17</w:t>
            </w:r>
          </w:p>
        </w:tc>
        <w:tc>
          <w:tcPr>
            <w:tcW w:w="6660" w:type="dxa"/>
          </w:tcPr>
          <w:p>
            <w:pPr>
              <w:rPr>
                <w:rFonts w:ascii="宋体" w:hAnsi="宋体"/>
                <w:sz w:val="22"/>
              </w:rPr>
            </w:pPr>
            <w:r>
              <w:rPr>
                <w:rFonts w:hint="eastAsia" w:ascii="宋体" w:hAnsi="宋体"/>
                <w:sz w:val="22"/>
              </w:rPr>
              <w:t>安全密目网不牢固、不严密或材质、设置不符合要求的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3.3.18</w:t>
            </w:r>
          </w:p>
        </w:tc>
        <w:tc>
          <w:tcPr>
            <w:tcW w:w="6660" w:type="dxa"/>
          </w:tcPr>
          <w:p>
            <w:pPr>
              <w:rPr>
                <w:rFonts w:ascii="宋体" w:hAnsi="宋体"/>
                <w:sz w:val="22"/>
              </w:rPr>
            </w:pPr>
            <w:r>
              <w:rPr>
                <w:rFonts w:hint="eastAsia" w:ascii="宋体" w:hAnsi="宋体"/>
                <w:sz w:val="22"/>
              </w:rPr>
              <w:t>脚手架超载或荷载不均匀、堆放杂物或垃圾清理不及时的</w:t>
            </w:r>
          </w:p>
        </w:tc>
        <w:tc>
          <w:tcPr>
            <w:tcW w:w="720" w:type="dxa"/>
            <w:vAlign w:val="center"/>
          </w:tcPr>
          <w:p>
            <w:pPr>
              <w:rPr>
                <w:rFonts w:ascii="宋体" w:hAnsi="宋体"/>
                <w:sz w:val="22"/>
              </w:rPr>
            </w:pPr>
            <w:r>
              <w:rPr>
                <w:rFonts w:hint="eastAsia" w:ascii="宋体" w:hAnsi="宋体"/>
                <w:sz w:val="22"/>
              </w:rPr>
              <w:t>建标</w:t>
            </w:r>
          </w:p>
        </w:tc>
        <w:tc>
          <w:tcPr>
            <w:tcW w:w="1440" w:type="dxa"/>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008" w:type="dxa"/>
            <w:tcBorders>
              <w:top w:val="single" w:color="auto" w:sz="2" w:space="0"/>
              <w:bottom w:val="single" w:color="auto" w:sz="2" w:space="0"/>
            </w:tcBorders>
            <w:vAlign w:val="center"/>
          </w:tcPr>
          <w:p>
            <w:pPr>
              <w:rPr>
                <w:rFonts w:ascii="宋体" w:hAnsi="宋体"/>
                <w:sz w:val="22"/>
              </w:rPr>
            </w:pPr>
            <w:r>
              <w:rPr>
                <w:rFonts w:ascii="宋体" w:hAnsi="宋体"/>
                <w:sz w:val="22"/>
              </w:rPr>
              <w:t>3.3.19</w:t>
            </w:r>
          </w:p>
        </w:tc>
        <w:tc>
          <w:tcPr>
            <w:tcW w:w="6660" w:type="dxa"/>
            <w:tcBorders>
              <w:top w:val="single" w:color="auto" w:sz="2" w:space="0"/>
              <w:bottom w:val="single" w:color="auto" w:sz="2" w:space="0"/>
            </w:tcBorders>
          </w:tcPr>
          <w:p>
            <w:pPr>
              <w:rPr>
                <w:rFonts w:ascii="宋体" w:hAnsi="宋体"/>
                <w:sz w:val="22"/>
              </w:rPr>
            </w:pPr>
            <w:r>
              <w:rPr>
                <w:rFonts w:hint="eastAsia" w:ascii="宋体" w:hAnsi="宋体"/>
                <w:sz w:val="22"/>
              </w:rPr>
              <w:t>未设专用通道或通道设置不符合要求的</w:t>
            </w:r>
          </w:p>
        </w:tc>
        <w:tc>
          <w:tcPr>
            <w:tcW w:w="720" w:type="dxa"/>
            <w:tcBorders>
              <w:top w:val="single" w:color="auto" w:sz="2" w:space="0"/>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3.3.20</w:t>
            </w:r>
          </w:p>
        </w:tc>
        <w:tc>
          <w:tcPr>
            <w:tcW w:w="6660" w:type="dxa"/>
          </w:tcPr>
          <w:p>
            <w:pPr>
              <w:rPr>
                <w:rFonts w:ascii="宋体" w:hAnsi="宋体"/>
                <w:sz w:val="22"/>
              </w:rPr>
            </w:pPr>
            <w:r>
              <w:rPr>
                <w:rFonts w:hint="eastAsia" w:ascii="宋体" w:hAnsi="宋体"/>
                <w:sz w:val="22"/>
              </w:rPr>
              <w:t>脚手架拆卸时不实行区域隔离，无专人看护等保护性安全措施的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1008" w:type="dxa"/>
            <w:tcBorders>
              <w:top w:val="single" w:color="auto" w:sz="2" w:space="0"/>
              <w:bottom w:val="single" w:color="auto" w:sz="2" w:space="0"/>
            </w:tcBorders>
            <w:vAlign w:val="center"/>
          </w:tcPr>
          <w:p>
            <w:pPr>
              <w:rPr>
                <w:rFonts w:ascii="宋体" w:hAnsi="宋体"/>
                <w:sz w:val="22"/>
              </w:rPr>
            </w:pPr>
            <w:r>
              <w:rPr>
                <w:rFonts w:ascii="宋体" w:hAnsi="宋体"/>
                <w:sz w:val="22"/>
              </w:rPr>
              <w:t>3.3.21</w:t>
            </w:r>
          </w:p>
        </w:tc>
        <w:tc>
          <w:tcPr>
            <w:tcW w:w="6660" w:type="dxa"/>
            <w:tcBorders>
              <w:top w:val="single" w:color="auto" w:sz="2" w:space="0"/>
              <w:bottom w:val="single" w:color="auto" w:sz="2" w:space="0"/>
            </w:tcBorders>
          </w:tcPr>
          <w:p>
            <w:pPr>
              <w:rPr>
                <w:rFonts w:ascii="宋体" w:hAnsi="宋体"/>
                <w:sz w:val="22"/>
              </w:rPr>
            </w:pPr>
            <w:r>
              <w:rPr>
                <w:rFonts w:hint="eastAsia" w:ascii="宋体" w:hAnsi="宋体"/>
                <w:sz w:val="22"/>
              </w:rPr>
              <w:t>移动脚手架安全措施不到位，存在安全隐患的</w:t>
            </w:r>
          </w:p>
        </w:tc>
        <w:tc>
          <w:tcPr>
            <w:tcW w:w="720" w:type="dxa"/>
            <w:tcBorders>
              <w:top w:val="single" w:color="auto" w:sz="2" w:space="0"/>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rFonts w:ascii="宋体" w:hAnsi="宋体"/>
                <w:sz w:val="22"/>
              </w:rPr>
            </w:pPr>
            <w:r>
              <w:rPr>
                <w:rFonts w:ascii="宋体" w:hAnsi="宋体"/>
                <w:sz w:val="22"/>
              </w:rPr>
              <w:t>3.3.22</w:t>
            </w:r>
          </w:p>
        </w:tc>
        <w:tc>
          <w:tcPr>
            <w:tcW w:w="6660" w:type="dxa"/>
            <w:tcBorders>
              <w:top w:val="single" w:color="auto" w:sz="2" w:space="0"/>
            </w:tcBorders>
          </w:tcPr>
          <w:p>
            <w:pPr>
              <w:rPr>
                <w:rFonts w:ascii="宋体" w:hAnsi="宋体"/>
                <w:sz w:val="22"/>
              </w:rPr>
            </w:pPr>
            <w:r>
              <w:rPr>
                <w:rFonts w:hint="eastAsia" w:ascii="宋体" w:hAnsi="宋体"/>
                <w:sz w:val="22"/>
              </w:rPr>
              <w:t>卸料台搭设不符合设计要求或不按规范要求搭建的</w:t>
            </w:r>
          </w:p>
        </w:tc>
        <w:tc>
          <w:tcPr>
            <w:tcW w:w="720" w:type="dxa"/>
            <w:tcBorders>
              <w:top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3.3.23</w:t>
            </w:r>
          </w:p>
        </w:tc>
        <w:tc>
          <w:tcPr>
            <w:tcW w:w="6660" w:type="dxa"/>
          </w:tcPr>
          <w:p>
            <w:pPr>
              <w:rPr>
                <w:rFonts w:ascii="宋体" w:hAnsi="宋体"/>
                <w:sz w:val="22"/>
              </w:rPr>
            </w:pPr>
            <w:r>
              <w:rPr>
                <w:rFonts w:hint="eastAsia" w:ascii="宋体" w:hAnsi="宋体"/>
                <w:sz w:val="22"/>
              </w:rPr>
              <w:t>升降、吊装作业未设警戒区、无专业人员指挥、无专人警戒或管理的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tcBorders>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3.3.24</w:t>
            </w:r>
          </w:p>
        </w:tc>
        <w:tc>
          <w:tcPr>
            <w:tcW w:w="6660" w:type="dxa"/>
          </w:tcPr>
          <w:p>
            <w:pPr>
              <w:rPr>
                <w:rFonts w:ascii="宋体" w:hAnsi="宋体"/>
                <w:sz w:val="22"/>
              </w:rPr>
            </w:pPr>
            <w:r>
              <w:rPr>
                <w:rFonts w:hint="eastAsia" w:ascii="宋体" w:hAnsi="宋体"/>
                <w:sz w:val="22"/>
              </w:rPr>
              <w:t>升降、吊装设备无围栏、防护门，无安全警示等安全设施的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tcBorders>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3.3.25</w:t>
            </w:r>
          </w:p>
        </w:tc>
        <w:tc>
          <w:tcPr>
            <w:tcW w:w="6660" w:type="dxa"/>
          </w:tcPr>
          <w:p>
            <w:pPr>
              <w:rPr>
                <w:rFonts w:ascii="宋体" w:hAnsi="宋体"/>
                <w:sz w:val="22"/>
              </w:rPr>
            </w:pPr>
            <w:r>
              <w:rPr>
                <w:rFonts w:hint="eastAsia" w:ascii="宋体" w:hAnsi="宋体"/>
                <w:sz w:val="22"/>
              </w:rPr>
              <w:t>升降、吊装设备无防坠装置或防坠装置不符合设计、规范要求的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3.3.26</w:t>
            </w:r>
          </w:p>
        </w:tc>
        <w:tc>
          <w:tcPr>
            <w:tcW w:w="6660" w:type="dxa"/>
          </w:tcPr>
          <w:p>
            <w:pPr>
              <w:rPr>
                <w:rFonts w:ascii="宋体" w:hAnsi="宋体"/>
                <w:sz w:val="22"/>
              </w:rPr>
            </w:pPr>
            <w:r>
              <w:rPr>
                <w:rFonts w:hint="eastAsia" w:ascii="宋体" w:hAnsi="宋体"/>
                <w:sz w:val="22"/>
              </w:rPr>
              <w:t>升降、吊装设备钢丝绳绳径倍数不足、磨损、断丝超标，地锚埋没不符合设计要求</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3.3.27</w:t>
            </w:r>
          </w:p>
        </w:tc>
        <w:tc>
          <w:tcPr>
            <w:tcW w:w="6660" w:type="dxa"/>
          </w:tcPr>
          <w:p>
            <w:pPr>
              <w:rPr>
                <w:rFonts w:ascii="宋体" w:hAnsi="宋体"/>
                <w:sz w:val="22"/>
              </w:rPr>
            </w:pPr>
            <w:r>
              <w:rPr>
                <w:rFonts w:hint="eastAsia" w:ascii="宋体" w:hAnsi="宋体"/>
                <w:sz w:val="22"/>
              </w:rPr>
              <w:t>升降、吊装设备无专人日常维护，未按规定定期检验、检查或检查无记录，检验检查出的问题不及时整改的</w:t>
            </w:r>
          </w:p>
        </w:tc>
        <w:tc>
          <w:tcPr>
            <w:tcW w:w="720" w:type="dxa"/>
            <w:vAlign w:val="center"/>
          </w:tcPr>
          <w:p>
            <w:pPr>
              <w:rPr>
                <w:rFonts w:ascii="宋体" w:hAnsi="宋体"/>
                <w:sz w:val="22"/>
              </w:rPr>
            </w:pPr>
            <w:r>
              <w:rPr>
                <w:rFonts w:hint="eastAsia" w:ascii="宋体" w:hAnsi="宋体"/>
                <w:sz w:val="22"/>
              </w:rPr>
              <w:t>建标</w:t>
            </w:r>
          </w:p>
        </w:tc>
        <w:tc>
          <w:tcPr>
            <w:tcW w:w="1440" w:type="dxa"/>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3.3.28</w:t>
            </w:r>
          </w:p>
        </w:tc>
        <w:tc>
          <w:tcPr>
            <w:tcW w:w="6660" w:type="dxa"/>
          </w:tcPr>
          <w:p>
            <w:pPr>
              <w:rPr>
                <w:rFonts w:ascii="宋体" w:hAnsi="宋体"/>
                <w:sz w:val="22"/>
              </w:rPr>
            </w:pPr>
            <w:r>
              <w:rPr>
                <w:rFonts w:hint="eastAsia" w:ascii="宋体" w:hAnsi="宋体"/>
                <w:sz w:val="22"/>
              </w:rPr>
              <w:t>违章操作或违章使用升降、吊装设备，超重作业的</w:t>
            </w:r>
          </w:p>
        </w:tc>
        <w:tc>
          <w:tcPr>
            <w:tcW w:w="720" w:type="dxa"/>
            <w:vAlign w:val="center"/>
          </w:tcPr>
          <w:p>
            <w:pPr>
              <w:rPr>
                <w:rFonts w:ascii="宋体" w:hAnsi="宋体"/>
                <w:sz w:val="22"/>
              </w:rPr>
            </w:pPr>
            <w:r>
              <w:rPr>
                <w:rFonts w:hint="eastAsia" w:ascii="宋体" w:hAnsi="宋体"/>
                <w:sz w:val="22"/>
              </w:rPr>
              <w:t>建标</w:t>
            </w:r>
          </w:p>
        </w:tc>
        <w:tc>
          <w:tcPr>
            <w:tcW w:w="1440" w:type="dxa"/>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3.3.29</w:t>
            </w:r>
          </w:p>
        </w:tc>
        <w:tc>
          <w:tcPr>
            <w:tcW w:w="6660" w:type="dxa"/>
          </w:tcPr>
          <w:p>
            <w:pPr>
              <w:rPr>
                <w:rFonts w:ascii="宋体" w:hAnsi="宋体"/>
                <w:sz w:val="22"/>
              </w:rPr>
            </w:pPr>
            <w:r>
              <w:rPr>
                <w:rFonts w:hint="eastAsia" w:ascii="宋体" w:hAnsi="宋体"/>
                <w:sz w:val="22"/>
              </w:rPr>
              <w:t>移动式吊装装置不符合设计、方案和规范要求，存在安全隐患的</w:t>
            </w:r>
          </w:p>
        </w:tc>
        <w:tc>
          <w:tcPr>
            <w:tcW w:w="720" w:type="dxa"/>
            <w:vAlign w:val="center"/>
          </w:tcPr>
          <w:p>
            <w:pPr>
              <w:rPr>
                <w:rFonts w:ascii="宋体" w:hAnsi="宋体"/>
                <w:sz w:val="22"/>
              </w:rPr>
            </w:pPr>
            <w:r>
              <w:rPr>
                <w:rFonts w:hint="eastAsia" w:ascii="宋体" w:hAnsi="宋体"/>
                <w:sz w:val="22"/>
              </w:rPr>
              <w:t>建标</w:t>
            </w:r>
          </w:p>
        </w:tc>
        <w:tc>
          <w:tcPr>
            <w:tcW w:w="1440" w:type="dxa"/>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3.3.30</w:t>
            </w:r>
          </w:p>
        </w:tc>
        <w:tc>
          <w:tcPr>
            <w:tcW w:w="6660" w:type="dxa"/>
          </w:tcPr>
          <w:p>
            <w:pPr>
              <w:rPr>
                <w:rFonts w:ascii="宋体" w:hAnsi="宋体"/>
                <w:sz w:val="22"/>
              </w:rPr>
            </w:pPr>
            <w:r>
              <w:rPr>
                <w:rFonts w:hint="eastAsia" w:ascii="宋体" w:hAnsi="宋体"/>
                <w:sz w:val="22"/>
              </w:rPr>
              <w:t>钢丝绳、绳卡、地锚等不符合规范和安全要求</w:t>
            </w:r>
            <w:r>
              <w:rPr>
                <w:rFonts w:ascii="宋体" w:hAnsi="宋体"/>
                <w:sz w:val="22"/>
              </w:rPr>
              <w:t>,</w:t>
            </w:r>
            <w:r>
              <w:rPr>
                <w:rFonts w:hint="eastAsia" w:ascii="宋体" w:hAnsi="宋体"/>
                <w:sz w:val="22"/>
              </w:rPr>
              <w:t>或钢丝绳锈蚀、缺油、磨损超标的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8" w:type="dxa"/>
            <w:tcBorders>
              <w:top w:val="single" w:color="auto" w:sz="2" w:space="0"/>
              <w:bottom w:val="single" w:color="auto" w:sz="2" w:space="0"/>
            </w:tcBorders>
            <w:vAlign w:val="center"/>
          </w:tcPr>
          <w:p>
            <w:pPr>
              <w:rPr>
                <w:rFonts w:ascii="宋体" w:hAnsi="宋体"/>
                <w:sz w:val="22"/>
              </w:rPr>
            </w:pPr>
            <w:r>
              <w:rPr>
                <w:rFonts w:ascii="宋体" w:hAnsi="宋体"/>
                <w:sz w:val="22"/>
              </w:rPr>
              <w:t>3.3.31</w:t>
            </w:r>
          </w:p>
        </w:tc>
        <w:tc>
          <w:tcPr>
            <w:tcW w:w="6660" w:type="dxa"/>
            <w:tcBorders>
              <w:top w:val="single" w:color="auto" w:sz="2" w:space="0"/>
              <w:bottom w:val="single" w:color="auto" w:sz="2" w:space="0"/>
            </w:tcBorders>
          </w:tcPr>
          <w:p>
            <w:pPr>
              <w:rPr>
                <w:rFonts w:ascii="宋体" w:hAnsi="宋体"/>
                <w:sz w:val="22"/>
              </w:rPr>
            </w:pPr>
            <w:r>
              <w:rPr>
                <w:rFonts w:hint="eastAsia" w:ascii="宋体" w:hAnsi="宋体"/>
                <w:sz w:val="22"/>
              </w:rPr>
              <w:t>无防风、避雷装置和措施，或防风避雷装置措施不符合要求的</w:t>
            </w:r>
          </w:p>
        </w:tc>
        <w:tc>
          <w:tcPr>
            <w:tcW w:w="720" w:type="dxa"/>
            <w:tcBorders>
              <w:top w:val="single" w:color="auto" w:sz="2" w:space="0"/>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3.3.32</w:t>
            </w:r>
          </w:p>
        </w:tc>
        <w:tc>
          <w:tcPr>
            <w:tcW w:w="6660" w:type="dxa"/>
          </w:tcPr>
          <w:p>
            <w:pPr>
              <w:rPr>
                <w:rFonts w:ascii="宋体" w:hAnsi="宋体"/>
                <w:sz w:val="22"/>
              </w:rPr>
            </w:pPr>
            <w:r>
              <w:rPr>
                <w:rFonts w:hint="eastAsia" w:ascii="宋体" w:hAnsi="宋体"/>
                <w:sz w:val="22"/>
              </w:rPr>
              <w:t>各类用电设施、设备、施工机具未做保护接零、无漏电保护装置的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008" w:type="dxa"/>
            <w:tcBorders>
              <w:top w:val="single" w:color="auto" w:sz="2" w:space="0"/>
              <w:bottom w:val="single" w:color="auto" w:sz="2" w:space="0"/>
            </w:tcBorders>
            <w:vAlign w:val="center"/>
          </w:tcPr>
          <w:p>
            <w:pPr>
              <w:rPr>
                <w:rFonts w:ascii="宋体" w:hAnsi="宋体"/>
                <w:sz w:val="22"/>
              </w:rPr>
            </w:pPr>
            <w:r>
              <w:rPr>
                <w:rFonts w:ascii="宋体" w:hAnsi="宋体"/>
                <w:sz w:val="22"/>
              </w:rPr>
              <w:t>3.3.33</w:t>
            </w:r>
          </w:p>
        </w:tc>
        <w:tc>
          <w:tcPr>
            <w:tcW w:w="6660" w:type="dxa"/>
            <w:tcBorders>
              <w:top w:val="single" w:color="auto" w:sz="2" w:space="0"/>
              <w:bottom w:val="single" w:color="auto" w:sz="2" w:space="0"/>
            </w:tcBorders>
          </w:tcPr>
          <w:p>
            <w:pPr>
              <w:rPr>
                <w:rFonts w:ascii="宋体" w:hAnsi="宋体"/>
                <w:sz w:val="22"/>
              </w:rPr>
            </w:pPr>
            <w:r>
              <w:rPr>
                <w:rFonts w:hint="eastAsia" w:ascii="宋体" w:hAnsi="宋体"/>
                <w:sz w:val="22"/>
              </w:rPr>
              <w:t>机具、设备使用无安全防护装置或保险装置的</w:t>
            </w:r>
          </w:p>
        </w:tc>
        <w:tc>
          <w:tcPr>
            <w:tcW w:w="720" w:type="dxa"/>
            <w:tcBorders>
              <w:top w:val="single" w:color="auto" w:sz="2" w:space="0"/>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3.3.34</w:t>
            </w:r>
          </w:p>
        </w:tc>
        <w:tc>
          <w:tcPr>
            <w:tcW w:w="6660" w:type="dxa"/>
          </w:tcPr>
          <w:p>
            <w:pPr>
              <w:rPr>
                <w:rFonts w:ascii="宋体" w:hAnsi="宋体"/>
                <w:sz w:val="22"/>
              </w:rPr>
            </w:pPr>
            <w:r>
              <w:rPr>
                <w:rFonts w:hint="eastAsia" w:ascii="宋体" w:hAnsi="宋体"/>
                <w:sz w:val="22"/>
              </w:rPr>
              <w:t>使用Ⅰ类手持电动工具不按规定穿戴绝缘用品的</w:t>
            </w:r>
          </w:p>
        </w:tc>
        <w:tc>
          <w:tcPr>
            <w:tcW w:w="720" w:type="dxa"/>
            <w:vAlign w:val="center"/>
          </w:tcPr>
          <w:p>
            <w:pPr>
              <w:rPr>
                <w:rFonts w:ascii="宋体" w:hAnsi="宋体"/>
                <w:sz w:val="22"/>
              </w:rPr>
            </w:pPr>
            <w:r>
              <w:rPr>
                <w:rFonts w:hint="eastAsia" w:ascii="宋体" w:hAnsi="宋体"/>
                <w:sz w:val="22"/>
              </w:rPr>
              <w:t>建标</w:t>
            </w:r>
          </w:p>
        </w:tc>
        <w:tc>
          <w:tcPr>
            <w:tcW w:w="1440" w:type="dxa"/>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3.3.35</w:t>
            </w:r>
          </w:p>
        </w:tc>
        <w:tc>
          <w:tcPr>
            <w:tcW w:w="6660" w:type="dxa"/>
          </w:tcPr>
          <w:p>
            <w:pPr>
              <w:rPr>
                <w:rFonts w:ascii="宋体" w:hAnsi="宋体"/>
                <w:sz w:val="22"/>
              </w:rPr>
            </w:pPr>
            <w:r>
              <w:rPr>
                <w:rFonts w:hint="eastAsia" w:ascii="宋体" w:hAnsi="宋体"/>
                <w:sz w:val="22"/>
              </w:rPr>
              <w:t>施工机具无人操作时未切断电源的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3.3.36</w:t>
            </w:r>
          </w:p>
        </w:tc>
        <w:tc>
          <w:tcPr>
            <w:tcW w:w="6660" w:type="dxa"/>
          </w:tcPr>
          <w:p>
            <w:pPr>
              <w:rPr>
                <w:rFonts w:ascii="宋体" w:hAnsi="宋体"/>
                <w:sz w:val="22"/>
              </w:rPr>
            </w:pPr>
            <w:r>
              <w:rPr>
                <w:rFonts w:hint="eastAsia" w:ascii="宋体" w:hAnsi="宋体"/>
                <w:sz w:val="22"/>
              </w:rPr>
              <w:t>电焊机无防雨罩的，焊把线接头超过</w:t>
            </w:r>
            <w:r>
              <w:rPr>
                <w:rFonts w:ascii="宋体" w:hAnsi="宋体"/>
                <w:sz w:val="22"/>
              </w:rPr>
              <w:t>3</w:t>
            </w:r>
            <w:r>
              <w:rPr>
                <w:rFonts w:hint="eastAsia" w:ascii="宋体" w:hAnsi="宋体"/>
                <w:sz w:val="22"/>
              </w:rPr>
              <w:t>处或绝缘老化的</w:t>
            </w:r>
          </w:p>
        </w:tc>
        <w:tc>
          <w:tcPr>
            <w:tcW w:w="720" w:type="dxa"/>
            <w:vAlign w:val="center"/>
          </w:tcPr>
          <w:p>
            <w:pPr>
              <w:rPr>
                <w:rFonts w:ascii="宋体" w:hAnsi="宋体"/>
                <w:sz w:val="22"/>
              </w:rPr>
            </w:pPr>
            <w:r>
              <w:rPr>
                <w:rFonts w:hint="eastAsia" w:ascii="宋体" w:hAnsi="宋体"/>
                <w:sz w:val="22"/>
              </w:rPr>
              <w:t>建标</w:t>
            </w:r>
          </w:p>
        </w:tc>
        <w:tc>
          <w:tcPr>
            <w:tcW w:w="1440" w:type="dxa"/>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3.3.37</w:t>
            </w:r>
          </w:p>
        </w:tc>
        <w:tc>
          <w:tcPr>
            <w:tcW w:w="6660" w:type="dxa"/>
          </w:tcPr>
          <w:p>
            <w:pPr>
              <w:rPr>
                <w:rFonts w:ascii="宋体" w:hAnsi="宋体"/>
                <w:sz w:val="22"/>
              </w:rPr>
            </w:pPr>
            <w:r>
              <w:rPr>
                <w:rFonts w:hint="eastAsia" w:ascii="宋体" w:hAnsi="宋体"/>
                <w:sz w:val="22"/>
              </w:rPr>
              <w:t>各机械作业场所无防雨棚和作业台不安全的</w:t>
            </w:r>
          </w:p>
        </w:tc>
        <w:tc>
          <w:tcPr>
            <w:tcW w:w="720" w:type="dxa"/>
            <w:vAlign w:val="center"/>
          </w:tcPr>
          <w:p>
            <w:pPr>
              <w:rPr>
                <w:rFonts w:ascii="宋体" w:hAnsi="宋体"/>
                <w:sz w:val="22"/>
              </w:rPr>
            </w:pPr>
            <w:r>
              <w:rPr>
                <w:rFonts w:hint="eastAsia" w:ascii="宋体" w:hAnsi="宋体"/>
                <w:sz w:val="22"/>
              </w:rPr>
              <w:t>建标</w:t>
            </w:r>
          </w:p>
        </w:tc>
        <w:tc>
          <w:tcPr>
            <w:tcW w:w="1440" w:type="dxa"/>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3.4</w:t>
            </w:r>
          </w:p>
        </w:tc>
        <w:tc>
          <w:tcPr>
            <w:tcW w:w="6660" w:type="dxa"/>
          </w:tcPr>
          <w:p>
            <w:pPr>
              <w:rPr>
                <w:rFonts w:ascii="宋体" w:hAnsi="宋体"/>
                <w:sz w:val="22"/>
              </w:rPr>
            </w:pPr>
            <w:r>
              <w:rPr>
                <w:rFonts w:hint="eastAsia" w:ascii="宋体" w:hAnsi="宋体"/>
                <w:sz w:val="22"/>
              </w:rPr>
              <w:t>现场安全管理</w:t>
            </w:r>
          </w:p>
        </w:tc>
        <w:tc>
          <w:tcPr>
            <w:tcW w:w="720" w:type="dxa"/>
            <w:vAlign w:val="center"/>
          </w:tcPr>
          <w:p>
            <w:pPr>
              <w:rPr>
                <w:rFonts w:ascii="宋体" w:hAnsi="宋体"/>
                <w:sz w:val="22"/>
              </w:rPr>
            </w:pPr>
          </w:p>
        </w:tc>
        <w:tc>
          <w:tcPr>
            <w:tcW w:w="1440" w:type="dxa"/>
            <w:tcBorders>
              <w:top w:val="single" w:color="auto" w:sz="2" w:space="0"/>
              <w:bottom w:val="single" w:color="auto" w:sz="2" w:space="0"/>
            </w:tcBorders>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3.4.1</w:t>
            </w:r>
          </w:p>
        </w:tc>
        <w:tc>
          <w:tcPr>
            <w:tcW w:w="6660" w:type="dxa"/>
          </w:tcPr>
          <w:p>
            <w:pPr>
              <w:rPr>
                <w:rFonts w:ascii="宋体" w:hAnsi="宋体"/>
                <w:sz w:val="22"/>
              </w:rPr>
            </w:pPr>
            <w:r>
              <w:rPr>
                <w:rFonts w:hint="eastAsia" w:ascii="宋体" w:hAnsi="宋体"/>
                <w:sz w:val="22"/>
              </w:rPr>
              <w:t>各类操作人员无证上岗的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3.4.2</w:t>
            </w:r>
          </w:p>
        </w:tc>
        <w:tc>
          <w:tcPr>
            <w:tcW w:w="6660" w:type="dxa"/>
          </w:tcPr>
          <w:p>
            <w:pPr>
              <w:rPr>
                <w:rFonts w:ascii="宋体" w:hAnsi="宋体"/>
                <w:sz w:val="22"/>
              </w:rPr>
            </w:pPr>
            <w:r>
              <w:rPr>
                <w:rFonts w:hint="eastAsia" w:ascii="宋体" w:hAnsi="宋体"/>
                <w:sz w:val="22"/>
              </w:rPr>
              <w:t>专业性较强、危险性较大施工作业，现场无专业人员、安全管理人员旁站看护的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3.4.3</w:t>
            </w:r>
          </w:p>
        </w:tc>
        <w:tc>
          <w:tcPr>
            <w:tcW w:w="6660" w:type="dxa"/>
          </w:tcPr>
          <w:p>
            <w:pPr>
              <w:rPr>
                <w:rFonts w:ascii="宋体" w:hAnsi="宋体"/>
                <w:sz w:val="22"/>
              </w:rPr>
            </w:pPr>
            <w:r>
              <w:rPr>
                <w:rFonts w:hint="eastAsia" w:ascii="宋体" w:hAnsi="宋体"/>
                <w:sz w:val="22"/>
              </w:rPr>
              <w:t>作业人员不服管理、违反规章制度和操作规程冒险作业的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3.4.4</w:t>
            </w:r>
          </w:p>
        </w:tc>
        <w:tc>
          <w:tcPr>
            <w:tcW w:w="6660" w:type="dxa"/>
          </w:tcPr>
          <w:p>
            <w:pPr>
              <w:rPr>
                <w:rFonts w:ascii="宋体" w:hAnsi="宋体"/>
                <w:sz w:val="22"/>
              </w:rPr>
            </w:pPr>
            <w:r>
              <w:rPr>
                <w:rFonts w:hint="eastAsia" w:ascii="宋体" w:hAnsi="宋体"/>
                <w:sz w:val="22"/>
              </w:rPr>
              <w:t>施工人员不戴安全帽、高处作业人员不系安全带或不按要求系安全带</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3.4.5</w:t>
            </w:r>
          </w:p>
        </w:tc>
        <w:tc>
          <w:tcPr>
            <w:tcW w:w="6660" w:type="dxa"/>
          </w:tcPr>
          <w:p>
            <w:pPr>
              <w:rPr>
                <w:rFonts w:ascii="宋体" w:hAnsi="宋体"/>
                <w:sz w:val="22"/>
              </w:rPr>
            </w:pPr>
            <w:r>
              <w:rPr>
                <w:rFonts w:hint="eastAsia" w:ascii="宋体" w:hAnsi="宋体"/>
                <w:sz w:val="22"/>
              </w:rPr>
              <w:t>现场未按规定采取设置安全网等保障措施的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rFonts w:ascii="宋体" w:hAnsi="宋体"/>
                <w:sz w:val="22"/>
              </w:rPr>
            </w:pPr>
            <w:r>
              <w:rPr>
                <w:rFonts w:ascii="宋体" w:hAnsi="宋体"/>
                <w:sz w:val="22"/>
              </w:rPr>
              <w:t>3.4.6</w:t>
            </w:r>
          </w:p>
        </w:tc>
        <w:tc>
          <w:tcPr>
            <w:tcW w:w="6660" w:type="dxa"/>
            <w:tcBorders>
              <w:top w:val="single" w:color="auto" w:sz="2" w:space="0"/>
            </w:tcBorders>
          </w:tcPr>
          <w:p>
            <w:pPr>
              <w:rPr>
                <w:rFonts w:ascii="宋体" w:hAnsi="宋体"/>
                <w:sz w:val="22"/>
              </w:rPr>
            </w:pPr>
            <w:r>
              <w:rPr>
                <w:rFonts w:hint="eastAsia" w:ascii="宋体" w:hAnsi="宋体"/>
                <w:sz w:val="22"/>
              </w:rPr>
              <w:t>施工人员在施工现场抽烟的</w:t>
            </w:r>
          </w:p>
        </w:tc>
        <w:tc>
          <w:tcPr>
            <w:tcW w:w="720" w:type="dxa"/>
            <w:tcBorders>
              <w:top w:val="single" w:color="auto" w:sz="2" w:space="0"/>
            </w:tcBorders>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w:t>
            </w:r>
            <w:r>
              <w:rPr>
                <w:rFonts w:hint="eastAsia" w:ascii="宋体" w:hAnsi="宋体"/>
                <w:sz w:val="22"/>
              </w:rPr>
              <w:t>元</w:t>
            </w:r>
            <w:r>
              <w:rPr>
                <w:rFonts w:ascii="宋体" w:hAnsi="宋体"/>
                <w:sz w:val="22"/>
              </w:rPr>
              <w:t>/</w:t>
            </w:r>
            <w:r>
              <w:rPr>
                <w:rFonts w:hint="eastAsia" w:ascii="宋体" w:hAnsi="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3.5</w:t>
            </w:r>
          </w:p>
        </w:tc>
        <w:tc>
          <w:tcPr>
            <w:tcW w:w="6660" w:type="dxa"/>
          </w:tcPr>
          <w:p>
            <w:pPr>
              <w:rPr>
                <w:rFonts w:ascii="宋体" w:hAnsi="宋体"/>
                <w:sz w:val="22"/>
              </w:rPr>
            </w:pPr>
            <w:r>
              <w:rPr>
                <w:rFonts w:hint="eastAsia" w:ascii="宋体" w:hAnsi="宋体"/>
                <w:sz w:val="22"/>
              </w:rPr>
              <w:t>施工用电</w:t>
            </w:r>
          </w:p>
        </w:tc>
        <w:tc>
          <w:tcPr>
            <w:tcW w:w="720" w:type="dxa"/>
            <w:vAlign w:val="center"/>
          </w:tcPr>
          <w:p>
            <w:pPr>
              <w:rPr>
                <w:rFonts w:ascii="宋体" w:hAnsi="宋体"/>
                <w:sz w:val="22"/>
              </w:rPr>
            </w:pPr>
          </w:p>
        </w:tc>
        <w:tc>
          <w:tcPr>
            <w:tcW w:w="1440" w:type="dxa"/>
            <w:tcBorders>
              <w:top w:val="single" w:color="auto" w:sz="2" w:space="0"/>
              <w:bottom w:val="single" w:color="auto" w:sz="2" w:space="0"/>
            </w:tcBorders>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3.5.1</w:t>
            </w:r>
          </w:p>
        </w:tc>
        <w:tc>
          <w:tcPr>
            <w:tcW w:w="6660" w:type="dxa"/>
            <w:tcBorders>
              <w:bottom w:val="single" w:color="auto" w:sz="2" w:space="0"/>
            </w:tcBorders>
          </w:tcPr>
          <w:p>
            <w:pPr>
              <w:rPr>
                <w:rFonts w:ascii="宋体" w:hAnsi="宋体"/>
                <w:sz w:val="22"/>
              </w:rPr>
            </w:pPr>
            <w:r>
              <w:rPr>
                <w:rFonts w:hint="eastAsia" w:ascii="宋体" w:hAnsi="宋体"/>
                <w:sz w:val="22"/>
              </w:rPr>
              <w:t>外电小于安全距离无防护措施、防护措施不符合要求的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1008" w:type="dxa"/>
            <w:tcBorders>
              <w:top w:val="single" w:color="auto" w:sz="2" w:space="0"/>
            </w:tcBorders>
            <w:vAlign w:val="center"/>
          </w:tcPr>
          <w:p>
            <w:pPr>
              <w:rPr>
                <w:rFonts w:ascii="宋体" w:hAnsi="宋体"/>
                <w:sz w:val="22"/>
              </w:rPr>
            </w:pPr>
            <w:r>
              <w:rPr>
                <w:rFonts w:ascii="宋体" w:hAnsi="宋体"/>
                <w:sz w:val="22"/>
              </w:rPr>
              <w:t>3.5.2</w:t>
            </w:r>
          </w:p>
        </w:tc>
        <w:tc>
          <w:tcPr>
            <w:tcW w:w="6660" w:type="dxa"/>
            <w:tcBorders>
              <w:top w:val="single" w:color="auto" w:sz="2" w:space="0"/>
            </w:tcBorders>
          </w:tcPr>
          <w:p>
            <w:pPr>
              <w:rPr>
                <w:rFonts w:ascii="宋体" w:hAnsi="宋体"/>
                <w:sz w:val="22"/>
              </w:rPr>
            </w:pPr>
            <w:r>
              <w:rPr>
                <w:rFonts w:hint="eastAsia" w:ascii="宋体" w:hAnsi="宋体"/>
                <w:sz w:val="22"/>
              </w:rPr>
              <w:t>未采用</w:t>
            </w:r>
            <w:r>
              <w:rPr>
                <w:rFonts w:ascii="宋体" w:hAnsi="宋体"/>
                <w:sz w:val="22"/>
              </w:rPr>
              <w:t>TN—S</w:t>
            </w:r>
            <w:r>
              <w:rPr>
                <w:rFonts w:hint="eastAsia" w:ascii="宋体" w:hAnsi="宋体"/>
                <w:sz w:val="22"/>
              </w:rPr>
              <w:t>接零保护系统的、三级漏电保护系统的；专用保护零线（</w:t>
            </w:r>
            <w:r>
              <w:rPr>
                <w:rFonts w:ascii="宋体" w:hAnsi="宋体"/>
                <w:sz w:val="22"/>
              </w:rPr>
              <w:t>PE</w:t>
            </w:r>
            <w:r>
              <w:rPr>
                <w:rFonts w:hint="eastAsia" w:ascii="宋体" w:hAnsi="宋体"/>
                <w:sz w:val="22"/>
              </w:rPr>
              <w:t>线）设置不符合要求的、或保护零线（</w:t>
            </w:r>
            <w:r>
              <w:rPr>
                <w:rFonts w:ascii="宋体" w:hAnsi="宋体"/>
                <w:sz w:val="22"/>
              </w:rPr>
              <w:t>PE</w:t>
            </w:r>
            <w:r>
              <w:rPr>
                <w:rFonts w:hint="eastAsia" w:ascii="宋体" w:hAnsi="宋体"/>
                <w:sz w:val="22"/>
              </w:rPr>
              <w:t>线）与工作零线（</w:t>
            </w:r>
            <w:r>
              <w:rPr>
                <w:rFonts w:ascii="宋体" w:hAnsi="宋体"/>
                <w:sz w:val="22"/>
              </w:rPr>
              <w:t>N</w:t>
            </w:r>
            <w:r>
              <w:rPr>
                <w:rFonts w:hint="eastAsia" w:ascii="宋体" w:hAnsi="宋体"/>
                <w:sz w:val="22"/>
              </w:rPr>
              <w:t>线）混接的；纯动力电未用四芯电缆的，动力带照明电未使用五芯电缆的</w:t>
            </w:r>
          </w:p>
        </w:tc>
        <w:tc>
          <w:tcPr>
            <w:tcW w:w="720" w:type="dxa"/>
            <w:tcBorders>
              <w:top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3.5.3</w:t>
            </w:r>
          </w:p>
        </w:tc>
        <w:tc>
          <w:tcPr>
            <w:tcW w:w="6660" w:type="dxa"/>
            <w:tcBorders>
              <w:bottom w:val="single" w:color="auto" w:sz="2" w:space="0"/>
            </w:tcBorders>
          </w:tcPr>
          <w:p>
            <w:pPr>
              <w:rPr>
                <w:rFonts w:ascii="宋体" w:hAnsi="宋体"/>
                <w:sz w:val="22"/>
              </w:rPr>
            </w:pPr>
            <w:r>
              <w:rPr>
                <w:rFonts w:hint="eastAsia" w:ascii="宋体" w:hAnsi="宋体"/>
                <w:sz w:val="22"/>
              </w:rPr>
              <w:t>开关箱</w:t>
            </w:r>
            <w:r>
              <w:rPr>
                <w:rFonts w:ascii="宋体" w:hAnsi="宋体"/>
                <w:sz w:val="22"/>
              </w:rPr>
              <w:t>(</w:t>
            </w:r>
            <w:r>
              <w:rPr>
                <w:rFonts w:hint="eastAsia" w:ascii="宋体" w:hAnsi="宋体"/>
                <w:sz w:val="22"/>
              </w:rPr>
              <w:t>末级</w:t>
            </w:r>
            <w:r>
              <w:rPr>
                <w:rFonts w:ascii="宋体" w:hAnsi="宋体"/>
                <w:sz w:val="22"/>
              </w:rPr>
              <w:t>)</w:t>
            </w:r>
            <w:r>
              <w:rPr>
                <w:rFonts w:hint="eastAsia" w:ascii="宋体" w:hAnsi="宋体"/>
                <w:sz w:val="22"/>
              </w:rPr>
              <w:t>无漏电保护或保护器失灵、漏电保护装置参数不匹配</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008" w:type="dxa"/>
            <w:tcBorders>
              <w:top w:val="single" w:color="auto" w:sz="2" w:space="0"/>
              <w:bottom w:val="single" w:color="auto" w:sz="2" w:space="0"/>
            </w:tcBorders>
            <w:vAlign w:val="center"/>
          </w:tcPr>
          <w:p>
            <w:pPr>
              <w:rPr>
                <w:rFonts w:ascii="宋体" w:hAnsi="宋体"/>
                <w:sz w:val="22"/>
              </w:rPr>
            </w:pPr>
            <w:r>
              <w:rPr>
                <w:rFonts w:ascii="宋体" w:hAnsi="宋体"/>
                <w:sz w:val="22"/>
              </w:rPr>
              <w:t>3.5.4</w:t>
            </w:r>
          </w:p>
        </w:tc>
        <w:tc>
          <w:tcPr>
            <w:tcW w:w="6660" w:type="dxa"/>
            <w:tcBorders>
              <w:top w:val="single" w:color="auto" w:sz="2" w:space="0"/>
              <w:bottom w:val="single" w:color="auto" w:sz="2" w:space="0"/>
            </w:tcBorders>
          </w:tcPr>
          <w:p>
            <w:pPr>
              <w:rPr>
                <w:rFonts w:ascii="宋体" w:hAnsi="宋体"/>
                <w:sz w:val="22"/>
              </w:rPr>
            </w:pPr>
            <w:r>
              <w:rPr>
                <w:rFonts w:hint="eastAsia" w:ascii="宋体" w:hAnsi="宋体"/>
                <w:sz w:val="22"/>
              </w:rPr>
              <w:t>违反“</w:t>
            </w:r>
            <w:r>
              <w:rPr>
                <w:rFonts w:ascii="宋体" w:hAnsi="宋体"/>
                <w:sz w:val="22"/>
              </w:rPr>
              <w:t>—</w:t>
            </w:r>
            <w:r>
              <w:rPr>
                <w:rFonts w:hint="eastAsia" w:ascii="宋体" w:hAnsi="宋体"/>
                <w:sz w:val="22"/>
              </w:rPr>
              <w:t>机、一闸、一漏、一箱”的配置原则</w:t>
            </w:r>
          </w:p>
        </w:tc>
        <w:tc>
          <w:tcPr>
            <w:tcW w:w="720" w:type="dxa"/>
            <w:tcBorders>
              <w:top w:val="single" w:color="auto" w:sz="2" w:space="0"/>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008" w:type="dxa"/>
            <w:tcBorders>
              <w:top w:val="single" w:color="auto" w:sz="2" w:space="0"/>
              <w:bottom w:val="single" w:color="auto" w:sz="2" w:space="0"/>
            </w:tcBorders>
            <w:vAlign w:val="center"/>
          </w:tcPr>
          <w:p>
            <w:pPr>
              <w:rPr>
                <w:rFonts w:ascii="宋体" w:hAnsi="宋体"/>
                <w:sz w:val="22"/>
              </w:rPr>
            </w:pPr>
            <w:r>
              <w:rPr>
                <w:rFonts w:ascii="宋体" w:hAnsi="宋体"/>
                <w:sz w:val="22"/>
              </w:rPr>
              <w:t>3.5.5</w:t>
            </w:r>
          </w:p>
        </w:tc>
        <w:tc>
          <w:tcPr>
            <w:tcW w:w="6660" w:type="dxa"/>
            <w:tcBorders>
              <w:top w:val="single" w:color="auto" w:sz="2" w:space="0"/>
              <w:bottom w:val="single" w:color="auto" w:sz="2" w:space="0"/>
            </w:tcBorders>
          </w:tcPr>
          <w:p>
            <w:pPr>
              <w:rPr>
                <w:rFonts w:ascii="宋体" w:hAnsi="宋体"/>
                <w:sz w:val="22"/>
              </w:rPr>
            </w:pPr>
            <w:r>
              <w:rPr>
                <w:rFonts w:hint="eastAsia" w:ascii="宋体" w:hAnsi="宋体"/>
                <w:sz w:val="22"/>
              </w:rPr>
              <w:t>安装位置不当、周围杂物多不便操作、存在安全隐患</w:t>
            </w:r>
          </w:p>
        </w:tc>
        <w:tc>
          <w:tcPr>
            <w:tcW w:w="720" w:type="dxa"/>
            <w:tcBorders>
              <w:top w:val="single" w:color="auto" w:sz="2" w:space="0"/>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08" w:type="dxa"/>
            <w:tcBorders>
              <w:top w:val="single" w:color="auto" w:sz="2" w:space="0"/>
              <w:bottom w:val="single" w:color="auto" w:sz="2" w:space="0"/>
            </w:tcBorders>
            <w:vAlign w:val="center"/>
          </w:tcPr>
          <w:p>
            <w:pPr>
              <w:rPr>
                <w:rFonts w:ascii="宋体" w:hAnsi="宋体"/>
                <w:sz w:val="22"/>
              </w:rPr>
            </w:pPr>
            <w:r>
              <w:rPr>
                <w:rFonts w:ascii="宋体" w:hAnsi="宋体"/>
                <w:sz w:val="22"/>
              </w:rPr>
              <w:t>3.5.6</w:t>
            </w:r>
          </w:p>
        </w:tc>
        <w:tc>
          <w:tcPr>
            <w:tcW w:w="6660" w:type="dxa"/>
            <w:tcBorders>
              <w:top w:val="single" w:color="auto" w:sz="2" w:space="0"/>
              <w:bottom w:val="single" w:color="auto" w:sz="2" w:space="0"/>
            </w:tcBorders>
          </w:tcPr>
          <w:p>
            <w:pPr>
              <w:rPr>
                <w:rFonts w:ascii="宋体" w:hAnsi="宋体"/>
                <w:sz w:val="22"/>
              </w:rPr>
            </w:pPr>
            <w:r>
              <w:rPr>
                <w:rFonts w:hint="eastAsia" w:ascii="宋体" w:hAnsi="宋体"/>
                <w:sz w:val="22"/>
              </w:rPr>
              <w:t>电箱下引出线混乱、配电箱内多路配电无标记的</w:t>
            </w:r>
          </w:p>
        </w:tc>
        <w:tc>
          <w:tcPr>
            <w:tcW w:w="720" w:type="dxa"/>
            <w:tcBorders>
              <w:top w:val="single" w:color="auto" w:sz="2" w:space="0"/>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3.5.7</w:t>
            </w:r>
          </w:p>
        </w:tc>
        <w:tc>
          <w:tcPr>
            <w:tcW w:w="6660" w:type="dxa"/>
            <w:tcBorders>
              <w:bottom w:val="single" w:color="auto" w:sz="2" w:space="0"/>
            </w:tcBorders>
          </w:tcPr>
          <w:p>
            <w:pPr>
              <w:rPr>
                <w:rFonts w:ascii="宋体" w:hAnsi="宋体"/>
                <w:sz w:val="22"/>
              </w:rPr>
            </w:pPr>
            <w:r>
              <w:rPr>
                <w:rFonts w:hint="eastAsia" w:ascii="宋体" w:hAnsi="宋体"/>
                <w:sz w:val="22"/>
              </w:rPr>
              <w:t>电箱无门、无锁、无防雨措施或无责任人的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008" w:type="dxa"/>
            <w:tcBorders>
              <w:top w:val="single" w:color="auto" w:sz="2" w:space="0"/>
              <w:bottom w:val="single" w:color="auto" w:sz="2" w:space="0"/>
            </w:tcBorders>
            <w:vAlign w:val="center"/>
          </w:tcPr>
          <w:p>
            <w:pPr>
              <w:rPr>
                <w:rFonts w:ascii="宋体" w:hAnsi="宋体"/>
                <w:sz w:val="22"/>
              </w:rPr>
            </w:pPr>
            <w:r>
              <w:rPr>
                <w:rFonts w:ascii="宋体" w:hAnsi="宋体"/>
                <w:sz w:val="22"/>
              </w:rPr>
              <w:t>3.5.8</w:t>
            </w:r>
          </w:p>
        </w:tc>
        <w:tc>
          <w:tcPr>
            <w:tcW w:w="6660" w:type="dxa"/>
            <w:tcBorders>
              <w:top w:val="single" w:color="auto" w:sz="2" w:space="0"/>
              <w:bottom w:val="single" w:color="auto" w:sz="2" w:space="0"/>
            </w:tcBorders>
          </w:tcPr>
          <w:p>
            <w:pPr>
              <w:rPr>
                <w:rFonts w:ascii="宋体" w:hAnsi="宋体"/>
                <w:sz w:val="22"/>
              </w:rPr>
            </w:pPr>
            <w:r>
              <w:rPr>
                <w:rFonts w:hint="eastAsia" w:ascii="宋体" w:hAnsi="宋体"/>
                <w:sz w:val="22"/>
              </w:rPr>
              <w:t>室内线路及灯具安全高度低于</w:t>
            </w:r>
            <w:r>
              <w:rPr>
                <w:rFonts w:ascii="宋体" w:hAnsi="宋体"/>
                <w:sz w:val="22"/>
              </w:rPr>
              <w:t>2.4m</w:t>
            </w:r>
            <w:r>
              <w:rPr>
                <w:rFonts w:hint="eastAsia" w:ascii="宋体" w:hAnsi="宋体"/>
                <w:sz w:val="22"/>
              </w:rPr>
              <w:t>未使用安全电压供电的</w:t>
            </w:r>
          </w:p>
        </w:tc>
        <w:tc>
          <w:tcPr>
            <w:tcW w:w="720" w:type="dxa"/>
            <w:tcBorders>
              <w:top w:val="single" w:color="auto" w:sz="2" w:space="0"/>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008" w:type="dxa"/>
            <w:tcBorders>
              <w:top w:val="single" w:color="auto" w:sz="2" w:space="0"/>
              <w:bottom w:val="single" w:color="auto" w:sz="2" w:space="0"/>
            </w:tcBorders>
            <w:vAlign w:val="center"/>
          </w:tcPr>
          <w:p>
            <w:pPr>
              <w:rPr>
                <w:rFonts w:ascii="宋体" w:hAnsi="宋体"/>
                <w:sz w:val="22"/>
              </w:rPr>
            </w:pPr>
            <w:r>
              <w:rPr>
                <w:rFonts w:ascii="宋体" w:hAnsi="宋体"/>
                <w:sz w:val="22"/>
              </w:rPr>
              <w:t>3.5.9</w:t>
            </w:r>
          </w:p>
        </w:tc>
        <w:tc>
          <w:tcPr>
            <w:tcW w:w="6660" w:type="dxa"/>
            <w:tcBorders>
              <w:top w:val="single" w:color="auto" w:sz="2" w:space="0"/>
              <w:bottom w:val="single" w:color="auto" w:sz="2" w:space="0"/>
            </w:tcBorders>
          </w:tcPr>
          <w:p>
            <w:pPr>
              <w:rPr>
                <w:rFonts w:ascii="宋体" w:hAnsi="宋体"/>
                <w:sz w:val="22"/>
              </w:rPr>
            </w:pPr>
            <w:r>
              <w:rPr>
                <w:rFonts w:hint="eastAsia" w:ascii="宋体" w:hAnsi="宋体"/>
                <w:sz w:val="22"/>
              </w:rPr>
              <w:t>潮湿作业环境中未使用</w:t>
            </w:r>
            <w:r>
              <w:rPr>
                <w:rFonts w:ascii="宋体" w:hAnsi="宋体"/>
                <w:sz w:val="22"/>
              </w:rPr>
              <w:t>36v</w:t>
            </w:r>
            <w:r>
              <w:rPr>
                <w:rFonts w:hint="eastAsia" w:ascii="宋体" w:hAnsi="宋体"/>
                <w:sz w:val="22"/>
              </w:rPr>
              <w:t>以下安全电压照明灯具的、手持照明灯未使用</w:t>
            </w:r>
            <w:r>
              <w:rPr>
                <w:rFonts w:ascii="宋体" w:hAnsi="宋体"/>
                <w:sz w:val="22"/>
              </w:rPr>
              <w:t>36v</w:t>
            </w:r>
            <w:r>
              <w:rPr>
                <w:rFonts w:hint="eastAsia" w:ascii="宋体" w:hAnsi="宋体"/>
                <w:sz w:val="22"/>
              </w:rPr>
              <w:t>及以下电源供电</w:t>
            </w:r>
          </w:p>
        </w:tc>
        <w:tc>
          <w:tcPr>
            <w:tcW w:w="720" w:type="dxa"/>
            <w:tcBorders>
              <w:top w:val="single" w:color="auto" w:sz="2" w:space="0"/>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008" w:type="dxa"/>
            <w:tcBorders>
              <w:top w:val="single" w:color="auto" w:sz="2" w:space="0"/>
              <w:bottom w:val="single" w:color="auto" w:sz="2" w:space="0"/>
            </w:tcBorders>
            <w:vAlign w:val="center"/>
          </w:tcPr>
          <w:p>
            <w:pPr>
              <w:rPr>
                <w:rFonts w:ascii="宋体" w:hAnsi="宋体"/>
                <w:sz w:val="22"/>
              </w:rPr>
            </w:pPr>
            <w:r>
              <w:rPr>
                <w:rFonts w:ascii="宋体" w:hAnsi="宋体"/>
                <w:sz w:val="22"/>
              </w:rPr>
              <w:t>3.5.10</w:t>
            </w:r>
          </w:p>
        </w:tc>
        <w:tc>
          <w:tcPr>
            <w:tcW w:w="6660" w:type="dxa"/>
            <w:tcBorders>
              <w:top w:val="single" w:color="auto" w:sz="2" w:space="0"/>
              <w:bottom w:val="single" w:color="auto" w:sz="2" w:space="0"/>
            </w:tcBorders>
          </w:tcPr>
          <w:p>
            <w:pPr>
              <w:rPr>
                <w:rFonts w:ascii="宋体" w:hAnsi="宋体"/>
                <w:sz w:val="22"/>
              </w:rPr>
            </w:pPr>
            <w:r>
              <w:rPr>
                <w:rFonts w:hint="eastAsia" w:ascii="宋体" w:hAnsi="宋体"/>
                <w:sz w:val="22"/>
              </w:rPr>
              <w:t>电线老化、破皮、未按规范包扎的、电线私拉乱接、无过路保护的</w:t>
            </w:r>
          </w:p>
        </w:tc>
        <w:tc>
          <w:tcPr>
            <w:tcW w:w="720" w:type="dxa"/>
            <w:tcBorders>
              <w:top w:val="single" w:color="auto" w:sz="2" w:space="0"/>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008" w:type="dxa"/>
            <w:tcBorders>
              <w:top w:val="single" w:color="auto" w:sz="2" w:space="0"/>
              <w:bottom w:val="single" w:color="auto" w:sz="2" w:space="0"/>
            </w:tcBorders>
            <w:vAlign w:val="center"/>
          </w:tcPr>
          <w:p>
            <w:pPr>
              <w:rPr>
                <w:rFonts w:ascii="宋体" w:hAnsi="宋体"/>
                <w:sz w:val="22"/>
              </w:rPr>
            </w:pPr>
            <w:r>
              <w:rPr>
                <w:rFonts w:ascii="宋体" w:hAnsi="宋体"/>
                <w:sz w:val="22"/>
              </w:rPr>
              <w:t>3.5.11</w:t>
            </w:r>
          </w:p>
        </w:tc>
        <w:tc>
          <w:tcPr>
            <w:tcW w:w="6660" w:type="dxa"/>
            <w:tcBorders>
              <w:top w:val="single" w:color="auto" w:sz="2" w:space="0"/>
              <w:bottom w:val="single" w:color="auto" w:sz="2" w:space="0"/>
            </w:tcBorders>
          </w:tcPr>
          <w:p>
            <w:pPr>
              <w:rPr>
                <w:rFonts w:ascii="宋体" w:hAnsi="宋体"/>
                <w:sz w:val="22"/>
              </w:rPr>
            </w:pPr>
            <w:r>
              <w:rPr>
                <w:rFonts w:hint="eastAsia" w:ascii="宋体" w:hAnsi="宋体"/>
                <w:sz w:val="22"/>
              </w:rPr>
              <w:t>电杆、横担、架空线路不符合施工规范要求</w:t>
            </w:r>
          </w:p>
        </w:tc>
        <w:tc>
          <w:tcPr>
            <w:tcW w:w="720" w:type="dxa"/>
            <w:tcBorders>
              <w:top w:val="single" w:color="auto" w:sz="2" w:space="0"/>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008" w:type="dxa"/>
            <w:tcBorders>
              <w:top w:val="single" w:color="auto" w:sz="2" w:space="0"/>
              <w:bottom w:val="single" w:color="auto" w:sz="2" w:space="0"/>
            </w:tcBorders>
            <w:vAlign w:val="center"/>
          </w:tcPr>
          <w:p>
            <w:pPr>
              <w:rPr>
                <w:rFonts w:ascii="宋体" w:hAnsi="宋体"/>
                <w:sz w:val="22"/>
              </w:rPr>
            </w:pPr>
            <w:r>
              <w:rPr>
                <w:rFonts w:ascii="宋体" w:hAnsi="宋体"/>
                <w:sz w:val="22"/>
              </w:rPr>
              <w:t>3.5.12</w:t>
            </w:r>
          </w:p>
        </w:tc>
        <w:tc>
          <w:tcPr>
            <w:tcW w:w="6660" w:type="dxa"/>
            <w:tcBorders>
              <w:top w:val="single" w:color="auto" w:sz="2" w:space="0"/>
              <w:bottom w:val="single" w:color="auto" w:sz="2" w:space="0"/>
            </w:tcBorders>
          </w:tcPr>
          <w:p>
            <w:pPr>
              <w:rPr>
                <w:rFonts w:ascii="宋体" w:hAnsi="宋体"/>
                <w:sz w:val="22"/>
              </w:rPr>
            </w:pPr>
            <w:r>
              <w:rPr>
                <w:rFonts w:hint="eastAsia" w:ascii="宋体" w:hAnsi="宋体"/>
                <w:sz w:val="22"/>
              </w:rPr>
              <w:t>无用电管理档案、无接地极阻值摇测记录、电工巡视维修记录或填写不真实的</w:t>
            </w:r>
          </w:p>
        </w:tc>
        <w:tc>
          <w:tcPr>
            <w:tcW w:w="720" w:type="dxa"/>
            <w:tcBorders>
              <w:top w:val="single" w:color="auto" w:sz="2" w:space="0"/>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008" w:type="dxa"/>
            <w:tcBorders>
              <w:top w:val="single" w:color="auto" w:sz="2" w:space="0"/>
            </w:tcBorders>
            <w:vAlign w:val="center"/>
          </w:tcPr>
          <w:p>
            <w:pPr>
              <w:rPr>
                <w:rFonts w:ascii="宋体" w:hAnsi="宋体"/>
                <w:sz w:val="22"/>
              </w:rPr>
            </w:pPr>
            <w:r>
              <w:rPr>
                <w:rFonts w:ascii="宋体" w:hAnsi="宋体"/>
                <w:sz w:val="22"/>
              </w:rPr>
              <w:t>4</w:t>
            </w:r>
          </w:p>
        </w:tc>
        <w:tc>
          <w:tcPr>
            <w:tcW w:w="6660" w:type="dxa"/>
            <w:tcBorders>
              <w:top w:val="single" w:color="auto" w:sz="2" w:space="0"/>
            </w:tcBorders>
          </w:tcPr>
          <w:p>
            <w:pPr>
              <w:rPr>
                <w:rFonts w:ascii="宋体" w:hAnsi="宋体"/>
                <w:sz w:val="22"/>
              </w:rPr>
            </w:pPr>
            <w:r>
              <w:rPr>
                <w:rFonts w:hint="eastAsia" w:ascii="宋体" w:hAnsi="宋体"/>
                <w:sz w:val="22"/>
              </w:rPr>
              <w:t>消防安全与危险品管理</w:t>
            </w:r>
          </w:p>
        </w:tc>
        <w:tc>
          <w:tcPr>
            <w:tcW w:w="720" w:type="dxa"/>
            <w:tcBorders>
              <w:top w:val="single" w:color="auto" w:sz="2" w:space="0"/>
            </w:tcBorders>
            <w:vAlign w:val="center"/>
          </w:tcPr>
          <w:p>
            <w:pPr>
              <w:rPr>
                <w:rFonts w:ascii="宋体" w:hAnsi="宋体"/>
                <w:sz w:val="22"/>
              </w:rPr>
            </w:pPr>
          </w:p>
        </w:tc>
        <w:tc>
          <w:tcPr>
            <w:tcW w:w="1440" w:type="dxa"/>
            <w:tcBorders>
              <w:top w:val="single" w:color="auto" w:sz="2" w:space="0"/>
              <w:bottom w:val="single" w:color="auto" w:sz="2" w:space="0"/>
            </w:tcBorders>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rFonts w:ascii="宋体" w:hAnsi="宋体"/>
                <w:sz w:val="22"/>
              </w:rPr>
            </w:pPr>
            <w:r>
              <w:rPr>
                <w:rFonts w:ascii="宋体" w:hAnsi="宋体"/>
                <w:sz w:val="22"/>
              </w:rPr>
              <w:t>4.1</w:t>
            </w:r>
          </w:p>
        </w:tc>
        <w:tc>
          <w:tcPr>
            <w:tcW w:w="6660" w:type="dxa"/>
            <w:tcBorders>
              <w:top w:val="single" w:color="auto" w:sz="2" w:space="0"/>
            </w:tcBorders>
          </w:tcPr>
          <w:p>
            <w:pPr>
              <w:rPr>
                <w:rFonts w:ascii="宋体" w:hAnsi="宋体"/>
                <w:sz w:val="22"/>
              </w:rPr>
            </w:pPr>
            <w:r>
              <w:rPr>
                <w:rFonts w:hint="eastAsia" w:ascii="宋体" w:hAnsi="宋体"/>
                <w:sz w:val="22"/>
              </w:rPr>
              <w:t>未制定消防安全管理规章制度或规章制度不健全的</w:t>
            </w:r>
          </w:p>
        </w:tc>
        <w:tc>
          <w:tcPr>
            <w:tcW w:w="720" w:type="dxa"/>
            <w:tcBorders>
              <w:top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rFonts w:ascii="宋体" w:hAnsi="宋体"/>
                <w:sz w:val="22"/>
              </w:rPr>
            </w:pPr>
            <w:r>
              <w:rPr>
                <w:rFonts w:ascii="宋体" w:hAnsi="宋体"/>
                <w:sz w:val="22"/>
              </w:rPr>
              <w:t>4.2</w:t>
            </w:r>
          </w:p>
        </w:tc>
        <w:tc>
          <w:tcPr>
            <w:tcW w:w="6660" w:type="dxa"/>
            <w:tcBorders>
              <w:top w:val="single" w:color="auto" w:sz="2" w:space="0"/>
            </w:tcBorders>
          </w:tcPr>
          <w:p>
            <w:pPr>
              <w:rPr>
                <w:rFonts w:ascii="宋体" w:hAnsi="宋体"/>
                <w:sz w:val="22"/>
              </w:rPr>
            </w:pPr>
            <w:r>
              <w:rPr>
                <w:rFonts w:hint="eastAsia" w:ascii="宋体" w:hAnsi="宋体"/>
                <w:sz w:val="22"/>
              </w:rPr>
              <w:t>未制定各工种用火、用电、使用易燃材料等各项消防安全操作规程的</w:t>
            </w:r>
          </w:p>
        </w:tc>
        <w:tc>
          <w:tcPr>
            <w:tcW w:w="720" w:type="dxa"/>
            <w:tcBorders>
              <w:top w:val="single" w:color="auto" w:sz="2" w:space="0"/>
            </w:tcBorders>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rFonts w:ascii="宋体" w:hAnsi="宋体"/>
                <w:sz w:val="22"/>
              </w:rPr>
            </w:pPr>
            <w:r>
              <w:rPr>
                <w:rFonts w:ascii="宋体" w:hAnsi="宋体"/>
                <w:sz w:val="22"/>
              </w:rPr>
              <w:t>4.3</w:t>
            </w:r>
          </w:p>
        </w:tc>
        <w:tc>
          <w:tcPr>
            <w:tcW w:w="6660" w:type="dxa"/>
            <w:tcBorders>
              <w:top w:val="single" w:color="auto" w:sz="2" w:space="0"/>
            </w:tcBorders>
          </w:tcPr>
          <w:p>
            <w:pPr>
              <w:rPr>
                <w:rFonts w:ascii="宋体" w:hAnsi="宋体"/>
                <w:sz w:val="22"/>
              </w:rPr>
            </w:pPr>
            <w:r>
              <w:rPr>
                <w:rFonts w:hint="eastAsia" w:ascii="宋体" w:hAnsi="宋体"/>
                <w:sz w:val="22"/>
              </w:rPr>
              <w:t>未健全消防安全网络（配备专职或兼职消防员），并报备的</w:t>
            </w:r>
          </w:p>
        </w:tc>
        <w:tc>
          <w:tcPr>
            <w:tcW w:w="720" w:type="dxa"/>
            <w:tcBorders>
              <w:top w:val="single" w:color="auto" w:sz="2" w:space="0"/>
            </w:tcBorders>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rFonts w:ascii="宋体" w:hAnsi="宋体"/>
                <w:sz w:val="22"/>
              </w:rPr>
            </w:pPr>
            <w:r>
              <w:rPr>
                <w:rFonts w:ascii="宋体" w:hAnsi="宋体"/>
                <w:sz w:val="22"/>
              </w:rPr>
              <w:t>4.4</w:t>
            </w:r>
          </w:p>
        </w:tc>
        <w:tc>
          <w:tcPr>
            <w:tcW w:w="6660" w:type="dxa"/>
            <w:tcBorders>
              <w:top w:val="single" w:color="auto" w:sz="2" w:space="0"/>
            </w:tcBorders>
          </w:tcPr>
          <w:p>
            <w:pPr>
              <w:rPr>
                <w:rFonts w:ascii="宋体" w:hAnsi="宋体"/>
                <w:sz w:val="22"/>
              </w:rPr>
            </w:pPr>
            <w:r>
              <w:rPr>
                <w:rFonts w:hint="eastAsia" w:ascii="宋体" w:hAnsi="宋体"/>
                <w:sz w:val="22"/>
              </w:rPr>
              <w:t>无专（兼）职义务消防队，或消防队员未掌握基本消防知识和操作技能的</w:t>
            </w:r>
          </w:p>
        </w:tc>
        <w:tc>
          <w:tcPr>
            <w:tcW w:w="720" w:type="dxa"/>
            <w:tcBorders>
              <w:top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rFonts w:ascii="宋体" w:hAnsi="宋体"/>
                <w:sz w:val="22"/>
              </w:rPr>
            </w:pPr>
            <w:r>
              <w:rPr>
                <w:rFonts w:ascii="宋体" w:hAnsi="宋体"/>
                <w:sz w:val="22"/>
              </w:rPr>
              <w:t>4.5</w:t>
            </w:r>
          </w:p>
        </w:tc>
        <w:tc>
          <w:tcPr>
            <w:tcW w:w="6660" w:type="dxa"/>
            <w:tcBorders>
              <w:top w:val="single" w:color="auto" w:sz="2" w:space="0"/>
            </w:tcBorders>
          </w:tcPr>
          <w:p>
            <w:pPr>
              <w:rPr>
                <w:rFonts w:ascii="宋体" w:hAnsi="宋体"/>
                <w:sz w:val="22"/>
              </w:rPr>
            </w:pPr>
            <w:r>
              <w:rPr>
                <w:rFonts w:hint="eastAsia" w:ascii="宋体" w:hAnsi="宋体"/>
                <w:sz w:val="22"/>
              </w:rPr>
              <w:t>未制定灭火和应急疏散预案并开展消防应急演练的</w:t>
            </w:r>
          </w:p>
        </w:tc>
        <w:tc>
          <w:tcPr>
            <w:tcW w:w="720" w:type="dxa"/>
            <w:tcBorders>
              <w:top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4.6</w:t>
            </w:r>
          </w:p>
        </w:tc>
        <w:tc>
          <w:tcPr>
            <w:tcW w:w="6660" w:type="dxa"/>
            <w:tcBorders>
              <w:top w:val="single" w:color="auto" w:sz="2" w:space="0"/>
            </w:tcBorders>
          </w:tcPr>
          <w:p>
            <w:pPr>
              <w:rPr>
                <w:rFonts w:ascii="宋体" w:hAnsi="宋体"/>
                <w:sz w:val="22"/>
              </w:rPr>
            </w:pPr>
            <w:r>
              <w:rPr>
                <w:rFonts w:hint="eastAsia" w:ascii="宋体" w:hAnsi="宋体"/>
                <w:sz w:val="22"/>
              </w:rPr>
              <w:t>未组织开展各类防火检查，并及时采取措施整改发现的隐患、问题的</w:t>
            </w:r>
          </w:p>
        </w:tc>
        <w:tc>
          <w:tcPr>
            <w:tcW w:w="720" w:type="dxa"/>
            <w:tcBorders>
              <w:top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rFonts w:ascii="宋体" w:hAnsi="宋体"/>
                <w:sz w:val="22"/>
              </w:rPr>
            </w:pPr>
            <w:r>
              <w:rPr>
                <w:rFonts w:ascii="宋体" w:hAnsi="宋体"/>
                <w:sz w:val="22"/>
              </w:rPr>
              <w:t>4.7</w:t>
            </w:r>
          </w:p>
        </w:tc>
        <w:tc>
          <w:tcPr>
            <w:tcW w:w="6660" w:type="dxa"/>
            <w:tcBorders>
              <w:top w:val="single" w:color="auto" w:sz="2" w:space="0"/>
            </w:tcBorders>
          </w:tcPr>
          <w:p>
            <w:pPr>
              <w:rPr>
                <w:rFonts w:ascii="宋体" w:hAnsi="宋体"/>
                <w:sz w:val="22"/>
              </w:rPr>
            </w:pPr>
            <w:r>
              <w:rPr>
                <w:rFonts w:hint="eastAsia" w:ascii="宋体" w:hAnsi="宋体"/>
                <w:sz w:val="22"/>
              </w:rPr>
              <w:t>对重大消防安全隐患未能及时整改、处理的</w:t>
            </w:r>
          </w:p>
        </w:tc>
        <w:tc>
          <w:tcPr>
            <w:tcW w:w="720" w:type="dxa"/>
            <w:tcBorders>
              <w:top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rFonts w:ascii="宋体" w:hAnsi="宋体"/>
                <w:sz w:val="22"/>
              </w:rPr>
            </w:pPr>
            <w:r>
              <w:rPr>
                <w:rFonts w:ascii="宋体" w:hAnsi="宋体"/>
                <w:sz w:val="22"/>
              </w:rPr>
              <w:t>4.8</w:t>
            </w:r>
          </w:p>
        </w:tc>
        <w:tc>
          <w:tcPr>
            <w:tcW w:w="6660" w:type="dxa"/>
            <w:tcBorders>
              <w:top w:val="single" w:color="auto" w:sz="2" w:space="0"/>
            </w:tcBorders>
          </w:tcPr>
          <w:p>
            <w:pPr>
              <w:rPr>
                <w:rFonts w:ascii="宋体" w:hAnsi="宋体"/>
                <w:sz w:val="22"/>
              </w:rPr>
            </w:pPr>
            <w:r>
              <w:rPr>
                <w:rFonts w:hint="eastAsia" w:ascii="宋体" w:hAnsi="宋体"/>
                <w:sz w:val="22"/>
              </w:rPr>
              <w:t>未建立消防安全管理台帐或台帐缺失的</w:t>
            </w:r>
          </w:p>
        </w:tc>
        <w:tc>
          <w:tcPr>
            <w:tcW w:w="720" w:type="dxa"/>
            <w:tcBorders>
              <w:top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rFonts w:ascii="宋体" w:hAnsi="宋体"/>
                <w:sz w:val="22"/>
              </w:rPr>
            </w:pPr>
            <w:r>
              <w:rPr>
                <w:rFonts w:ascii="宋体" w:hAnsi="宋体"/>
                <w:sz w:val="22"/>
              </w:rPr>
              <w:t>4.9</w:t>
            </w:r>
          </w:p>
        </w:tc>
        <w:tc>
          <w:tcPr>
            <w:tcW w:w="6660" w:type="dxa"/>
            <w:tcBorders>
              <w:top w:val="single" w:color="auto" w:sz="2" w:space="0"/>
            </w:tcBorders>
          </w:tcPr>
          <w:p>
            <w:pPr>
              <w:rPr>
                <w:rFonts w:ascii="宋体" w:hAnsi="宋体"/>
                <w:sz w:val="22"/>
              </w:rPr>
            </w:pPr>
            <w:r>
              <w:rPr>
                <w:rFonts w:hint="eastAsia" w:ascii="宋体" w:hAnsi="宋体"/>
                <w:sz w:val="22"/>
              </w:rPr>
              <w:t>未组织开展消防安全知识教育培训，施工人员不了解本岗位防火措施、遇险报警、初期扑救及自救逃生的知识和技能的</w:t>
            </w:r>
          </w:p>
        </w:tc>
        <w:tc>
          <w:tcPr>
            <w:tcW w:w="720" w:type="dxa"/>
            <w:tcBorders>
              <w:top w:val="single" w:color="auto" w:sz="2" w:space="0"/>
            </w:tcBorders>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rFonts w:ascii="宋体" w:hAnsi="宋体"/>
                <w:sz w:val="22"/>
              </w:rPr>
            </w:pPr>
            <w:r>
              <w:rPr>
                <w:rFonts w:ascii="宋体" w:hAnsi="宋体"/>
                <w:sz w:val="22"/>
              </w:rPr>
              <w:t>4.10</w:t>
            </w:r>
          </w:p>
        </w:tc>
        <w:tc>
          <w:tcPr>
            <w:tcW w:w="6660" w:type="dxa"/>
            <w:tcBorders>
              <w:top w:val="single" w:color="auto" w:sz="2" w:space="0"/>
            </w:tcBorders>
          </w:tcPr>
          <w:p>
            <w:pPr>
              <w:rPr>
                <w:rFonts w:ascii="宋体" w:hAnsi="宋体"/>
                <w:sz w:val="22"/>
              </w:rPr>
            </w:pPr>
            <w:r>
              <w:rPr>
                <w:rFonts w:hint="eastAsia" w:ascii="宋体" w:hAnsi="宋体"/>
                <w:sz w:val="22"/>
              </w:rPr>
              <w:t>施工现场未设置必要足够安全疏散指示标志、防火禁烟标志机场火警电话的</w:t>
            </w:r>
          </w:p>
        </w:tc>
        <w:tc>
          <w:tcPr>
            <w:tcW w:w="720" w:type="dxa"/>
            <w:tcBorders>
              <w:top w:val="single" w:color="auto" w:sz="2" w:space="0"/>
            </w:tcBorders>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4.11</w:t>
            </w:r>
          </w:p>
        </w:tc>
        <w:tc>
          <w:tcPr>
            <w:tcW w:w="6660" w:type="dxa"/>
          </w:tcPr>
          <w:p>
            <w:pPr>
              <w:rPr>
                <w:rFonts w:ascii="宋体" w:hAnsi="宋体"/>
                <w:sz w:val="22"/>
              </w:rPr>
            </w:pPr>
            <w:r>
              <w:rPr>
                <w:rFonts w:hint="eastAsia" w:ascii="宋体" w:hAnsi="宋体"/>
                <w:sz w:val="22"/>
              </w:rPr>
              <w:t>重点消防部位无人看护或巡视、无消防警示标志牌，值守巡视人员脱岗或不履行职责的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rFonts w:ascii="宋体" w:hAnsi="宋体"/>
                <w:sz w:val="22"/>
              </w:rPr>
            </w:pPr>
            <w:r>
              <w:rPr>
                <w:rFonts w:ascii="宋体" w:hAnsi="宋体"/>
                <w:sz w:val="22"/>
              </w:rPr>
              <w:t>4.12</w:t>
            </w:r>
          </w:p>
        </w:tc>
        <w:tc>
          <w:tcPr>
            <w:tcW w:w="6660" w:type="dxa"/>
            <w:tcBorders>
              <w:top w:val="single" w:color="auto" w:sz="2" w:space="0"/>
            </w:tcBorders>
          </w:tcPr>
          <w:p>
            <w:pPr>
              <w:rPr>
                <w:rFonts w:ascii="宋体" w:hAnsi="宋体"/>
                <w:sz w:val="22"/>
              </w:rPr>
            </w:pPr>
            <w:r>
              <w:rPr>
                <w:rFonts w:hint="eastAsia" w:ascii="宋体" w:hAnsi="宋体"/>
                <w:sz w:val="22"/>
              </w:rPr>
              <w:t>易燃、易爆物品不按规定进行分类存放或管理不善、无人看护、管理的</w:t>
            </w:r>
          </w:p>
        </w:tc>
        <w:tc>
          <w:tcPr>
            <w:tcW w:w="720" w:type="dxa"/>
            <w:tcBorders>
              <w:top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4.13</w:t>
            </w:r>
          </w:p>
        </w:tc>
        <w:tc>
          <w:tcPr>
            <w:tcW w:w="6660" w:type="dxa"/>
          </w:tcPr>
          <w:p>
            <w:pPr>
              <w:rPr>
                <w:rFonts w:ascii="宋体" w:hAnsi="宋体"/>
                <w:sz w:val="22"/>
              </w:rPr>
            </w:pPr>
            <w:r>
              <w:rPr>
                <w:rFonts w:hint="eastAsia" w:ascii="宋体" w:hAnsi="宋体"/>
                <w:sz w:val="22"/>
              </w:rPr>
              <w:t>未设或侵占疏散通道、安全出口、消防通道，或通道出口不畅通、应急照明不符合规定的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4.14</w:t>
            </w:r>
          </w:p>
        </w:tc>
        <w:tc>
          <w:tcPr>
            <w:tcW w:w="6660" w:type="dxa"/>
          </w:tcPr>
          <w:p>
            <w:pPr>
              <w:rPr>
                <w:rFonts w:ascii="宋体" w:hAnsi="宋体"/>
                <w:sz w:val="22"/>
              </w:rPr>
            </w:pPr>
            <w:r>
              <w:rPr>
                <w:rFonts w:hint="eastAsia" w:ascii="宋体" w:hAnsi="宋体"/>
                <w:sz w:val="22"/>
              </w:rPr>
              <w:t>工地现场未设置消火水源（消火栓）或消火水源不齐全、不合理，不能满足消防要求的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08" w:type="dxa"/>
            <w:tcBorders>
              <w:top w:val="single" w:color="auto" w:sz="2" w:space="0"/>
              <w:bottom w:val="single" w:color="auto" w:sz="2" w:space="0"/>
            </w:tcBorders>
            <w:vAlign w:val="center"/>
          </w:tcPr>
          <w:p>
            <w:pPr>
              <w:rPr>
                <w:rFonts w:ascii="宋体" w:hAnsi="宋体"/>
                <w:sz w:val="22"/>
              </w:rPr>
            </w:pPr>
            <w:r>
              <w:rPr>
                <w:rFonts w:ascii="宋体" w:hAnsi="宋体"/>
                <w:sz w:val="22"/>
              </w:rPr>
              <w:t>4.15</w:t>
            </w:r>
          </w:p>
        </w:tc>
        <w:tc>
          <w:tcPr>
            <w:tcW w:w="6660" w:type="dxa"/>
            <w:tcBorders>
              <w:top w:val="single" w:color="auto" w:sz="2" w:space="0"/>
              <w:bottom w:val="single" w:color="auto" w:sz="2" w:space="0"/>
            </w:tcBorders>
          </w:tcPr>
          <w:p>
            <w:pPr>
              <w:rPr>
                <w:rFonts w:ascii="宋体" w:hAnsi="宋体"/>
                <w:sz w:val="22"/>
              </w:rPr>
            </w:pPr>
            <w:r>
              <w:rPr>
                <w:rFonts w:hint="eastAsia" w:ascii="宋体" w:hAnsi="宋体"/>
                <w:sz w:val="22"/>
              </w:rPr>
              <w:t>工地现场灭火器、灭火砂、水桶、铁锹等消防设施、器材配置不全、不足、失效，或被遮挡影响使用，或被挪作他用的</w:t>
            </w:r>
          </w:p>
        </w:tc>
        <w:tc>
          <w:tcPr>
            <w:tcW w:w="720" w:type="dxa"/>
            <w:tcBorders>
              <w:top w:val="single" w:color="auto" w:sz="2" w:space="0"/>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4.16</w:t>
            </w:r>
          </w:p>
        </w:tc>
        <w:tc>
          <w:tcPr>
            <w:tcW w:w="6660" w:type="dxa"/>
          </w:tcPr>
          <w:p>
            <w:pPr>
              <w:rPr>
                <w:rFonts w:ascii="宋体" w:hAnsi="宋体"/>
                <w:sz w:val="22"/>
              </w:rPr>
            </w:pPr>
            <w:r>
              <w:rPr>
                <w:rFonts w:hint="eastAsia" w:ascii="宋体" w:hAnsi="宋体"/>
                <w:sz w:val="22"/>
              </w:rPr>
              <w:t>灭火器材无专人维护、保养、检查和登记管理的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4.17</w:t>
            </w:r>
          </w:p>
        </w:tc>
        <w:tc>
          <w:tcPr>
            <w:tcW w:w="6660" w:type="dxa"/>
          </w:tcPr>
          <w:p>
            <w:pPr>
              <w:rPr>
                <w:rFonts w:ascii="宋体" w:hAnsi="宋体"/>
                <w:sz w:val="22"/>
              </w:rPr>
            </w:pPr>
            <w:r>
              <w:rPr>
                <w:rFonts w:hint="eastAsia" w:ascii="宋体" w:hAnsi="宋体"/>
                <w:sz w:val="22"/>
              </w:rPr>
              <w:t>违章关闭消防设施、切断电源或挪用消防灭火器材的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4.18</w:t>
            </w:r>
          </w:p>
        </w:tc>
        <w:tc>
          <w:tcPr>
            <w:tcW w:w="6660" w:type="dxa"/>
          </w:tcPr>
          <w:p>
            <w:pPr>
              <w:rPr>
                <w:rFonts w:ascii="宋体" w:hAnsi="宋体"/>
                <w:sz w:val="22"/>
              </w:rPr>
            </w:pPr>
            <w:r>
              <w:rPr>
                <w:rFonts w:hint="eastAsia" w:ascii="宋体" w:hAnsi="宋体"/>
                <w:sz w:val="22"/>
              </w:rPr>
              <w:t>动火作业未经机场公安消防管理部门审查批准的</w:t>
            </w:r>
          </w:p>
        </w:tc>
        <w:tc>
          <w:tcPr>
            <w:tcW w:w="720" w:type="dxa"/>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1008" w:type="dxa"/>
            <w:tcBorders>
              <w:top w:val="single" w:color="auto" w:sz="2" w:space="0"/>
            </w:tcBorders>
            <w:vAlign w:val="center"/>
          </w:tcPr>
          <w:p>
            <w:pPr>
              <w:rPr>
                <w:rFonts w:ascii="宋体" w:hAnsi="宋体"/>
                <w:sz w:val="22"/>
              </w:rPr>
            </w:pPr>
            <w:r>
              <w:rPr>
                <w:rFonts w:ascii="宋体" w:hAnsi="宋体"/>
                <w:sz w:val="22"/>
              </w:rPr>
              <w:t>4.19</w:t>
            </w:r>
          </w:p>
        </w:tc>
        <w:tc>
          <w:tcPr>
            <w:tcW w:w="6660" w:type="dxa"/>
            <w:tcBorders>
              <w:top w:val="single" w:color="auto" w:sz="2" w:space="0"/>
            </w:tcBorders>
          </w:tcPr>
          <w:p>
            <w:pPr>
              <w:rPr>
                <w:rFonts w:ascii="宋体" w:hAnsi="宋体"/>
                <w:sz w:val="22"/>
              </w:rPr>
            </w:pPr>
            <w:r>
              <w:rPr>
                <w:rFonts w:hint="eastAsia" w:ascii="宋体" w:hAnsi="宋体"/>
                <w:sz w:val="22"/>
              </w:rPr>
              <w:t>施工现场未及时清理地面可燃物，动火作业未清理地面可燃物的</w:t>
            </w:r>
          </w:p>
        </w:tc>
        <w:tc>
          <w:tcPr>
            <w:tcW w:w="720" w:type="dxa"/>
            <w:tcBorders>
              <w:top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4.20</w:t>
            </w:r>
          </w:p>
        </w:tc>
        <w:tc>
          <w:tcPr>
            <w:tcW w:w="6660" w:type="dxa"/>
          </w:tcPr>
          <w:p>
            <w:pPr>
              <w:rPr>
                <w:rFonts w:ascii="宋体" w:hAnsi="宋体"/>
                <w:sz w:val="22"/>
              </w:rPr>
            </w:pPr>
            <w:r>
              <w:rPr>
                <w:rFonts w:hint="eastAsia" w:ascii="宋体" w:hAnsi="宋体"/>
                <w:sz w:val="22"/>
              </w:rPr>
              <w:t>动火作业无接火盆、现场无看火人、灭火器材配备不足、过期、失效的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4.21</w:t>
            </w:r>
          </w:p>
        </w:tc>
        <w:tc>
          <w:tcPr>
            <w:tcW w:w="6660" w:type="dxa"/>
          </w:tcPr>
          <w:p>
            <w:pPr>
              <w:rPr>
                <w:rFonts w:ascii="宋体" w:hAnsi="宋体"/>
                <w:sz w:val="22"/>
              </w:rPr>
            </w:pPr>
            <w:r>
              <w:rPr>
                <w:rFonts w:hint="eastAsia" w:ascii="宋体" w:hAnsi="宋体"/>
                <w:sz w:val="22"/>
              </w:rPr>
              <w:t>动火作业火花隔层溅落未采取有效安全措施的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tcBorders>
            <w:vAlign w:val="center"/>
          </w:tcPr>
          <w:p>
            <w:pPr>
              <w:rPr>
                <w:rFonts w:ascii="宋体" w:hAnsi="宋体"/>
                <w:sz w:val="22"/>
              </w:rPr>
            </w:pPr>
            <w:r>
              <w:rPr>
                <w:rFonts w:ascii="宋体" w:hAnsi="宋体"/>
                <w:sz w:val="22"/>
              </w:rPr>
              <w:t>4.22</w:t>
            </w:r>
          </w:p>
        </w:tc>
        <w:tc>
          <w:tcPr>
            <w:tcW w:w="6660" w:type="dxa"/>
            <w:tcBorders>
              <w:top w:val="single" w:color="auto" w:sz="2" w:space="0"/>
            </w:tcBorders>
          </w:tcPr>
          <w:p>
            <w:pPr>
              <w:rPr>
                <w:rFonts w:ascii="宋体" w:hAnsi="宋体"/>
                <w:sz w:val="22"/>
              </w:rPr>
            </w:pPr>
            <w:r>
              <w:rPr>
                <w:rFonts w:hint="eastAsia" w:ascii="宋体" w:hAnsi="宋体"/>
                <w:sz w:val="22"/>
              </w:rPr>
              <w:t>气瓶无标准色标，无防震圈和防护帽的</w:t>
            </w:r>
          </w:p>
        </w:tc>
        <w:tc>
          <w:tcPr>
            <w:tcW w:w="720" w:type="dxa"/>
            <w:tcBorders>
              <w:top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4.23</w:t>
            </w:r>
          </w:p>
        </w:tc>
        <w:tc>
          <w:tcPr>
            <w:tcW w:w="6660" w:type="dxa"/>
          </w:tcPr>
          <w:p>
            <w:pPr>
              <w:rPr>
                <w:rFonts w:ascii="宋体" w:hAnsi="宋体"/>
                <w:sz w:val="22"/>
              </w:rPr>
            </w:pPr>
            <w:r>
              <w:rPr>
                <w:rFonts w:hint="eastAsia" w:ascii="宋体" w:hAnsi="宋体"/>
                <w:sz w:val="22"/>
              </w:rPr>
              <w:t>气瓶横放或气瓶间距小于</w:t>
            </w:r>
            <w:r>
              <w:rPr>
                <w:rFonts w:ascii="宋体" w:hAnsi="宋体"/>
                <w:sz w:val="22"/>
              </w:rPr>
              <w:t>5</w:t>
            </w:r>
            <w:r>
              <w:rPr>
                <w:rFonts w:hint="eastAsia" w:ascii="宋体" w:hAnsi="宋体"/>
                <w:sz w:val="22"/>
              </w:rPr>
              <w:t>米、距明火小于</w:t>
            </w:r>
            <w:r>
              <w:rPr>
                <w:rFonts w:ascii="宋体" w:hAnsi="宋体"/>
                <w:sz w:val="22"/>
              </w:rPr>
              <w:t>10</w:t>
            </w:r>
            <w:r>
              <w:rPr>
                <w:rFonts w:hint="eastAsia" w:ascii="宋体" w:hAnsi="宋体"/>
                <w:sz w:val="22"/>
              </w:rPr>
              <w:t>米又无隔离措施的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4.24</w:t>
            </w:r>
          </w:p>
        </w:tc>
        <w:tc>
          <w:tcPr>
            <w:tcW w:w="6660" w:type="dxa"/>
          </w:tcPr>
          <w:p>
            <w:pPr>
              <w:rPr>
                <w:rFonts w:ascii="宋体" w:hAnsi="宋体"/>
                <w:sz w:val="22"/>
              </w:rPr>
            </w:pPr>
            <w:r>
              <w:rPr>
                <w:rFonts w:hint="eastAsia" w:ascii="宋体" w:hAnsi="宋体"/>
                <w:sz w:val="22"/>
              </w:rPr>
              <w:t>乙炔瓶使用或存放时平放或不按规定存放的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4.25</w:t>
            </w:r>
          </w:p>
        </w:tc>
        <w:tc>
          <w:tcPr>
            <w:tcW w:w="6660" w:type="dxa"/>
          </w:tcPr>
          <w:p>
            <w:pPr>
              <w:rPr>
                <w:rFonts w:ascii="宋体" w:hAnsi="宋体"/>
                <w:sz w:val="22"/>
              </w:rPr>
            </w:pPr>
            <w:r>
              <w:rPr>
                <w:rFonts w:hint="eastAsia" w:ascii="宋体" w:hAnsi="宋体"/>
                <w:sz w:val="22"/>
              </w:rPr>
              <w:t>发生其它违反国家消防法律法规，消防安全管理规章制度现象的</w:t>
            </w:r>
          </w:p>
        </w:tc>
        <w:tc>
          <w:tcPr>
            <w:tcW w:w="720" w:type="dxa"/>
            <w:vAlign w:val="center"/>
          </w:tcPr>
          <w:p>
            <w:pPr>
              <w:rPr>
                <w:rFonts w:ascii="宋体" w:hAnsi="宋体"/>
                <w:sz w:val="22"/>
              </w:rPr>
            </w:pPr>
            <w:r>
              <w:rPr>
                <w:rFonts w:hint="eastAsia" w:ascii="宋体" w:hAnsi="宋体"/>
                <w:sz w:val="22"/>
              </w:rPr>
              <w:t>协议</w:t>
            </w:r>
          </w:p>
        </w:tc>
        <w:tc>
          <w:tcPr>
            <w:tcW w:w="1440" w:type="dxa"/>
            <w:tcBorders>
              <w:top w:val="single" w:color="auto" w:sz="2" w:space="0"/>
              <w:bottom w:val="single" w:color="auto" w:sz="2" w:space="0"/>
            </w:tcBorders>
            <w:vAlign w:val="center"/>
          </w:tcPr>
          <w:p>
            <w:pPr>
              <w:rPr>
                <w:rFonts w:ascii="宋体" w:hAnsi="宋体"/>
                <w:sz w:val="22"/>
              </w:rPr>
            </w:pPr>
            <w:r>
              <w:rPr>
                <w:rFonts w:hint="eastAsia" w:ascii="宋体" w:hAnsi="宋体"/>
                <w:sz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5</w:t>
            </w:r>
          </w:p>
        </w:tc>
        <w:tc>
          <w:tcPr>
            <w:tcW w:w="6660" w:type="dxa"/>
            <w:tcBorders>
              <w:bottom w:val="single" w:color="auto" w:sz="2" w:space="0"/>
            </w:tcBorders>
          </w:tcPr>
          <w:p>
            <w:pPr>
              <w:rPr>
                <w:rFonts w:ascii="宋体" w:hAnsi="宋体"/>
                <w:sz w:val="22"/>
              </w:rPr>
            </w:pPr>
            <w:r>
              <w:rPr>
                <w:rFonts w:hint="eastAsia" w:ascii="宋体" w:hAnsi="宋体"/>
                <w:sz w:val="22"/>
              </w:rPr>
              <w:t>文明施工</w:t>
            </w:r>
          </w:p>
        </w:tc>
        <w:tc>
          <w:tcPr>
            <w:tcW w:w="720" w:type="dxa"/>
            <w:tcBorders>
              <w:bottom w:val="single" w:color="auto" w:sz="2" w:space="0"/>
            </w:tcBorders>
            <w:vAlign w:val="center"/>
          </w:tcPr>
          <w:p>
            <w:pPr>
              <w:rPr>
                <w:rFonts w:ascii="宋体" w:hAnsi="宋体"/>
                <w:sz w:val="22"/>
              </w:rPr>
            </w:pPr>
          </w:p>
        </w:tc>
        <w:tc>
          <w:tcPr>
            <w:tcW w:w="1440" w:type="dxa"/>
            <w:tcBorders>
              <w:top w:val="single" w:color="auto" w:sz="2" w:space="0"/>
              <w:bottom w:val="single" w:color="auto" w:sz="2" w:space="0"/>
            </w:tcBorders>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5.1</w:t>
            </w:r>
          </w:p>
        </w:tc>
        <w:tc>
          <w:tcPr>
            <w:tcW w:w="6660" w:type="dxa"/>
            <w:tcBorders>
              <w:bottom w:val="single" w:color="auto" w:sz="2" w:space="0"/>
            </w:tcBorders>
          </w:tcPr>
          <w:p>
            <w:pPr>
              <w:rPr>
                <w:rFonts w:ascii="宋体" w:hAnsi="宋体"/>
                <w:sz w:val="22"/>
              </w:rPr>
            </w:pPr>
            <w:r>
              <w:rPr>
                <w:rFonts w:hint="eastAsia" w:ascii="宋体" w:hAnsi="宋体"/>
                <w:sz w:val="22"/>
              </w:rPr>
              <w:t>施工工地未按照投标承诺实行标化管理的要求进行建设和管理的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5.2</w:t>
            </w:r>
          </w:p>
        </w:tc>
        <w:tc>
          <w:tcPr>
            <w:tcW w:w="6660" w:type="dxa"/>
            <w:tcBorders>
              <w:bottom w:val="single" w:color="auto" w:sz="2" w:space="0"/>
            </w:tcBorders>
          </w:tcPr>
          <w:p>
            <w:pPr>
              <w:rPr>
                <w:rFonts w:ascii="宋体" w:hAnsi="宋体"/>
                <w:sz w:val="22"/>
              </w:rPr>
            </w:pPr>
            <w:r>
              <w:rPr>
                <w:rFonts w:hint="eastAsia" w:ascii="宋体" w:hAnsi="宋体"/>
                <w:sz w:val="22"/>
              </w:rPr>
              <w:t>施工现场未建立生活设施、管理制度和日常检查、考核制度。</w:t>
            </w:r>
            <w:r>
              <w:rPr>
                <w:rFonts w:ascii="宋体" w:hAnsi="宋体"/>
                <w:sz w:val="22"/>
              </w:rPr>
              <w:t xml:space="preserve"> </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5.3</w:t>
            </w:r>
          </w:p>
        </w:tc>
        <w:tc>
          <w:tcPr>
            <w:tcW w:w="6660" w:type="dxa"/>
            <w:tcBorders>
              <w:bottom w:val="single" w:color="auto" w:sz="2" w:space="0"/>
            </w:tcBorders>
          </w:tcPr>
          <w:p>
            <w:pPr>
              <w:rPr>
                <w:rFonts w:ascii="宋体" w:hAnsi="宋体"/>
                <w:sz w:val="22"/>
              </w:rPr>
            </w:pPr>
            <w:r>
              <w:rPr>
                <w:rFonts w:hint="eastAsia" w:ascii="宋体" w:hAnsi="宋体"/>
                <w:sz w:val="22"/>
              </w:rPr>
              <w:t>建筑材料、构件、料具堆放零乱，堆放不齐，未标名品、种型的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5.4</w:t>
            </w:r>
          </w:p>
        </w:tc>
        <w:tc>
          <w:tcPr>
            <w:tcW w:w="6660" w:type="dxa"/>
            <w:tcBorders>
              <w:bottom w:val="single" w:color="auto" w:sz="2" w:space="0"/>
            </w:tcBorders>
          </w:tcPr>
          <w:p>
            <w:pPr>
              <w:rPr>
                <w:rFonts w:ascii="宋体" w:hAnsi="宋体"/>
                <w:sz w:val="22"/>
              </w:rPr>
            </w:pPr>
            <w:r>
              <w:rPr>
                <w:rFonts w:hint="eastAsia" w:ascii="宋体" w:hAnsi="宋体"/>
                <w:sz w:val="22"/>
              </w:rPr>
              <w:t>工地道路不做硬化处理，工地地面无绿化，道面任意占用、工地内道路不畅通的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5.5</w:t>
            </w:r>
          </w:p>
        </w:tc>
        <w:tc>
          <w:tcPr>
            <w:tcW w:w="6660" w:type="dxa"/>
            <w:tcBorders>
              <w:bottom w:val="single" w:color="auto" w:sz="2" w:space="0"/>
            </w:tcBorders>
          </w:tcPr>
          <w:p>
            <w:pPr>
              <w:rPr>
                <w:rFonts w:ascii="宋体" w:hAnsi="宋体"/>
                <w:sz w:val="22"/>
              </w:rPr>
            </w:pPr>
            <w:r>
              <w:rPr>
                <w:rFonts w:hint="eastAsia" w:ascii="宋体" w:hAnsi="宋体"/>
                <w:sz w:val="22"/>
              </w:rPr>
              <w:t>施工现场无排水设施或排水不全、不通畅的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5.6</w:t>
            </w:r>
          </w:p>
        </w:tc>
        <w:tc>
          <w:tcPr>
            <w:tcW w:w="6660" w:type="dxa"/>
            <w:tcBorders>
              <w:bottom w:val="single" w:color="auto" w:sz="2" w:space="0"/>
            </w:tcBorders>
          </w:tcPr>
          <w:p>
            <w:pPr>
              <w:rPr>
                <w:rFonts w:ascii="宋体" w:hAnsi="宋体"/>
                <w:sz w:val="22"/>
              </w:rPr>
            </w:pPr>
            <w:r>
              <w:rPr>
                <w:rFonts w:hint="eastAsia" w:ascii="宋体" w:hAnsi="宋体"/>
                <w:sz w:val="22"/>
              </w:rPr>
              <w:t>无防止泥浆、污水、废水外流或堵塞下水道和排水河道措施的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5.7</w:t>
            </w:r>
          </w:p>
        </w:tc>
        <w:tc>
          <w:tcPr>
            <w:tcW w:w="6660" w:type="dxa"/>
            <w:tcBorders>
              <w:bottom w:val="single" w:color="auto" w:sz="2" w:space="0"/>
            </w:tcBorders>
          </w:tcPr>
          <w:p>
            <w:pPr>
              <w:rPr>
                <w:rFonts w:ascii="宋体" w:hAnsi="宋体"/>
                <w:sz w:val="22"/>
              </w:rPr>
            </w:pPr>
            <w:r>
              <w:rPr>
                <w:rFonts w:hint="eastAsia" w:ascii="宋体" w:hAnsi="宋体"/>
                <w:sz w:val="22"/>
              </w:rPr>
              <w:t>工地地面（楼层面）存在积水、积雪现象的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5.8</w:t>
            </w:r>
          </w:p>
        </w:tc>
        <w:tc>
          <w:tcPr>
            <w:tcW w:w="6660" w:type="dxa"/>
            <w:tcBorders>
              <w:bottom w:val="single" w:color="auto" w:sz="2" w:space="0"/>
            </w:tcBorders>
          </w:tcPr>
          <w:p>
            <w:pPr>
              <w:rPr>
                <w:rFonts w:ascii="宋体" w:hAnsi="宋体"/>
                <w:sz w:val="22"/>
              </w:rPr>
            </w:pPr>
            <w:r>
              <w:rPr>
                <w:rFonts w:hint="eastAsia" w:ascii="宋体" w:hAnsi="宋体"/>
                <w:sz w:val="22"/>
              </w:rPr>
              <w:t>施工现场、周围的建筑和生活垃圾不及时清扫、清运和处理或现场焚烧垃圾、有毒有害物质的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5.9</w:t>
            </w:r>
          </w:p>
        </w:tc>
        <w:tc>
          <w:tcPr>
            <w:tcW w:w="6660" w:type="dxa"/>
            <w:tcBorders>
              <w:bottom w:val="single" w:color="auto" w:sz="2" w:space="0"/>
            </w:tcBorders>
          </w:tcPr>
          <w:p>
            <w:pPr>
              <w:rPr>
                <w:rFonts w:ascii="宋体" w:hAnsi="宋体"/>
                <w:sz w:val="22"/>
              </w:rPr>
            </w:pPr>
            <w:r>
              <w:rPr>
                <w:rFonts w:hint="eastAsia" w:ascii="宋体" w:hAnsi="宋体"/>
                <w:sz w:val="22"/>
              </w:rPr>
              <w:t>施工现场临时厕所设置不足或不符合卫生要求的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5.10</w:t>
            </w:r>
          </w:p>
        </w:tc>
        <w:tc>
          <w:tcPr>
            <w:tcW w:w="6660" w:type="dxa"/>
            <w:tcBorders>
              <w:bottom w:val="single" w:color="auto" w:sz="2" w:space="0"/>
            </w:tcBorders>
          </w:tcPr>
          <w:p>
            <w:pPr>
              <w:rPr>
                <w:rFonts w:ascii="宋体" w:hAnsi="宋体"/>
                <w:sz w:val="22"/>
              </w:rPr>
            </w:pPr>
            <w:r>
              <w:rPr>
                <w:rFonts w:hint="eastAsia" w:ascii="宋体" w:hAnsi="宋体"/>
                <w:sz w:val="22"/>
              </w:rPr>
              <w:t>施工人员随地大小便的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w:t>
            </w:r>
            <w:r>
              <w:rPr>
                <w:rFonts w:hint="eastAsia" w:ascii="宋体" w:hAnsi="宋体"/>
                <w:sz w:val="22"/>
              </w:rPr>
              <w:t>元</w:t>
            </w:r>
            <w:r>
              <w:rPr>
                <w:rFonts w:ascii="宋体" w:hAnsi="宋体"/>
                <w:sz w:val="22"/>
              </w:rPr>
              <w:t>/</w:t>
            </w:r>
            <w:r>
              <w:rPr>
                <w:rFonts w:hint="eastAsia" w:ascii="宋体" w:hAnsi="宋体"/>
                <w:sz w:val="22"/>
              </w:rPr>
              <w:t>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5.11</w:t>
            </w:r>
          </w:p>
        </w:tc>
        <w:tc>
          <w:tcPr>
            <w:tcW w:w="6660" w:type="dxa"/>
            <w:tcBorders>
              <w:bottom w:val="single" w:color="auto" w:sz="2" w:space="0"/>
            </w:tcBorders>
          </w:tcPr>
          <w:p>
            <w:pPr>
              <w:rPr>
                <w:rFonts w:ascii="宋体" w:hAnsi="宋体"/>
                <w:sz w:val="22"/>
              </w:rPr>
            </w:pPr>
            <w:r>
              <w:rPr>
                <w:rFonts w:hint="eastAsia" w:ascii="宋体" w:hAnsi="宋体"/>
                <w:sz w:val="22"/>
              </w:rPr>
              <w:t>未做到工完场地清的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5.12</w:t>
            </w:r>
          </w:p>
        </w:tc>
        <w:tc>
          <w:tcPr>
            <w:tcW w:w="6660" w:type="dxa"/>
            <w:tcBorders>
              <w:bottom w:val="single" w:color="auto" w:sz="2" w:space="0"/>
            </w:tcBorders>
          </w:tcPr>
          <w:p>
            <w:pPr>
              <w:rPr>
                <w:rFonts w:ascii="宋体" w:hAnsi="宋体"/>
                <w:sz w:val="22"/>
              </w:rPr>
            </w:pPr>
            <w:r>
              <w:rPr>
                <w:rFonts w:hint="eastAsia" w:ascii="宋体" w:hAnsi="宋体"/>
                <w:sz w:val="22"/>
              </w:rPr>
              <w:t>不按规定高度、材质及美观要求设置工地围挡、围墙的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5.13</w:t>
            </w:r>
          </w:p>
        </w:tc>
        <w:tc>
          <w:tcPr>
            <w:tcW w:w="6660" w:type="dxa"/>
            <w:tcBorders>
              <w:bottom w:val="single" w:color="auto" w:sz="2" w:space="0"/>
            </w:tcBorders>
          </w:tcPr>
          <w:p>
            <w:pPr>
              <w:rPr>
                <w:rFonts w:ascii="宋体" w:hAnsi="宋体"/>
                <w:sz w:val="22"/>
              </w:rPr>
            </w:pPr>
            <w:r>
              <w:rPr>
                <w:rFonts w:hint="eastAsia" w:ascii="宋体" w:hAnsi="宋体"/>
                <w:sz w:val="22"/>
              </w:rPr>
              <w:t>不按规定对工地现场实施封闭管理的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5.14</w:t>
            </w:r>
          </w:p>
        </w:tc>
        <w:tc>
          <w:tcPr>
            <w:tcW w:w="6660" w:type="dxa"/>
            <w:tcBorders>
              <w:bottom w:val="single" w:color="auto" w:sz="2" w:space="0"/>
            </w:tcBorders>
          </w:tcPr>
          <w:p>
            <w:pPr>
              <w:rPr>
                <w:rFonts w:ascii="宋体" w:hAnsi="宋体"/>
                <w:sz w:val="22"/>
              </w:rPr>
            </w:pPr>
            <w:r>
              <w:rPr>
                <w:rFonts w:hint="eastAsia" w:ascii="宋体" w:hAnsi="宋体"/>
                <w:sz w:val="22"/>
              </w:rPr>
              <w:t>无门卫和无门卫制度，或门卫制度执行不严格，存在人员、车辆无证任意进出的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5.15</w:t>
            </w:r>
          </w:p>
        </w:tc>
        <w:tc>
          <w:tcPr>
            <w:tcW w:w="6660" w:type="dxa"/>
            <w:tcBorders>
              <w:bottom w:val="single" w:color="auto" w:sz="2" w:space="0"/>
            </w:tcBorders>
          </w:tcPr>
          <w:p>
            <w:pPr>
              <w:rPr>
                <w:rFonts w:ascii="宋体" w:hAnsi="宋体"/>
                <w:sz w:val="22"/>
              </w:rPr>
            </w:pPr>
            <w:r>
              <w:rPr>
                <w:rFonts w:hint="eastAsia" w:ascii="宋体" w:hAnsi="宋体"/>
                <w:sz w:val="22"/>
              </w:rPr>
              <w:t>现场未按安全标志总平面图设置安全标志的，或安全标志、警示标志残缺不全的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8" w:type="dxa"/>
            <w:tcBorders>
              <w:bottom w:val="single" w:color="auto" w:sz="2" w:space="0"/>
            </w:tcBorders>
            <w:vAlign w:val="center"/>
          </w:tcPr>
          <w:p>
            <w:pPr>
              <w:rPr>
                <w:rFonts w:ascii="宋体" w:hAnsi="宋体"/>
                <w:sz w:val="22"/>
              </w:rPr>
            </w:pPr>
            <w:r>
              <w:rPr>
                <w:rFonts w:ascii="宋体" w:hAnsi="宋体"/>
                <w:sz w:val="22"/>
              </w:rPr>
              <w:t>5.16</w:t>
            </w:r>
          </w:p>
        </w:tc>
        <w:tc>
          <w:tcPr>
            <w:tcW w:w="6660" w:type="dxa"/>
            <w:tcBorders>
              <w:bottom w:val="single" w:color="auto" w:sz="2" w:space="0"/>
            </w:tcBorders>
          </w:tcPr>
          <w:p>
            <w:pPr>
              <w:rPr>
                <w:rFonts w:ascii="宋体" w:hAnsi="宋体"/>
                <w:sz w:val="22"/>
              </w:rPr>
            </w:pPr>
            <w:r>
              <w:rPr>
                <w:rFonts w:hint="eastAsia" w:ascii="宋体" w:hAnsi="宋体"/>
                <w:sz w:val="22"/>
              </w:rPr>
              <w:t>夜间施工照明设施不足、无现场管理员和安全员看护，存在安全隐患的</w:t>
            </w:r>
          </w:p>
        </w:tc>
        <w:tc>
          <w:tcPr>
            <w:tcW w:w="720" w:type="dxa"/>
            <w:tcBorders>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6</w:t>
            </w:r>
          </w:p>
        </w:tc>
        <w:tc>
          <w:tcPr>
            <w:tcW w:w="6660" w:type="dxa"/>
          </w:tcPr>
          <w:p>
            <w:pPr>
              <w:rPr>
                <w:rFonts w:ascii="宋体" w:hAnsi="宋体"/>
                <w:sz w:val="22"/>
              </w:rPr>
            </w:pPr>
            <w:r>
              <w:rPr>
                <w:rFonts w:hint="eastAsia" w:ascii="宋体" w:hAnsi="宋体"/>
                <w:sz w:val="22"/>
              </w:rPr>
              <w:t>临时宿舍管理</w:t>
            </w:r>
          </w:p>
        </w:tc>
        <w:tc>
          <w:tcPr>
            <w:tcW w:w="720" w:type="dxa"/>
            <w:vAlign w:val="center"/>
          </w:tcPr>
          <w:p>
            <w:pPr>
              <w:rPr>
                <w:rFonts w:ascii="宋体" w:hAnsi="宋体"/>
                <w:sz w:val="22"/>
              </w:rPr>
            </w:pPr>
          </w:p>
        </w:tc>
        <w:tc>
          <w:tcPr>
            <w:tcW w:w="1440" w:type="dxa"/>
            <w:tcBorders>
              <w:top w:val="single" w:color="auto" w:sz="2" w:space="0"/>
              <w:bottom w:val="single" w:color="auto" w:sz="2" w:space="0"/>
            </w:tcBorders>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6.1</w:t>
            </w:r>
          </w:p>
        </w:tc>
        <w:tc>
          <w:tcPr>
            <w:tcW w:w="6660" w:type="dxa"/>
          </w:tcPr>
          <w:p>
            <w:pPr>
              <w:rPr>
                <w:rFonts w:ascii="宋体" w:hAnsi="宋体"/>
                <w:sz w:val="22"/>
              </w:rPr>
            </w:pPr>
            <w:r>
              <w:rPr>
                <w:rFonts w:hint="eastAsia" w:ascii="宋体" w:hAnsi="宋体"/>
                <w:sz w:val="22"/>
              </w:rPr>
              <w:t>宿舍区管理制度不健全，未落实日常管理责任人</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6.2</w:t>
            </w:r>
          </w:p>
        </w:tc>
        <w:tc>
          <w:tcPr>
            <w:tcW w:w="6660" w:type="dxa"/>
          </w:tcPr>
          <w:p>
            <w:pPr>
              <w:rPr>
                <w:rFonts w:ascii="宋体" w:hAnsi="宋体"/>
                <w:sz w:val="22"/>
              </w:rPr>
            </w:pPr>
            <w:r>
              <w:rPr>
                <w:rFonts w:hint="eastAsia" w:ascii="宋体" w:hAnsi="宋体"/>
                <w:sz w:val="22"/>
              </w:rPr>
              <w:t>宿舍区无专（兼）职治安、防火、卫生管理监督巡视员</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6.3</w:t>
            </w:r>
          </w:p>
        </w:tc>
        <w:tc>
          <w:tcPr>
            <w:tcW w:w="6660" w:type="dxa"/>
          </w:tcPr>
          <w:p>
            <w:pPr>
              <w:rPr>
                <w:rFonts w:ascii="宋体" w:hAnsi="宋体"/>
                <w:sz w:val="22"/>
              </w:rPr>
            </w:pPr>
            <w:r>
              <w:rPr>
                <w:rFonts w:hint="eastAsia" w:ascii="宋体" w:hAnsi="宋体"/>
                <w:sz w:val="22"/>
              </w:rPr>
              <w:t>宿舍区未实行封闭管理，留宿外来人员无登记制度、存在男女混居现象的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6.4</w:t>
            </w:r>
          </w:p>
        </w:tc>
        <w:tc>
          <w:tcPr>
            <w:tcW w:w="6660" w:type="dxa"/>
          </w:tcPr>
          <w:p>
            <w:pPr>
              <w:rPr>
                <w:rFonts w:ascii="宋体" w:hAnsi="宋体"/>
                <w:sz w:val="22"/>
              </w:rPr>
            </w:pPr>
            <w:r>
              <w:rPr>
                <w:rFonts w:hint="eastAsia" w:ascii="宋体" w:hAnsi="宋体"/>
                <w:sz w:val="22"/>
              </w:rPr>
              <w:t>在尚未竣工的建筑物内设置临设的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6.5</w:t>
            </w:r>
          </w:p>
        </w:tc>
        <w:tc>
          <w:tcPr>
            <w:tcW w:w="6660" w:type="dxa"/>
          </w:tcPr>
          <w:p>
            <w:pPr>
              <w:rPr>
                <w:rFonts w:ascii="宋体" w:hAnsi="宋体"/>
                <w:sz w:val="22"/>
              </w:rPr>
            </w:pPr>
            <w:r>
              <w:rPr>
                <w:rFonts w:hint="eastAsia" w:ascii="宋体" w:hAnsi="宋体"/>
                <w:sz w:val="22"/>
              </w:rPr>
              <w:t>临时宿舍、设施未经验收合格投入使用的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6.6</w:t>
            </w:r>
          </w:p>
        </w:tc>
        <w:tc>
          <w:tcPr>
            <w:tcW w:w="6660" w:type="dxa"/>
          </w:tcPr>
          <w:p>
            <w:pPr>
              <w:rPr>
                <w:rFonts w:ascii="宋体" w:hAnsi="宋体"/>
                <w:sz w:val="22"/>
              </w:rPr>
            </w:pPr>
            <w:r>
              <w:rPr>
                <w:rFonts w:hint="eastAsia" w:ascii="宋体" w:hAnsi="宋体"/>
                <w:sz w:val="22"/>
              </w:rPr>
              <w:t>临时宿舍、设施无抗大风（</w:t>
            </w:r>
            <w:r>
              <w:rPr>
                <w:rFonts w:ascii="宋体" w:hAnsi="宋体"/>
                <w:sz w:val="22"/>
              </w:rPr>
              <w:t>10</w:t>
            </w:r>
            <w:r>
              <w:rPr>
                <w:rFonts w:hint="eastAsia" w:ascii="宋体" w:hAnsi="宋体"/>
                <w:sz w:val="22"/>
              </w:rPr>
              <w:t>级以上）、防雷击措施的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6.7</w:t>
            </w:r>
          </w:p>
        </w:tc>
        <w:tc>
          <w:tcPr>
            <w:tcW w:w="6660" w:type="dxa"/>
          </w:tcPr>
          <w:p>
            <w:pPr>
              <w:rPr>
                <w:rFonts w:ascii="宋体" w:hAnsi="宋体"/>
                <w:sz w:val="22"/>
              </w:rPr>
            </w:pPr>
            <w:r>
              <w:rPr>
                <w:rFonts w:hint="eastAsia" w:ascii="宋体" w:hAnsi="宋体"/>
                <w:sz w:val="22"/>
              </w:rPr>
              <w:t>宿舍区消防器材配备不足或失效的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6.8</w:t>
            </w:r>
          </w:p>
        </w:tc>
        <w:tc>
          <w:tcPr>
            <w:tcW w:w="6660" w:type="dxa"/>
          </w:tcPr>
          <w:p>
            <w:pPr>
              <w:rPr>
                <w:rFonts w:ascii="宋体" w:hAnsi="宋体"/>
                <w:sz w:val="22"/>
              </w:rPr>
            </w:pPr>
            <w:r>
              <w:rPr>
                <w:rFonts w:hint="eastAsia" w:ascii="宋体" w:hAnsi="宋体"/>
                <w:sz w:val="22"/>
              </w:rPr>
              <w:t>宿舍内未设置独立的漏电、短路保护器和足够数量的安全插座，存在私拉乱接电线现象的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008" w:type="dxa"/>
            <w:vAlign w:val="center"/>
          </w:tcPr>
          <w:p>
            <w:pPr>
              <w:rPr>
                <w:rFonts w:ascii="宋体" w:hAnsi="宋体"/>
                <w:sz w:val="22"/>
              </w:rPr>
            </w:pPr>
            <w:r>
              <w:rPr>
                <w:rFonts w:ascii="宋体" w:hAnsi="宋体"/>
                <w:sz w:val="22"/>
              </w:rPr>
              <w:t>6.9</w:t>
            </w:r>
          </w:p>
        </w:tc>
        <w:tc>
          <w:tcPr>
            <w:tcW w:w="6660" w:type="dxa"/>
          </w:tcPr>
          <w:p>
            <w:pPr>
              <w:rPr>
                <w:rFonts w:ascii="宋体" w:hAnsi="宋体"/>
                <w:sz w:val="22"/>
              </w:rPr>
            </w:pPr>
            <w:r>
              <w:rPr>
                <w:rFonts w:hint="eastAsia" w:ascii="宋体" w:hAnsi="宋体"/>
                <w:sz w:val="22"/>
              </w:rPr>
              <w:t>宿舍内（包括值班室）违规使用大功率电器的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6.10</w:t>
            </w:r>
          </w:p>
        </w:tc>
        <w:tc>
          <w:tcPr>
            <w:tcW w:w="6660" w:type="dxa"/>
          </w:tcPr>
          <w:p>
            <w:pPr>
              <w:rPr>
                <w:rFonts w:ascii="宋体" w:hAnsi="宋体"/>
                <w:sz w:val="22"/>
              </w:rPr>
            </w:pPr>
            <w:r>
              <w:rPr>
                <w:rFonts w:hint="eastAsia" w:ascii="宋体" w:hAnsi="宋体"/>
                <w:sz w:val="22"/>
              </w:rPr>
              <w:t>宿舍内混杂堆放工具、用具、易燃易爆或有毒物品的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6.11</w:t>
            </w:r>
          </w:p>
        </w:tc>
        <w:tc>
          <w:tcPr>
            <w:tcW w:w="6660" w:type="dxa"/>
          </w:tcPr>
          <w:p>
            <w:pPr>
              <w:rPr>
                <w:rFonts w:ascii="宋体" w:hAnsi="宋体"/>
                <w:sz w:val="22"/>
              </w:rPr>
            </w:pPr>
            <w:r>
              <w:rPr>
                <w:rFonts w:hint="eastAsia" w:ascii="宋体" w:hAnsi="宋体"/>
                <w:sz w:val="22"/>
              </w:rPr>
              <w:t>宿舍内垃圾无人清扫，生活用品放置零乱的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6.12</w:t>
            </w:r>
          </w:p>
        </w:tc>
        <w:tc>
          <w:tcPr>
            <w:tcW w:w="6660" w:type="dxa"/>
          </w:tcPr>
          <w:p>
            <w:pPr>
              <w:rPr>
                <w:rFonts w:ascii="宋体" w:hAnsi="宋体"/>
                <w:sz w:val="22"/>
              </w:rPr>
            </w:pPr>
            <w:r>
              <w:rPr>
                <w:rFonts w:hint="eastAsia" w:ascii="宋体" w:hAnsi="宋体"/>
                <w:sz w:val="22"/>
              </w:rPr>
              <w:t>无卫生防病宣传教育</w:t>
            </w:r>
            <w:r>
              <w:rPr>
                <w:rFonts w:ascii="宋体" w:hAnsi="宋体"/>
                <w:sz w:val="22"/>
              </w:rPr>
              <w:t>,</w:t>
            </w:r>
            <w:r>
              <w:rPr>
                <w:rFonts w:hint="eastAsia" w:ascii="宋体" w:hAnsi="宋体"/>
                <w:sz w:val="22"/>
              </w:rPr>
              <w:t>或无保健医药箱、急救器材、急救措施和经培训的急救人员的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6.13</w:t>
            </w:r>
          </w:p>
        </w:tc>
        <w:tc>
          <w:tcPr>
            <w:tcW w:w="6660" w:type="dxa"/>
          </w:tcPr>
          <w:p>
            <w:pPr>
              <w:rPr>
                <w:rFonts w:ascii="宋体" w:hAnsi="宋体"/>
                <w:sz w:val="22"/>
              </w:rPr>
            </w:pPr>
            <w:r>
              <w:rPr>
                <w:rFonts w:hint="eastAsia" w:ascii="宋体" w:hAnsi="宋体"/>
                <w:sz w:val="22"/>
              </w:rPr>
              <w:t>食堂卫生管理制度不全，管理不善，设施不全，卫生不符合要求，未按要求设置足够数量开水炉、电热水器或饮用水保温桶等基本生活设施的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200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6.14</w:t>
            </w:r>
          </w:p>
        </w:tc>
        <w:tc>
          <w:tcPr>
            <w:tcW w:w="6660" w:type="dxa"/>
          </w:tcPr>
          <w:p>
            <w:pPr>
              <w:rPr>
                <w:rFonts w:ascii="宋体" w:hAnsi="宋体"/>
                <w:sz w:val="22"/>
              </w:rPr>
            </w:pPr>
            <w:r>
              <w:rPr>
                <w:rFonts w:hint="eastAsia" w:ascii="宋体" w:hAnsi="宋体"/>
                <w:sz w:val="22"/>
              </w:rPr>
              <w:t>宿舍区未提供为作业人员晾晒衣物的场地和设施</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50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008" w:type="dxa"/>
            <w:tcBorders>
              <w:top w:val="single" w:color="auto" w:sz="2" w:space="0"/>
            </w:tcBorders>
            <w:vAlign w:val="center"/>
          </w:tcPr>
          <w:p>
            <w:pPr>
              <w:rPr>
                <w:rFonts w:ascii="宋体" w:hAnsi="宋体"/>
                <w:sz w:val="22"/>
              </w:rPr>
            </w:pPr>
            <w:r>
              <w:rPr>
                <w:rFonts w:ascii="宋体" w:hAnsi="宋体"/>
                <w:sz w:val="22"/>
              </w:rPr>
              <w:t>6.15</w:t>
            </w:r>
          </w:p>
        </w:tc>
        <w:tc>
          <w:tcPr>
            <w:tcW w:w="6660" w:type="dxa"/>
            <w:tcBorders>
              <w:top w:val="single" w:color="auto" w:sz="2" w:space="0"/>
            </w:tcBorders>
          </w:tcPr>
          <w:p>
            <w:pPr>
              <w:rPr>
                <w:rFonts w:ascii="宋体" w:hAnsi="宋体"/>
                <w:sz w:val="22"/>
              </w:rPr>
            </w:pPr>
            <w:r>
              <w:rPr>
                <w:rFonts w:hint="eastAsia" w:ascii="宋体" w:hAnsi="宋体"/>
                <w:sz w:val="22"/>
              </w:rPr>
              <w:t>宿舍区未设置水冲式厕所和符合要求淋浴室的</w:t>
            </w:r>
          </w:p>
        </w:tc>
        <w:tc>
          <w:tcPr>
            <w:tcW w:w="720" w:type="dxa"/>
            <w:tcBorders>
              <w:top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008" w:type="dxa"/>
            <w:tcBorders>
              <w:top w:val="single" w:color="auto" w:sz="2" w:space="0"/>
              <w:bottom w:val="single" w:color="auto" w:sz="2" w:space="0"/>
            </w:tcBorders>
            <w:vAlign w:val="center"/>
          </w:tcPr>
          <w:p>
            <w:pPr>
              <w:rPr>
                <w:rFonts w:ascii="宋体" w:hAnsi="宋体"/>
                <w:sz w:val="22"/>
              </w:rPr>
            </w:pPr>
            <w:r>
              <w:rPr>
                <w:rFonts w:ascii="宋体" w:hAnsi="宋体"/>
                <w:sz w:val="22"/>
              </w:rPr>
              <w:t>6.16</w:t>
            </w:r>
          </w:p>
        </w:tc>
        <w:tc>
          <w:tcPr>
            <w:tcW w:w="6660" w:type="dxa"/>
            <w:tcBorders>
              <w:top w:val="single" w:color="auto" w:sz="2" w:space="0"/>
              <w:bottom w:val="single" w:color="auto" w:sz="2" w:space="0"/>
            </w:tcBorders>
          </w:tcPr>
          <w:p>
            <w:pPr>
              <w:rPr>
                <w:rFonts w:ascii="宋体" w:hAnsi="宋体"/>
                <w:sz w:val="22"/>
              </w:rPr>
            </w:pPr>
            <w:r>
              <w:rPr>
                <w:rFonts w:hint="eastAsia" w:ascii="宋体" w:hAnsi="宋体"/>
                <w:sz w:val="22"/>
              </w:rPr>
              <w:t>宿舍生活区未设置施工人员学习娱乐场所的</w:t>
            </w:r>
          </w:p>
        </w:tc>
        <w:tc>
          <w:tcPr>
            <w:tcW w:w="720" w:type="dxa"/>
            <w:tcBorders>
              <w:top w:val="single" w:color="auto" w:sz="2" w:space="0"/>
              <w:bottom w:val="single" w:color="auto" w:sz="2" w:space="0"/>
            </w:tcBorders>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6.17</w:t>
            </w:r>
          </w:p>
        </w:tc>
        <w:tc>
          <w:tcPr>
            <w:tcW w:w="6660" w:type="dxa"/>
          </w:tcPr>
          <w:p>
            <w:pPr>
              <w:rPr>
                <w:rFonts w:ascii="宋体" w:hAnsi="宋体"/>
                <w:sz w:val="22"/>
              </w:rPr>
            </w:pPr>
            <w:r>
              <w:rPr>
                <w:rFonts w:hint="eastAsia" w:ascii="宋体" w:hAnsi="宋体"/>
                <w:sz w:val="22"/>
              </w:rPr>
              <w:t>宿舍区墙壁屋顶不严密、门窗不齐全，或通风效果差的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6.18</w:t>
            </w:r>
          </w:p>
        </w:tc>
        <w:tc>
          <w:tcPr>
            <w:tcW w:w="6660" w:type="dxa"/>
          </w:tcPr>
          <w:p>
            <w:pPr>
              <w:rPr>
                <w:rFonts w:ascii="宋体" w:hAnsi="宋体"/>
                <w:sz w:val="22"/>
              </w:rPr>
            </w:pPr>
            <w:r>
              <w:rPr>
                <w:rFonts w:hint="eastAsia" w:ascii="宋体" w:hAnsi="宋体"/>
                <w:sz w:val="22"/>
              </w:rPr>
              <w:t>宿舍无保暖、防暑、防蚊虫叮咬措施的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100</w:t>
            </w:r>
            <w:r>
              <w:rPr>
                <w:rFonts w:hint="eastAsia" w:ascii="宋体" w:hAnsi="宋体"/>
                <w:sz w:val="22"/>
              </w:rPr>
              <w:t>元</w:t>
            </w:r>
            <w:r>
              <w:rPr>
                <w:rFonts w:ascii="宋体" w:hAnsi="宋体"/>
                <w:sz w:val="22"/>
              </w:rPr>
              <w:t>/</w:t>
            </w:r>
            <w:r>
              <w:rPr>
                <w:rFonts w:hint="eastAsia" w:ascii="宋体" w:hAnsi="宋体"/>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vAlign w:val="center"/>
          </w:tcPr>
          <w:p>
            <w:pPr>
              <w:rPr>
                <w:rFonts w:ascii="宋体" w:hAnsi="宋体"/>
                <w:sz w:val="22"/>
              </w:rPr>
            </w:pPr>
            <w:r>
              <w:rPr>
                <w:rFonts w:ascii="宋体" w:hAnsi="宋体"/>
                <w:sz w:val="22"/>
              </w:rPr>
              <w:t>6.19</w:t>
            </w:r>
          </w:p>
        </w:tc>
        <w:tc>
          <w:tcPr>
            <w:tcW w:w="6660" w:type="dxa"/>
          </w:tcPr>
          <w:p>
            <w:pPr>
              <w:rPr>
                <w:rFonts w:ascii="宋体" w:hAnsi="宋体"/>
                <w:sz w:val="22"/>
              </w:rPr>
            </w:pPr>
            <w:r>
              <w:rPr>
                <w:rFonts w:hint="eastAsia" w:ascii="宋体" w:hAnsi="宋体"/>
                <w:sz w:val="22"/>
              </w:rPr>
              <w:t>宿舍生活区、大门口及周围毗邻区域垃圾未装容器，垃圾清扫、清运不及时、排水不畅，环境卫生不符合要求的</w:t>
            </w:r>
          </w:p>
        </w:tc>
        <w:tc>
          <w:tcPr>
            <w:tcW w:w="720" w:type="dxa"/>
            <w:vAlign w:val="center"/>
          </w:tcPr>
          <w:p>
            <w:pPr>
              <w:rPr>
                <w:rFonts w:ascii="宋体" w:hAnsi="宋体"/>
                <w:sz w:val="22"/>
              </w:rPr>
            </w:pPr>
            <w:r>
              <w:rPr>
                <w:rFonts w:hint="eastAsia" w:ascii="宋体" w:hAnsi="宋体"/>
                <w:sz w:val="22"/>
              </w:rPr>
              <w:t>建标</w:t>
            </w:r>
          </w:p>
        </w:tc>
        <w:tc>
          <w:tcPr>
            <w:tcW w:w="1440" w:type="dxa"/>
            <w:tcBorders>
              <w:top w:val="single" w:color="auto" w:sz="2" w:space="0"/>
              <w:bottom w:val="single" w:color="auto" w:sz="2" w:space="0"/>
            </w:tcBorders>
            <w:vAlign w:val="center"/>
          </w:tcPr>
          <w:p>
            <w:pPr>
              <w:rPr>
                <w:rFonts w:ascii="宋体" w:hAnsi="宋体"/>
                <w:sz w:val="22"/>
              </w:rPr>
            </w:pPr>
            <w:r>
              <w:rPr>
                <w:rFonts w:ascii="宋体" w:hAnsi="宋体"/>
                <w:sz w:val="22"/>
              </w:rPr>
              <w:t>300</w:t>
            </w:r>
            <w:r>
              <w:rPr>
                <w:rFonts w:hint="eastAsia" w:ascii="宋体" w:hAnsi="宋体"/>
                <w:sz w:val="22"/>
              </w:rPr>
              <w:t>元</w:t>
            </w:r>
            <w:r>
              <w:rPr>
                <w:rFonts w:ascii="宋体" w:hAnsi="宋体"/>
                <w:sz w:val="22"/>
              </w:rPr>
              <w:t>/</w:t>
            </w:r>
            <w:r>
              <w:rPr>
                <w:rFonts w:hint="eastAsia" w:ascii="宋体" w:hAnsi="宋体"/>
                <w:sz w:val="22"/>
              </w:rPr>
              <w:t>项</w:t>
            </w:r>
          </w:p>
        </w:tc>
      </w:tr>
    </w:tbl>
    <w:p>
      <w:pPr>
        <w:rPr>
          <w:rFonts w:ascii="宋体" w:hAnsi="宋体"/>
          <w:sz w:val="22"/>
        </w:rPr>
      </w:pPr>
    </w:p>
    <w:p>
      <w:pPr>
        <w:rPr>
          <w:rFonts w:ascii="宋体" w:hAnsi="宋体"/>
          <w:sz w:val="22"/>
        </w:rPr>
      </w:pPr>
    </w:p>
    <w:p>
      <w:pPr>
        <w:rPr>
          <w:rFonts w:ascii="宋体" w:hAnsi="宋体"/>
          <w:sz w:val="22"/>
        </w:rPr>
      </w:pPr>
    </w:p>
    <w:p>
      <w:pPr>
        <w:jc w:val="center"/>
        <w:rPr>
          <w:rFonts w:ascii="宋体" w:hAnsi="宋体"/>
          <w:b/>
          <w:sz w:val="22"/>
        </w:rPr>
      </w:pPr>
      <w:r>
        <w:rPr>
          <w:rFonts w:ascii="宋体" w:hAnsi="宋体"/>
          <w:sz w:val="22"/>
        </w:rPr>
        <w:br w:type="page"/>
      </w:r>
      <w:r>
        <w:rPr>
          <w:rFonts w:hint="eastAsia" w:ascii="宋体" w:hAnsi="宋体"/>
          <w:b/>
          <w:sz w:val="22"/>
        </w:rPr>
        <w:t>安全隐患整改通知书</w:t>
      </w:r>
    </w:p>
    <w:p>
      <w:pPr>
        <w:rPr>
          <w:rFonts w:ascii="宋体" w:hAnsi="宋体"/>
          <w:sz w:val="22"/>
        </w:rPr>
      </w:pPr>
      <w:r>
        <w:rPr>
          <w:rFonts w:ascii="宋体" w:hAnsi="宋体"/>
          <w:sz w:val="22"/>
        </w:rPr>
        <w:t xml:space="preserve">                                            </w:t>
      </w:r>
      <w:r>
        <w:rPr>
          <w:rFonts w:hint="eastAsia" w:ascii="宋体" w:hAnsi="宋体"/>
          <w:sz w:val="22"/>
        </w:rPr>
        <w:t>基建（安）第</w:t>
      </w:r>
      <w:r>
        <w:rPr>
          <w:rFonts w:ascii="宋体" w:hAnsi="宋体"/>
          <w:sz w:val="22"/>
        </w:rPr>
        <w:t xml:space="preserve">   </w:t>
      </w:r>
      <w:r>
        <w:rPr>
          <w:rFonts w:hint="eastAsia" w:ascii="宋体" w:hAnsi="宋体"/>
          <w:sz w:val="22"/>
        </w:rPr>
        <w:t>号</w:t>
      </w:r>
    </w:p>
    <w:tbl>
      <w:tblPr>
        <w:tblStyle w:val="19"/>
        <w:tblW w:w="96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65"/>
        <w:gridCol w:w="2730"/>
        <w:gridCol w:w="2250"/>
        <w:gridCol w:w="105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vAlign w:val="center"/>
          </w:tcPr>
          <w:p>
            <w:pPr>
              <w:rPr>
                <w:rFonts w:ascii="宋体" w:hAnsi="宋体"/>
                <w:sz w:val="22"/>
              </w:rPr>
            </w:pPr>
            <w:r>
              <w:rPr>
                <w:rFonts w:hint="eastAsia" w:ascii="宋体" w:hAnsi="宋体"/>
                <w:sz w:val="22"/>
              </w:rPr>
              <w:t>工程名称</w:t>
            </w:r>
          </w:p>
        </w:tc>
        <w:tc>
          <w:tcPr>
            <w:tcW w:w="2730" w:type="dxa"/>
            <w:vAlign w:val="center"/>
          </w:tcPr>
          <w:p>
            <w:pPr>
              <w:rPr>
                <w:rFonts w:ascii="宋体" w:hAnsi="宋体"/>
                <w:sz w:val="22"/>
              </w:rPr>
            </w:pPr>
          </w:p>
        </w:tc>
        <w:tc>
          <w:tcPr>
            <w:tcW w:w="2250" w:type="dxa"/>
            <w:vAlign w:val="center"/>
          </w:tcPr>
          <w:p>
            <w:pPr>
              <w:rPr>
                <w:rFonts w:ascii="宋体" w:hAnsi="宋体"/>
                <w:sz w:val="22"/>
              </w:rPr>
            </w:pPr>
            <w:r>
              <w:rPr>
                <w:rFonts w:hint="eastAsia" w:ascii="宋体" w:hAnsi="宋体"/>
                <w:sz w:val="22"/>
              </w:rPr>
              <w:t>责任施工项目部</w:t>
            </w:r>
          </w:p>
        </w:tc>
        <w:tc>
          <w:tcPr>
            <w:tcW w:w="2473" w:type="dxa"/>
            <w:gridSpan w:val="2"/>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206" w:type="dxa"/>
            <w:gridSpan w:val="2"/>
            <w:vAlign w:val="center"/>
          </w:tcPr>
          <w:p>
            <w:pPr>
              <w:rPr>
                <w:rFonts w:ascii="宋体" w:hAnsi="宋体"/>
                <w:sz w:val="22"/>
              </w:rPr>
            </w:pPr>
            <w:r>
              <w:rPr>
                <w:rFonts w:hint="eastAsia" w:ascii="宋体" w:hAnsi="宋体"/>
                <w:sz w:val="22"/>
              </w:rPr>
              <w:t>责任监理项目部</w:t>
            </w:r>
          </w:p>
        </w:tc>
        <w:tc>
          <w:tcPr>
            <w:tcW w:w="2730" w:type="dxa"/>
            <w:vAlign w:val="center"/>
          </w:tcPr>
          <w:p>
            <w:pPr>
              <w:rPr>
                <w:rFonts w:ascii="宋体" w:hAnsi="宋体"/>
                <w:sz w:val="22"/>
              </w:rPr>
            </w:pPr>
          </w:p>
        </w:tc>
        <w:tc>
          <w:tcPr>
            <w:tcW w:w="2250" w:type="dxa"/>
            <w:vAlign w:val="center"/>
          </w:tcPr>
          <w:p>
            <w:pPr>
              <w:rPr>
                <w:rFonts w:ascii="宋体" w:hAnsi="宋体"/>
                <w:sz w:val="22"/>
              </w:rPr>
            </w:pPr>
            <w:r>
              <w:rPr>
                <w:rFonts w:hint="eastAsia" w:ascii="宋体" w:hAnsi="宋体"/>
                <w:sz w:val="22"/>
              </w:rPr>
              <w:t>责任人（甲方）</w:t>
            </w:r>
          </w:p>
        </w:tc>
        <w:tc>
          <w:tcPr>
            <w:tcW w:w="2473" w:type="dxa"/>
            <w:gridSpan w:val="2"/>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41" w:type="dxa"/>
            <w:vAlign w:val="center"/>
          </w:tcPr>
          <w:p>
            <w:pPr>
              <w:rPr>
                <w:rFonts w:ascii="宋体" w:hAnsi="宋体"/>
                <w:sz w:val="22"/>
              </w:rPr>
            </w:pPr>
            <w:r>
              <w:rPr>
                <w:rFonts w:hint="eastAsia" w:ascii="宋体" w:hAnsi="宋体"/>
                <w:sz w:val="22"/>
              </w:rPr>
              <w:t>序号</w:t>
            </w:r>
          </w:p>
        </w:tc>
        <w:tc>
          <w:tcPr>
            <w:tcW w:w="4095" w:type="dxa"/>
            <w:gridSpan w:val="2"/>
            <w:vAlign w:val="center"/>
          </w:tcPr>
          <w:p>
            <w:pPr>
              <w:rPr>
                <w:rFonts w:ascii="宋体" w:hAnsi="宋体"/>
                <w:sz w:val="22"/>
              </w:rPr>
            </w:pPr>
            <w:r>
              <w:rPr>
                <w:rFonts w:hint="eastAsia" w:ascii="宋体" w:hAnsi="宋体"/>
                <w:sz w:val="22"/>
              </w:rPr>
              <w:t>存在的安全隐患</w:t>
            </w:r>
          </w:p>
        </w:tc>
        <w:tc>
          <w:tcPr>
            <w:tcW w:w="3300" w:type="dxa"/>
            <w:gridSpan w:val="2"/>
            <w:vAlign w:val="center"/>
          </w:tcPr>
          <w:p>
            <w:pPr>
              <w:rPr>
                <w:rFonts w:ascii="宋体" w:hAnsi="宋体"/>
                <w:sz w:val="22"/>
              </w:rPr>
            </w:pPr>
            <w:r>
              <w:rPr>
                <w:rFonts w:hint="eastAsia" w:ascii="宋体" w:hAnsi="宋体"/>
                <w:sz w:val="22"/>
              </w:rPr>
              <w:t>整改建议</w:t>
            </w:r>
          </w:p>
        </w:tc>
        <w:tc>
          <w:tcPr>
            <w:tcW w:w="1423" w:type="dxa"/>
            <w:vAlign w:val="center"/>
          </w:tcPr>
          <w:p>
            <w:pPr>
              <w:rPr>
                <w:rFonts w:ascii="宋体" w:hAnsi="宋体"/>
                <w:sz w:val="22"/>
              </w:rPr>
            </w:pPr>
            <w:r>
              <w:rPr>
                <w:rFonts w:hint="eastAsia" w:ascii="宋体" w:hAnsi="宋体"/>
                <w:sz w:val="22"/>
              </w:rPr>
              <w:t>整改期限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8" w:hRule="atLeast"/>
          <w:jc w:val="center"/>
        </w:trPr>
        <w:tc>
          <w:tcPr>
            <w:tcW w:w="841" w:type="dxa"/>
          </w:tcPr>
          <w:p>
            <w:pPr>
              <w:rPr>
                <w:rFonts w:ascii="宋体" w:hAnsi="宋体"/>
                <w:sz w:val="22"/>
              </w:rPr>
            </w:pPr>
          </w:p>
        </w:tc>
        <w:tc>
          <w:tcPr>
            <w:tcW w:w="4095" w:type="dxa"/>
            <w:gridSpan w:val="2"/>
          </w:tcPr>
          <w:p>
            <w:pPr>
              <w:rPr>
                <w:rFonts w:ascii="宋体" w:hAnsi="宋体"/>
                <w:sz w:val="22"/>
              </w:rPr>
            </w:pPr>
          </w:p>
        </w:tc>
        <w:tc>
          <w:tcPr>
            <w:tcW w:w="3300" w:type="dxa"/>
            <w:gridSpan w:val="2"/>
          </w:tcPr>
          <w:p>
            <w:pPr>
              <w:rPr>
                <w:rFonts w:ascii="宋体" w:hAnsi="宋体"/>
                <w:sz w:val="22"/>
              </w:rPr>
            </w:pPr>
          </w:p>
        </w:tc>
        <w:tc>
          <w:tcPr>
            <w:tcW w:w="1423" w:type="dxa"/>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1" w:hRule="atLeast"/>
          <w:jc w:val="center"/>
        </w:trPr>
        <w:tc>
          <w:tcPr>
            <w:tcW w:w="841" w:type="dxa"/>
          </w:tcPr>
          <w:p>
            <w:pPr>
              <w:rPr>
                <w:rFonts w:ascii="宋体" w:hAnsi="宋体"/>
                <w:sz w:val="22"/>
              </w:rPr>
            </w:pPr>
          </w:p>
        </w:tc>
        <w:tc>
          <w:tcPr>
            <w:tcW w:w="4095" w:type="dxa"/>
            <w:gridSpan w:val="2"/>
          </w:tcPr>
          <w:p>
            <w:pPr>
              <w:rPr>
                <w:rFonts w:ascii="宋体" w:hAnsi="宋体"/>
                <w:sz w:val="22"/>
              </w:rPr>
            </w:pPr>
          </w:p>
        </w:tc>
        <w:tc>
          <w:tcPr>
            <w:tcW w:w="3300" w:type="dxa"/>
            <w:gridSpan w:val="2"/>
          </w:tcPr>
          <w:p>
            <w:pPr>
              <w:rPr>
                <w:rFonts w:ascii="宋体" w:hAnsi="宋体"/>
                <w:sz w:val="22"/>
              </w:rPr>
            </w:pPr>
          </w:p>
        </w:tc>
        <w:tc>
          <w:tcPr>
            <w:tcW w:w="1423" w:type="dxa"/>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 w:hRule="atLeast"/>
          <w:jc w:val="center"/>
        </w:trPr>
        <w:tc>
          <w:tcPr>
            <w:tcW w:w="841" w:type="dxa"/>
          </w:tcPr>
          <w:p>
            <w:pPr>
              <w:rPr>
                <w:rFonts w:ascii="宋体" w:hAnsi="宋体"/>
                <w:sz w:val="22"/>
              </w:rPr>
            </w:pPr>
          </w:p>
        </w:tc>
        <w:tc>
          <w:tcPr>
            <w:tcW w:w="4095" w:type="dxa"/>
            <w:gridSpan w:val="2"/>
          </w:tcPr>
          <w:p>
            <w:pPr>
              <w:rPr>
                <w:rFonts w:ascii="宋体" w:hAnsi="宋体"/>
                <w:sz w:val="22"/>
              </w:rPr>
            </w:pPr>
          </w:p>
        </w:tc>
        <w:tc>
          <w:tcPr>
            <w:tcW w:w="3300" w:type="dxa"/>
            <w:gridSpan w:val="2"/>
          </w:tcPr>
          <w:p>
            <w:pPr>
              <w:rPr>
                <w:rFonts w:ascii="宋体" w:hAnsi="宋体"/>
                <w:sz w:val="22"/>
              </w:rPr>
            </w:pPr>
          </w:p>
        </w:tc>
        <w:tc>
          <w:tcPr>
            <w:tcW w:w="1423" w:type="dxa"/>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1" w:hRule="atLeast"/>
          <w:jc w:val="center"/>
        </w:trPr>
        <w:tc>
          <w:tcPr>
            <w:tcW w:w="841" w:type="dxa"/>
          </w:tcPr>
          <w:p>
            <w:pPr>
              <w:rPr>
                <w:rFonts w:ascii="宋体" w:hAnsi="宋体"/>
                <w:sz w:val="22"/>
              </w:rPr>
            </w:pPr>
          </w:p>
        </w:tc>
        <w:tc>
          <w:tcPr>
            <w:tcW w:w="4095" w:type="dxa"/>
            <w:gridSpan w:val="2"/>
          </w:tcPr>
          <w:p>
            <w:pPr>
              <w:rPr>
                <w:rFonts w:ascii="宋体" w:hAnsi="宋体"/>
                <w:sz w:val="22"/>
              </w:rPr>
            </w:pPr>
          </w:p>
        </w:tc>
        <w:tc>
          <w:tcPr>
            <w:tcW w:w="3300" w:type="dxa"/>
            <w:gridSpan w:val="2"/>
          </w:tcPr>
          <w:p>
            <w:pPr>
              <w:rPr>
                <w:rFonts w:ascii="宋体" w:hAnsi="宋体"/>
                <w:sz w:val="22"/>
              </w:rPr>
            </w:pPr>
          </w:p>
        </w:tc>
        <w:tc>
          <w:tcPr>
            <w:tcW w:w="1423" w:type="dxa"/>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4936" w:type="dxa"/>
            <w:gridSpan w:val="3"/>
          </w:tcPr>
          <w:p>
            <w:pPr>
              <w:rPr>
                <w:rFonts w:ascii="宋体" w:hAnsi="宋体"/>
                <w:sz w:val="22"/>
              </w:rPr>
            </w:pPr>
            <w:r>
              <w:rPr>
                <w:rFonts w:hint="eastAsia" w:ascii="宋体" w:hAnsi="宋体"/>
                <w:sz w:val="22"/>
              </w:rPr>
              <w:t>责任单位项目部（签章）：</w:t>
            </w:r>
          </w:p>
        </w:tc>
        <w:tc>
          <w:tcPr>
            <w:tcW w:w="4723" w:type="dxa"/>
            <w:gridSpan w:val="3"/>
          </w:tcPr>
          <w:p>
            <w:pPr>
              <w:rPr>
                <w:rFonts w:ascii="宋体" w:hAnsi="宋体"/>
                <w:sz w:val="22"/>
              </w:rPr>
            </w:pPr>
            <w:r>
              <w:rPr>
                <w:rFonts w:hint="eastAsia" w:ascii="宋体" w:hAnsi="宋体"/>
                <w:sz w:val="22"/>
              </w:rPr>
              <w:t>检查人员（签字）：</w:t>
            </w:r>
          </w:p>
          <w:p>
            <w:pPr>
              <w:rPr>
                <w:rFonts w:ascii="宋体" w:hAnsi="宋体"/>
                <w:sz w:val="22"/>
              </w:rPr>
            </w:pPr>
          </w:p>
          <w:p>
            <w:pPr>
              <w:rPr>
                <w:rFonts w:ascii="宋体" w:hAnsi="宋体"/>
                <w:sz w:val="22"/>
              </w:rPr>
            </w:pPr>
            <w:r>
              <w:rPr>
                <w:rFonts w:hint="eastAsia" w:ascii="宋体" w:hAnsi="宋体"/>
                <w:sz w:val="22"/>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5" w:hRule="atLeast"/>
          <w:jc w:val="center"/>
        </w:trPr>
        <w:tc>
          <w:tcPr>
            <w:tcW w:w="9659" w:type="dxa"/>
            <w:gridSpan w:val="6"/>
          </w:tcPr>
          <w:p>
            <w:pPr>
              <w:rPr>
                <w:rFonts w:ascii="宋体" w:hAnsi="宋体"/>
                <w:sz w:val="22"/>
              </w:rPr>
            </w:pPr>
            <w:r>
              <w:rPr>
                <w:rFonts w:ascii="宋体" w:hAnsi="宋体"/>
                <w:sz w:val="22"/>
              </w:rPr>
              <w:t xml:space="preserve">                           </w:t>
            </w:r>
          </w:p>
          <w:p>
            <w:pPr>
              <w:rPr>
                <w:rFonts w:ascii="宋体" w:hAnsi="宋体"/>
                <w:sz w:val="22"/>
              </w:rPr>
            </w:pPr>
            <w:r>
              <w:rPr>
                <w:rFonts w:hint="eastAsia" w:ascii="宋体" w:hAnsi="宋体"/>
                <w:sz w:val="22"/>
              </w:rPr>
              <w:t>检查部门（签章）</w:t>
            </w:r>
          </w:p>
          <w:p>
            <w:pPr>
              <w:rPr>
                <w:rFonts w:ascii="宋体" w:hAnsi="宋体"/>
                <w:sz w:val="22"/>
              </w:rPr>
            </w:pPr>
            <w:r>
              <w:rPr>
                <w:rFonts w:ascii="宋体" w:hAnsi="宋体"/>
                <w:sz w:val="22"/>
              </w:rPr>
              <w:t xml:space="preserve">                                          </w:t>
            </w:r>
          </w:p>
          <w:p>
            <w:pPr>
              <w:rPr>
                <w:rFonts w:ascii="宋体" w:hAnsi="宋体"/>
                <w:sz w:val="22"/>
              </w:rPr>
            </w:pPr>
            <w:r>
              <w:rPr>
                <w:rFonts w:hint="eastAsia" w:ascii="宋体" w:hAnsi="宋体"/>
                <w:sz w:val="22"/>
              </w:rPr>
              <w:t>二○　　年　　月　　　日</w:t>
            </w:r>
          </w:p>
        </w:tc>
      </w:tr>
    </w:tbl>
    <w:p>
      <w:pPr>
        <w:rPr>
          <w:rFonts w:ascii="宋体" w:hAnsi="宋体"/>
          <w:sz w:val="22"/>
        </w:rPr>
      </w:pPr>
      <w:r>
        <w:rPr>
          <w:rFonts w:hint="eastAsia" w:ascii="宋体" w:hAnsi="宋体"/>
          <w:sz w:val="22"/>
        </w:rPr>
        <w:t>注：</w:t>
      </w:r>
      <w:r>
        <w:rPr>
          <w:rFonts w:ascii="宋体" w:hAnsi="宋体"/>
          <w:sz w:val="22"/>
        </w:rPr>
        <w:t>1</w:t>
      </w:r>
      <w:r>
        <w:rPr>
          <w:rFonts w:hint="eastAsia" w:ascii="宋体" w:hAnsi="宋体"/>
          <w:sz w:val="22"/>
        </w:rPr>
        <w:t>、施工项目部收到本通知单后，须在指定时限内完成整改，并递交《施工安全隐患整改回复单》；</w:t>
      </w:r>
      <w:r>
        <w:rPr>
          <w:rFonts w:ascii="宋体" w:hAnsi="宋体"/>
          <w:sz w:val="22"/>
        </w:rPr>
        <w:t>2</w:t>
      </w:r>
      <w:r>
        <w:rPr>
          <w:rFonts w:hint="eastAsia" w:ascii="宋体" w:hAnsi="宋体"/>
          <w:sz w:val="22"/>
        </w:rPr>
        <w:t>、本通知书一式三份，检查人员、责任施工项目部、责任监理项目部各持一份。</w:t>
      </w:r>
      <w:r>
        <w:rPr>
          <w:rFonts w:ascii="宋体" w:hAnsi="宋体"/>
          <w:sz w:val="22"/>
        </w:rPr>
        <w:t>3</w:t>
      </w:r>
      <w:r>
        <w:rPr>
          <w:rFonts w:hint="eastAsia" w:ascii="宋体" w:hAnsi="宋体"/>
          <w:sz w:val="22"/>
        </w:rPr>
        <w:t>、表格中的签章是指签字或盖章。</w:t>
      </w:r>
    </w:p>
    <w:p>
      <w:pPr>
        <w:jc w:val="center"/>
        <w:rPr>
          <w:rFonts w:ascii="宋体" w:hAnsi="宋体"/>
          <w:b/>
          <w:sz w:val="22"/>
        </w:rPr>
      </w:pPr>
      <w:r>
        <w:rPr>
          <w:rFonts w:ascii="宋体" w:hAnsi="宋体"/>
          <w:sz w:val="22"/>
        </w:rPr>
        <w:br w:type="page"/>
      </w:r>
      <w:r>
        <w:rPr>
          <w:rFonts w:hint="eastAsia" w:ascii="宋体" w:hAnsi="宋体"/>
          <w:b/>
          <w:sz w:val="22"/>
        </w:rPr>
        <w:t>安全文明施工工作联系单（处罚）</w:t>
      </w:r>
    </w:p>
    <w:p>
      <w:pPr>
        <w:rPr>
          <w:rFonts w:ascii="宋体" w:hAnsi="宋体"/>
          <w:sz w:val="22"/>
        </w:rPr>
      </w:pPr>
      <w:r>
        <w:rPr>
          <w:rFonts w:hint="eastAsia" w:ascii="宋体" w:hAnsi="宋体"/>
          <w:sz w:val="22"/>
        </w:rPr>
        <w:t>基建（安）第</w:t>
      </w:r>
      <w:r>
        <w:rPr>
          <w:rFonts w:ascii="宋体" w:hAnsi="宋体"/>
          <w:sz w:val="22"/>
        </w:rPr>
        <w:t xml:space="preserve">   </w:t>
      </w:r>
      <w:r>
        <w:rPr>
          <w:rFonts w:hint="eastAsia" w:ascii="宋体" w:hAnsi="宋体"/>
          <w:sz w:val="22"/>
        </w:rPr>
        <w:t>号</w:t>
      </w:r>
    </w:p>
    <w:tbl>
      <w:tblPr>
        <w:tblStyle w:val="19"/>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527"/>
        <w:gridCol w:w="568"/>
        <w:gridCol w:w="768"/>
        <w:gridCol w:w="104"/>
        <w:gridCol w:w="3148"/>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476" w:type="dxa"/>
            <w:gridSpan w:val="3"/>
            <w:vAlign w:val="center"/>
          </w:tcPr>
          <w:p>
            <w:pPr>
              <w:rPr>
                <w:rFonts w:ascii="宋体" w:hAnsi="宋体"/>
                <w:sz w:val="22"/>
              </w:rPr>
            </w:pPr>
            <w:r>
              <w:rPr>
                <w:rFonts w:hint="eastAsia" w:ascii="宋体" w:hAnsi="宋体"/>
                <w:sz w:val="22"/>
              </w:rPr>
              <w:t>责任单位项目部</w:t>
            </w:r>
          </w:p>
        </w:tc>
        <w:tc>
          <w:tcPr>
            <w:tcW w:w="7258" w:type="dxa"/>
            <w:gridSpan w:val="4"/>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381" w:type="dxa"/>
            <w:vMerge w:val="restart"/>
            <w:vAlign w:val="center"/>
          </w:tcPr>
          <w:p>
            <w:pPr>
              <w:rPr>
                <w:rFonts w:ascii="宋体" w:hAnsi="宋体"/>
                <w:sz w:val="22"/>
              </w:rPr>
            </w:pPr>
            <w:r>
              <w:rPr>
                <w:rFonts w:hint="eastAsia" w:ascii="宋体" w:hAnsi="宋体"/>
                <w:sz w:val="22"/>
              </w:rPr>
              <w:t>整改通知书编号</w:t>
            </w:r>
          </w:p>
        </w:tc>
        <w:tc>
          <w:tcPr>
            <w:tcW w:w="8353" w:type="dxa"/>
            <w:gridSpan w:val="6"/>
            <w:vAlign w:val="center"/>
          </w:tcPr>
          <w:p>
            <w:pPr>
              <w:rPr>
                <w:rFonts w:ascii="宋体" w:hAnsi="宋体"/>
                <w:sz w:val="22"/>
              </w:rPr>
            </w:pPr>
            <w:r>
              <w:rPr>
                <w:rFonts w:hint="eastAsia" w:ascii="宋体" w:hAnsi="宋体"/>
                <w:sz w:val="22"/>
              </w:rPr>
              <w:t>处</w:t>
            </w:r>
            <w:r>
              <w:rPr>
                <w:rFonts w:ascii="宋体" w:hAnsi="宋体"/>
                <w:sz w:val="22"/>
              </w:rPr>
              <w:t xml:space="preserve">   </w:t>
            </w:r>
            <w:r>
              <w:rPr>
                <w:rFonts w:hint="eastAsia" w:ascii="宋体" w:hAnsi="宋体"/>
                <w:sz w:val="22"/>
              </w:rPr>
              <w:t>罚</w:t>
            </w:r>
            <w:r>
              <w:rPr>
                <w:rFonts w:ascii="宋体" w:hAnsi="宋体"/>
                <w:sz w:val="22"/>
              </w:rPr>
              <w:t xml:space="preserve">    </w:t>
            </w:r>
            <w:r>
              <w:rPr>
                <w:rFonts w:hint="eastAsia" w:ascii="宋体" w:hAnsi="宋体"/>
                <w:sz w:val="22"/>
              </w:rPr>
              <w:t>标　　准　　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381" w:type="dxa"/>
            <w:vMerge w:val="continue"/>
            <w:vAlign w:val="center"/>
          </w:tcPr>
          <w:p>
            <w:pPr>
              <w:rPr>
                <w:rFonts w:ascii="宋体" w:hAnsi="宋体"/>
                <w:sz w:val="22"/>
              </w:rPr>
            </w:pPr>
          </w:p>
        </w:tc>
        <w:tc>
          <w:tcPr>
            <w:tcW w:w="1967" w:type="dxa"/>
            <w:gridSpan w:val="4"/>
            <w:vAlign w:val="center"/>
          </w:tcPr>
          <w:p>
            <w:pPr>
              <w:rPr>
                <w:rFonts w:ascii="宋体" w:hAnsi="宋体"/>
                <w:sz w:val="22"/>
              </w:rPr>
            </w:pPr>
            <w:r>
              <w:rPr>
                <w:rFonts w:hint="eastAsia" w:ascii="宋体" w:hAnsi="宋体"/>
                <w:sz w:val="22"/>
              </w:rPr>
              <w:t>处罚数额（元）</w:t>
            </w:r>
          </w:p>
        </w:tc>
        <w:tc>
          <w:tcPr>
            <w:tcW w:w="6386" w:type="dxa"/>
            <w:gridSpan w:val="2"/>
            <w:vAlign w:val="center"/>
          </w:tcPr>
          <w:p>
            <w:pPr>
              <w:rPr>
                <w:rFonts w:ascii="宋体" w:hAnsi="宋体"/>
                <w:sz w:val="22"/>
              </w:rPr>
            </w:pPr>
            <w:r>
              <w:rPr>
                <w:rFonts w:hint="eastAsia" w:ascii="宋体" w:hAnsi="宋体"/>
                <w:sz w:val="22"/>
              </w:rPr>
              <w:t>未按要求整改内容描述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jc w:val="center"/>
        </w:trPr>
        <w:tc>
          <w:tcPr>
            <w:tcW w:w="1381" w:type="dxa"/>
            <w:vAlign w:val="center"/>
          </w:tcPr>
          <w:p>
            <w:pPr>
              <w:rPr>
                <w:rFonts w:ascii="宋体" w:hAnsi="宋体"/>
                <w:sz w:val="22"/>
              </w:rPr>
            </w:pPr>
          </w:p>
        </w:tc>
        <w:tc>
          <w:tcPr>
            <w:tcW w:w="1967" w:type="dxa"/>
            <w:gridSpan w:val="4"/>
            <w:vAlign w:val="center"/>
          </w:tcPr>
          <w:p>
            <w:pPr>
              <w:rPr>
                <w:rFonts w:ascii="宋体" w:hAnsi="宋体"/>
                <w:sz w:val="22"/>
              </w:rPr>
            </w:pPr>
          </w:p>
        </w:tc>
        <w:tc>
          <w:tcPr>
            <w:tcW w:w="6386" w:type="dxa"/>
            <w:gridSpan w:val="2"/>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1381" w:type="dxa"/>
            <w:vAlign w:val="center"/>
          </w:tcPr>
          <w:p>
            <w:pPr>
              <w:rPr>
                <w:rFonts w:ascii="宋体" w:hAnsi="宋体"/>
                <w:sz w:val="22"/>
              </w:rPr>
            </w:pPr>
          </w:p>
        </w:tc>
        <w:tc>
          <w:tcPr>
            <w:tcW w:w="1967" w:type="dxa"/>
            <w:gridSpan w:val="4"/>
            <w:vAlign w:val="center"/>
          </w:tcPr>
          <w:p>
            <w:pPr>
              <w:rPr>
                <w:rFonts w:ascii="宋体" w:hAnsi="宋体"/>
                <w:sz w:val="22"/>
              </w:rPr>
            </w:pPr>
          </w:p>
        </w:tc>
        <w:tc>
          <w:tcPr>
            <w:tcW w:w="6386" w:type="dxa"/>
            <w:gridSpan w:val="2"/>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381" w:type="dxa"/>
            <w:vAlign w:val="center"/>
          </w:tcPr>
          <w:p>
            <w:pPr>
              <w:rPr>
                <w:rFonts w:ascii="宋体" w:hAnsi="宋体"/>
                <w:sz w:val="22"/>
              </w:rPr>
            </w:pPr>
          </w:p>
        </w:tc>
        <w:tc>
          <w:tcPr>
            <w:tcW w:w="1967" w:type="dxa"/>
            <w:gridSpan w:val="4"/>
            <w:vAlign w:val="center"/>
          </w:tcPr>
          <w:p>
            <w:pPr>
              <w:rPr>
                <w:rFonts w:ascii="宋体" w:hAnsi="宋体"/>
                <w:sz w:val="22"/>
              </w:rPr>
            </w:pPr>
          </w:p>
        </w:tc>
        <w:tc>
          <w:tcPr>
            <w:tcW w:w="6386" w:type="dxa"/>
            <w:gridSpan w:val="2"/>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1381" w:type="dxa"/>
            <w:vAlign w:val="center"/>
          </w:tcPr>
          <w:p>
            <w:pPr>
              <w:rPr>
                <w:rFonts w:ascii="宋体" w:hAnsi="宋体"/>
                <w:sz w:val="22"/>
              </w:rPr>
            </w:pPr>
          </w:p>
        </w:tc>
        <w:tc>
          <w:tcPr>
            <w:tcW w:w="1967" w:type="dxa"/>
            <w:gridSpan w:val="4"/>
            <w:vAlign w:val="center"/>
          </w:tcPr>
          <w:p>
            <w:pPr>
              <w:rPr>
                <w:rFonts w:ascii="宋体" w:hAnsi="宋体"/>
                <w:sz w:val="22"/>
              </w:rPr>
            </w:pPr>
          </w:p>
        </w:tc>
        <w:tc>
          <w:tcPr>
            <w:tcW w:w="6386" w:type="dxa"/>
            <w:gridSpan w:val="2"/>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jc w:val="center"/>
        </w:trPr>
        <w:tc>
          <w:tcPr>
            <w:tcW w:w="1381" w:type="dxa"/>
            <w:vAlign w:val="center"/>
          </w:tcPr>
          <w:p>
            <w:pPr>
              <w:rPr>
                <w:rFonts w:ascii="宋体" w:hAnsi="宋体"/>
                <w:sz w:val="22"/>
              </w:rPr>
            </w:pPr>
          </w:p>
        </w:tc>
        <w:tc>
          <w:tcPr>
            <w:tcW w:w="1967" w:type="dxa"/>
            <w:gridSpan w:val="4"/>
            <w:vAlign w:val="center"/>
          </w:tcPr>
          <w:p>
            <w:pPr>
              <w:rPr>
                <w:rFonts w:ascii="宋体" w:hAnsi="宋体"/>
                <w:sz w:val="22"/>
              </w:rPr>
            </w:pPr>
          </w:p>
        </w:tc>
        <w:tc>
          <w:tcPr>
            <w:tcW w:w="6386" w:type="dxa"/>
            <w:gridSpan w:val="2"/>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1381" w:type="dxa"/>
            <w:vAlign w:val="center"/>
          </w:tcPr>
          <w:p>
            <w:pPr>
              <w:rPr>
                <w:rFonts w:ascii="宋体" w:hAnsi="宋体"/>
                <w:sz w:val="22"/>
              </w:rPr>
            </w:pPr>
          </w:p>
        </w:tc>
        <w:tc>
          <w:tcPr>
            <w:tcW w:w="1967" w:type="dxa"/>
            <w:gridSpan w:val="4"/>
            <w:vAlign w:val="center"/>
          </w:tcPr>
          <w:p>
            <w:pPr>
              <w:rPr>
                <w:rFonts w:ascii="宋体" w:hAnsi="宋体"/>
                <w:sz w:val="22"/>
              </w:rPr>
            </w:pPr>
          </w:p>
        </w:tc>
        <w:tc>
          <w:tcPr>
            <w:tcW w:w="6386" w:type="dxa"/>
            <w:gridSpan w:val="2"/>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08" w:type="dxa"/>
            <w:gridSpan w:val="2"/>
            <w:vAlign w:val="center"/>
          </w:tcPr>
          <w:p>
            <w:pPr>
              <w:rPr>
                <w:rFonts w:ascii="宋体" w:hAnsi="宋体"/>
                <w:sz w:val="22"/>
              </w:rPr>
            </w:pPr>
            <w:r>
              <w:rPr>
                <w:rFonts w:hint="eastAsia" w:ascii="宋体" w:hAnsi="宋体"/>
                <w:sz w:val="22"/>
              </w:rPr>
              <w:t>处罚合计（元）</w:t>
            </w:r>
          </w:p>
        </w:tc>
        <w:tc>
          <w:tcPr>
            <w:tcW w:w="1440" w:type="dxa"/>
            <w:gridSpan w:val="3"/>
            <w:vAlign w:val="center"/>
          </w:tcPr>
          <w:p>
            <w:pPr>
              <w:rPr>
                <w:rFonts w:ascii="宋体" w:hAnsi="宋体"/>
                <w:sz w:val="22"/>
              </w:rPr>
            </w:pPr>
          </w:p>
        </w:tc>
        <w:tc>
          <w:tcPr>
            <w:tcW w:w="3148" w:type="dxa"/>
            <w:vAlign w:val="center"/>
          </w:tcPr>
          <w:p>
            <w:pPr>
              <w:rPr>
                <w:rFonts w:ascii="宋体" w:hAnsi="宋体"/>
                <w:sz w:val="22"/>
              </w:rPr>
            </w:pPr>
            <w:r>
              <w:rPr>
                <w:rFonts w:hint="eastAsia" w:ascii="宋体" w:hAnsi="宋体"/>
                <w:sz w:val="22"/>
              </w:rPr>
              <w:t>检查人员</w:t>
            </w:r>
          </w:p>
        </w:tc>
        <w:tc>
          <w:tcPr>
            <w:tcW w:w="3238" w:type="dxa"/>
            <w:vAlign w:val="center"/>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4" w:hRule="atLeast"/>
          <w:jc w:val="center"/>
        </w:trPr>
        <w:tc>
          <w:tcPr>
            <w:tcW w:w="3244" w:type="dxa"/>
            <w:gridSpan w:val="4"/>
          </w:tcPr>
          <w:p>
            <w:pPr>
              <w:rPr>
                <w:rFonts w:ascii="宋体" w:hAnsi="宋体"/>
                <w:sz w:val="22"/>
              </w:rPr>
            </w:pPr>
            <w:r>
              <w:rPr>
                <w:rFonts w:hint="eastAsia" w:ascii="宋体" w:hAnsi="宋体"/>
                <w:sz w:val="22"/>
              </w:rPr>
              <w:t>责任施工项目部（签章）</w:t>
            </w:r>
          </w:p>
        </w:tc>
        <w:tc>
          <w:tcPr>
            <w:tcW w:w="3252" w:type="dxa"/>
            <w:gridSpan w:val="2"/>
          </w:tcPr>
          <w:p>
            <w:pPr>
              <w:rPr>
                <w:rFonts w:ascii="宋体" w:hAnsi="宋体"/>
                <w:sz w:val="22"/>
              </w:rPr>
            </w:pPr>
            <w:r>
              <w:rPr>
                <w:rFonts w:hint="eastAsia" w:ascii="宋体" w:hAnsi="宋体"/>
                <w:sz w:val="22"/>
              </w:rPr>
              <w:t>责任监理项目部（签章）</w:t>
            </w:r>
          </w:p>
          <w:p>
            <w:pPr>
              <w:rPr>
                <w:rFonts w:ascii="宋体" w:hAnsi="宋体"/>
                <w:sz w:val="22"/>
              </w:rPr>
            </w:pPr>
          </w:p>
          <w:p>
            <w:pPr>
              <w:rPr>
                <w:rFonts w:ascii="宋体" w:hAnsi="宋体"/>
                <w:sz w:val="22"/>
              </w:rPr>
            </w:pPr>
          </w:p>
          <w:p>
            <w:pPr>
              <w:rPr>
                <w:rFonts w:ascii="宋体" w:hAnsi="宋体"/>
                <w:sz w:val="22"/>
              </w:rPr>
            </w:pPr>
          </w:p>
          <w:p>
            <w:pPr>
              <w:rPr>
                <w:rFonts w:ascii="宋体" w:hAnsi="宋体"/>
                <w:sz w:val="22"/>
              </w:rPr>
            </w:pPr>
          </w:p>
        </w:tc>
        <w:tc>
          <w:tcPr>
            <w:tcW w:w="3238" w:type="dxa"/>
          </w:tcPr>
          <w:p>
            <w:pPr>
              <w:rPr>
                <w:rFonts w:ascii="宋体" w:hAnsi="宋体"/>
                <w:sz w:val="22"/>
              </w:rPr>
            </w:pPr>
            <w:r>
              <w:rPr>
                <w:rFonts w:hint="eastAsia" w:ascii="宋体" w:hAnsi="宋体"/>
                <w:sz w:val="22"/>
              </w:rPr>
              <w:t>签发部门（签章）</w:t>
            </w:r>
          </w:p>
          <w:p>
            <w:pPr>
              <w:rPr>
                <w:rFonts w:ascii="宋体" w:hAnsi="宋体"/>
                <w:sz w:val="22"/>
              </w:rPr>
            </w:pPr>
          </w:p>
          <w:p>
            <w:pPr>
              <w:rPr>
                <w:rFonts w:ascii="宋体" w:hAnsi="宋体"/>
                <w:sz w:val="22"/>
              </w:rPr>
            </w:pPr>
          </w:p>
          <w:p>
            <w:pPr>
              <w:rPr>
                <w:rFonts w:ascii="宋体" w:hAnsi="宋体"/>
                <w:sz w:val="22"/>
              </w:rPr>
            </w:pPr>
            <w:r>
              <w:rPr>
                <w:rFonts w:hint="eastAsia" w:ascii="宋体" w:hAnsi="宋体"/>
                <w:sz w:val="22"/>
              </w:rPr>
              <w:t>二○</w:t>
            </w:r>
            <w:r>
              <w:rPr>
                <w:rFonts w:ascii="宋体" w:hAnsi="宋体"/>
                <w:sz w:val="22"/>
              </w:rPr>
              <w:t xml:space="preserve">   </w:t>
            </w:r>
            <w:r>
              <w:rPr>
                <w:rFonts w:hint="eastAsia" w:ascii="宋体" w:hAnsi="宋体"/>
                <w:sz w:val="22"/>
              </w:rPr>
              <w:t>年</w:t>
            </w:r>
            <w:r>
              <w:rPr>
                <w:rFonts w:ascii="宋体" w:hAnsi="宋体"/>
                <w:sz w:val="22"/>
              </w:rPr>
              <w:t xml:space="preserve">   </w:t>
            </w:r>
            <w:r>
              <w:rPr>
                <w:rFonts w:hint="eastAsia" w:ascii="宋体" w:hAnsi="宋体"/>
                <w:sz w:val="22"/>
              </w:rPr>
              <w:t>月</w:t>
            </w:r>
            <w:r>
              <w:rPr>
                <w:rFonts w:ascii="宋体" w:hAnsi="宋体"/>
                <w:sz w:val="22"/>
              </w:rPr>
              <w:t xml:space="preserve">    </w:t>
            </w:r>
            <w:r>
              <w:rPr>
                <w:rFonts w:hint="eastAsia" w:ascii="宋体" w:hAnsi="宋体"/>
                <w:sz w:val="22"/>
              </w:rPr>
              <w:t>日</w:t>
            </w:r>
          </w:p>
        </w:tc>
      </w:tr>
    </w:tbl>
    <w:p>
      <w:pPr>
        <w:rPr>
          <w:rFonts w:ascii="宋体" w:hAnsi="宋体"/>
          <w:sz w:val="22"/>
        </w:rPr>
      </w:pPr>
      <w:r>
        <w:rPr>
          <w:rFonts w:hint="eastAsia" w:ascii="宋体" w:hAnsi="宋体"/>
          <w:sz w:val="22"/>
        </w:rPr>
        <w:t>注：</w:t>
      </w:r>
      <w:r>
        <w:rPr>
          <w:rFonts w:ascii="宋体" w:hAnsi="宋体"/>
          <w:sz w:val="22"/>
        </w:rPr>
        <w:t>1</w:t>
      </w:r>
      <w:r>
        <w:rPr>
          <w:rFonts w:hint="eastAsia" w:ascii="宋体" w:hAnsi="宋体"/>
          <w:sz w:val="22"/>
        </w:rPr>
        <w:t>、本扣分通知单一式四份，信导部、签发人、责任施工项目部和责任监理项目部各持一份。</w:t>
      </w:r>
      <w:r>
        <w:rPr>
          <w:rFonts w:ascii="宋体" w:hAnsi="宋体"/>
          <w:sz w:val="22"/>
        </w:rPr>
        <w:t>2</w:t>
      </w:r>
      <w:r>
        <w:rPr>
          <w:rFonts w:hint="eastAsia" w:ascii="宋体" w:hAnsi="宋体"/>
          <w:sz w:val="22"/>
        </w:rPr>
        <w:t>、表格中的签章是指签字或盖章。</w:t>
      </w:r>
    </w:p>
    <w:p>
      <w:pPr>
        <w:adjustRightInd w:val="0"/>
        <w:snapToGrid w:val="0"/>
        <w:spacing w:line="360" w:lineRule="exact"/>
        <w:rPr>
          <w:rFonts w:ascii="宋体" w:hAnsi="宋体"/>
          <w:sz w:val="22"/>
          <w:szCs w:val="22"/>
        </w:rPr>
      </w:pPr>
    </w:p>
    <w:p>
      <w:pPr>
        <w:rPr>
          <w:rFonts w:ascii="宋体" w:hAnsi="宋体" w:cs="宋体"/>
          <w:bCs/>
          <w:sz w:val="22"/>
          <w:szCs w:val="22"/>
        </w:rPr>
      </w:pPr>
    </w:p>
    <w:p>
      <w:pPr>
        <w:pStyle w:val="25"/>
        <w:ind w:firstLine="0" w:firstLineChars="0"/>
        <w:rPr>
          <w:rFonts w:ascii="宋体" w:hAnsi="宋体"/>
          <w:color w:val="auto"/>
        </w:rPr>
      </w:pPr>
      <w:r>
        <w:rPr>
          <w:rFonts w:hint="eastAsia" w:ascii="宋体" w:hAnsi="宋体"/>
          <w:color w:val="auto"/>
        </w:rPr>
        <w:br w:type="page"/>
      </w:r>
      <w:r>
        <w:rPr>
          <w:rFonts w:hint="eastAsia" w:ascii="宋体" w:hAnsi="宋体"/>
          <w:color w:val="auto"/>
        </w:rPr>
        <w:t>附件3：</w:t>
      </w:r>
    </w:p>
    <w:p>
      <w:pPr>
        <w:pStyle w:val="25"/>
        <w:ind w:firstLine="0" w:firstLineChars="0"/>
        <w:jc w:val="center"/>
        <w:rPr>
          <w:rFonts w:ascii="宋体" w:hAnsi="宋体"/>
          <w:b/>
          <w:color w:val="auto"/>
          <w:sz w:val="36"/>
        </w:rPr>
      </w:pPr>
      <w:r>
        <w:rPr>
          <w:rFonts w:hint="eastAsia" w:ascii="宋体" w:hAnsi="宋体"/>
          <w:b/>
          <w:color w:val="auto"/>
          <w:sz w:val="36"/>
        </w:rPr>
        <w:t>廉洁自律承诺书</w:t>
      </w:r>
    </w:p>
    <w:p>
      <w:pPr>
        <w:pStyle w:val="25"/>
        <w:ind w:firstLine="0" w:firstLineChars="0"/>
        <w:rPr>
          <w:rFonts w:ascii="宋体" w:hAnsi="宋体"/>
          <w:color w:val="auto"/>
        </w:rPr>
      </w:pPr>
    </w:p>
    <w:p>
      <w:pPr>
        <w:rPr>
          <w:rFonts w:ascii="宋体" w:hAnsi="宋体"/>
          <w:sz w:val="22"/>
        </w:rPr>
      </w:pPr>
    </w:p>
    <w:p>
      <w:pPr>
        <w:spacing w:line="276" w:lineRule="auto"/>
        <w:jc w:val="left"/>
        <w:rPr>
          <w:rFonts w:ascii="宋体" w:hAnsi="宋体"/>
          <w:sz w:val="22"/>
        </w:rPr>
      </w:pPr>
      <w:r>
        <w:rPr>
          <w:rFonts w:hint="eastAsia" w:ascii="宋体" w:hAnsi="宋体"/>
          <w:sz w:val="22"/>
        </w:rPr>
        <w:t>杭州萧山国际机场有限公司：</w:t>
      </w:r>
    </w:p>
    <w:p>
      <w:pPr>
        <w:spacing w:line="276" w:lineRule="auto"/>
        <w:ind w:firstLine="440" w:firstLineChars="200"/>
        <w:jc w:val="left"/>
        <w:rPr>
          <w:rFonts w:ascii="宋体" w:hAnsi="宋体"/>
          <w:sz w:val="22"/>
        </w:rPr>
      </w:pPr>
      <w:r>
        <w:rPr>
          <w:rFonts w:hint="eastAsia" w:ascii="宋体" w:hAnsi="宋体"/>
          <w:sz w:val="22"/>
        </w:rPr>
        <w:t>我单位响应贵公司项目招标要求，参加项目投标。在投标过程中及中标后，我们将严格遵守国家法律法规和贵司招标文件要求，并郑重作出如下承诺和保证：</w:t>
      </w:r>
    </w:p>
    <w:p>
      <w:pPr>
        <w:spacing w:line="276" w:lineRule="auto"/>
        <w:ind w:firstLine="440" w:firstLineChars="200"/>
        <w:jc w:val="left"/>
        <w:rPr>
          <w:rFonts w:ascii="宋体" w:hAnsi="宋体"/>
          <w:sz w:val="22"/>
        </w:rPr>
      </w:pPr>
      <w:r>
        <w:rPr>
          <w:rFonts w:hint="eastAsia" w:ascii="宋体" w:hAnsi="宋体"/>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40" w:firstLineChars="200"/>
        <w:jc w:val="left"/>
        <w:rPr>
          <w:rFonts w:ascii="宋体" w:hAnsi="宋体"/>
          <w:sz w:val="22"/>
        </w:rPr>
      </w:pPr>
      <w:r>
        <w:rPr>
          <w:rFonts w:hint="eastAsia" w:ascii="宋体" w:hAnsi="宋体"/>
          <w:sz w:val="22"/>
        </w:rPr>
        <w:t>二、不以任何名义为贵公司有关人员或项目第三方人员报销应由贵公司或个人支付的费用；</w:t>
      </w:r>
    </w:p>
    <w:p>
      <w:pPr>
        <w:spacing w:line="276" w:lineRule="auto"/>
        <w:ind w:firstLine="440" w:firstLineChars="200"/>
        <w:jc w:val="left"/>
        <w:rPr>
          <w:rFonts w:ascii="宋体" w:hAnsi="宋体"/>
          <w:sz w:val="22"/>
        </w:rPr>
      </w:pPr>
      <w:r>
        <w:rPr>
          <w:rFonts w:hint="eastAsia" w:ascii="宋体" w:hAnsi="宋体"/>
          <w:sz w:val="22"/>
        </w:rPr>
        <w:t>三、不向贵公司有关人员或项目第三方人员提供宴请、旅游、和健身娱乐等活动；</w:t>
      </w:r>
    </w:p>
    <w:p>
      <w:pPr>
        <w:spacing w:line="276" w:lineRule="auto"/>
        <w:ind w:firstLine="440" w:firstLineChars="200"/>
        <w:jc w:val="left"/>
        <w:rPr>
          <w:rFonts w:ascii="宋体" w:hAnsi="宋体"/>
          <w:sz w:val="22"/>
        </w:rPr>
      </w:pPr>
      <w:r>
        <w:rPr>
          <w:rFonts w:hint="eastAsia" w:ascii="宋体" w:hAnsi="宋体"/>
          <w:sz w:val="22"/>
        </w:rPr>
        <w:t>四、不为贵公司有关人员或项目第三方人员出国（境）、旅游等提供方便；</w:t>
      </w:r>
    </w:p>
    <w:p>
      <w:pPr>
        <w:spacing w:line="276" w:lineRule="auto"/>
        <w:ind w:firstLine="440" w:firstLineChars="200"/>
        <w:jc w:val="left"/>
        <w:rPr>
          <w:rFonts w:ascii="宋体" w:hAnsi="宋体"/>
          <w:sz w:val="22"/>
        </w:rPr>
      </w:pPr>
      <w:r>
        <w:rPr>
          <w:rFonts w:hint="eastAsia" w:ascii="宋体" w:hAnsi="宋体"/>
          <w:sz w:val="22"/>
        </w:rPr>
        <w:t>五、不为贵公司有关人员或项目第三方人员个人装修住房、婚丧嫁娶、配偶子女工作安排等提供好处或便利条件；</w:t>
      </w:r>
    </w:p>
    <w:p>
      <w:pPr>
        <w:spacing w:line="276" w:lineRule="auto"/>
        <w:ind w:firstLine="440" w:firstLineChars="200"/>
        <w:jc w:val="left"/>
        <w:rPr>
          <w:rFonts w:ascii="宋体" w:hAnsi="宋体"/>
          <w:sz w:val="22"/>
        </w:rPr>
      </w:pPr>
      <w:r>
        <w:rPr>
          <w:rFonts w:hint="eastAsia" w:ascii="宋体" w:hAnsi="宋体"/>
          <w:sz w:val="22"/>
        </w:rPr>
        <w:t>六、严格遵守国家招标投标法、合同法等法律规定，诚实守信，合法经营，坚决杜绝各种违法违纪行为。</w:t>
      </w:r>
    </w:p>
    <w:p>
      <w:pPr>
        <w:spacing w:line="276" w:lineRule="auto"/>
        <w:ind w:firstLine="440" w:firstLineChars="200"/>
        <w:jc w:val="left"/>
        <w:rPr>
          <w:rFonts w:ascii="宋体" w:hAnsi="宋体"/>
          <w:sz w:val="22"/>
        </w:rPr>
      </w:pPr>
      <w:r>
        <w:rPr>
          <w:rFonts w:hint="eastAsia" w:ascii="宋体" w:hAnsi="宋体"/>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40" w:firstLineChars="200"/>
        <w:jc w:val="left"/>
        <w:rPr>
          <w:rFonts w:ascii="宋体" w:hAnsi="宋体"/>
          <w:sz w:val="22"/>
        </w:rPr>
      </w:pPr>
      <w:r>
        <w:rPr>
          <w:rFonts w:hint="eastAsia" w:ascii="宋体" w:hAnsi="宋体"/>
          <w:sz w:val="22"/>
        </w:rPr>
        <w:t>八、如违反上述廉洁自律承诺，贵公司有权：</w:t>
      </w:r>
    </w:p>
    <w:p>
      <w:pPr>
        <w:spacing w:line="276" w:lineRule="auto"/>
        <w:ind w:firstLine="440" w:firstLineChars="200"/>
        <w:jc w:val="left"/>
        <w:rPr>
          <w:rFonts w:ascii="宋体" w:hAnsi="宋体"/>
          <w:sz w:val="22"/>
        </w:rPr>
      </w:pPr>
      <w:r>
        <w:rPr>
          <w:rFonts w:hint="eastAsia" w:ascii="宋体" w:hAnsi="宋体"/>
          <w:sz w:val="22"/>
        </w:rPr>
        <w:t>（1）</w:t>
      </w:r>
      <w:r>
        <w:rPr>
          <w:rFonts w:hint="eastAsia" w:ascii="宋体" w:hAnsi="宋体"/>
          <w:sz w:val="22"/>
        </w:rPr>
        <w:tab/>
      </w:r>
      <w:r>
        <w:rPr>
          <w:rFonts w:hint="eastAsia" w:ascii="宋体" w:hAnsi="宋体"/>
          <w:sz w:val="22"/>
        </w:rPr>
        <w:t>立即取消我单位投标、中标或在建项目的实施资格；</w:t>
      </w:r>
    </w:p>
    <w:p>
      <w:pPr>
        <w:spacing w:line="276" w:lineRule="auto"/>
        <w:ind w:firstLine="440" w:firstLineChars="200"/>
        <w:jc w:val="left"/>
        <w:rPr>
          <w:rFonts w:ascii="宋体" w:hAnsi="宋体"/>
          <w:sz w:val="22"/>
        </w:rPr>
      </w:pPr>
      <w:r>
        <w:rPr>
          <w:rFonts w:hint="eastAsia" w:ascii="宋体" w:hAnsi="宋体"/>
          <w:sz w:val="22"/>
        </w:rPr>
        <w:t>（2）</w:t>
      </w:r>
      <w:r>
        <w:rPr>
          <w:rFonts w:hint="eastAsia" w:ascii="宋体" w:hAnsi="宋体"/>
          <w:sz w:val="22"/>
        </w:rPr>
        <w:tab/>
      </w:r>
      <w:r>
        <w:rPr>
          <w:rFonts w:hint="eastAsia" w:ascii="宋体" w:hAnsi="宋体"/>
          <w:sz w:val="22"/>
        </w:rPr>
        <w:t>扣除我方向贵公司缴纳的履约保证金的10%作为违反廉洁自律承诺的违约金。如该违约金不足以弥补贵公司损失的，我单位仍将承担实际损失赔偿责任。</w:t>
      </w:r>
    </w:p>
    <w:p>
      <w:pPr>
        <w:spacing w:line="276" w:lineRule="auto"/>
        <w:ind w:firstLine="440" w:firstLineChars="200"/>
        <w:jc w:val="left"/>
        <w:rPr>
          <w:rFonts w:ascii="宋体" w:hAnsi="宋体"/>
          <w:sz w:val="22"/>
        </w:rPr>
      </w:pPr>
      <w:r>
        <w:rPr>
          <w:rFonts w:hint="eastAsia" w:ascii="宋体" w:hAnsi="宋体"/>
          <w:sz w:val="22"/>
        </w:rPr>
        <w:t>（3）</w:t>
      </w:r>
      <w:r>
        <w:rPr>
          <w:rFonts w:hint="eastAsia" w:ascii="宋体" w:hAnsi="宋体"/>
          <w:sz w:val="22"/>
        </w:rPr>
        <w:tab/>
      </w:r>
      <w:r>
        <w:rPr>
          <w:rFonts w:hint="eastAsia" w:ascii="宋体" w:hAnsi="宋体"/>
          <w:sz w:val="22"/>
        </w:rPr>
        <w:t>拒绝我单位在一定时期内进入贵公司进行项目建设或其它经营活动；</w:t>
      </w:r>
    </w:p>
    <w:p>
      <w:pPr>
        <w:spacing w:line="276" w:lineRule="auto"/>
        <w:ind w:firstLine="440" w:firstLineChars="200"/>
        <w:jc w:val="left"/>
        <w:rPr>
          <w:rFonts w:ascii="宋体" w:hAnsi="宋体"/>
          <w:sz w:val="22"/>
        </w:rPr>
      </w:pPr>
      <w:r>
        <w:rPr>
          <w:rFonts w:hint="eastAsia" w:ascii="宋体" w:hAnsi="宋体"/>
          <w:sz w:val="22"/>
        </w:rPr>
        <w:t>（4）</w:t>
      </w:r>
      <w:r>
        <w:rPr>
          <w:rFonts w:hint="eastAsia" w:ascii="宋体" w:hAnsi="宋体"/>
          <w:sz w:val="22"/>
        </w:rPr>
        <w:tab/>
      </w:r>
      <w:r>
        <w:rPr>
          <w:rFonts w:hint="eastAsia" w:ascii="宋体" w:hAnsi="宋体"/>
          <w:sz w:val="22"/>
        </w:rPr>
        <w:t>由此引起的相应损失均由我单位承担。</w:t>
      </w:r>
    </w:p>
    <w:p>
      <w:pPr>
        <w:spacing w:line="276" w:lineRule="auto"/>
        <w:ind w:firstLine="440" w:firstLineChars="200"/>
        <w:jc w:val="left"/>
        <w:rPr>
          <w:rFonts w:ascii="宋体" w:hAnsi="宋体"/>
          <w:sz w:val="22"/>
        </w:rPr>
      </w:pPr>
    </w:p>
    <w:p>
      <w:pPr>
        <w:spacing w:line="276" w:lineRule="auto"/>
        <w:ind w:firstLine="440" w:firstLineChars="200"/>
        <w:jc w:val="left"/>
        <w:rPr>
          <w:rFonts w:ascii="宋体" w:hAnsi="宋体"/>
          <w:sz w:val="22"/>
        </w:rPr>
      </w:pPr>
      <w:r>
        <w:rPr>
          <w:rFonts w:hint="eastAsia" w:ascii="宋体" w:hAnsi="宋体"/>
          <w:sz w:val="22"/>
        </w:rPr>
        <w:t xml:space="preserve">承诺人单位名称（盖章）：            </w:t>
      </w:r>
    </w:p>
    <w:p>
      <w:pPr>
        <w:spacing w:line="276" w:lineRule="auto"/>
        <w:ind w:firstLine="440" w:firstLineChars="200"/>
        <w:jc w:val="left"/>
        <w:rPr>
          <w:rFonts w:ascii="宋体" w:hAnsi="宋体"/>
          <w:sz w:val="22"/>
        </w:rPr>
      </w:pPr>
      <w:r>
        <w:rPr>
          <w:rFonts w:hint="eastAsia" w:ascii="宋体" w:hAnsi="宋体"/>
          <w:sz w:val="22"/>
        </w:rPr>
        <w:t xml:space="preserve">法定代表人 ：                    </w:t>
      </w:r>
    </w:p>
    <w:p>
      <w:pPr>
        <w:spacing w:line="276" w:lineRule="auto"/>
        <w:ind w:firstLine="440" w:firstLineChars="200"/>
        <w:jc w:val="left"/>
        <w:rPr>
          <w:rFonts w:ascii="宋体" w:hAnsi="宋体"/>
          <w:sz w:val="22"/>
        </w:rPr>
      </w:pPr>
      <w:r>
        <w:rPr>
          <w:rFonts w:hint="eastAsia" w:ascii="宋体" w:hAnsi="宋体"/>
          <w:sz w:val="22"/>
        </w:rPr>
        <w:t xml:space="preserve">或                            </w:t>
      </w:r>
    </w:p>
    <w:p>
      <w:pPr>
        <w:spacing w:line="276" w:lineRule="auto"/>
        <w:ind w:firstLine="440" w:firstLineChars="200"/>
        <w:jc w:val="left"/>
        <w:rPr>
          <w:rFonts w:ascii="宋体" w:hAnsi="宋体"/>
          <w:sz w:val="22"/>
        </w:rPr>
      </w:pPr>
      <w:r>
        <w:rPr>
          <w:rFonts w:hint="eastAsia" w:ascii="宋体" w:hAnsi="宋体"/>
          <w:sz w:val="22"/>
        </w:rPr>
        <w:t xml:space="preserve">委托代理人：                   </w:t>
      </w:r>
    </w:p>
    <w:p>
      <w:pPr>
        <w:spacing w:line="276" w:lineRule="auto"/>
        <w:ind w:firstLine="440" w:firstLineChars="200"/>
        <w:jc w:val="left"/>
        <w:rPr>
          <w:rFonts w:ascii="宋体" w:hAnsi="宋体"/>
          <w:sz w:val="22"/>
        </w:rPr>
      </w:pPr>
    </w:p>
    <w:p>
      <w:pPr>
        <w:spacing w:line="276" w:lineRule="auto"/>
        <w:ind w:firstLine="440" w:firstLineChars="200"/>
        <w:jc w:val="left"/>
        <w:rPr>
          <w:rFonts w:ascii="宋体" w:hAnsi="宋体"/>
          <w:sz w:val="22"/>
        </w:rPr>
      </w:pPr>
      <w:r>
        <w:rPr>
          <w:rFonts w:hint="eastAsia" w:ascii="宋体" w:hAnsi="宋体"/>
          <w:sz w:val="22"/>
        </w:rPr>
        <w:t xml:space="preserve">          年     月     日</w:t>
      </w:r>
    </w:p>
    <w:p>
      <w:pPr>
        <w:widowControl/>
        <w:jc w:val="left"/>
        <w:rPr>
          <w:rFonts w:eastAsia="黑体"/>
          <w:b/>
          <w:bCs/>
          <w:kern w:val="0"/>
          <w:sz w:val="32"/>
          <w:szCs w:val="32"/>
        </w:rPr>
      </w:pPr>
      <w:r>
        <w:br w:type="page"/>
      </w:r>
    </w:p>
    <w:p>
      <w:pPr>
        <w:pStyle w:val="15"/>
        <w:rPr>
          <w:color w:val="000000"/>
        </w:rPr>
      </w:pPr>
      <w:bookmarkStart w:id="85" w:name="_Toc13826048"/>
      <w:r>
        <w:rPr>
          <w:rFonts w:hint="eastAsia"/>
          <w:color w:val="000000"/>
        </w:rPr>
        <w:t>第四章</w:t>
      </w:r>
      <w:r>
        <w:rPr>
          <w:color w:val="000000"/>
        </w:rPr>
        <w:t xml:space="preserve">  </w:t>
      </w:r>
      <w:r>
        <w:rPr>
          <w:rFonts w:hint="eastAsia"/>
          <w:color w:val="000000"/>
        </w:rPr>
        <w:t>参考工程量清单</w:t>
      </w:r>
      <w:bookmarkEnd w:id="85"/>
    </w:p>
    <w:p>
      <w:pPr>
        <w:widowControl/>
        <w:jc w:val="left"/>
        <w:rPr>
          <w:rFonts w:eastAsia="黑体"/>
          <w:b/>
          <w:bCs/>
          <w:kern w:val="0"/>
          <w:sz w:val="32"/>
          <w:szCs w:val="32"/>
        </w:rPr>
      </w:pPr>
      <w:r>
        <w:rPr>
          <w:rFonts w:hint="eastAsia"/>
        </w:rPr>
        <w:t>详细内容见《技术规格说明书》</w:t>
      </w:r>
      <w:r>
        <w:br w:type="page"/>
      </w:r>
    </w:p>
    <w:p>
      <w:pPr>
        <w:pStyle w:val="15"/>
        <w:numPr>
          <w:ilvl w:val="0"/>
          <w:numId w:val="3"/>
        </w:numPr>
      </w:pPr>
      <w:bookmarkStart w:id="86" w:name="_Toc30631"/>
      <w:bookmarkStart w:id="87" w:name="_Toc13826049"/>
      <w:r>
        <w:rPr>
          <w:color w:val="000000"/>
        </w:rPr>
        <w:t xml:space="preserve"> </w:t>
      </w:r>
      <w:bookmarkEnd w:id="86"/>
      <w:bookmarkEnd w:id="87"/>
      <w:r>
        <w:rPr>
          <w:rFonts w:hint="eastAsia"/>
          <w:color w:val="000000"/>
        </w:rPr>
        <w:t>图纸</w:t>
      </w:r>
    </w:p>
    <w:p/>
    <w:p>
      <w:pPr>
        <w:spacing w:line="560" w:lineRule="exact"/>
        <w:jc w:val="center"/>
        <w:rPr>
          <w:rFonts w:ascii="黑体" w:hAnsi="黑体" w:eastAsia="黑体"/>
          <w:sz w:val="32"/>
          <w:szCs w:val="32"/>
        </w:rPr>
      </w:pPr>
      <w:r>
        <w:rPr>
          <w:rFonts w:hint="eastAsia" w:ascii="黑体" w:hAnsi="黑体" w:eastAsia="黑体"/>
          <w:sz w:val="32"/>
          <w:szCs w:val="32"/>
        </w:rPr>
        <w:t>监控覆盖示意图</w:t>
      </w:r>
    </w:p>
    <w:p>
      <w:pPr>
        <w:spacing w:line="560" w:lineRule="exact"/>
        <w:jc w:val="center"/>
        <w:rPr>
          <w:rFonts w:ascii="黑体" w:hAnsi="黑体" w:eastAsia="黑体"/>
          <w:sz w:val="32"/>
          <w:szCs w:val="32"/>
        </w:rPr>
      </w:pPr>
    </w:p>
    <w:p>
      <w:pPr>
        <w:widowControl/>
        <w:jc w:val="center"/>
        <w:rPr>
          <w:rFonts w:ascii="仿宋_GB2312" w:eastAsia="仿宋_GB2312"/>
          <w:sz w:val="32"/>
          <w:szCs w:val="32"/>
        </w:rPr>
      </w:pPr>
      <w:r>
        <w:rPr>
          <w:rFonts w:hint="eastAsia" w:ascii="仿宋_GB2312" w:eastAsia="仿宋_GB2312"/>
          <w:sz w:val="32"/>
          <w:szCs w:val="32"/>
        </w:rPr>
        <w:drawing>
          <wp:inline distT="0" distB="0" distL="114300" distR="114300">
            <wp:extent cx="5948045" cy="4604385"/>
            <wp:effectExtent l="0" t="0" r="14605" b="5715"/>
            <wp:docPr id="1" name="图片 1" descr="图片1_meitu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_meitu_1"/>
                    <pic:cNvPicPr>
                      <a:picLocks noChangeAspect="1"/>
                    </pic:cNvPicPr>
                  </pic:nvPicPr>
                  <pic:blipFill>
                    <a:blip r:embed="rId11"/>
                    <a:stretch>
                      <a:fillRect/>
                    </a:stretch>
                  </pic:blipFill>
                  <pic:spPr>
                    <a:xfrm>
                      <a:off x="0" y="0"/>
                      <a:ext cx="5948045" cy="4604385"/>
                    </a:xfrm>
                    <a:prstGeom prst="rect">
                      <a:avLst/>
                    </a:prstGeom>
                  </pic:spPr>
                </pic:pic>
              </a:graphicData>
            </a:graphic>
          </wp:inline>
        </w:drawing>
      </w:r>
    </w:p>
    <w:p>
      <w:pPr>
        <w:widowControl/>
        <w:jc w:val="left"/>
        <w:rPr>
          <w:rFonts w:ascii="仿宋_GB2312" w:eastAsia="仿宋_GB2312"/>
          <w:sz w:val="32"/>
          <w:szCs w:val="32"/>
        </w:rPr>
      </w:pPr>
    </w:p>
    <w:p>
      <w:pPr>
        <w:widowControl/>
        <w:jc w:val="left"/>
        <w:rPr>
          <w:rFonts w:ascii="仿宋_GB2312" w:eastAsia="仿宋_GB2312"/>
          <w:sz w:val="32"/>
          <w:szCs w:val="32"/>
        </w:rPr>
      </w:pPr>
    </w:p>
    <w:p>
      <w:pPr>
        <w:widowControl/>
        <w:jc w:val="left"/>
        <w:rPr>
          <w:rFonts w:ascii="仿宋_GB2312" w:eastAsia="仿宋_GB2312"/>
          <w:sz w:val="32"/>
          <w:szCs w:val="32"/>
        </w:rPr>
      </w:pPr>
    </w:p>
    <w:p>
      <w:pPr>
        <w:widowControl/>
        <w:jc w:val="left"/>
        <w:rPr>
          <w:rFonts w:ascii="仿宋_GB2312" w:eastAsia="仿宋_GB2312"/>
          <w:sz w:val="32"/>
          <w:szCs w:val="32"/>
        </w:rPr>
      </w:pPr>
    </w:p>
    <w:p>
      <w:pPr>
        <w:widowControl/>
        <w:jc w:val="left"/>
        <w:rPr>
          <w:rFonts w:ascii="仿宋_GB2312" w:eastAsia="仿宋_GB2312"/>
          <w:sz w:val="32"/>
          <w:szCs w:val="32"/>
        </w:rPr>
      </w:pPr>
    </w:p>
    <w:p>
      <w:pPr>
        <w:widowControl/>
        <w:jc w:val="left"/>
        <w:rPr>
          <w:rFonts w:ascii="仿宋_GB2312" w:eastAsia="仿宋_GB2312"/>
          <w:sz w:val="32"/>
          <w:szCs w:val="32"/>
        </w:rPr>
      </w:pPr>
    </w:p>
    <w:p>
      <w:pPr>
        <w:widowControl/>
        <w:jc w:val="left"/>
        <w:rPr>
          <w:rFonts w:ascii="仿宋_GB2312" w:eastAsia="仿宋_GB2312"/>
          <w:sz w:val="32"/>
          <w:szCs w:val="32"/>
        </w:rPr>
      </w:pPr>
    </w:p>
    <w:p>
      <w:pPr>
        <w:widowControl/>
        <w:jc w:val="left"/>
        <w:rPr>
          <w:rFonts w:ascii="仿宋_GB2312" w:eastAsia="仿宋_GB2312"/>
          <w:sz w:val="32"/>
          <w:szCs w:val="32"/>
        </w:rPr>
      </w:pPr>
    </w:p>
    <w:p>
      <w:pPr>
        <w:widowControl/>
        <w:jc w:val="left"/>
        <w:rPr>
          <w:rFonts w:ascii="仿宋_GB2312" w:eastAsia="仿宋_GB2312"/>
          <w:sz w:val="32"/>
          <w:szCs w:val="32"/>
        </w:rPr>
      </w:pPr>
    </w:p>
    <w:p>
      <w:pPr>
        <w:widowControl/>
        <w:jc w:val="left"/>
        <w:rPr>
          <w:rFonts w:ascii="仿宋_GB2312" w:eastAsia="仿宋_GB2312"/>
          <w:sz w:val="32"/>
          <w:szCs w:val="32"/>
        </w:rPr>
      </w:pPr>
    </w:p>
    <w:p>
      <w:pPr>
        <w:widowControl/>
        <w:jc w:val="left"/>
        <w:rPr>
          <w:rFonts w:ascii="仿宋_GB2312" w:eastAsia="仿宋_GB2312"/>
          <w:sz w:val="32"/>
          <w:szCs w:val="32"/>
        </w:rPr>
      </w:pPr>
    </w:p>
    <w:p>
      <w:pPr>
        <w:widowControl/>
        <w:jc w:val="left"/>
        <w:rPr>
          <w:rFonts w:ascii="仿宋_GB2312" w:eastAsia="仿宋_GB2312"/>
          <w:sz w:val="32"/>
          <w:szCs w:val="32"/>
        </w:rPr>
      </w:pPr>
    </w:p>
    <w:p>
      <w:pPr>
        <w:widowControl/>
        <w:jc w:val="left"/>
        <w:rPr>
          <w:rFonts w:ascii="仿宋_GB2312" w:eastAsia="仿宋_GB2312"/>
          <w:sz w:val="32"/>
          <w:szCs w:val="32"/>
        </w:rPr>
      </w:pPr>
    </w:p>
    <w:p>
      <w:pPr>
        <w:widowControl/>
        <w:jc w:val="left"/>
        <w:rPr>
          <w:rFonts w:ascii="仿宋_GB2312" w:eastAsia="仿宋_GB2312"/>
          <w:sz w:val="32"/>
          <w:szCs w:val="32"/>
        </w:rPr>
      </w:pPr>
    </w:p>
    <w:p>
      <w:pPr>
        <w:widowControl/>
        <w:rPr>
          <w:rFonts w:ascii="仿宋_GB2312" w:eastAsia="仿宋_GB2312"/>
          <w:sz w:val="32"/>
          <w:szCs w:val="32"/>
        </w:rPr>
      </w:pP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-504825</wp:posOffset>
            </wp:positionH>
            <wp:positionV relativeFrom="paragraph">
              <wp:posOffset>9525</wp:posOffset>
            </wp:positionV>
            <wp:extent cx="7209155" cy="4349115"/>
            <wp:effectExtent l="0" t="0" r="10795" b="13335"/>
            <wp:wrapNone/>
            <wp:docPr id="2" name="图片 2" descr="图片2_meitu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_meitu_2"/>
                    <pic:cNvPicPr>
                      <a:picLocks noChangeAspect="1"/>
                    </pic:cNvPicPr>
                  </pic:nvPicPr>
                  <pic:blipFill>
                    <a:blip r:embed="rId12"/>
                    <a:stretch>
                      <a:fillRect/>
                    </a:stretch>
                  </pic:blipFill>
                  <pic:spPr>
                    <a:xfrm>
                      <a:off x="0" y="0"/>
                      <a:ext cx="7209155" cy="4349115"/>
                    </a:xfrm>
                    <a:prstGeom prst="rect">
                      <a:avLst/>
                    </a:prstGeom>
                  </pic:spPr>
                </pic:pic>
              </a:graphicData>
            </a:graphic>
          </wp:anchor>
        </w:drawing>
      </w:r>
    </w:p>
    <w:p>
      <w:pPr>
        <w:widowControl/>
        <w:jc w:val="left"/>
        <w:rPr>
          <w:rFonts w:ascii="仿宋_GB2312" w:eastAsia="仿宋_GB2312"/>
          <w:sz w:val="32"/>
          <w:szCs w:val="32"/>
        </w:rPr>
      </w:pPr>
    </w:p>
    <w:p>
      <w:pPr>
        <w:widowControl/>
        <w:jc w:val="left"/>
        <w:rPr>
          <w:rFonts w:ascii="宋体"/>
          <w:sz w:val="22"/>
          <w:szCs w:val="22"/>
        </w:rPr>
      </w:pPr>
      <w:r>
        <w:rPr>
          <w:rFonts w:ascii="仿宋_GB2312" w:eastAsia="仿宋_GB2312"/>
          <w:sz w:val="32"/>
          <w:szCs w:val="32"/>
        </w:rPr>
        <w:br w:type="page"/>
      </w:r>
    </w:p>
    <w:p>
      <w:pPr>
        <w:pStyle w:val="15"/>
        <w:outlineLvl w:val="9"/>
      </w:pPr>
      <w:bookmarkStart w:id="88" w:name="_Toc275274581"/>
      <w:r>
        <w:rPr>
          <w:rFonts w:hint="eastAsia"/>
        </w:rPr>
        <w:t>第六章</w:t>
      </w:r>
      <w:r>
        <w:t xml:space="preserve">  </w:t>
      </w:r>
      <w:r>
        <w:rPr>
          <w:rFonts w:hint="eastAsia"/>
        </w:rPr>
        <w:t>评标办法及标准</w:t>
      </w:r>
    </w:p>
    <w:p>
      <w:pPr>
        <w:pStyle w:val="7"/>
        <w:spacing w:line="360" w:lineRule="exact"/>
        <w:ind w:firstLine="420"/>
        <w:rPr>
          <w:rFonts w:hAnsi="宋体" w:cs="Calibri"/>
          <w:bCs/>
          <w:sz w:val="22"/>
          <w:szCs w:val="22"/>
        </w:rPr>
      </w:pPr>
      <w:r>
        <w:rPr>
          <w:rFonts w:hint="eastAsia"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w:t>
      </w:r>
      <w:r>
        <w:rPr>
          <w:rFonts w:hAnsi="宋体" w:cs="Calibri"/>
          <w:bCs/>
          <w:sz w:val="22"/>
          <w:szCs w:val="22"/>
        </w:rPr>
        <w:t xml:space="preserve"> </w:t>
      </w:r>
      <w:r>
        <w:rPr>
          <w:rFonts w:hint="eastAsia" w:hAnsi="宋体" w:cs="Calibri"/>
          <w:bCs/>
          <w:sz w:val="22"/>
          <w:szCs w:val="22"/>
        </w:rPr>
        <w:t>第</w:t>
      </w:r>
      <w:r>
        <w:rPr>
          <w:rFonts w:hAnsi="宋体" w:cs="Calibri"/>
          <w:bCs/>
          <w:sz w:val="22"/>
          <w:szCs w:val="22"/>
        </w:rPr>
        <w:t>12</w:t>
      </w:r>
      <w:r>
        <w:rPr>
          <w:rFonts w:hint="eastAsia" w:hAnsi="宋体" w:cs="Calibri"/>
          <w:bCs/>
          <w:sz w:val="22"/>
          <w:szCs w:val="22"/>
        </w:rPr>
        <w:t>号令）等有关规定，制定本办法。</w:t>
      </w:r>
    </w:p>
    <w:p>
      <w:pPr>
        <w:pStyle w:val="7"/>
        <w:spacing w:line="360" w:lineRule="exact"/>
        <w:rPr>
          <w:rFonts w:hAnsi="宋体" w:cs="Calibri"/>
          <w:b/>
          <w:bCs/>
          <w:sz w:val="22"/>
          <w:szCs w:val="22"/>
        </w:rPr>
      </w:pPr>
      <w:r>
        <w:rPr>
          <w:rFonts w:hint="eastAsia" w:hAnsi="宋体" w:cs="Calibri"/>
          <w:b/>
          <w:bCs/>
          <w:sz w:val="22"/>
          <w:szCs w:val="22"/>
        </w:rPr>
        <w:t>一、评标原则</w:t>
      </w:r>
    </w:p>
    <w:p>
      <w:pPr>
        <w:pStyle w:val="7"/>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，评标应遵循公平、公正、科学、择优的原则。</w:t>
      </w:r>
    </w:p>
    <w:p>
      <w:pPr>
        <w:pStyle w:val="7"/>
        <w:spacing w:line="360" w:lineRule="exact"/>
        <w:rPr>
          <w:rFonts w:hAnsi="宋体" w:cs="Calibri"/>
          <w:b/>
          <w:bCs/>
          <w:sz w:val="22"/>
          <w:szCs w:val="22"/>
        </w:rPr>
      </w:pPr>
      <w:r>
        <w:rPr>
          <w:rFonts w:hint="eastAsia" w:hAnsi="宋体" w:cs="Calibri"/>
          <w:b/>
          <w:bCs/>
          <w:sz w:val="22"/>
          <w:szCs w:val="22"/>
        </w:rPr>
        <w:t>二、评标组织</w:t>
      </w:r>
    </w:p>
    <w:p>
      <w:pPr>
        <w:pStyle w:val="7"/>
        <w:spacing w:line="360" w:lineRule="exact"/>
        <w:ind w:firstLine="420"/>
        <w:rPr>
          <w:rFonts w:hAnsi="宋体" w:cs="Calibri"/>
          <w:sz w:val="22"/>
          <w:szCs w:val="22"/>
        </w:rPr>
      </w:pPr>
      <w:r>
        <w:rPr>
          <w:rFonts w:hint="eastAsia" w:hAnsi="宋体" w:cs="Calibri"/>
          <w:sz w:val="22"/>
          <w:szCs w:val="22"/>
        </w:rPr>
        <w:t>评标工作由招标人依法组建的评标委员会（小组）负责。评标委员会成员为</w:t>
      </w:r>
      <w:r>
        <w:rPr>
          <w:rFonts w:hAnsi="宋体" w:cs="Calibri"/>
          <w:sz w:val="22"/>
          <w:szCs w:val="22"/>
        </w:rPr>
        <w:t>3</w:t>
      </w:r>
      <w:r>
        <w:rPr>
          <w:rFonts w:hint="eastAsia" w:hAnsi="宋体" w:cs="Calibri"/>
          <w:sz w:val="22"/>
          <w:szCs w:val="22"/>
        </w:rPr>
        <w:t>人及以上单数，</w:t>
      </w:r>
      <w:r>
        <w:rPr>
          <w:rFonts w:hint="eastAsia" w:hAnsi="宋体"/>
          <w:sz w:val="22"/>
          <w:szCs w:val="22"/>
        </w:rPr>
        <w:t>评标委员会由招标人自行组建。</w:t>
      </w:r>
    </w:p>
    <w:p>
      <w:pPr>
        <w:pStyle w:val="7"/>
        <w:spacing w:line="360" w:lineRule="exact"/>
        <w:rPr>
          <w:rFonts w:hAnsi="宋体" w:cs="Calibri"/>
          <w:b/>
          <w:bCs/>
          <w:sz w:val="22"/>
          <w:szCs w:val="22"/>
        </w:rPr>
      </w:pPr>
      <w:r>
        <w:rPr>
          <w:rFonts w:hint="eastAsia" w:hAnsi="宋体" w:cs="Calibri"/>
          <w:b/>
          <w:bCs/>
          <w:sz w:val="22"/>
          <w:szCs w:val="22"/>
        </w:rPr>
        <w:t>三、投标文件的评审</w:t>
      </w:r>
    </w:p>
    <w:p>
      <w:pPr>
        <w:pStyle w:val="7"/>
        <w:spacing w:line="360" w:lineRule="exact"/>
        <w:ind w:firstLine="442" w:firstLineChars="200"/>
        <w:rPr>
          <w:rFonts w:hAnsi="宋体" w:cs="Calibri"/>
          <w:b/>
          <w:sz w:val="22"/>
          <w:szCs w:val="22"/>
        </w:rPr>
      </w:pPr>
      <w:r>
        <w:rPr>
          <w:rFonts w:hAnsi="宋体" w:cs="Calibri"/>
          <w:b/>
          <w:sz w:val="22"/>
          <w:szCs w:val="22"/>
        </w:rPr>
        <w:t xml:space="preserve">3.1 </w:t>
      </w:r>
      <w:r>
        <w:rPr>
          <w:rFonts w:hint="eastAsia" w:hAnsi="宋体" w:cs="Calibri"/>
          <w:b/>
          <w:sz w:val="22"/>
          <w:szCs w:val="22"/>
        </w:rPr>
        <w:t>符合性评审</w:t>
      </w:r>
    </w:p>
    <w:p>
      <w:pPr>
        <w:widowControl/>
        <w:tabs>
          <w:tab w:val="left" w:pos="709"/>
        </w:tabs>
        <w:snapToGrid w:val="0"/>
        <w:spacing w:line="360" w:lineRule="exact"/>
        <w:ind w:firstLine="444" w:firstLineChars="202"/>
        <w:rPr>
          <w:rFonts w:ascii="宋体" w:cs="Calibri"/>
          <w:bCs/>
          <w:kern w:val="0"/>
          <w:sz w:val="22"/>
          <w:szCs w:val="22"/>
        </w:rPr>
      </w:pPr>
      <w:r>
        <w:rPr>
          <w:rFonts w:ascii="宋体" w:hAnsi="宋体" w:cs="Calibri"/>
          <w:bCs/>
          <w:kern w:val="0"/>
          <w:sz w:val="22"/>
          <w:szCs w:val="22"/>
        </w:rPr>
        <w:t>3.1.1</w:t>
      </w:r>
      <w:r>
        <w:rPr>
          <w:rFonts w:hint="eastAsia" w:ascii="宋体" w:hAnsi="宋体" w:cs="Calibri"/>
          <w:bCs/>
          <w:kern w:val="0"/>
          <w:sz w:val="22"/>
          <w:szCs w:val="22"/>
        </w:rPr>
        <w:t>评标委员会应依照招标文件的要求和规定首先对投标人的投标资格和投标文件进行符合性审查，</w:t>
      </w:r>
      <w:r>
        <w:rPr>
          <w:rFonts w:hint="eastAsia" w:ascii="宋体" w:hAnsi="宋体" w:cs="Calibri"/>
          <w:b/>
          <w:kern w:val="0"/>
          <w:sz w:val="22"/>
          <w:szCs w:val="22"/>
        </w:rPr>
        <w:t>审查过程中评标委员会可以要求投标人提交下列审查项所需的有关证明和证件的原件，以便核验。</w:t>
      </w:r>
      <w:r>
        <w:rPr>
          <w:rFonts w:hint="eastAsia" w:ascii="宋体" w:hAnsi="宋体" w:cs="Calibri"/>
          <w:bCs/>
          <w:kern w:val="0"/>
          <w:sz w:val="22"/>
          <w:szCs w:val="22"/>
        </w:rPr>
        <w:t>投标文件如存在以下情况之一的，经评标委员会三分之二以上的成员认定，符合性审查不予通过，</w:t>
      </w:r>
      <w:r>
        <w:rPr>
          <w:rFonts w:hint="eastAsia" w:ascii="宋体" w:hAnsi="宋体" w:cs="Calibri"/>
          <w:b/>
          <w:bCs/>
          <w:kern w:val="0"/>
          <w:sz w:val="22"/>
          <w:szCs w:val="22"/>
        </w:rPr>
        <w:t>作否决投标处理，</w:t>
      </w:r>
      <w:r>
        <w:rPr>
          <w:rFonts w:hint="eastAsia" w:ascii="宋体" w:hAnsi="宋体" w:cs="Calibri"/>
          <w:bCs/>
          <w:kern w:val="0"/>
          <w:sz w:val="22"/>
          <w:szCs w:val="22"/>
        </w:rPr>
        <w:t>不再进行详细评审：</w:t>
      </w:r>
    </w:p>
    <w:p>
      <w:pPr>
        <w:spacing w:line="360" w:lineRule="exact"/>
        <w:ind w:firstLine="471" w:firstLineChars="214"/>
        <w:rPr>
          <w:rFonts w:ascii="宋体" w:cs="Calibri"/>
          <w:sz w:val="22"/>
          <w:szCs w:val="22"/>
        </w:rPr>
      </w:pPr>
      <w:r>
        <w:rPr>
          <w:rFonts w:ascii="宋体" w:hAnsi="宋体" w:cs="Calibri"/>
          <w:sz w:val="22"/>
          <w:szCs w:val="22"/>
        </w:rPr>
        <w:t>1</w:t>
      </w:r>
      <w:r>
        <w:rPr>
          <w:rFonts w:hint="eastAsia" w:ascii="宋体" w:hAnsi="宋体" w:cs="Calibri"/>
          <w:sz w:val="22"/>
          <w:szCs w:val="22"/>
        </w:rPr>
        <w:t>、</w:t>
      </w:r>
      <w:r>
        <w:rPr>
          <w:rFonts w:hint="eastAsia"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cs="Calibri"/>
          <w:sz w:val="22"/>
          <w:szCs w:val="22"/>
        </w:rPr>
      </w:pPr>
      <w:r>
        <w:rPr>
          <w:rFonts w:ascii="宋体" w:hAnsi="宋体" w:cs="Calibri"/>
          <w:sz w:val="22"/>
          <w:szCs w:val="22"/>
        </w:rPr>
        <w:t>2</w:t>
      </w:r>
      <w:r>
        <w:rPr>
          <w:rFonts w:hint="eastAsia" w:ascii="宋体" w:hAnsi="宋体" w:cs="Calibri"/>
          <w:sz w:val="22"/>
          <w:szCs w:val="22"/>
        </w:rPr>
        <w:t>、投标文件未按招标文件的要求签署和盖章的（仅限于单位印章和法定代表人或其委托代理人签字或盖章）；</w:t>
      </w:r>
    </w:p>
    <w:p>
      <w:pPr>
        <w:spacing w:line="360" w:lineRule="exact"/>
        <w:ind w:firstLine="471" w:firstLineChars="214"/>
        <w:rPr>
          <w:rFonts w:ascii="宋体" w:cs="Calibri"/>
          <w:sz w:val="22"/>
          <w:szCs w:val="22"/>
        </w:rPr>
      </w:pPr>
      <w:r>
        <w:rPr>
          <w:rFonts w:ascii="宋体" w:hAnsi="宋体" w:cs="Calibri"/>
          <w:sz w:val="22"/>
          <w:szCs w:val="22"/>
        </w:rPr>
        <w:t>3</w:t>
      </w:r>
      <w:r>
        <w:rPr>
          <w:rFonts w:hint="eastAsia" w:ascii="宋体" w:hAnsi="宋体" w:cs="Calibri"/>
          <w:sz w:val="22"/>
          <w:szCs w:val="22"/>
        </w:rPr>
        <w:t>、投标文件未按规定的格式填写，内容不全或关键字迹模糊、无法辨认的；</w:t>
      </w:r>
    </w:p>
    <w:p>
      <w:pPr>
        <w:spacing w:line="360" w:lineRule="exact"/>
        <w:ind w:firstLine="471" w:firstLineChars="214"/>
        <w:rPr>
          <w:rFonts w:ascii="宋体" w:cs="Calibri"/>
          <w:sz w:val="22"/>
          <w:szCs w:val="22"/>
        </w:rPr>
      </w:pPr>
      <w:r>
        <w:rPr>
          <w:rFonts w:ascii="宋体" w:hAnsi="宋体" w:cs="Calibri"/>
          <w:sz w:val="22"/>
          <w:szCs w:val="22"/>
        </w:rPr>
        <w:t>4</w:t>
      </w:r>
      <w:r>
        <w:rPr>
          <w:rFonts w:hint="eastAsia" w:ascii="宋体" w:hAnsi="宋体" w:cs="Calibri"/>
          <w:sz w:val="22"/>
          <w:szCs w:val="22"/>
        </w:rPr>
        <w:t>、投标人递交两份或多份内容不同的投标文件，或在一份投标文件中对同一招标项目报有两个或多个报价，且未声明哪一个有效；</w:t>
      </w:r>
    </w:p>
    <w:p>
      <w:pPr>
        <w:spacing w:line="360" w:lineRule="exact"/>
        <w:ind w:firstLine="471" w:firstLineChars="214"/>
        <w:rPr>
          <w:rFonts w:ascii="宋体" w:cs="Calibri"/>
          <w:sz w:val="22"/>
          <w:szCs w:val="22"/>
        </w:rPr>
      </w:pPr>
      <w:r>
        <w:rPr>
          <w:rFonts w:ascii="宋体" w:hAnsi="宋体" w:cs="Calibri"/>
          <w:sz w:val="22"/>
          <w:szCs w:val="22"/>
        </w:rPr>
        <w:t>5</w:t>
      </w:r>
      <w:r>
        <w:rPr>
          <w:rFonts w:hint="eastAsia" w:ascii="宋体" w:hAnsi="宋体" w:cs="Calibri"/>
          <w:sz w:val="22"/>
          <w:szCs w:val="22"/>
        </w:rPr>
        <w:t>、供货期不满足招标文件要求的；</w:t>
      </w:r>
    </w:p>
    <w:p>
      <w:pPr>
        <w:spacing w:line="360" w:lineRule="exact"/>
        <w:ind w:firstLine="471" w:firstLineChars="214"/>
        <w:rPr>
          <w:rFonts w:ascii="宋体" w:cs="Calibri"/>
          <w:sz w:val="22"/>
          <w:szCs w:val="22"/>
        </w:rPr>
      </w:pPr>
      <w:r>
        <w:rPr>
          <w:rFonts w:ascii="宋体" w:hAnsi="宋体" w:cs="Calibri"/>
          <w:sz w:val="22"/>
          <w:szCs w:val="22"/>
        </w:rPr>
        <w:t>6</w:t>
      </w:r>
      <w:r>
        <w:rPr>
          <w:rFonts w:hint="eastAsia" w:ascii="宋体" w:hAnsi="宋体" w:cs="Calibri"/>
          <w:sz w:val="22"/>
          <w:szCs w:val="22"/>
        </w:rPr>
        <w:t>、不</w:t>
      </w:r>
      <w:r>
        <w:rPr>
          <w:rFonts w:hint="eastAsia" w:ascii="宋体" w:hAnsi="宋体" w:cs="Calibri"/>
          <w:kern w:val="0"/>
          <w:sz w:val="22"/>
          <w:szCs w:val="22"/>
        </w:rPr>
        <w:t>响应招标文件规定的实质性要求（包括具体条文前用</w:t>
      </w:r>
      <w:r>
        <w:rPr>
          <w:rFonts w:hint="eastAsia" w:ascii="宋体" w:cs="Calibri"/>
          <w:kern w:val="0"/>
          <w:sz w:val="22"/>
          <w:szCs w:val="22"/>
        </w:rPr>
        <w:t>“★”</w:t>
      </w:r>
      <w:r>
        <w:rPr>
          <w:rFonts w:hint="eastAsia" w:ascii="宋体" w:hAnsi="宋体" w:cs="Calibri"/>
          <w:kern w:val="0"/>
          <w:sz w:val="22"/>
          <w:szCs w:val="22"/>
        </w:rPr>
        <w:t>标示的）</w:t>
      </w:r>
    </w:p>
    <w:p>
      <w:pPr>
        <w:spacing w:line="360" w:lineRule="exact"/>
        <w:ind w:firstLine="471" w:firstLineChars="214"/>
        <w:rPr>
          <w:rFonts w:ascii="宋体" w:cs="Calibri"/>
          <w:sz w:val="22"/>
          <w:szCs w:val="22"/>
        </w:rPr>
      </w:pPr>
      <w:r>
        <w:rPr>
          <w:rFonts w:ascii="宋体" w:hAnsi="宋体" w:cs="Calibri"/>
          <w:sz w:val="22"/>
          <w:szCs w:val="22"/>
        </w:rPr>
        <w:t>7</w:t>
      </w:r>
      <w:r>
        <w:rPr>
          <w:rFonts w:hint="eastAsia" w:ascii="宋体" w:hAnsi="宋体" w:cs="Calibri"/>
          <w:sz w:val="22"/>
          <w:szCs w:val="22"/>
        </w:rPr>
        <w:t>、投标人不以自己的名义或未按招标文件的要求提供投标保证金或提供的保证金有缺陷而不能接受的；</w:t>
      </w:r>
    </w:p>
    <w:p>
      <w:pPr>
        <w:spacing w:line="360" w:lineRule="exact"/>
        <w:ind w:firstLine="471" w:firstLineChars="214"/>
        <w:rPr>
          <w:rFonts w:ascii="宋体" w:cs="Calibri"/>
          <w:sz w:val="22"/>
          <w:szCs w:val="22"/>
        </w:rPr>
      </w:pPr>
      <w:r>
        <w:rPr>
          <w:rFonts w:ascii="宋体" w:hAnsi="宋体" w:cs="Calibri"/>
          <w:sz w:val="22"/>
          <w:szCs w:val="22"/>
        </w:rPr>
        <w:t>8</w:t>
      </w:r>
      <w:r>
        <w:rPr>
          <w:rFonts w:hint="eastAsia" w:ascii="宋体" w:hAnsi="宋体" w:cs="Calibri"/>
          <w:sz w:val="22"/>
          <w:szCs w:val="22"/>
        </w:rPr>
        <w:t>、投标人以他人名义投标、或与他人串通投标、或以行贿手段谋取中标，或弄虚作假的；</w:t>
      </w:r>
    </w:p>
    <w:p>
      <w:pPr>
        <w:spacing w:line="360" w:lineRule="exact"/>
        <w:ind w:firstLine="471" w:firstLineChars="214"/>
        <w:rPr>
          <w:rFonts w:ascii="宋体" w:cs="Calibri"/>
          <w:sz w:val="22"/>
          <w:szCs w:val="22"/>
        </w:rPr>
      </w:pPr>
      <w:r>
        <w:rPr>
          <w:rFonts w:ascii="宋体" w:hAnsi="宋体" w:cs="Calibri"/>
          <w:sz w:val="22"/>
          <w:szCs w:val="22"/>
        </w:rPr>
        <w:t>9</w:t>
      </w:r>
      <w:r>
        <w:rPr>
          <w:rFonts w:hint="eastAsia" w:ascii="宋体" w:hAnsi="宋体" w:cs="Calibri"/>
          <w:sz w:val="22"/>
          <w:szCs w:val="22"/>
        </w:rPr>
        <w:t>、存在法律、法规、规章规定的其它无效投标情况的。</w:t>
      </w:r>
    </w:p>
    <w:p>
      <w:pPr>
        <w:widowControl/>
        <w:tabs>
          <w:tab w:val="left" w:pos="709"/>
        </w:tabs>
        <w:snapToGrid w:val="0"/>
        <w:spacing w:line="360" w:lineRule="exact"/>
        <w:ind w:firstLine="446" w:firstLineChars="202"/>
        <w:rPr>
          <w:rFonts w:ascii="宋体" w:cs="Calibri"/>
          <w:b/>
          <w:sz w:val="22"/>
          <w:szCs w:val="22"/>
        </w:rPr>
      </w:pPr>
      <w:r>
        <w:rPr>
          <w:rFonts w:ascii="宋体" w:hAnsi="宋体" w:cs="Calibri"/>
          <w:b/>
          <w:sz w:val="22"/>
          <w:szCs w:val="22"/>
        </w:rPr>
        <w:t xml:space="preserve">3.1.2 </w:t>
      </w:r>
      <w:r>
        <w:rPr>
          <w:rFonts w:hint="eastAsia" w:ascii="宋体" w:hAnsi="宋体" w:cs="Calibri"/>
          <w:b/>
          <w:sz w:val="22"/>
          <w:szCs w:val="22"/>
        </w:rPr>
        <w:t>报价算术性修正</w:t>
      </w:r>
    </w:p>
    <w:p>
      <w:pPr>
        <w:pStyle w:val="7"/>
        <w:spacing w:line="360" w:lineRule="exact"/>
        <w:ind w:firstLine="440" w:firstLineChars="200"/>
        <w:rPr>
          <w:rFonts w:hAnsi="宋体" w:cs="Calibri"/>
          <w:sz w:val="22"/>
          <w:szCs w:val="22"/>
        </w:rPr>
      </w:pPr>
      <w:r>
        <w:rPr>
          <w:rFonts w:hint="eastAsia" w:hAnsi="宋体" w:cs="Calibri"/>
          <w:sz w:val="22"/>
          <w:szCs w:val="22"/>
        </w:rPr>
        <w:t>评标委员会按以下原则对通过符合性审查的投标文件报价进行算术性修正：</w:t>
      </w:r>
    </w:p>
    <w:p>
      <w:pPr>
        <w:pStyle w:val="7"/>
        <w:numPr>
          <w:ilvl w:val="0"/>
          <w:numId w:val="4"/>
        </w:numPr>
        <w:adjustRightInd w:val="0"/>
        <w:spacing w:line="360" w:lineRule="exact"/>
        <w:ind w:left="0" w:firstLine="440" w:firstLineChars="200"/>
        <w:rPr>
          <w:rFonts w:hAnsi="宋体" w:cs="Calibri"/>
          <w:sz w:val="22"/>
          <w:szCs w:val="22"/>
        </w:rPr>
      </w:pPr>
      <w:r>
        <w:rPr>
          <w:rFonts w:hint="eastAsia" w:hAnsi="宋体" w:cs="Calibri"/>
          <w:sz w:val="22"/>
          <w:szCs w:val="22"/>
        </w:rPr>
        <w:t>投标文件中的大写金额与小写金额不一致的，以大写金额为准；</w:t>
      </w:r>
    </w:p>
    <w:p>
      <w:pPr>
        <w:pStyle w:val="7"/>
        <w:numPr>
          <w:ilvl w:val="0"/>
          <w:numId w:val="4"/>
        </w:numPr>
        <w:adjustRightInd w:val="0"/>
        <w:spacing w:line="360" w:lineRule="exact"/>
        <w:ind w:left="0" w:firstLine="440" w:firstLineChars="200"/>
        <w:rPr>
          <w:rFonts w:hAnsi="宋体" w:cs="Calibri"/>
          <w:sz w:val="22"/>
          <w:szCs w:val="22"/>
        </w:rPr>
      </w:pPr>
      <w:r>
        <w:rPr>
          <w:rFonts w:hint="eastAsia" w:hAnsi="宋体" w:cs="Calibri"/>
          <w:sz w:val="22"/>
          <w:szCs w:val="22"/>
        </w:rPr>
        <w:t>总价金额与依据单价（或各分项合计）计算出的结果不一致的，以单价金额（或各分项合计）为准修正总价，但单价金额小数点有明显错误的除外。</w:t>
      </w:r>
    </w:p>
    <w:p>
      <w:pPr>
        <w:pStyle w:val="7"/>
        <w:spacing w:line="360" w:lineRule="exact"/>
        <w:ind w:firstLine="440" w:firstLineChars="200"/>
        <w:rPr>
          <w:rFonts w:hAnsi="宋体" w:cs="Calibri"/>
          <w:b/>
          <w:sz w:val="22"/>
          <w:szCs w:val="22"/>
        </w:rPr>
      </w:pPr>
      <w:r>
        <w:rPr>
          <w:rFonts w:hint="eastAsia" w:hAnsi="宋体" w:cs="Calibri"/>
          <w:sz w:val="22"/>
          <w:szCs w:val="22"/>
        </w:rPr>
        <w:t>★修正的价格经投标人书面确认后具有约束力。投标人不接受修正价格的，其投标作</w:t>
      </w:r>
      <w:r>
        <w:rPr>
          <w:rFonts w:hint="eastAsia" w:hAnsi="宋体" w:cs="Calibri"/>
          <w:b/>
          <w:sz w:val="22"/>
          <w:szCs w:val="22"/>
        </w:rPr>
        <w:t>否决投标处理。</w:t>
      </w:r>
    </w:p>
    <w:p>
      <w:pPr>
        <w:pStyle w:val="7"/>
        <w:spacing w:line="360" w:lineRule="exact"/>
        <w:ind w:firstLine="440" w:firstLineChars="200"/>
        <w:rPr>
          <w:rFonts w:hAnsi="宋体" w:cs="Calibri"/>
          <w:b/>
          <w:sz w:val="22"/>
          <w:szCs w:val="22"/>
        </w:rPr>
      </w:pPr>
      <w:r>
        <w:rPr>
          <w:rFonts w:hint="eastAsia" w:hAnsi="宋体" w:cs="Calibri"/>
          <w:sz w:val="22"/>
          <w:szCs w:val="22"/>
        </w:rPr>
        <w:t>当通过符合性评审的单位少于三家时（不包括三家），应由评标委员会确认是否具有竞争性，如果有竞争性，则评标继续进行。</w:t>
      </w:r>
    </w:p>
    <w:p>
      <w:pPr>
        <w:pStyle w:val="7"/>
        <w:spacing w:line="360" w:lineRule="exact"/>
        <w:ind w:firstLine="442" w:firstLineChars="200"/>
        <w:rPr>
          <w:rFonts w:hAnsi="宋体" w:cs="Calibri"/>
          <w:b/>
          <w:sz w:val="22"/>
          <w:szCs w:val="22"/>
        </w:rPr>
      </w:pPr>
      <w:r>
        <w:rPr>
          <w:rFonts w:hAnsi="宋体" w:cs="Calibri"/>
          <w:b/>
          <w:sz w:val="22"/>
          <w:szCs w:val="22"/>
        </w:rPr>
        <w:t xml:space="preserve">3.2 </w:t>
      </w:r>
      <w:r>
        <w:rPr>
          <w:rFonts w:hint="eastAsia" w:hAnsi="宋体" w:cs="Calibri"/>
          <w:b/>
          <w:sz w:val="22"/>
          <w:szCs w:val="22"/>
        </w:rPr>
        <w:t>投标文件的澄清和补正</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 xml:space="preserve">3.2.1 </w:t>
      </w:r>
      <w:r>
        <w:rPr>
          <w:rFonts w:hint="eastAsia" w:hAnsi="宋体" w:cs="Calibri"/>
          <w:sz w:val="22"/>
          <w:szCs w:val="22"/>
        </w:rPr>
        <w:t>在评标过程中，评标委员会可以书面形式要求投标人对所提交的投标文件中不明确的内容进行书面澄清、说明或者补正。评标委员会不接受投标人主动提出的澄清、说明或补正。</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3.2.2</w:t>
      </w:r>
      <w:r>
        <w:rPr>
          <w:rFonts w:hint="eastAsia" w:hAnsi="宋体" w:cs="Calibri"/>
          <w:sz w:val="22"/>
          <w:szCs w:val="22"/>
        </w:rPr>
        <w:t>澄清、说明和补正不得改变投标文件的实质性内容（算术性错误修正的除外）。投标人的书面澄清、说明和补正属于投标文件的组成部分。</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 xml:space="preserve">3.2.3 </w:t>
      </w:r>
      <w:r>
        <w:rPr>
          <w:rFonts w:hint="eastAsia" w:hAnsi="宋体" w:cs="Calibri"/>
          <w:sz w:val="22"/>
          <w:szCs w:val="22"/>
        </w:rPr>
        <w:t>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b/>
          <w:sz w:val="22"/>
          <w:szCs w:val="22"/>
        </w:rPr>
      </w:pPr>
      <w:r>
        <w:rPr>
          <w:rFonts w:ascii="宋体" w:hAnsi="宋体" w:cs="Calibri"/>
          <w:b/>
          <w:sz w:val="22"/>
          <w:szCs w:val="22"/>
        </w:rPr>
        <w:t>3.3</w:t>
      </w:r>
      <w:r>
        <w:rPr>
          <w:rFonts w:hint="eastAsia" w:ascii="宋体" w:hAnsi="宋体"/>
          <w:b/>
          <w:sz w:val="22"/>
          <w:szCs w:val="22"/>
        </w:rPr>
        <w:t>评标细则</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w:t>
      </w:r>
      <w:r>
        <w:rPr>
          <w:rFonts w:hAnsi="宋体" w:cs="Calibri"/>
          <w:sz w:val="22"/>
          <w:szCs w:val="22"/>
        </w:rPr>
        <w:t>1</w:t>
      </w:r>
      <w:r>
        <w:rPr>
          <w:rFonts w:hint="eastAsia" w:hAnsi="宋体" w:cs="Calibri"/>
          <w:sz w:val="22"/>
          <w:szCs w:val="22"/>
        </w:rPr>
        <w:t>位小数。若评标委员会的评分表中计分不在分值范围内的，则该评分表无效。</w:t>
      </w:r>
    </w:p>
    <w:p>
      <w:pPr>
        <w:pStyle w:val="7"/>
        <w:adjustRightInd w:val="0"/>
        <w:snapToGrid w:val="0"/>
        <w:spacing w:line="360" w:lineRule="exact"/>
        <w:ind w:firstLine="442" w:firstLineChars="200"/>
        <w:rPr>
          <w:rFonts w:hAnsi="宋体" w:cs="Calibri"/>
          <w:sz w:val="22"/>
          <w:szCs w:val="22"/>
        </w:rPr>
      </w:pPr>
      <w:r>
        <w:rPr>
          <w:rFonts w:hint="eastAsia" w:hAnsi="宋体"/>
          <w:b/>
          <w:sz w:val="22"/>
          <w:szCs w:val="22"/>
        </w:rPr>
        <w:t>每个投标人最终得分</w:t>
      </w:r>
      <w:r>
        <w:rPr>
          <w:rFonts w:hAnsi="宋体"/>
          <w:b/>
          <w:sz w:val="22"/>
          <w:szCs w:val="22"/>
        </w:rPr>
        <w:t>=</w:t>
      </w:r>
      <w:r>
        <w:rPr>
          <w:rFonts w:hint="eastAsia" w:hAnsi="宋体"/>
          <w:b/>
          <w:sz w:val="22"/>
          <w:szCs w:val="22"/>
        </w:rPr>
        <w:t>商务报价分</w:t>
      </w:r>
      <w:r>
        <w:rPr>
          <w:rFonts w:hAnsi="宋体"/>
          <w:b/>
          <w:sz w:val="22"/>
          <w:szCs w:val="22"/>
        </w:rPr>
        <w:t>+</w:t>
      </w:r>
      <w:r>
        <w:rPr>
          <w:rFonts w:hint="eastAsia" w:hAnsi="宋体"/>
          <w:b/>
          <w:sz w:val="22"/>
          <w:szCs w:val="22"/>
        </w:rPr>
        <w:t>技术分</w:t>
      </w:r>
    </w:p>
    <w:p>
      <w:pPr>
        <w:pStyle w:val="7"/>
        <w:adjustRightInd w:val="0"/>
        <w:snapToGrid w:val="0"/>
        <w:spacing w:line="360" w:lineRule="exact"/>
        <w:ind w:firstLine="440" w:firstLineChars="200"/>
        <w:rPr>
          <w:rFonts w:hAnsi="宋体" w:cs="Arial"/>
          <w:b/>
          <w:sz w:val="22"/>
          <w:szCs w:val="22"/>
        </w:rPr>
      </w:pPr>
      <w:r>
        <w:rPr>
          <w:rFonts w:hAnsi="宋体" w:cs="Calibri"/>
          <w:sz w:val="22"/>
          <w:szCs w:val="22"/>
        </w:rPr>
        <w:t>3.3.1</w:t>
      </w:r>
      <w:r>
        <w:rPr>
          <w:rFonts w:hint="eastAsia" w:hAnsi="宋体" w:cs="Calibri"/>
          <w:sz w:val="22"/>
          <w:szCs w:val="22"/>
        </w:rPr>
        <w:t>商务报价分6</w:t>
      </w:r>
      <w:r>
        <w:rPr>
          <w:rFonts w:hAnsi="宋体" w:cs="Calibri"/>
          <w:sz w:val="22"/>
          <w:szCs w:val="22"/>
        </w:rPr>
        <w:t>0</w:t>
      </w:r>
      <w:r>
        <w:rPr>
          <w:rFonts w:hint="eastAsia" w:hAnsi="宋体" w:cs="Calibri"/>
          <w:sz w:val="22"/>
          <w:szCs w:val="22"/>
        </w:rPr>
        <w:t>分</w:t>
      </w:r>
    </w:p>
    <w:p>
      <w:pPr>
        <w:adjustRightInd w:val="0"/>
        <w:snapToGrid w:val="0"/>
        <w:spacing w:line="440" w:lineRule="exact"/>
        <w:ind w:firstLine="48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）评分范围：通过符合性审查的所有投标文件进入评分范围。</w:t>
      </w:r>
    </w:p>
    <w:p>
      <w:pPr>
        <w:adjustRightInd w:val="0"/>
        <w:snapToGrid w:val="0"/>
        <w:spacing w:line="440" w:lineRule="exact"/>
        <w:ind w:firstLine="480" w:firstLineChars="200"/>
        <w:rPr>
          <w:rFonts w:hAnsi="宋体"/>
          <w:sz w:val="22"/>
        </w:rPr>
      </w:pPr>
      <w:r>
        <w:rPr>
          <w:rFonts w:hint="eastAsia" w:ascii="宋体" w:hAnsi="宋体"/>
          <w:szCs w:val="21"/>
        </w:rPr>
        <w:t>（</w:t>
      </w:r>
      <w:r>
        <w:rPr>
          <w:rFonts w:ascii="宋体" w:hAnsi="宋体"/>
          <w:szCs w:val="21"/>
        </w:rPr>
        <w:t>2</w:t>
      </w:r>
      <w:r>
        <w:rPr>
          <w:rFonts w:hint="eastAsia" w:ascii="宋体" w:hAnsi="宋体"/>
          <w:szCs w:val="21"/>
        </w:rPr>
        <w:t>）评标基准价：</w:t>
      </w:r>
    </w:p>
    <w:p>
      <w:pPr>
        <w:adjustRightInd w:val="0"/>
        <w:snapToGrid w:val="0"/>
        <w:spacing w:line="440" w:lineRule="exact"/>
        <w:ind w:firstLine="442" w:firstLineChars="200"/>
        <w:rPr>
          <w:rFonts w:hAnsi="宋体"/>
          <w:b/>
          <w:bCs/>
          <w:sz w:val="22"/>
        </w:rPr>
      </w:pPr>
      <w:r>
        <w:rPr>
          <w:rFonts w:hint="eastAsia" w:hAnsi="宋体"/>
          <w:b/>
          <w:bCs/>
          <w:sz w:val="22"/>
        </w:rPr>
        <w:t>报价评分应在投标报价响应招标文件要求的基础上，取所有有效投标报价的次低价作为评标基准价，如有效投标报价的数量小于4个，则评标基准价为所有有效投标报价的最低价。</w:t>
      </w:r>
    </w:p>
    <w:p>
      <w:pPr>
        <w:adjustRightInd w:val="0"/>
        <w:snapToGrid w:val="0"/>
        <w:spacing w:line="440" w:lineRule="exact"/>
        <w:ind w:firstLine="48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）根据投标文件的投标评标价与评标基准价对比，计算投标人的商务报价的得分值。即：</w:t>
      </w:r>
    </w:p>
    <w:p>
      <w:pPr>
        <w:adjustRightInd w:val="0"/>
        <w:snapToGrid w:val="0"/>
        <w:spacing w:line="440" w:lineRule="exact"/>
        <w:ind w:firstLine="480" w:firstLineChars="200"/>
        <w:rPr>
          <w:rFonts w:ascii="宋体"/>
          <w:szCs w:val="21"/>
        </w:rPr>
      </w:pPr>
      <w:r>
        <w:rPr>
          <w:rFonts w:ascii="宋体" w:hAnsi="宋体"/>
          <w:szCs w:val="21"/>
        </w:rPr>
        <w:t>a.</w:t>
      </w:r>
      <w:r>
        <w:rPr>
          <w:rFonts w:hint="eastAsia" w:ascii="宋体" w:hAnsi="宋体"/>
          <w:szCs w:val="21"/>
        </w:rPr>
        <w:t>投标评标价等于评标基准价时，得满分</w:t>
      </w:r>
      <w:r>
        <w:rPr>
          <w:rFonts w:hint="eastAsia" w:hAnsi="宋体"/>
          <w:szCs w:val="21"/>
        </w:rPr>
        <w:t>（</w:t>
      </w:r>
      <w:r>
        <w:rPr>
          <w:rFonts w:hAnsi="宋体"/>
          <w:szCs w:val="21"/>
        </w:rPr>
        <w:t>60</w:t>
      </w:r>
      <w:r>
        <w:rPr>
          <w:rFonts w:hint="eastAsia" w:hAnsi="宋体"/>
          <w:szCs w:val="21"/>
        </w:rPr>
        <w:t>分）</w:t>
      </w:r>
      <w:r>
        <w:rPr>
          <w:rFonts w:hint="eastAsia" w:ascii="宋体" w:hAnsi="宋体"/>
          <w:szCs w:val="21"/>
        </w:rPr>
        <w:t>；</w:t>
      </w:r>
    </w:p>
    <w:p>
      <w:pPr>
        <w:adjustRightInd w:val="0"/>
        <w:snapToGrid w:val="0"/>
        <w:spacing w:line="440" w:lineRule="exact"/>
        <w:ind w:firstLine="480" w:firstLineChars="200"/>
        <w:rPr>
          <w:rFonts w:ascii="宋体"/>
          <w:szCs w:val="21"/>
        </w:rPr>
      </w:pPr>
      <w:r>
        <w:rPr>
          <w:rFonts w:ascii="宋体" w:hAnsi="宋体"/>
          <w:szCs w:val="21"/>
        </w:rPr>
        <w:t>b.</w:t>
      </w:r>
      <w:r>
        <w:rPr>
          <w:rFonts w:hint="eastAsia" w:ascii="宋体" w:hAnsi="宋体"/>
          <w:szCs w:val="21"/>
        </w:rPr>
        <w:t>投标评标价每低于评标基准价</w:t>
      </w:r>
      <w:r>
        <w:rPr>
          <w:rFonts w:ascii="宋体" w:hAnsi="宋体"/>
          <w:szCs w:val="21"/>
        </w:rPr>
        <w:t>1</w:t>
      </w:r>
      <w:r>
        <w:rPr>
          <w:rFonts w:hint="eastAsia" w:ascii="宋体" w:hAnsi="宋体"/>
          <w:szCs w:val="21"/>
        </w:rPr>
        <w:t>个百分点，扣0.5分；</w:t>
      </w:r>
    </w:p>
    <w:p>
      <w:pPr>
        <w:adjustRightInd w:val="0"/>
        <w:snapToGrid w:val="0"/>
        <w:spacing w:line="440" w:lineRule="exact"/>
        <w:ind w:firstLine="480" w:firstLineChars="200"/>
        <w:rPr>
          <w:rFonts w:ascii="宋体"/>
          <w:szCs w:val="21"/>
        </w:rPr>
      </w:pPr>
      <w:r>
        <w:rPr>
          <w:rFonts w:ascii="宋体" w:hAnsi="宋体"/>
          <w:szCs w:val="21"/>
        </w:rPr>
        <w:t>c.</w:t>
      </w:r>
      <w:r>
        <w:rPr>
          <w:rFonts w:hint="eastAsia" w:ascii="宋体" w:hAnsi="宋体"/>
          <w:szCs w:val="21"/>
        </w:rPr>
        <w:t>投标评标价每高于评标基准价</w:t>
      </w:r>
      <w:r>
        <w:rPr>
          <w:rFonts w:ascii="宋体" w:hAnsi="宋体"/>
          <w:szCs w:val="21"/>
        </w:rPr>
        <w:t>1</w:t>
      </w:r>
      <w:r>
        <w:rPr>
          <w:rFonts w:hint="eastAsia" w:ascii="宋体" w:hAnsi="宋体"/>
          <w:szCs w:val="21"/>
        </w:rPr>
        <w:t>个百分点，扣1分。</w:t>
      </w:r>
    </w:p>
    <w:p>
      <w:pPr>
        <w:adjustRightInd w:val="0"/>
        <w:snapToGrid w:val="0"/>
        <w:spacing w:line="440" w:lineRule="exact"/>
        <w:ind w:firstLine="480" w:firstLineChars="200"/>
        <w:rPr>
          <w:rFonts w:ascii="宋体"/>
          <w:szCs w:val="21"/>
        </w:rPr>
      </w:pPr>
      <w:r>
        <w:rPr>
          <w:rFonts w:hint="eastAsia" w:ascii="宋体" w:hAnsi="宋体"/>
          <w:szCs w:val="21"/>
        </w:rPr>
        <w:t>以上报价得分</w:t>
      </w:r>
      <w:r>
        <w:rPr>
          <w:rFonts w:hint="eastAsia" w:hAnsi="宋体"/>
          <w:sz w:val="22"/>
        </w:rPr>
        <w:t>不足1个百分点按插值法计算，小数点后保留二位，四舍五入。</w:t>
      </w:r>
    </w:p>
    <w:p>
      <w:pPr>
        <w:spacing w:line="440" w:lineRule="exact"/>
        <w:ind w:firstLine="360" w:firstLineChars="150"/>
        <w:rPr>
          <w:rFonts w:ascii="宋体"/>
          <w:szCs w:val="21"/>
        </w:rPr>
      </w:pPr>
      <w:r>
        <w:rPr>
          <w:rFonts w:hint="eastAsia" w:ascii="宋体" w:hAnsi="宋体"/>
          <w:szCs w:val="21"/>
        </w:rPr>
        <w:t>投标文件的商务标评分不足</w:t>
      </w:r>
      <w:r>
        <w:rPr>
          <w:rFonts w:ascii="宋体" w:hAnsi="宋体"/>
          <w:szCs w:val="21"/>
        </w:rPr>
        <w:t>30</w:t>
      </w:r>
      <w:r>
        <w:rPr>
          <w:rFonts w:hint="eastAsia" w:ascii="宋体" w:hAnsi="宋体"/>
          <w:szCs w:val="21"/>
        </w:rPr>
        <w:t>分的，计为</w:t>
      </w:r>
      <w:r>
        <w:rPr>
          <w:rFonts w:ascii="宋体" w:hAnsi="宋体"/>
          <w:szCs w:val="21"/>
        </w:rPr>
        <w:t>30</w:t>
      </w:r>
      <w:r>
        <w:rPr>
          <w:rFonts w:hint="eastAsia" w:ascii="宋体" w:hAnsi="宋体"/>
          <w:szCs w:val="21"/>
        </w:rPr>
        <w:t>分。</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2</w:t>
      </w:r>
      <w:r>
        <w:rPr>
          <w:rFonts w:hint="eastAsia" w:hAnsi="宋体" w:cs="Calibri"/>
          <w:sz w:val="22"/>
          <w:szCs w:val="22"/>
        </w:rPr>
        <w:t>、技术评分</w:t>
      </w:r>
      <w:r>
        <w:rPr>
          <w:rFonts w:hAnsi="宋体" w:cs="Calibri"/>
          <w:sz w:val="22"/>
          <w:szCs w:val="22"/>
        </w:rPr>
        <w:t xml:space="preserve">   </w:t>
      </w:r>
      <w:r>
        <w:rPr>
          <w:rFonts w:hint="eastAsia" w:hAnsi="宋体" w:cs="Calibri"/>
          <w:sz w:val="22"/>
          <w:szCs w:val="22"/>
        </w:rPr>
        <w:t>0</w:t>
      </w:r>
      <w:r>
        <w:rPr>
          <w:rFonts w:hAnsi="宋体" w:cs="Calibri"/>
          <w:sz w:val="22"/>
          <w:szCs w:val="22"/>
        </w:rPr>
        <w:t>-</w:t>
      </w:r>
      <w:r>
        <w:rPr>
          <w:rFonts w:hint="eastAsia" w:hAnsi="宋体" w:cs="Calibri"/>
          <w:sz w:val="22"/>
          <w:szCs w:val="22"/>
        </w:rPr>
        <w:t>4</w:t>
      </w:r>
      <w:r>
        <w:rPr>
          <w:rFonts w:hAnsi="宋体" w:cs="Calibri"/>
          <w:sz w:val="22"/>
          <w:szCs w:val="22"/>
        </w:rPr>
        <w:t>0</w:t>
      </w:r>
      <w:r>
        <w:rPr>
          <w:rFonts w:hint="eastAsia" w:hAnsi="宋体" w:cs="Calibri"/>
          <w:sz w:val="22"/>
          <w:szCs w:val="22"/>
        </w:rPr>
        <w:t>分</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19"/>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937"/>
        <w:gridCol w:w="4625"/>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jc w:val="center"/>
        </w:trPr>
        <w:tc>
          <w:tcPr>
            <w:tcW w:w="1606" w:type="dxa"/>
            <w:vAlign w:val="center"/>
          </w:tcPr>
          <w:p>
            <w:pPr>
              <w:jc w:val="center"/>
              <w:rPr>
                <w:rFonts w:ascii="宋体" w:hAnsi="宋体" w:cs="Calibri"/>
                <w:kern w:val="0"/>
                <w:sz w:val="22"/>
                <w:szCs w:val="22"/>
              </w:rPr>
            </w:pPr>
            <w:bookmarkStart w:id="89" w:name="EB562eafe08a1e40d28dbdcef1bed719f4"/>
            <w:r>
              <w:rPr>
                <w:rFonts w:hint="eastAsia" w:ascii="宋体" w:hAnsi="宋体" w:cs="Calibri"/>
                <w:kern w:val="0"/>
                <w:sz w:val="22"/>
                <w:szCs w:val="22"/>
              </w:rPr>
              <w:t>评分因素</w:t>
            </w:r>
          </w:p>
          <w:p>
            <w:pPr>
              <w:jc w:val="center"/>
              <w:rPr>
                <w:rFonts w:ascii="宋体" w:hAnsi="宋体" w:cs="Calibri"/>
                <w:kern w:val="0"/>
                <w:sz w:val="22"/>
                <w:szCs w:val="22"/>
              </w:rPr>
            </w:pPr>
            <w:r>
              <w:rPr>
                <w:rFonts w:hint="eastAsia" w:ascii="宋体" w:hAnsi="宋体" w:cs="Calibri"/>
                <w:kern w:val="0"/>
                <w:sz w:val="22"/>
                <w:szCs w:val="22"/>
              </w:rPr>
              <w:t>及分值权重</w:t>
            </w:r>
          </w:p>
        </w:tc>
        <w:tc>
          <w:tcPr>
            <w:tcW w:w="1937" w:type="dxa"/>
            <w:vAlign w:val="center"/>
          </w:tcPr>
          <w:p>
            <w:pPr>
              <w:jc w:val="center"/>
              <w:rPr>
                <w:rFonts w:ascii="宋体" w:hAnsi="宋体" w:cs="Calibri"/>
                <w:kern w:val="0"/>
                <w:sz w:val="22"/>
                <w:szCs w:val="22"/>
              </w:rPr>
            </w:pPr>
            <w:r>
              <w:rPr>
                <w:rFonts w:hint="eastAsia" w:ascii="宋体" w:hAnsi="宋体" w:cs="Calibri"/>
                <w:kern w:val="0"/>
                <w:sz w:val="22"/>
                <w:szCs w:val="22"/>
              </w:rPr>
              <w:t>评审因素子项</w:t>
            </w:r>
          </w:p>
        </w:tc>
        <w:tc>
          <w:tcPr>
            <w:tcW w:w="4625" w:type="dxa"/>
            <w:vAlign w:val="center"/>
          </w:tcPr>
          <w:p>
            <w:pPr>
              <w:jc w:val="center"/>
              <w:rPr>
                <w:rFonts w:ascii="宋体" w:hAnsi="宋体" w:cs="Calibri"/>
                <w:kern w:val="0"/>
                <w:sz w:val="22"/>
                <w:szCs w:val="22"/>
              </w:rPr>
            </w:pPr>
            <w:r>
              <w:rPr>
                <w:rFonts w:hint="eastAsia" w:ascii="宋体" w:hAnsi="宋体" w:cs="Calibri"/>
                <w:kern w:val="0"/>
                <w:sz w:val="22"/>
                <w:szCs w:val="22"/>
              </w:rPr>
              <w:t>评分标准</w:t>
            </w:r>
          </w:p>
        </w:tc>
        <w:tc>
          <w:tcPr>
            <w:tcW w:w="1708" w:type="dxa"/>
            <w:vAlign w:val="center"/>
          </w:tcPr>
          <w:p>
            <w:pPr>
              <w:jc w:val="center"/>
              <w:rPr>
                <w:rFonts w:ascii="宋体" w:hAnsi="宋体" w:cs="Calibri"/>
                <w:kern w:val="0"/>
                <w:sz w:val="22"/>
                <w:szCs w:val="22"/>
              </w:rPr>
            </w:pPr>
            <w:r>
              <w:rPr>
                <w:rFonts w:hint="eastAsia" w:ascii="宋体" w:hAnsi="宋体" w:cs="Calibri"/>
                <w:kern w:val="0"/>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606" w:type="dxa"/>
            <w:vMerge w:val="restart"/>
            <w:vAlign w:val="center"/>
          </w:tcPr>
          <w:p>
            <w:pPr>
              <w:jc w:val="center"/>
              <w:rPr>
                <w:rFonts w:ascii="宋体" w:hAnsi="宋体" w:cs="Calibri"/>
                <w:kern w:val="0"/>
                <w:sz w:val="22"/>
                <w:szCs w:val="22"/>
              </w:rPr>
            </w:pPr>
            <w:r>
              <w:rPr>
                <w:rFonts w:hint="eastAsia" w:ascii="宋体" w:hAnsi="宋体" w:cs="Calibri"/>
                <w:kern w:val="0"/>
                <w:sz w:val="22"/>
                <w:szCs w:val="22"/>
              </w:rPr>
              <w:t>技术及资信部分（</w:t>
            </w:r>
            <w:r>
              <w:rPr>
                <w:rFonts w:ascii="宋体" w:hAnsi="宋体" w:cs="Calibri"/>
                <w:kern w:val="0"/>
                <w:sz w:val="22"/>
                <w:szCs w:val="22"/>
              </w:rPr>
              <w:t>40</w:t>
            </w:r>
            <w:r>
              <w:rPr>
                <w:rFonts w:hint="eastAsia" w:ascii="宋体" w:hAnsi="宋体" w:cs="Calibri"/>
                <w:kern w:val="0"/>
                <w:sz w:val="22"/>
                <w:szCs w:val="22"/>
              </w:rPr>
              <w:t>分）</w:t>
            </w:r>
          </w:p>
        </w:tc>
        <w:tc>
          <w:tcPr>
            <w:tcW w:w="1937" w:type="dxa"/>
            <w:vAlign w:val="center"/>
          </w:tcPr>
          <w:p>
            <w:pPr>
              <w:jc w:val="center"/>
              <w:rPr>
                <w:rFonts w:ascii="宋体" w:hAnsi="宋体" w:cs="Calibri"/>
                <w:kern w:val="0"/>
                <w:sz w:val="22"/>
                <w:szCs w:val="22"/>
                <w:highlight w:val="yellow"/>
              </w:rPr>
            </w:pPr>
            <w:r>
              <w:rPr>
                <w:rFonts w:hint="eastAsia" w:ascii="宋体" w:hAnsi="宋体" w:cs="Calibri"/>
                <w:kern w:val="0"/>
                <w:sz w:val="22"/>
                <w:szCs w:val="22"/>
                <w:lang w:val="zh-CN"/>
              </w:rPr>
              <w:t>设备技术指响应偏离情况</w:t>
            </w:r>
          </w:p>
        </w:tc>
        <w:tc>
          <w:tcPr>
            <w:tcW w:w="4625" w:type="dxa"/>
            <w:vAlign w:val="center"/>
          </w:tcPr>
          <w:p>
            <w:pPr>
              <w:jc w:val="left"/>
              <w:rPr>
                <w:rFonts w:ascii="宋体" w:hAnsi="宋体" w:cs="Calibri"/>
                <w:kern w:val="0"/>
                <w:sz w:val="22"/>
                <w:szCs w:val="22"/>
                <w:highlight w:val="yellow"/>
              </w:rPr>
            </w:pPr>
            <w:r>
              <w:rPr>
                <w:rFonts w:hint="eastAsia" w:ascii="宋体" w:hAnsi="宋体" w:cs="Calibri"/>
                <w:kern w:val="0"/>
                <w:sz w:val="22"/>
                <w:szCs w:val="22"/>
                <w:lang w:val="zh-CN"/>
              </w:rPr>
              <w:t>对投标文件中设备技术的偏离情况进行评分。满分</w:t>
            </w:r>
            <w:r>
              <w:rPr>
                <w:rFonts w:hint="eastAsia" w:ascii="宋体" w:hAnsi="宋体" w:cs="Calibri"/>
                <w:kern w:val="0"/>
                <w:sz w:val="22"/>
                <w:szCs w:val="22"/>
              </w:rPr>
              <w:t>6</w:t>
            </w:r>
            <w:r>
              <w:rPr>
                <w:rFonts w:hint="eastAsia" w:ascii="宋体" w:hAnsi="宋体" w:cs="Calibri"/>
                <w:kern w:val="0"/>
                <w:sz w:val="22"/>
                <w:szCs w:val="22"/>
                <w:lang w:val="zh-CN"/>
              </w:rPr>
              <w:t>分，每项负偏离扣</w:t>
            </w:r>
            <w:r>
              <w:rPr>
                <w:rFonts w:hint="eastAsia" w:ascii="宋体" w:hAnsi="宋体" w:cs="Calibri"/>
                <w:kern w:val="0"/>
                <w:sz w:val="22"/>
                <w:szCs w:val="22"/>
              </w:rPr>
              <w:t>1</w:t>
            </w:r>
            <w:r>
              <w:rPr>
                <w:rFonts w:hint="eastAsia" w:ascii="宋体" w:hAnsi="宋体" w:cs="Calibri"/>
                <w:kern w:val="0"/>
                <w:sz w:val="22"/>
                <w:szCs w:val="22"/>
                <w:lang w:val="zh-CN"/>
              </w:rPr>
              <w:t>分，扣完为止；</w:t>
            </w:r>
          </w:p>
        </w:tc>
        <w:tc>
          <w:tcPr>
            <w:tcW w:w="1708" w:type="dxa"/>
            <w:vAlign w:val="center"/>
          </w:tcPr>
          <w:p>
            <w:pPr>
              <w:jc w:val="center"/>
              <w:rPr>
                <w:rFonts w:ascii="宋体" w:hAnsi="宋体" w:cs="Calibri"/>
                <w:kern w:val="0"/>
                <w:sz w:val="22"/>
                <w:szCs w:val="22"/>
              </w:rPr>
            </w:pPr>
            <w:r>
              <w:rPr>
                <w:rFonts w:hint="eastAsia" w:ascii="宋体" w:hAnsi="宋体" w:cs="Calibri"/>
                <w:kern w:val="0"/>
                <w:sz w:val="22"/>
                <w:szCs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606" w:type="dxa"/>
            <w:vMerge w:val="continue"/>
            <w:vAlign w:val="center"/>
          </w:tcPr>
          <w:p>
            <w:pPr>
              <w:jc w:val="center"/>
              <w:rPr>
                <w:rFonts w:ascii="宋体" w:hAnsi="宋体" w:cs="Calibri"/>
                <w:kern w:val="0"/>
                <w:sz w:val="22"/>
                <w:szCs w:val="22"/>
              </w:rPr>
            </w:pPr>
          </w:p>
        </w:tc>
        <w:tc>
          <w:tcPr>
            <w:tcW w:w="1937" w:type="dxa"/>
            <w:vMerge w:val="restart"/>
            <w:vAlign w:val="center"/>
          </w:tcPr>
          <w:p>
            <w:pPr>
              <w:jc w:val="center"/>
              <w:rPr>
                <w:rFonts w:ascii="宋体" w:hAnsi="宋体" w:cs="Calibri"/>
                <w:kern w:val="0"/>
                <w:sz w:val="22"/>
                <w:szCs w:val="22"/>
              </w:rPr>
            </w:pPr>
            <w:r>
              <w:rPr>
                <w:rFonts w:hint="eastAsia" w:ascii="宋体" w:hAnsi="宋体" w:cs="Calibri"/>
                <w:kern w:val="0"/>
                <w:sz w:val="22"/>
                <w:szCs w:val="22"/>
              </w:rPr>
              <w:t>技术方案可行性</w:t>
            </w:r>
          </w:p>
        </w:tc>
        <w:tc>
          <w:tcPr>
            <w:tcW w:w="4625" w:type="dxa"/>
            <w:vAlign w:val="center"/>
          </w:tcPr>
          <w:p>
            <w:pPr>
              <w:tabs>
                <w:tab w:val="left" w:pos="950"/>
              </w:tabs>
              <w:jc w:val="left"/>
              <w:rPr>
                <w:rFonts w:ascii="宋体" w:hAnsi="宋体" w:cs="Calibri"/>
                <w:kern w:val="0"/>
                <w:sz w:val="22"/>
                <w:szCs w:val="22"/>
              </w:rPr>
            </w:pPr>
            <w:r>
              <w:rPr>
                <w:rFonts w:hint="eastAsia" w:ascii="宋体" w:hAnsi="宋体" w:cs="Calibri"/>
                <w:kern w:val="0"/>
                <w:sz w:val="22"/>
                <w:szCs w:val="22"/>
              </w:rPr>
              <w:t>施工技术方案的合理、完整性进行评分；</w:t>
            </w:r>
          </w:p>
        </w:tc>
        <w:tc>
          <w:tcPr>
            <w:tcW w:w="1708" w:type="dxa"/>
            <w:vAlign w:val="center"/>
          </w:tcPr>
          <w:p>
            <w:pPr>
              <w:jc w:val="center"/>
              <w:rPr>
                <w:rFonts w:ascii="宋体" w:hAnsi="宋体" w:cs="Calibri"/>
                <w:kern w:val="0"/>
                <w:sz w:val="22"/>
                <w:szCs w:val="22"/>
              </w:rPr>
            </w:pPr>
            <w:r>
              <w:rPr>
                <w:rFonts w:hint="eastAsia" w:ascii="宋体" w:hAnsi="宋体" w:cs="Calibri"/>
                <w:kern w:val="0"/>
                <w:sz w:val="22"/>
                <w:szCs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1606" w:type="dxa"/>
            <w:vMerge w:val="continue"/>
            <w:vAlign w:val="center"/>
          </w:tcPr>
          <w:p>
            <w:pPr>
              <w:jc w:val="center"/>
              <w:rPr>
                <w:rFonts w:ascii="宋体" w:hAnsi="宋体" w:cs="Calibri"/>
                <w:kern w:val="0"/>
                <w:sz w:val="22"/>
                <w:szCs w:val="22"/>
              </w:rPr>
            </w:pPr>
          </w:p>
        </w:tc>
        <w:tc>
          <w:tcPr>
            <w:tcW w:w="1937" w:type="dxa"/>
            <w:vMerge w:val="continue"/>
            <w:vAlign w:val="center"/>
          </w:tcPr>
          <w:p>
            <w:pPr>
              <w:jc w:val="center"/>
              <w:rPr>
                <w:rFonts w:ascii="宋体" w:hAnsi="宋体" w:cs="Calibri"/>
                <w:kern w:val="0"/>
                <w:sz w:val="22"/>
                <w:szCs w:val="22"/>
              </w:rPr>
            </w:pPr>
          </w:p>
        </w:tc>
        <w:tc>
          <w:tcPr>
            <w:tcW w:w="4625" w:type="dxa"/>
            <w:vAlign w:val="center"/>
          </w:tcPr>
          <w:p>
            <w:pPr>
              <w:jc w:val="left"/>
              <w:rPr>
                <w:rFonts w:ascii="宋体" w:hAnsi="宋体" w:cs="Calibri"/>
                <w:kern w:val="0"/>
                <w:sz w:val="22"/>
                <w:szCs w:val="22"/>
              </w:rPr>
            </w:pPr>
            <w:r>
              <w:rPr>
                <w:rFonts w:hint="eastAsia" w:ascii="宋体" w:hAnsi="宋体" w:cs="Calibri"/>
                <w:kern w:val="0"/>
                <w:sz w:val="22"/>
                <w:szCs w:val="22"/>
              </w:rPr>
              <w:t>对相关数据存储方案设计的可行性、合理性、完整性进行评分；</w:t>
            </w:r>
          </w:p>
        </w:tc>
        <w:tc>
          <w:tcPr>
            <w:tcW w:w="1708" w:type="dxa"/>
            <w:vAlign w:val="center"/>
          </w:tcPr>
          <w:p>
            <w:pPr>
              <w:jc w:val="center"/>
              <w:rPr>
                <w:rFonts w:ascii="宋体" w:hAnsi="宋体" w:cs="Calibri"/>
                <w:kern w:val="0"/>
                <w:sz w:val="22"/>
                <w:szCs w:val="22"/>
              </w:rPr>
            </w:pPr>
            <w:r>
              <w:rPr>
                <w:rFonts w:ascii="宋体" w:hAnsi="宋体" w:cs="Calibri"/>
                <w:kern w:val="0"/>
                <w:sz w:val="22"/>
                <w:szCs w:val="22"/>
              </w:rPr>
              <w:t>0-</w:t>
            </w:r>
            <w:r>
              <w:rPr>
                <w:rFonts w:hint="eastAsia" w:ascii="宋体" w:hAnsi="宋体" w:cs="Calibri"/>
                <w:kern w:val="0"/>
                <w:sz w:val="22"/>
                <w:szCs w:val="22"/>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jc w:val="center"/>
        </w:trPr>
        <w:tc>
          <w:tcPr>
            <w:tcW w:w="1606" w:type="dxa"/>
            <w:vMerge w:val="continue"/>
            <w:vAlign w:val="center"/>
          </w:tcPr>
          <w:p>
            <w:pPr>
              <w:jc w:val="center"/>
              <w:rPr>
                <w:rFonts w:ascii="宋体" w:hAnsi="宋体" w:cs="Calibri"/>
                <w:kern w:val="0"/>
                <w:sz w:val="22"/>
                <w:szCs w:val="22"/>
              </w:rPr>
            </w:pPr>
          </w:p>
        </w:tc>
        <w:tc>
          <w:tcPr>
            <w:tcW w:w="1937" w:type="dxa"/>
            <w:vMerge w:val="continue"/>
            <w:vAlign w:val="center"/>
          </w:tcPr>
          <w:p>
            <w:pPr>
              <w:jc w:val="center"/>
              <w:rPr>
                <w:rFonts w:ascii="宋体" w:hAnsi="宋体" w:cs="Calibri"/>
                <w:kern w:val="0"/>
                <w:sz w:val="22"/>
                <w:szCs w:val="22"/>
              </w:rPr>
            </w:pPr>
          </w:p>
        </w:tc>
        <w:tc>
          <w:tcPr>
            <w:tcW w:w="4625" w:type="dxa"/>
            <w:vAlign w:val="center"/>
          </w:tcPr>
          <w:p>
            <w:pPr>
              <w:jc w:val="left"/>
              <w:rPr>
                <w:rFonts w:ascii="宋体" w:hAnsi="宋体" w:cs="Calibri"/>
                <w:kern w:val="0"/>
                <w:sz w:val="22"/>
                <w:szCs w:val="22"/>
              </w:rPr>
            </w:pPr>
            <w:r>
              <w:rPr>
                <w:rFonts w:hint="eastAsia" w:ascii="宋体" w:hAnsi="宋体" w:cs="Calibri"/>
                <w:kern w:val="0"/>
                <w:sz w:val="22"/>
                <w:szCs w:val="22"/>
              </w:rPr>
              <w:t>根据投标人提供设备的参数、性能、品牌优越性等进行横向比较；</w:t>
            </w:r>
          </w:p>
        </w:tc>
        <w:tc>
          <w:tcPr>
            <w:tcW w:w="1708" w:type="dxa"/>
            <w:vAlign w:val="center"/>
          </w:tcPr>
          <w:p>
            <w:pPr>
              <w:jc w:val="center"/>
              <w:rPr>
                <w:rFonts w:ascii="宋体" w:hAnsi="宋体" w:cs="Calibri"/>
                <w:kern w:val="0"/>
                <w:sz w:val="22"/>
                <w:szCs w:val="22"/>
              </w:rPr>
            </w:pPr>
            <w:r>
              <w:rPr>
                <w:rFonts w:ascii="宋体" w:hAnsi="宋体" w:cs="Calibri"/>
                <w:kern w:val="0"/>
                <w:sz w:val="22"/>
                <w:szCs w:val="22"/>
              </w:rPr>
              <w:t>0-</w:t>
            </w:r>
            <w:r>
              <w:rPr>
                <w:rFonts w:hint="eastAsia" w:ascii="宋体" w:hAnsi="宋体" w:cs="Calibri"/>
                <w:kern w:val="0"/>
                <w:sz w:val="22"/>
                <w:szCs w:val="22"/>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8" w:hRule="atLeast"/>
          <w:jc w:val="center"/>
        </w:trPr>
        <w:tc>
          <w:tcPr>
            <w:tcW w:w="1606" w:type="dxa"/>
            <w:vMerge w:val="continue"/>
            <w:vAlign w:val="center"/>
          </w:tcPr>
          <w:p>
            <w:pPr>
              <w:jc w:val="center"/>
              <w:rPr>
                <w:rFonts w:ascii="宋体" w:hAnsi="宋体" w:cs="Calibri"/>
                <w:kern w:val="0"/>
                <w:sz w:val="22"/>
                <w:szCs w:val="22"/>
              </w:rPr>
            </w:pPr>
          </w:p>
        </w:tc>
        <w:tc>
          <w:tcPr>
            <w:tcW w:w="1937" w:type="dxa"/>
            <w:vMerge w:val="continue"/>
            <w:vAlign w:val="center"/>
          </w:tcPr>
          <w:p>
            <w:pPr>
              <w:jc w:val="center"/>
              <w:rPr>
                <w:rFonts w:ascii="宋体" w:hAnsi="宋体" w:cs="Calibri"/>
                <w:kern w:val="0"/>
                <w:sz w:val="22"/>
                <w:szCs w:val="22"/>
              </w:rPr>
            </w:pPr>
          </w:p>
        </w:tc>
        <w:tc>
          <w:tcPr>
            <w:tcW w:w="4625" w:type="dxa"/>
            <w:vAlign w:val="center"/>
          </w:tcPr>
          <w:p>
            <w:pPr>
              <w:jc w:val="left"/>
              <w:rPr>
                <w:rFonts w:ascii="宋体" w:hAnsi="宋体" w:cs="Calibri"/>
                <w:kern w:val="0"/>
                <w:sz w:val="22"/>
                <w:szCs w:val="22"/>
              </w:rPr>
            </w:pPr>
            <w:r>
              <w:rPr>
                <w:rFonts w:hint="eastAsia" w:ascii="宋体" w:hAnsi="宋体" w:cs="Calibri"/>
                <w:kern w:val="0"/>
                <w:sz w:val="22"/>
                <w:szCs w:val="22"/>
              </w:rPr>
              <w:t>对投标方案中各硬件设备兼容性进行评分；</w:t>
            </w:r>
          </w:p>
        </w:tc>
        <w:tc>
          <w:tcPr>
            <w:tcW w:w="1708" w:type="dxa"/>
            <w:vAlign w:val="center"/>
          </w:tcPr>
          <w:p>
            <w:pPr>
              <w:jc w:val="center"/>
              <w:rPr>
                <w:rFonts w:ascii="宋体" w:hAnsi="宋体" w:cs="Calibri"/>
                <w:kern w:val="0"/>
                <w:sz w:val="22"/>
                <w:szCs w:val="22"/>
              </w:rPr>
            </w:pPr>
            <w:r>
              <w:rPr>
                <w:rFonts w:ascii="宋体" w:hAnsi="宋体" w:cs="Calibri"/>
                <w:kern w:val="0"/>
                <w:sz w:val="22"/>
                <w:szCs w:val="22"/>
              </w:rPr>
              <w:t>0-</w:t>
            </w:r>
            <w:r>
              <w:rPr>
                <w:rFonts w:hint="eastAsia" w:ascii="宋体" w:hAnsi="宋体" w:cs="Calibri"/>
                <w:kern w:val="0"/>
                <w:sz w:val="22"/>
                <w:szCs w:val="22"/>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8" w:hRule="atLeast"/>
          <w:jc w:val="center"/>
        </w:trPr>
        <w:tc>
          <w:tcPr>
            <w:tcW w:w="1606" w:type="dxa"/>
            <w:vMerge w:val="continue"/>
            <w:vAlign w:val="center"/>
          </w:tcPr>
          <w:p>
            <w:pPr>
              <w:jc w:val="center"/>
              <w:rPr>
                <w:rFonts w:ascii="宋体" w:hAnsi="宋体" w:cs="Calibri"/>
                <w:kern w:val="0"/>
                <w:sz w:val="22"/>
                <w:szCs w:val="22"/>
              </w:rPr>
            </w:pPr>
          </w:p>
        </w:tc>
        <w:tc>
          <w:tcPr>
            <w:tcW w:w="1937" w:type="dxa"/>
            <w:vMerge w:val="continue"/>
            <w:vAlign w:val="center"/>
          </w:tcPr>
          <w:p>
            <w:pPr>
              <w:jc w:val="center"/>
              <w:rPr>
                <w:rFonts w:ascii="宋体" w:hAnsi="宋体" w:cs="Calibri"/>
                <w:kern w:val="0"/>
                <w:sz w:val="22"/>
                <w:szCs w:val="22"/>
              </w:rPr>
            </w:pPr>
          </w:p>
        </w:tc>
        <w:tc>
          <w:tcPr>
            <w:tcW w:w="4625" w:type="dxa"/>
            <w:vAlign w:val="center"/>
          </w:tcPr>
          <w:p>
            <w:pPr>
              <w:jc w:val="left"/>
              <w:rPr>
                <w:rFonts w:ascii="宋体" w:hAnsi="宋体" w:cs="Calibri"/>
                <w:kern w:val="0"/>
                <w:sz w:val="22"/>
                <w:szCs w:val="22"/>
              </w:rPr>
            </w:pPr>
            <w:r>
              <w:rPr>
                <w:rFonts w:hint="eastAsia" w:ascii="宋体" w:hAnsi="宋体" w:cs="Calibri"/>
                <w:kern w:val="0"/>
                <w:sz w:val="22"/>
                <w:szCs w:val="22"/>
              </w:rPr>
              <w:t>对新增设备接入现有监控平台方案可行性、合理性、完整性进行评分；</w:t>
            </w:r>
          </w:p>
        </w:tc>
        <w:tc>
          <w:tcPr>
            <w:tcW w:w="1708" w:type="dxa"/>
            <w:vAlign w:val="center"/>
          </w:tcPr>
          <w:p>
            <w:pPr>
              <w:jc w:val="center"/>
              <w:rPr>
                <w:rFonts w:ascii="宋体" w:hAnsi="宋体" w:cs="Calibri"/>
                <w:kern w:val="0"/>
                <w:sz w:val="22"/>
                <w:szCs w:val="22"/>
              </w:rPr>
            </w:pPr>
            <w:r>
              <w:rPr>
                <w:rFonts w:ascii="宋体" w:hAnsi="宋体" w:cs="Calibri"/>
                <w:kern w:val="0"/>
                <w:sz w:val="22"/>
                <w:szCs w:val="22"/>
              </w:rPr>
              <w:t>0-</w:t>
            </w:r>
            <w:r>
              <w:rPr>
                <w:rFonts w:hint="eastAsia" w:ascii="宋体" w:hAnsi="宋体" w:cs="Calibri"/>
                <w:kern w:val="0"/>
                <w:sz w:val="22"/>
                <w:szCs w:val="22"/>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6" w:hRule="atLeast"/>
          <w:jc w:val="center"/>
        </w:trPr>
        <w:tc>
          <w:tcPr>
            <w:tcW w:w="1606" w:type="dxa"/>
            <w:vMerge w:val="continue"/>
            <w:vAlign w:val="center"/>
          </w:tcPr>
          <w:p>
            <w:pPr>
              <w:jc w:val="center"/>
              <w:rPr>
                <w:rFonts w:ascii="宋体" w:hAnsi="宋体" w:cs="Calibri"/>
                <w:kern w:val="0"/>
                <w:sz w:val="22"/>
                <w:szCs w:val="22"/>
              </w:rPr>
            </w:pPr>
          </w:p>
        </w:tc>
        <w:tc>
          <w:tcPr>
            <w:tcW w:w="1937" w:type="dxa"/>
            <w:vAlign w:val="center"/>
          </w:tcPr>
          <w:p>
            <w:pPr>
              <w:jc w:val="center"/>
              <w:rPr>
                <w:rFonts w:ascii="宋体" w:hAnsi="宋体" w:cs="宋体"/>
                <w:sz w:val="22"/>
                <w:szCs w:val="22"/>
                <w:lang w:val="zh-CN"/>
              </w:rPr>
            </w:pPr>
            <w:r>
              <w:rPr>
                <w:rFonts w:hint="eastAsia" w:ascii="宋体" w:hAnsi="宋体" w:cs="Calibri"/>
                <w:kern w:val="0"/>
                <w:sz w:val="22"/>
                <w:szCs w:val="22"/>
              </w:rPr>
              <w:t>投标单位业绩</w:t>
            </w:r>
          </w:p>
        </w:tc>
        <w:tc>
          <w:tcPr>
            <w:tcW w:w="4625" w:type="dxa"/>
            <w:vAlign w:val="center"/>
          </w:tcPr>
          <w:p>
            <w:pPr>
              <w:jc w:val="left"/>
              <w:rPr>
                <w:rFonts w:ascii="宋体" w:hAnsi="宋体" w:cs="Calibri"/>
                <w:kern w:val="0"/>
                <w:sz w:val="22"/>
                <w:szCs w:val="22"/>
              </w:rPr>
            </w:pPr>
            <w:r>
              <w:rPr>
                <w:rFonts w:ascii="宋体" w:hAnsi="宋体" w:cs="Calibri"/>
                <w:kern w:val="0"/>
                <w:sz w:val="22"/>
                <w:szCs w:val="22"/>
              </w:rPr>
              <w:t>201</w:t>
            </w:r>
            <w:r>
              <w:rPr>
                <w:rFonts w:hint="eastAsia" w:ascii="宋体" w:hAnsi="宋体" w:cs="Calibri"/>
                <w:kern w:val="0"/>
                <w:sz w:val="22"/>
                <w:szCs w:val="22"/>
              </w:rPr>
              <w:t>6年</w:t>
            </w:r>
            <w:r>
              <w:rPr>
                <w:rFonts w:ascii="宋体" w:hAnsi="宋体" w:cs="Calibri"/>
                <w:kern w:val="0"/>
                <w:sz w:val="22"/>
                <w:szCs w:val="22"/>
              </w:rPr>
              <w:t>1</w:t>
            </w:r>
            <w:r>
              <w:rPr>
                <w:rFonts w:hint="eastAsia" w:ascii="宋体" w:hAnsi="宋体" w:cs="Calibri"/>
                <w:kern w:val="0"/>
                <w:sz w:val="22"/>
                <w:szCs w:val="22"/>
              </w:rPr>
              <w:t>月</w:t>
            </w:r>
            <w:r>
              <w:rPr>
                <w:rFonts w:ascii="宋体" w:hAnsi="宋体" w:cs="Calibri"/>
                <w:kern w:val="0"/>
                <w:sz w:val="22"/>
                <w:szCs w:val="22"/>
              </w:rPr>
              <w:t>1</w:t>
            </w:r>
            <w:r>
              <w:rPr>
                <w:rFonts w:hint="eastAsia" w:ascii="宋体" w:hAnsi="宋体" w:cs="Calibri"/>
                <w:kern w:val="0"/>
                <w:sz w:val="22"/>
                <w:szCs w:val="22"/>
              </w:rPr>
              <w:t>日至投标截止日【以竣（交）工验收报告上的时间为准，投标人提供合同复印件、及竣工验收报告复印件】安防项目实施业绩：</w:t>
            </w:r>
          </w:p>
          <w:p>
            <w:pPr>
              <w:snapToGrid w:val="0"/>
              <w:jc w:val="left"/>
              <w:rPr>
                <w:rFonts w:ascii="宋体" w:hAnsi="宋体" w:cs="宋体"/>
                <w:sz w:val="22"/>
                <w:szCs w:val="22"/>
              </w:rPr>
            </w:pPr>
            <w:r>
              <w:rPr>
                <w:rFonts w:hint="eastAsia" w:ascii="宋体" w:hAnsi="宋体" w:cs="宋体"/>
                <w:sz w:val="22"/>
                <w:szCs w:val="22"/>
              </w:rPr>
              <w:t>100万元（含）以上业绩：1项得</w:t>
            </w:r>
            <w:r>
              <w:rPr>
                <w:rFonts w:ascii="宋体" w:hAnsi="宋体" w:cs="宋体"/>
                <w:sz w:val="22"/>
                <w:szCs w:val="22"/>
              </w:rPr>
              <w:t>2</w:t>
            </w:r>
            <w:r>
              <w:rPr>
                <w:rFonts w:hint="eastAsia" w:ascii="宋体" w:hAnsi="宋体" w:cs="宋体"/>
                <w:sz w:val="22"/>
                <w:szCs w:val="22"/>
              </w:rPr>
              <w:t>分；</w:t>
            </w:r>
          </w:p>
          <w:p>
            <w:pPr>
              <w:snapToGrid w:val="0"/>
              <w:jc w:val="left"/>
              <w:rPr>
                <w:rFonts w:ascii="宋体" w:hAnsi="宋体" w:cs="宋体"/>
                <w:sz w:val="22"/>
                <w:szCs w:val="22"/>
              </w:rPr>
            </w:pPr>
            <w:r>
              <w:rPr>
                <w:rFonts w:hint="eastAsia" w:ascii="宋体" w:hAnsi="宋体" w:cs="宋体"/>
                <w:sz w:val="22"/>
                <w:szCs w:val="22"/>
              </w:rPr>
              <w:t>30万元（含）-</w:t>
            </w:r>
            <w:r>
              <w:rPr>
                <w:rFonts w:ascii="宋体" w:hAnsi="宋体" w:cs="宋体"/>
                <w:sz w:val="22"/>
                <w:szCs w:val="22"/>
              </w:rPr>
              <w:t>100</w:t>
            </w:r>
            <w:r>
              <w:rPr>
                <w:rFonts w:hint="eastAsia" w:ascii="宋体" w:hAnsi="宋体" w:cs="宋体"/>
                <w:sz w:val="22"/>
                <w:szCs w:val="22"/>
              </w:rPr>
              <w:t>万元业绩：1项得</w:t>
            </w:r>
            <w:r>
              <w:rPr>
                <w:rFonts w:ascii="宋体" w:hAnsi="宋体" w:cs="宋体"/>
                <w:sz w:val="22"/>
                <w:szCs w:val="22"/>
              </w:rPr>
              <w:t>1</w:t>
            </w:r>
            <w:r>
              <w:rPr>
                <w:rFonts w:hint="eastAsia" w:ascii="宋体" w:hAnsi="宋体" w:cs="宋体"/>
                <w:sz w:val="22"/>
                <w:szCs w:val="22"/>
              </w:rPr>
              <w:t>分。</w:t>
            </w:r>
          </w:p>
          <w:p>
            <w:pPr>
              <w:jc w:val="left"/>
              <w:rPr>
                <w:rFonts w:ascii="宋体" w:hAnsi="宋体" w:cs="Calibri"/>
                <w:kern w:val="0"/>
                <w:sz w:val="22"/>
                <w:szCs w:val="22"/>
              </w:rPr>
            </w:pPr>
            <w:r>
              <w:rPr>
                <w:rFonts w:hint="eastAsia" w:ascii="宋体" w:hAnsi="宋体" w:cs="宋体"/>
                <w:sz w:val="22"/>
                <w:szCs w:val="22"/>
              </w:rPr>
              <w:t>同一业绩不重复计分，本项最高得分为4分。</w:t>
            </w:r>
          </w:p>
        </w:tc>
        <w:tc>
          <w:tcPr>
            <w:tcW w:w="1708" w:type="dxa"/>
            <w:vAlign w:val="center"/>
          </w:tcPr>
          <w:p>
            <w:pPr>
              <w:jc w:val="center"/>
              <w:rPr>
                <w:rFonts w:ascii="宋体" w:hAnsi="宋体" w:cs="Calibri"/>
                <w:kern w:val="0"/>
                <w:sz w:val="22"/>
                <w:szCs w:val="22"/>
              </w:rPr>
            </w:pPr>
            <w:r>
              <w:rPr>
                <w:rFonts w:ascii="宋体" w:hAnsi="宋体" w:cs="Calibri"/>
                <w:kern w:val="0"/>
                <w:sz w:val="22"/>
                <w:szCs w:val="22"/>
              </w:rPr>
              <w:t>0-</w:t>
            </w:r>
            <w:r>
              <w:rPr>
                <w:rFonts w:hint="eastAsia" w:ascii="宋体" w:hAnsi="宋体" w:cs="Calibri"/>
                <w:kern w:val="0"/>
                <w:sz w:val="22"/>
                <w:szCs w:val="22"/>
              </w:rPr>
              <w:t>4分</w:t>
            </w:r>
          </w:p>
        </w:tc>
      </w:tr>
      <w:bookmarkEnd w:id="89"/>
    </w:tbl>
    <w:p>
      <w:pPr>
        <w:pStyle w:val="7"/>
        <w:adjustRightInd w:val="0"/>
        <w:snapToGrid w:val="0"/>
        <w:spacing w:line="360" w:lineRule="exact"/>
        <w:ind w:firstLine="440" w:firstLineChars="200"/>
        <w:rPr>
          <w:rFonts w:hAnsi="宋体" w:cs="Calibri"/>
          <w:sz w:val="22"/>
          <w:szCs w:val="22"/>
        </w:rPr>
      </w:pPr>
    </w:p>
    <w:p>
      <w:pPr>
        <w:pStyle w:val="7"/>
        <w:adjustRightInd w:val="0"/>
        <w:snapToGrid w:val="0"/>
        <w:spacing w:line="360" w:lineRule="exact"/>
        <w:ind w:firstLine="442" w:firstLineChars="200"/>
        <w:rPr>
          <w:rFonts w:hAnsi="宋体" w:cs="Calibri"/>
          <w:b/>
          <w:sz w:val="22"/>
          <w:szCs w:val="22"/>
        </w:rPr>
      </w:pPr>
      <w:r>
        <w:rPr>
          <w:rFonts w:hAnsi="宋体" w:cs="Calibri"/>
          <w:b/>
          <w:sz w:val="22"/>
          <w:szCs w:val="22"/>
        </w:rPr>
        <w:t>3.4</w:t>
      </w:r>
      <w:r>
        <w:rPr>
          <w:rFonts w:hint="eastAsia" w:hAnsi="宋体" w:cs="Calibri"/>
          <w:b/>
          <w:sz w:val="22"/>
          <w:szCs w:val="22"/>
        </w:rPr>
        <w:t>推荐中标候选人</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3.4.1</w:t>
      </w:r>
      <w:r>
        <w:rPr>
          <w:rFonts w:hint="eastAsia" w:hAnsi="宋体" w:cs="Calibri"/>
          <w:sz w:val="22"/>
          <w:szCs w:val="22"/>
        </w:rPr>
        <w:t>当有效投标文件大于等于二名时，评标委员会推荐得分最高、次高的投标人为中标候选人（如果得分相同则按投标人报价从低到高顺序推荐为中标候选人，如果投标报价也相同，则抽签决定）。</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3.4.2</w:t>
      </w:r>
      <w:r>
        <w:rPr>
          <w:rFonts w:hint="eastAsia" w:hAnsi="宋体" w:cs="Calibri"/>
          <w:sz w:val="22"/>
          <w:szCs w:val="22"/>
        </w:rPr>
        <w:t>当有效投标文件只有一名时，则由评标委员会确定是否推荐为中标候选人。</w:t>
      </w:r>
    </w:p>
    <w:p>
      <w:pPr>
        <w:pStyle w:val="7"/>
        <w:spacing w:line="360" w:lineRule="exact"/>
        <w:ind w:firstLine="442" w:firstLineChars="200"/>
        <w:rPr>
          <w:rFonts w:hAnsi="宋体" w:cs="Calibri"/>
          <w:b/>
          <w:sz w:val="22"/>
          <w:szCs w:val="22"/>
        </w:rPr>
      </w:pPr>
      <w:r>
        <w:rPr>
          <w:rFonts w:hAnsi="宋体" w:cs="Calibri"/>
          <w:b/>
          <w:sz w:val="22"/>
          <w:szCs w:val="22"/>
        </w:rPr>
        <w:t>3.5</w:t>
      </w:r>
      <w:r>
        <w:rPr>
          <w:rFonts w:hint="eastAsia" w:hAnsi="宋体" w:cs="Calibri"/>
          <w:b/>
          <w:sz w:val="22"/>
          <w:szCs w:val="22"/>
        </w:rPr>
        <w:t>评标报告</w:t>
      </w:r>
    </w:p>
    <w:p>
      <w:pPr>
        <w:pStyle w:val="7"/>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7"/>
        <w:spacing w:line="360" w:lineRule="exact"/>
        <w:rPr>
          <w:rFonts w:hAnsi="宋体" w:cs="Calibri"/>
          <w:b/>
          <w:sz w:val="22"/>
          <w:szCs w:val="22"/>
        </w:rPr>
      </w:pPr>
      <w:r>
        <w:rPr>
          <w:rFonts w:hint="eastAsia" w:hAnsi="宋体" w:cs="Calibri"/>
          <w:b/>
          <w:sz w:val="22"/>
          <w:szCs w:val="22"/>
        </w:rPr>
        <w:t>四、定标</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4.1</w:t>
      </w:r>
      <w:r>
        <w:rPr>
          <w:rFonts w:hint="eastAsia" w:hAnsi="宋体" w:cs="Calibri"/>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4.2</w:t>
      </w:r>
      <w:r>
        <w:rPr>
          <w:rFonts w:hint="eastAsia"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7"/>
        <w:adjustRightInd w:val="0"/>
        <w:snapToGrid w:val="0"/>
        <w:spacing w:line="360" w:lineRule="exact"/>
        <w:ind w:firstLine="440" w:firstLineChars="200"/>
        <w:rPr>
          <w:rFonts w:hAnsi="宋体" w:cs="Calibri"/>
          <w:sz w:val="22"/>
          <w:szCs w:val="22"/>
        </w:rPr>
      </w:pPr>
      <w:r>
        <w:rPr>
          <w:rFonts w:hAnsi="宋体" w:cs="Calibri"/>
          <w:sz w:val="22"/>
          <w:szCs w:val="22"/>
        </w:rPr>
        <w:t xml:space="preserve">4.3 </w:t>
      </w:r>
      <w:r>
        <w:rPr>
          <w:rFonts w:hint="eastAsia" w:hAnsi="宋体" w:cs="Calibri"/>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p>
    <w:p>
      <w:pPr>
        <w:pStyle w:val="7"/>
        <w:adjustRightInd w:val="0"/>
        <w:snapToGrid w:val="0"/>
        <w:spacing w:line="360" w:lineRule="exact"/>
        <w:ind w:firstLine="442" w:firstLineChars="200"/>
        <w:rPr>
          <w:rFonts w:hAnsi="宋体" w:cs="Calibri"/>
          <w:b/>
          <w:sz w:val="22"/>
          <w:szCs w:val="22"/>
        </w:rPr>
      </w:pPr>
      <w:r>
        <w:rPr>
          <w:rFonts w:hAnsi="宋体" w:cs="Calibri"/>
          <w:b/>
          <w:sz w:val="22"/>
          <w:szCs w:val="22"/>
        </w:rPr>
        <w:t xml:space="preserve">4.4 </w:t>
      </w:r>
      <w:r>
        <w:rPr>
          <w:rFonts w:hint="eastAsia" w:hAnsi="宋体" w:cs="Calibri"/>
          <w:b/>
          <w:sz w:val="22"/>
          <w:szCs w:val="22"/>
        </w:rPr>
        <w:t>招标人对评标、定标结果不负责解释。</w:t>
      </w:r>
    </w:p>
    <w:p>
      <w:pPr>
        <w:widowControl/>
        <w:jc w:val="left"/>
        <w:rPr>
          <w:rFonts w:eastAsia="黑体"/>
          <w:b/>
          <w:bCs/>
          <w:kern w:val="0"/>
          <w:sz w:val="32"/>
          <w:szCs w:val="32"/>
        </w:rPr>
      </w:pPr>
      <w:r>
        <w:br w:type="page"/>
      </w:r>
    </w:p>
    <w:p>
      <w:pPr>
        <w:pStyle w:val="15"/>
      </w:pPr>
      <w:bookmarkStart w:id="90" w:name="_Toc13826050"/>
      <w:r>
        <w:rPr>
          <w:rFonts w:hint="eastAsia"/>
        </w:rPr>
        <w:t>第七章</w:t>
      </w:r>
      <w:r>
        <w:t xml:space="preserve">  </w:t>
      </w:r>
      <w:r>
        <w:rPr>
          <w:rFonts w:hint="eastAsia"/>
        </w:rPr>
        <w:t>投标文件格式</w:t>
      </w:r>
      <w:bookmarkEnd w:id="88"/>
      <w:bookmarkEnd w:id="90"/>
    </w:p>
    <w:p>
      <w:pPr>
        <w:spacing w:line="440" w:lineRule="exact"/>
        <w:jc w:val="center"/>
        <w:rPr>
          <w:rFonts w:ascii="宋体" w:hAnsi="宋体" w:cs="Calibri"/>
          <w:b/>
          <w:color w:val="000000"/>
          <w:sz w:val="28"/>
          <w:szCs w:val="28"/>
        </w:rPr>
      </w:pPr>
      <w:r>
        <w:rPr>
          <w:rFonts w:hint="eastAsia" w:ascii="宋体" w:hAnsi="宋体" w:cs="Calibri"/>
          <w:b/>
          <w:color w:val="000000"/>
          <w:sz w:val="28"/>
          <w:szCs w:val="28"/>
        </w:rPr>
        <w:t>目录</w:t>
      </w:r>
    </w:p>
    <w:p>
      <w:pPr>
        <w:spacing w:line="440" w:lineRule="exact"/>
        <w:ind w:firstLine="440" w:firstLineChars="200"/>
        <w:rPr>
          <w:rFonts w:ascii="宋体" w:hAnsi="宋体" w:cs="Calibri"/>
          <w:color w:val="000000"/>
          <w:sz w:val="22"/>
        </w:rPr>
      </w:pPr>
      <w:r>
        <w:rPr>
          <w:rFonts w:hint="eastAsia" w:ascii="宋体" w:hAnsi="宋体" w:cs="Calibri"/>
          <w:color w:val="000000"/>
          <w:sz w:val="22"/>
        </w:rPr>
        <w:t>封面</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一、投标函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四、已标价工程量清单</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五、施工组织设计</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六、项目管理机构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七、资格审查资料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八、投标人认为应该提供的其他材料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color w:val="000000"/>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spacing w:line="440" w:lineRule="exact"/>
        <w:rPr>
          <w:rFonts w:ascii="宋体" w:hAnsi="宋体" w:cs="Calibri"/>
          <w:color w:val="000000"/>
          <w:u w:val="single"/>
        </w:rPr>
      </w:pPr>
      <w:bookmarkStart w:id="91" w:name="_Toc171421958"/>
      <w:r>
        <w:rPr>
          <w:rFonts w:hint="eastAsia" w:ascii="宋体" w:hAnsi="宋体" w:cs="Calibri"/>
          <w:color w:val="000000"/>
        </w:rPr>
        <w:t>封面</w:t>
      </w:r>
      <w:bookmarkEnd w:id="91"/>
    </w:p>
    <w:p>
      <w:pPr>
        <w:autoSpaceDE w:val="0"/>
        <w:autoSpaceDN w:val="0"/>
        <w:adjustRightInd w:val="0"/>
        <w:jc w:val="center"/>
        <w:rPr>
          <w:rFonts w:ascii="宋体" w:hAnsi="宋体" w:cs="Calibri"/>
          <w:b/>
          <w:color w:val="000000"/>
          <w:spacing w:val="20"/>
          <w:kern w:val="0"/>
          <w:sz w:val="48"/>
          <w:szCs w:val="48"/>
        </w:rPr>
      </w:pPr>
    </w:p>
    <w:p>
      <w:pPr>
        <w:autoSpaceDE w:val="0"/>
        <w:autoSpaceDN w:val="0"/>
        <w:adjustRightInd w:val="0"/>
        <w:jc w:val="center"/>
        <w:rPr>
          <w:rFonts w:ascii="宋体" w:hAnsi="宋体" w:cs="Calibri"/>
          <w:b/>
          <w:color w:val="000000"/>
          <w:sz w:val="44"/>
          <w:szCs w:val="44"/>
        </w:rPr>
      </w:pPr>
      <w:r>
        <w:rPr>
          <w:rFonts w:hint="eastAsia" w:ascii="宋体" w:hAnsi="宋体" w:cs="Calibri"/>
          <w:b/>
          <w:color w:val="000000"/>
          <w:sz w:val="44"/>
          <w:szCs w:val="44"/>
        </w:rPr>
        <w:t>杭州萧山国际机场</w:t>
      </w:r>
      <w:r>
        <w:rPr>
          <w:rFonts w:ascii="宋体" w:hAnsi="宋体" w:cs="Calibri"/>
          <w:b/>
          <w:color w:val="000000"/>
          <w:sz w:val="44"/>
          <w:szCs w:val="44"/>
          <w:u w:val="single"/>
        </w:rPr>
        <w:t xml:space="preserve">           </w:t>
      </w:r>
      <w:r>
        <w:rPr>
          <w:rFonts w:hint="eastAsia" w:ascii="宋体" w:hAnsi="宋体" w:cs="Calibri"/>
          <w:b/>
          <w:color w:val="000000"/>
          <w:sz w:val="44"/>
          <w:szCs w:val="44"/>
        </w:rPr>
        <w:t>工程</w:t>
      </w:r>
    </w:p>
    <w:p>
      <w:pPr>
        <w:spacing w:line="440" w:lineRule="exact"/>
        <w:rPr>
          <w:rFonts w:ascii="宋体" w:hAnsi="宋体" w:cs="Calibri"/>
          <w:color w:val="000000"/>
          <w:sz w:val="36"/>
          <w:szCs w:val="36"/>
        </w:rPr>
      </w:pPr>
    </w:p>
    <w:p>
      <w:pPr>
        <w:spacing w:line="440" w:lineRule="exact"/>
        <w:ind w:firstLine="480" w:firstLineChars="200"/>
        <w:jc w:val="center"/>
        <w:rPr>
          <w:rFonts w:ascii="宋体" w:hAnsi="宋体" w:cs="Calibri"/>
          <w:color w:val="000000"/>
        </w:rPr>
      </w:pPr>
    </w:p>
    <w:p>
      <w:pPr>
        <w:spacing w:line="440" w:lineRule="exact"/>
        <w:rPr>
          <w:rFonts w:ascii="宋体" w:hAnsi="宋体" w:cs="Calibri"/>
          <w:color w:val="000000"/>
          <w:sz w:val="44"/>
          <w:szCs w:val="44"/>
        </w:rPr>
      </w:pPr>
    </w:p>
    <w:p>
      <w:pPr>
        <w:spacing w:before="480" w:beforeLines="200" w:after="480" w:afterLines="200" w:line="440" w:lineRule="exact"/>
        <w:jc w:val="center"/>
        <w:rPr>
          <w:rFonts w:ascii="宋体" w:hAnsi="宋体" w:cs="Calibri"/>
          <w:b/>
          <w:bCs/>
          <w:color w:val="000000"/>
          <w:sz w:val="84"/>
          <w:szCs w:val="84"/>
        </w:rPr>
      </w:pPr>
      <w:r>
        <w:rPr>
          <w:rFonts w:hint="eastAsia" w:ascii="宋体" w:hAnsi="宋体" w:cs="Calibri"/>
          <w:b/>
          <w:bCs/>
          <w:color w:val="000000"/>
          <w:sz w:val="84"/>
          <w:szCs w:val="84"/>
        </w:rPr>
        <w:t>投标文件</w:t>
      </w:r>
    </w:p>
    <w:p>
      <w:pPr>
        <w:spacing w:line="440" w:lineRule="exact"/>
        <w:ind w:firstLine="480" w:firstLineChars="200"/>
        <w:jc w:val="center"/>
        <w:rPr>
          <w:rFonts w:ascii="宋体" w:hAnsi="宋体" w:cs="Calibri"/>
          <w:color w:val="000000"/>
        </w:rPr>
      </w:pPr>
    </w:p>
    <w:p>
      <w:pPr>
        <w:spacing w:line="440" w:lineRule="exact"/>
        <w:ind w:firstLine="480" w:firstLineChars="200"/>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440" w:lineRule="exact"/>
        <w:ind w:firstLine="480" w:firstLineChars="200"/>
        <w:jc w:val="center"/>
        <w:rPr>
          <w:rFonts w:ascii="宋体" w:hAnsi="宋体" w:cs="Calibri"/>
          <w:color w:val="000000"/>
        </w:rPr>
      </w:pPr>
    </w:p>
    <w:p>
      <w:pPr>
        <w:spacing w:line="360" w:lineRule="auto"/>
        <w:ind w:firstLine="1400" w:firstLineChars="500"/>
        <w:rPr>
          <w:rFonts w:ascii="宋体" w:hAnsi="宋体" w:cs="Calibri"/>
          <w:color w:val="000000"/>
          <w:sz w:val="28"/>
          <w:szCs w:val="28"/>
          <w:u w:val="single"/>
        </w:rPr>
      </w:pPr>
      <w:r>
        <w:rPr>
          <w:rFonts w:hint="eastAsia" w:ascii="宋体" w:hAnsi="宋体" w:cs="Calibri"/>
          <w:color w:val="000000"/>
          <w:sz w:val="28"/>
          <w:szCs w:val="28"/>
        </w:rPr>
        <w:t>投标人：</w:t>
      </w:r>
      <w:r>
        <w:rPr>
          <w:rFonts w:hint="eastAsia" w:ascii="宋体" w:hAnsi="宋体" w:cs="Calibri"/>
          <w:color w:val="000000"/>
          <w:sz w:val="28"/>
          <w:szCs w:val="28"/>
          <w:u w:val="single"/>
        </w:rPr>
        <w:t>（盖单位章）</w:t>
      </w:r>
    </w:p>
    <w:p>
      <w:pPr>
        <w:spacing w:line="360" w:lineRule="auto"/>
        <w:ind w:firstLine="1400" w:firstLineChars="500"/>
        <w:rPr>
          <w:rFonts w:ascii="宋体" w:hAnsi="宋体" w:cs="Calibri"/>
          <w:color w:val="000000"/>
          <w:sz w:val="28"/>
          <w:szCs w:val="28"/>
        </w:rPr>
      </w:pPr>
      <w:r>
        <w:rPr>
          <w:rFonts w:hint="eastAsia" w:ascii="宋体" w:hAnsi="宋体" w:cs="Calibri"/>
          <w:color w:val="000000"/>
          <w:sz w:val="28"/>
          <w:szCs w:val="28"/>
        </w:rPr>
        <w:t>法定代表人或其委托代理人：</w:t>
      </w:r>
      <w:r>
        <w:rPr>
          <w:rFonts w:hint="eastAsia" w:ascii="宋体" w:hAnsi="宋体" w:cs="Calibri"/>
          <w:color w:val="000000"/>
          <w:sz w:val="28"/>
          <w:szCs w:val="28"/>
          <w:u w:val="single"/>
        </w:rPr>
        <w:t>（签字或盖章）</w:t>
      </w:r>
    </w:p>
    <w:p>
      <w:pPr>
        <w:spacing w:line="360" w:lineRule="auto"/>
        <w:ind w:firstLine="1400" w:firstLineChars="500"/>
        <w:rPr>
          <w:rFonts w:ascii="宋体" w:hAnsi="宋体" w:cs="Calibri"/>
          <w:color w:val="000000"/>
          <w:sz w:val="28"/>
          <w:szCs w:val="28"/>
        </w:rPr>
      </w:pPr>
      <w:r>
        <w:rPr>
          <w:rFonts w:hint="eastAsia" w:ascii="宋体" w:hAnsi="宋体" w:cs="Calibri"/>
          <w:color w:val="000000"/>
          <w:sz w:val="28"/>
          <w:szCs w:val="28"/>
        </w:rPr>
        <w:t>日期：年月日</w:t>
      </w:r>
    </w:p>
    <w:p>
      <w:pPr>
        <w:widowControl/>
        <w:jc w:val="left"/>
        <w:rPr>
          <w:rFonts w:ascii="宋体" w:hAnsi="宋体" w:cs="宋体"/>
          <w:b/>
          <w:color w:val="000000"/>
          <w:szCs w:val="21"/>
        </w:rPr>
      </w:pPr>
    </w:p>
    <w:p>
      <w:pPr>
        <w:widowControl/>
        <w:jc w:val="left"/>
        <w:rPr>
          <w:rFonts w:ascii="宋体" w:hAnsi="宋体" w:cs="宋体"/>
          <w:b/>
          <w:color w:val="000000"/>
          <w:szCs w:val="21"/>
        </w:rPr>
      </w:pPr>
    </w:p>
    <w:p>
      <w:pPr>
        <w:widowControl/>
        <w:jc w:val="left"/>
        <w:rPr>
          <w:rFonts w:ascii="宋体" w:hAnsi="宋体" w:cs="宋体"/>
          <w:b/>
          <w:color w:val="000000"/>
          <w:szCs w:val="21"/>
        </w:rPr>
      </w:pPr>
    </w:p>
    <w:p>
      <w:pPr>
        <w:widowControl/>
        <w:jc w:val="left"/>
        <w:rPr>
          <w:rFonts w:ascii="宋体" w:hAnsi="宋体" w:cs="宋体"/>
          <w:b/>
          <w:color w:val="000000"/>
          <w:szCs w:val="21"/>
        </w:rPr>
      </w:pPr>
      <w:r>
        <w:rPr>
          <w:rFonts w:ascii="宋体" w:hAnsi="宋体" w:cs="宋体"/>
          <w:b/>
          <w:color w:val="000000"/>
          <w:szCs w:val="21"/>
        </w:rPr>
        <w:br w:type="page"/>
      </w:r>
    </w:p>
    <w:p>
      <w:pPr>
        <w:widowControl/>
        <w:jc w:val="left"/>
        <w:rPr>
          <w:rFonts w:ascii="宋体" w:hAnsi="宋体" w:cs="宋体"/>
          <w:b/>
          <w:color w:val="000000"/>
          <w:szCs w:val="21"/>
        </w:rPr>
      </w:pPr>
    </w:p>
    <w:p>
      <w:pPr>
        <w:widowControl/>
        <w:jc w:val="left"/>
        <w:rPr>
          <w:rFonts w:ascii="宋体" w:hAnsi="宋体" w:cs="宋体"/>
          <w:b/>
          <w:color w:val="000000"/>
          <w:szCs w:val="21"/>
        </w:rPr>
      </w:pPr>
    </w:p>
    <w:p>
      <w:pPr>
        <w:spacing w:line="360" w:lineRule="auto"/>
        <w:jc w:val="center"/>
        <w:rPr>
          <w:rFonts w:ascii="宋体" w:hAnsi="宋体" w:cs="宋体"/>
          <w:b/>
          <w:color w:val="000000"/>
          <w:sz w:val="32"/>
          <w:szCs w:val="32"/>
        </w:rPr>
      </w:pPr>
      <w:r>
        <w:rPr>
          <w:rFonts w:hint="eastAsia" w:ascii="宋体" w:hAnsi="宋体" w:cs="宋体"/>
          <w:b/>
          <w:color w:val="000000"/>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 xml:space="preserve"> 。</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）我方承诺按照招标文件</w:t>
      </w:r>
      <w:r>
        <w:rPr>
          <w:rFonts w:hint="eastAsia" w:ascii="宋体" w:hAnsi="宋体"/>
          <w:sz w:val="22"/>
          <w:szCs w:val="22"/>
        </w:rPr>
        <w:t>及合同</w:t>
      </w:r>
      <w:r>
        <w:rPr>
          <w:rFonts w:ascii="宋体" w:hAnsi="宋体"/>
          <w:sz w:val="22"/>
          <w:szCs w:val="22"/>
        </w:rPr>
        <w:t>规定向你方递交履约</w:t>
      </w:r>
      <w:r>
        <w:rPr>
          <w:rFonts w:hint="eastAsia" w:ascii="宋体" w:hAnsi="宋体"/>
          <w:sz w:val="22"/>
          <w:szCs w:val="22"/>
        </w:rPr>
        <w:t>保证金</w:t>
      </w:r>
      <w:r>
        <w:rPr>
          <w:rFonts w:ascii="宋体" w:hAnsi="宋体"/>
          <w:sz w:val="22"/>
          <w:szCs w:val="22"/>
        </w:rPr>
        <w:t>。</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3</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等线" w:hAnsi="等线" w:cs="Calibri"/>
          <w:color w:val="000000"/>
          <w:sz w:val="22"/>
          <w:szCs w:val="22"/>
        </w:rPr>
      </w:pPr>
      <w:r>
        <w:rPr>
          <w:rFonts w:ascii="等线" w:hAnsi="等线" w:cs="Calibri"/>
          <w:color w:val="000000"/>
          <w:sz w:val="22"/>
          <w:szCs w:val="22"/>
        </w:rPr>
        <w:t>投标人：（盖单位章）</w:t>
      </w:r>
    </w:p>
    <w:p>
      <w:pPr>
        <w:snapToGrid w:val="0"/>
        <w:spacing w:line="440" w:lineRule="exact"/>
        <w:ind w:firstLine="3300" w:firstLineChars="1500"/>
        <w:rPr>
          <w:rFonts w:ascii="等线" w:hAnsi="等线" w:cs="Calibri"/>
          <w:color w:val="000000"/>
          <w:sz w:val="22"/>
          <w:szCs w:val="22"/>
        </w:rPr>
      </w:pPr>
      <w:r>
        <w:rPr>
          <w:rFonts w:ascii="等线" w:hAnsi="等线" w:cs="Calibri"/>
          <w:color w:val="000000"/>
          <w:sz w:val="22"/>
          <w:szCs w:val="22"/>
        </w:rPr>
        <w:t>法定代表人或其委托代理人：（签字或盖章）</w:t>
      </w:r>
    </w:p>
    <w:p>
      <w:pPr>
        <w:snapToGrid w:val="0"/>
        <w:spacing w:line="440" w:lineRule="exact"/>
        <w:ind w:firstLine="3300" w:firstLineChars="1500"/>
        <w:rPr>
          <w:rFonts w:ascii="等线" w:hAnsi="等线" w:cs="Calibri"/>
          <w:color w:val="000000"/>
          <w:sz w:val="22"/>
          <w:szCs w:val="22"/>
        </w:rPr>
      </w:pPr>
      <w:r>
        <w:rPr>
          <w:rFonts w:ascii="等线" w:hAnsi="等线" w:cs="Calibri"/>
          <w:color w:val="000000"/>
          <w:sz w:val="22"/>
          <w:szCs w:val="22"/>
        </w:rPr>
        <w:t>地    址：</w:t>
      </w:r>
    </w:p>
    <w:p>
      <w:pPr>
        <w:snapToGrid w:val="0"/>
        <w:spacing w:line="440" w:lineRule="exact"/>
        <w:ind w:firstLine="3300" w:firstLineChars="1500"/>
        <w:rPr>
          <w:rFonts w:ascii="等线" w:hAnsi="等线" w:cs="Calibri"/>
          <w:color w:val="000000"/>
          <w:sz w:val="22"/>
          <w:szCs w:val="22"/>
        </w:rPr>
      </w:pPr>
      <w:r>
        <w:rPr>
          <w:rFonts w:ascii="等线" w:hAnsi="等线" w:cs="Calibri"/>
          <w:color w:val="000000"/>
          <w:sz w:val="22"/>
          <w:szCs w:val="22"/>
        </w:rPr>
        <w:t>邮政编码：</w:t>
      </w:r>
    </w:p>
    <w:p>
      <w:pPr>
        <w:snapToGrid w:val="0"/>
        <w:spacing w:line="440" w:lineRule="exact"/>
        <w:ind w:firstLine="3300" w:firstLineChars="1500"/>
        <w:rPr>
          <w:rFonts w:ascii="等线" w:hAnsi="等线" w:cs="Calibri"/>
          <w:color w:val="000000"/>
          <w:sz w:val="22"/>
          <w:szCs w:val="22"/>
        </w:rPr>
      </w:pPr>
      <w:r>
        <w:rPr>
          <w:rFonts w:ascii="等线" w:hAnsi="等线" w:cs="Calibri"/>
          <w:color w:val="000000"/>
          <w:sz w:val="22"/>
          <w:szCs w:val="22"/>
        </w:rPr>
        <w:t>电    话：</w:t>
      </w:r>
    </w:p>
    <w:p>
      <w:pPr>
        <w:snapToGrid w:val="0"/>
        <w:spacing w:line="440" w:lineRule="exact"/>
        <w:ind w:firstLine="3300" w:firstLineChars="1500"/>
        <w:rPr>
          <w:rFonts w:ascii="等线" w:hAnsi="等线" w:cs="Calibri"/>
          <w:color w:val="000000"/>
          <w:sz w:val="22"/>
          <w:szCs w:val="22"/>
        </w:rPr>
      </w:pPr>
      <w:r>
        <w:rPr>
          <w:rFonts w:ascii="等线" w:hAnsi="等线" w:cs="Calibri"/>
          <w:color w:val="000000"/>
          <w:sz w:val="22"/>
          <w:szCs w:val="22"/>
        </w:rPr>
        <w:t>传    真：</w:t>
      </w:r>
    </w:p>
    <w:p>
      <w:pPr>
        <w:snapToGrid w:val="0"/>
        <w:spacing w:line="440" w:lineRule="exact"/>
        <w:ind w:firstLine="3300" w:firstLineChars="1500"/>
        <w:rPr>
          <w:rFonts w:ascii="等线" w:hAnsi="等线" w:cs="Calibri"/>
          <w:color w:val="000000"/>
          <w:sz w:val="22"/>
          <w:szCs w:val="22"/>
        </w:rPr>
      </w:pPr>
      <w:r>
        <w:rPr>
          <w:rFonts w:ascii="等线" w:hAnsi="等线" w:cs="Calibri"/>
          <w:color w:val="000000"/>
          <w:sz w:val="22"/>
          <w:szCs w:val="22"/>
        </w:rPr>
        <w:t>开户银行：</w:t>
      </w:r>
    </w:p>
    <w:p>
      <w:pPr>
        <w:snapToGrid w:val="0"/>
        <w:spacing w:line="440" w:lineRule="exact"/>
        <w:ind w:firstLine="3300" w:firstLineChars="1500"/>
        <w:rPr>
          <w:rFonts w:ascii="等线" w:hAnsi="等线" w:cs="Calibri"/>
          <w:color w:val="000000"/>
          <w:sz w:val="22"/>
          <w:szCs w:val="22"/>
        </w:rPr>
      </w:pPr>
      <w:r>
        <w:rPr>
          <w:rFonts w:ascii="等线" w:hAnsi="等线" w:cs="Calibri"/>
          <w:color w:val="000000"/>
          <w:sz w:val="22"/>
          <w:szCs w:val="22"/>
        </w:rPr>
        <w:t>账    号：</w:t>
      </w:r>
    </w:p>
    <w:p>
      <w:pPr>
        <w:snapToGrid w:val="0"/>
        <w:spacing w:line="440" w:lineRule="exact"/>
        <w:ind w:firstLine="3300" w:firstLineChars="1500"/>
        <w:jc w:val="center"/>
        <w:rPr>
          <w:rFonts w:ascii="宋体" w:hAnsi="宋体" w:cs="Calibri"/>
          <w:color w:val="000000"/>
          <w:sz w:val="32"/>
          <w:szCs w:val="32"/>
        </w:rPr>
      </w:pPr>
      <w:r>
        <w:rPr>
          <w:rFonts w:ascii="等线" w:hAnsi="等线" w:cs="Calibri"/>
          <w:color w:val="000000"/>
          <w:sz w:val="22"/>
          <w:szCs w:val="22"/>
        </w:rPr>
        <w:t>日    期：    年     月     日</w:t>
      </w:r>
      <w:r>
        <w:rPr>
          <w:rFonts w:ascii="宋体" w:hAnsi="宋体" w:cs="Arial"/>
          <w:color w:val="000000"/>
          <w:sz w:val="22"/>
        </w:rPr>
        <w:br w:type="page"/>
      </w:r>
      <w:r>
        <w:rPr>
          <w:rFonts w:hint="eastAsia" w:ascii="宋体" w:hAnsi="宋体" w:cs="宋体"/>
          <w:b/>
          <w:color w:val="000000"/>
          <w:sz w:val="32"/>
          <w:szCs w:val="32"/>
        </w:rPr>
        <w:t>二、法定代表人身份证明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Hz5PGLQIAAEgEAAAOAAAAZHJzL2Uyb0RvYy54bWytVE2O&#10;0zAU3iNxB8t7mjTT0m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zMLyPXAAAACAEAAA8AAAAAAAAAAQAgAAAAIgAAAGRycy9kb3ducmV2LnhtbFBLAQIU&#10;ABQAAAAIAIdO4kBHz5PG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after="120" w:afterLines="50" w:line="440" w:lineRule="exact"/>
        <w:jc w:val="center"/>
        <w:rPr>
          <w:rFonts w:ascii="宋体" w:hAnsi="宋体" w:cs="Calibri"/>
          <w:b/>
          <w:color w:val="000000"/>
          <w:sz w:val="28"/>
          <w:szCs w:val="28"/>
        </w:rPr>
      </w:pPr>
      <w:r>
        <w:rPr>
          <w:rFonts w:cs="Calibri"/>
          <w:color w:val="000000"/>
          <w:szCs w:val="21"/>
        </w:rPr>
        <w:br w:type="page"/>
      </w:r>
      <w:r>
        <w:rPr>
          <w:rFonts w:hint="eastAsia" w:ascii="宋体" w:hAnsi="宋体" w:cs="Calibri"/>
          <w:b/>
          <w:color w:val="000000"/>
          <w:sz w:val="32"/>
          <w:szCs w:val="32"/>
        </w:rPr>
        <w:t>三、授权委托书</w:t>
      </w:r>
    </w:p>
    <w:p>
      <w:pPr>
        <w:spacing w:line="440" w:lineRule="exact"/>
        <w:ind w:firstLine="480" w:firstLineChars="200"/>
        <w:rPr>
          <w:rFonts w:ascii="宋体" w:hAnsi="宋体" w:cs="Calibri"/>
          <w:color w:val="000000"/>
          <w:szCs w:val="21"/>
        </w:rPr>
      </w:pPr>
    </w:p>
    <w:p>
      <w:pPr>
        <w:spacing w:line="440" w:lineRule="exact"/>
        <w:ind w:firstLine="440" w:firstLineChars="200"/>
        <w:rPr>
          <w:rFonts w:cs="Calibri"/>
          <w:color w:val="000000"/>
          <w:sz w:val="22"/>
          <w:szCs w:val="22"/>
        </w:rPr>
      </w:pPr>
      <w:bookmarkStart w:id="92" w:name="_Toc137373398"/>
      <w:bookmarkStart w:id="93" w:name="_Toc133470542"/>
      <w:bookmarkStart w:id="94" w:name="_Toc133214102"/>
      <w:bookmarkStart w:id="95" w:name="_Toc133214309"/>
      <w:bookmarkStart w:id="96" w:name="_Toc144265958"/>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Y9jnTLQIAAEgEAAAOAAAAZHJzL2Uyb0RvYy54bWytVE2O&#10;0zAU3iNxB8t7mjRtmW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AY9jnT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7"/>
        <w:spacing w:after="120" w:afterLines="50" w:line="360" w:lineRule="auto"/>
        <w:jc w:val="left"/>
        <w:rPr>
          <w:rFonts w:hAnsi="宋体" w:cs="宋体"/>
          <w:b/>
          <w:color w:val="000000"/>
        </w:rPr>
      </w:pPr>
    </w:p>
    <w:p>
      <w:pPr>
        <w:pStyle w:val="7"/>
        <w:spacing w:after="120" w:afterLines="50" w:line="360" w:lineRule="auto"/>
        <w:jc w:val="left"/>
        <w:rPr>
          <w:rFonts w:hAnsi="宋体" w:cs="宋体"/>
          <w:b/>
          <w:color w:val="000000"/>
        </w:rPr>
      </w:pPr>
      <w:r>
        <w:rPr>
          <w:rFonts w:hAnsi="宋体" w:cs="宋体"/>
          <w:b/>
          <w:color w:val="000000"/>
        </w:rPr>
        <w:br w:type="page"/>
      </w:r>
    </w:p>
    <w:p>
      <w:pPr>
        <w:spacing w:line="440" w:lineRule="exact"/>
        <w:jc w:val="center"/>
        <w:rPr>
          <w:rFonts w:ascii="宋体" w:hAnsi="宋体" w:cs="Calibri"/>
          <w:color w:val="000000"/>
          <w:sz w:val="32"/>
          <w:szCs w:val="32"/>
        </w:rPr>
      </w:pPr>
      <w:r>
        <w:rPr>
          <w:rFonts w:hint="eastAsia" w:ascii="宋体" w:hAnsi="宋体" w:cs="Calibri"/>
          <w:color w:val="000000"/>
          <w:sz w:val="32"/>
          <w:szCs w:val="32"/>
        </w:rPr>
        <w:t>四、已标价工程量清单</w:t>
      </w:r>
    </w:p>
    <w:p>
      <w:pPr>
        <w:widowControl/>
        <w:tabs>
          <w:tab w:val="center" w:pos="4755"/>
          <w:tab w:val="right" w:pos="9070"/>
        </w:tabs>
        <w:adjustRightInd w:val="0"/>
        <w:snapToGrid w:val="0"/>
        <w:spacing w:line="440" w:lineRule="exact"/>
        <w:rPr>
          <w:rFonts w:ascii="宋体" w:hAnsi="宋体" w:cs="Arial"/>
          <w:color w:val="000000"/>
          <w:kern w:val="0"/>
          <w:szCs w:val="21"/>
        </w:rPr>
      </w:pPr>
    </w:p>
    <w:p>
      <w:pPr>
        <w:widowControl/>
        <w:tabs>
          <w:tab w:val="center" w:pos="4755"/>
          <w:tab w:val="right" w:pos="9070"/>
        </w:tabs>
        <w:adjustRightInd w:val="0"/>
        <w:snapToGrid w:val="0"/>
        <w:spacing w:line="440" w:lineRule="exact"/>
        <w:rPr>
          <w:rFonts w:ascii="宋体" w:hAnsi="宋体" w:cs="Arial"/>
          <w:color w:val="000000"/>
          <w:kern w:val="0"/>
          <w:szCs w:val="21"/>
        </w:rPr>
      </w:pPr>
      <w:r>
        <w:rPr>
          <w:rFonts w:hint="eastAsia" w:ascii="宋体" w:hAnsi="宋体" w:cs="Arial"/>
          <w:color w:val="000000"/>
          <w:kern w:val="0"/>
          <w:szCs w:val="21"/>
        </w:rPr>
        <w:t>须包含如下格式：</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w:t>
      </w:r>
      <w:r>
        <w:rPr>
          <w:rFonts w:hint="eastAsia" w:ascii="宋体" w:hAnsi="宋体" w:cs="Arial"/>
          <w:color w:val="000000"/>
          <w:kern w:val="0"/>
          <w:szCs w:val="21"/>
        </w:rPr>
        <w:t>）投标总价封面</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2</w:t>
      </w:r>
      <w:r>
        <w:rPr>
          <w:rFonts w:hint="eastAsia" w:ascii="宋体" w:hAnsi="宋体" w:cs="Arial"/>
          <w:color w:val="000000"/>
          <w:kern w:val="0"/>
          <w:szCs w:val="21"/>
        </w:rPr>
        <w:t>）工程总说明</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3</w:t>
      </w:r>
      <w:r>
        <w:rPr>
          <w:rFonts w:hint="eastAsia" w:ascii="宋体" w:hAnsi="宋体" w:cs="Arial"/>
          <w:color w:val="000000"/>
          <w:kern w:val="0"/>
          <w:szCs w:val="21"/>
        </w:rPr>
        <w:t>）工程项目投标报价汇总表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4</w:t>
      </w:r>
      <w:r>
        <w:rPr>
          <w:rFonts w:hint="eastAsia" w:ascii="宋体" w:hAnsi="宋体" w:cs="Arial"/>
          <w:color w:val="000000"/>
          <w:kern w:val="0"/>
          <w:szCs w:val="21"/>
        </w:rPr>
        <w:t>）单位（专业）工程投标报价计算表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5</w:t>
      </w:r>
      <w:r>
        <w:rPr>
          <w:rFonts w:hint="eastAsia" w:ascii="宋体" w:hAnsi="宋体" w:cs="Arial"/>
          <w:color w:val="000000"/>
          <w:kern w:val="0"/>
          <w:szCs w:val="21"/>
        </w:rPr>
        <w:t>）分部分项工程量清单与计价表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6</w:t>
      </w:r>
      <w:r>
        <w:rPr>
          <w:rFonts w:hint="eastAsia" w:ascii="宋体" w:hAnsi="宋体" w:cs="Arial"/>
          <w:color w:val="000000"/>
          <w:kern w:val="0"/>
          <w:szCs w:val="21"/>
        </w:rPr>
        <w:t>）工程量清单综合单价计算表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7</w:t>
      </w:r>
      <w:r>
        <w:rPr>
          <w:rFonts w:hint="eastAsia" w:ascii="宋体" w:hAnsi="宋体" w:cs="Arial"/>
          <w:color w:val="000000"/>
          <w:kern w:val="0"/>
          <w:szCs w:val="21"/>
        </w:rPr>
        <w:t>）工程量清单综合单价工料机分析表</w:t>
      </w:r>
      <w:r>
        <w:rPr>
          <w:rFonts w:hint="eastAsia" w:ascii="宋体" w:hAnsi="宋体" w:cs="宋体"/>
          <w:b/>
          <w:color w:val="000000"/>
          <w:kern w:val="0"/>
          <w:szCs w:val="21"/>
        </w:rPr>
        <w:t>（</w:t>
      </w:r>
      <w:r>
        <w:rPr>
          <w:rFonts w:hint="eastAsia" w:ascii="宋体" w:hAnsi="宋体" w:cs="宋体"/>
          <w:b/>
          <w:color w:val="000000"/>
          <w:kern w:val="0"/>
          <w:szCs w:val="21"/>
          <w:u w:val="single"/>
        </w:rPr>
        <w:t>投标时仅需提供电子版本，</w:t>
      </w:r>
      <w:r>
        <w:rPr>
          <w:rFonts w:hint="eastAsia" w:ascii="宋体" w:hAnsi="宋体" w:cs="Arial"/>
          <w:b/>
          <w:color w:val="000000"/>
          <w:kern w:val="0"/>
          <w:szCs w:val="21"/>
          <w:u w:val="single"/>
        </w:rPr>
        <w:t>投标人中标后，另提供的投标文件副本四份中需提供书面文档</w:t>
      </w:r>
      <w:r>
        <w:rPr>
          <w:rFonts w:hint="eastAsia" w:ascii="宋体" w:hAnsi="宋体" w:cs="宋体"/>
          <w:b/>
          <w:color w:val="000000"/>
          <w:kern w:val="0"/>
          <w:szCs w:val="21"/>
        </w:rPr>
        <w:t>）</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8</w:t>
      </w:r>
      <w:r>
        <w:rPr>
          <w:rFonts w:hint="eastAsia" w:ascii="宋体" w:hAnsi="宋体" w:cs="Arial"/>
          <w:color w:val="000000"/>
          <w:kern w:val="0"/>
          <w:szCs w:val="21"/>
        </w:rPr>
        <w:t>）施工技术措施项目清单与计价表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9</w:t>
      </w:r>
      <w:r>
        <w:rPr>
          <w:rFonts w:hint="eastAsia" w:ascii="宋体" w:hAnsi="宋体" w:cs="Arial"/>
          <w:color w:val="000000"/>
          <w:kern w:val="0"/>
          <w:szCs w:val="21"/>
        </w:rPr>
        <w:t>）措施项目清单综合单价计算表</w:t>
      </w:r>
    </w:p>
    <w:p>
      <w:pPr>
        <w:widowControl/>
        <w:tabs>
          <w:tab w:val="center" w:pos="4755"/>
          <w:tab w:val="right" w:pos="9070"/>
        </w:tabs>
        <w:adjustRightInd w:val="0"/>
        <w:snapToGrid w:val="0"/>
        <w:spacing w:line="440" w:lineRule="exact"/>
        <w:ind w:firstLine="480" w:firstLineChars="200"/>
        <w:rPr>
          <w:rFonts w:ascii="宋体" w:hAnsi="宋体" w:cs="宋体"/>
          <w:b/>
          <w:color w:val="000000"/>
          <w:kern w:val="0"/>
          <w:szCs w:val="21"/>
        </w:rPr>
      </w:pPr>
      <w:r>
        <w:rPr>
          <w:rFonts w:hint="eastAsia" w:ascii="宋体" w:hAnsi="宋体" w:cs="Arial"/>
          <w:color w:val="000000"/>
          <w:kern w:val="0"/>
          <w:szCs w:val="21"/>
        </w:rPr>
        <w:t>（</w:t>
      </w:r>
      <w:r>
        <w:rPr>
          <w:rFonts w:ascii="宋体" w:hAnsi="宋体" w:cs="Arial"/>
          <w:color w:val="000000"/>
          <w:kern w:val="0"/>
          <w:szCs w:val="21"/>
        </w:rPr>
        <w:t>10</w:t>
      </w:r>
      <w:r>
        <w:rPr>
          <w:rFonts w:hint="eastAsia" w:ascii="宋体" w:hAnsi="宋体" w:cs="Arial"/>
          <w:color w:val="000000"/>
          <w:kern w:val="0"/>
          <w:szCs w:val="21"/>
        </w:rPr>
        <w:t>）措施项目清单综合单价工料机分析表</w:t>
      </w:r>
      <w:r>
        <w:rPr>
          <w:rFonts w:hint="eastAsia" w:ascii="宋体" w:hAnsi="宋体" w:cs="宋体"/>
          <w:b/>
          <w:color w:val="000000"/>
          <w:kern w:val="0"/>
          <w:szCs w:val="21"/>
        </w:rPr>
        <w:t>（</w:t>
      </w:r>
      <w:r>
        <w:rPr>
          <w:rFonts w:hint="eastAsia" w:ascii="宋体" w:hAnsi="宋体" w:cs="宋体"/>
          <w:b/>
          <w:color w:val="000000"/>
          <w:kern w:val="0"/>
          <w:szCs w:val="21"/>
          <w:u w:val="single"/>
        </w:rPr>
        <w:t>投标时仅需提供电子版本，</w:t>
      </w:r>
      <w:r>
        <w:rPr>
          <w:rFonts w:hint="eastAsia" w:ascii="宋体" w:hAnsi="宋体" w:cs="Arial"/>
          <w:b/>
          <w:color w:val="000000"/>
          <w:kern w:val="0"/>
          <w:szCs w:val="21"/>
          <w:u w:val="single"/>
        </w:rPr>
        <w:t>投标人中标后，另提供的投标文件副本四份中需提供书面文档</w:t>
      </w:r>
      <w:r>
        <w:rPr>
          <w:rFonts w:hint="eastAsia" w:ascii="宋体" w:hAnsi="宋体" w:cs="宋体"/>
          <w:b/>
          <w:color w:val="000000"/>
          <w:kern w:val="0"/>
          <w:szCs w:val="21"/>
        </w:rPr>
        <w:t>）</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宋体"/>
          <w:bCs/>
          <w:color w:val="000000"/>
          <w:kern w:val="0"/>
          <w:szCs w:val="21"/>
        </w:rPr>
        <w:t>（</w:t>
      </w:r>
      <w:r>
        <w:rPr>
          <w:rFonts w:ascii="宋体" w:hAnsi="宋体" w:cs="宋体"/>
          <w:bCs/>
          <w:color w:val="000000"/>
          <w:kern w:val="0"/>
          <w:szCs w:val="21"/>
        </w:rPr>
        <w:t>11</w:t>
      </w:r>
      <w:r>
        <w:rPr>
          <w:rFonts w:hint="eastAsia" w:ascii="宋体" w:hAnsi="宋体" w:cs="宋体"/>
          <w:bCs/>
          <w:color w:val="000000"/>
          <w:kern w:val="0"/>
          <w:szCs w:val="21"/>
        </w:rPr>
        <w:t>）</w:t>
      </w:r>
      <w:r>
        <w:rPr>
          <w:rFonts w:hint="eastAsia" w:ascii="宋体" w:hAnsi="宋体" w:cs="Arial"/>
          <w:color w:val="000000"/>
          <w:kern w:val="0"/>
          <w:szCs w:val="21"/>
        </w:rPr>
        <w:t>施工组织措施项目清单与计价表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12</w:t>
      </w:r>
      <w:r>
        <w:rPr>
          <w:rFonts w:hint="eastAsia" w:ascii="宋体" w:hAnsi="宋体" w:cs="Arial"/>
          <w:color w:val="000000"/>
          <w:kern w:val="0"/>
          <w:szCs w:val="21"/>
        </w:rPr>
        <w:t>）其他项目清单与计价汇总表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13</w:t>
      </w:r>
      <w:r>
        <w:rPr>
          <w:rFonts w:hint="eastAsia" w:ascii="宋体" w:hAnsi="宋体" w:cs="Arial"/>
          <w:color w:val="000000"/>
          <w:kern w:val="0"/>
          <w:szCs w:val="21"/>
        </w:rPr>
        <w:t>）计日工报价表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14</w:t>
      </w:r>
      <w:r>
        <w:rPr>
          <w:rFonts w:hint="eastAsia" w:ascii="宋体" w:hAnsi="宋体" w:cs="Arial"/>
          <w:color w:val="000000"/>
          <w:kern w:val="0"/>
          <w:szCs w:val="21"/>
        </w:rPr>
        <w:t>）总承包服务费报价表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15</w:t>
      </w:r>
      <w:r>
        <w:rPr>
          <w:rFonts w:hint="eastAsia" w:ascii="宋体" w:hAnsi="宋体" w:cs="Arial"/>
          <w:color w:val="000000"/>
          <w:kern w:val="0"/>
          <w:szCs w:val="21"/>
        </w:rPr>
        <w:t>）主要工日价格表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16</w:t>
      </w:r>
      <w:r>
        <w:rPr>
          <w:rFonts w:hint="eastAsia" w:ascii="宋体" w:hAnsi="宋体" w:cs="Arial"/>
          <w:color w:val="000000"/>
          <w:kern w:val="0"/>
          <w:szCs w:val="21"/>
        </w:rPr>
        <w:t>）主要材料价格表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17</w:t>
      </w:r>
      <w:r>
        <w:rPr>
          <w:rFonts w:hint="eastAsia" w:ascii="宋体" w:hAnsi="宋体" w:cs="Arial"/>
          <w:color w:val="000000"/>
          <w:kern w:val="0"/>
          <w:szCs w:val="21"/>
        </w:rPr>
        <w:t>）主要机械台班价格表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18</w:t>
      </w:r>
      <w:r>
        <w:rPr>
          <w:rFonts w:hint="eastAsia" w:ascii="宋体" w:hAnsi="宋体" w:cs="Arial"/>
          <w:color w:val="000000"/>
          <w:kern w:val="0"/>
          <w:szCs w:val="21"/>
        </w:rPr>
        <w:t>）安全防护、文明施工措施项目费分析表</w:t>
      </w:r>
    </w:p>
    <w:p>
      <w:pPr>
        <w:widowControl/>
        <w:tabs>
          <w:tab w:val="center" w:pos="4755"/>
          <w:tab w:val="right" w:pos="9070"/>
        </w:tabs>
        <w:adjustRightInd w:val="0"/>
        <w:snapToGrid w:val="0"/>
        <w:spacing w:line="440" w:lineRule="exact"/>
        <w:ind w:firstLine="480" w:firstLineChars="200"/>
        <w:rPr>
          <w:rFonts w:ascii="宋体" w:hAnsi="宋体" w:cs="Arial"/>
          <w:color w:val="000000"/>
          <w:kern w:val="0"/>
          <w:szCs w:val="21"/>
        </w:rPr>
      </w:pPr>
      <w:r>
        <w:rPr>
          <w:rFonts w:hint="eastAsia" w:ascii="宋体" w:hAnsi="宋体" w:cs="Arial"/>
          <w:color w:val="000000"/>
          <w:kern w:val="0"/>
          <w:szCs w:val="21"/>
        </w:rPr>
        <w:t>（</w:t>
      </w:r>
      <w:r>
        <w:rPr>
          <w:rFonts w:ascii="宋体" w:hAnsi="宋体" w:cs="Arial"/>
          <w:color w:val="000000"/>
          <w:kern w:val="0"/>
          <w:szCs w:val="21"/>
        </w:rPr>
        <w:t>19</w:t>
      </w:r>
      <w:r>
        <w:rPr>
          <w:rFonts w:hint="eastAsia" w:ascii="宋体" w:hAnsi="宋体" w:cs="Arial"/>
          <w:color w:val="000000"/>
          <w:kern w:val="0"/>
          <w:szCs w:val="21"/>
        </w:rPr>
        <w:t>）主要材料品牌一览表</w:t>
      </w:r>
    </w:p>
    <w:p>
      <w:pPr>
        <w:pStyle w:val="7"/>
        <w:spacing w:after="120" w:afterLines="50" w:line="360" w:lineRule="auto"/>
        <w:jc w:val="center"/>
        <w:rPr>
          <w:rFonts w:hAnsi="宋体" w:cs="宋体"/>
          <w:color w:val="000000"/>
        </w:rPr>
      </w:pPr>
    </w:p>
    <w:bookmarkEnd w:id="92"/>
    <w:bookmarkEnd w:id="93"/>
    <w:bookmarkEnd w:id="94"/>
    <w:bookmarkEnd w:id="95"/>
    <w:bookmarkEnd w:id="96"/>
    <w:p>
      <w:pPr>
        <w:snapToGrid w:val="0"/>
        <w:spacing w:before="120" w:beforeLines="50" w:line="360" w:lineRule="exact"/>
        <w:ind w:left="1134"/>
        <w:rPr>
          <w:rFonts w:ascii="宋体" w:hAnsi="宋体" w:cs="宋体"/>
          <w:color w:val="000000"/>
          <w:sz w:val="22"/>
        </w:rPr>
      </w:pPr>
    </w:p>
    <w:p>
      <w:pPr>
        <w:spacing w:line="360" w:lineRule="auto"/>
        <w:jc w:val="center"/>
        <w:rPr>
          <w:rFonts w:ascii="宋体" w:hAnsi="宋体" w:cs="Calibri"/>
          <w:color w:val="000000"/>
          <w:sz w:val="32"/>
          <w:szCs w:val="32"/>
        </w:rPr>
      </w:pPr>
      <w:r>
        <w:rPr>
          <w:rFonts w:ascii="宋体" w:hAnsi="宋体" w:cs="宋体"/>
          <w:color w:val="000000"/>
          <w:sz w:val="22"/>
        </w:rPr>
        <w:br w:type="page"/>
      </w:r>
      <w:r>
        <w:rPr>
          <w:rFonts w:hint="eastAsia" w:ascii="宋体" w:hAnsi="宋体" w:cs="Calibri"/>
          <w:color w:val="000000"/>
          <w:sz w:val="32"/>
          <w:szCs w:val="32"/>
        </w:rPr>
        <w:t>五、施工组织设计</w:t>
      </w:r>
    </w:p>
    <w:p>
      <w:pPr>
        <w:spacing w:line="440" w:lineRule="exact"/>
        <w:jc w:val="center"/>
        <w:rPr>
          <w:rFonts w:ascii="宋体" w:hAnsi="宋体" w:cs="Calibri"/>
          <w:color w:val="000000"/>
          <w:sz w:val="32"/>
          <w:szCs w:val="32"/>
        </w:rPr>
      </w:pPr>
    </w:p>
    <w:p>
      <w:pPr>
        <w:tabs>
          <w:tab w:val="left" w:pos="720"/>
        </w:tabs>
        <w:spacing w:line="440" w:lineRule="exact"/>
        <w:ind w:firstLine="440" w:firstLineChars="200"/>
        <w:rPr>
          <w:rFonts w:ascii="宋体" w:hAnsi="宋体"/>
          <w:color w:val="000000"/>
          <w:sz w:val="22"/>
        </w:rPr>
      </w:pPr>
      <w:r>
        <w:rPr>
          <w:rFonts w:ascii="宋体" w:hAnsi="宋体"/>
          <w:color w:val="000000"/>
          <w:sz w:val="22"/>
        </w:rPr>
        <w:t xml:space="preserve">1. </w:t>
      </w:r>
      <w:r>
        <w:rPr>
          <w:rFonts w:ascii="宋体" w:hAnsi="宋体"/>
          <w:color w:val="000000"/>
          <w:sz w:val="22"/>
        </w:rPr>
        <w:tab/>
      </w:r>
      <w:r>
        <w:rPr>
          <w:rFonts w:hint="eastAsia" w:ascii="宋体" w:hAnsi="宋体"/>
          <w:color w:val="000000"/>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color w:val="000000"/>
          <w:sz w:val="22"/>
        </w:rPr>
      </w:pPr>
      <w:r>
        <w:rPr>
          <w:rFonts w:ascii="宋体" w:hAnsi="宋体"/>
          <w:color w:val="000000"/>
          <w:sz w:val="22"/>
        </w:rPr>
        <w:t xml:space="preserve">2. </w:t>
      </w:r>
      <w:r>
        <w:rPr>
          <w:rFonts w:ascii="宋体" w:hAnsi="宋体"/>
          <w:color w:val="000000"/>
          <w:sz w:val="22"/>
        </w:rPr>
        <w:tab/>
      </w:r>
      <w:r>
        <w:rPr>
          <w:rFonts w:hint="eastAsia" w:ascii="宋体" w:hAnsi="宋体"/>
          <w:color w:val="000000"/>
          <w:sz w:val="22"/>
        </w:rPr>
        <w:t>施工组织设计除采用文字表述外可附下列图表，图表及格式要求附后。</w:t>
      </w:r>
    </w:p>
    <w:p>
      <w:pPr>
        <w:tabs>
          <w:tab w:val="left" w:pos="720"/>
        </w:tabs>
        <w:spacing w:line="440" w:lineRule="exact"/>
        <w:ind w:firstLine="792" w:firstLineChars="360"/>
        <w:rPr>
          <w:rFonts w:ascii="宋体" w:hAnsi="宋体"/>
          <w:color w:val="000000"/>
          <w:sz w:val="22"/>
        </w:rPr>
      </w:pPr>
      <w:r>
        <w:rPr>
          <w:rFonts w:hint="eastAsia" w:ascii="宋体" w:hAnsi="宋体"/>
          <w:color w:val="000000"/>
          <w:sz w:val="22"/>
        </w:rPr>
        <w:t>附表一</w:t>
      </w:r>
      <w:r>
        <w:rPr>
          <w:rFonts w:ascii="宋体" w:hAnsi="宋体"/>
          <w:color w:val="000000"/>
          <w:sz w:val="22"/>
        </w:rPr>
        <w:t xml:space="preserve">  </w:t>
      </w:r>
      <w:r>
        <w:rPr>
          <w:rFonts w:hint="eastAsia" w:ascii="宋体" w:hAnsi="宋体"/>
          <w:color w:val="000000"/>
          <w:sz w:val="22"/>
        </w:rPr>
        <w:t>拟投入本标段的主要施工设备表</w:t>
      </w:r>
    </w:p>
    <w:p>
      <w:pPr>
        <w:tabs>
          <w:tab w:val="left" w:pos="720"/>
        </w:tabs>
        <w:spacing w:line="440" w:lineRule="exact"/>
        <w:ind w:firstLine="792" w:firstLineChars="360"/>
        <w:rPr>
          <w:rFonts w:ascii="宋体" w:hAnsi="宋体"/>
          <w:color w:val="000000"/>
          <w:sz w:val="22"/>
        </w:rPr>
      </w:pPr>
      <w:r>
        <w:rPr>
          <w:rFonts w:hint="eastAsia" w:ascii="宋体" w:hAnsi="宋体"/>
          <w:color w:val="000000"/>
          <w:sz w:val="22"/>
        </w:rPr>
        <w:t>附表二</w:t>
      </w:r>
      <w:r>
        <w:rPr>
          <w:rFonts w:ascii="宋体" w:hAnsi="宋体"/>
          <w:color w:val="000000"/>
          <w:sz w:val="22"/>
        </w:rPr>
        <w:t xml:space="preserve">  </w:t>
      </w:r>
      <w:r>
        <w:rPr>
          <w:rFonts w:hint="eastAsia" w:ascii="宋体" w:hAnsi="宋体"/>
          <w:color w:val="000000"/>
          <w:sz w:val="22"/>
        </w:rPr>
        <w:t>拟配备本标段的试验和检测仪器设备表</w:t>
      </w:r>
    </w:p>
    <w:p>
      <w:pPr>
        <w:tabs>
          <w:tab w:val="left" w:pos="720"/>
        </w:tabs>
        <w:spacing w:line="440" w:lineRule="exact"/>
        <w:ind w:firstLine="792" w:firstLineChars="360"/>
        <w:rPr>
          <w:rFonts w:ascii="宋体" w:hAnsi="宋体"/>
          <w:color w:val="000000"/>
          <w:sz w:val="22"/>
        </w:rPr>
      </w:pPr>
      <w:r>
        <w:rPr>
          <w:rFonts w:hint="eastAsia" w:ascii="宋体" w:hAnsi="宋体"/>
          <w:color w:val="000000"/>
          <w:sz w:val="22"/>
        </w:rPr>
        <w:t>附表三</w:t>
      </w:r>
      <w:r>
        <w:rPr>
          <w:rFonts w:ascii="宋体" w:hAnsi="宋体"/>
          <w:color w:val="000000"/>
          <w:sz w:val="22"/>
        </w:rPr>
        <w:t xml:space="preserve">  </w:t>
      </w:r>
      <w:r>
        <w:rPr>
          <w:rFonts w:hint="eastAsia" w:ascii="宋体" w:hAnsi="宋体"/>
          <w:color w:val="000000"/>
          <w:sz w:val="22"/>
        </w:rPr>
        <w:t>劳动力计划表</w:t>
      </w:r>
    </w:p>
    <w:p>
      <w:pPr>
        <w:tabs>
          <w:tab w:val="left" w:pos="720"/>
        </w:tabs>
        <w:spacing w:line="440" w:lineRule="exact"/>
        <w:ind w:firstLine="792" w:firstLineChars="360"/>
        <w:rPr>
          <w:rFonts w:ascii="宋体" w:hAnsi="宋体"/>
          <w:color w:val="000000"/>
          <w:sz w:val="22"/>
        </w:rPr>
      </w:pPr>
      <w:r>
        <w:rPr>
          <w:rFonts w:hint="eastAsia" w:ascii="宋体" w:hAnsi="宋体"/>
          <w:color w:val="000000"/>
          <w:sz w:val="22"/>
        </w:rPr>
        <w:t>附表四</w:t>
      </w:r>
      <w:r>
        <w:rPr>
          <w:rFonts w:ascii="宋体" w:hAnsi="宋体"/>
          <w:color w:val="000000"/>
          <w:sz w:val="22"/>
        </w:rPr>
        <w:t xml:space="preserve">  </w:t>
      </w:r>
      <w:r>
        <w:rPr>
          <w:rFonts w:hint="eastAsia" w:ascii="宋体" w:hAnsi="宋体"/>
          <w:color w:val="000000"/>
          <w:sz w:val="22"/>
        </w:rPr>
        <w:t>计划开、竣工日期和施工进度网络图</w:t>
      </w:r>
    </w:p>
    <w:p>
      <w:pPr>
        <w:tabs>
          <w:tab w:val="left" w:pos="720"/>
        </w:tabs>
        <w:spacing w:line="440" w:lineRule="exact"/>
        <w:ind w:firstLine="792" w:firstLineChars="360"/>
        <w:rPr>
          <w:rFonts w:ascii="宋体" w:hAnsi="宋体"/>
          <w:color w:val="000000"/>
          <w:sz w:val="22"/>
        </w:rPr>
      </w:pPr>
      <w:r>
        <w:rPr>
          <w:rFonts w:hint="eastAsia" w:ascii="宋体" w:hAnsi="宋体"/>
          <w:color w:val="000000"/>
          <w:sz w:val="22"/>
        </w:rPr>
        <w:t>附表五</w:t>
      </w:r>
      <w:r>
        <w:rPr>
          <w:rFonts w:ascii="宋体" w:hAnsi="宋体"/>
          <w:color w:val="000000"/>
          <w:sz w:val="22"/>
        </w:rPr>
        <w:t xml:space="preserve">  </w:t>
      </w:r>
      <w:r>
        <w:rPr>
          <w:rFonts w:hint="eastAsia" w:ascii="宋体" w:hAnsi="宋体"/>
          <w:color w:val="000000"/>
          <w:sz w:val="22"/>
        </w:rPr>
        <w:t>施工总平面图</w:t>
      </w:r>
    </w:p>
    <w:p>
      <w:pPr>
        <w:widowControl/>
        <w:jc w:val="left"/>
        <w:rPr>
          <w:rFonts w:ascii="宋体" w:hAnsi="宋体"/>
          <w:color w:val="000000"/>
          <w:szCs w:val="23"/>
        </w:rPr>
      </w:pPr>
      <w:r>
        <w:rPr>
          <w:rFonts w:ascii="宋体" w:hAnsi="宋体" w:cs="宋体"/>
          <w:b/>
          <w:color w:val="000000"/>
          <w:sz w:val="32"/>
          <w:szCs w:val="32"/>
        </w:rPr>
        <w:br w:type="page"/>
      </w:r>
      <w:bookmarkStart w:id="97" w:name="_Toc152045797"/>
      <w:bookmarkStart w:id="98" w:name="_Toc144974865"/>
      <w:bookmarkStart w:id="99" w:name="_Toc152042586"/>
      <w:bookmarkStart w:id="100" w:name="_Toc11710"/>
      <w:bookmarkStart w:id="101" w:name="_Toc246392155"/>
      <w:bookmarkStart w:id="102" w:name="_Toc179632817"/>
      <w:r>
        <w:rPr>
          <w:rFonts w:hint="eastAsia" w:ascii="宋体" w:hAnsi="宋体"/>
          <w:color w:val="000000"/>
        </w:rPr>
        <w:t>附表一：</w:t>
      </w:r>
      <w:r>
        <w:rPr>
          <w:rFonts w:hint="eastAsia" w:ascii="宋体" w:hAnsi="宋体"/>
          <w:color w:val="000000"/>
          <w:szCs w:val="23"/>
        </w:rPr>
        <w:t>拟投入本标段的主要施工设备表</w:t>
      </w:r>
      <w:bookmarkEnd w:id="97"/>
      <w:bookmarkEnd w:id="98"/>
      <w:bookmarkEnd w:id="99"/>
      <w:bookmarkEnd w:id="100"/>
      <w:bookmarkEnd w:id="101"/>
      <w:bookmarkEnd w:id="102"/>
    </w:p>
    <w:p>
      <w:pPr>
        <w:spacing w:line="440" w:lineRule="exact"/>
        <w:rPr>
          <w:rFonts w:ascii="宋体" w:hAnsi="宋体"/>
          <w:color w:val="000000"/>
          <w:sz w:val="20"/>
          <w:szCs w:val="20"/>
        </w:rPr>
      </w:pPr>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color w:val="000000"/>
                <w:szCs w:val="21"/>
              </w:rPr>
            </w:pPr>
            <w:r>
              <w:rPr>
                <w:rFonts w:hint="eastAsia" w:ascii="宋体" w:hAnsi="宋体"/>
                <w:color w:val="000000"/>
                <w:szCs w:val="21"/>
              </w:rPr>
              <w:t>序号</w:t>
            </w:r>
          </w:p>
        </w:tc>
        <w:tc>
          <w:tcPr>
            <w:tcW w:w="1183" w:type="dxa"/>
            <w:vAlign w:val="center"/>
          </w:tcPr>
          <w:p>
            <w:pPr>
              <w:spacing w:line="440" w:lineRule="exact"/>
              <w:jc w:val="center"/>
              <w:rPr>
                <w:rFonts w:ascii="宋体" w:hAnsi="宋体"/>
                <w:color w:val="000000"/>
                <w:szCs w:val="21"/>
              </w:rPr>
            </w:pPr>
            <w:r>
              <w:rPr>
                <w:rFonts w:hint="eastAsia" w:ascii="宋体" w:hAnsi="宋体"/>
                <w:color w:val="000000"/>
                <w:szCs w:val="21"/>
              </w:rPr>
              <w:t>设备名称</w:t>
            </w:r>
          </w:p>
        </w:tc>
        <w:tc>
          <w:tcPr>
            <w:tcW w:w="908" w:type="dxa"/>
            <w:vAlign w:val="center"/>
          </w:tcPr>
          <w:p>
            <w:pPr>
              <w:spacing w:line="440" w:lineRule="exact"/>
              <w:jc w:val="center"/>
              <w:rPr>
                <w:rFonts w:ascii="宋体" w:hAnsi="宋体"/>
                <w:color w:val="000000"/>
                <w:szCs w:val="21"/>
              </w:rPr>
            </w:pPr>
            <w:r>
              <w:rPr>
                <w:rFonts w:hint="eastAsia" w:ascii="宋体" w:hAnsi="宋体"/>
                <w:color w:val="000000"/>
                <w:szCs w:val="21"/>
              </w:rPr>
              <w:t>型号</w:t>
            </w:r>
          </w:p>
          <w:p>
            <w:pPr>
              <w:spacing w:line="440" w:lineRule="exact"/>
              <w:jc w:val="center"/>
              <w:rPr>
                <w:rFonts w:ascii="宋体" w:hAnsi="宋体"/>
                <w:color w:val="000000"/>
                <w:szCs w:val="21"/>
              </w:rPr>
            </w:pPr>
            <w:r>
              <w:rPr>
                <w:rFonts w:hint="eastAsia" w:ascii="宋体" w:hAnsi="宋体"/>
                <w:color w:val="000000"/>
                <w:szCs w:val="21"/>
              </w:rPr>
              <w:t>规格</w:t>
            </w:r>
          </w:p>
        </w:tc>
        <w:tc>
          <w:tcPr>
            <w:tcW w:w="880" w:type="dxa"/>
            <w:vAlign w:val="center"/>
          </w:tcPr>
          <w:p>
            <w:pPr>
              <w:spacing w:line="440" w:lineRule="exact"/>
              <w:jc w:val="center"/>
              <w:rPr>
                <w:rFonts w:ascii="宋体" w:hAnsi="宋体"/>
                <w:color w:val="000000"/>
                <w:szCs w:val="21"/>
              </w:rPr>
            </w:pPr>
            <w:r>
              <w:rPr>
                <w:rFonts w:hint="eastAsia" w:ascii="宋体" w:hAnsi="宋体"/>
                <w:color w:val="000000"/>
                <w:szCs w:val="21"/>
              </w:rPr>
              <w:t>数量</w:t>
            </w:r>
          </w:p>
        </w:tc>
        <w:tc>
          <w:tcPr>
            <w:tcW w:w="802" w:type="dxa"/>
            <w:vAlign w:val="center"/>
          </w:tcPr>
          <w:p>
            <w:pPr>
              <w:spacing w:line="440" w:lineRule="exact"/>
              <w:jc w:val="center"/>
              <w:rPr>
                <w:rFonts w:ascii="宋体" w:hAnsi="宋体"/>
                <w:color w:val="000000"/>
                <w:szCs w:val="21"/>
              </w:rPr>
            </w:pPr>
            <w:r>
              <w:rPr>
                <w:rFonts w:hint="eastAsia" w:ascii="宋体" w:hAnsi="宋体"/>
                <w:color w:val="000000"/>
                <w:szCs w:val="21"/>
              </w:rPr>
              <w:t>国别</w:t>
            </w:r>
          </w:p>
          <w:p>
            <w:pPr>
              <w:spacing w:line="440" w:lineRule="exact"/>
              <w:jc w:val="center"/>
              <w:rPr>
                <w:rFonts w:ascii="宋体" w:hAnsi="宋体"/>
                <w:color w:val="000000"/>
                <w:szCs w:val="21"/>
              </w:rPr>
            </w:pPr>
            <w:r>
              <w:rPr>
                <w:rFonts w:hint="eastAsia" w:ascii="宋体" w:hAnsi="宋体"/>
                <w:color w:val="000000"/>
                <w:szCs w:val="21"/>
              </w:rPr>
              <w:t>产地</w:t>
            </w:r>
          </w:p>
        </w:tc>
        <w:tc>
          <w:tcPr>
            <w:tcW w:w="879" w:type="dxa"/>
            <w:vAlign w:val="center"/>
          </w:tcPr>
          <w:p>
            <w:pPr>
              <w:spacing w:line="440" w:lineRule="exact"/>
              <w:jc w:val="center"/>
              <w:rPr>
                <w:rFonts w:ascii="宋体" w:hAnsi="宋体"/>
                <w:color w:val="000000"/>
                <w:szCs w:val="21"/>
              </w:rPr>
            </w:pPr>
            <w:r>
              <w:rPr>
                <w:rFonts w:hint="eastAsia" w:ascii="宋体" w:hAnsi="宋体"/>
                <w:color w:val="000000"/>
                <w:szCs w:val="21"/>
              </w:rPr>
              <w:t>制造</w:t>
            </w:r>
          </w:p>
          <w:p>
            <w:pPr>
              <w:spacing w:line="440" w:lineRule="exact"/>
              <w:jc w:val="center"/>
              <w:rPr>
                <w:rFonts w:ascii="宋体" w:hAnsi="宋体"/>
                <w:color w:val="000000"/>
                <w:szCs w:val="21"/>
              </w:rPr>
            </w:pPr>
            <w:r>
              <w:rPr>
                <w:rFonts w:hint="eastAsia" w:ascii="宋体" w:hAnsi="宋体"/>
                <w:color w:val="000000"/>
                <w:szCs w:val="21"/>
              </w:rPr>
              <w:t>年份</w:t>
            </w:r>
          </w:p>
        </w:tc>
        <w:tc>
          <w:tcPr>
            <w:tcW w:w="903" w:type="dxa"/>
            <w:vAlign w:val="center"/>
          </w:tcPr>
          <w:p>
            <w:pPr>
              <w:spacing w:line="440" w:lineRule="exact"/>
              <w:jc w:val="center"/>
              <w:rPr>
                <w:rFonts w:ascii="宋体" w:hAnsi="宋体"/>
                <w:color w:val="000000"/>
                <w:szCs w:val="21"/>
              </w:rPr>
            </w:pPr>
            <w:r>
              <w:rPr>
                <w:rFonts w:hint="eastAsia" w:ascii="宋体" w:hAnsi="宋体"/>
                <w:color w:val="000000"/>
                <w:szCs w:val="21"/>
              </w:rPr>
              <w:t>额定功率（</w:t>
            </w:r>
            <w:r>
              <w:rPr>
                <w:rFonts w:ascii="宋体" w:hAnsi="宋体"/>
                <w:color w:val="000000"/>
                <w:szCs w:val="21"/>
              </w:rPr>
              <w:t>KW</w:t>
            </w:r>
            <w:r>
              <w:rPr>
                <w:rFonts w:hint="eastAsia" w:ascii="宋体" w:hAnsi="宋体"/>
                <w:color w:val="000000"/>
                <w:szCs w:val="21"/>
              </w:rPr>
              <w:t>）</w:t>
            </w:r>
          </w:p>
        </w:tc>
        <w:tc>
          <w:tcPr>
            <w:tcW w:w="1043" w:type="dxa"/>
            <w:vAlign w:val="center"/>
          </w:tcPr>
          <w:p>
            <w:pPr>
              <w:spacing w:line="440" w:lineRule="exact"/>
              <w:jc w:val="center"/>
              <w:rPr>
                <w:rFonts w:ascii="宋体" w:hAnsi="宋体"/>
                <w:color w:val="000000"/>
                <w:szCs w:val="21"/>
              </w:rPr>
            </w:pPr>
            <w:r>
              <w:rPr>
                <w:rFonts w:hint="eastAsia" w:ascii="宋体" w:hAnsi="宋体"/>
                <w:color w:val="000000"/>
                <w:szCs w:val="21"/>
              </w:rPr>
              <w:t>生产</w:t>
            </w:r>
          </w:p>
          <w:p>
            <w:pPr>
              <w:spacing w:line="440" w:lineRule="exact"/>
              <w:jc w:val="center"/>
              <w:rPr>
                <w:rFonts w:ascii="宋体" w:hAnsi="宋体"/>
                <w:color w:val="000000"/>
                <w:szCs w:val="21"/>
              </w:rPr>
            </w:pPr>
            <w:r>
              <w:rPr>
                <w:rFonts w:hint="eastAsia" w:ascii="宋体" w:hAnsi="宋体"/>
                <w:color w:val="000000"/>
                <w:szCs w:val="21"/>
              </w:rPr>
              <w:t>能力</w:t>
            </w:r>
          </w:p>
        </w:tc>
        <w:tc>
          <w:tcPr>
            <w:tcW w:w="940" w:type="dxa"/>
            <w:vAlign w:val="center"/>
          </w:tcPr>
          <w:p>
            <w:pPr>
              <w:spacing w:line="440" w:lineRule="exact"/>
              <w:jc w:val="center"/>
              <w:rPr>
                <w:rFonts w:ascii="宋体" w:hAnsi="宋体"/>
                <w:color w:val="000000"/>
                <w:szCs w:val="21"/>
              </w:rPr>
            </w:pPr>
            <w:r>
              <w:rPr>
                <w:rFonts w:hint="eastAsia" w:ascii="宋体" w:hAnsi="宋体"/>
                <w:color w:val="000000"/>
                <w:szCs w:val="21"/>
              </w:rPr>
              <w:t>用于施工部位</w:t>
            </w:r>
          </w:p>
        </w:tc>
        <w:tc>
          <w:tcPr>
            <w:tcW w:w="656" w:type="dxa"/>
            <w:vAlign w:val="center"/>
          </w:tcPr>
          <w:p>
            <w:pPr>
              <w:spacing w:line="440" w:lineRule="exact"/>
              <w:jc w:val="center"/>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color w:val="000000"/>
                <w:szCs w:val="21"/>
              </w:rPr>
            </w:pPr>
          </w:p>
        </w:tc>
        <w:tc>
          <w:tcPr>
            <w:tcW w:w="1183" w:type="dxa"/>
            <w:vAlign w:val="center"/>
          </w:tcPr>
          <w:p>
            <w:pPr>
              <w:spacing w:line="440" w:lineRule="exact"/>
              <w:jc w:val="center"/>
              <w:rPr>
                <w:rFonts w:ascii="宋体" w:hAnsi="宋体"/>
                <w:color w:val="000000"/>
                <w:szCs w:val="21"/>
              </w:rPr>
            </w:pPr>
          </w:p>
        </w:tc>
        <w:tc>
          <w:tcPr>
            <w:tcW w:w="908" w:type="dxa"/>
            <w:vAlign w:val="center"/>
          </w:tcPr>
          <w:p>
            <w:pPr>
              <w:spacing w:line="440" w:lineRule="exact"/>
              <w:jc w:val="center"/>
              <w:rPr>
                <w:rFonts w:ascii="宋体" w:hAnsi="宋体"/>
                <w:color w:val="000000"/>
                <w:szCs w:val="21"/>
              </w:rPr>
            </w:pPr>
          </w:p>
        </w:tc>
        <w:tc>
          <w:tcPr>
            <w:tcW w:w="880" w:type="dxa"/>
            <w:vAlign w:val="center"/>
          </w:tcPr>
          <w:p>
            <w:pPr>
              <w:spacing w:line="440" w:lineRule="exact"/>
              <w:jc w:val="center"/>
              <w:rPr>
                <w:rFonts w:ascii="宋体" w:hAnsi="宋体"/>
                <w:color w:val="000000"/>
                <w:szCs w:val="21"/>
              </w:rPr>
            </w:pPr>
          </w:p>
        </w:tc>
        <w:tc>
          <w:tcPr>
            <w:tcW w:w="802" w:type="dxa"/>
            <w:vAlign w:val="center"/>
          </w:tcPr>
          <w:p>
            <w:pPr>
              <w:spacing w:line="440" w:lineRule="exact"/>
              <w:jc w:val="center"/>
              <w:rPr>
                <w:rFonts w:ascii="宋体" w:hAnsi="宋体"/>
                <w:color w:val="000000"/>
                <w:szCs w:val="21"/>
              </w:rPr>
            </w:pPr>
          </w:p>
        </w:tc>
        <w:tc>
          <w:tcPr>
            <w:tcW w:w="879" w:type="dxa"/>
            <w:vAlign w:val="center"/>
          </w:tcPr>
          <w:p>
            <w:pPr>
              <w:spacing w:line="440" w:lineRule="exact"/>
              <w:jc w:val="center"/>
              <w:rPr>
                <w:rFonts w:ascii="宋体" w:hAnsi="宋体"/>
                <w:color w:val="000000"/>
                <w:szCs w:val="21"/>
              </w:rPr>
            </w:pPr>
          </w:p>
        </w:tc>
        <w:tc>
          <w:tcPr>
            <w:tcW w:w="903" w:type="dxa"/>
            <w:vAlign w:val="center"/>
          </w:tcPr>
          <w:p>
            <w:pPr>
              <w:spacing w:line="440" w:lineRule="exact"/>
              <w:jc w:val="center"/>
              <w:rPr>
                <w:rFonts w:ascii="宋体" w:hAnsi="宋体"/>
                <w:color w:val="000000"/>
                <w:szCs w:val="21"/>
              </w:rPr>
            </w:pPr>
          </w:p>
        </w:tc>
        <w:tc>
          <w:tcPr>
            <w:tcW w:w="1043" w:type="dxa"/>
            <w:vAlign w:val="center"/>
          </w:tcPr>
          <w:p>
            <w:pPr>
              <w:spacing w:line="440" w:lineRule="exact"/>
              <w:jc w:val="center"/>
              <w:rPr>
                <w:rFonts w:ascii="宋体" w:hAnsi="宋体"/>
                <w:color w:val="000000"/>
                <w:szCs w:val="21"/>
              </w:rPr>
            </w:pPr>
          </w:p>
        </w:tc>
        <w:tc>
          <w:tcPr>
            <w:tcW w:w="940" w:type="dxa"/>
            <w:vAlign w:val="center"/>
          </w:tcPr>
          <w:p>
            <w:pPr>
              <w:spacing w:line="440" w:lineRule="exact"/>
              <w:jc w:val="center"/>
              <w:rPr>
                <w:rFonts w:ascii="宋体" w:hAnsi="宋体"/>
                <w:color w:val="000000"/>
                <w:szCs w:val="21"/>
              </w:rPr>
            </w:pPr>
          </w:p>
        </w:tc>
        <w:tc>
          <w:tcPr>
            <w:tcW w:w="656" w:type="dxa"/>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color w:val="000000"/>
                <w:szCs w:val="21"/>
              </w:rPr>
            </w:pPr>
          </w:p>
        </w:tc>
        <w:tc>
          <w:tcPr>
            <w:tcW w:w="1183" w:type="dxa"/>
            <w:vAlign w:val="center"/>
          </w:tcPr>
          <w:p>
            <w:pPr>
              <w:spacing w:line="440" w:lineRule="exact"/>
              <w:jc w:val="center"/>
              <w:rPr>
                <w:rFonts w:ascii="宋体" w:hAnsi="宋体"/>
                <w:color w:val="000000"/>
                <w:szCs w:val="21"/>
              </w:rPr>
            </w:pPr>
          </w:p>
        </w:tc>
        <w:tc>
          <w:tcPr>
            <w:tcW w:w="908" w:type="dxa"/>
            <w:vAlign w:val="center"/>
          </w:tcPr>
          <w:p>
            <w:pPr>
              <w:spacing w:line="440" w:lineRule="exact"/>
              <w:jc w:val="center"/>
              <w:rPr>
                <w:rFonts w:ascii="宋体" w:hAnsi="宋体"/>
                <w:color w:val="000000"/>
                <w:szCs w:val="21"/>
              </w:rPr>
            </w:pPr>
          </w:p>
        </w:tc>
        <w:tc>
          <w:tcPr>
            <w:tcW w:w="880" w:type="dxa"/>
            <w:vAlign w:val="center"/>
          </w:tcPr>
          <w:p>
            <w:pPr>
              <w:spacing w:line="440" w:lineRule="exact"/>
              <w:jc w:val="center"/>
              <w:rPr>
                <w:rFonts w:ascii="宋体" w:hAnsi="宋体"/>
                <w:color w:val="000000"/>
                <w:szCs w:val="21"/>
              </w:rPr>
            </w:pPr>
          </w:p>
        </w:tc>
        <w:tc>
          <w:tcPr>
            <w:tcW w:w="802" w:type="dxa"/>
            <w:vAlign w:val="center"/>
          </w:tcPr>
          <w:p>
            <w:pPr>
              <w:spacing w:line="440" w:lineRule="exact"/>
              <w:jc w:val="center"/>
              <w:rPr>
                <w:rFonts w:ascii="宋体" w:hAnsi="宋体"/>
                <w:color w:val="000000"/>
                <w:szCs w:val="21"/>
              </w:rPr>
            </w:pPr>
          </w:p>
        </w:tc>
        <w:tc>
          <w:tcPr>
            <w:tcW w:w="879" w:type="dxa"/>
            <w:vAlign w:val="center"/>
          </w:tcPr>
          <w:p>
            <w:pPr>
              <w:spacing w:line="440" w:lineRule="exact"/>
              <w:jc w:val="center"/>
              <w:rPr>
                <w:rFonts w:ascii="宋体" w:hAnsi="宋体"/>
                <w:color w:val="000000"/>
                <w:szCs w:val="21"/>
              </w:rPr>
            </w:pPr>
          </w:p>
        </w:tc>
        <w:tc>
          <w:tcPr>
            <w:tcW w:w="903" w:type="dxa"/>
            <w:vAlign w:val="center"/>
          </w:tcPr>
          <w:p>
            <w:pPr>
              <w:spacing w:line="440" w:lineRule="exact"/>
              <w:jc w:val="center"/>
              <w:rPr>
                <w:rFonts w:ascii="宋体" w:hAnsi="宋体"/>
                <w:color w:val="000000"/>
                <w:szCs w:val="21"/>
              </w:rPr>
            </w:pPr>
          </w:p>
        </w:tc>
        <w:tc>
          <w:tcPr>
            <w:tcW w:w="1043" w:type="dxa"/>
            <w:vAlign w:val="center"/>
          </w:tcPr>
          <w:p>
            <w:pPr>
              <w:spacing w:line="440" w:lineRule="exact"/>
              <w:jc w:val="center"/>
              <w:rPr>
                <w:rFonts w:ascii="宋体" w:hAnsi="宋体"/>
                <w:color w:val="000000"/>
                <w:szCs w:val="21"/>
              </w:rPr>
            </w:pPr>
          </w:p>
        </w:tc>
        <w:tc>
          <w:tcPr>
            <w:tcW w:w="940" w:type="dxa"/>
            <w:vAlign w:val="center"/>
          </w:tcPr>
          <w:p>
            <w:pPr>
              <w:spacing w:line="440" w:lineRule="exact"/>
              <w:jc w:val="center"/>
              <w:rPr>
                <w:rFonts w:ascii="宋体" w:hAnsi="宋体"/>
                <w:color w:val="000000"/>
                <w:szCs w:val="21"/>
              </w:rPr>
            </w:pPr>
          </w:p>
        </w:tc>
        <w:tc>
          <w:tcPr>
            <w:tcW w:w="656" w:type="dxa"/>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color w:val="000000"/>
                <w:szCs w:val="21"/>
              </w:rPr>
            </w:pPr>
          </w:p>
        </w:tc>
        <w:tc>
          <w:tcPr>
            <w:tcW w:w="1183" w:type="dxa"/>
          </w:tcPr>
          <w:p>
            <w:pPr>
              <w:spacing w:line="440" w:lineRule="exact"/>
              <w:jc w:val="center"/>
              <w:rPr>
                <w:rFonts w:ascii="宋体" w:hAnsi="宋体"/>
                <w:color w:val="000000"/>
                <w:szCs w:val="21"/>
              </w:rPr>
            </w:pPr>
          </w:p>
        </w:tc>
        <w:tc>
          <w:tcPr>
            <w:tcW w:w="908" w:type="dxa"/>
          </w:tcPr>
          <w:p>
            <w:pPr>
              <w:spacing w:line="440" w:lineRule="exact"/>
              <w:jc w:val="center"/>
              <w:rPr>
                <w:rFonts w:ascii="宋体" w:hAnsi="宋体"/>
                <w:color w:val="000000"/>
                <w:szCs w:val="21"/>
              </w:rPr>
            </w:pPr>
          </w:p>
        </w:tc>
        <w:tc>
          <w:tcPr>
            <w:tcW w:w="880" w:type="dxa"/>
          </w:tcPr>
          <w:p>
            <w:pPr>
              <w:spacing w:line="440" w:lineRule="exact"/>
              <w:jc w:val="center"/>
              <w:rPr>
                <w:rFonts w:ascii="宋体" w:hAnsi="宋体"/>
                <w:color w:val="000000"/>
                <w:szCs w:val="21"/>
              </w:rPr>
            </w:pPr>
          </w:p>
        </w:tc>
        <w:tc>
          <w:tcPr>
            <w:tcW w:w="802" w:type="dxa"/>
          </w:tcPr>
          <w:p>
            <w:pPr>
              <w:spacing w:line="440" w:lineRule="exact"/>
              <w:jc w:val="center"/>
              <w:rPr>
                <w:rFonts w:ascii="宋体" w:hAnsi="宋体"/>
                <w:color w:val="000000"/>
                <w:szCs w:val="21"/>
              </w:rPr>
            </w:pPr>
          </w:p>
        </w:tc>
        <w:tc>
          <w:tcPr>
            <w:tcW w:w="879" w:type="dxa"/>
          </w:tcPr>
          <w:p>
            <w:pPr>
              <w:spacing w:line="440" w:lineRule="exact"/>
              <w:jc w:val="center"/>
              <w:rPr>
                <w:rFonts w:ascii="宋体" w:hAnsi="宋体"/>
                <w:color w:val="000000"/>
                <w:szCs w:val="21"/>
              </w:rPr>
            </w:pPr>
          </w:p>
        </w:tc>
        <w:tc>
          <w:tcPr>
            <w:tcW w:w="903" w:type="dxa"/>
          </w:tcPr>
          <w:p>
            <w:pPr>
              <w:spacing w:line="440" w:lineRule="exact"/>
              <w:jc w:val="center"/>
              <w:rPr>
                <w:rFonts w:ascii="宋体" w:hAnsi="宋体"/>
                <w:color w:val="000000"/>
                <w:szCs w:val="21"/>
              </w:rPr>
            </w:pPr>
          </w:p>
        </w:tc>
        <w:tc>
          <w:tcPr>
            <w:tcW w:w="1043" w:type="dxa"/>
          </w:tcPr>
          <w:p>
            <w:pPr>
              <w:spacing w:line="440" w:lineRule="exact"/>
              <w:jc w:val="center"/>
              <w:rPr>
                <w:rFonts w:ascii="宋体" w:hAnsi="宋体"/>
                <w:color w:val="000000"/>
                <w:szCs w:val="21"/>
              </w:rPr>
            </w:pPr>
          </w:p>
        </w:tc>
        <w:tc>
          <w:tcPr>
            <w:tcW w:w="940" w:type="dxa"/>
          </w:tcPr>
          <w:p>
            <w:pPr>
              <w:spacing w:line="440" w:lineRule="exact"/>
              <w:jc w:val="center"/>
              <w:rPr>
                <w:rFonts w:ascii="宋体" w:hAnsi="宋体"/>
                <w:color w:val="000000"/>
                <w:szCs w:val="21"/>
              </w:rPr>
            </w:pPr>
          </w:p>
        </w:tc>
        <w:tc>
          <w:tcPr>
            <w:tcW w:w="65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color w:val="000000"/>
                <w:szCs w:val="21"/>
              </w:rPr>
            </w:pPr>
          </w:p>
        </w:tc>
        <w:tc>
          <w:tcPr>
            <w:tcW w:w="1183" w:type="dxa"/>
          </w:tcPr>
          <w:p>
            <w:pPr>
              <w:spacing w:line="440" w:lineRule="exact"/>
              <w:jc w:val="center"/>
              <w:rPr>
                <w:rFonts w:ascii="宋体" w:hAnsi="宋体"/>
                <w:color w:val="000000"/>
                <w:szCs w:val="21"/>
              </w:rPr>
            </w:pPr>
          </w:p>
        </w:tc>
        <w:tc>
          <w:tcPr>
            <w:tcW w:w="908" w:type="dxa"/>
          </w:tcPr>
          <w:p>
            <w:pPr>
              <w:spacing w:line="440" w:lineRule="exact"/>
              <w:jc w:val="center"/>
              <w:rPr>
                <w:rFonts w:ascii="宋体" w:hAnsi="宋体"/>
                <w:color w:val="000000"/>
                <w:szCs w:val="21"/>
              </w:rPr>
            </w:pPr>
          </w:p>
        </w:tc>
        <w:tc>
          <w:tcPr>
            <w:tcW w:w="880" w:type="dxa"/>
          </w:tcPr>
          <w:p>
            <w:pPr>
              <w:spacing w:line="440" w:lineRule="exact"/>
              <w:jc w:val="center"/>
              <w:rPr>
                <w:rFonts w:ascii="宋体" w:hAnsi="宋体"/>
                <w:color w:val="000000"/>
                <w:szCs w:val="21"/>
              </w:rPr>
            </w:pPr>
          </w:p>
        </w:tc>
        <w:tc>
          <w:tcPr>
            <w:tcW w:w="802" w:type="dxa"/>
          </w:tcPr>
          <w:p>
            <w:pPr>
              <w:spacing w:line="440" w:lineRule="exact"/>
              <w:jc w:val="center"/>
              <w:rPr>
                <w:rFonts w:ascii="宋体" w:hAnsi="宋体"/>
                <w:color w:val="000000"/>
                <w:szCs w:val="21"/>
              </w:rPr>
            </w:pPr>
          </w:p>
        </w:tc>
        <w:tc>
          <w:tcPr>
            <w:tcW w:w="879" w:type="dxa"/>
          </w:tcPr>
          <w:p>
            <w:pPr>
              <w:spacing w:line="440" w:lineRule="exact"/>
              <w:jc w:val="center"/>
              <w:rPr>
                <w:rFonts w:ascii="宋体" w:hAnsi="宋体"/>
                <w:color w:val="000000"/>
                <w:szCs w:val="21"/>
              </w:rPr>
            </w:pPr>
          </w:p>
        </w:tc>
        <w:tc>
          <w:tcPr>
            <w:tcW w:w="903" w:type="dxa"/>
          </w:tcPr>
          <w:p>
            <w:pPr>
              <w:spacing w:line="440" w:lineRule="exact"/>
              <w:jc w:val="center"/>
              <w:rPr>
                <w:rFonts w:ascii="宋体" w:hAnsi="宋体"/>
                <w:color w:val="000000"/>
                <w:szCs w:val="21"/>
              </w:rPr>
            </w:pPr>
          </w:p>
        </w:tc>
        <w:tc>
          <w:tcPr>
            <w:tcW w:w="1043" w:type="dxa"/>
          </w:tcPr>
          <w:p>
            <w:pPr>
              <w:spacing w:line="440" w:lineRule="exact"/>
              <w:jc w:val="center"/>
              <w:rPr>
                <w:rFonts w:ascii="宋体" w:hAnsi="宋体"/>
                <w:color w:val="000000"/>
                <w:szCs w:val="21"/>
              </w:rPr>
            </w:pPr>
          </w:p>
        </w:tc>
        <w:tc>
          <w:tcPr>
            <w:tcW w:w="940" w:type="dxa"/>
          </w:tcPr>
          <w:p>
            <w:pPr>
              <w:spacing w:line="440" w:lineRule="exact"/>
              <w:jc w:val="center"/>
              <w:rPr>
                <w:rFonts w:ascii="宋体" w:hAnsi="宋体"/>
                <w:color w:val="000000"/>
                <w:szCs w:val="21"/>
              </w:rPr>
            </w:pPr>
          </w:p>
        </w:tc>
        <w:tc>
          <w:tcPr>
            <w:tcW w:w="65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color w:val="000000"/>
                <w:szCs w:val="21"/>
              </w:rPr>
            </w:pPr>
          </w:p>
        </w:tc>
        <w:tc>
          <w:tcPr>
            <w:tcW w:w="1183" w:type="dxa"/>
          </w:tcPr>
          <w:p>
            <w:pPr>
              <w:spacing w:line="440" w:lineRule="exact"/>
              <w:jc w:val="center"/>
              <w:rPr>
                <w:rFonts w:ascii="宋体" w:hAnsi="宋体"/>
                <w:color w:val="000000"/>
                <w:szCs w:val="21"/>
              </w:rPr>
            </w:pPr>
          </w:p>
        </w:tc>
        <w:tc>
          <w:tcPr>
            <w:tcW w:w="908" w:type="dxa"/>
          </w:tcPr>
          <w:p>
            <w:pPr>
              <w:spacing w:line="440" w:lineRule="exact"/>
              <w:jc w:val="center"/>
              <w:rPr>
                <w:rFonts w:ascii="宋体" w:hAnsi="宋体"/>
                <w:color w:val="000000"/>
                <w:szCs w:val="21"/>
              </w:rPr>
            </w:pPr>
          </w:p>
        </w:tc>
        <w:tc>
          <w:tcPr>
            <w:tcW w:w="880" w:type="dxa"/>
          </w:tcPr>
          <w:p>
            <w:pPr>
              <w:spacing w:line="440" w:lineRule="exact"/>
              <w:jc w:val="center"/>
              <w:rPr>
                <w:rFonts w:ascii="宋体" w:hAnsi="宋体"/>
                <w:color w:val="000000"/>
                <w:szCs w:val="21"/>
              </w:rPr>
            </w:pPr>
          </w:p>
        </w:tc>
        <w:tc>
          <w:tcPr>
            <w:tcW w:w="802" w:type="dxa"/>
          </w:tcPr>
          <w:p>
            <w:pPr>
              <w:spacing w:line="440" w:lineRule="exact"/>
              <w:jc w:val="center"/>
              <w:rPr>
                <w:rFonts w:ascii="宋体" w:hAnsi="宋体"/>
                <w:color w:val="000000"/>
                <w:szCs w:val="21"/>
              </w:rPr>
            </w:pPr>
          </w:p>
        </w:tc>
        <w:tc>
          <w:tcPr>
            <w:tcW w:w="879" w:type="dxa"/>
          </w:tcPr>
          <w:p>
            <w:pPr>
              <w:spacing w:line="440" w:lineRule="exact"/>
              <w:jc w:val="center"/>
              <w:rPr>
                <w:rFonts w:ascii="宋体" w:hAnsi="宋体"/>
                <w:color w:val="000000"/>
                <w:szCs w:val="21"/>
              </w:rPr>
            </w:pPr>
          </w:p>
        </w:tc>
        <w:tc>
          <w:tcPr>
            <w:tcW w:w="903" w:type="dxa"/>
          </w:tcPr>
          <w:p>
            <w:pPr>
              <w:spacing w:line="440" w:lineRule="exact"/>
              <w:jc w:val="center"/>
              <w:rPr>
                <w:rFonts w:ascii="宋体" w:hAnsi="宋体"/>
                <w:color w:val="000000"/>
                <w:szCs w:val="21"/>
              </w:rPr>
            </w:pPr>
          </w:p>
        </w:tc>
        <w:tc>
          <w:tcPr>
            <w:tcW w:w="1043" w:type="dxa"/>
          </w:tcPr>
          <w:p>
            <w:pPr>
              <w:spacing w:line="440" w:lineRule="exact"/>
              <w:jc w:val="center"/>
              <w:rPr>
                <w:rFonts w:ascii="宋体" w:hAnsi="宋体"/>
                <w:color w:val="000000"/>
                <w:szCs w:val="21"/>
              </w:rPr>
            </w:pPr>
          </w:p>
        </w:tc>
        <w:tc>
          <w:tcPr>
            <w:tcW w:w="940" w:type="dxa"/>
          </w:tcPr>
          <w:p>
            <w:pPr>
              <w:spacing w:line="440" w:lineRule="exact"/>
              <w:jc w:val="center"/>
              <w:rPr>
                <w:rFonts w:ascii="宋体" w:hAnsi="宋体"/>
                <w:color w:val="000000"/>
                <w:szCs w:val="21"/>
              </w:rPr>
            </w:pPr>
          </w:p>
        </w:tc>
        <w:tc>
          <w:tcPr>
            <w:tcW w:w="65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color w:val="000000"/>
                <w:szCs w:val="21"/>
              </w:rPr>
            </w:pPr>
          </w:p>
        </w:tc>
        <w:tc>
          <w:tcPr>
            <w:tcW w:w="1183" w:type="dxa"/>
          </w:tcPr>
          <w:p>
            <w:pPr>
              <w:spacing w:line="440" w:lineRule="exact"/>
              <w:jc w:val="center"/>
              <w:rPr>
                <w:rFonts w:ascii="宋体" w:hAnsi="宋体"/>
                <w:color w:val="000000"/>
                <w:szCs w:val="21"/>
              </w:rPr>
            </w:pPr>
          </w:p>
        </w:tc>
        <w:tc>
          <w:tcPr>
            <w:tcW w:w="908" w:type="dxa"/>
          </w:tcPr>
          <w:p>
            <w:pPr>
              <w:spacing w:line="440" w:lineRule="exact"/>
              <w:jc w:val="center"/>
              <w:rPr>
                <w:rFonts w:ascii="宋体" w:hAnsi="宋体"/>
                <w:color w:val="000000"/>
                <w:szCs w:val="21"/>
              </w:rPr>
            </w:pPr>
          </w:p>
        </w:tc>
        <w:tc>
          <w:tcPr>
            <w:tcW w:w="880" w:type="dxa"/>
          </w:tcPr>
          <w:p>
            <w:pPr>
              <w:spacing w:line="440" w:lineRule="exact"/>
              <w:jc w:val="center"/>
              <w:rPr>
                <w:rFonts w:ascii="宋体" w:hAnsi="宋体"/>
                <w:color w:val="000000"/>
                <w:szCs w:val="21"/>
              </w:rPr>
            </w:pPr>
          </w:p>
        </w:tc>
        <w:tc>
          <w:tcPr>
            <w:tcW w:w="802" w:type="dxa"/>
          </w:tcPr>
          <w:p>
            <w:pPr>
              <w:spacing w:line="440" w:lineRule="exact"/>
              <w:jc w:val="center"/>
              <w:rPr>
                <w:rFonts w:ascii="宋体" w:hAnsi="宋体"/>
                <w:color w:val="000000"/>
                <w:szCs w:val="21"/>
              </w:rPr>
            </w:pPr>
          </w:p>
        </w:tc>
        <w:tc>
          <w:tcPr>
            <w:tcW w:w="879" w:type="dxa"/>
          </w:tcPr>
          <w:p>
            <w:pPr>
              <w:spacing w:line="440" w:lineRule="exact"/>
              <w:jc w:val="center"/>
              <w:rPr>
                <w:rFonts w:ascii="宋体" w:hAnsi="宋体"/>
                <w:color w:val="000000"/>
                <w:szCs w:val="21"/>
              </w:rPr>
            </w:pPr>
          </w:p>
        </w:tc>
        <w:tc>
          <w:tcPr>
            <w:tcW w:w="903" w:type="dxa"/>
          </w:tcPr>
          <w:p>
            <w:pPr>
              <w:spacing w:line="440" w:lineRule="exact"/>
              <w:jc w:val="center"/>
              <w:rPr>
                <w:rFonts w:ascii="宋体" w:hAnsi="宋体"/>
                <w:color w:val="000000"/>
                <w:szCs w:val="21"/>
              </w:rPr>
            </w:pPr>
          </w:p>
        </w:tc>
        <w:tc>
          <w:tcPr>
            <w:tcW w:w="1043" w:type="dxa"/>
          </w:tcPr>
          <w:p>
            <w:pPr>
              <w:spacing w:line="440" w:lineRule="exact"/>
              <w:jc w:val="center"/>
              <w:rPr>
                <w:rFonts w:ascii="宋体" w:hAnsi="宋体"/>
                <w:color w:val="000000"/>
                <w:szCs w:val="21"/>
              </w:rPr>
            </w:pPr>
          </w:p>
        </w:tc>
        <w:tc>
          <w:tcPr>
            <w:tcW w:w="940" w:type="dxa"/>
          </w:tcPr>
          <w:p>
            <w:pPr>
              <w:spacing w:line="440" w:lineRule="exact"/>
              <w:jc w:val="center"/>
              <w:rPr>
                <w:rFonts w:ascii="宋体" w:hAnsi="宋体"/>
                <w:color w:val="000000"/>
                <w:szCs w:val="21"/>
              </w:rPr>
            </w:pPr>
          </w:p>
        </w:tc>
        <w:tc>
          <w:tcPr>
            <w:tcW w:w="65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color w:val="000000"/>
                <w:szCs w:val="21"/>
              </w:rPr>
            </w:pPr>
          </w:p>
        </w:tc>
        <w:tc>
          <w:tcPr>
            <w:tcW w:w="1183" w:type="dxa"/>
          </w:tcPr>
          <w:p>
            <w:pPr>
              <w:spacing w:line="440" w:lineRule="exact"/>
              <w:jc w:val="center"/>
              <w:rPr>
                <w:rFonts w:ascii="宋体" w:hAnsi="宋体"/>
                <w:color w:val="000000"/>
                <w:szCs w:val="21"/>
              </w:rPr>
            </w:pPr>
          </w:p>
        </w:tc>
        <w:tc>
          <w:tcPr>
            <w:tcW w:w="908" w:type="dxa"/>
          </w:tcPr>
          <w:p>
            <w:pPr>
              <w:spacing w:line="440" w:lineRule="exact"/>
              <w:jc w:val="center"/>
              <w:rPr>
                <w:rFonts w:ascii="宋体" w:hAnsi="宋体"/>
                <w:color w:val="000000"/>
                <w:szCs w:val="21"/>
              </w:rPr>
            </w:pPr>
          </w:p>
        </w:tc>
        <w:tc>
          <w:tcPr>
            <w:tcW w:w="880" w:type="dxa"/>
          </w:tcPr>
          <w:p>
            <w:pPr>
              <w:spacing w:line="440" w:lineRule="exact"/>
              <w:jc w:val="center"/>
              <w:rPr>
                <w:rFonts w:ascii="宋体" w:hAnsi="宋体"/>
                <w:color w:val="000000"/>
                <w:szCs w:val="21"/>
              </w:rPr>
            </w:pPr>
          </w:p>
        </w:tc>
        <w:tc>
          <w:tcPr>
            <w:tcW w:w="802" w:type="dxa"/>
          </w:tcPr>
          <w:p>
            <w:pPr>
              <w:spacing w:line="440" w:lineRule="exact"/>
              <w:jc w:val="center"/>
              <w:rPr>
                <w:rFonts w:ascii="宋体" w:hAnsi="宋体"/>
                <w:color w:val="000000"/>
                <w:szCs w:val="21"/>
              </w:rPr>
            </w:pPr>
          </w:p>
        </w:tc>
        <w:tc>
          <w:tcPr>
            <w:tcW w:w="879" w:type="dxa"/>
          </w:tcPr>
          <w:p>
            <w:pPr>
              <w:spacing w:line="440" w:lineRule="exact"/>
              <w:jc w:val="center"/>
              <w:rPr>
                <w:rFonts w:ascii="宋体" w:hAnsi="宋体"/>
                <w:color w:val="000000"/>
                <w:szCs w:val="21"/>
              </w:rPr>
            </w:pPr>
          </w:p>
        </w:tc>
        <w:tc>
          <w:tcPr>
            <w:tcW w:w="903" w:type="dxa"/>
          </w:tcPr>
          <w:p>
            <w:pPr>
              <w:spacing w:line="440" w:lineRule="exact"/>
              <w:jc w:val="center"/>
              <w:rPr>
                <w:rFonts w:ascii="宋体" w:hAnsi="宋体"/>
                <w:color w:val="000000"/>
                <w:szCs w:val="21"/>
              </w:rPr>
            </w:pPr>
          </w:p>
        </w:tc>
        <w:tc>
          <w:tcPr>
            <w:tcW w:w="1043" w:type="dxa"/>
          </w:tcPr>
          <w:p>
            <w:pPr>
              <w:spacing w:line="440" w:lineRule="exact"/>
              <w:jc w:val="center"/>
              <w:rPr>
                <w:rFonts w:ascii="宋体" w:hAnsi="宋体"/>
                <w:color w:val="000000"/>
                <w:szCs w:val="21"/>
              </w:rPr>
            </w:pPr>
          </w:p>
        </w:tc>
        <w:tc>
          <w:tcPr>
            <w:tcW w:w="940" w:type="dxa"/>
          </w:tcPr>
          <w:p>
            <w:pPr>
              <w:spacing w:line="440" w:lineRule="exact"/>
              <w:jc w:val="center"/>
              <w:rPr>
                <w:rFonts w:ascii="宋体" w:hAnsi="宋体"/>
                <w:color w:val="000000"/>
                <w:szCs w:val="21"/>
              </w:rPr>
            </w:pPr>
          </w:p>
        </w:tc>
        <w:tc>
          <w:tcPr>
            <w:tcW w:w="65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color w:val="000000"/>
                <w:szCs w:val="21"/>
              </w:rPr>
            </w:pPr>
          </w:p>
        </w:tc>
        <w:tc>
          <w:tcPr>
            <w:tcW w:w="1183" w:type="dxa"/>
          </w:tcPr>
          <w:p>
            <w:pPr>
              <w:spacing w:line="440" w:lineRule="exact"/>
              <w:jc w:val="center"/>
              <w:rPr>
                <w:rFonts w:ascii="宋体" w:hAnsi="宋体"/>
                <w:color w:val="000000"/>
                <w:szCs w:val="21"/>
              </w:rPr>
            </w:pPr>
          </w:p>
        </w:tc>
        <w:tc>
          <w:tcPr>
            <w:tcW w:w="908" w:type="dxa"/>
          </w:tcPr>
          <w:p>
            <w:pPr>
              <w:spacing w:line="440" w:lineRule="exact"/>
              <w:jc w:val="center"/>
              <w:rPr>
                <w:rFonts w:ascii="宋体" w:hAnsi="宋体"/>
                <w:color w:val="000000"/>
                <w:szCs w:val="21"/>
              </w:rPr>
            </w:pPr>
          </w:p>
        </w:tc>
        <w:tc>
          <w:tcPr>
            <w:tcW w:w="880" w:type="dxa"/>
          </w:tcPr>
          <w:p>
            <w:pPr>
              <w:spacing w:line="440" w:lineRule="exact"/>
              <w:jc w:val="center"/>
              <w:rPr>
                <w:rFonts w:ascii="宋体" w:hAnsi="宋体"/>
                <w:color w:val="000000"/>
                <w:szCs w:val="21"/>
              </w:rPr>
            </w:pPr>
          </w:p>
        </w:tc>
        <w:tc>
          <w:tcPr>
            <w:tcW w:w="802" w:type="dxa"/>
          </w:tcPr>
          <w:p>
            <w:pPr>
              <w:spacing w:line="440" w:lineRule="exact"/>
              <w:jc w:val="center"/>
              <w:rPr>
                <w:rFonts w:ascii="宋体" w:hAnsi="宋体"/>
                <w:color w:val="000000"/>
                <w:szCs w:val="21"/>
              </w:rPr>
            </w:pPr>
          </w:p>
        </w:tc>
        <w:tc>
          <w:tcPr>
            <w:tcW w:w="879" w:type="dxa"/>
          </w:tcPr>
          <w:p>
            <w:pPr>
              <w:spacing w:line="440" w:lineRule="exact"/>
              <w:jc w:val="center"/>
              <w:rPr>
                <w:rFonts w:ascii="宋体" w:hAnsi="宋体"/>
                <w:color w:val="000000"/>
                <w:szCs w:val="21"/>
              </w:rPr>
            </w:pPr>
          </w:p>
        </w:tc>
        <w:tc>
          <w:tcPr>
            <w:tcW w:w="903" w:type="dxa"/>
          </w:tcPr>
          <w:p>
            <w:pPr>
              <w:spacing w:line="440" w:lineRule="exact"/>
              <w:jc w:val="center"/>
              <w:rPr>
                <w:rFonts w:ascii="宋体" w:hAnsi="宋体"/>
                <w:color w:val="000000"/>
                <w:szCs w:val="21"/>
              </w:rPr>
            </w:pPr>
          </w:p>
        </w:tc>
        <w:tc>
          <w:tcPr>
            <w:tcW w:w="1043" w:type="dxa"/>
          </w:tcPr>
          <w:p>
            <w:pPr>
              <w:spacing w:line="440" w:lineRule="exact"/>
              <w:jc w:val="center"/>
              <w:rPr>
                <w:rFonts w:ascii="宋体" w:hAnsi="宋体"/>
                <w:color w:val="000000"/>
                <w:szCs w:val="21"/>
              </w:rPr>
            </w:pPr>
          </w:p>
        </w:tc>
        <w:tc>
          <w:tcPr>
            <w:tcW w:w="940" w:type="dxa"/>
          </w:tcPr>
          <w:p>
            <w:pPr>
              <w:spacing w:line="440" w:lineRule="exact"/>
              <w:jc w:val="center"/>
              <w:rPr>
                <w:rFonts w:ascii="宋体" w:hAnsi="宋体"/>
                <w:color w:val="000000"/>
                <w:szCs w:val="21"/>
              </w:rPr>
            </w:pPr>
          </w:p>
        </w:tc>
        <w:tc>
          <w:tcPr>
            <w:tcW w:w="65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color w:val="000000"/>
                <w:szCs w:val="21"/>
              </w:rPr>
            </w:pPr>
          </w:p>
        </w:tc>
        <w:tc>
          <w:tcPr>
            <w:tcW w:w="1183" w:type="dxa"/>
          </w:tcPr>
          <w:p>
            <w:pPr>
              <w:spacing w:line="440" w:lineRule="exact"/>
              <w:jc w:val="center"/>
              <w:rPr>
                <w:rFonts w:ascii="宋体" w:hAnsi="宋体"/>
                <w:color w:val="000000"/>
                <w:szCs w:val="21"/>
              </w:rPr>
            </w:pPr>
          </w:p>
        </w:tc>
        <w:tc>
          <w:tcPr>
            <w:tcW w:w="908" w:type="dxa"/>
          </w:tcPr>
          <w:p>
            <w:pPr>
              <w:spacing w:line="440" w:lineRule="exact"/>
              <w:jc w:val="center"/>
              <w:rPr>
                <w:rFonts w:ascii="宋体" w:hAnsi="宋体"/>
                <w:color w:val="000000"/>
                <w:szCs w:val="21"/>
              </w:rPr>
            </w:pPr>
          </w:p>
        </w:tc>
        <w:tc>
          <w:tcPr>
            <w:tcW w:w="880" w:type="dxa"/>
          </w:tcPr>
          <w:p>
            <w:pPr>
              <w:spacing w:line="440" w:lineRule="exact"/>
              <w:jc w:val="center"/>
              <w:rPr>
                <w:rFonts w:ascii="宋体" w:hAnsi="宋体"/>
                <w:color w:val="000000"/>
                <w:szCs w:val="21"/>
              </w:rPr>
            </w:pPr>
          </w:p>
        </w:tc>
        <w:tc>
          <w:tcPr>
            <w:tcW w:w="802" w:type="dxa"/>
          </w:tcPr>
          <w:p>
            <w:pPr>
              <w:spacing w:line="440" w:lineRule="exact"/>
              <w:jc w:val="center"/>
              <w:rPr>
                <w:rFonts w:ascii="宋体" w:hAnsi="宋体"/>
                <w:color w:val="000000"/>
                <w:szCs w:val="21"/>
              </w:rPr>
            </w:pPr>
          </w:p>
        </w:tc>
        <w:tc>
          <w:tcPr>
            <w:tcW w:w="879" w:type="dxa"/>
          </w:tcPr>
          <w:p>
            <w:pPr>
              <w:spacing w:line="440" w:lineRule="exact"/>
              <w:jc w:val="center"/>
              <w:rPr>
                <w:rFonts w:ascii="宋体" w:hAnsi="宋体"/>
                <w:color w:val="000000"/>
                <w:szCs w:val="21"/>
              </w:rPr>
            </w:pPr>
          </w:p>
        </w:tc>
        <w:tc>
          <w:tcPr>
            <w:tcW w:w="903" w:type="dxa"/>
          </w:tcPr>
          <w:p>
            <w:pPr>
              <w:spacing w:line="440" w:lineRule="exact"/>
              <w:jc w:val="center"/>
              <w:rPr>
                <w:rFonts w:ascii="宋体" w:hAnsi="宋体"/>
                <w:color w:val="000000"/>
                <w:szCs w:val="21"/>
              </w:rPr>
            </w:pPr>
          </w:p>
        </w:tc>
        <w:tc>
          <w:tcPr>
            <w:tcW w:w="1043" w:type="dxa"/>
          </w:tcPr>
          <w:p>
            <w:pPr>
              <w:spacing w:line="440" w:lineRule="exact"/>
              <w:jc w:val="center"/>
              <w:rPr>
                <w:rFonts w:ascii="宋体" w:hAnsi="宋体"/>
                <w:color w:val="000000"/>
                <w:szCs w:val="21"/>
              </w:rPr>
            </w:pPr>
          </w:p>
        </w:tc>
        <w:tc>
          <w:tcPr>
            <w:tcW w:w="940" w:type="dxa"/>
          </w:tcPr>
          <w:p>
            <w:pPr>
              <w:spacing w:line="440" w:lineRule="exact"/>
              <w:jc w:val="center"/>
              <w:rPr>
                <w:rFonts w:ascii="宋体" w:hAnsi="宋体"/>
                <w:color w:val="000000"/>
                <w:szCs w:val="21"/>
              </w:rPr>
            </w:pPr>
          </w:p>
        </w:tc>
        <w:tc>
          <w:tcPr>
            <w:tcW w:w="65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color w:val="000000"/>
                <w:szCs w:val="21"/>
              </w:rPr>
            </w:pPr>
          </w:p>
        </w:tc>
        <w:tc>
          <w:tcPr>
            <w:tcW w:w="1183" w:type="dxa"/>
          </w:tcPr>
          <w:p>
            <w:pPr>
              <w:spacing w:line="440" w:lineRule="exact"/>
              <w:jc w:val="center"/>
              <w:rPr>
                <w:rFonts w:ascii="宋体" w:hAnsi="宋体"/>
                <w:color w:val="000000"/>
                <w:szCs w:val="21"/>
              </w:rPr>
            </w:pPr>
          </w:p>
        </w:tc>
        <w:tc>
          <w:tcPr>
            <w:tcW w:w="908" w:type="dxa"/>
          </w:tcPr>
          <w:p>
            <w:pPr>
              <w:spacing w:line="440" w:lineRule="exact"/>
              <w:jc w:val="center"/>
              <w:rPr>
                <w:rFonts w:ascii="宋体" w:hAnsi="宋体"/>
                <w:color w:val="000000"/>
                <w:szCs w:val="21"/>
              </w:rPr>
            </w:pPr>
          </w:p>
        </w:tc>
        <w:tc>
          <w:tcPr>
            <w:tcW w:w="880" w:type="dxa"/>
          </w:tcPr>
          <w:p>
            <w:pPr>
              <w:spacing w:line="440" w:lineRule="exact"/>
              <w:jc w:val="center"/>
              <w:rPr>
                <w:rFonts w:ascii="宋体" w:hAnsi="宋体"/>
                <w:color w:val="000000"/>
                <w:szCs w:val="21"/>
              </w:rPr>
            </w:pPr>
          </w:p>
        </w:tc>
        <w:tc>
          <w:tcPr>
            <w:tcW w:w="802" w:type="dxa"/>
          </w:tcPr>
          <w:p>
            <w:pPr>
              <w:spacing w:line="440" w:lineRule="exact"/>
              <w:jc w:val="center"/>
              <w:rPr>
                <w:rFonts w:ascii="宋体" w:hAnsi="宋体"/>
                <w:color w:val="000000"/>
                <w:szCs w:val="21"/>
              </w:rPr>
            </w:pPr>
          </w:p>
        </w:tc>
        <w:tc>
          <w:tcPr>
            <w:tcW w:w="879" w:type="dxa"/>
          </w:tcPr>
          <w:p>
            <w:pPr>
              <w:spacing w:line="440" w:lineRule="exact"/>
              <w:jc w:val="center"/>
              <w:rPr>
                <w:rFonts w:ascii="宋体" w:hAnsi="宋体"/>
                <w:color w:val="000000"/>
                <w:szCs w:val="21"/>
              </w:rPr>
            </w:pPr>
          </w:p>
        </w:tc>
        <w:tc>
          <w:tcPr>
            <w:tcW w:w="903" w:type="dxa"/>
          </w:tcPr>
          <w:p>
            <w:pPr>
              <w:spacing w:line="440" w:lineRule="exact"/>
              <w:jc w:val="center"/>
              <w:rPr>
                <w:rFonts w:ascii="宋体" w:hAnsi="宋体"/>
                <w:color w:val="000000"/>
                <w:szCs w:val="21"/>
              </w:rPr>
            </w:pPr>
          </w:p>
        </w:tc>
        <w:tc>
          <w:tcPr>
            <w:tcW w:w="1043" w:type="dxa"/>
          </w:tcPr>
          <w:p>
            <w:pPr>
              <w:spacing w:line="440" w:lineRule="exact"/>
              <w:jc w:val="center"/>
              <w:rPr>
                <w:rFonts w:ascii="宋体" w:hAnsi="宋体"/>
                <w:color w:val="000000"/>
                <w:szCs w:val="21"/>
              </w:rPr>
            </w:pPr>
          </w:p>
        </w:tc>
        <w:tc>
          <w:tcPr>
            <w:tcW w:w="940" w:type="dxa"/>
          </w:tcPr>
          <w:p>
            <w:pPr>
              <w:spacing w:line="440" w:lineRule="exact"/>
              <w:jc w:val="center"/>
              <w:rPr>
                <w:rFonts w:ascii="宋体" w:hAnsi="宋体"/>
                <w:color w:val="000000"/>
                <w:szCs w:val="21"/>
              </w:rPr>
            </w:pPr>
          </w:p>
        </w:tc>
        <w:tc>
          <w:tcPr>
            <w:tcW w:w="65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color w:val="000000"/>
                <w:szCs w:val="21"/>
              </w:rPr>
            </w:pPr>
          </w:p>
        </w:tc>
        <w:tc>
          <w:tcPr>
            <w:tcW w:w="1183" w:type="dxa"/>
          </w:tcPr>
          <w:p>
            <w:pPr>
              <w:spacing w:line="440" w:lineRule="exact"/>
              <w:jc w:val="center"/>
              <w:rPr>
                <w:rFonts w:ascii="宋体" w:hAnsi="宋体"/>
                <w:color w:val="000000"/>
                <w:szCs w:val="21"/>
              </w:rPr>
            </w:pPr>
          </w:p>
        </w:tc>
        <w:tc>
          <w:tcPr>
            <w:tcW w:w="908" w:type="dxa"/>
          </w:tcPr>
          <w:p>
            <w:pPr>
              <w:spacing w:line="440" w:lineRule="exact"/>
              <w:jc w:val="center"/>
              <w:rPr>
                <w:rFonts w:ascii="宋体" w:hAnsi="宋体"/>
                <w:color w:val="000000"/>
                <w:szCs w:val="21"/>
              </w:rPr>
            </w:pPr>
          </w:p>
        </w:tc>
        <w:tc>
          <w:tcPr>
            <w:tcW w:w="880" w:type="dxa"/>
          </w:tcPr>
          <w:p>
            <w:pPr>
              <w:spacing w:line="440" w:lineRule="exact"/>
              <w:jc w:val="center"/>
              <w:rPr>
                <w:rFonts w:ascii="宋体" w:hAnsi="宋体"/>
                <w:color w:val="000000"/>
                <w:szCs w:val="21"/>
              </w:rPr>
            </w:pPr>
          </w:p>
        </w:tc>
        <w:tc>
          <w:tcPr>
            <w:tcW w:w="802" w:type="dxa"/>
          </w:tcPr>
          <w:p>
            <w:pPr>
              <w:spacing w:line="440" w:lineRule="exact"/>
              <w:jc w:val="center"/>
              <w:rPr>
                <w:rFonts w:ascii="宋体" w:hAnsi="宋体"/>
                <w:color w:val="000000"/>
                <w:szCs w:val="21"/>
              </w:rPr>
            </w:pPr>
          </w:p>
        </w:tc>
        <w:tc>
          <w:tcPr>
            <w:tcW w:w="879" w:type="dxa"/>
          </w:tcPr>
          <w:p>
            <w:pPr>
              <w:spacing w:line="440" w:lineRule="exact"/>
              <w:jc w:val="center"/>
              <w:rPr>
                <w:rFonts w:ascii="宋体" w:hAnsi="宋体"/>
                <w:color w:val="000000"/>
                <w:szCs w:val="21"/>
              </w:rPr>
            </w:pPr>
          </w:p>
        </w:tc>
        <w:tc>
          <w:tcPr>
            <w:tcW w:w="903" w:type="dxa"/>
          </w:tcPr>
          <w:p>
            <w:pPr>
              <w:spacing w:line="440" w:lineRule="exact"/>
              <w:jc w:val="center"/>
              <w:rPr>
                <w:rFonts w:ascii="宋体" w:hAnsi="宋体"/>
                <w:color w:val="000000"/>
                <w:szCs w:val="21"/>
              </w:rPr>
            </w:pPr>
          </w:p>
        </w:tc>
        <w:tc>
          <w:tcPr>
            <w:tcW w:w="1043" w:type="dxa"/>
          </w:tcPr>
          <w:p>
            <w:pPr>
              <w:spacing w:line="440" w:lineRule="exact"/>
              <w:jc w:val="center"/>
              <w:rPr>
                <w:rFonts w:ascii="宋体" w:hAnsi="宋体"/>
                <w:color w:val="000000"/>
                <w:szCs w:val="21"/>
              </w:rPr>
            </w:pPr>
          </w:p>
        </w:tc>
        <w:tc>
          <w:tcPr>
            <w:tcW w:w="940" w:type="dxa"/>
          </w:tcPr>
          <w:p>
            <w:pPr>
              <w:spacing w:line="440" w:lineRule="exact"/>
              <w:jc w:val="center"/>
              <w:rPr>
                <w:rFonts w:ascii="宋体" w:hAnsi="宋体"/>
                <w:color w:val="000000"/>
                <w:szCs w:val="21"/>
              </w:rPr>
            </w:pPr>
          </w:p>
        </w:tc>
        <w:tc>
          <w:tcPr>
            <w:tcW w:w="65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color w:val="000000"/>
                <w:szCs w:val="21"/>
              </w:rPr>
            </w:pPr>
          </w:p>
        </w:tc>
        <w:tc>
          <w:tcPr>
            <w:tcW w:w="1183" w:type="dxa"/>
          </w:tcPr>
          <w:p>
            <w:pPr>
              <w:spacing w:line="440" w:lineRule="exact"/>
              <w:jc w:val="center"/>
              <w:rPr>
                <w:rFonts w:ascii="宋体" w:hAnsi="宋体"/>
                <w:color w:val="000000"/>
                <w:szCs w:val="21"/>
              </w:rPr>
            </w:pPr>
          </w:p>
        </w:tc>
        <w:tc>
          <w:tcPr>
            <w:tcW w:w="908" w:type="dxa"/>
          </w:tcPr>
          <w:p>
            <w:pPr>
              <w:spacing w:line="440" w:lineRule="exact"/>
              <w:jc w:val="center"/>
              <w:rPr>
                <w:rFonts w:ascii="宋体" w:hAnsi="宋体"/>
                <w:color w:val="000000"/>
                <w:szCs w:val="21"/>
              </w:rPr>
            </w:pPr>
          </w:p>
        </w:tc>
        <w:tc>
          <w:tcPr>
            <w:tcW w:w="880" w:type="dxa"/>
          </w:tcPr>
          <w:p>
            <w:pPr>
              <w:spacing w:line="440" w:lineRule="exact"/>
              <w:jc w:val="center"/>
              <w:rPr>
                <w:rFonts w:ascii="宋体" w:hAnsi="宋体"/>
                <w:color w:val="000000"/>
                <w:szCs w:val="21"/>
              </w:rPr>
            </w:pPr>
          </w:p>
        </w:tc>
        <w:tc>
          <w:tcPr>
            <w:tcW w:w="802" w:type="dxa"/>
          </w:tcPr>
          <w:p>
            <w:pPr>
              <w:spacing w:line="440" w:lineRule="exact"/>
              <w:jc w:val="center"/>
              <w:rPr>
                <w:rFonts w:ascii="宋体" w:hAnsi="宋体"/>
                <w:color w:val="000000"/>
                <w:szCs w:val="21"/>
              </w:rPr>
            </w:pPr>
          </w:p>
        </w:tc>
        <w:tc>
          <w:tcPr>
            <w:tcW w:w="879" w:type="dxa"/>
          </w:tcPr>
          <w:p>
            <w:pPr>
              <w:spacing w:line="440" w:lineRule="exact"/>
              <w:jc w:val="center"/>
              <w:rPr>
                <w:rFonts w:ascii="宋体" w:hAnsi="宋体"/>
                <w:color w:val="000000"/>
                <w:szCs w:val="21"/>
              </w:rPr>
            </w:pPr>
          </w:p>
        </w:tc>
        <w:tc>
          <w:tcPr>
            <w:tcW w:w="903" w:type="dxa"/>
          </w:tcPr>
          <w:p>
            <w:pPr>
              <w:spacing w:line="440" w:lineRule="exact"/>
              <w:jc w:val="center"/>
              <w:rPr>
                <w:rFonts w:ascii="宋体" w:hAnsi="宋体"/>
                <w:color w:val="000000"/>
                <w:szCs w:val="21"/>
              </w:rPr>
            </w:pPr>
          </w:p>
        </w:tc>
        <w:tc>
          <w:tcPr>
            <w:tcW w:w="1043" w:type="dxa"/>
          </w:tcPr>
          <w:p>
            <w:pPr>
              <w:spacing w:line="440" w:lineRule="exact"/>
              <w:jc w:val="center"/>
              <w:rPr>
                <w:rFonts w:ascii="宋体" w:hAnsi="宋体"/>
                <w:color w:val="000000"/>
                <w:szCs w:val="21"/>
              </w:rPr>
            </w:pPr>
          </w:p>
        </w:tc>
        <w:tc>
          <w:tcPr>
            <w:tcW w:w="940" w:type="dxa"/>
          </w:tcPr>
          <w:p>
            <w:pPr>
              <w:spacing w:line="440" w:lineRule="exact"/>
              <w:jc w:val="center"/>
              <w:rPr>
                <w:rFonts w:ascii="宋体" w:hAnsi="宋体"/>
                <w:color w:val="000000"/>
                <w:szCs w:val="21"/>
              </w:rPr>
            </w:pPr>
          </w:p>
        </w:tc>
        <w:tc>
          <w:tcPr>
            <w:tcW w:w="65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color w:val="000000"/>
                <w:szCs w:val="21"/>
              </w:rPr>
            </w:pPr>
          </w:p>
        </w:tc>
        <w:tc>
          <w:tcPr>
            <w:tcW w:w="1183" w:type="dxa"/>
          </w:tcPr>
          <w:p>
            <w:pPr>
              <w:spacing w:line="440" w:lineRule="exact"/>
              <w:jc w:val="center"/>
              <w:rPr>
                <w:rFonts w:ascii="宋体" w:hAnsi="宋体"/>
                <w:color w:val="000000"/>
                <w:szCs w:val="21"/>
              </w:rPr>
            </w:pPr>
          </w:p>
        </w:tc>
        <w:tc>
          <w:tcPr>
            <w:tcW w:w="908" w:type="dxa"/>
          </w:tcPr>
          <w:p>
            <w:pPr>
              <w:spacing w:line="440" w:lineRule="exact"/>
              <w:jc w:val="center"/>
              <w:rPr>
                <w:rFonts w:ascii="宋体" w:hAnsi="宋体"/>
                <w:color w:val="000000"/>
                <w:szCs w:val="21"/>
              </w:rPr>
            </w:pPr>
          </w:p>
        </w:tc>
        <w:tc>
          <w:tcPr>
            <w:tcW w:w="880" w:type="dxa"/>
          </w:tcPr>
          <w:p>
            <w:pPr>
              <w:spacing w:line="440" w:lineRule="exact"/>
              <w:jc w:val="center"/>
              <w:rPr>
                <w:rFonts w:ascii="宋体" w:hAnsi="宋体"/>
                <w:color w:val="000000"/>
                <w:szCs w:val="21"/>
              </w:rPr>
            </w:pPr>
          </w:p>
        </w:tc>
        <w:tc>
          <w:tcPr>
            <w:tcW w:w="802" w:type="dxa"/>
          </w:tcPr>
          <w:p>
            <w:pPr>
              <w:spacing w:line="440" w:lineRule="exact"/>
              <w:jc w:val="center"/>
              <w:rPr>
                <w:rFonts w:ascii="宋体" w:hAnsi="宋体"/>
                <w:color w:val="000000"/>
                <w:szCs w:val="21"/>
              </w:rPr>
            </w:pPr>
          </w:p>
        </w:tc>
        <w:tc>
          <w:tcPr>
            <w:tcW w:w="879" w:type="dxa"/>
          </w:tcPr>
          <w:p>
            <w:pPr>
              <w:spacing w:line="440" w:lineRule="exact"/>
              <w:jc w:val="center"/>
              <w:rPr>
                <w:rFonts w:ascii="宋体" w:hAnsi="宋体"/>
                <w:color w:val="000000"/>
                <w:szCs w:val="21"/>
              </w:rPr>
            </w:pPr>
          </w:p>
        </w:tc>
        <w:tc>
          <w:tcPr>
            <w:tcW w:w="903" w:type="dxa"/>
          </w:tcPr>
          <w:p>
            <w:pPr>
              <w:spacing w:line="440" w:lineRule="exact"/>
              <w:jc w:val="center"/>
              <w:rPr>
                <w:rFonts w:ascii="宋体" w:hAnsi="宋体"/>
                <w:color w:val="000000"/>
                <w:szCs w:val="21"/>
              </w:rPr>
            </w:pPr>
          </w:p>
        </w:tc>
        <w:tc>
          <w:tcPr>
            <w:tcW w:w="1043" w:type="dxa"/>
          </w:tcPr>
          <w:p>
            <w:pPr>
              <w:spacing w:line="440" w:lineRule="exact"/>
              <w:jc w:val="center"/>
              <w:rPr>
                <w:rFonts w:ascii="宋体" w:hAnsi="宋体"/>
                <w:color w:val="000000"/>
                <w:szCs w:val="21"/>
              </w:rPr>
            </w:pPr>
          </w:p>
        </w:tc>
        <w:tc>
          <w:tcPr>
            <w:tcW w:w="940" w:type="dxa"/>
          </w:tcPr>
          <w:p>
            <w:pPr>
              <w:spacing w:line="440" w:lineRule="exact"/>
              <w:jc w:val="center"/>
              <w:rPr>
                <w:rFonts w:ascii="宋体" w:hAnsi="宋体"/>
                <w:color w:val="000000"/>
                <w:szCs w:val="21"/>
              </w:rPr>
            </w:pPr>
          </w:p>
        </w:tc>
        <w:tc>
          <w:tcPr>
            <w:tcW w:w="65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color w:val="000000"/>
                <w:szCs w:val="21"/>
              </w:rPr>
            </w:pPr>
          </w:p>
        </w:tc>
        <w:tc>
          <w:tcPr>
            <w:tcW w:w="1183" w:type="dxa"/>
          </w:tcPr>
          <w:p>
            <w:pPr>
              <w:spacing w:line="440" w:lineRule="exact"/>
              <w:jc w:val="center"/>
              <w:rPr>
                <w:rFonts w:ascii="宋体" w:hAnsi="宋体"/>
                <w:color w:val="000000"/>
                <w:szCs w:val="21"/>
              </w:rPr>
            </w:pPr>
          </w:p>
        </w:tc>
        <w:tc>
          <w:tcPr>
            <w:tcW w:w="908" w:type="dxa"/>
          </w:tcPr>
          <w:p>
            <w:pPr>
              <w:spacing w:line="440" w:lineRule="exact"/>
              <w:jc w:val="center"/>
              <w:rPr>
                <w:rFonts w:ascii="宋体" w:hAnsi="宋体"/>
                <w:color w:val="000000"/>
                <w:szCs w:val="21"/>
              </w:rPr>
            </w:pPr>
          </w:p>
        </w:tc>
        <w:tc>
          <w:tcPr>
            <w:tcW w:w="880" w:type="dxa"/>
          </w:tcPr>
          <w:p>
            <w:pPr>
              <w:spacing w:line="440" w:lineRule="exact"/>
              <w:jc w:val="center"/>
              <w:rPr>
                <w:rFonts w:ascii="宋体" w:hAnsi="宋体"/>
                <w:color w:val="000000"/>
                <w:szCs w:val="21"/>
              </w:rPr>
            </w:pPr>
          </w:p>
        </w:tc>
        <w:tc>
          <w:tcPr>
            <w:tcW w:w="802" w:type="dxa"/>
          </w:tcPr>
          <w:p>
            <w:pPr>
              <w:spacing w:line="440" w:lineRule="exact"/>
              <w:jc w:val="center"/>
              <w:rPr>
                <w:rFonts w:ascii="宋体" w:hAnsi="宋体"/>
                <w:color w:val="000000"/>
                <w:szCs w:val="21"/>
              </w:rPr>
            </w:pPr>
          </w:p>
        </w:tc>
        <w:tc>
          <w:tcPr>
            <w:tcW w:w="879" w:type="dxa"/>
          </w:tcPr>
          <w:p>
            <w:pPr>
              <w:spacing w:line="440" w:lineRule="exact"/>
              <w:jc w:val="center"/>
              <w:rPr>
                <w:rFonts w:ascii="宋体" w:hAnsi="宋体"/>
                <w:color w:val="000000"/>
                <w:szCs w:val="21"/>
              </w:rPr>
            </w:pPr>
          </w:p>
        </w:tc>
        <w:tc>
          <w:tcPr>
            <w:tcW w:w="903" w:type="dxa"/>
          </w:tcPr>
          <w:p>
            <w:pPr>
              <w:spacing w:line="440" w:lineRule="exact"/>
              <w:jc w:val="center"/>
              <w:rPr>
                <w:rFonts w:ascii="宋体" w:hAnsi="宋体"/>
                <w:color w:val="000000"/>
                <w:szCs w:val="21"/>
              </w:rPr>
            </w:pPr>
          </w:p>
        </w:tc>
        <w:tc>
          <w:tcPr>
            <w:tcW w:w="1043" w:type="dxa"/>
          </w:tcPr>
          <w:p>
            <w:pPr>
              <w:spacing w:line="440" w:lineRule="exact"/>
              <w:jc w:val="center"/>
              <w:rPr>
                <w:rFonts w:ascii="宋体" w:hAnsi="宋体"/>
                <w:color w:val="000000"/>
                <w:szCs w:val="21"/>
              </w:rPr>
            </w:pPr>
          </w:p>
        </w:tc>
        <w:tc>
          <w:tcPr>
            <w:tcW w:w="940" w:type="dxa"/>
          </w:tcPr>
          <w:p>
            <w:pPr>
              <w:spacing w:line="440" w:lineRule="exact"/>
              <w:jc w:val="center"/>
              <w:rPr>
                <w:rFonts w:ascii="宋体" w:hAnsi="宋体"/>
                <w:color w:val="000000"/>
                <w:szCs w:val="21"/>
              </w:rPr>
            </w:pPr>
          </w:p>
        </w:tc>
        <w:tc>
          <w:tcPr>
            <w:tcW w:w="65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color w:val="000000"/>
                <w:szCs w:val="21"/>
              </w:rPr>
            </w:pPr>
          </w:p>
        </w:tc>
        <w:tc>
          <w:tcPr>
            <w:tcW w:w="1183" w:type="dxa"/>
          </w:tcPr>
          <w:p>
            <w:pPr>
              <w:spacing w:line="440" w:lineRule="exact"/>
              <w:jc w:val="center"/>
              <w:rPr>
                <w:rFonts w:ascii="宋体" w:hAnsi="宋体"/>
                <w:color w:val="000000"/>
                <w:szCs w:val="21"/>
              </w:rPr>
            </w:pPr>
          </w:p>
        </w:tc>
        <w:tc>
          <w:tcPr>
            <w:tcW w:w="908" w:type="dxa"/>
          </w:tcPr>
          <w:p>
            <w:pPr>
              <w:spacing w:line="440" w:lineRule="exact"/>
              <w:jc w:val="center"/>
              <w:rPr>
                <w:rFonts w:ascii="宋体" w:hAnsi="宋体"/>
                <w:color w:val="000000"/>
                <w:szCs w:val="21"/>
              </w:rPr>
            </w:pPr>
          </w:p>
        </w:tc>
        <w:tc>
          <w:tcPr>
            <w:tcW w:w="880" w:type="dxa"/>
          </w:tcPr>
          <w:p>
            <w:pPr>
              <w:spacing w:line="440" w:lineRule="exact"/>
              <w:jc w:val="center"/>
              <w:rPr>
                <w:rFonts w:ascii="宋体" w:hAnsi="宋体"/>
                <w:color w:val="000000"/>
                <w:szCs w:val="21"/>
              </w:rPr>
            </w:pPr>
          </w:p>
        </w:tc>
        <w:tc>
          <w:tcPr>
            <w:tcW w:w="802" w:type="dxa"/>
          </w:tcPr>
          <w:p>
            <w:pPr>
              <w:spacing w:line="440" w:lineRule="exact"/>
              <w:jc w:val="center"/>
              <w:rPr>
                <w:rFonts w:ascii="宋体" w:hAnsi="宋体"/>
                <w:color w:val="000000"/>
                <w:szCs w:val="21"/>
              </w:rPr>
            </w:pPr>
          </w:p>
        </w:tc>
        <w:tc>
          <w:tcPr>
            <w:tcW w:w="879" w:type="dxa"/>
          </w:tcPr>
          <w:p>
            <w:pPr>
              <w:spacing w:line="440" w:lineRule="exact"/>
              <w:jc w:val="center"/>
              <w:rPr>
                <w:rFonts w:ascii="宋体" w:hAnsi="宋体"/>
                <w:color w:val="000000"/>
                <w:szCs w:val="21"/>
              </w:rPr>
            </w:pPr>
          </w:p>
        </w:tc>
        <w:tc>
          <w:tcPr>
            <w:tcW w:w="903" w:type="dxa"/>
          </w:tcPr>
          <w:p>
            <w:pPr>
              <w:spacing w:line="440" w:lineRule="exact"/>
              <w:jc w:val="center"/>
              <w:rPr>
                <w:rFonts w:ascii="宋体" w:hAnsi="宋体"/>
                <w:color w:val="000000"/>
                <w:szCs w:val="21"/>
              </w:rPr>
            </w:pPr>
          </w:p>
        </w:tc>
        <w:tc>
          <w:tcPr>
            <w:tcW w:w="1043" w:type="dxa"/>
          </w:tcPr>
          <w:p>
            <w:pPr>
              <w:spacing w:line="440" w:lineRule="exact"/>
              <w:jc w:val="center"/>
              <w:rPr>
                <w:rFonts w:ascii="宋体" w:hAnsi="宋体"/>
                <w:color w:val="000000"/>
                <w:szCs w:val="21"/>
              </w:rPr>
            </w:pPr>
          </w:p>
        </w:tc>
        <w:tc>
          <w:tcPr>
            <w:tcW w:w="940" w:type="dxa"/>
          </w:tcPr>
          <w:p>
            <w:pPr>
              <w:spacing w:line="440" w:lineRule="exact"/>
              <w:jc w:val="center"/>
              <w:rPr>
                <w:rFonts w:ascii="宋体" w:hAnsi="宋体"/>
                <w:color w:val="000000"/>
                <w:szCs w:val="21"/>
              </w:rPr>
            </w:pPr>
          </w:p>
        </w:tc>
        <w:tc>
          <w:tcPr>
            <w:tcW w:w="65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color w:val="000000"/>
                <w:szCs w:val="21"/>
              </w:rPr>
            </w:pPr>
          </w:p>
        </w:tc>
        <w:tc>
          <w:tcPr>
            <w:tcW w:w="1183" w:type="dxa"/>
          </w:tcPr>
          <w:p>
            <w:pPr>
              <w:spacing w:line="440" w:lineRule="exact"/>
              <w:jc w:val="center"/>
              <w:rPr>
                <w:rFonts w:ascii="宋体" w:hAnsi="宋体"/>
                <w:color w:val="000000"/>
                <w:szCs w:val="21"/>
              </w:rPr>
            </w:pPr>
          </w:p>
        </w:tc>
        <w:tc>
          <w:tcPr>
            <w:tcW w:w="908" w:type="dxa"/>
          </w:tcPr>
          <w:p>
            <w:pPr>
              <w:spacing w:line="440" w:lineRule="exact"/>
              <w:jc w:val="center"/>
              <w:rPr>
                <w:rFonts w:ascii="宋体" w:hAnsi="宋体"/>
                <w:color w:val="000000"/>
                <w:szCs w:val="21"/>
              </w:rPr>
            </w:pPr>
          </w:p>
        </w:tc>
        <w:tc>
          <w:tcPr>
            <w:tcW w:w="880" w:type="dxa"/>
          </w:tcPr>
          <w:p>
            <w:pPr>
              <w:spacing w:line="440" w:lineRule="exact"/>
              <w:jc w:val="center"/>
              <w:rPr>
                <w:rFonts w:ascii="宋体" w:hAnsi="宋体"/>
                <w:color w:val="000000"/>
                <w:szCs w:val="21"/>
              </w:rPr>
            </w:pPr>
          </w:p>
        </w:tc>
        <w:tc>
          <w:tcPr>
            <w:tcW w:w="802" w:type="dxa"/>
          </w:tcPr>
          <w:p>
            <w:pPr>
              <w:spacing w:line="440" w:lineRule="exact"/>
              <w:jc w:val="center"/>
              <w:rPr>
                <w:rFonts w:ascii="宋体" w:hAnsi="宋体"/>
                <w:color w:val="000000"/>
                <w:szCs w:val="21"/>
              </w:rPr>
            </w:pPr>
          </w:p>
        </w:tc>
        <w:tc>
          <w:tcPr>
            <w:tcW w:w="879" w:type="dxa"/>
          </w:tcPr>
          <w:p>
            <w:pPr>
              <w:spacing w:line="440" w:lineRule="exact"/>
              <w:jc w:val="center"/>
              <w:rPr>
                <w:rFonts w:ascii="宋体" w:hAnsi="宋体"/>
                <w:color w:val="000000"/>
                <w:szCs w:val="21"/>
              </w:rPr>
            </w:pPr>
          </w:p>
        </w:tc>
        <w:tc>
          <w:tcPr>
            <w:tcW w:w="903" w:type="dxa"/>
          </w:tcPr>
          <w:p>
            <w:pPr>
              <w:spacing w:line="440" w:lineRule="exact"/>
              <w:jc w:val="center"/>
              <w:rPr>
                <w:rFonts w:ascii="宋体" w:hAnsi="宋体"/>
                <w:color w:val="000000"/>
                <w:szCs w:val="21"/>
              </w:rPr>
            </w:pPr>
          </w:p>
        </w:tc>
        <w:tc>
          <w:tcPr>
            <w:tcW w:w="1043" w:type="dxa"/>
          </w:tcPr>
          <w:p>
            <w:pPr>
              <w:spacing w:line="440" w:lineRule="exact"/>
              <w:jc w:val="center"/>
              <w:rPr>
                <w:rFonts w:ascii="宋体" w:hAnsi="宋体"/>
                <w:color w:val="000000"/>
                <w:szCs w:val="21"/>
              </w:rPr>
            </w:pPr>
          </w:p>
        </w:tc>
        <w:tc>
          <w:tcPr>
            <w:tcW w:w="940" w:type="dxa"/>
          </w:tcPr>
          <w:p>
            <w:pPr>
              <w:spacing w:line="440" w:lineRule="exact"/>
              <w:jc w:val="center"/>
              <w:rPr>
                <w:rFonts w:ascii="宋体" w:hAnsi="宋体"/>
                <w:color w:val="000000"/>
                <w:szCs w:val="21"/>
              </w:rPr>
            </w:pPr>
          </w:p>
        </w:tc>
        <w:tc>
          <w:tcPr>
            <w:tcW w:w="65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color w:val="000000"/>
                <w:szCs w:val="21"/>
              </w:rPr>
            </w:pPr>
          </w:p>
        </w:tc>
        <w:tc>
          <w:tcPr>
            <w:tcW w:w="1183" w:type="dxa"/>
          </w:tcPr>
          <w:p>
            <w:pPr>
              <w:spacing w:line="440" w:lineRule="exact"/>
              <w:jc w:val="center"/>
              <w:rPr>
                <w:rFonts w:ascii="宋体" w:hAnsi="宋体"/>
                <w:color w:val="000000"/>
                <w:szCs w:val="21"/>
              </w:rPr>
            </w:pPr>
          </w:p>
        </w:tc>
        <w:tc>
          <w:tcPr>
            <w:tcW w:w="908" w:type="dxa"/>
          </w:tcPr>
          <w:p>
            <w:pPr>
              <w:spacing w:line="440" w:lineRule="exact"/>
              <w:jc w:val="center"/>
              <w:rPr>
                <w:rFonts w:ascii="宋体" w:hAnsi="宋体"/>
                <w:color w:val="000000"/>
                <w:szCs w:val="21"/>
              </w:rPr>
            </w:pPr>
          </w:p>
        </w:tc>
        <w:tc>
          <w:tcPr>
            <w:tcW w:w="880" w:type="dxa"/>
          </w:tcPr>
          <w:p>
            <w:pPr>
              <w:spacing w:line="440" w:lineRule="exact"/>
              <w:jc w:val="center"/>
              <w:rPr>
                <w:rFonts w:ascii="宋体" w:hAnsi="宋体"/>
                <w:color w:val="000000"/>
                <w:szCs w:val="21"/>
              </w:rPr>
            </w:pPr>
          </w:p>
        </w:tc>
        <w:tc>
          <w:tcPr>
            <w:tcW w:w="802" w:type="dxa"/>
          </w:tcPr>
          <w:p>
            <w:pPr>
              <w:spacing w:line="440" w:lineRule="exact"/>
              <w:jc w:val="center"/>
              <w:rPr>
                <w:rFonts w:ascii="宋体" w:hAnsi="宋体"/>
                <w:color w:val="000000"/>
                <w:szCs w:val="21"/>
              </w:rPr>
            </w:pPr>
          </w:p>
        </w:tc>
        <w:tc>
          <w:tcPr>
            <w:tcW w:w="879" w:type="dxa"/>
          </w:tcPr>
          <w:p>
            <w:pPr>
              <w:spacing w:line="440" w:lineRule="exact"/>
              <w:jc w:val="center"/>
              <w:rPr>
                <w:rFonts w:ascii="宋体" w:hAnsi="宋体"/>
                <w:color w:val="000000"/>
                <w:szCs w:val="21"/>
              </w:rPr>
            </w:pPr>
          </w:p>
        </w:tc>
        <w:tc>
          <w:tcPr>
            <w:tcW w:w="903" w:type="dxa"/>
          </w:tcPr>
          <w:p>
            <w:pPr>
              <w:spacing w:line="440" w:lineRule="exact"/>
              <w:jc w:val="center"/>
              <w:rPr>
                <w:rFonts w:ascii="宋体" w:hAnsi="宋体"/>
                <w:color w:val="000000"/>
                <w:szCs w:val="21"/>
              </w:rPr>
            </w:pPr>
          </w:p>
        </w:tc>
        <w:tc>
          <w:tcPr>
            <w:tcW w:w="1043" w:type="dxa"/>
          </w:tcPr>
          <w:p>
            <w:pPr>
              <w:spacing w:line="440" w:lineRule="exact"/>
              <w:jc w:val="center"/>
              <w:rPr>
                <w:rFonts w:ascii="宋体" w:hAnsi="宋体"/>
                <w:color w:val="000000"/>
                <w:szCs w:val="21"/>
              </w:rPr>
            </w:pPr>
          </w:p>
        </w:tc>
        <w:tc>
          <w:tcPr>
            <w:tcW w:w="940" w:type="dxa"/>
          </w:tcPr>
          <w:p>
            <w:pPr>
              <w:spacing w:line="440" w:lineRule="exact"/>
              <w:jc w:val="center"/>
              <w:rPr>
                <w:rFonts w:ascii="宋体" w:hAnsi="宋体"/>
                <w:color w:val="000000"/>
                <w:szCs w:val="21"/>
              </w:rPr>
            </w:pPr>
          </w:p>
        </w:tc>
        <w:tc>
          <w:tcPr>
            <w:tcW w:w="65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color w:val="000000"/>
                <w:szCs w:val="21"/>
              </w:rPr>
            </w:pPr>
          </w:p>
        </w:tc>
        <w:tc>
          <w:tcPr>
            <w:tcW w:w="1183" w:type="dxa"/>
          </w:tcPr>
          <w:p>
            <w:pPr>
              <w:spacing w:line="440" w:lineRule="exact"/>
              <w:jc w:val="center"/>
              <w:rPr>
                <w:rFonts w:ascii="宋体" w:hAnsi="宋体"/>
                <w:color w:val="000000"/>
                <w:szCs w:val="21"/>
              </w:rPr>
            </w:pPr>
          </w:p>
        </w:tc>
        <w:tc>
          <w:tcPr>
            <w:tcW w:w="908" w:type="dxa"/>
          </w:tcPr>
          <w:p>
            <w:pPr>
              <w:spacing w:line="440" w:lineRule="exact"/>
              <w:jc w:val="center"/>
              <w:rPr>
                <w:rFonts w:ascii="宋体" w:hAnsi="宋体"/>
                <w:color w:val="000000"/>
                <w:szCs w:val="21"/>
              </w:rPr>
            </w:pPr>
          </w:p>
        </w:tc>
        <w:tc>
          <w:tcPr>
            <w:tcW w:w="880" w:type="dxa"/>
          </w:tcPr>
          <w:p>
            <w:pPr>
              <w:spacing w:line="440" w:lineRule="exact"/>
              <w:jc w:val="center"/>
              <w:rPr>
                <w:rFonts w:ascii="宋体" w:hAnsi="宋体"/>
                <w:color w:val="000000"/>
                <w:szCs w:val="21"/>
              </w:rPr>
            </w:pPr>
          </w:p>
        </w:tc>
        <w:tc>
          <w:tcPr>
            <w:tcW w:w="802" w:type="dxa"/>
          </w:tcPr>
          <w:p>
            <w:pPr>
              <w:spacing w:line="440" w:lineRule="exact"/>
              <w:jc w:val="center"/>
              <w:rPr>
                <w:rFonts w:ascii="宋体" w:hAnsi="宋体"/>
                <w:color w:val="000000"/>
                <w:szCs w:val="21"/>
              </w:rPr>
            </w:pPr>
          </w:p>
        </w:tc>
        <w:tc>
          <w:tcPr>
            <w:tcW w:w="879" w:type="dxa"/>
          </w:tcPr>
          <w:p>
            <w:pPr>
              <w:spacing w:line="440" w:lineRule="exact"/>
              <w:jc w:val="center"/>
              <w:rPr>
                <w:rFonts w:ascii="宋体" w:hAnsi="宋体"/>
                <w:color w:val="000000"/>
                <w:szCs w:val="21"/>
              </w:rPr>
            </w:pPr>
          </w:p>
        </w:tc>
        <w:tc>
          <w:tcPr>
            <w:tcW w:w="903" w:type="dxa"/>
          </w:tcPr>
          <w:p>
            <w:pPr>
              <w:spacing w:line="440" w:lineRule="exact"/>
              <w:jc w:val="center"/>
              <w:rPr>
                <w:rFonts w:ascii="宋体" w:hAnsi="宋体"/>
                <w:color w:val="000000"/>
                <w:szCs w:val="21"/>
              </w:rPr>
            </w:pPr>
          </w:p>
        </w:tc>
        <w:tc>
          <w:tcPr>
            <w:tcW w:w="1043" w:type="dxa"/>
          </w:tcPr>
          <w:p>
            <w:pPr>
              <w:spacing w:line="440" w:lineRule="exact"/>
              <w:jc w:val="center"/>
              <w:rPr>
                <w:rFonts w:ascii="宋体" w:hAnsi="宋体"/>
                <w:color w:val="000000"/>
                <w:szCs w:val="21"/>
              </w:rPr>
            </w:pPr>
          </w:p>
        </w:tc>
        <w:tc>
          <w:tcPr>
            <w:tcW w:w="940" w:type="dxa"/>
          </w:tcPr>
          <w:p>
            <w:pPr>
              <w:spacing w:line="440" w:lineRule="exact"/>
              <w:jc w:val="center"/>
              <w:rPr>
                <w:rFonts w:ascii="宋体" w:hAnsi="宋体"/>
                <w:color w:val="000000"/>
                <w:szCs w:val="21"/>
              </w:rPr>
            </w:pPr>
          </w:p>
        </w:tc>
        <w:tc>
          <w:tcPr>
            <w:tcW w:w="65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color w:val="000000"/>
                <w:szCs w:val="21"/>
              </w:rPr>
            </w:pPr>
          </w:p>
        </w:tc>
        <w:tc>
          <w:tcPr>
            <w:tcW w:w="1183" w:type="dxa"/>
          </w:tcPr>
          <w:p>
            <w:pPr>
              <w:spacing w:line="440" w:lineRule="exact"/>
              <w:jc w:val="center"/>
              <w:rPr>
                <w:rFonts w:ascii="宋体" w:hAnsi="宋体"/>
                <w:color w:val="000000"/>
                <w:szCs w:val="21"/>
              </w:rPr>
            </w:pPr>
          </w:p>
        </w:tc>
        <w:tc>
          <w:tcPr>
            <w:tcW w:w="908" w:type="dxa"/>
          </w:tcPr>
          <w:p>
            <w:pPr>
              <w:spacing w:line="440" w:lineRule="exact"/>
              <w:jc w:val="center"/>
              <w:rPr>
                <w:rFonts w:ascii="宋体" w:hAnsi="宋体"/>
                <w:color w:val="000000"/>
                <w:szCs w:val="21"/>
              </w:rPr>
            </w:pPr>
          </w:p>
        </w:tc>
        <w:tc>
          <w:tcPr>
            <w:tcW w:w="880" w:type="dxa"/>
          </w:tcPr>
          <w:p>
            <w:pPr>
              <w:spacing w:line="440" w:lineRule="exact"/>
              <w:jc w:val="center"/>
              <w:rPr>
                <w:rFonts w:ascii="宋体" w:hAnsi="宋体"/>
                <w:color w:val="000000"/>
                <w:szCs w:val="21"/>
              </w:rPr>
            </w:pPr>
          </w:p>
        </w:tc>
        <w:tc>
          <w:tcPr>
            <w:tcW w:w="802" w:type="dxa"/>
          </w:tcPr>
          <w:p>
            <w:pPr>
              <w:spacing w:line="440" w:lineRule="exact"/>
              <w:jc w:val="center"/>
              <w:rPr>
                <w:rFonts w:ascii="宋体" w:hAnsi="宋体"/>
                <w:color w:val="000000"/>
                <w:szCs w:val="21"/>
              </w:rPr>
            </w:pPr>
          </w:p>
        </w:tc>
        <w:tc>
          <w:tcPr>
            <w:tcW w:w="879" w:type="dxa"/>
          </w:tcPr>
          <w:p>
            <w:pPr>
              <w:spacing w:line="440" w:lineRule="exact"/>
              <w:jc w:val="center"/>
              <w:rPr>
                <w:rFonts w:ascii="宋体" w:hAnsi="宋体"/>
                <w:color w:val="000000"/>
                <w:szCs w:val="21"/>
              </w:rPr>
            </w:pPr>
          </w:p>
        </w:tc>
        <w:tc>
          <w:tcPr>
            <w:tcW w:w="903" w:type="dxa"/>
          </w:tcPr>
          <w:p>
            <w:pPr>
              <w:spacing w:line="440" w:lineRule="exact"/>
              <w:jc w:val="center"/>
              <w:rPr>
                <w:rFonts w:ascii="宋体" w:hAnsi="宋体"/>
                <w:color w:val="000000"/>
                <w:szCs w:val="21"/>
              </w:rPr>
            </w:pPr>
          </w:p>
        </w:tc>
        <w:tc>
          <w:tcPr>
            <w:tcW w:w="1043" w:type="dxa"/>
          </w:tcPr>
          <w:p>
            <w:pPr>
              <w:spacing w:line="440" w:lineRule="exact"/>
              <w:jc w:val="center"/>
              <w:rPr>
                <w:rFonts w:ascii="宋体" w:hAnsi="宋体"/>
                <w:color w:val="000000"/>
                <w:szCs w:val="21"/>
              </w:rPr>
            </w:pPr>
          </w:p>
        </w:tc>
        <w:tc>
          <w:tcPr>
            <w:tcW w:w="940" w:type="dxa"/>
          </w:tcPr>
          <w:p>
            <w:pPr>
              <w:spacing w:line="440" w:lineRule="exact"/>
              <w:jc w:val="center"/>
              <w:rPr>
                <w:rFonts w:ascii="宋体" w:hAnsi="宋体"/>
                <w:color w:val="000000"/>
                <w:szCs w:val="21"/>
              </w:rPr>
            </w:pPr>
          </w:p>
        </w:tc>
        <w:tc>
          <w:tcPr>
            <w:tcW w:w="65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color w:val="000000"/>
                <w:szCs w:val="21"/>
              </w:rPr>
            </w:pPr>
          </w:p>
        </w:tc>
        <w:tc>
          <w:tcPr>
            <w:tcW w:w="1183" w:type="dxa"/>
          </w:tcPr>
          <w:p>
            <w:pPr>
              <w:spacing w:line="440" w:lineRule="exact"/>
              <w:jc w:val="center"/>
              <w:rPr>
                <w:rFonts w:ascii="宋体" w:hAnsi="宋体"/>
                <w:color w:val="000000"/>
                <w:szCs w:val="21"/>
              </w:rPr>
            </w:pPr>
          </w:p>
        </w:tc>
        <w:tc>
          <w:tcPr>
            <w:tcW w:w="908" w:type="dxa"/>
          </w:tcPr>
          <w:p>
            <w:pPr>
              <w:spacing w:line="440" w:lineRule="exact"/>
              <w:jc w:val="center"/>
              <w:rPr>
                <w:rFonts w:ascii="宋体" w:hAnsi="宋体"/>
                <w:color w:val="000000"/>
                <w:szCs w:val="21"/>
              </w:rPr>
            </w:pPr>
          </w:p>
        </w:tc>
        <w:tc>
          <w:tcPr>
            <w:tcW w:w="880" w:type="dxa"/>
          </w:tcPr>
          <w:p>
            <w:pPr>
              <w:spacing w:line="440" w:lineRule="exact"/>
              <w:jc w:val="center"/>
              <w:rPr>
                <w:rFonts w:ascii="宋体" w:hAnsi="宋体"/>
                <w:color w:val="000000"/>
                <w:szCs w:val="21"/>
              </w:rPr>
            </w:pPr>
          </w:p>
        </w:tc>
        <w:tc>
          <w:tcPr>
            <w:tcW w:w="802" w:type="dxa"/>
          </w:tcPr>
          <w:p>
            <w:pPr>
              <w:spacing w:line="440" w:lineRule="exact"/>
              <w:jc w:val="center"/>
              <w:rPr>
                <w:rFonts w:ascii="宋体" w:hAnsi="宋体"/>
                <w:color w:val="000000"/>
                <w:szCs w:val="21"/>
              </w:rPr>
            </w:pPr>
          </w:p>
        </w:tc>
        <w:tc>
          <w:tcPr>
            <w:tcW w:w="879" w:type="dxa"/>
          </w:tcPr>
          <w:p>
            <w:pPr>
              <w:spacing w:line="440" w:lineRule="exact"/>
              <w:jc w:val="center"/>
              <w:rPr>
                <w:rFonts w:ascii="宋体" w:hAnsi="宋体"/>
                <w:color w:val="000000"/>
                <w:szCs w:val="21"/>
              </w:rPr>
            </w:pPr>
          </w:p>
        </w:tc>
        <w:tc>
          <w:tcPr>
            <w:tcW w:w="903" w:type="dxa"/>
          </w:tcPr>
          <w:p>
            <w:pPr>
              <w:spacing w:line="440" w:lineRule="exact"/>
              <w:jc w:val="center"/>
              <w:rPr>
                <w:rFonts w:ascii="宋体" w:hAnsi="宋体"/>
                <w:color w:val="000000"/>
                <w:szCs w:val="21"/>
              </w:rPr>
            </w:pPr>
          </w:p>
        </w:tc>
        <w:tc>
          <w:tcPr>
            <w:tcW w:w="1043" w:type="dxa"/>
          </w:tcPr>
          <w:p>
            <w:pPr>
              <w:spacing w:line="440" w:lineRule="exact"/>
              <w:jc w:val="center"/>
              <w:rPr>
                <w:rFonts w:ascii="宋体" w:hAnsi="宋体"/>
                <w:color w:val="000000"/>
                <w:szCs w:val="21"/>
              </w:rPr>
            </w:pPr>
          </w:p>
        </w:tc>
        <w:tc>
          <w:tcPr>
            <w:tcW w:w="940" w:type="dxa"/>
          </w:tcPr>
          <w:p>
            <w:pPr>
              <w:spacing w:line="440" w:lineRule="exact"/>
              <w:jc w:val="center"/>
              <w:rPr>
                <w:rFonts w:ascii="宋体" w:hAnsi="宋体"/>
                <w:color w:val="000000"/>
                <w:szCs w:val="21"/>
              </w:rPr>
            </w:pPr>
          </w:p>
        </w:tc>
        <w:tc>
          <w:tcPr>
            <w:tcW w:w="65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color w:val="000000"/>
                <w:szCs w:val="21"/>
              </w:rPr>
            </w:pPr>
          </w:p>
        </w:tc>
        <w:tc>
          <w:tcPr>
            <w:tcW w:w="1183" w:type="dxa"/>
          </w:tcPr>
          <w:p>
            <w:pPr>
              <w:spacing w:line="440" w:lineRule="exact"/>
              <w:jc w:val="center"/>
              <w:rPr>
                <w:rFonts w:ascii="宋体" w:hAnsi="宋体"/>
                <w:color w:val="000000"/>
                <w:szCs w:val="21"/>
              </w:rPr>
            </w:pPr>
          </w:p>
        </w:tc>
        <w:tc>
          <w:tcPr>
            <w:tcW w:w="908" w:type="dxa"/>
          </w:tcPr>
          <w:p>
            <w:pPr>
              <w:spacing w:line="440" w:lineRule="exact"/>
              <w:jc w:val="center"/>
              <w:rPr>
                <w:rFonts w:ascii="宋体" w:hAnsi="宋体"/>
                <w:color w:val="000000"/>
                <w:szCs w:val="21"/>
              </w:rPr>
            </w:pPr>
          </w:p>
        </w:tc>
        <w:tc>
          <w:tcPr>
            <w:tcW w:w="880" w:type="dxa"/>
          </w:tcPr>
          <w:p>
            <w:pPr>
              <w:spacing w:line="440" w:lineRule="exact"/>
              <w:jc w:val="center"/>
              <w:rPr>
                <w:rFonts w:ascii="宋体" w:hAnsi="宋体"/>
                <w:color w:val="000000"/>
                <w:szCs w:val="21"/>
              </w:rPr>
            </w:pPr>
          </w:p>
        </w:tc>
        <w:tc>
          <w:tcPr>
            <w:tcW w:w="802" w:type="dxa"/>
          </w:tcPr>
          <w:p>
            <w:pPr>
              <w:spacing w:line="440" w:lineRule="exact"/>
              <w:jc w:val="center"/>
              <w:rPr>
                <w:rFonts w:ascii="宋体" w:hAnsi="宋体"/>
                <w:color w:val="000000"/>
                <w:szCs w:val="21"/>
              </w:rPr>
            </w:pPr>
          </w:p>
        </w:tc>
        <w:tc>
          <w:tcPr>
            <w:tcW w:w="879" w:type="dxa"/>
          </w:tcPr>
          <w:p>
            <w:pPr>
              <w:spacing w:line="440" w:lineRule="exact"/>
              <w:jc w:val="center"/>
              <w:rPr>
                <w:rFonts w:ascii="宋体" w:hAnsi="宋体"/>
                <w:color w:val="000000"/>
                <w:szCs w:val="21"/>
              </w:rPr>
            </w:pPr>
          </w:p>
        </w:tc>
        <w:tc>
          <w:tcPr>
            <w:tcW w:w="903" w:type="dxa"/>
          </w:tcPr>
          <w:p>
            <w:pPr>
              <w:spacing w:line="440" w:lineRule="exact"/>
              <w:jc w:val="center"/>
              <w:rPr>
                <w:rFonts w:ascii="宋体" w:hAnsi="宋体"/>
                <w:color w:val="000000"/>
                <w:szCs w:val="21"/>
              </w:rPr>
            </w:pPr>
          </w:p>
        </w:tc>
        <w:tc>
          <w:tcPr>
            <w:tcW w:w="1043" w:type="dxa"/>
          </w:tcPr>
          <w:p>
            <w:pPr>
              <w:spacing w:line="440" w:lineRule="exact"/>
              <w:jc w:val="center"/>
              <w:rPr>
                <w:rFonts w:ascii="宋体" w:hAnsi="宋体"/>
                <w:color w:val="000000"/>
                <w:szCs w:val="21"/>
              </w:rPr>
            </w:pPr>
          </w:p>
        </w:tc>
        <w:tc>
          <w:tcPr>
            <w:tcW w:w="940" w:type="dxa"/>
          </w:tcPr>
          <w:p>
            <w:pPr>
              <w:spacing w:line="440" w:lineRule="exact"/>
              <w:jc w:val="center"/>
              <w:rPr>
                <w:rFonts w:ascii="宋体" w:hAnsi="宋体"/>
                <w:color w:val="000000"/>
                <w:szCs w:val="21"/>
              </w:rPr>
            </w:pPr>
          </w:p>
        </w:tc>
        <w:tc>
          <w:tcPr>
            <w:tcW w:w="65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color w:val="000000"/>
                <w:szCs w:val="21"/>
              </w:rPr>
            </w:pPr>
          </w:p>
        </w:tc>
        <w:tc>
          <w:tcPr>
            <w:tcW w:w="1183" w:type="dxa"/>
          </w:tcPr>
          <w:p>
            <w:pPr>
              <w:spacing w:line="440" w:lineRule="exact"/>
              <w:jc w:val="center"/>
              <w:rPr>
                <w:rFonts w:ascii="宋体" w:hAnsi="宋体"/>
                <w:color w:val="000000"/>
                <w:szCs w:val="21"/>
              </w:rPr>
            </w:pPr>
          </w:p>
        </w:tc>
        <w:tc>
          <w:tcPr>
            <w:tcW w:w="908" w:type="dxa"/>
          </w:tcPr>
          <w:p>
            <w:pPr>
              <w:spacing w:line="440" w:lineRule="exact"/>
              <w:jc w:val="center"/>
              <w:rPr>
                <w:rFonts w:ascii="宋体" w:hAnsi="宋体"/>
                <w:color w:val="000000"/>
                <w:szCs w:val="21"/>
              </w:rPr>
            </w:pPr>
          </w:p>
        </w:tc>
        <w:tc>
          <w:tcPr>
            <w:tcW w:w="880" w:type="dxa"/>
          </w:tcPr>
          <w:p>
            <w:pPr>
              <w:spacing w:line="440" w:lineRule="exact"/>
              <w:jc w:val="center"/>
              <w:rPr>
                <w:rFonts w:ascii="宋体" w:hAnsi="宋体"/>
                <w:color w:val="000000"/>
                <w:szCs w:val="21"/>
              </w:rPr>
            </w:pPr>
          </w:p>
        </w:tc>
        <w:tc>
          <w:tcPr>
            <w:tcW w:w="802" w:type="dxa"/>
          </w:tcPr>
          <w:p>
            <w:pPr>
              <w:spacing w:line="440" w:lineRule="exact"/>
              <w:jc w:val="center"/>
              <w:rPr>
                <w:rFonts w:ascii="宋体" w:hAnsi="宋体"/>
                <w:color w:val="000000"/>
                <w:szCs w:val="21"/>
              </w:rPr>
            </w:pPr>
          </w:p>
        </w:tc>
        <w:tc>
          <w:tcPr>
            <w:tcW w:w="879" w:type="dxa"/>
          </w:tcPr>
          <w:p>
            <w:pPr>
              <w:spacing w:line="440" w:lineRule="exact"/>
              <w:jc w:val="center"/>
              <w:rPr>
                <w:rFonts w:ascii="宋体" w:hAnsi="宋体"/>
                <w:color w:val="000000"/>
                <w:szCs w:val="21"/>
              </w:rPr>
            </w:pPr>
          </w:p>
        </w:tc>
        <w:tc>
          <w:tcPr>
            <w:tcW w:w="903" w:type="dxa"/>
          </w:tcPr>
          <w:p>
            <w:pPr>
              <w:spacing w:line="440" w:lineRule="exact"/>
              <w:jc w:val="center"/>
              <w:rPr>
                <w:rFonts w:ascii="宋体" w:hAnsi="宋体"/>
                <w:color w:val="000000"/>
                <w:szCs w:val="21"/>
              </w:rPr>
            </w:pPr>
          </w:p>
        </w:tc>
        <w:tc>
          <w:tcPr>
            <w:tcW w:w="1043" w:type="dxa"/>
          </w:tcPr>
          <w:p>
            <w:pPr>
              <w:spacing w:line="440" w:lineRule="exact"/>
              <w:jc w:val="center"/>
              <w:rPr>
                <w:rFonts w:ascii="宋体" w:hAnsi="宋体"/>
                <w:color w:val="000000"/>
                <w:szCs w:val="21"/>
              </w:rPr>
            </w:pPr>
          </w:p>
        </w:tc>
        <w:tc>
          <w:tcPr>
            <w:tcW w:w="940" w:type="dxa"/>
          </w:tcPr>
          <w:p>
            <w:pPr>
              <w:spacing w:line="440" w:lineRule="exact"/>
              <w:jc w:val="center"/>
              <w:rPr>
                <w:rFonts w:ascii="宋体" w:hAnsi="宋体"/>
                <w:color w:val="000000"/>
                <w:szCs w:val="21"/>
              </w:rPr>
            </w:pPr>
          </w:p>
        </w:tc>
        <w:tc>
          <w:tcPr>
            <w:tcW w:w="65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color w:val="000000"/>
                <w:szCs w:val="21"/>
              </w:rPr>
            </w:pPr>
          </w:p>
        </w:tc>
        <w:tc>
          <w:tcPr>
            <w:tcW w:w="1183" w:type="dxa"/>
          </w:tcPr>
          <w:p>
            <w:pPr>
              <w:spacing w:line="440" w:lineRule="exact"/>
              <w:jc w:val="center"/>
              <w:rPr>
                <w:rFonts w:ascii="宋体" w:hAnsi="宋体"/>
                <w:color w:val="000000"/>
                <w:szCs w:val="21"/>
              </w:rPr>
            </w:pPr>
          </w:p>
        </w:tc>
        <w:tc>
          <w:tcPr>
            <w:tcW w:w="908" w:type="dxa"/>
          </w:tcPr>
          <w:p>
            <w:pPr>
              <w:spacing w:line="440" w:lineRule="exact"/>
              <w:jc w:val="center"/>
              <w:rPr>
                <w:rFonts w:ascii="宋体" w:hAnsi="宋体"/>
                <w:color w:val="000000"/>
                <w:szCs w:val="21"/>
              </w:rPr>
            </w:pPr>
          </w:p>
        </w:tc>
        <w:tc>
          <w:tcPr>
            <w:tcW w:w="880" w:type="dxa"/>
          </w:tcPr>
          <w:p>
            <w:pPr>
              <w:spacing w:line="440" w:lineRule="exact"/>
              <w:jc w:val="center"/>
              <w:rPr>
                <w:rFonts w:ascii="宋体" w:hAnsi="宋体"/>
                <w:color w:val="000000"/>
                <w:szCs w:val="21"/>
              </w:rPr>
            </w:pPr>
          </w:p>
        </w:tc>
        <w:tc>
          <w:tcPr>
            <w:tcW w:w="802" w:type="dxa"/>
          </w:tcPr>
          <w:p>
            <w:pPr>
              <w:spacing w:line="440" w:lineRule="exact"/>
              <w:jc w:val="center"/>
              <w:rPr>
                <w:rFonts w:ascii="宋体" w:hAnsi="宋体"/>
                <w:color w:val="000000"/>
                <w:szCs w:val="21"/>
              </w:rPr>
            </w:pPr>
          </w:p>
        </w:tc>
        <w:tc>
          <w:tcPr>
            <w:tcW w:w="879" w:type="dxa"/>
          </w:tcPr>
          <w:p>
            <w:pPr>
              <w:spacing w:line="440" w:lineRule="exact"/>
              <w:jc w:val="center"/>
              <w:rPr>
                <w:rFonts w:ascii="宋体" w:hAnsi="宋体"/>
                <w:color w:val="000000"/>
                <w:szCs w:val="21"/>
              </w:rPr>
            </w:pPr>
          </w:p>
        </w:tc>
        <w:tc>
          <w:tcPr>
            <w:tcW w:w="903" w:type="dxa"/>
          </w:tcPr>
          <w:p>
            <w:pPr>
              <w:spacing w:line="440" w:lineRule="exact"/>
              <w:jc w:val="center"/>
              <w:rPr>
                <w:rFonts w:ascii="宋体" w:hAnsi="宋体"/>
                <w:color w:val="000000"/>
                <w:szCs w:val="21"/>
              </w:rPr>
            </w:pPr>
          </w:p>
        </w:tc>
        <w:tc>
          <w:tcPr>
            <w:tcW w:w="1043" w:type="dxa"/>
          </w:tcPr>
          <w:p>
            <w:pPr>
              <w:spacing w:line="440" w:lineRule="exact"/>
              <w:jc w:val="center"/>
              <w:rPr>
                <w:rFonts w:ascii="宋体" w:hAnsi="宋体"/>
                <w:color w:val="000000"/>
                <w:szCs w:val="21"/>
              </w:rPr>
            </w:pPr>
          </w:p>
        </w:tc>
        <w:tc>
          <w:tcPr>
            <w:tcW w:w="940" w:type="dxa"/>
          </w:tcPr>
          <w:p>
            <w:pPr>
              <w:spacing w:line="440" w:lineRule="exact"/>
              <w:jc w:val="center"/>
              <w:rPr>
                <w:rFonts w:ascii="宋体" w:hAnsi="宋体"/>
                <w:color w:val="000000"/>
                <w:szCs w:val="21"/>
              </w:rPr>
            </w:pPr>
          </w:p>
        </w:tc>
        <w:tc>
          <w:tcPr>
            <w:tcW w:w="656" w:type="dxa"/>
          </w:tcPr>
          <w:p>
            <w:pPr>
              <w:spacing w:line="440" w:lineRule="exact"/>
              <w:jc w:val="center"/>
              <w:rPr>
                <w:rFonts w:ascii="宋体" w:hAnsi="宋体"/>
                <w:color w:val="000000"/>
                <w:szCs w:val="21"/>
              </w:rPr>
            </w:pPr>
          </w:p>
        </w:tc>
      </w:tr>
    </w:tbl>
    <w:p>
      <w:pPr>
        <w:spacing w:line="440" w:lineRule="exact"/>
        <w:rPr>
          <w:rFonts w:ascii="宋体" w:hAnsi="宋体"/>
          <w:color w:val="000000"/>
          <w:sz w:val="20"/>
          <w:szCs w:val="20"/>
        </w:rPr>
      </w:pPr>
    </w:p>
    <w:p>
      <w:pPr>
        <w:spacing w:line="440" w:lineRule="exact"/>
        <w:rPr>
          <w:rFonts w:ascii="宋体" w:hAnsi="宋体"/>
          <w:color w:val="000000"/>
        </w:rPr>
      </w:pPr>
      <w:r>
        <w:rPr>
          <w:rFonts w:ascii="宋体" w:hAnsi="宋体"/>
          <w:color w:val="000000"/>
          <w:sz w:val="20"/>
          <w:szCs w:val="20"/>
        </w:rPr>
        <w:br w:type="page"/>
      </w:r>
      <w:bookmarkStart w:id="103" w:name="_Toc152042587"/>
      <w:bookmarkStart w:id="104" w:name="_Toc144974866"/>
      <w:bookmarkStart w:id="105" w:name="_Toc246392156"/>
      <w:bookmarkStart w:id="106" w:name="_Toc4957"/>
      <w:bookmarkStart w:id="107" w:name="_Toc152045798"/>
      <w:bookmarkStart w:id="108" w:name="_Toc179632818"/>
      <w:r>
        <w:rPr>
          <w:rFonts w:hint="eastAsia" w:ascii="宋体" w:hAnsi="宋体"/>
          <w:color w:val="000000"/>
        </w:rPr>
        <w:t>附表二：拟配备本标段的试验和检测仪器设备表</w:t>
      </w:r>
      <w:bookmarkEnd w:id="103"/>
      <w:bookmarkEnd w:id="104"/>
      <w:bookmarkEnd w:id="105"/>
      <w:bookmarkEnd w:id="106"/>
      <w:bookmarkEnd w:id="107"/>
      <w:bookmarkEnd w:id="108"/>
    </w:p>
    <w:p>
      <w:pPr>
        <w:spacing w:line="440" w:lineRule="exact"/>
        <w:rPr>
          <w:rFonts w:ascii="宋体" w:hAnsi="宋体"/>
          <w:color w:val="000000"/>
          <w:sz w:val="20"/>
          <w:szCs w:val="20"/>
        </w:rPr>
      </w:pPr>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color w:val="000000"/>
                <w:szCs w:val="21"/>
              </w:rPr>
            </w:pPr>
            <w:r>
              <w:rPr>
                <w:rFonts w:hint="eastAsia" w:ascii="宋体" w:hAnsi="宋体"/>
                <w:color w:val="000000"/>
                <w:szCs w:val="21"/>
              </w:rPr>
              <w:t>序号</w:t>
            </w:r>
          </w:p>
        </w:tc>
        <w:tc>
          <w:tcPr>
            <w:tcW w:w="1307" w:type="dxa"/>
            <w:vAlign w:val="center"/>
          </w:tcPr>
          <w:p>
            <w:pPr>
              <w:spacing w:line="440" w:lineRule="exact"/>
              <w:jc w:val="center"/>
              <w:rPr>
                <w:rFonts w:ascii="宋体" w:hAnsi="宋体"/>
                <w:color w:val="000000"/>
                <w:szCs w:val="21"/>
              </w:rPr>
            </w:pPr>
            <w:r>
              <w:rPr>
                <w:rFonts w:hint="eastAsia" w:ascii="宋体" w:hAnsi="宋体"/>
                <w:color w:val="000000"/>
                <w:szCs w:val="21"/>
              </w:rPr>
              <w:t>仪器设备名称</w:t>
            </w:r>
          </w:p>
        </w:tc>
        <w:tc>
          <w:tcPr>
            <w:tcW w:w="915" w:type="dxa"/>
            <w:vAlign w:val="center"/>
          </w:tcPr>
          <w:p>
            <w:pPr>
              <w:spacing w:line="440" w:lineRule="exact"/>
              <w:jc w:val="center"/>
              <w:rPr>
                <w:rFonts w:ascii="宋体" w:hAnsi="宋体"/>
                <w:color w:val="000000"/>
                <w:szCs w:val="21"/>
              </w:rPr>
            </w:pPr>
            <w:r>
              <w:rPr>
                <w:rFonts w:hint="eastAsia" w:ascii="宋体" w:hAnsi="宋体"/>
                <w:color w:val="000000"/>
                <w:szCs w:val="21"/>
              </w:rPr>
              <w:t>型号</w:t>
            </w:r>
          </w:p>
          <w:p>
            <w:pPr>
              <w:spacing w:line="440" w:lineRule="exact"/>
              <w:jc w:val="center"/>
              <w:rPr>
                <w:rFonts w:ascii="宋体" w:hAnsi="宋体"/>
                <w:color w:val="000000"/>
                <w:szCs w:val="21"/>
              </w:rPr>
            </w:pPr>
            <w:r>
              <w:rPr>
                <w:rFonts w:hint="eastAsia" w:ascii="宋体" w:hAnsi="宋体"/>
                <w:color w:val="000000"/>
                <w:szCs w:val="21"/>
              </w:rPr>
              <w:t>规格</w:t>
            </w:r>
          </w:p>
        </w:tc>
        <w:tc>
          <w:tcPr>
            <w:tcW w:w="739" w:type="dxa"/>
            <w:vAlign w:val="center"/>
          </w:tcPr>
          <w:p>
            <w:pPr>
              <w:spacing w:line="440" w:lineRule="exact"/>
              <w:jc w:val="center"/>
              <w:rPr>
                <w:rFonts w:ascii="宋体" w:hAnsi="宋体"/>
                <w:color w:val="000000"/>
                <w:szCs w:val="21"/>
              </w:rPr>
            </w:pPr>
            <w:r>
              <w:rPr>
                <w:rFonts w:hint="eastAsia" w:ascii="宋体" w:hAnsi="宋体"/>
                <w:color w:val="000000"/>
                <w:szCs w:val="21"/>
              </w:rPr>
              <w:t>数量</w:t>
            </w:r>
          </w:p>
        </w:tc>
        <w:tc>
          <w:tcPr>
            <w:tcW w:w="809" w:type="dxa"/>
            <w:vAlign w:val="center"/>
          </w:tcPr>
          <w:p>
            <w:pPr>
              <w:spacing w:line="440" w:lineRule="exact"/>
              <w:jc w:val="center"/>
              <w:rPr>
                <w:rFonts w:ascii="宋体" w:hAnsi="宋体"/>
                <w:color w:val="000000"/>
                <w:szCs w:val="21"/>
              </w:rPr>
            </w:pPr>
            <w:r>
              <w:rPr>
                <w:rFonts w:hint="eastAsia" w:ascii="宋体" w:hAnsi="宋体"/>
                <w:color w:val="000000"/>
                <w:szCs w:val="21"/>
              </w:rPr>
              <w:t>国别</w:t>
            </w:r>
          </w:p>
          <w:p>
            <w:pPr>
              <w:spacing w:line="440" w:lineRule="exact"/>
              <w:jc w:val="center"/>
              <w:rPr>
                <w:rFonts w:ascii="宋体" w:hAnsi="宋体"/>
                <w:color w:val="000000"/>
                <w:szCs w:val="21"/>
              </w:rPr>
            </w:pPr>
            <w:r>
              <w:rPr>
                <w:rFonts w:hint="eastAsia" w:ascii="宋体" w:hAnsi="宋体"/>
                <w:color w:val="000000"/>
                <w:szCs w:val="21"/>
              </w:rPr>
              <w:t>产地</w:t>
            </w:r>
          </w:p>
        </w:tc>
        <w:tc>
          <w:tcPr>
            <w:tcW w:w="888" w:type="dxa"/>
            <w:vAlign w:val="center"/>
          </w:tcPr>
          <w:p>
            <w:pPr>
              <w:spacing w:line="440" w:lineRule="exact"/>
              <w:jc w:val="center"/>
              <w:rPr>
                <w:rFonts w:ascii="宋体" w:hAnsi="宋体"/>
                <w:color w:val="000000"/>
                <w:szCs w:val="21"/>
              </w:rPr>
            </w:pPr>
            <w:r>
              <w:rPr>
                <w:rFonts w:hint="eastAsia" w:ascii="宋体" w:hAnsi="宋体"/>
                <w:color w:val="000000"/>
                <w:szCs w:val="21"/>
              </w:rPr>
              <w:t>制造</w:t>
            </w:r>
          </w:p>
          <w:p>
            <w:pPr>
              <w:spacing w:line="440" w:lineRule="exact"/>
              <w:jc w:val="center"/>
              <w:rPr>
                <w:rFonts w:ascii="宋体" w:hAnsi="宋体"/>
                <w:color w:val="000000"/>
                <w:szCs w:val="21"/>
              </w:rPr>
            </w:pPr>
            <w:r>
              <w:rPr>
                <w:rFonts w:hint="eastAsia" w:ascii="宋体" w:hAnsi="宋体"/>
                <w:color w:val="000000"/>
                <w:szCs w:val="21"/>
              </w:rPr>
              <w:t>年份</w:t>
            </w:r>
          </w:p>
        </w:tc>
        <w:tc>
          <w:tcPr>
            <w:tcW w:w="1458" w:type="dxa"/>
            <w:vAlign w:val="center"/>
          </w:tcPr>
          <w:p>
            <w:pPr>
              <w:spacing w:line="440" w:lineRule="exact"/>
              <w:jc w:val="center"/>
              <w:rPr>
                <w:rFonts w:ascii="宋体" w:hAnsi="宋体"/>
                <w:color w:val="000000"/>
                <w:szCs w:val="21"/>
              </w:rPr>
            </w:pPr>
            <w:r>
              <w:rPr>
                <w:rFonts w:hint="eastAsia" w:ascii="宋体" w:hAnsi="宋体"/>
                <w:color w:val="000000"/>
                <w:szCs w:val="21"/>
              </w:rPr>
              <w:t>已使用台时数</w:t>
            </w:r>
          </w:p>
        </w:tc>
        <w:tc>
          <w:tcPr>
            <w:tcW w:w="1111" w:type="dxa"/>
            <w:vAlign w:val="center"/>
          </w:tcPr>
          <w:p>
            <w:pPr>
              <w:spacing w:line="440" w:lineRule="exact"/>
              <w:jc w:val="center"/>
              <w:rPr>
                <w:rFonts w:ascii="宋体" w:hAnsi="宋体"/>
                <w:color w:val="000000"/>
                <w:szCs w:val="21"/>
              </w:rPr>
            </w:pPr>
            <w:r>
              <w:rPr>
                <w:rFonts w:hint="eastAsia" w:ascii="宋体" w:hAnsi="宋体"/>
                <w:color w:val="000000"/>
                <w:szCs w:val="21"/>
              </w:rPr>
              <w:t>用途</w:t>
            </w:r>
          </w:p>
        </w:tc>
        <w:tc>
          <w:tcPr>
            <w:tcW w:w="827" w:type="dxa"/>
            <w:vAlign w:val="center"/>
          </w:tcPr>
          <w:p>
            <w:pPr>
              <w:spacing w:line="440" w:lineRule="exact"/>
              <w:jc w:val="center"/>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color w:val="000000"/>
                <w:szCs w:val="21"/>
              </w:rPr>
            </w:pPr>
          </w:p>
        </w:tc>
        <w:tc>
          <w:tcPr>
            <w:tcW w:w="1307" w:type="dxa"/>
            <w:vAlign w:val="center"/>
          </w:tcPr>
          <w:p>
            <w:pPr>
              <w:spacing w:line="440" w:lineRule="exact"/>
              <w:jc w:val="center"/>
              <w:rPr>
                <w:rFonts w:ascii="宋体" w:hAnsi="宋体"/>
                <w:color w:val="000000"/>
                <w:szCs w:val="21"/>
              </w:rPr>
            </w:pPr>
          </w:p>
        </w:tc>
        <w:tc>
          <w:tcPr>
            <w:tcW w:w="915" w:type="dxa"/>
            <w:vAlign w:val="center"/>
          </w:tcPr>
          <w:p>
            <w:pPr>
              <w:spacing w:line="440" w:lineRule="exact"/>
              <w:jc w:val="center"/>
              <w:rPr>
                <w:rFonts w:ascii="宋体" w:hAnsi="宋体"/>
                <w:color w:val="000000"/>
                <w:szCs w:val="21"/>
              </w:rPr>
            </w:pPr>
          </w:p>
        </w:tc>
        <w:tc>
          <w:tcPr>
            <w:tcW w:w="739" w:type="dxa"/>
            <w:vAlign w:val="center"/>
          </w:tcPr>
          <w:p>
            <w:pPr>
              <w:spacing w:line="440" w:lineRule="exact"/>
              <w:jc w:val="center"/>
              <w:rPr>
                <w:rFonts w:ascii="宋体" w:hAnsi="宋体"/>
                <w:color w:val="000000"/>
                <w:szCs w:val="21"/>
              </w:rPr>
            </w:pPr>
          </w:p>
        </w:tc>
        <w:tc>
          <w:tcPr>
            <w:tcW w:w="809" w:type="dxa"/>
            <w:vAlign w:val="center"/>
          </w:tcPr>
          <w:p>
            <w:pPr>
              <w:spacing w:line="440" w:lineRule="exact"/>
              <w:jc w:val="center"/>
              <w:rPr>
                <w:rFonts w:ascii="宋体" w:hAnsi="宋体"/>
                <w:color w:val="000000"/>
                <w:szCs w:val="21"/>
              </w:rPr>
            </w:pPr>
          </w:p>
        </w:tc>
        <w:tc>
          <w:tcPr>
            <w:tcW w:w="888" w:type="dxa"/>
            <w:vAlign w:val="center"/>
          </w:tcPr>
          <w:p>
            <w:pPr>
              <w:spacing w:line="440" w:lineRule="exact"/>
              <w:jc w:val="center"/>
              <w:rPr>
                <w:rFonts w:ascii="宋体" w:hAnsi="宋体"/>
                <w:color w:val="000000"/>
                <w:szCs w:val="21"/>
              </w:rPr>
            </w:pPr>
          </w:p>
        </w:tc>
        <w:tc>
          <w:tcPr>
            <w:tcW w:w="1458" w:type="dxa"/>
            <w:vAlign w:val="center"/>
          </w:tcPr>
          <w:p>
            <w:pPr>
              <w:spacing w:line="440" w:lineRule="exact"/>
              <w:jc w:val="center"/>
              <w:rPr>
                <w:rFonts w:ascii="宋体" w:hAnsi="宋体"/>
                <w:color w:val="000000"/>
                <w:szCs w:val="21"/>
              </w:rPr>
            </w:pPr>
          </w:p>
        </w:tc>
        <w:tc>
          <w:tcPr>
            <w:tcW w:w="1111" w:type="dxa"/>
            <w:vAlign w:val="center"/>
          </w:tcPr>
          <w:p>
            <w:pPr>
              <w:spacing w:line="440" w:lineRule="exact"/>
              <w:jc w:val="center"/>
              <w:rPr>
                <w:rFonts w:ascii="宋体" w:hAnsi="宋体"/>
                <w:color w:val="000000"/>
                <w:szCs w:val="21"/>
              </w:rPr>
            </w:pPr>
          </w:p>
        </w:tc>
        <w:tc>
          <w:tcPr>
            <w:tcW w:w="827" w:type="dxa"/>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color w:val="000000"/>
                <w:szCs w:val="21"/>
              </w:rPr>
            </w:pPr>
          </w:p>
        </w:tc>
        <w:tc>
          <w:tcPr>
            <w:tcW w:w="1307" w:type="dxa"/>
            <w:vAlign w:val="center"/>
          </w:tcPr>
          <w:p>
            <w:pPr>
              <w:spacing w:line="440" w:lineRule="exact"/>
              <w:jc w:val="center"/>
              <w:rPr>
                <w:rFonts w:ascii="宋体" w:hAnsi="宋体"/>
                <w:color w:val="000000"/>
                <w:szCs w:val="21"/>
              </w:rPr>
            </w:pPr>
          </w:p>
        </w:tc>
        <w:tc>
          <w:tcPr>
            <w:tcW w:w="915" w:type="dxa"/>
            <w:vAlign w:val="center"/>
          </w:tcPr>
          <w:p>
            <w:pPr>
              <w:spacing w:line="440" w:lineRule="exact"/>
              <w:jc w:val="center"/>
              <w:rPr>
                <w:rFonts w:ascii="宋体" w:hAnsi="宋体"/>
                <w:color w:val="000000"/>
                <w:szCs w:val="21"/>
              </w:rPr>
            </w:pPr>
          </w:p>
        </w:tc>
        <w:tc>
          <w:tcPr>
            <w:tcW w:w="739" w:type="dxa"/>
            <w:vAlign w:val="center"/>
          </w:tcPr>
          <w:p>
            <w:pPr>
              <w:spacing w:line="440" w:lineRule="exact"/>
              <w:jc w:val="center"/>
              <w:rPr>
                <w:rFonts w:ascii="宋体" w:hAnsi="宋体"/>
                <w:color w:val="000000"/>
                <w:szCs w:val="21"/>
              </w:rPr>
            </w:pPr>
          </w:p>
        </w:tc>
        <w:tc>
          <w:tcPr>
            <w:tcW w:w="809" w:type="dxa"/>
            <w:vAlign w:val="center"/>
          </w:tcPr>
          <w:p>
            <w:pPr>
              <w:spacing w:line="440" w:lineRule="exact"/>
              <w:jc w:val="center"/>
              <w:rPr>
                <w:rFonts w:ascii="宋体" w:hAnsi="宋体"/>
                <w:color w:val="000000"/>
                <w:szCs w:val="21"/>
              </w:rPr>
            </w:pPr>
          </w:p>
        </w:tc>
        <w:tc>
          <w:tcPr>
            <w:tcW w:w="888" w:type="dxa"/>
            <w:vAlign w:val="center"/>
          </w:tcPr>
          <w:p>
            <w:pPr>
              <w:spacing w:line="440" w:lineRule="exact"/>
              <w:jc w:val="center"/>
              <w:rPr>
                <w:rFonts w:ascii="宋体" w:hAnsi="宋体"/>
                <w:color w:val="000000"/>
                <w:szCs w:val="21"/>
              </w:rPr>
            </w:pPr>
          </w:p>
        </w:tc>
        <w:tc>
          <w:tcPr>
            <w:tcW w:w="1458" w:type="dxa"/>
            <w:vAlign w:val="center"/>
          </w:tcPr>
          <w:p>
            <w:pPr>
              <w:spacing w:line="440" w:lineRule="exact"/>
              <w:jc w:val="center"/>
              <w:rPr>
                <w:rFonts w:ascii="宋体" w:hAnsi="宋体"/>
                <w:color w:val="000000"/>
                <w:szCs w:val="21"/>
              </w:rPr>
            </w:pPr>
          </w:p>
        </w:tc>
        <w:tc>
          <w:tcPr>
            <w:tcW w:w="1111" w:type="dxa"/>
            <w:vAlign w:val="center"/>
          </w:tcPr>
          <w:p>
            <w:pPr>
              <w:spacing w:line="440" w:lineRule="exact"/>
              <w:jc w:val="center"/>
              <w:rPr>
                <w:rFonts w:ascii="宋体" w:hAnsi="宋体"/>
                <w:color w:val="000000"/>
                <w:szCs w:val="21"/>
              </w:rPr>
            </w:pPr>
          </w:p>
        </w:tc>
        <w:tc>
          <w:tcPr>
            <w:tcW w:w="827" w:type="dxa"/>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color w:val="000000"/>
                <w:szCs w:val="21"/>
              </w:rPr>
            </w:pPr>
          </w:p>
        </w:tc>
        <w:tc>
          <w:tcPr>
            <w:tcW w:w="1307" w:type="dxa"/>
          </w:tcPr>
          <w:p>
            <w:pPr>
              <w:spacing w:line="440" w:lineRule="exact"/>
              <w:jc w:val="center"/>
              <w:rPr>
                <w:rFonts w:ascii="宋体" w:hAnsi="宋体"/>
                <w:color w:val="000000"/>
                <w:szCs w:val="21"/>
              </w:rPr>
            </w:pPr>
          </w:p>
        </w:tc>
        <w:tc>
          <w:tcPr>
            <w:tcW w:w="915" w:type="dxa"/>
          </w:tcPr>
          <w:p>
            <w:pPr>
              <w:spacing w:line="440" w:lineRule="exact"/>
              <w:jc w:val="center"/>
              <w:rPr>
                <w:rFonts w:ascii="宋体" w:hAnsi="宋体"/>
                <w:color w:val="000000"/>
                <w:szCs w:val="21"/>
              </w:rPr>
            </w:pPr>
          </w:p>
        </w:tc>
        <w:tc>
          <w:tcPr>
            <w:tcW w:w="739" w:type="dxa"/>
          </w:tcPr>
          <w:p>
            <w:pPr>
              <w:spacing w:line="440" w:lineRule="exact"/>
              <w:jc w:val="center"/>
              <w:rPr>
                <w:rFonts w:ascii="宋体" w:hAnsi="宋体"/>
                <w:color w:val="000000"/>
                <w:szCs w:val="21"/>
              </w:rPr>
            </w:pPr>
          </w:p>
        </w:tc>
        <w:tc>
          <w:tcPr>
            <w:tcW w:w="809" w:type="dxa"/>
          </w:tcPr>
          <w:p>
            <w:pPr>
              <w:spacing w:line="440" w:lineRule="exact"/>
              <w:jc w:val="center"/>
              <w:rPr>
                <w:rFonts w:ascii="宋体" w:hAnsi="宋体"/>
                <w:color w:val="000000"/>
                <w:szCs w:val="21"/>
              </w:rPr>
            </w:pPr>
          </w:p>
        </w:tc>
        <w:tc>
          <w:tcPr>
            <w:tcW w:w="888" w:type="dxa"/>
          </w:tcPr>
          <w:p>
            <w:pPr>
              <w:spacing w:line="440" w:lineRule="exact"/>
              <w:jc w:val="center"/>
              <w:rPr>
                <w:rFonts w:ascii="宋体" w:hAnsi="宋体"/>
                <w:color w:val="000000"/>
                <w:szCs w:val="21"/>
              </w:rPr>
            </w:pPr>
          </w:p>
        </w:tc>
        <w:tc>
          <w:tcPr>
            <w:tcW w:w="1458" w:type="dxa"/>
          </w:tcPr>
          <w:p>
            <w:pPr>
              <w:spacing w:line="440" w:lineRule="exact"/>
              <w:jc w:val="center"/>
              <w:rPr>
                <w:rFonts w:ascii="宋体" w:hAnsi="宋体"/>
                <w:color w:val="000000"/>
                <w:szCs w:val="21"/>
              </w:rPr>
            </w:pPr>
          </w:p>
        </w:tc>
        <w:tc>
          <w:tcPr>
            <w:tcW w:w="1111" w:type="dxa"/>
          </w:tcPr>
          <w:p>
            <w:pPr>
              <w:spacing w:line="440" w:lineRule="exact"/>
              <w:jc w:val="center"/>
              <w:rPr>
                <w:rFonts w:ascii="宋体" w:hAnsi="宋体"/>
                <w:color w:val="000000"/>
                <w:szCs w:val="21"/>
              </w:rPr>
            </w:pPr>
          </w:p>
        </w:tc>
        <w:tc>
          <w:tcPr>
            <w:tcW w:w="827"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color w:val="000000"/>
                <w:szCs w:val="21"/>
              </w:rPr>
            </w:pPr>
          </w:p>
        </w:tc>
        <w:tc>
          <w:tcPr>
            <w:tcW w:w="1307" w:type="dxa"/>
          </w:tcPr>
          <w:p>
            <w:pPr>
              <w:spacing w:line="440" w:lineRule="exact"/>
              <w:jc w:val="center"/>
              <w:rPr>
                <w:rFonts w:ascii="宋体" w:hAnsi="宋体"/>
                <w:color w:val="000000"/>
                <w:szCs w:val="21"/>
              </w:rPr>
            </w:pPr>
          </w:p>
        </w:tc>
        <w:tc>
          <w:tcPr>
            <w:tcW w:w="915" w:type="dxa"/>
          </w:tcPr>
          <w:p>
            <w:pPr>
              <w:spacing w:line="440" w:lineRule="exact"/>
              <w:jc w:val="center"/>
              <w:rPr>
                <w:rFonts w:ascii="宋体" w:hAnsi="宋体"/>
                <w:color w:val="000000"/>
                <w:szCs w:val="21"/>
              </w:rPr>
            </w:pPr>
          </w:p>
        </w:tc>
        <w:tc>
          <w:tcPr>
            <w:tcW w:w="739" w:type="dxa"/>
          </w:tcPr>
          <w:p>
            <w:pPr>
              <w:spacing w:line="440" w:lineRule="exact"/>
              <w:jc w:val="center"/>
              <w:rPr>
                <w:rFonts w:ascii="宋体" w:hAnsi="宋体"/>
                <w:color w:val="000000"/>
                <w:szCs w:val="21"/>
              </w:rPr>
            </w:pPr>
          </w:p>
        </w:tc>
        <w:tc>
          <w:tcPr>
            <w:tcW w:w="809" w:type="dxa"/>
          </w:tcPr>
          <w:p>
            <w:pPr>
              <w:spacing w:line="440" w:lineRule="exact"/>
              <w:jc w:val="center"/>
              <w:rPr>
                <w:rFonts w:ascii="宋体" w:hAnsi="宋体"/>
                <w:color w:val="000000"/>
                <w:szCs w:val="21"/>
              </w:rPr>
            </w:pPr>
          </w:p>
        </w:tc>
        <w:tc>
          <w:tcPr>
            <w:tcW w:w="888" w:type="dxa"/>
          </w:tcPr>
          <w:p>
            <w:pPr>
              <w:spacing w:line="440" w:lineRule="exact"/>
              <w:jc w:val="center"/>
              <w:rPr>
                <w:rFonts w:ascii="宋体" w:hAnsi="宋体"/>
                <w:color w:val="000000"/>
                <w:szCs w:val="21"/>
              </w:rPr>
            </w:pPr>
          </w:p>
        </w:tc>
        <w:tc>
          <w:tcPr>
            <w:tcW w:w="1458" w:type="dxa"/>
          </w:tcPr>
          <w:p>
            <w:pPr>
              <w:spacing w:line="440" w:lineRule="exact"/>
              <w:jc w:val="center"/>
              <w:rPr>
                <w:rFonts w:ascii="宋体" w:hAnsi="宋体"/>
                <w:color w:val="000000"/>
                <w:szCs w:val="21"/>
              </w:rPr>
            </w:pPr>
          </w:p>
        </w:tc>
        <w:tc>
          <w:tcPr>
            <w:tcW w:w="1111" w:type="dxa"/>
          </w:tcPr>
          <w:p>
            <w:pPr>
              <w:spacing w:line="440" w:lineRule="exact"/>
              <w:jc w:val="center"/>
              <w:rPr>
                <w:rFonts w:ascii="宋体" w:hAnsi="宋体"/>
                <w:color w:val="000000"/>
                <w:szCs w:val="21"/>
              </w:rPr>
            </w:pPr>
          </w:p>
        </w:tc>
        <w:tc>
          <w:tcPr>
            <w:tcW w:w="827"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color w:val="000000"/>
                <w:szCs w:val="21"/>
              </w:rPr>
            </w:pPr>
          </w:p>
        </w:tc>
        <w:tc>
          <w:tcPr>
            <w:tcW w:w="1307" w:type="dxa"/>
          </w:tcPr>
          <w:p>
            <w:pPr>
              <w:spacing w:line="440" w:lineRule="exact"/>
              <w:jc w:val="center"/>
              <w:rPr>
                <w:rFonts w:ascii="宋体" w:hAnsi="宋体"/>
                <w:color w:val="000000"/>
                <w:szCs w:val="21"/>
              </w:rPr>
            </w:pPr>
          </w:p>
        </w:tc>
        <w:tc>
          <w:tcPr>
            <w:tcW w:w="915" w:type="dxa"/>
          </w:tcPr>
          <w:p>
            <w:pPr>
              <w:spacing w:line="440" w:lineRule="exact"/>
              <w:jc w:val="center"/>
              <w:rPr>
                <w:rFonts w:ascii="宋体" w:hAnsi="宋体"/>
                <w:color w:val="000000"/>
                <w:szCs w:val="21"/>
              </w:rPr>
            </w:pPr>
          </w:p>
        </w:tc>
        <w:tc>
          <w:tcPr>
            <w:tcW w:w="739" w:type="dxa"/>
          </w:tcPr>
          <w:p>
            <w:pPr>
              <w:spacing w:line="440" w:lineRule="exact"/>
              <w:jc w:val="center"/>
              <w:rPr>
                <w:rFonts w:ascii="宋体" w:hAnsi="宋体"/>
                <w:color w:val="000000"/>
                <w:szCs w:val="21"/>
              </w:rPr>
            </w:pPr>
          </w:p>
        </w:tc>
        <w:tc>
          <w:tcPr>
            <w:tcW w:w="809" w:type="dxa"/>
          </w:tcPr>
          <w:p>
            <w:pPr>
              <w:spacing w:line="440" w:lineRule="exact"/>
              <w:jc w:val="center"/>
              <w:rPr>
                <w:rFonts w:ascii="宋体" w:hAnsi="宋体"/>
                <w:color w:val="000000"/>
                <w:szCs w:val="21"/>
              </w:rPr>
            </w:pPr>
          </w:p>
        </w:tc>
        <w:tc>
          <w:tcPr>
            <w:tcW w:w="888" w:type="dxa"/>
          </w:tcPr>
          <w:p>
            <w:pPr>
              <w:spacing w:line="440" w:lineRule="exact"/>
              <w:jc w:val="center"/>
              <w:rPr>
                <w:rFonts w:ascii="宋体" w:hAnsi="宋体"/>
                <w:color w:val="000000"/>
                <w:szCs w:val="21"/>
              </w:rPr>
            </w:pPr>
          </w:p>
        </w:tc>
        <w:tc>
          <w:tcPr>
            <w:tcW w:w="1458" w:type="dxa"/>
          </w:tcPr>
          <w:p>
            <w:pPr>
              <w:spacing w:line="440" w:lineRule="exact"/>
              <w:jc w:val="center"/>
              <w:rPr>
                <w:rFonts w:ascii="宋体" w:hAnsi="宋体"/>
                <w:color w:val="000000"/>
                <w:szCs w:val="21"/>
              </w:rPr>
            </w:pPr>
          </w:p>
        </w:tc>
        <w:tc>
          <w:tcPr>
            <w:tcW w:w="1111" w:type="dxa"/>
          </w:tcPr>
          <w:p>
            <w:pPr>
              <w:spacing w:line="440" w:lineRule="exact"/>
              <w:jc w:val="center"/>
              <w:rPr>
                <w:rFonts w:ascii="宋体" w:hAnsi="宋体"/>
                <w:color w:val="000000"/>
                <w:szCs w:val="21"/>
              </w:rPr>
            </w:pPr>
          </w:p>
        </w:tc>
        <w:tc>
          <w:tcPr>
            <w:tcW w:w="827"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color w:val="000000"/>
                <w:szCs w:val="21"/>
              </w:rPr>
            </w:pPr>
          </w:p>
        </w:tc>
        <w:tc>
          <w:tcPr>
            <w:tcW w:w="1307" w:type="dxa"/>
          </w:tcPr>
          <w:p>
            <w:pPr>
              <w:spacing w:line="440" w:lineRule="exact"/>
              <w:jc w:val="center"/>
              <w:rPr>
                <w:rFonts w:ascii="宋体" w:hAnsi="宋体"/>
                <w:color w:val="000000"/>
                <w:szCs w:val="21"/>
              </w:rPr>
            </w:pPr>
          </w:p>
        </w:tc>
        <w:tc>
          <w:tcPr>
            <w:tcW w:w="915" w:type="dxa"/>
          </w:tcPr>
          <w:p>
            <w:pPr>
              <w:spacing w:line="440" w:lineRule="exact"/>
              <w:jc w:val="center"/>
              <w:rPr>
                <w:rFonts w:ascii="宋体" w:hAnsi="宋体"/>
                <w:color w:val="000000"/>
                <w:szCs w:val="21"/>
              </w:rPr>
            </w:pPr>
          </w:p>
        </w:tc>
        <w:tc>
          <w:tcPr>
            <w:tcW w:w="739" w:type="dxa"/>
          </w:tcPr>
          <w:p>
            <w:pPr>
              <w:spacing w:line="440" w:lineRule="exact"/>
              <w:jc w:val="center"/>
              <w:rPr>
                <w:rFonts w:ascii="宋体" w:hAnsi="宋体"/>
                <w:color w:val="000000"/>
                <w:szCs w:val="21"/>
              </w:rPr>
            </w:pPr>
          </w:p>
        </w:tc>
        <w:tc>
          <w:tcPr>
            <w:tcW w:w="809" w:type="dxa"/>
          </w:tcPr>
          <w:p>
            <w:pPr>
              <w:spacing w:line="440" w:lineRule="exact"/>
              <w:jc w:val="center"/>
              <w:rPr>
                <w:rFonts w:ascii="宋体" w:hAnsi="宋体"/>
                <w:color w:val="000000"/>
                <w:szCs w:val="21"/>
              </w:rPr>
            </w:pPr>
          </w:p>
        </w:tc>
        <w:tc>
          <w:tcPr>
            <w:tcW w:w="888" w:type="dxa"/>
          </w:tcPr>
          <w:p>
            <w:pPr>
              <w:spacing w:line="440" w:lineRule="exact"/>
              <w:jc w:val="center"/>
              <w:rPr>
                <w:rFonts w:ascii="宋体" w:hAnsi="宋体"/>
                <w:color w:val="000000"/>
                <w:szCs w:val="21"/>
              </w:rPr>
            </w:pPr>
          </w:p>
        </w:tc>
        <w:tc>
          <w:tcPr>
            <w:tcW w:w="1458" w:type="dxa"/>
          </w:tcPr>
          <w:p>
            <w:pPr>
              <w:spacing w:line="440" w:lineRule="exact"/>
              <w:jc w:val="center"/>
              <w:rPr>
                <w:rFonts w:ascii="宋体" w:hAnsi="宋体"/>
                <w:color w:val="000000"/>
                <w:szCs w:val="21"/>
              </w:rPr>
            </w:pPr>
          </w:p>
        </w:tc>
        <w:tc>
          <w:tcPr>
            <w:tcW w:w="1111" w:type="dxa"/>
          </w:tcPr>
          <w:p>
            <w:pPr>
              <w:spacing w:line="440" w:lineRule="exact"/>
              <w:jc w:val="center"/>
              <w:rPr>
                <w:rFonts w:ascii="宋体" w:hAnsi="宋体"/>
                <w:color w:val="000000"/>
                <w:szCs w:val="21"/>
              </w:rPr>
            </w:pPr>
          </w:p>
        </w:tc>
        <w:tc>
          <w:tcPr>
            <w:tcW w:w="827"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color w:val="000000"/>
                <w:szCs w:val="21"/>
              </w:rPr>
            </w:pPr>
          </w:p>
        </w:tc>
        <w:tc>
          <w:tcPr>
            <w:tcW w:w="1307" w:type="dxa"/>
          </w:tcPr>
          <w:p>
            <w:pPr>
              <w:spacing w:line="440" w:lineRule="exact"/>
              <w:jc w:val="center"/>
              <w:rPr>
                <w:rFonts w:ascii="宋体" w:hAnsi="宋体"/>
                <w:color w:val="000000"/>
                <w:szCs w:val="21"/>
              </w:rPr>
            </w:pPr>
          </w:p>
        </w:tc>
        <w:tc>
          <w:tcPr>
            <w:tcW w:w="915" w:type="dxa"/>
          </w:tcPr>
          <w:p>
            <w:pPr>
              <w:spacing w:line="440" w:lineRule="exact"/>
              <w:jc w:val="center"/>
              <w:rPr>
                <w:rFonts w:ascii="宋体" w:hAnsi="宋体"/>
                <w:color w:val="000000"/>
                <w:szCs w:val="21"/>
              </w:rPr>
            </w:pPr>
          </w:p>
        </w:tc>
        <w:tc>
          <w:tcPr>
            <w:tcW w:w="739" w:type="dxa"/>
          </w:tcPr>
          <w:p>
            <w:pPr>
              <w:spacing w:line="440" w:lineRule="exact"/>
              <w:jc w:val="center"/>
              <w:rPr>
                <w:rFonts w:ascii="宋体" w:hAnsi="宋体"/>
                <w:color w:val="000000"/>
                <w:szCs w:val="21"/>
              </w:rPr>
            </w:pPr>
          </w:p>
        </w:tc>
        <w:tc>
          <w:tcPr>
            <w:tcW w:w="809" w:type="dxa"/>
          </w:tcPr>
          <w:p>
            <w:pPr>
              <w:spacing w:line="440" w:lineRule="exact"/>
              <w:jc w:val="center"/>
              <w:rPr>
                <w:rFonts w:ascii="宋体" w:hAnsi="宋体"/>
                <w:color w:val="000000"/>
                <w:szCs w:val="21"/>
              </w:rPr>
            </w:pPr>
          </w:p>
        </w:tc>
        <w:tc>
          <w:tcPr>
            <w:tcW w:w="888" w:type="dxa"/>
          </w:tcPr>
          <w:p>
            <w:pPr>
              <w:spacing w:line="440" w:lineRule="exact"/>
              <w:jc w:val="center"/>
              <w:rPr>
                <w:rFonts w:ascii="宋体" w:hAnsi="宋体"/>
                <w:color w:val="000000"/>
                <w:szCs w:val="21"/>
              </w:rPr>
            </w:pPr>
          </w:p>
        </w:tc>
        <w:tc>
          <w:tcPr>
            <w:tcW w:w="1458" w:type="dxa"/>
          </w:tcPr>
          <w:p>
            <w:pPr>
              <w:spacing w:line="440" w:lineRule="exact"/>
              <w:jc w:val="center"/>
              <w:rPr>
                <w:rFonts w:ascii="宋体" w:hAnsi="宋体"/>
                <w:color w:val="000000"/>
                <w:szCs w:val="21"/>
              </w:rPr>
            </w:pPr>
          </w:p>
        </w:tc>
        <w:tc>
          <w:tcPr>
            <w:tcW w:w="1111" w:type="dxa"/>
          </w:tcPr>
          <w:p>
            <w:pPr>
              <w:spacing w:line="440" w:lineRule="exact"/>
              <w:jc w:val="center"/>
              <w:rPr>
                <w:rFonts w:ascii="宋体" w:hAnsi="宋体"/>
                <w:color w:val="000000"/>
                <w:szCs w:val="21"/>
              </w:rPr>
            </w:pPr>
          </w:p>
        </w:tc>
        <w:tc>
          <w:tcPr>
            <w:tcW w:w="827"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color w:val="000000"/>
                <w:szCs w:val="21"/>
              </w:rPr>
            </w:pPr>
          </w:p>
        </w:tc>
        <w:tc>
          <w:tcPr>
            <w:tcW w:w="1307" w:type="dxa"/>
          </w:tcPr>
          <w:p>
            <w:pPr>
              <w:spacing w:line="440" w:lineRule="exact"/>
              <w:jc w:val="center"/>
              <w:rPr>
                <w:rFonts w:ascii="宋体" w:hAnsi="宋体"/>
                <w:color w:val="000000"/>
                <w:szCs w:val="21"/>
              </w:rPr>
            </w:pPr>
          </w:p>
        </w:tc>
        <w:tc>
          <w:tcPr>
            <w:tcW w:w="915" w:type="dxa"/>
          </w:tcPr>
          <w:p>
            <w:pPr>
              <w:spacing w:line="440" w:lineRule="exact"/>
              <w:jc w:val="center"/>
              <w:rPr>
                <w:rFonts w:ascii="宋体" w:hAnsi="宋体"/>
                <w:color w:val="000000"/>
                <w:szCs w:val="21"/>
              </w:rPr>
            </w:pPr>
          </w:p>
        </w:tc>
        <w:tc>
          <w:tcPr>
            <w:tcW w:w="739" w:type="dxa"/>
          </w:tcPr>
          <w:p>
            <w:pPr>
              <w:spacing w:line="440" w:lineRule="exact"/>
              <w:jc w:val="center"/>
              <w:rPr>
                <w:rFonts w:ascii="宋体" w:hAnsi="宋体"/>
                <w:color w:val="000000"/>
                <w:szCs w:val="21"/>
              </w:rPr>
            </w:pPr>
          </w:p>
        </w:tc>
        <w:tc>
          <w:tcPr>
            <w:tcW w:w="809" w:type="dxa"/>
          </w:tcPr>
          <w:p>
            <w:pPr>
              <w:spacing w:line="440" w:lineRule="exact"/>
              <w:jc w:val="center"/>
              <w:rPr>
                <w:rFonts w:ascii="宋体" w:hAnsi="宋体"/>
                <w:color w:val="000000"/>
                <w:szCs w:val="21"/>
              </w:rPr>
            </w:pPr>
          </w:p>
        </w:tc>
        <w:tc>
          <w:tcPr>
            <w:tcW w:w="888" w:type="dxa"/>
          </w:tcPr>
          <w:p>
            <w:pPr>
              <w:spacing w:line="440" w:lineRule="exact"/>
              <w:jc w:val="center"/>
              <w:rPr>
                <w:rFonts w:ascii="宋体" w:hAnsi="宋体"/>
                <w:color w:val="000000"/>
                <w:szCs w:val="21"/>
              </w:rPr>
            </w:pPr>
          </w:p>
        </w:tc>
        <w:tc>
          <w:tcPr>
            <w:tcW w:w="1458" w:type="dxa"/>
          </w:tcPr>
          <w:p>
            <w:pPr>
              <w:spacing w:line="440" w:lineRule="exact"/>
              <w:jc w:val="center"/>
              <w:rPr>
                <w:rFonts w:ascii="宋体" w:hAnsi="宋体"/>
                <w:color w:val="000000"/>
                <w:szCs w:val="21"/>
              </w:rPr>
            </w:pPr>
          </w:p>
        </w:tc>
        <w:tc>
          <w:tcPr>
            <w:tcW w:w="1111" w:type="dxa"/>
          </w:tcPr>
          <w:p>
            <w:pPr>
              <w:spacing w:line="440" w:lineRule="exact"/>
              <w:jc w:val="center"/>
              <w:rPr>
                <w:rFonts w:ascii="宋体" w:hAnsi="宋体"/>
                <w:color w:val="000000"/>
                <w:szCs w:val="21"/>
              </w:rPr>
            </w:pPr>
          </w:p>
        </w:tc>
        <w:tc>
          <w:tcPr>
            <w:tcW w:w="827"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color w:val="000000"/>
                <w:szCs w:val="21"/>
              </w:rPr>
            </w:pPr>
          </w:p>
        </w:tc>
        <w:tc>
          <w:tcPr>
            <w:tcW w:w="1307" w:type="dxa"/>
          </w:tcPr>
          <w:p>
            <w:pPr>
              <w:spacing w:line="440" w:lineRule="exact"/>
              <w:jc w:val="center"/>
              <w:rPr>
                <w:rFonts w:ascii="宋体" w:hAnsi="宋体"/>
                <w:color w:val="000000"/>
                <w:szCs w:val="21"/>
              </w:rPr>
            </w:pPr>
          </w:p>
        </w:tc>
        <w:tc>
          <w:tcPr>
            <w:tcW w:w="915" w:type="dxa"/>
          </w:tcPr>
          <w:p>
            <w:pPr>
              <w:spacing w:line="440" w:lineRule="exact"/>
              <w:jc w:val="center"/>
              <w:rPr>
                <w:rFonts w:ascii="宋体" w:hAnsi="宋体"/>
                <w:color w:val="000000"/>
                <w:szCs w:val="21"/>
              </w:rPr>
            </w:pPr>
          </w:p>
        </w:tc>
        <w:tc>
          <w:tcPr>
            <w:tcW w:w="739" w:type="dxa"/>
          </w:tcPr>
          <w:p>
            <w:pPr>
              <w:spacing w:line="440" w:lineRule="exact"/>
              <w:jc w:val="center"/>
              <w:rPr>
                <w:rFonts w:ascii="宋体" w:hAnsi="宋体"/>
                <w:color w:val="000000"/>
                <w:szCs w:val="21"/>
              </w:rPr>
            </w:pPr>
          </w:p>
        </w:tc>
        <w:tc>
          <w:tcPr>
            <w:tcW w:w="809" w:type="dxa"/>
          </w:tcPr>
          <w:p>
            <w:pPr>
              <w:spacing w:line="440" w:lineRule="exact"/>
              <w:jc w:val="center"/>
              <w:rPr>
                <w:rFonts w:ascii="宋体" w:hAnsi="宋体"/>
                <w:color w:val="000000"/>
                <w:szCs w:val="21"/>
              </w:rPr>
            </w:pPr>
          </w:p>
        </w:tc>
        <w:tc>
          <w:tcPr>
            <w:tcW w:w="888" w:type="dxa"/>
          </w:tcPr>
          <w:p>
            <w:pPr>
              <w:spacing w:line="440" w:lineRule="exact"/>
              <w:jc w:val="center"/>
              <w:rPr>
                <w:rFonts w:ascii="宋体" w:hAnsi="宋体"/>
                <w:color w:val="000000"/>
                <w:szCs w:val="21"/>
              </w:rPr>
            </w:pPr>
          </w:p>
        </w:tc>
        <w:tc>
          <w:tcPr>
            <w:tcW w:w="1458" w:type="dxa"/>
          </w:tcPr>
          <w:p>
            <w:pPr>
              <w:spacing w:line="440" w:lineRule="exact"/>
              <w:jc w:val="center"/>
              <w:rPr>
                <w:rFonts w:ascii="宋体" w:hAnsi="宋体"/>
                <w:color w:val="000000"/>
                <w:szCs w:val="21"/>
              </w:rPr>
            </w:pPr>
          </w:p>
        </w:tc>
        <w:tc>
          <w:tcPr>
            <w:tcW w:w="1111" w:type="dxa"/>
          </w:tcPr>
          <w:p>
            <w:pPr>
              <w:spacing w:line="440" w:lineRule="exact"/>
              <w:jc w:val="center"/>
              <w:rPr>
                <w:rFonts w:ascii="宋体" w:hAnsi="宋体"/>
                <w:color w:val="000000"/>
                <w:szCs w:val="21"/>
              </w:rPr>
            </w:pPr>
          </w:p>
        </w:tc>
        <w:tc>
          <w:tcPr>
            <w:tcW w:w="827"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color w:val="000000"/>
                <w:szCs w:val="21"/>
              </w:rPr>
            </w:pPr>
          </w:p>
        </w:tc>
        <w:tc>
          <w:tcPr>
            <w:tcW w:w="1307" w:type="dxa"/>
          </w:tcPr>
          <w:p>
            <w:pPr>
              <w:spacing w:line="440" w:lineRule="exact"/>
              <w:jc w:val="center"/>
              <w:rPr>
                <w:rFonts w:ascii="宋体" w:hAnsi="宋体"/>
                <w:color w:val="000000"/>
                <w:szCs w:val="21"/>
              </w:rPr>
            </w:pPr>
          </w:p>
        </w:tc>
        <w:tc>
          <w:tcPr>
            <w:tcW w:w="915" w:type="dxa"/>
          </w:tcPr>
          <w:p>
            <w:pPr>
              <w:spacing w:line="440" w:lineRule="exact"/>
              <w:jc w:val="center"/>
              <w:rPr>
                <w:rFonts w:ascii="宋体" w:hAnsi="宋体"/>
                <w:color w:val="000000"/>
                <w:szCs w:val="21"/>
              </w:rPr>
            </w:pPr>
          </w:p>
        </w:tc>
        <w:tc>
          <w:tcPr>
            <w:tcW w:w="739" w:type="dxa"/>
          </w:tcPr>
          <w:p>
            <w:pPr>
              <w:spacing w:line="440" w:lineRule="exact"/>
              <w:jc w:val="center"/>
              <w:rPr>
                <w:rFonts w:ascii="宋体" w:hAnsi="宋体"/>
                <w:color w:val="000000"/>
                <w:szCs w:val="21"/>
              </w:rPr>
            </w:pPr>
          </w:p>
        </w:tc>
        <w:tc>
          <w:tcPr>
            <w:tcW w:w="809" w:type="dxa"/>
          </w:tcPr>
          <w:p>
            <w:pPr>
              <w:spacing w:line="440" w:lineRule="exact"/>
              <w:jc w:val="center"/>
              <w:rPr>
                <w:rFonts w:ascii="宋体" w:hAnsi="宋体"/>
                <w:color w:val="000000"/>
                <w:szCs w:val="21"/>
              </w:rPr>
            </w:pPr>
          </w:p>
        </w:tc>
        <w:tc>
          <w:tcPr>
            <w:tcW w:w="888" w:type="dxa"/>
          </w:tcPr>
          <w:p>
            <w:pPr>
              <w:spacing w:line="440" w:lineRule="exact"/>
              <w:jc w:val="center"/>
              <w:rPr>
                <w:rFonts w:ascii="宋体" w:hAnsi="宋体"/>
                <w:color w:val="000000"/>
                <w:szCs w:val="21"/>
              </w:rPr>
            </w:pPr>
          </w:p>
        </w:tc>
        <w:tc>
          <w:tcPr>
            <w:tcW w:w="1458" w:type="dxa"/>
          </w:tcPr>
          <w:p>
            <w:pPr>
              <w:spacing w:line="440" w:lineRule="exact"/>
              <w:jc w:val="center"/>
              <w:rPr>
                <w:rFonts w:ascii="宋体" w:hAnsi="宋体"/>
                <w:color w:val="000000"/>
                <w:szCs w:val="21"/>
              </w:rPr>
            </w:pPr>
          </w:p>
        </w:tc>
        <w:tc>
          <w:tcPr>
            <w:tcW w:w="1111" w:type="dxa"/>
          </w:tcPr>
          <w:p>
            <w:pPr>
              <w:spacing w:line="440" w:lineRule="exact"/>
              <w:jc w:val="center"/>
              <w:rPr>
                <w:rFonts w:ascii="宋体" w:hAnsi="宋体"/>
                <w:color w:val="000000"/>
                <w:szCs w:val="21"/>
              </w:rPr>
            </w:pPr>
          </w:p>
        </w:tc>
        <w:tc>
          <w:tcPr>
            <w:tcW w:w="827"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color w:val="000000"/>
                <w:szCs w:val="21"/>
              </w:rPr>
            </w:pPr>
          </w:p>
        </w:tc>
        <w:tc>
          <w:tcPr>
            <w:tcW w:w="1307" w:type="dxa"/>
          </w:tcPr>
          <w:p>
            <w:pPr>
              <w:spacing w:line="440" w:lineRule="exact"/>
              <w:jc w:val="center"/>
              <w:rPr>
                <w:rFonts w:ascii="宋体" w:hAnsi="宋体"/>
                <w:color w:val="000000"/>
                <w:szCs w:val="21"/>
              </w:rPr>
            </w:pPr>
          </w:p>
        </w:tc>
        <w:tc>
          <w:tcPr>
            <w:tcW w:w="915" w:type="dxa"/>
          </w:tcPr>
          <w:p>
            <w:pPr>
              <w:spacing w:line="440" w:lineRule="exact"/>
              <w:jc w:val="center"/>
              <w:rPr>
                <w:rFonts w:ascii="宋体" w:hAnsi="宋体"/>
                <w:color w:val="000000"/>
                <w:szCs w:val="21"/>
              </w:rPr>
            </w:pPr>
          </w:p>
        </w:tc>
        <w:tc>
          <w:tcPr>
            <w:tcW w:w="739" w:type="dxa"/>
          </w:tcPr>
          <w:p>
            <w:pPr>
              <w:spacing w:line="440" w:lineRule="exact"/>
              <w:jc w:val="center"/>
              <w:rPr>
                <w:rFonts w:ascii="宋体" w:hAnsi="宋体"/>
                <w:color w:val="000000"/>
                <w:szCs w:val="21"/>
              </w:rPr>
            </w:pPr>
          </w:p>
        </w:tc>
        <w:tc>
          <w:tcPr>
            <w:tcW w:w="809" w:type="dxa"/>
          </w:tcPr>
          <w:p>
            <w:pPr>
              <w:spacing w:line="440" w:lineRule="exact"/>
              <w:jc w:val="center"/>
              <w:rPr>
                <w:rFonts w:ascii="宋体" w:hAnsi="宋体"/>
                <w:color w:val="000000"/>
                <w:szCs w:val="21"/>
              </w:rPr>
            </w:pPr>
          </w:p>
        </w:tc>
        <w:tc>
          <w:tcPr>
            <w:tcW w:w="888" w:type="dxa"/>
          </w:tcPr>
          <w:p>
            <w:pPr>
              <w:spacing w:line="440" w:lineRule="exact"/>
              <w:jc w:val="center"/>
              <w:rPr>
                <w:rFonts w:ascii="宋体" w:hAnsi="宋体"/>
                <w:color w:val="000000"/>
                <w:szCs w:val="21"/>
              </w:rPr>
            </w:pPr>
          </w:p>
        </w:tc>
        <w:tc>
          <w:tcPr>
            <w:tcW w:w="1458" w:type="dxa"/>
          </w:tcPr>
          <w:p>
            <w:pPr>
              <w:spacing w:line="440" w:lineRule="exact"/>
              <w:jc w:val="center"/>
              <w:rPr>
                <w:rFonts w:ascii="宋体" w:hAnsi="宋体"/>
                <w:color w:val="000000"/>
                <w:szCs w:val="21"/>
              </w:rPr>
            </w:pPr>
          </w:p>
        </w:tc>
        <w:tc>
          <w:tcPr>
            <w:tcW w:w="1111" w:type="dxa"/>
          </w:tcPr>
          <w:p>
            <w:pPr>
              <w:spacing w:line="440" w:lineRule="exact"/>
              <w:jc w:val="center"/>
              <w:rPr>
                <w:rFonts w:ascii="宋体" w:hAnsi="宋体"/>
                <w:color w:val="000000"/>
                <w:szCs w:val="21"/>
              </w:rPr>
            </w:pPr>
          </w:p>
        </w:tc>
        <w:tc>
          <w:tcPr>
            <w:tcW w:w="827"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color w:val="000000"/>
                <w:szCs w:val="21"/>
              </w:rPr>
            </w:pPr>
          </w:p>
        </w:tc>
        <w:tc>
          <w:tcPr>
            <w:tcW w:w="1307" w:type="dxa"/>
          </w:tcPr>
          <w:p>
            <w:pPr>
              <w:spacing w:line="440" w:lineRule="exact"/>
              <w:jc w:val="center"/>
              <w:rPr>
                <w:rFonts w:ascii="宋体" w:hAnsi="宋体"/>
                <w:color w:val="000000"/>
                <w:szCs w:val="21"/>
              </w:rPr>
            </w:pPr>
          </w:p>
        </w:tc>
        <w:tc>
          <w:tcPr>
            <w:tcW w:w="915" w:type="dxa"/>
          </w:tcPr>
          <w:p>
            <w:pPr>
              <w:spacing w:line="440" w:lineRule="exact"/>
              <w:jc w:val="center"/>
              <w:rPr>
                <w:rFonts w:ascii="宋体" w:hAnsi="宋体"/>
                <w:color w:val="000000"/>
                <w:szCs w:val="21"/>
              </w:rPr>
            </w:pPr>
          </w:p>
        </w:tc>
        <w:tc>
          <w:tcPr>
            <w:tcW w:w="739" w:type="dxa"/>
          </w:tcPr>
          <w:p>
            <w:pPr>
              <w:spacing w:line="440" w:lineRule="exact"/>
              <w:jc w:val="center"/>
              <w:rPr>
                <w:rFonts w:ascii="宋体" w:hAnsi="宋体"/>
                <w:color w:val="000000"/>
                <w:szCs w:val="21"/>
              </w:rPr>
            </w:pPr>
          </w:p>
        </w:tc>
        <w:tc>
          <w:tcPr>
            <w:tcW w:w="809" w:type="dxa"/>
          </w:tcPr>
          <w:p>
            <w:pPr>
              <w:spacing w:line="440" w:lineRule="exact"/>
              <w:jc w:val="center"/>
              <w:rPr>
                <w:rFonts w:ascii="宋体" w:hAnsi="宋体"/>
                <w:color w:val="000000"/>
                <w:szCs w:val="21"/>
              </w:rPr>
            </w:pPr>
          </w:p>
        </w:tc>
        <w:tc>
          <w:tcPr>
            <w:tcW w:w="888" w:type="dxa"/>
          </w:tcPr>
          <w:p>
            <w:pPr>
              <w:spacing w:line="440" w:lineRule="exact"/>
              <w:jc w:val="center"/>
              <w:rPr>
                <w:rFonts w:ascii="宋体" w:hAnsi="宋体"/>
                <w:color w:val="000000"/>
                <w:szCs w:val="21"/>
              </w:rPr>
            </w:pPr>
          </w:p>
        </w:tc>
        <w:tc>
          <w:tcPr>
            <w:tcW w:w="1458" w:type="dxa"/>
          </w:tcPr>
          <w:p>
            <w:pPr>
              <w:spacing w:line="440" w:lineRule="exact"/>
              <w:jc w:val="center"/>
              <w:rPr>
                <w:rFonts w:ascii="宋体" w:hAnsi="宋体"/>
                <w:color w:val="000000"/>
                <w:szCs w:val="21"/>
              </w:rPr>
            </w:pPr>
          </w:p>
        </w:tc>
        <w:tc>
          <w:tcPr>
            <w:tcW w:w="1111" w:type="dxa"/>
          </w:tcPr>
          <w:p>
            <w:pPr>
              <w:spacing w:line="440" w:lineRule="exact"/>
              <w:jc w:val="center"/>
              <w:rPr>
                <w:rFonts w:ascii="宋体" w:hAnsi="宋体"/>
                <w:color w:val="000000"/>
                <w:szCs w:val="21"/>
              </w:rPr>
            </w:pPr>
          </w:p>
        </w:tc>
        <w:tc>
          <w:tcPr>
            <w:tcW w:w="827"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color w:val="000000"/>
                <w:szCs w:val="21"/>
              </w:rPr>
            </w:pPr>
          </w:p>
        </w:tc>
        <w:tc>
          <w:tcPr>
            <w:tcW w:w="1307" w:type="dxa"/>
          </w:tcPr>
          <w:p>
            <w:pPr>
              <w:spacing w:line="440" w:lineRule="exact"/>
              <w:jc w:val="center"/>
              <w:rPr>
                <w:rFonts w:ascii="宋体" w:hAnsi="宋体"/>
                <w:color w:val="000000"/>
                <w:szCs w:val="21"/>
              </w:rPr>
            </w:pPr>
          </w:p>
        </w:tc>
        <w:tc>
          <w:tcPr>
            <w:tcW w:w="915" w:type="dxa"/>
          </w:tcPr>
          <w:p>
            <w:pPr>
              <w:spacing w:line="440" w:lineRule="exact"/>
              <w:jc w:val="center"/>
              <w:rPr>
                <w:rFonts w:ascii="宋体" w:hAnsi="宋体"/>
                <w:color w:val="000000"/>
                <w:szCs w:val="21"/>
              </w:rPr>
            </w:pPr>
          </w:p>
        </w:tc>
        <w:tc>
          <w:tcPr>
            <w:tcW w:w="739" w:type="dxa"/>
          </w:tcPr>
          <w:p>
            <w:pPr>
              <w:spacing w:line="440" w:lineRule="exact"/>
              <w:jc w:val="center"/>
              <w:rPr>
                <w:rFonts w:ascii="宋体" w:hAnsi="宋体"/>
                <w:color w:val="000000"/>
                <w:szCs w:val="21"/>
              </w:rPr>
            </w:pPr>
          </w:p>
        </w:tc>
        <w:tc>
          <w:tcPr>
            <w:tcW w:w="809" w:type="dxa"/>
          </w:tcPr>
          <w:p>
            <w:pPr>
              <w:spacing w:line="440" w:lineRule="exact"/>
              <w:jc w:val="center"/>
              <w:rPr>
                <w:rFonts w:ascii="宋体" w:hAnsi="宋体"/>
                <w:color w:val="000000"/>
                <w:szCs w:val="21"/>
              </w:rPr>
            </w:pPr>
          </w:p>
        </w:tc>
        <w:tc>
          <w:tcPr>
            <w:tcW w:w="888" w:type="dxa"/>
          </w:tcPr>
          <w:p>
            <w:pPr>
              <w:spacing w:line="440" w:lineRule="exact"/>
              <w:jc w:val="center"/>
              <w:rPr>
                <w:rFonts w:ascii="宋体" w:hAnsi="宋体"/>
                <w:color w:val="000000"/>
                <w:szCs w:val="21"/>
              </w:rPr>
            </w:pPr>
          </w:p>
        </w:tc>
        <w:tc>
          <w:tcPr>
            <w:tcW w:w="1458" w:type="dxa"/>
          </w:tcPr>
          <w:p>
            <w:pPr>
              <w:spacing w:line="440" w:lineRule="exact"/>
              <w:jc w:val="center"/>
              <w:rPr>
                <w:rFonts w:ascii="宋体" w:hAnsi="宋体"/>
                <w:color w:val="000000"/>
                <w:szCs w:val="21"/>
              </w:rPr>
            </w:pPr>
          </w:p>
        </w:tc>
        <w:tc>
          <w:tcPr>
            <w:tcW w:w="1111" w:type="dxa"/>
          </w:tcPr>
          <w:p>
            <w:pPr>
              <w:spacing w:line="440" w:lineRule="exact"/>
              <w:jc w:val="center"/>
              <w:rPr>
                <w:rFonts w:ascii="宋体" w:hAnsi="宋体"/>
                <w:color w:val="000000"/>
                <w:szCs w:val="21"/>
              </w:rPr>
            </w:pPr>
          </w:p>
        </w:tc>
        <w:tc>
          <w:tcPr>
            <w:tcW w:w="827"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color w:val="000000"/>
                <w:szCs w:val="21"/>
              </w:rPr>
            </w:pPr>
          </w:p>
        </w:tc>
        <w:tc>
          <w:tcPr>
            <w:tcW w:w="1307" w:type="dxa"/>
          </w:tcPr>
          <w:p>
            <w:pPr>
              <w:spacing w:line="440" w:lineRule="exact"/>
              <w:jc w:val="center"/>
              <w:rPr>
                <w:rFonts w:ascii="宋体" w:hAnsi="宋体"/>
                <w:color w:val="000000"/>
                <w:szCs w:val="21"/>
              </w:rPr>
            </w:pPr>
          </w:p>
        </w:tc>
        <w:tc>
          <w:tcPr>
            <w:tcW w:w="915" w:type="dxa"/>
          </w:tcPr>
          <w:p>
            <w:pPr>
              <w:spacing w:line="440" w:lineRule="exact"/>
              <w:jc w:val="center"/>
              <w:rPr>
                <w:rFonts w:ascii="宋体" w:hAnsi="宋体"/>
                <w:color w:val="000000"/>
                <w:szCs w:val="21"/>
              </w:rPr>
            </w:pPr>
          </w:p>
        </w:tc>
        <w:tc>
          <w:tcPr>
            <w:tcW w:w="739" w:type="dxa"/>
          </w:tcPr>
          <w:p>
            <w:pPr>
              <w:spacing w:line="440" w:lineRule="exact"/>
              <w:jc w:val="center"/>
              <w:rPr>
                <w:rFonts w:ascii="宋体" w:hAnsi="宋体"/>
                <w:color w:val="000000"/>
                <w:szCs w:val="21"/>
              </w:rPr>
            </w:pPr>
          </w:p>
        </w:tc>
        <w:tc>
          <w:tcPr>
            <w:tcW w:w="809" w:type="dxa"/>
          </w:tcPr>
          <w:p>
            <w:pPr>
              <w:spacing w:line="440" w:lineRule="exact"/>
              <w:jc w:val="center"/>
              <w:rPr>
                <w:rFonts w:ascii="宋体" w:hAnsi="宋体"/>
                <w:color w:val="000000"/>
                <w:szCs w:val="21"/>
              </w:rPr>
            </w:pPr>
          </w:p>
        </w:tc>
        <w:tc>
          <w:tcPr>
            <w:tcW w:w="888" w:type="dxa"/>
          </w:tcPr>
          <w:p>
            <w:pPr>
              <w:spacing w:line="440" w:lineRule="exact"/>
              <w:jc w:val="center"/>
              <w:rPr>
                <w:rFonts w:ascii="宋体" w:hAnsi="宋体"/>
                <w:color w:val="000000"/>
                <w:szCs w:val="21"/>
              </w:rPr>
            </w:pPr>
          </w:p>
        </w:tc>
        <w:tc>
          <w:tcPr>
            <w:tcW w:w="1458" w:type="dxa"/>
          </w:tcPr>
          <w:p>
            <w:pPr>
              <w:spacing w:line="440" w:lineRule="exact"/>
              <w:jc w:val="center"/>
              <w:rPr>
                <w:rFonts w:ascii="宋体" w:hAnsi="宋体"/>
                <w:color w:val="000000"/>
                <w:szCs w:val="21"/>
              </w:rPr>
            </w:pPr>
          </w:p>
        </w:tc>
        <w:tc>
          <w:tcPr>
            <w:tcW w:w="1111" w:type="dxa"/>
          </w:tcPr>
          <w:p>
            <w:pPr>
              <w:spacing w:line="440" w:lineRule="exact"/>
              <w:jc w:val="center"/>
              <w:rPr>
                <w:rFonts w:ascii="宋体" w:hAnsi="宋体"/>
                <w:color w:val="000000"/>
                <w:szCs w:val="21"/>
              </w:rPr>
            </w:pPr>
          </w:p>
        </w:tc>
        <w:tc>
          <w:tcPr>
            <w:tcW w:w="827"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color w:val="000000"/>
                <w:szCs w:val="21"/>
              </w:rPr>
            </w:pPr>
          </w:p>
        </w:tc>
        <w:tc>
          <w:tcPr>
            <w:tcW w:w="1307" w:type="dxa"/>
          </w:tcPr>
          <w:p>
            <w:pPr>
              <w:spacing w:line="440" w:lineRule="exact"/>
              <w:jc w:val="center"/>
              <w:rPr>
                <w:rFonts w:ascii="宋体" w:hAnsi="宋体"/>
                <w:color w:val="000000"/>
                <w:szCs w:val="21"/>
              </w:rPr>
            </w:pPr>
          </w:p>
        </w:tc>
        <w:tc>
          <w:tcPr>
            <w:tcW w:w="915" w:type="dxa"/>
          </w:tcPr>
          <w:p>
            <w:pPr>
              <w:spacing w:line="440" w:lineRule="exact"/>
              <w:jc w:val="center"/>
              <w:rPr>
                <w:rFonts w:ascii="宋体" w:hAnsi="宋体"/>
                <w:color w:val="000000"/>
                <w:szCs w:val="21"/>
              </w:rPr>
            </w:pPr>
          </w:p>
        </w:tc>
        <w:tc>
          <w:tcPr>
            <w:tcW w:w="739" w:type="dxa"/>
          </w:tcPr>
          <w:p>
            <w:pPr>
              <w:spacing w:line="440" w:lineRule="exact"/>
              <w:jc w:val="center"/>
              <w:rPr>
                <w:rFonts w:ascii="宋体" w:hAnsi="宋体"/>
                <w:color w:val="000000"/>
                <w:szCs w:val="21"/>
              </w:rPr>
            </w:pPr>
          </w:p>
        </w:tc>
        <w:tc>
          <w:tcPr>
            <w:tcW w:w="809" w:type="dxa"/>
          </w:tcPr>
          <w:p>
            <w:pPr>
              <w:spacing w:line="440" w:lineRule="exact"/>
              <w:jc w:val="center"/>
              <w:rPr>
                <w:rFonts w:ascii="宋体" w:hAnsi="宋体"/>
                <w:color w:val="000000"/>
                <w:szCs w:val="21"/>
              </w:rPr>
            </w:pPr>
          </w:p>
        </w:tc>
        <w:tc>
          <w:tcPr>
            <w:tcW w:w="888" w:type="dxa"/>
          </w:tcPr>
          <w:p>
            <w:pPr>
              <w:spacing w:line="440" w:lineRule="exact"/>
              <w:jc w:val="center"/>
              <w:rPr>
                <w:rFonts w:ascii="宋体" w:hAnsi="宋体"/>
                <w:color w:val="000000"/>
                <w:szCs w:val="21"/>
              </w:rPr>
            </w:pPr>
          </w:p>
        </w:tc>
        <w:tc>
          <w:tcPr>
            <w:tcW w:w="1458" w:type="dxa"/>
          </w:tcPr>
          <w:p>
            <w:pPr>
              <w:spacing w:line="440" w:lineRule="exact"/>
              <w:jc w:val="center"/>
              <w:rPr>
                <w:rFonts w:ascii="宋体" w:hAnsi="宋体"/>
                <w:color w:val="000000"/>
                <w:szCs w:val="21"/>
              </w:rPr>
            </w:pPr>
          </w:p>
        </w:tc>
        <w:tc>
          <w:tcPr>
            <w:tcW w:w="1111" w:type="dxa"/>
          </w:tcPr>
          <w:p>
            <w:pPr>
              <w:spacing w:line="440" w:lineRule="exact"/>
              <w:jc w:val="center"/>
              <w:rPr>
                <w:rFonts w:ascii="宋体" w:hAnsi="宋体"/>
                <w:color w:val="000000"/>
                <w:szCs w:val="21"/>
              </w:rPr>
            </w:pPr>
          </w:p>
        </w:tc>
        <w:tc>
          <w:tcPr>
            <w:tcW w:w="827"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color w:val="000000"/>
                <w:szCs w:val="21"/>
              </w:rPr>
            </w:pPr>
          </w:p>
        </w:tc>
        <w:tc>
          <w:tcPr>
            <w:tcW w:w="1307" w:type="dxa"/>
          </w:tcPr>
          <w:p>
            <w:pPr>
              <w:spacing w:line="440" w:lineRule="exact"/>
              <w:jc w:val="center"/>
              <w:rPr>
                <w:rFonts w:ascii="宋体" w:hAnsi="宋体"/>
                <w:color w:val="000000"/>
                <w:szCs w:val="21"/>
              </w:rPr>
            </w:pPr>
          </w:p>
        </w:tc>
        <w:tc>
          <w:tcPr>
            <w:tcW w:w="915" w:type="dxa"/>
          </w:tcPr>
          <w:p>
            <w:pPr>
              <w:spacing w:line="440" w:lineRule="exact"/>
              <w:jc w:val="center"/>
              <w:rPr>
                <w:rFonts w:ascii="宋体" w:hAnsi="宋体"/>
                <w:color w:val="000000"/>
                <w:szCs w:val="21"/>
              </w:rPr>
            </w:pPr>
          </w:p>
        </w:tc>
        <w:tc>
          <w:tcPr>
            <w:tcW w:w="739" w:type="dxa"/>
          </w:tcPr>
          <w:p>
            <w:pPr>
              <w:spacing w:line="440" w:lineRule="exact"/>
              <w:jc w:val="center"/>
              <w:rPr>
                <w:rFonts w:ascii="宋体" w:hAnsi="宋体"/>
                <w:color w:val="000000"/>
                <w:szCs w:val="21"/>
              </w:rPr>
            </w:pPr>
          </w:p>
        </w:tc>
        <w:tc>
          <w:tcPr>
            <w:tcW w:w="809" w:type="dxa"/>
          </w:tcPr>
          <w:p>
            <w:pPr>
              <w:spacing w:line="440" w:lineRule="exact"/>
              <w:jc w:val="center"/>
              <w:rPr>
                <w:rFonts w:ascii="宋体" w:hAnsi="宋体"/>
                <w:color w:val="000000"/>
                <w:szCs w:val="21"/>
              </w:rPr>
            </w:pPr>
          </w:p>
        </w:tc>
        <w:tc>
          <w:tcPr>
            <w:tcW w:w="888" w:type="dxa"/>
          </w:tcPr>
          <w:p>
            <w:pPr>
              <w:spacing w:line="440" w:lineRule="exact"/>
              <w:jc w:val="center"/>
              <w:rPr>
                <w:rFonts w:ascii="宋体" w:hAnsi="宋体"/>
                <w:color w:val="000000"/>
                <w:szCs w:val="21"/>
              </w:rPr>
            </w:pPr>
          </w:p>
        </w:tc>
        <w:tc>
          <w:tcPr>
            <w:tcW w:w="1458" w:type="dxa"/>
          </w:tcPr>
          <w:p>
            <w:pPr>
              <w:spacing w:line="440" w:lineRule="exact"/>
              <w:jc w:val="center"/>
              <w:rPr>
                <w:rFonts w:ascii="宋体" w:hAnsi="宋体"/>
                <w:color w:val="000000"/>
                <w:szCs w:val="21"/>
              </w:rPr>
            </w:pPr>
          </w:p>
        </w:tc>
        <w:tc>
          <w:tcPr>
            <w:tcW w:w="1111" w:type="dxa"/>
          </w:tcPr>
          <w:p>
            <w:pPr>
              <w:spacing w:line="440" w:lineRule="exact"/>
              <w:jc w:val="center"/>
              <w:rPr>
                <w:rFonts w:ascii="宋体" w:hAnsi="宋体"/>
                <w:color w:val="000000"/>
                <w:szCs w:val="21"/>
              </w:rPr>
            </w:pPr>
          </w:p>
        </w:tc>
        <w:tc>
          <w:tcPr>
            <w:tcW w:w="827"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color w:val="000000"/>
                <w:szCs w:val="21"/>
              </w:rPr>
            </w:pPr>
          </w:p>
        </w:tc>
        <w:tc>
          <w:tcPr>
            <w:tcW w:w="1307" w:type="dxa"/>
          </w:tcPr>
          <w:p>
            <w:pPr>
              <w:spacing w:line="440" w:lineRule="exact"/>
              <w:jc w:val="center"/>
              <w:rPr>
                <w:rFonts w:ascii="宋体" w:hAnsi="宋体"/>
                <w:color w:val="000000"/>
                <w:szCs w:val="21"/>
              </w:rPr>
            </w:pPr>
          </w:p>
        </w:tc>
        <w:tc>
          <w:tcPr>
            <w:tcW w:w="915" w:type="dxa"/>
          </w:tcPr>
          <w:p>
            <w:pPr>
              <w:spacing w:line="440" w:lineRule="exact"/>
              <w:jc w:val="center"/>
              <w:rPr>
                <w:rFonts w:ascii="宋体" w:hAnsi="宋体"/>
                <w:color w:val="000000"/>
                <w:szCs w:val="21"/>
              </w:rPr>
            </w:pPr>
          </w:p>
        </w:tc>
        <w:tc>
          <w:tcPr>
            <w:tcW w:w="739" w:type="dxa"/>
          </w:tcPr>
          <w:p>
            <w:pPr>
              <w:spacing w:line="440" w:lineRule="exact"/>
              <w:jc w:val="center"/>
              <w:rPr>
                <w:rFonts w:ascii="宋体" w:hAnsi="宋体"/>
                <w:color w:val="000000"/>
                <w:szCs w:val="21"/>
              </w:rPr>
            </w:pPr>
          </w:p>
        </w:tc>
        <w:tc>
          <w:tcPr>
            <w:tcW w:w="809" w:type="dxa"/>
          </w:tcPr>
          <w:p>
            <w:pPr>
              <w:spacing w:line="440" w:lineRule="exact"/>
              <w:jc w:val="center"/>
              <w:rPr>
                <w:rFonts w:ascii="宋体" w:hAnsi="宋体"/>
                <w:color w:val="000000"/>
                <w:szCs w:val="21"/>
              </w:rPr>
            </w:pPr>
          </w:p>
        </w:tc>
        <w:tc>
          <w:tcPr>
            <w:tcW w:w="888" w:type="dxa"/>
          </w:tcPr>
          <w:p>
            <w:pPr>
              <w:spacing w:line="440" w:lineRule="exact"/>
              <w:jc w:val="center"/>
              <w:rPr>
                <w:rFonts w:ascii="宋体" w:hAnsi="宋体"/>
                <w:color w:val="000000"/>
                <w:szCs w:val="21"/>
              </w:rPr>
            </w:pPr>
          </w:p>
        </w:tc>
        <w:tc>
          <w:tcPr>
            <w:tcW w:w="1458" w:type="dxa"/>
          </w:tcPr>
          <w:p>
            <w:pPr>
              <w:spacing w:line="440" w:lineRule="exact"/>
              <w:jc w:val="center"/>
              <w:rPr>
                <w:rFonts w:ascii="宋体" w:hAnsi="宋体"/>
                <w:color w:val="000000"/>
                <w:szCs w:val="21"/>
              </w:rPr>
            </w:pPr>
          </w:p>
        </w:tc>
        <w:tc>
          <w:tcPr>
            <w:tcW w:w="1111" w:type="dxa"/>
          </w:tcPr>
          <w:p>
            <w:pPr>
              <w:spacing w:line="440" w:lineRule="exact"/>
              <w:jc w:val="center"/>
              <w:rPr>
                <w:rFonts w:ascii="宋体" w:hAnsi="宋体"/>
                <w:color w:val="000000"/>
                <w:szCs w:val="21"/>
              </w:rPr>
            </w:pPr>
          </w:p>
        </w:tc>
        <w:tc>
          <w:tcPr>
            <w:tcW w:w="827"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color w:val="000000"/>
                <w:szCs w:val="21"/>
              </w:rPr>
            </w:pPr>
          </w:p>
        </w:tc>
        <w:tc>
          <w:tcPr>
            <w:tcW w:w="1307" w:type="dxa"/>
          </w:tcPr>
          <w:p>
            <w:pPr>
              <w:spacing w:line="440" w:lineRule="exact"/>
              <w:jc w:val="center"/>
              <w:rPr>
                <w:rFonts w:ascii="宋体" w:hAnsi="宋体"/>
                <w:color w:val="000000"/>
                <w:szCs w:val="21"/>
              </w:rPr>
            </w:pPr>
          </w:p>
        </w:tc>
        <w:tc>
          <w:tcPr>
            <w:tcW w:w="915" w:type="dxa"/>
          </w:tcPr>
          <w:p>
            <w:pPr>
              <w:spacing w:line="440" w:lineRule="exact"/>
              <w:jc w:val="center"/>
              <w:rPr>
                <w:rFonts w:ascii="宋体" w:hAnsi="宋体"/>
                <w:color w:val="000000"/>
                <w:szCs w:val="21"/>
              </w:rPr>
            </w:pPr>
          </w:p>
        </w:tc>
        <w:tc>
          <w:tcPr>
            <w:tcW w:w="739" w:type="dxa"/>
          </w:tcPr>
          <w:p>
            <w:pPr>
              <w:spacing w:line="440" w:lineRule="exact"/>
              <w:jc w:val="center"/>
              <w:rPr>
                <w:rFonts w:ascii="宋体" w:hAnsi="宋体"/>
                <w:color w:val="000000"/>
                <w:szCs w:val="21"/>
              </w:rPr>
            </w:pPr>
          </w:p>
        </w:tc>
        <w:tc>
          <w:tcPr>
            <w:tcW w:w="809" w:type="dxa"/>
          </w:tcPr>
          <w:p>
            <w:pPr>
              <w:spacing w:line="440" w:lineRule="exact"/>
              <w:jc w:val="center"/>
              <w:rPr>
                <w:rFonts w:ascii="宋体" w:hAnsi="宋体"/>
                <w:color w:val="000000"/>
                <w:szCs w:val="21"/>
              </w:rPr>
            </w:pPr>
          </w:p>
        </w:tc>
        <w:tc>
          <w:tcPr>
            <w:tcW w:w="888" w:type="dxa"/>
          </w:tcPr>
          <w:p>
            <w:pPr>
              <w:spacing w:line="440" w:lineRule="exact"/>
              <w:jc w:val="center"/>
              <w:rPr>
                <w:rFonts w:ascii="宋体" w:hAnsi="宋体"/>
                <w:color w:val="000000"/>
                <w:szCs w:val="21"/>
              </w:rPr>
            </w:pPr>
          </w:p>
        </w:tc>
        <w:tc>
          <w:tcPr>
            <w:tcW w:w="1458" w:type="dxa"/>
          </w:tcPr>
          <w:p>
            <w:pPr>
              <w:spacing w:line="440" w:lineRule="exact"/>
              <w:jc w:val="center"/>
              <w:rPr>
                <w:rFonts w:ascii="宋体" w:hAnsi="宋体"/>
                <w:color w:val="000000"/>
                <w:szCs w:val="21"/>
              </w:rPr>
            </w:pPr>
          </w:p>
        </w:tc>
        <w:tc>
          <w:tcPr>
            <w:tcW w:w="1111" w:type="dxa"/>
          </w:tcPr>
          <w:p>
            <w:pPr>
              <w:spacing w:line="440" w:lineRule="exact"/>
              <w:jc w:val="center"/>
              <w:rPr>
                <w:rFonts w:ascii="宋体" w:hAnsi="宋体"/>
                <w:color w:val="000000"/>
                <w:szCs w:val="21"/>
              </w:rPr>
            </w:pPr>
          </w:p>
        </w:tc>
        <w:tc>
          <w:tcPr>
            <w:tcW w:w="827"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color w:val="000000"/>
                <w:szCs w:val="21"/>
              </w:rPr>
            </w:pPr>
          </w:p>
        </w:tc>
        <w:tc>
          <w:tcPr>
            <w:tcW w:w="1307" w:type="dxa"/>
          </w:tcPr>
          <w:p>
            <w:pPr>
              <w:spacing w:line="440" w:lineRule="exact"/>
              <w:jc w:val="center"/>
              <w:rPr>
                <w:rFonts w:ascii="宋体" w:hAnsi="宋体"/>
                <w:color w:val="000000"/>
                <w:szCs w:val="21"/>
              </w:rPr>
            </w:pPr>
          </w:p>
        </w:tc>
        <w:tc>
          <w:tcPr>
            <w:tcW w:w="915" w:type="dxa"/>
          </w:tcPr>
          <w:p>
            <w:pPr>
              <w:spacing w:line="440" w:lineRule="exact"/>
              <w:jc w:val="center"/>
              <w:rPr>
                <w:rFonts w:ascii="宋体" w:hAnsi="宋体"/>
                <w:color w:val="000000"/>
                <w:szCs w:val="21"/>
              </w:rPr>
            </w:pPr>
          </w:p>
        </w:tc>
        <w:tc>
          <w:tcPr>
            <w:tcW w:w="739" w:type="dxa"/>
          </w:tcPr>
          <w:p>
            <w:pPr>
              <w:spacing w:line="440" w:lineRule="exact"/>
              <w:jc w:val="center"/>
              <w:rPr>
                <w:rFonts w:ascii="宋体" w:hAnsi="宋体"/>
                <w:color w:val="000000"/>
                <w:szCs w:val="21"/>
              </w:rPr>
            </w:pPr>
          </w:p>
        </w:tc>
        <w:tc>
          <w:tcPr>
            <w:tcW w:w="809" w:type="dxa"/>
          </w:tcPr>
          <w:p>
            <w:pPr>
              <w:spacing w:line="440" w:lineRule="exact"/>
              <w:jc w:val="center"/>
              <w:rPr>
                <w:rFonts w:ascii="宋体" w:hAnsi="宋体"/>
                <w:color w:val="000000"/>
                <w:szCs w:val="21"/>
              </w:rPr>
            </w:pPr>
          </w:p>
        </w:tc>
        <w:tc>
          <w:tcPr>
            <w:tcW w:w="888" w:type="dxa"/>
          </w:tcPr>
          <w:p>
            <w:pPr>
              <w:spacing w:line="440" w:lineRule="exact"/>
              <w:jc w:val="center"/>
              <w:rPr>
                <w:rFonts w:ascii="宋体" w:hAnsi="宋体"/>
                <w:color w:val="000000"/>
                <w:szCs w:val="21"/>
              </w:rPr>
            </w:pPr>
          </w:p>
        </w:tc>
        <w:tc>
          <w:tcPr>
            <w:tcW w:w="1458" w:type="dxa"/>
          </w:tcPr>
          <w:p>
            <w:pPr>
              <w:spacing w:line="440" w:lineRule="exact"/>
              <w:jc w:val="center"/>
              <w:rPr>
                <w:rFonts w:ascii="宋体" w:hAnsi="宋体"/>
                <w:color w:val="000000"/>
                <w:szCs w:val="21"/>
              </w:rPr>
            </w:pPr>
          </w:p>
        </w:tc>
        <w:tc>
          <w:tcPr>
            <w:tcW w:w="1111" w:type="dxa"/>
          </w:tcPr>
          <w:p>
            <w:pPr>
              <w:spacing w:line="440" w:lineRule="exact"/>
              <w:jc w:val="center"/>
              <w:rPr>
                <w:rFonts w:ascii="宋体" w:hAnsi="宋体"/>
                <w:color w:val="000000"/>
                <w:szCs w:val="21"/>
              </w:rPr>
            </w:pPr>
          </w:p>
        </w:tc>
        <w:tc>
          <w:tcPr>
            <w:tcW w:w="827"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color w:val="000000"/>
                <w:szCs w:val="21"/>
              </w:rPr>
            </w:pPr>
          </w:p>
        </w:tc>
        <w:tc>
          <w:tcPr>
            <w:tcW w:w="1307" w:type="dxa"/>
          </w:tcPr>
          <w:p>
            <w:pPr>
              <w:spacing w:line="440" w:lineRule="exact"/>
              <w:jc w:val="center"/>
              <w:rPr>
                <w:rFonts w:ascii="宋体" w:hAnsi="宋体"/>
                <w:color w:val="000000"/>
                <w:szCs w:val="21"/>
              </w:rPr>
            </w:pPr>
          </w:p>
        </w:tc>
        <w:tc>
          <w:tcPr>
            <w:tcW w:w="915" w:type="dxa"/>
          </w:tcPr>
          <w:p>
            <w:pPr>
              <w:spacing w:line="440" w:lineRule="exact"/>
              <w:jc w:val="center"/>
              <w:rPr>
                <w:rFonts w:ascii="宋体" w:hAnsi="宋体"/>
                <w:color w:val="000000"/>
                <w:szCs w:val="21"/>
              </w:rPr>
            </w:pPr>
          </w:p>
        </w:tc>
        <w:tc>
          <w:tcPr>
            <w:tcW w:w="739" w:type="dxa"/>
          </w:tcPr>
          <w:p>
            <w:pPr>
              <w:spacing w:line="440" w:lineRule="exact"/>
              <w:jc w:val="center"/>
              <w:rPr>
                <w:rFonts w:ascii="宋体" w:hAnsi="宋体"/>
                <w:color w:val="000000"/>
                <w:szCs w:val="21"/>
              </w:rPr>
            </w:pPr>
          </w:p>
        </w:tc>
        <w:tc>
          <w:tcPr>
            <w:tcW w:w="809" w:type="dxa"/>
          </w:tcPr>
          <w:p>
            <w:pPr>
              <w:spacing w:line="440" w:lineRule="exact"/>
              <w:jc w:val="center"/>
              <w:rPr>
                <w:rFonts w:ascii="宋体" w:hAnsi="宋体"/>
                <w:color w:val="000000"/>
                <w:szCs w:val="21"/>
              </w:rPr>
            </w:pPr>
          </w:p>
        </w:tc>
        <w:tc>
          <w:tcPr>
            <w:tcW w:w="888" w:type="dxa"/>
          </w:tcPr>
          <w:p>
            <w:pPr>
              <w:spacing w:line="440" w:lineRule="exact"/>
              <w:jc w:val="center"/>
              <w:rPr>
                <w:rFonts w:ascii="宋体" w:hAnsi="宋体"/>
                <w:color w:val="000000"/>
                <w:szCs w:val="21"/>
              </w:rPr>
            </w:pPr>
          </w:p>
        </w:tc>
        <w:tc>
          <w:tcPr>
            <w:tcW w:w="1458" w:type="dxa"/>
          </w:tcPr>
          <w:p>
            <w:pPr>
              <w:spacing w:line="440" w:lineRule="exact"/>
              <w:jc w:val="center"/>
              <w:rPr>
                <w:rFonts w:ascii="宋体" w:hAnsi="宋体"/>
                <w:color w:val="000000"/>
                <w:szCs w:val="21"/>
              </w:rPr>
            </w:pPr>
          </w:p>
        </w:tc>
        <w:tc>
          <w:tcPr>
            <w:tcW w:w="1111" w:type="dxa"/>
          </w:tcPr>
          <w:p>
            <w:pPr>
              <w:spacing w:line="440" w:lineRule="exact"/>
              <w:jc w:val="center"/>
              <w:rPr>
                <w:rFonts w:ascii="宋体" w:hAnsi="宋体"/>
                <w:color w:val="000000"/>
                <w:szCs w:val="21"/>
              </w:rPr>
            </w:pPr>
          </w:p>
        </w:tc>
        <w:tc>
          <w:tcPr>
            <w:tcW w:w="827"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color w:val="000000"/>
                <w:szCs w:val="21"/>
              </w:rPr>
            </w:pPr>
          </w:p>
        </w:tc>
        <w:tc>
          <w:tcPr>
            <w:tcW w:w="1307" w:type="dxa"/>
          </w:tcPr>
          <w:p>
            <w:pPr>
              <w:spacing w:line="440" w:lineRule="exact"/>
              <w:jc w:val="center"/>
              <w:rPr>
                <w:rFonts w:ascii="宋体" w:hAnsi="宋体"/>
                <w:color w:val="000000"/>
                <w:szCs w:val="21"/>
              </w:rPr>
            </w:pPr>
          </w:p>
        </w:tc>
        <w:tc>
          <w:tcPr>
            <w:tcW w:w="915" w:type="dxa"/>
          </w:tcPr>
          <w:p>
            <w:pPr>
              <w:spacing w:line="440" w:lineRule="exact"/>
              <w:jc w:val="center"/>
              <w:rPr>
                <w:rFonts w:ascii="宋体" w:hAnsi="宋体"/>
                <w:color w:val="000000"/>
                <w:szCs w:val="21"/>
              </w:rPr>
            </w:pPr>
          </w:p>
        </w:tc>
        <w:tc>
          <w:tcPr>
            <w:tcW w:w="739" w:type="dxa"/>
          </w:tcPr>
          <w:p>
            <w:pPr>
              <w:spacing w:line="440" w:lineRule="exact"/>
              <w:jc w:val="center"/>
              <w:rPr>
                <w:rFonts w:ascii="宋体" w:hAnsi="宋体"/>
                <w:color w:val="000000"/>
                <w:szCs w:val="21"/>
              </w:rPr>
            </w:pPr>
          </w:p>
        </w:tc>
        <w:tc>
          <w:tcPr>
            <w:tcW w:w="809" w:type="dxa"/>
          </w:tcPr>
          <w:p>
            <w:pPr>
              <w:spacing w:line="440" w:lineRule="exact"/>
              <w:jc w:val="center"/>
              <w:rPr>
                <w:rFonts w:ascii="宋体" w:hAnsi="宋体"/>
                <w:color w:val="000000"/>
                <w:szCs w:val="21"/>
              </w:rPr>
            </w:pPr>
          </w:p>
        </w:tc>
        <w:tc>
          <w:tcPr>
            <w:tcW w:w="888" w:type="dxa"/>
          </w:tcPr>
          <w:p>
            <w:pPr>
              <w:spacing w:line="440" w:lineRule="exact"/>
              <w:jc w:val="center"/>
              <w:rPr>
                <w:rFonts w:ascii="宋体" w:hAnsi="宋体"/>
                <w:color w:val="000000"/>
                <w:szCs w:val="21"/>
              </w:rPr>
            </w:pPr>
          </w:p>
        </w:tc>
        <w:tc>
          <w:tcPr>
            <w:tcW w:w="1458" w:type="dxa"/>
          </w:tcPr>
          <w:p>
            <w:pPr>
              <w:spacing w:line="440" w:lineRule="exact"/>
              <w:jc w:val="center"/>
              <w:rPr>
                <w:rFonts w:ascii="宋体" w:hAnsi="宋体"/>
                <w:color w:val="000000"/>
                <w:szCs w:val="21"/>
              </w:rPr>
            </w:pPr>
          </w:p>
        </w:tc>
        <w:tc>
          <w:tcPr>
            <w:tcW w:w="1111" w:type="dxa"/>
          </w:tcPr>
          <w:p>
            <w:pPr>
              <w:spacing w:line="440" w:lineRule="exact"/>
              <w:jc w:val="center"/>
              <w:rPr>
                <w:rFonts w:ascii="宋体" w:hAnsi="宋体"/>
                <w:color w:val="000000"/>
                <w:szCs w:val="21"/>
              </w:rPr>
            </w:pPr>
          </w:p>
        </w:tc>
        <w:tc>
          <w:tcPr>
            <w:tcW w:w="827"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color w:val="000000"/>
                <w:szCs w:val="21"/>
              </w:rPr>
            </w:pPr>
          </w:p>
        </w:tc>
        <w:tc>
          <w:tcPr>
            <w:tcW w:w="1307" w:type="dxa"/>
          </w:tcPr>
          <w:p>
            <w:pPr>
              <w:spacing w:line="440" w:lineRule="exact"/>
              <w:jc w:val="center"/>
              <w:rPr>
                <w:rFonts w:ascii="宋体" w:hAnsi="宋体"/>
                <w:color w:val="000000"/>
                <w:szCs w:val="21"/>
              </w:rPr>
            </w:pPr>
          </w:p>
        </w:tc>
        <w:tc>
          <w:tcPr>
            <w:tcW w:w="915" w:type="dxa"/>
          </w:tcPr>
          <w:p>
            <w:pPr>
              <w:spacing w:line="440" w:lineRule="exact"/>
              <w:jc w:val="center"/>
              <w:rPr>
                <w:rFonts w:ascii="宋体" w:hAnsi="宋体"/>
                <w:color w:val="000000"/>
                <w:szCs w:val="21"/>
              </w:rPr>
            </w:pPr>
          </w:p>
        </w:tc>
        <w:tc>
          <w:tcPr>
            <w:tcW w:w="739" w:type="dxa"/>
          </w:tcPr>
          <w:p>
            <w:pPr>
              <w:spacing w:line="440" w:lineRule="exact"/>
              <w:jc w:val="center"/>
              <w:rPr>
                <w:rFonts w:ascii="宋体" w:hAnsi="宋体"/>
                <w:color w:val="000000"/>
                <w:szCs w:val="21"/>
              </w:rPr>
            </w:pPr>
          </w:p>
        </w:tc>
        <w:tc>
          <w:tcPr>
            <w:tcW w:w="809" w:type="dxa"/>
          </w:tcPr>
          <w:p>
            <w:pPr>
              <w:spacing w:line="440" w:lineRule="exact"/>
              <w:jc w:val="center"/>
              <w:rPr>
                <w:rFonts w:ascii="宋体" w:hAnsi="宋体"/>
                <w:color w:val="000000"/>
                <w:szCs w:val="21"/>
              </w:rPr>
            </w:pPr>
          </w:p>
        </w:tc>
        <w:tc>
          <w:tcPr>
            <w:tcW w:w="888" w:type="dxa"/>
          </w:tcPr>
          <w:p>
            <w:pPr>
              <w:spacing w:line="440" w:lineRule="exact"/>
              <w:jc w:val="center"/>
              <w:rPr>
                <w:rFonts w:ascii="宋体" w:hAnsi="宋体"/>
                <w:color w:val="000000"/>
                <w:szCs w:val="21"/>
              </w:rPr>
            </w:pPr>
          </w:p>
        </w:tc>
        <w:tc>
          <w:tcPr>
            <w:tcW w:w="1458" w:type="dxa"/>
          </w:tcPr>
          <w:p>
            <w:pPr>
              <w:spacing w:line="440" w:lineRule="exact"/>
              <w:jc w:val="center"/>
              <w:rPr>
                <w:rFonts w:ascii="宋体" w:hAnsi="宋体"/>
                <w:color w:val="000000"/>
                <w:szCs w:val="21"/>
              </w:rPr>
            </w:pPr>
          </w:p>
        </w:tc>
        <w:tc>
          <w:tcPr>
            <w:tcW w:w="1111" w:type="dxa"/>
          </w:tcPr>
          <w:p>
            <w:pPr>
              <w:spacing w:line="440" w:lineRule="exact"/>
              <w:jc w:val="center"/>
              <w:rPr>
                <w:rFonts w:ascii="宋体" w:hAnsi="宋体"/>
                <w:color w:val="000000"/>
                <w:szCs w:val="21"/>
              </w:rPr>
            </w:pPr>
          </w:p>
        </w:tc>
        <w:tc>
          <w:tcPr>
            <w:tcW w:w="827"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color w:val="000000"/>
                <w:szCs w:val="21"/>
              </w:rPr>
            </w:pPr>
          </w:p>
        </w:tc>
        <w:tc>
          <w:tcPr>
            <w:tcW w:w="1307" w:type="dxa"/>
          </w:tcPr>
          <w:p>
            <w:pPr>
              <w:spacing w:line="440" w:lineRule="exact"/>
              <w:jc w:val="center"/>
              <w:rPr>
                <w:rFonts w:ascii="宋体" w:hAnsi="宋体"/>
                <w:color w:val="000000"/>
                <w:szCs w:val="21"/>
              </w:rPr>
            </w:pPr>
          </w:p>
        </w:tc>
        <w:tc>
          <w:tcPr>
            <w:tcW w:w="915" w:type="dxa"/>
          </w:tcPr>
          <w:p>
            <w:pPr>
              <w:spacing w:line="440" w:lineRule="exact"/>
              <w:jc w:val="center"/>
              <w:rPr>
                <w:rFonts w:ascii="宋体" w:hAnsi="宋体"/>
                <w:color w:val="000000"/>
                <w:szCs w:val="21"/>
              </w:rPr>
            </w:pPr>
          </w:p>
        </w:tc>
        <w:tc>
          <w:tcPr>
            <w:tcW w:w="739" w:type="dxa"/>
          </w:tcPr>
          <w:p>
            <w:pPr>
              <w:spacing w:line="440" w:lineRule="exact"/>
              <w:jc w:val="center"/>
              <w:rPr>
                <w:rFonts w:ascii="宋体" w:hAnsi="宋体"/>
                <w:color w:val="000000"/>
                <w:szCs w:val="21"/>
              </w:rPr>
            </w:pPr>
          </w:p>
        </w:tc>
        <w:tc>
          <w:tcPr>
            <w:tcW w:w="809" w:type="dxa"/>
          </w:tcPr>
          <w:p>
            <w:pPr>
              <w:spacing w:line="440" w:lineRule="exact"/>
              <w:jc w:val="center"/>
              <w:rPr>
                <w:rFonts w:ascii="宋体" w:hAnsi="宋体"/>
                <w:color w:val="000000"/>
                <w:szCs w:val="21"/>
              </w:rPr>
            </w:pPr>
          </w:p>
        </w:tc>
        <w:tc>
          <w:tcPr>
            <w:tcW w:w="888" w:type="dxa"/>
          </w:tcPr>
          <w:p>
            <w:pPr>
              <w:spacing w:line="440" w:lineRule="exact"/>
              <w:jc w:val="center"/>
              <w:rPr>
                <w:rFonts w:ascii="宋体" w:hAnsi="宋体"/>
                <w:color w:val="000000"/>
                <w:szCs w:val="21"/>
              </w:rPr>
            </w:pPr>
          </w:p>
        </w:tc>
        <w:tc>
          <w:tcPr>
            <w:tcW w:w="1458" w:type="dxa"/>
          </w:tcPr>
          <w:p>
            <w:pPr>
              <w:spacing w:line="440" w:lineRule="exact"/>
              <w:jc w:val="center"/>
              <w:rPr>
                <w:rFonts w:ascii="宋体" w:hAnsi="宋体"/>
                <w:color w:val="000000"/>
                <w:szCs w:val="21"/>
              </w:rPr>
            </w:pPr>
          </w:p>
        </w:tc>
        <w:tc>
          <w:tcPr>
            <w:tcW w:w="1111" w:type="dxa"/>
          </w:tcPr>
          <w:p>
            <w:pPr>
              <w:spacing w:line="440" w:lineRule="exact"/>
              <w:jc w:val="center"/>
              <w:rPr>
                <w:rFonts w:ascii="宋体" w:hAnsi="宋体"/>
                <w:color w:val="000000"/>
                <w:szCs w:val="21"/>
              </w:rPr>
            </w:pPr>
          </w:p>
        </w:tc>
        <w:tc>
          <w:tcPr>
            <w:tcW w:w="827" w:type="dxa"/>
          </w:tcPr>
          <w:p>
            <w:pPr>
              <w:spacing w:line="440" w:lineRule="exact"/>
              <w:jc w:val="center"/>
              <w:rPr>
                <w:rFonts w:ascii="宋体" w:hAnsi="宋体"/>
                <w:color w:val="000000"/>
                <w:szCs w:val="21"/>
              </w:rPr>
            </w:pPr>
          </w:p>
        </w:tc>
      </w:tr>
    </w:tbl>
    <w:p>
      <w:pPr>
        <w:spacing w:line="440" w:lineRule="exact"/>
        <w:rPr>
          <w:rFonts w:ascii="宋体" w:hAnsi="宋体"/>
          <w:color w:val="000000"/>
        </w:rPr>
      </w:pPr>
      <w:r>
        <w:rPr>
          <w:rFonts w:ascii="宋体" w:hAnsi="宋体"/>
          <w:color w:val="000000"/>
          <w:sz w:val="20"/>
          <w:szCs w:val="20"/>
        </w:rPr>
        <w:br w:type="page"/>
      </w:r>
      <w:bookmarkStart w:id="109" w:name="_Toc179632819"/>
      <w:bookmarkStart w:id="110" w:name="_Toc144974867"/>
      <w:bookmarkStart w:id="111" w:name="_Toc246392157"/>
      <w:bookmarkStart w:id="112" w:name="_Toc152045799"/>
      <w:bookmarkStart w:id="113" w:name="_Toc8928"/>
      <w:bookmarkStart w:id="114" w:name="_Toc152042588"/>
      <w:r>
        <w:rPr>
          <w:rFonts w:hint="eastAsia" w:ascii="宋体" w:hAnsi="宋体"/>
          <w:color w:val="000000"/>
        </w:rPr>
        <w:t>附表三：劳动力计划表</w:t>
      </w:r>
      <w:bookmarkEnd w:id="109"/>
      <w:bookmarkEnd w:id="110"/>
      <w:bookmarkEnd w:id="111"/>
      <w:bookmarkEnd w:id="112"/>
      <w:bookmarkEnd w:id="113"/>
      <w:bookmarkEnd w:id="114"/>
    </w:p>
    <w:p>
      <w:pPr>
        <w:spacing w:line="440" w:lineRule="exact"/>
        <w:ind w:right="200"/>
        <w:jc w:val="right"/>
        <w:rPr>
          <w:rFonts w:ascii="宋体" w:hAnsi="宋体"/>
          <w:color w:val="000000"/>
          <w:szCs w:val="21"/>
        </w:rPr>
      </w:pPr>
      <w:r>
        <w:rPr>
          <w:rFonts w:hint="eastAsia" w:ascii="宋体" w:hAnsi="宋体"/>
          <w:color w:val="000000"/>
          <w:szCs w:val="21"/>
        </w:rPr>
        <w:t>单位：人</w:t>
      </w:r>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color w:val="000000"/>
                <w:szCs w:val="21"/>
              </w:rPr>
            </w:pPr>
            <w:r>
              <w:rPr>
                <w:rFonts w:hint="eastAsia" w:ascii="宋体" w:hAnsi="宋体"/>
                <w:color w:val="000000"/>
                <w:szCs w:val="21"/>
              </w:rPr>
              <w:t>工种</w:t>
            </w:r>
          </w:p>
        </w:tc>
        <w:tc>
          <w:tcPr>
            <w:tcW w:w="7803" w:type="dxa"/>
            <w:gridSpan w:val="7"/>
            <w:vAlign w:val="center"/>
          </w:tcPr>
          <w:p>
            <w:pPr>
              <w:spacing w:line="440" w:lineRule="exact"/>
              <w:jc w:val="center"/>
              <w:rPr>
                <w:rFonts w:ascii="宋体" w:hAnsi="宋体"/>
                <w:color w:val="000000"/>
                <w:szCs w:val="21"/>
              </w:rPr>
            </w:pPr>
            <w:r>
              <w:rPr>
                <w:rFonts w:hint="eastAsia" w:ascii="宋体" w:hAnsi="宋体"/>
                <w:color w:val="000000"/>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color w:val="000000"/>
                <w:szCs w:val="21"/>
              </w:rPr>
            </w:pPr>
          </w:p>
        </w:tc>
        <w:tc>
          <w:tcPr>
            <w:tcW w:w="1250" w:type="dxa"/>
            <w:vAlign w:val="center"/>
          </w:tcPr>
          <w:p>
            <w:pPr>
              <w:spacing w:line="440" w:lineRule="exact"/>
              <w:jc w:val="center"/>
              <w:rPr>
                <w:rFonts w:ascii="宋体" w:hAnsi="宋体"/>
                <w:color w:val="000000"/>
                <w:szCs w:val="21"/>
              </w:rPr>
            </w:pPr>
          </w:p>
        </w:tc>
        <w:tc>
          <w:tcPr>
            <w:tcW w:w="995" w:type="dxa"/>
            <w:vAlign w:val="center"/>
          </w:tcPr>
          <w:p>
            <w:pPr>
              <w:spacing w:line="440" w:lineRule="exact"/>
              <w:jc w:val="center"/>
              <w:rPr>
                <w:rFonts w:ascii="宋体" w:hAnsi="宋体"/>
                <w:color w:val="000000"/>
                <w:szCs w:val="21"/>
              </w:rPr>
            </w:pPr>
          </w:p>
        </w:tc>
        <w:tc>
          <w:tcPr>
            <w:tcW w:w="1034" w:type="dxa"/>
            <w:vAlign w:val="center"/>
          </w:tcPr>
          <w:p>
            <w:pPr>
              <w:spacing w:line="440" w:lineRule="exact"/>
              <w:jc w:val="center"/>
              <w:rPr>
                <w:rFonts w:ascii="宋体" w:hAnsi="宋体"/>
                <w:color w:val="000000"/>
                <w:szCs w:val="21"/>
              </w:rPr>
            </w:pPr>
          </w:p>
        </w:tc>
        <w:tc>
          <w:tcPr>
            <w:tcW w:w="1092" w:type="dxa"/>
            <w:vAlign w:val="center"/>
          </w:tcPr>
          <w:p>
            <w:pPr>
              <w:spacing w:line="440" w:lineRule="exact"/>
              <w:jc w:val="center"/>
              <w:rPr>
                <w:rFonts w:ascii="宋体" w:hAnsi="宋体"/>
                <w:color w:val="000000"/>
                <w:szCs w:val="21"/>
              </w:rPr>
            </w:pPr>
          </w:p>
        </w:tc>
        <w:tc>
          <w:tcPr>
            <w:tcW w:w="1140" w:type="dxa"/>
            <w:vAlign w:val="center"/>
          </w:tcPr>
          <w:p>
            <w:pPr>
              <w:spacing w:line="440" w:lineRule="exact"/>
              <w:jc w:val="center"/>
              <w:rPr>
                <w:rFonts w:ascii="宋体" w:hAnsi="宋体"/>
                <w:color w:val="000000"/>
                <w:szCs w:val="21"/>
              </w:rPr>
            </w:pPr>
          </w:p>
        </w:tc>
        <w:tc>
          <w:tcPr>
            <w:tcW w:w="1188" w:type="dxa"/>
            <w:vAlign w:val="center"/>
          </w:tcPr>
          <w:p>
            <w:pPr>
              <w:spacing w:line="440" w:lineRule="exact"/>
              <w:jc w:val="center"/>
              <w:rPr>
                <w:rFonts w:ascii="宋体" w:hAnsi="宋体"/>
                <w:color w:val="000000"/>
                <w:szCs w:val="21"/>
              </w:rPr>
            </w:pPr>
          </w:p>
        </w:tc>
        <w:tc>
          <w:tcPr>
            <w:tcW w:w="1104" w:type="dxa"/>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color w:val="000000"/>
                <w:szCs w:val="21"/>
              </w:rPr>
            </w:pPr>
          </w:p>
        </w:tc>
        <w:tc>
          <w:tcPr>
            <w:tcW w:w="1250" w:type="dxa"/>
            <w:vAlign w:val="center"/>
          </w:tcPr>
          <w:p>
            <w:pPr>
              <w:spacing w:line="440" w:lineRule="exact"/>
              <w:jc w:val="center"/>
              <w:rPr>
                <w:rFonts w:ascii="宋体" w:hAnsi="宋体"/>
                <w:color w:val="000000"/>
                <w:szCs w:val="21"/>
              </w:rPr>
            </w:pPr>
          </w:p>
        </w:tc>
        <w:tc>
          <w:tcPr>
            <w:tcW w:w="995" w:type="dxa"/>
            <w:vAlign w:val="center"/>
          </w:tcPr>
          <w:p>
            <w:pPr>
              <w:spacing w:line="440" w:lineRule="exact"/>
              <w:jc w:val="center"/>
              <w:rPr>
                <w:rFonts w:ascii="宋体" w:hAnsi="宋体"/>
                <w:color w:val="000000"/>
                <w:szCs w:val="21"/>
              </w:rPr>
            </w:pPr>
          </w:p>
        </w:tc>
        <w:tc>
          <w:tcPr>
            <w:tcW w:w="1034" w:type="dxa"/>
            <w:vAlign w:val="center"/>
          </w:tcPr>
          <w:p>
            <w:pPr>
              <w:spacing w:line="440" w:lineRule="exact"/>
              <w:jc w:val="center"/>
              <w:rPr>
                <w:rFonts w:ascii="宋体" w:hAnsi="宋体"/>
                <w:color w:val="000000"/>
                <w:szCs w:val="21"/>
              </w:rPr>
            </w:pPr>
          </w:p>
        </w:tc>
        <w:tc>
          <w:tcPr>
            <w:tcW w:w="1092" w:type="dxa"/>
            <w:vAlign w:val="center"/>
          </w:tcPr>
          <w:p>
            <w:pPr>
              <w:spacing w:line="440" w:lineRule="exact"/>
              <w:jc w:val="center"/>
              <w:rPr>
                <w:rFonts w:ascii="宋体" w:hAnsi="宋体"/>
                <w:color w:val="000000"/>
                <w:szCs w:val="21"/>
              </w:rPr>
            </w:pPr>
          </w:p>
        </w:tc>
        <w:tc>
          <w:tcPr>
            <w:tcW w:w="1140" w:type="dxa"/>
            <w:vAlign w:val="center"/>
          </w:tcPr>
          <w:p>
            <w:pPr>
              <w:spacing w:line="440" w:lineRule="exact"/>
              <w:jc w:val="center"/>
              <w:rPr>
                <w:rFonts w:ascii="宋体" w:hAnsi="宋体"/>
                <w:color w:val="000000"/>
                <w:szCs w:val="21"/>
              </w:rPr>
            </w:pPr>
          </w:p>
        </w:tc>
        <w:tc>
          <w:tcPr>
            <w:tcW w:w="1188" w:type="dxa"/>
            <w:vAlign w:val="center"/>
          </w:tcPr>
          <w:p>
            <w:pPr>
              <w:spacing w:line="440" w:lineRule="exact"/>
              <w:jc w:val="center"/>
              <w:rPr>
                <w:rFonts w:ascii="宋体" w:hAnsi="宋体"/>
                <w:color w:val="000000"/>
                <w:szCs w:val="21"/>
              </w:rPr>
            </w:pPr>
          </w:p>
        </w:tc>
        <w:tc>
          <w:tcPr>
            <w:tcW w:w="1104" w:type="dxa"/>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color w:val="000000"/>
                <w:szCs w:val="21"/>
              </w:rPr>
            </w:pPr>
          </w:p>
        </w:tc>
        <w:tc>
          <w:tcPr>
            <w:tcW w:w="1250" w:type="dxa"/>
          </w:tcPr>
          <w:p>
            <w:pPr>
              <w:spacing w:line="440" w:lineRule="exact"/>
              <w:jc w:val="center"/>
              <w:rPr>
                <w:rFonts w:ascii="宋体" w:hAnsi="宋体"/>
                <w:color w:val="000000"/>
                <w:szCs w:val="21"/>
              </w:rPr>
            </w:pPr>
          </w:p>
        </w:tc>
        <w:tc>
          <w:tcPr>
            <w:tcW w:w="995" w:type="dxa"/>
          </w:tcPr>
          <w:p>
            <w:pPr>
              <w:spacing w:line="440" w:lineRule="exact"/>
              <w:jc w:val="center"/>
              <w:rPr>
                <w:rFonts w:ascii="宋体" w:hAnsi="宋体"/>
                <w:color w:val="000000"/>
                <w:szCs w:val="21"/>
              </w:rPr>
            </w:pPr>
          </w:p>
        </w:tc>
        <w:tc>
          <w:tcPr>
            <w:tcW w:w="1034" w:type="dxa"/>
          </w:tcPr>
          <w:p>
            <w:pPr>
              <w:spacing w:line="440" w:lineRule="exact"/>
              <w:jc w:val="center"/>
              <w:rPr>
                <w:rFonts w:ascii="宋体" w:hAnsi="宋体"/>
                <w:color w:val="000000"/>
                <w:szCs w:val="21"/>
              </w:rPr>
            </w:pPr>
          </w:p>
        </w:tc>
        <w:tc>
          <w:tcPr>
            <w:tcW w:w="1092" w:type="dxa"/>
          </w:tcPr>
          <w:p>
            <w:pPr>
              <w:spacing w:line="440" w:lineRule="exact"/>
              <w:jc w:val="center"/>
              <w:rPr>
                <w:rFonts w:ascii="宋体" w:hAnsi="宋体"/>
                <w:color w:val="000000"/>
                <w:szCs w:val="21"/>
              </w:rPr>
            </w:pPr>
          </w:p>
        </w:tc>
        <w:tc>
          <w:tcPr>
            <w:tcW w:w="1140" w:type="dxa"/>
          </w:tcPr>
          <w:p>
            <w:pPr>
              <w:spacing w:line="440" w:lineRule="exact"/>
              <w:jc w:val="center"/>
              <w:rPr>
                <w:rFonts w:ascii="宋体" w:hAnsi="宋体"/>
                <w:color w:val="000000"/>
                <w:szCs w:val="21"/>
              </w:rPr>
            </w:pPr>
          </w:p>
        </w:tc>
        <w:tc>
          <w:tcPr>
            <w:tcW w:w="1188" w:type="dxa"/>
          </w:tcPr>
          <w:p>
            <w:pPr>
              <w:spacing w:line="440" w:lineRule="exact"/>
              <w:jc w:val="center"/>
              <w:rPr>
                <w:rFonts w:ascii="宋体" w:hAnsi="宋体"/>
                <w:color w:val="000000"/>
                <w:szCs w:val="21"/>
              </w:rPr>
            </w:pPr>
          </w:p>
        </w:tc>
        <w:tc>
          <w:tcPr>
            <w:tcW w:w="1104"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color w:val="000000"/>
                <w:szCs w:val="21"/>
              </w:rPr>
            </w:pPr>
          </w:p>
        </w:tc>
        <w:tc>
          <w:tcPr>
            <w:tcW w:w="1250" w:type="dxa"/>
          </w:tcPr>
          <w:p>
            <w:pPr>
              <w:spacing w:line="440" w:lineRule="exact"/>
              <w:jc w:val="center"/>
              <w:rPr>
                <w:rFonts w:ascii="宋体" w:hAnsi="宋体"/>
                <w:color w:val="000000"/>
                <w:szCs w:val="21"/>
              </w:rPr>
            </w:pPr>
          </w:p>
        </w:tc>
        <w:tc>
          <w:tcPr>
            <w:tcW w:w="995" w:type="dxa"/>
          </w:tcPr>
          <w:p>
            <w:pPr>
              <w:spacing w:line="440" w:lineRule="exact"/>
              <w:jc w:val="center"/>
              <w:rPr>
                <w:rFonts w:ascii="宋体" w:hAnsi="宋体"/>
                <w:color w:val="000000"/>
                <w:szCs w:val="21"/>
              </w:rPr>
            </w:pPr>
          </w:p>
        </w:tc>
        <w:tc>
          <w:tcPr>
            <w:tcW w:w="1034" w:type="dxa"/>
          </w:tcPr>
          <w:p>
            <w:pPr>
              <w:spacing w:line="440" w:lineRule="exact"/>
              <w:jc w:val="center"/>
              <w:rPr>
                <w:rFonts w:ascii="宋体" w:hAnsi="宋体"/>
                <w:color w:val="000000"/>
                <w:szCs w:val="21"/>
              </w:rPr>
            </w:pPr>
          </w:p>
        </w:tc>
        <w:tc>
          <w:tcPr>
            <w:tcW w:w="1092" w:type="dxa"/>
          </w:tcPr>
          <w:p>
            <w:pPr>
              <w:spacing w:line="440" w:lineRule="exact"/>
              <w:jc w:val="center"/>
              <w:rPr>
                <w:rFonts w:ascii="宋体" w:hAnsi="宋体"/>
                <w:color w:val="000000"/>
                <w:szCs w:val="21"/>
              </w:rPr>
            </w:pPr>
          </w:p>
        </w:tc>
        <w:tc>
          <w:tcPr>
            <w:tcW w:w="1140" w:type="dxa"/>
          </w:tcPr>
          <w:p>
            <w:pPr>
              <w:spacing w:line="440" w:lineRule="exact"/>
              <w:jc w:val="center"/>
              <w:rPr>
                <w:rFonts w:ascii="宋体" w:hAnsi="宋体"/>
                <w:color w:val="000000"/>
                <w:szCs w:val="21"/>
              </w:rPr>
            </w:pPr>
          </w:p>
        </w:tc>
        <w:tc>
          <w:tcPr>
            <w:tcW w:w="1188" w:type="dxa"/>
          </w:tcPr>
          <w:p>
            <w:pPr>
              <w:spacing w:line="440" w:lineRule="exact"/>
              <w:jc w:val="center"/>
              <w:rPr>
                <w:rFonts w:ascii="宋体" w:hAnsi="宋体"/>
                <w:color w:val="000000"/>
                <w:szCs w:val="21"/>
              </w:rPr>
            </w:pPr>
          </w:p>
        </w:tc>
        <w:tc>
          <w:tcPr>
            <w:tcW w:w="1104"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color w:val="000000"/>
                <w:szCs w:val="21"/>
              </w:rPr>
            </w:pPr>
          </w:p>
        </w:tc>
        <w:tc>
          <w:tcPr>
            <w:tcW w:w="1250" w:type="dxa"/>
          </w:tcPr>
          <w:p>
            <w:pPr>
              <w:spacing w:line="440" w:lineRule="exact"/>
              <w:jc w:val="center"/>
              <w:rPr>
                <w:rFonts w:ascii="宋体" w:hAnsi="宋体"/>
                <w:color w:val="000000"/>
                <w:szCs w:val="21"/>
              </w:rPr>
            </w:pPr>
          </w:p>
        </w:tc>
        <w:tc>
          <w:tcPr>
            <w:tcW w:w="995" w:type="dxa"/>
          </w:tcPr>
          <w:p>
            <w:pPr>
              <w:spacing w:line="440" w:lineRule="exact"/>
              <w:jc w:val="center"/>
              <w:rPr>
                <w:rFonts w:ascii="宋体" w:hAnsi="宋体"/>
                <w:color w:val="000000"/>
                <w:szCs w:val="21"/>
              </w:rPr>
            </w:pPr>
          </w:p>
        </w:tc>
        <w:tc>
          <w:tcPr>
            <w:tcW w:w="1034" w:type="dxa"/>
          </w:tcPr>
          <w:p>
            <w:pPr>
              <w:spacing w:line="440" w:lineRule="exact"/>
              <w:jc w:val="center"/>
              <w:rPr>
                <w:rFonts w:ascii="宋体" w:hAnsi="宋体"/>
                <w:color w:val="000000"/>
                <w:szCs w:val="21"/>
              </w:rPr>
            </w:pPr>
          </w:p>
        </w:tc>
        <w:tc>
          <w:tcPr>
            <w:tcW w:w="1092" w:type="dxa"/>
          </w:tcPr>
          <w:p>
            <w:pPr>
              <w:spacing w:line="440" w:lineRule="exact"/>
              <w:jc w:val="center"/>
              <w:rPr>
                <w:rFonts w:ascii="宋体" w:hAnsi="宋体"/>
                <w:color w:val="000000"/>
                <w:szCs w:val="21"/>
              </w:rPr>
            </w:pPr>
          </w:p>
        </w:tc>
        <w:tc>
          <w:tcPr>
            <w:tcW w:w="1140" w:type="dxa"/>
          </w:tcPr>
          <w:p>
            <w:pPr>
              <w:spacing w:line="440" w:lineRule="exact"/>
              <w:jc w:val="center"/>
              <w:rPr>
                <w:rFonts w:ascii="宋体" w:hAnsi="宋体"/>
                <w:color w:val="000000"/>
                <w:szCs w:val="21"/>
              </w:rPr>
            </w:pPr>
          </w:p>
        </w:tc>
        <w:tc>
          <w:tcPr>
            <w:tcW w:w="1188" w:type="dxa"/>
          </w:tcPr>
          <w:p>
            <w:pPr>
              <w:spacing w:line="440" w:lineRule="exact"/>
              <w:jc w:val="center"/>
              <w:rPr>
                <w:rFonts w:ascii="宋体" w:hAnsi="宋体"/>
                <w:color w:val="000000"/>
                <w:szCs w:val="21"/>
              </w:rPr>
            </w:pPr>
          </w:p>
        </w:tc>
        <w:tc>
          <w:tcPr>
            <w:tcW w:w="1104"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color w:val="000000"/>
                <w:szCs w:val="21"/>
              </w:rPr>
            </w:pPr>
          </w:p>
        </w:tc>
        <w:tc>
          <w:tcPr>
            <w:tcW w:w="1250" w:type="dxa"/>
          </w:tcPr>
          <w:p>
            <w:pPr>
              <w:spacing w:line="440" w:lineRule="exact"/>
              <w:jc w:val="center"/>
              <w:rPr>
                <w:rFonts w:ascii="宋体" w:hAnsi="宋体"/>
                <w:color w:val="000000"/>
                <w:szCs w:val="21"/>
              </w:rPr>
            </w:pPr>
          </w:p>
        </w:tc>
        <w:tc>
          <w:tcPr>
            <w:tcW w:w="995" w:type="dxa"/>
          </w:tcPr>
          <w:p>
            <w:pPr>
              <w:spacing w:line="440" w:lineRule="exact"/>
              <w:jc w:val="center"/>
              <w:rPr>
                <w:rFonts w:ascii="宋体" w:hAnsi="宋体"/>
                <w:color w:val="000000"/>
                <w:szCs w:val="21"/>
              </w:rPr>
            </w:pPr>
          </w:p>
        </w:tc>
        <w:tc>
          <w:tcPr>
            <w:tcW w:w="1034" w:type="dxa"/>
          </w:tcPr>
          <w:p>
            <w:pPr>
              <w:spacing w:line="440" w:lineRule="exact"/>
              <w:jc w:val="center"/>
              <w:rPr>
                <w:rFonts w:ascii="宋体" w:hAnsi="宋体"/>
                <w:color w:val="000000"/>
                <w:szCs w:val="21"/>
              </w:rPr>
            </w:pPr>
          </w:p>
        </w:tc>
        <w:tc>
          <w:tcPr>
            <w:tcW w:w="1092" w:type="dxa"/>
          </w:tcPr>
          <w:p>
            <w:pPr>
              <w:spacing w:line="440" w:lineRule="exact"/>
              <w:jc w:val="center"/>
              <w:rPr>
                <w:rFonts w:ascii="宋体" w:hAnsi="宋体"/>
                <w:color w:val="000000"/>
                <w:szCs w:val="21"/>
              </w:rPr>
            </w:pPr>
          </w:p>
        </w:tc>
        <w:tc>
          <w:tcPr>
            <w:tcW w:w="1140" w:type="dxa"/>
          </w:tcPr>
          <w:p>
            <w:pPr>
              <w:spacing w:line="440" w:lineRule="exact"/>
              <w:jc w:val="center"/>
              <w:rPr>
                <w:rFonts w:ascii="宋体" w:hAnsi="宋体"/>
                <w:color w:val="000000"/>
                <w:szCs w:val="21"/>
              </w:rPr>
            </w:pPr>
          </w:p>
        </w:tc>
        <w:tc>
          <w:tcPr>
            <w:tcW w:w="1188" w:type="dxa"/>
          </w:tcPr>
          <w:p>
            <w:pPr>
              <w:spacing w:line="440" w:lineRule="exact"/>
              <w:jc w:val="center"/>
              <w:rPr>
                <w:rFonts w:ascii="宋体" w:hAnsi="宋体"/>
                <w:color w:val="000000"/>
                <w:szCs w:val="21"/>
              </w:rPr>
            </w:pPr>
          </w:p>
        </w:tc>
        <w:tc>
          <w:tcPr>
            <w:tcW w:w="1104"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color w:val="000000"/>
                <w:szCs w:val="21"/>
              </w:rPr>
            </w:pPr>
          </w:p>
        </w:tc>
        <w:tc>
          <w:tcPr>
            <w:tcW w:w="1250" w:type="dxa"/>
          </w:tcPr>
          <w:p>
            <w:pPr>
              <w:spacing w:line="440" w:lineRule="exact"/>
              <w:jc w:val="center"/>
              <w:rPr>
                <w:rFonts w:ascii="宋体" w:hAnsi="宋体"/>
                <w:color w:val="000000"/>
                <w:szCs w:val="21"/>
              </w:rPr>
            </w:pPr>
          </w:p>
        </w:tc>
        <w:tc>
          <w:tcPr>
            <w:tcW w:w="995" w:type="dxa"/>
          </w:tcPr>
          <w:p>
            <w:pPr>
              <w:spacing w:line="440" w:lineRule="exact"/>
              <w:jc w:val="center"/>
              <w:rPr>
                <w:rFonts w:ascii="宋体" w:hAnsi="宋体"/>
                <w:color w:val="000000"/>
                <w:szCs w:val="21"/>
              </w:rPr>
            </w:pPr>
          </w:p>
        </w:tc>
        <w:tc>
          <w:tcPr>
            <w:tcW w:w="1034" w:type="dxa"/>
          </w:tcPr>
          <w:p>
            <w:pPr>
              <w:spacing w:line="440" w:lineRule="exact"/>
              <w:jc w:val="center"/>
              <w:rPr>
                <w:rFonts w:ascii="宋体" w:hAnsi="宋体"/>
                <w:color w:val="000000"/>
                <w:szCs w:val="21"/>
              </w:rPr>
            </w:pPr>
          </w:p>
        </w:tc>
        <w:tc>
          <w:tcPr>
            <w:tcW w:w="1092" w:type="dxa"/>
          </w:tcPr>
          <w:p>
            <w:pPr>
              <w:spacing w:line="440" w:lineRule="exact"/>
              <w:jc w:val="center"/>
              <w:rPr>
                <w:rFonts w:ascii="宋体" w:hAnsi="宋体"/>
                <w:color w:val="000000"/>
                <w:szCs w:val="21"/>
              </w:rPr>
            </w:pPr>
          </w:p>
        </w:tc>
        <w:tc>
          <w:tcPr>
            <w:tcW w:w="1140" w:type="dxa"/>
          </w:tcPr>
          <w:p>
            <w:pPr>
              <w:spacing w:line="440" w:lineRule="exact"/>
              <w:jc w:val="center"/>
              <w:rPr>
                <w:rFonts w:ascii="宋体" w:hAnsi="宋体"/>
                <w:color w:val="000000"/>
                <w:szCs w:val="21"/>
              </w:rPr>
            </w:pPr>
          </w:p>
        </w:tc>
        <w:tc>
          <w:tcPr>
            <w:tcW w:w="1188" w:type="dxa"/>
          </w:tcPr>
          <w:p>
            <w:pPr>
              <w:spacing w:line="440" w:lineRule="exact"/>
              <w:jc w:val="center"/>
              <w:rPr>
                <w:rFonts w:ascii="宋体" w:hAnsi="宋体"/>
                <w:color w:val="000000"/>
                <w:szCs w:val="21"/>
              </w:rPr>
            </w:pPr>
          </w:p>
        </w:tc>
        <w:tc>
          <w:tcPr>
            <w:tcW w:w="1104"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color w:val="000000"/>
                <w:szCs w:val="21"/>
              </w:rPr>
            </w:pPr>
          </w:p>
        </w:tc>
        <w:tc>
          <w:tcPr>
            <w:tcW w:w="1250" w:type="dxa"/>
          </w:tcPr>
          <w:p>
            <w:pPr>
              <w:spacing w:line="440" w:lineRule="exact"/>
              <w:jc w:val="center"/>
              <w:rPr>
                <w:rFonts w:ascii="宋体" w:hAnsi="宋体"/>
                <w:color w:val="000000"/>
                <w:szCs w:val="21"/>
              </w:rPr>
            </w:pPr>
          </w:p>
        </w:tc>
        <w:tc>
          <w:tcPr>
            <w:tcW w:w="995" w:type="dxa"/>
          </w:tcPr>
          <w:p>
            <w:pPr>
              <w:spacing w:line="440" w:lineRule="exact"/>
              <w:jc w:val="center"/>
              <w:rPr>
                <w:rFonts w:ascii="宋体" w:hAnsi="宋体"/>
                <w:color w:val="000000"/>
                <w:szCs w:val="21"/>
              </w:rPr>
            </w:pPr>
          </w:p>
        </w:tc>
        <w:tc>
          <w:tcPr>
            <w:tcW w:w="1034" w:type="dxa"/>
          </w:tcPr>
          <w:p>
            <w:pPr>
              <w:spacing w:line="440" w:lineRule="exact"/>
              <w:jc w:val="center"/>
              <w:rPr>
                <w:rFonts w:ascii="宋体" w:hAnsi="宋体"/>
                <w:color w:val="000000"/>
                <w:szCs w:val="21"/>
              </w:rPr>
            </w:pPr>
          </w:p>
        </w:tc>
        <w:tc>
          <w:tcPr>
            <w:tcW w:w="1092" w:type="dxa"/>
          </w:tcPr>
          <w:p>
            <w:pPr>
              <w:spacing w:line="440" w:lineRule="exact"/>
              <w:jc w:val="center"/>
              <w:rPr>
                <w:rFonts w:ascii="宋体" w:hAnsi="宋体"/>
                <w:color w:val="000000"/>
                <w:szCs w:val="21"/>
              </w:rPr>
            </w:pPr>
          </w:p>
        </w:tc>
        <w:tc>
          <w:tcPr>
            <w:tcW w:w="1140" w:type="dxa"/>
          </w:tcPr>
          <w:p>
            <w:pPr>
              <w:spacing w:line="440" w:lineRule="exact"/>
              <w:jc w:val="center"/>
              <w:rPr>
                <w:rFonts w:ascii="宋体" w:hAnsi="宋体"/>
                <w:color w:val="000000"/>
                <w:szCs w:val="21"/>
              </w:rPr>
            </w:pPr>
          </w:p>
        </w:tc>
        <w:tc>
          <w:tcPr>
            <w:tcW w:w="1188" w:type="dxa"/>
          </w:tcPr>
          <w:p>
            <w:pPr>
              <w:spacing w:line="440" w:lineRule="exact"/>
              <w:jc w:val="center"/>
              <w:rPr>
                <w:rFonts w:ascii="宋体" w:hAnsi="宋体"/>
                <w:color w:val="000000"/>
                <w:szCs w:val="21"/>
              </w:rPr>
            </w:pPr>
          </w:p>
        </w:tc>
        <w:tc>
          <w:tcPr>
            <w:tcW w:w="1104"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color w:val="000000"/>
                <w:szCs w:val="21"/>
              </w:rPr>
            </w:pPr>
          </w:p>
        </w:tc>
        <w:tc>
          <w:tcPr>
            <w:tcW w:w="1250" w:type="dxa"/>
          </w:tcPr>
          <w:p>
            <w:pPr>
              <w:spacing w:line="440" w:lineRule="exact"/>
              <w:jc w:val="center"/>
              <w:rPr>
                <w:rFonts w:ascii="宋体" w:hAnsi="宋体"/>
                <w:color w:val="000000"/>
                <w:szCs w:val="21"/>
              </w:rPr>
            </w:pPr>
          </w:p>
        </w:tc>
        <w:tc>
          <w:tcPr>
            <w:tcW w:w="995" w:type="dxa"/>
          </w:tcPr>
          <w:p>
            <w:pPr>
              <w:spacing w:line="440" w:lineRule="exact"/>
              <w:jc w:val="center"/>
              <w:rPr>
                <w:rFonts w:ascii="宋体" w:hAnsi="宋体"/>
                <w:color w:val="000000"/>
                <w:szCs w:val="21"/>
              </w:rPr>
            </w:pPr>
          </w:p>
        </w:tc>
        <w:tc>
          <w:tcPr>
            <w:tcW w:w="1034" w:type="dxa"/>
          </w:tcPr>
          <w:p>
            <w:pPr>
              <w:spacing w:line="440" w:lineRule="exact"/>
              <w:jc w:val="center"/>
              <w:rPr>
                <w:rFonts w:ascii="宋体" w:hAnsi="宋体"/>
                <w:color w:val="000000"/>
                <w:szCs w:val="21"/>
              </w:rPr>
            </w:pPr>
          </w:p>
        </w:tc>
        <w:tc>
          <w:tcPr>
            <w:tcW w:w="1092" w:type="dxa"/>
          </w:tcPr>
          <w:p>
            <w:pPr>
              <w:spacing w:line="440" w:lineRule="exact"/>
              <w:jc w:val="center"/>
              <w:rPr>
                <w:rFonts w:ascii="宋体" w:hAnsi="宋体"/>
                <w:color w:val="000000"/>
                <w:szCs w:val="21"/>
              </w:rPr>
            </w:pPr>
          </w:p>
        </w:tc>
        <w:tc>
          <w:tcPr>
            <w:tcW w:w="1140" w:type="dxa"/>
          </w:tcPr>
          <w:p>
            <w:pPr>
              <w:spacing w:line="440" w:lineRule="exact"/>
              <w:jc w:val="center"/>
              <w:rPr>
                <w:rFonts w:ascii="宋体" w:hAnsi="宋体"/>
                <w:color w:val="000000"/>
                <w:szCs w:val="21"/>
              </w:rPr>
            </w:pPr>
          </w:p>
        </w:tc>
        <w:tc>
          <w:tcPr>
            <w:tcW w:w="1188" w:type="dxa"/>
          </w:tcPr>
          <w:p>
            <w:pPr>
              <w:spacing w:line="440" w:lineRule="exact"/>
              <w:jc w:val="center"/>
              <w:rPr>
                <w:rFonts w:ascii="宋体" w:hAnsi="宋体"/>
                <w:color w:val="000000"/>
                <w:szCs w:val="21"/>
              </w:rPr>
            </w:pPr>
          </w:p>
        </w:tc>
        <w:tc>
          <w:tcPr>
            <w:tcW w:w="1104"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color w:val="000000"/>
                <w:szCs w:val="21"/>
              </w:rPr>
            </w:pPr>
          </w:p>
        </w:tc>
        <w:tc>
          <w:tcPr>
            <w:tcW w:w="1250" w:type="dxa"/>
          </w:tcPr>
          <w:p>
            <w:pPr>
              <w:spacing w:line="440" w:lineRule="exact"/>
              <w:jc w:val="center"/>
              <w:rPr>
                <w:rFonts w:ascii="宋体" w:hAnsi="宋体"/>
                <w:color w:val="000000"/>
                <w:szCs w:val="21"/>
              </w:rPr>
            </w:pPr>
          </w:p>
        </w:tc>
        <w:tc>
          <w:tcPr>
            <w:tcW w:w="995" w:type="dxa"/>
          </w:tcPr>
          <w:p>
            <w:pPr>
              <w:spacing w:line="440" w:lineRule="exact"/>
              <w:jc w:val="center"/>
              <w:rPr>
                <w:rFonts w:ascii="宋体" w:hAnsi="宋体"/>
                <w:color w:val="000000"/>
                <w:szCs w:val="21"/>
              </w:rPr>
            </w:pPr>
          </w:p>
        </w:tc>
        <w:tc>
          <w:tcPr>
            <w:tcW w:w="1034" w:type="dxa"/>
          </w:tcPr>
          <w:p>
            <w:pPr>
              <w:spacing w:line="440" w:lineRule="exact"/>
              <w:jc w:val="center"/>
              <w:rPr>
                <w:rFonts w:ascii="宋体" w:hAnsi="宋体"/>
                <w:color w:val="000000"/>
                <w:szCs w:val="21"/>
              </w:rPr>
            </w:pPr>
          </w:p>
        </w:tc>
        <w:tc>
          <w:tcPr>
            <w:tcW w:w="1092" w:type="dxa"/>
          </w:tcPr>
          <w:p>
            <w:pPr>
              <w:spacing w:line="440" w:lineRule="exact"/>
              <w:jc w:val="center"/>
              <w:rPr>
                <w:rFonts w:ascii="宋体" w:hAnsi="宋体"/>
                <w:color w:val="000000"/>
                <w:szCs w:val="21"/>
              </w:rPr>
            </w:pPr>
          </w:p>
        </w:tc>
        <w:tc>
          <w:tcPr>
            <w:tcW w:w="1140" w:type="dxa"/>
          </w:tcPr>
          <w:p>
            <w:pPr>
              <w:spacing w:line="440" w:lineRule="exact"/>
              <w:jc w:val="center"/>
              <w:rPr>
                <w:rFonts w:ascii="宋体" w:hAnsi="宋体"/>
                <w:color w:val="000000"/>
                <w:szCs w:val="21"/>
              </w:rPr>
            </w:pPr>
          </w:p>
        </w:tc>
        <w:tc>
          <w:tcPr>
            <w:tcW w:w="1188" w:type="dxa"/>
          </w:tcPr>
          <w:p>
            <w:pPr>
              <w:spacing w:line="440" w:lineRule="exact"/>
              <w:jc w:val="center"/>
              <w:rPr>
                <w:rFonts w:ascii="宋体" w:hAnsi="宋体"/>
                <w:color w:val="000000"/>
                <w:szCs w:val="21"/>
              </w:rPr>
            </w:pPr>
          </w:p>
        </w:tc>
        <w:tc>
          <w:tcPr>
            <w:tcW w:w="1104"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color w:val="000000"/>
                <w:szCs w:val="21"/>
              </w:rPr>
            </w:pPr>
          </w:p>
        </w:tc>
        <w:tc>
          <w:tcPr>
            <w:tcW w:w="1250" w:type="dxa"/>
          </w:tcPr>
          <w:p>
            <w:pPr>
              <w:spacing w:line="440" w:lineRule="exact"/>
              <w:jc w:val="center"/>
              <w:rPr>
                <w:rFonts w:ascii="宋体" w:hAnsi="宋体"/>
                <w:color w:val="000000"/>
                <w:szCs w:val="21"/>
              </w:rPr>
            </w:pPr>
          </w:p>
        </w:tc>
        <w:tc>
          <w:tcPr>
            <w:tcW w:w="995" w:type="dxa"/>
          </w:tcPr>
          <w:p>
            <w:pPr>
              <w:spacing w:line="440" w:lineRule="exact"/>
              <w:jc w:val="center"/>
              <w:rPr>
                <w:rFonts w:ascii="宋体" w:hAnsi="宋体"/>
                <w:color w:val="000000"/>
                <w:szCs w:val="21"/>
              </w:rPr>
            </w:pPr>
          </w:p>
        </w:tc>
        <w:tc>
          <w:tcPr>
            <w:tcW w:w="1034" w:type="dxa"/>
          </w:tcPr>
          <w:p>
            <w:pPr>
              <w:spacing w:line="440" w:lineRule="exact"/>
              <w:jc w:val="center"/>
              <w:rPr>
                <w:rFonts w:ascii="宋体" w:hAnsi="宋体"/>
                <w:color w:val="000000"/>
                <w:szCs w:val="21"/>
              </w:rPr>
            </w:pPr>
          </w:p>
        </w:tc>
        <w:tc>
          <w:tcPr>
            <w:tcW w:w="1092" w:type="dxa"/>
          </w:tcPr>
          <w:p>
            <w:pPr>
              <w:spacing w:line="440" w:lineRule="exact"/>
              <w:jc w:val="center"/>
              <w:rPr>
                <w:rFonts w:ascii="宋体" w:hAnsi="宋体"/>
                <w:color w:val="000000"/>
                <w:szCs w:val="21"/>
              </w:rPr>
            </w:pPr>
          </w:p>
        </w:tc>
        <w:tc>
          <w:tcPr>
            <w:tcW w:w="1140" w:type="dxa"/>
          </w:tcPr>
          <w:p>
            <w:pPr>
              <w:spacing w:line="440" w:lineRule="exact"/>
              <w:jc w:val="center"/>
              <w:rPr>
                <w:rFonts w:ascii="宋体" w:hAnsi="宋体"/>
                <w:color w:val="000000"/>
                <w:szCs w:val="21"/>
              </w:rPr>
            </w:pPr>
          </w:p>
        </w:tc>
        <w:tc>
          <w:tcPr>
            <w:tcW w:w="1188" w:type="dxa"/>
          </w:tcPr>
          <w:p>
            <w:pPr>
              <w:spacing w:line="440" w:lineRule="exact"/>
              <w:jc w:val="center"/>
              <w:rPr>
                <w:rFonts w:ascii="宋体" w:hAnsi="宋体"/>
                <w:color w:val="000000"/>
                <w:szCs w:val="21"/>
              </w:rPr>
            </w:pPr>
          </w:p>
        </w:tc>
        <w:tc>
          <w:tcPr>
            <w:tcW w:w="1104"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color w:val="000000"/>
                <w:szCs w:val="21"/>
              </w:rPr>
            </w:pPr>
          </w:p>
        </w:tc>
        <w:tc>
          <w:tcPr>
            <w:tcW w:w="1250" w:type="dxa"/>
          </w:tcPr>
          <w:p>
            <w:pPr>
              <w:spacing w:line="440" w:lineRule="exact"/>
              <w:jc w:val="center"/>
              <w:rPr>
                <w:rFonts w:ascii="宋体" w:hAnsi="宋体"/>
                <w:color w:val="000000"/>
                <w:szCs w:val="21"/>
              </w:rPr>
            </w:pPr>
          </w:p>
        </w:tc>
        <w:tc>
          <w:tcPr>
            <w:tcW w:w="995" w:type="dxa"/>
          </w:tcPr>
          <w:p>
            <w:pPr>
              <w:spacing w:line="440" w:lineRule="exact"/>
              <w:jc w:val="center"/>
              <w:rPr>
                <w:rFonts w:ascii="宋体" w:hAnsi="宋体"/>
                <w:color w:val="000000"/>
                <w:szCs w:val="21"/>
              </w:rPr>
            </w:pPr>
          </w:p>
        </w:tc>
        <w:tc>
          <w:tcPr>
            <w:tcW w:w="1034" w:type="dxa"/>
          </w:tcPr>
          <w:p>
            <w:pPr>
              <w:spacing w:line="440" w:lineRule="exact"/>
              <w:jc w:val="center"/>
              <w:rPr>
                <w:rFonts w:ascii="宋体" w:hAnsi="宋体"/>
                <w:color w:val="000000"/>
                <w:szCs w:val="21"/>
              </w:rPr>
            </w:pPr>
          </w:p>
        </w:tc>
        <w:tc>
          <w:tcPr>
            <w:tcW w:w="1092" w:type="dxa"/>
          </w:tcPr>
          <w:p>
            <w:pPr>
              <w:spacing w:line="440" w:lineRule="exact"/>
              <w:jc w:val="center"/>
              <w:rPr>
                <w:rFonts w:ascii="宋体" w:hAnsi="宋体"/>
                <w:color w:val="000000"/>
                <w:szCs w:val="21"/>
              </w:rPr>
            </w:pPr>
          </w:p>
        </w:tc>
        <w:tc>
          <w:tcPr>
            <w:tcW w:w="1140" w:type="dxa"/>
          </w:tcPr>
          <w:p>
            <w:pPr>
              <w:spacing w:line="440" w:lineRule="exact"/>
              <w:jc w:val="center"/>
              <w:rPr>
                <w:rFonts w:ascii="宋体" w:hAnsi="宋体"/>
                <w:color w:val="000000"/>
                <w:szCs w:val="21"/>
              </w:rPr>
            </w:pPr>
          </w:p>
        </w:tc>
        <w:tc>
          <w:tcPr>
            <w:tcW w:w="1188" w:type="dxa"/>
          </w:tcPr>
          <w:p>
            <w:pPr>
              <w:spacing w:line="440" w:lineRule="exact"/>
              <w:jc w:val="center"/>
              <w:rPr>
                <w:rFonts w:ascii="宋体" w:hAnsi="宋体"/>
                <w:color w:val="000000"/>
                <w:szCs w:val="21"/>
              </w:rPr>
            </w:pPr>
          </w:p>
        </w:tc>
        <w:tc>
          <w:tcPr>
            <w:tcW w:w="1104"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color w:val="000000"/>
                <w:szCs w:val="21"/>
              </w:rPr>
            </w:pPr>
          </w:p>
        </w:tc>
        <w:tc>
          <w:tcPr>
            <w:tcW w:w="1250" w:type="dxa"/>
          </w:tcPr>
          <w:p>
            <w:pPr>
              <w:spacing w:line="440" w:lineRule="exact"/>
              <w:jc w:val="center"/>
              <w:rPr>
                <w:rFonts w:ascii="宋体" w:hAnsi="宋体"/>
                <w:color w:val="000000"/>
                <w:szCs w:val="21"/>
              </w:rPr>
            </w:pPr>
          </w:p>
        </w:tc>
        <w:tc>
          <w:tcPr>
            <w:tcW w:w="995" w:type="dxa"/>
          </w:tcPr>
          <w:p>
            <w:pPr>
              <w:spacing w:line="440" w:lineRule="exact"/>
              <w:jc w:val="center"/>
              <w:rPr>
                <w:rFonts w:ascii="宋体" w:hAnsi="宋体"/>
                <w:color w:val="000000"/>
                <w:szCs w:val="21"/>
              </w:rPr>
            </w:pPr>
          </w:p>
        </w:tc>
        <w:tc>
          <w:tcPr>
            <w:tcW w:w="1034" w:type="dxa"/>
          </w:tcPr>
          <w:p>
            <w:pPr>
              <w:spacing w:line="440" w:lineRule="exact"/>
              <w:jc w:val="center"/>
              <w:rPr>
                <w:rFonts w:ascii="宋体" w:hAnsi="宋体"/>
                <w:color w:val="000000"/>
                <w:szCs w:val="21"/>
              </w:rPr>
            </w:pPr>
          </w:p>
        </w:tc>
        <w:tc>
          <w:tcPr>
            <w:tcW w:w="1092" w:type="dxa"/>
          </w:tcPr>
          <w:p>
            <w:pPr>
              <w:spacing w:line="440" w:lineRule="exact"/>
              <w:jc w:val="center"/>
              <w:rPr>
                <w:rFonts w:ascii="宋体" w:hAnsi="宋体"/>
                <w:color w:val="000000"/>
                <w:szCs w:val="21"/>
              </w:rPr>
            </w:pPr>
          </w:p>
        </w:tc>
        <w:tc>
          <w:tcPr>
            <w:tcW w:w="1140" w:type="dxa"/>
          </w:tcPr>
          <w:p>
            <w:pPr>
              <w:spacing w:line="440" w:lineRule="exact"/>
              <w:jc w:val="center"/>
              <w:rPr>
                <w:rFonts w:ascii="宋体" w:hAnsi="宋体"/>
                <w:color w:val="000000"/>
                <w:szCs w:val="21"/>
              </w:rPr>
            </w:pPr>
          </w:p>
        </w:tc>
        <w:tc>
          <w:tcPr>
            <w:tcW w:w="1188" w:type="dxa"/>
          </w:tcPr>
          <w:p>
            <w:pPr>
              <w:spacing w:line="440" w:lineRule="exact"/>
              <w:jc w:val="center"/>
              <w:rPr>
                <w:rFonts w:ascii="宋体" w:hAnsi="宋体"/>
                <w:color w:val="000000"/>
                <w:szCs w:val="21"/>
              </w:rPr>
            </w:pPr>
          </w:p>
        </w:tc>
        <w:tc>
          <w:tcPr>
            <w:tcW w:w="1104"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color w:val="000000"/>
                <w:szCs w:val="21"/>
              </w:rPr>
            </w:pPr>
          </w:p>
        </w:tc>
        <w:tc>
          <w:tcPr>
            <w:tcW w:w="1250" w:type="dxa"/>
          </w:tcPr>
          <w:p>
            <w:pPr>
              <w:spacing w:line="440" w:lineRule="exact"/>
              <w:jc w:val="center"/>
              <w:rPr>
                <w:rFonts w:ascii="宋体" w:hAnsi="宋体"/>
                <w:color w:val="000000"/>
                <w:szCs w:val="21"/>
              </w:rPr>
            </w:pPr>
          </w:p>
        </w:tc>
        <w:tc>
          <w:tcPr>
            <w:tcW w:w="995" w:type="dxa"/>
          </w:tcPr>
          <w:p>
            <w:pPr>
              <w:spacing w:line="440" w:lineRule="exact"/>
              <w:jc w:val="center"/>
              <w:rPr>
                <w:rFonts w:ascii="宋体" w:hAnsi="宋体"/>
                <w:color w:val="000000"/>
                <w:szCs w:val="21"/>
              </w:rPr>
            </w:pPr>
          </w:p>
        </w:tc>
        <w:tc>
          <w:tcPr>
            <w:tcW w:w="1034" w:type="dxa"/>
          </w:tcPr>
          <w:p>
            <w:pPr>
              <w:spacing w:line="440" w:lineRule="exact"/>
              <w:jc w:val="center"/>
              <w:rPr>
                <w:rFonts w:ascii="宋体" w:hAnsi="宋体"/>
                <w:color w:val="000000"/>
                <w:szCs w:val="21"/>
              </w:rPr>
            </w:pPr>
          </w:p>
        </w:tc>
        <w:tc>
          <w:tcPr>
            <w:tcW w:w="1092" w:type="dxa"/>
          </w:tcPr>
          <w:p>
            <w:pPr>
              <w:spacing w:line="440" w:lineRule="exact"/>
              <w:jc w:val="center"/>
              <w:rPr>
                <w:rFonts w:ascii="宋体" w:hAnsi="宋体"/>
                <w:color w:val="000000"/>
                <w:szCs w:val="21"/>
              </w:rPr>
            </w:pPr>
          </w:p>
        </w:tc>
        <w:tc>
          <w:tcPr>
            <w:tcW w:w="1140" w:type="dxa"/>
          </w:tcPr>
          <w:p>
            <w:pPr>
              <w:spacing w:line="440" w:lineRule="exact"/>
              <w:jc w:val="center"/>
              <w:rPr>
                <w:rFonts w:ascii="宋体" w:hAnsi="宋体"/>
                <w:color w:val="000000"/>
                <w:szCs w:val="21"/>
              </w:rPr>
            </w:pPr>
          </w:p>
        </w:tc>
        <w:tc>
          <w:tcPr>
            <w:tcW w:w="1188" w:type="dxa"/>
          </w:tcPr>
          <w:p>
            <w:pPr>
              <w:spacing w:line="440" w:lineRule="exact"/>
              <w:jc w:val="center"/>
              <w:rPr>
                <w:rFonts w:ascii="宋体" w:hAnsi="宋体"/>
                <w:color w:val="000000"/>
                <w:szCs w:val="21"/>
              </w:rPr>
            </w:pPr>
          </w:p>
        </w:tc>
        <w:tc>
          <w:tcPr>
            <w:tcW w:w="1104"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color w:val="000000"/>
                <w:szCs w:val="21"/>
              </w:rPr>
            </w:pPr>
          </w:p>
        </w:tc>
        <w:tc>
          <w:tcPr>
            <w:tcW w:w="1250" w:type="dxa"/>
          </w:tcPr>
          <w:p>
            <w:pPr>
              <w:spacing w:line="440" w:lineRule="exact"/>
              <w:jc w:val="center"/>
              <w:rPr>
                <w:rFonts w:ascii="宋体" w:hAnsi="宋体"/>
                <w:color w:val="000000"/>
                <w:szCs w:val="21"/>
              </w:rPr>
            </w:pPr>
          </w:p>
        </w:tc>
        <w:tc>
          <w:tcPr>
            <w:tcW w:w="995" w:type="dxa"/>
          </w:tcPr>
          <w:p>
            <w:pPr>
              <w:spacing w:line="440" w:lineRule="exact"/>
              <w:jc w:val="center"/>
              <w:rPr>
                <w:rFonts w:ascii="宋体" w:hAnsi="宋体"/>
                <w:color w:val="000000"/>
                <w:szCs w:val="21"/>
              </w:rPr>
            </w:pPr>
          </w:p>
        </w:tc>
        <w:tc>
          <w:tcPr>
            <w:tcW w:w="1034" w:type="dxa"/>
          </w:tcPr>
          <w:p>
            <w:pPr>
              <w:spacing w:line="440" w:lineRule="exact"/>
              <w:jc w:val="center"/>
              <w:rPr>
                <w:rFonts w:ascii="宋体" w:hAnsi="宋体"/>
                <w:color w:val="000000"/>
                <w:szCs w:val="21"/>
              </w:rPr>
            </w:pPr>
          </w:p>
        </w:tc>
        <w:tc>
          <w:tcPr>
            <w:tcW w:w="1092" w:type="dxa"/>
          </w:tcPr>
          <w:p>
            <w:pPr>
              <w:spacing w:line="440" w:lineRule="exact"/>
              <w:jc w:val="center"/>
              <w:rPr>
                <w:rFonts w:ascii="宋体" w:hAnsi="宋体"/>
                <w:color w:val="000000"/>
                <w:szCs w:val="21"/>
              </w:rPr>
            </w:pPr>
          </w:p>
        </w:tc>
        <w:tc>
          <w:tcPr>
            <w:tcW w:w="1140" w:type="dxa"/>
          </w:tcPr>
          <w:p>
            <w:pPr>
              <w:spacing w:line="440" w:lineRule="exact"/>
              <w:jc w:val="center"/>
              <w:rPr>
                <w:rFonts w:ascii="宋体" w:hAnsi="宋体"/>
                <w:color w:val="000000"/>
                <w:szCs w:val="21"/>
              </w:rPr>
            </w:pPr>
          </w:p>
        </w:tc>
        <w:tc>
          <w:tcPr>
            <w:tcW w:w="1188" w:type="dxa"/>
          </w:tcPr>
          <w:p>
            <w:pPr>
              <w:spacing w:line="440" w:lineRule="exact"/>
              <w:jc w:val="center"/>
              <w:rPr>
                <w:rFonts w:ascii="宋体" w:hAnsi="宋体"/>
                <w:color w:val="000000"/>
                <w:szCs w:val="21"/>
              </w:rPr>
            </w:pPr>
          </w:p>
        </w:tc>
        <w:tc>
          <w:tcPr>
            <w:tcW w:w="1104"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color w:val="000000"/>
                <w:szCs w:val="21"/>
              </w:rPr>
            </w:pPr>
          </w:p>
        </w:tc>
        <w:tc>
          <w:tcPr>
            <w:tcW w:w="1250" w:type="dxa"/>
          </w:tcPr>
          <w:p>
            <w:pPr>
              <w:spacing w:line="440" w:lineRule="exact"/>
              <w:jc w:val="center"/>
              <w:rPr>
                <w:rFonts w:ascii="宋体" w:hAnsi="宋体"/>
                <w:color w:val="000000"/>
                <w:szCs w:val="21"/>
              </w:rPr>
            </w:pPr>
          </w:p>
        </w:tc>
        <w:tc>
          <w:tcPr>
            <w:tcW w:w="995" w:type="dxa"/>
          </w:tcPr>
          <w:p>
            <w:pPr>
              <w:spacing w:line="440" w:lineRule="exact"/>
              <w:jc w:val="center"/>
              <w:rPr>
                <w:rFonts w:ascii="宋体" w:hAnsi="宋体"/>
                <w:color w:val="000000"/>
                <w:szCs w:val="21"/>
              </w:rPr>
            </w:pPr>
          </w:p>
        </w:tc>
        <w:tc>
          <w:tcPr>
            <w:tcW w:w="1034" w:type="dxa"/>
          </w:tcPr>
          <w:p>
            <w:pPr>
              <w:spacing w:line="440" w:lineRule="exact"/>
              <w:jc w:val="center"/>
              <w:rPr>
                <w:rFonts w:ascii="宋体" w:hAnsi="宋体"/>
                <w:color w:val="000000"/>
                <w:szCs w:val="21"/>
              </w:rPr>
            </w:pPr>
          </w:p>
        </w:tc>
        <w:tc>
          <w:tcPr>
            <w:tcW w:w="1092" w:type="dxa"/>
          </w:tcPr>
          <w:p>
            <w:pPr>
              <w:spacing w:line="440" w:lineRule="exact"/>
              <w:jc w:val="center"/>
              <w:rPr>
                <w:rFonts w:ascii="宋体" w:hAnsi="宋体"/>
                <w:color w:val="000000"/>
                <w:szCs w:val="21"/>
              </w:rPr>
            </w:pPr>
          </w:p>
        </w:tc>
        <w:tc>
          <w:tcPr>
            <w:tcW w:w="1140" w:type="dxa"/>
          </w:tcPr>
          <w:p>
            <w:pPr>
              <w:spacing w:line="440" w:lineRule="exact"/>
              <w:jc w:val="center"/>
              <w:rPr>
                <w:rFonts w:ascii="宋体" w:hAnsi="宋体"/>
                <w:color w:val="000000"/>
                <w:szCs w:val="21"/>
              </w:rPr>
            </w:pPr>
          </w:p>
        </w:tc>
        <w:tc>
          <w:tcPr>
            <w:tcW w:w="1188" w:type="dxa"/>
          </w:tcPr>
          <w:p>
            <w:pPr>
              <w:spacing w:line="440" w:lineRule="exact"/>
              <w:jc w:val="center"/>
              <w:rPr>
                <w:rFonts w:ascii="宋体" w:hAnsi="宋体"/>
                <w:color w:val="000000"/>
                <w:szCs w:val="21"/>
              </w:rPr>
            </w:pPr>
          </w:p>
        </w:tc>
        <w:tc>
          <w:tcPr>
            <w:tcW w:w="1104"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color w:val="000000"/>
                <w:szCs w:val="21"/>
              </w:rPr>
            </w:pPr>
          </w:p>
        </w:tc>
        <w:tc>
          <w:tcPr>
            <w:tcW w:w="1250" w:type="dxa"/>
          </w:tcPr>
          <w:p>
            <w:pPr>
              <w:spacing w:line="440" w:lineRule="exact"/>
              <w:jc w:val="center"/>
              <w:rPr>
                <w:rFonts w:ascii="宋体" w:hAnsi="宋体"/>
                <w:color w:val="000000"/>
                <w:szCs w:val="21"/>
              </w:rPr>
            </w:pPr>
          </w:p>
        </w:tc>
        <w:tc>
          <w:tcPr>
            <w:tcW w:w="995" w:type="dxa"/>
          </w:tcPr>
          <w:p>
            <w:pPr>
              <w:spacing w:line="440" w:lineRule="exact"/>
              <w:jc w:val="center"/>
              <w:rPr>
                <w:rFonts w:ascii="宋体" w:hAnsi="宋体"/>
                <w:color w:val="000000"/>
                <w:szCs w:val="21"/>
              </w:rPr>
            </w:pPr>
          </w:p>
        </w:tc>
        <w:tc>
          <w:tcPr>
            <w:tcW w:w="1034" w:type="dxa"/>
          </w:tcPr>
          <w:p>
            <w:pPr>
              <w:spacing w:line="440" w:lineRule="exact"/>
              <w:jc w:val="center"/>
              <w:rPr>
                <w:rFonts w:ascii="宋体" w:hAnsi="宋体"/>
                <w:color w:val="000000"/>
                <w:szCs w:val="21"/>
              </w:rPr>
            </w:pPr>
          </w:p>
        </w:tc>
        <w:tc>
          <w:tcPr>
            <w:tcW w:w="1092" w:type="dxa"/>
          </w:tcPr>
          <w:p>
            <w:pPr>
              <w:spacing w:line="440" w:lineRule="exact"/>
              <w:jc w:val="center"/>
              <w:rPr>
                <w:rFonts w:ascii="宋体" w:hAnsi="宋体"/>
                <w:color w:val="000000"/>
                <w:szCs w:val="21"/>
              </w:rPr>
            </w:pPr>
          </w:p>
        </w:tc>
        <w:tc>
          <w:tcPr>
            <w:tcW w:w="1140" w:type="dxa"/>
          </w:tcPr>
          <w:p>
            <w:pPr>
              <w:spacing w:line="440" w:lineRule="exact"/>
              <w:jc w:val="center"/>
              <w:rPr>
                <w:rFonts w:ascii="宋体" w:hAnsi="宋体"/>
                <w:color w:val="000000"/>
                <w:szCs w:val="21"/>
              </w:rPr>
            </w:pPr>
          </w:p>
        </w:tc>
        <w:tc>
          <w:tcPr>
            <w:tcW w:w="1188" w:type="dxa"/>
          </w:tcPr>
          <w:p>
            <w:pPr>
              <w:spacing w:line="440" w:lineRule="exact"/>
              <w:jc w:val="center"/>
              <w:rPr>
                <w:rFonts w:ascii="宋体" w:hAnsi="宋体"/>
                <w:color w:val="000000"/>
                <w:szCs w:val="21"/>
              </w:rPr>
            </w:pPr>
          </w:p>
        </w:tc>
        <w:tc>
          <w:tcPr>
            <w:tcW w:w="1104"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color w:val="000000"/>
                <w:szCs w:val="21"/>
              </w:rPr>
            </w:pPr>
          </w:p>
        </w:tc>
        <w:tc>
          <w:tcPr>
            <w:tcW w:w="1250" w:type="dxa"/>
          </w:tcPr>
          <w:p>
            <w:pPr>
              <w:spacing w:line="440" w:lineRule="exact"/>
              <w:jc w:val="center"/>
              <w:rPr>
                <w:rFonts w:ascii="宋体" w:hAnsi="宋体"/>
                <w:color w:val="000000"/>
                <w:szCs w:val="21"/>
              </w:rPr>
            </w:pPr>
          </w:p>
        </w:tc>
        <w:tc>
          <w:tcPr>
            <w:tcW w:w="995" w:type="dxa"/>
          </w:tcPr>
          <w:p>
            <w:pPr>
              <w:spacing w:line="440" w:lineRule="exact"/>
              <w:jc w:val="center"/>
              <w:rPr>
                <w:rFonts w:ascii="宋体" w:hAnsi="宋体"/>
                <w:color w:val="000000"/>
                <w:szCs w:val="21"/>
              </w:rPr>
            </w:pPr>
          </w:p>
        </w:tc>
        <w:tc>
          <w:tcPr>
            <w:tcW w:w="1034" w:type="dxa"/>
          </w:tcPr>
          <w:p>
            <w:pPr>
              <w:spacing w:line="440" w:lineRule="exact"/>
              <w:jc w:val="center"/>
              <w:rPr>
                <w:rFonts w:ascii="宋体" w:hAnsi="宋体"/>
                <w:color w:val="000000"/>
                <w:szCs w:val="21"/>
              </w:rPr>
            </w:pPr>
          </w:p>
        </w:tc>
        <w:tc>
          <w:tcPr>
            <w:tcW w:w="1092" w:type="dxa"/>
          </w:tcPr>
          <w:p>
            <w:pPr>
              <w:spacing w:line="440" w:lineRule="exact"/>
              <w:jc w:val="center"/>
              <w:rPr>
                <w:rFonts w:ascii="宋体" w:hAnsi="宋体"/>
                <w:color w:val="000000"/>
                <w:szCs w:val="21"/>
              </w:rPr>
            </w:pPr>
          </w:p>
        </w:tc>
        <w:tc>
          <w:tcPr>
            <w:tcW w:w="1140" w:type="dxa"/>
          </w:tcPr>
          <w:p>
            <w:pPr>
              <w:spacing w:line="440" w:lineRule="exact"/>
              <w:jc w:val="center"/>
              <w:rPr>
                <w:rFonts w:ascii="宋体" w:hAnsi="宋体"/>
                <w:color w:val="000000"/>
                <w:szCs w:val="21"/>
              </w:rPr>
            </w:pPr>
          </w:p>
        </w:tc>
        <w:tc>
          <w:tcPr>
            <w:tcW w:w="1188" w:type="dxa"/>
          </w:tcPr>
          <w:p>
            <w:pPr>
              <w:spacing w:line="440" w:lineRule="exact"/>
              <w:jc w:val="center"/>
              <w:rPr>
                <w:rFonts w:ascii="宋体" w:hAnsi="宋体"/>
                <w:color w:val="000000"/>
                <w:szCs w:val="21"/>
              </w:rPr>
            </w:pPr>
          </w:p>
        </w:tc>
        <w:tc>
          <w:tcPr>
            <w:tcW w:w="1104"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color w:val="000000"/>
                <w:szCs w:val="21"/>
              </w:rPr>
            </w:pPr>
          </w:p>
        </w:tc>
        <w:tc>
          <w:tcPr>
            <w:tcW w:w="1250" w:type="dxa"/>
          </w:tcPr>
          <w:p>
            <w:pPr>
              <w:spacing w:line="440" w:lineRule="exact"/>
              <w:jc w:val="center"/>
              <w:rPr>
                <w:rFonts w:ascii="宋体" w:hAnsi="宋体"/>
                <w:color w:val="000000"/>
                <w:szCs w:val="21"/>
              </w:rPr>
            </w:pPr>
          </w:p>
        </w:tc>
        <w:tc>
          <w:tcPr>
            <w:tcW w:w="995" w:type="dxa"/>
          </w:tcPr>
          <w:p>
            <w:pPr>
              <w:spacing w:line="440" w:lineRule="exact"/>
              <w:jc w:val="center"/>
              <w:rPr>
                <w:rFonts w:ascii="宋体" w:hAnsi="宋体"/>
                <w:color w:val="000000"/>
                <w:szCs w:val="21"/>
              </w:rPr>
            </w:pPr>
          </w:p>
        </w:tc>
        <w:tc>
          <w:tcPr>
            <w:tcW w:w="1034" w:type="dxa"/>
          </w:tcPr>
          <w:p>
            <w:pPr>
              <w:spacing w:line="440" w:lineRule="exact"/>
              <w:jc w:val="center"/>
              <w:rPr>
                <w:rFonts w:ascii="宋体" w:hAnsi="宋体"/>
                <w:color w:val="000000"/>
                <w:szCs w:val="21"/>
              </w:rPr>
            </w:pPr>
          </w:p>
        </w:tc>
        <w:tc>
          <w:tcPr>
            <w:tcW w:w="1092" w:type="dxa"/>
          </w:tcPr>
          <w:p>
            <w:pPr>
              <w:spacing w:line="440" w:lineRule="exact"/>
              <w:jc w:val="center"/>
              <w:rPr>
                <w:rFonts w:ascii="宋体" w:hAnsi="宋体"/>
                <w:color w:val="000000"/>
                <w:szCs w:val="21"/>
              </w:rPr>
            </w:pPr>
          </w:p>
        </w:tc>
        <w:tc>
          <w:tcPr>
            <w:tcW w:w="1140" w:type="dxa"/>
          </w:tcPr>
          <w:p>
            <w:pPr>
              <w:spacing w:line="440" w:lineRule="exact"/>
              <w:jc w:val="center"/>
              <w:rPr>
                <w:rFonts w:ascii="宋体" w:hAnsi="宋体"/>
                <w:color w:val="000000"/>
                <w:szCs w:val="21"/>
              </w:rPr>
            </w:pPr>
          </w:p>
        </w:tc>
        <w:tc>
          <w:tcPr>
            <w:tcW w:w="1188" w:type="dxa"/>
          </w:tcPr>
          <w:p>
            <w:pPr>
              <w:spacing w:line="440" w:lineRule="exact"/>
              <w:jc w:val="center"/>
              <w:rPr>
                <w:rFonts w:ascii="宋体" w:hAnsi="宋体"/>
                <w:color w:val="000000"/>
                <w:szCs w:val="21"/>
              </w:rPr>
            </w:pPr>
          </w:p>
        </w:tc>
        <w:tc>
          <w:tcPr>
            <w:tcW w:w="1104"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color w:val="000000"/>
                <w:szCs w:val="21"/>
              </w:rPr>
            </w:pPr>
          </w:p>
        </w:tc>
        <w:tc>
          <w:tcPr>
            <w:tcW w:w="1250" w:type="dxa"/>
          </w:tcPr>
          <w:p>
            <w:pPr>
              <w:spacing w:line="440" w:lineRule="exact"/>
              <w:jc w:val="center"/>
              <w:rPr>
                <w:rFonts w:ascii="宋体" w:hAnsi="宋体"/>
                <w:color w:val="000000"/>
                <w:szCs w:val="21"/>
              </w:rPr>
            </w:pPr>
          </w:p>
        </w:tc>
        <w:tc>
          <w:tcPr>
            <w:tcW w:w="995" w:type="dxa"/>
          </w:tcPr>
          <w:p>
            <w:pPr>
              <w:spacing w:line="440" w:lineRule="exact"/>
              <w:jc w:val="center"/>
              <w:rPr>
                <w:rFonts w:ascii="宋体" w:hAnsi="宋体"/>
                <w:color w:val="000000"/>
                <w:szCs w:val="21"/>
              </w:rPr>
            </w:pPr>
          </w:p>
        </w:tc>
        <w:tc>
          <w:tcPr>
            <w:tcW w:w="1034" w:type="dxa"/>
          </w:tcPr>
          <w:p>
            <w:pPr>
              <w:spacing w:line="440" w:lineRule="exact"/>
              <w:jc w:val="center"/>
              <w:rPr>
                <w:rFonts w:ascii="宋体" w:hAnsi="宋体"/>
                <w:color w:val="000000"/>
                <w:szCs w:val="21"/>
              </w:rPr>
            </w:pPr>
          </w:p>
        </w:tc>
        <w:tc>
          <w:tcPr>
            <w:tcW w:w="1092" w:type="dxa"/>
          </w:tcPr>
          <w:p>
            <w:pPr>
              <w:spacing w:line="440" w:lineRule="exact"/>
              <w:jc w:val="center"/>
              <w:rPr>
                <w:rFonts w:ascii="宋体" w:hAnsi="宋体"/>
                <w:color w:val="000000"/>
                <w:szCs w:val="21"/>
              </w:rPr>
            </w:pPr>
          </w:p>
        </w:tc>
        <w:tc>
          <w:tcPr>
            <w:tcW w:w="1140" w:type="dxa"/>
          </w:tcPr>
          <w:p>
            <w:pPr>
              <w:spacing w:line="440" w:lineRule="exact"/>
              <w:jc w:val="center"/>
              <w:rPr>
                <w:rFonts w:ascii="宋体" w:hAnsi="宋体"/>
                <w:color w:val="000000"/>
                <w:szCs w:val="21"/>
              </w:rPr>
            </w:pPr>
          </w:p>
        </w:tc>
        <w:tc>
          <w:tcPr>
            <w:tcW w:w="1188" w:type="dxa"/>
          </w:tcPr>
          <w:p>
            <w:pPr>
              <w:spacing w:line="440" w:lineRule="exact"/>
              <w:jc w:val="center"/>
              <w:rPr>
                <w:rFonts w:ascii="宋体" w:hAnsi="宋体"/>
                <w:color w:val="000000"/>
                <w:szCs w:val="21"/>
              </w:rPr>
            </w:pPr>
          </w:p>
        </w:tc>
        <w:tc>
          <w:tcPr>
            <w:tcW w:w="1104"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color w:val="000000"/>
                <w:szCs w:val="21"/>
              </w:rPr>
            </w:pPr>
          </w:p>
        </w:tc>
        <w:tc>
          <w:tcPr>
            <w:tcW w:w="1250" w:type="dxa"/>
          </w:tcPr>
          <w:p>
            <w:pPr>
              <w:spacing w:line="440" w:lineRule="exact"/>
              <w:jc w:val="center"/>
              <w:rPr>
                <w:rFonts w:ascii="宋体" w:hAnsi="宋体"/>
                <w:color w:val="000000"/>
                <w:szCs w:val="21"/>
              </w:rPr>
            </w:pPr>
          </w:p>
        </w:tc>
        <w:tc>
          <w:tcPr>
            <w:tcW w:w="995" w:type="dxa"/>
          </w:tcPr>
          <w:p>
            <w:pPr>
              <w:spacing w:line="440" w:lineRule="exact"/>
              <w:jc w:val="center"/>
              <w:rPr>
                <w:rFonts w:ascii="宋体" w:hAnsi="宋体"/>
                <w:color w:val="000000"/>
                <w:szCs w:val="21"/>
              </w:rPr>
            </w:pPr>
          </w:p>
        </w:tc>
        <w:tc>
          <w:tcPr>
            <w:tcW w:w="1034" w:type="dxa"/>
          </w:tcPr>
          <w:p>
            <w:pPr>
              <w:spacing w:line="440" w:lineRule="exact"/>
              <w:jc w:val="center"/>
              <w:rPr>
                <w:rFonts w:ascii="宋体" w:hAnsi="宋体"/>
                <w:color w:val="000000"/>
                <w:szCs w:val="21"/>
              </w:rPr>
            </w:pPr>
          </w:p>
        </w:tc>
        <w:tc>
          <w:tcPr>
            <w:tcW w:w="1092" w:type="dxa"/>
          </w:tcPr>
          <w:p>
            <w:pPr>
              <w:spacing w:line="440" w:lineRule="exact"/>
              <w:jc w:val="center"/>
              <w:rPr>
                <w:rFonts w:ascii="宋体" w:hAnsi="宋体"/>
                <w:color w:val="000000"/>
                <w:szCs w:val="21"/>
              </w:rPr>
            </w:pPr>
          </w:p>
        </w:tc>
        <w:tc>
          <w:tcPr>
            <w:tcW w:w="1140" w:type="dxa"/>
          </w:tcPr>
          <w:p>
            <w:pPr>
              <w:spacing w:line="440" w:lineRule="exact"/>
              <w:jc w:val="center"/>
              <w:rPr>
                <w:rFonts w:ascii="宋体" w:hAnsi="宋体"/>
                <w:color w:val="000000"/>
                <w:szCs w:val="21"/>
              </w:rPr>
            </w:pPr>
          </w:p>
        </w:tc>
        <w:tc>
          <w:tcPr>
            <w:tcW w:w="1188" w:type="dxa"/>
          </w:tcPr>
          <w:p>
            <w:pPr>
              <w:spacing w:line="440" w:lineRule="exact"/>
              <w:jc w:val="center"/>
              <w:rPr>
                <w:rFonts w:ascii="宋体" w:hAnsi="宋体"/>
                <w:color w:val="000000"/>
                <w:szCs w:val="21"/>
              </w:rPr>
            </w:pPr>
          </w:p>
        </w:tc>
        <w:tc>
          <w:tcPr>
            <w:tcW w:w="1104"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color w:val="000000"/>
                <w:szCs w:val="21"/>
              </w:rPr>
            </w:pPr>
          </w:p>
        </w:tc>
        <w:tc>
          <w:tcPr>
            <w:tcW w:w="1250" w:type="dxa"/>
          </w:tcPr>
          <w:p>
            <w:pPr>
              <w:spacing w:line="440" w:lineRule="exact"/>
              <w:jc w:val="center"/>
              <w:rPr>
                <w:rFonts w:ascii="宋体" w:hAnsi="宋体"/>
                <w:color w:val="000000"/>
                <w:szCs w:val="21"/>
              </w:rPr>
            </w:pPr>
          </w:p>
        </w:tc>
        <w:tc>
          <w:tcPr>
            <w:tcW w:w="995" w:type="dxa"/>
          </w:tcPr>
          <w:p>
            <w:pPr>
              <w:spacing w:line="440" w:lineRule="exact"/>
              <w:jc w:val="center"/>
              <w:rPr>
                <w:rFonts w:ascii="宋体" w:hAnsi="宋体"/>
                <w:color w:val="000000"/>
                <w:szCs w:val="21"/>
              </w:rPr>
            </w:pPr>
          </w:p>
        </w:tc>
        <w:tc>
          <w:tcPr>
            <w:tcW w:w="1034" w:type="dxa"/>
          </w:tcPr>
          <w:p>
            <w:pPr>
              <w:spacing w:line="440" w:lineRule="exact"/>
              <w:jc w:val="center"/>
              <w:rPr>
                <w:rFonts w:ascii="宋体" w:hAnsi="宋体"/>
                <w:color w:val="000000"/>
                <w:szCs w:val="21"/>
              </w:rPr>
            </w:pPr>
          </w:p>
        </w:tc>
        <w:tc>
          <w:tcPr>
            <w:tcW w:w="1092" w:type="dxa"/>
          </w:tcPr>
          <w:p>
            <w:pPr>
              <w:spacing w:line="440" w:lineRule="exact"/>
              <w:jc w:val="center"/>
              <w:rPr>
                <w:rFonts w:ascii="宋体" w:hAnsi="宋体"/>
                <w:color w:val="000000"/>
                <w:szCs w:val="21"/>
              </w:rPr>
            </w:pPr>
          </w:p>
        </w:tc>
        <w:tc>
          <w:tcPr>
            <w:tcW w:w="1140" w:type="dxa"/>
          </w:tcPr>
          <w:p>
            <w:pPr>
              <w:spacing w:line="440" w:lineRule="exact"/>
              <w:jc w:val="center"/>
              <w:rPr>
                <w:rFonts w:ascii="宋体" w:hAnsi="宋体"/>
                <w:color w:val="000000"/>
                <w:szCs w:val="21"/>
              </w:rPr>
            </w:pPr>
          </w:p>
        </w:tc>
        <w:tc>
          <w:tcPr>
            <w:tcW w:w="1188" w:type="dxa"/>
          </w:tcPr>
          <w:p>
            <w:pPr>
              <w:spacing w:line="440" w:lineRule="exact"/>
              <w:jc w:val="center"/>
              <w:rPr>
                <w:rFonts w:ascii="宋体" w:hAnsi="宋体"/>
                <w:color w:val="000000"/>
                <w:szCs w:val="21"/>
              </w:rPr>
            </w:pPr>
          </w:p>
        </w:tc>
        <w:tc>
          <w:tcPr>
            <w:tcW w:w="1104"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color w:val="000000"/>
                <w:szCs w:val="21"/>
              </w:rPr>
            </w:pPr>
          </w:p>
        </w:tc>
        <w:tc>
          <w:tcPr>
            <w:tcW w:w="1250" w:type="dxa"/>
          </w:tcPr>
          <w:p>
            <w:pPr>
              <w:spacing w:line="440" w:lineRule="exact"/>
              <w:jc w:val="center"/>
              <w:rPr>
                <w:rFonts w:ascii="宋体" w:hAnsi="宋体"/>
                <w:color w:val="000000"/>
                <w:szCs w:val="21"/>
              </w:rPr>
            </w:pPr>
          </w:p>
        </w:tc>
        <w:tc>
          <w:tcPr>
            <w:tcW w:w="995" w:type="dxa"/>
          </w:tcPr>
          <w:p>
            <w:pPr>
              <w:spacing w:line="440" w:lineRule="exact"/>
              <w:jc w:val="center"/>
              <w:rPr>
                <w:rFonts w:ascii="宋体" w:hAnsi="宋体"/>
                <w:color w:val="000000"/>
                <w:szCs w:val="21"/>
              </w:rPr>
            </w:pPr>
          </w:p>
        </w:tc>
        <w:tc>
          <w:tcPr>
            <w:tcW w:w="1034" w:type="dxa"/>
          </w:tcPr>
          <w:p>
            <w:pPr>
              <w:spacing w:line="440" w:lineRule="exact"/>
              <w:jc w:val="center"/>
              <w:rPr>
                <w:rFonts w:ascii="宋体" w:hAnsi="宋体"/>
                <w:color w:val="000000"/>
                <w:szCs w:val="21"/>
              </w:rPr>
            </w:pPr>
          </w:p>
        </w:tc>
        <w:tc>
          <w:tcPr>
            <w:tcW w:w="1092" w:type="dxa"/>
          </w:tcPr>
          <w:p>
            <w:pPr>
              <w:spacing w:line="440" w:lineRule="exact"/>
              <w:jc w:val="center"/>
              <w:rPr>
                <w:rFonts w:ascii="宋体" w:hAnsi="宋体"/>
                <w:color w:val="000000"/>
                <w:szCs w:val="21"/>
              </w:rPr>
            </w:pPr>
          </w:p>
        </w:tc>
        <w:tc>
          <w:tcPr>
            <w:tcW w:w="1140" w:type="dxa"/>
          </w:tcPr>
          <w:p>
            <w:pPr>
              <w:spacing w:line="440" w:lineRule="exact"/>
              <w:jc w:val="center"/>
              <w:rPr>
                <w:rFonts w:ascii="宋体" w:hAnsi="宋体"/>
                <w:color w:val="000000"/>
                <w:szCs w:val="21"/>
              </w:rPr>
            </w:pPr>
          </w:p>
        </w:tc>
        <w:tc>
          <w:tcPr>
            <w:tcW w:w="1188" w:type="dxa"/>
          </w:tcPr>
          <w:p>
            <w:pPr>
              <w:spacing w:line="440" w:lineRule="exact"/>
              <w:jc w:val="center"/>
              <w:rPr>
                <w:rFonts w:ascii="宋体" w:hAnsi="宋体"/>
                <w:color w:val="000000"/>
                <w:szCs w:val="21"/>
              </w:rPr>
            </w:pPr>
          </w:p>
        </w:tc>
        <w:tc>
          <w:tcPr>
            <w:tcW w:w="1104"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color w:val="000000"/>
                <w:szCs w:val="21"/>
              </w:rPr>
            </w:pPr>
          </w:p>
        </w:tc>
        <w:tc>
          <w:tcPr>
            <w:tcW w:w="1250" w:type="dxa"/>
          </w:tcPr>
          <w:p>
            <w:pPr>
              <w:spacing w:line="440" w:lineRule="exact"/>
              <w:jc w:val="center"/>
              <w:rPr>
                <w:rFonts w:ascii="宋体" w:hAnsi="宋体"/>
                <w:color w:val="000000"/>
                <w:szCs w:val="21"/>
              </w:rPr>
            </w:pPr>
          </w:p>
        </w:tc>
        <w:tc>
          <w:tcPr>
            <w:tcW w:w="995" w:type="dxa"/>
          </w:tcPr>
          <w:p>
            <w:pPr>
              <w:spacing w:line="440" w:lineRule="exact"/>
              <w:jc w:val="center"/>
              <w:rPr>
                <w:rFonts w:ascii="宋体" w:hAnsi="宋体"/>
                <w:color w:val="000000"/>
                <w:szCs w:val="21"/>
              </w:rPr>
            </w:pPr>
          </w:p>
        </w:tc>
        <w:tc>
          <w:tcPr>
            <w:tcW w:w="1034" w:type="dxa"/>
          </w:tcPr>
          <w:p>
            <w:pPr>
              <w:spacing w:line="440" w:lineRule="exact"/>
              <w:jc w:val="center"/>
              <w:rPr>
                <w:rFonts w:ascii="宋体" w:hAnsi="宋体"/>
                <w:color w:val="000000"/>
                <w:szCs w:val="21"/>
              </w:rPr>
            </w:pPr>
          </w:p>
        </w:tc>
        <w:tc>
          <w:tcPr>
            <w:tcW w:w="1092" w:type="dxa"/>
          </w:tcPr>
          <w:p>
            <w:pPr>
              <w:spacing w:line="440" w:lineRule="exact"/>
              <w:jc w:val="center"/>
              <w:rPr>
                <w:rFonts w:ascii="宋体" w:hAnsi="宋体"/>
                <w:color w:val="000000"/>
                <w:szCs w:val="21"/>
              </w:rPr>
            </w:pPr>
          </w:p>
        </w:tc>
        <w:tc>
          <w:tcPr>
            <w:tcW w:w="1140" w:type="dxa"/>
          </w:tcPr>
          <w:p>
            <w:pPr>
              <w:spacing w:line="440" w:lineRule="exact"/>
              <w:jc w:val="center"/>
              <w:rPr>
                <w:rFonts w:ascii="宋体" w:hAnsi="宋体"/>
                <w:color w:val="000000"/>
                <w:szCs w:val="21"/>
              </w:rPr>
            </w:pPr>
          </w:p>
        </w:tc>
        <w:tc>
          <w:tcPr>
            <w:tcW w:w="1188" w:type="dxa"/>
          </w:tcPr>
          <w:p>
            <w:pPr>
              <w:spacing w:line="440" w:lineRule="exact"/>
              <w:jc w:val="center"/>
              <w:rPr>
                <w:rFonts w:ascii="宋体" w:hAnsi="宋体"/>
                <w:color w:val="000000"/>
                <w:szCs w:val="21"/>
              </w:rPr>
            </w:pPr>
          </w:p>
        </w:tc>
        <w:tc>
          <w:tcPr>
            <w:tcW w:w="1104"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color w:val="000000"/>
                <w:szCs w:val="21"/>
              </w:rPr>
            </w:pPr>
          </w:p>
        </w:tc>
        <w:tc>
          <w:tcPr>
            <w:tcW w:w="1250" w:type="dxa"/>
          </w:tcPr>
          <w:p>
            <w:pPr>
              <w:spacing w:line="440" w:lineRule="exact"/>
              <w:jc w:val="center"/>
              <w:rPr>
                <w:rFonts w:ascii="宋体" w:hAnsi="宋体"/>
                <w:color w:val="000000"/>
                <w:szCs w:val="21"/>
              </w:rPr>
            </w:pPr>
          </w:p>
        </w:tc>
        <w:tc>
          <w:tcPr>
            <w:tcW w:w="995" w:type="dxa"/>
          </w:tcPr>
          <w:p>
            <w:pPr>
              <w:spacing w:line="440" w:lineRule="exact"/>
              <w:jc w:val="center"/>
              <w:rPr>
                <w:rFonts w:ascii="宋体" w:hAnsi="宋体"/>
                <w:color w:val="000000"/>
                <w:szCs w:val="21"/>
              </w:rPr>
            </w:pPr>
          </w:p>
        </w:tc>
        <w:tc>
          <w:tcPr>
            <w:tcW w:w="1034" w:type="dxa"/>
          </w:tcPr>
          <w:p>
            <w:pPr>
              <w:spacing w:line="440" w:lineRule="exact"/>
              <w:jc w:val="center"/>
              <w:rPr>
                <w:rFonts w:ascii="宋体" w:hAnsi="宋体"/>
                <w:color w:val="000000"/>
                <w:szCs w:val="21"/>
              </w:rPr>
            </w:pPr>
          </w:p>
        </w:tc>
        <w:tc>
          <w:tcPr>
            <w:tcW w:w="1092" w:type="dxa"/>
          </w:tcPr>
          <w:p>
            <w:pPr>
              <w:spacing w:line="440" w:lineRule="exact"/>
              <w:jc w:val="center"/>
              <w:rPr>
                <w:rFonts w:ascii="宋体" w:hAnsi="宋体"/>
                <w:color w:val="000000"/>
                <w:szCs w:val="21"/>
              </w:rPr>
            </w:pPr>
          </w:p>
        </w:tc>
        <w:tc>
          <w:tcPr>
            <w:tcW w:w="1140" w:type="dxa"/>
          </w:tcPr>
          <w:p>
            <w:pPr>
              <w:spacing w:line="440" w:lineRule="exact"/>
              <w:jc w:val="center"/>
              <w:rPr>
                <w:rFonts w:ascii="宋体" w:hAnsi="宋体"/>
                <w:color w:val="000000"/>
                <w:szCs w:val="21"/>
              </w:rPr>
            </w:pPr>
          </w:p>
        </w:tc>
        <w:tc>
          <w:tcPr>
            <w:tcW w:w="1188" w:type="dxa"/>
          </w:tcPr>
          <w:p>
            <w:pPr>
              <w:spacing w:line="440" w:lineRule="exact"/>
              <w:jc w:val="center"/>
              <w:rPr>
                <w:rFonts w:ascii="宋体" w:hAnsi="宋体"/>
                <w:color w:val="000000"/>
                <w:szCs w:val="21"/>
              </w:rPr>
            </w:pPr>
          </w:p>
        </w:tc>
        <w:tc>
          <w:tcPr>
            <w:tcW w:w="1104" w:type="dxa"/>
          </w:tcPr>
          <w:p>
            <w:pPr>
              <w:spacing w:line="440" w:lineRule="exact"/>
              <w:jc w:val="center"/>
              <w:rPr>
                <w:rFonts w:ascii="宋体" w:hAnsi="宋体"/>
                <w:color w:val="000000"/>
                <w:szCs w:val="21"/>
              </w:rPr>
            </w:pPr>
          </w:p>
        </w:tc>
      </w:tr>
    </w:tbl>
    <w:p>
      <w:pPr>
        <w:spacing w:line="440" w:lineRule="exact"/>
        <w:rPr>
          <w:rFonts w:ascii="宋体" w:hAnsi="宋体"/>
          <w:color w:val="000000"/>
          <w:sz w:val="20"/>
          <w:szCs w:val="20"/>
        </w:rPr>
      </w:pPr>
    </w:p>
    <w:p>
      <w:pPr>
        <w:spacing w:line="440" w:lineRule="exact"/>
        <w:rPr>
          <w:rFonts w:ascii="宋体" w:hAnsi="宋体"/>
          <w:color w:val="000000"/>
          <w:sz w:val="20"/>
          <w:szCs w:val="20"/>
        </w:rPr>
      </w:pPr>
    </w:p>
    <w:p>
      <w:pPr>
        <w:topLinePunct/>
        <w:spacing w:line="440" w:lineRule="exact"/>
        <w:jc w:val="center"/>
        <w:rPr>
          <w:rFonts w:ascii="宋体" w:hAnsi="宋体"/>
          <w:color w:val="000000"/>
        </w:rPr>
      </w:pPr>
    </w:p>
    <w:p>
      <w:pPr>
        <w:spacing w:line="440" w:lineRule="exact"/>
        <w:rPr>
          <w:rFonts w:ascii="宋体" w:hAnsi="宋体"/>
          <w:color w:val="000000"/>
        </w:rPr>
      </w:pPr>
      <w:bookmarkStart w:id="115" w:name="_Toc3750"/>
      <w:bookmarkStart w:id="116" w:name="_Toc152045800"/>
      <w:bookmarkStart w:id="117" w:name="_Toc152042589"/>
      <w:bookmarkStart w:id="118" w:name="_Toc144974868"/>
      <w:bookmarkStart w:id="119" w:name="_Toc246392158"/>
      <w:bookmarkStart w:id="120" w:name="_Toc179632820"/>
      <w:r>
        <w:rPr>
          <w:rFonts w:hint="eastAsia" w:ascii="宋体" w:hAnsi="宋体"/>
          <w:color w:val="000000"/>
        </w:rPr>
        <w:t>附表四：计划开、竣工日期和施工进度网络图</w:t>
      </w:r>
      <w:bookmarkEnd w:id="115"/>
      <w:bookmarkEnd w:id="116"/>
      <w:bookmarkEnd w:id="117"/>
      <w:bookmarkEnd w:id="118"/>
      <w:bookmarkEnd w:id="119"/>
      <w:bookmarkEnd w:id="120"/>
    </w:p>
    <w:p>
      <w:pPr>
        <w:spacing w:line="440" w:lineRule="exact"/>
        <w:rPr>
          <w:rFonts w:ascii="宋体" w:hAnsi="宋体"/>
          <w:color w:val="000000"/>
          <w:sz w:val="22"/>
        </w:rPr>
      </w:pPr>
    </w:p>
    <w:p>
      <w:pPr>
        <w:spacing w:line="440" w:lineRule="exact"/>
        <w:rPr>
          <w:rFonts w:ascii="宋体" w:hAnsi="宋体"/>
          <w:color w:val="000000"/>
        </w:rPr>
      </w:pPr>
      <w:r>
        <w:rPr>
          <w:rFonts w:ascii="宋体" w:hAnsi="宋体"/>
          <w:color w:val="000000"/>
        </w:rPr>
        <w:t xml:space="preserve">1. </w:t>
      </w:r>
      <w:r>
        <w:rPr>
          <w:rFonts w:hint="eastAsia" w:ascii="宋体" w:hAnsi="宋体"/>
          <w:color w:val="000000"/>
        </w:rPr>
        <w:t>投标人应递交施工进度网络图或施工进度表，说明按招标文件要求的计划工期进行施工的各个关键日期。</w:t>
      </w:r>
    </w:p>
    <w:p>
      <w:pPr>
        <w:spacing w:line="440" w:lineRule="exact"/>
        <w:rPr>
          <w:rFonts w:ascii="宋体" w:hAnsi="宋体"/>
          <w:color w:val="000000"/>
        </w:rPr>
      </w:pPr>
      <w:r>
        <w:rPr>
          <w:rFonts w:ascii="宋体" w:hAnsi="宋体"/>
          <w:color w:val="000000"/>
        </w:rPr>
        <w:t xml:space="preserve">2. </w:t>
      </w:r>
      <w:r>
        <w:rPr>
          <w:rFonts w:hint="eastAsia" w:ascii="宋体" w:hAnsi="宋体"/>
          <w:color w:val="000000"/>
        </w:rPr>
        <w:t>施工进度表可采用网络图（或横道图）表示。</w:t>
      </w:r>
    </w:p>
    <w:p>
      <w:pPr>
        <w:spacing w:line="440" w:lineRule="exact"/>
        <w:rPr>
          <w:rFonts w:ascii="宋体" w:hAnsi="宋体"/>
          <w:color w:val="000000"/>
        </w:rPr>
      </w:pPr>
    </w:p>
    <w:p>
      <w:pPr>
        <w:spacing w:line="440" w:lineRule="exact"/>
        <w:rPr>
          <w:rFonts w:ascii="宋体" w:hAnsi="宋体"/>
          <w:color w:val="000000"/>
        </w:rPr>
      </w:pPr>
    </w:p>
    <w:p>
      <w:pPr>
        <w:spacing w:line="440" w:lineRule="exact"/>
        <w:rPr>
          <w:rFonts w:ascii="宋体" w:hAnsi="宋体"/>
          <w:color w:val="000000"/>
        </w:rPr>
      </w:pPr>
      <w:bookmarkStart w:id="121" w:name="_Toc179632821"/>
      <w:bookmarkStart w:id="122" w:name="_Toc144974869"/>
      <w:bookmarkStart w:id="123" w:name="_Toc152045801"/>
      <w:bookmarkStart w:id="124" w:name="_Toc246392159"/>
      <w:bookmarkStart w:id="125" w:name="_Toc152042590"/>
      <w:r>
        <w:rPr>
          <w:rFonts w:hint="eastAsia" w:ascii="宋体" w:hAnsi="宋体"/>
          <w:color w:val="000000"/>
        </w:rPr>
        <w:t>附表五：施工总平面图</w:t>
      </w:r>
      <w:bookmarkEnd w:id="121"/>
      <w:bookmarkEnd w:id="122"/>
      <w:bookmarkEnd w:id="123"/>
      <w:bookmarkEnd w:id="124"/>
      <w:bookmarkEnd w:id="125"/>
    </w:p>
    <w:p>
      <w:pPr>
        <w:spacing w:line="440" w:lineRule="exact"/>
        <w:rPr>
          <w:rFonts w:ascii="宋体" w:hAnsi="宋体"/>
          <w:color w:val="000000"/>
        </w:rPr>
      </w:pPr>
      <w:r>
        <w:rPr>
          <w:rFonts w:ascii="宋体" w:hAnsi="宋体"/>
          <w:color w:val="000000"/>
        </w:rPr>
        <w:tab/>
      </w:r>
    </w:p>
    <w:p>
      <w:pPr>
        <w:spacing w:line="440" w:lineRule="exact"/>
        <w:rPr>
          <w:rFonts w:ascii="宋体" w:hAnsi="宋体"/>
          <w:color w:val="000000"/>
        </w:rPr>
      </w:pPr>
      <w:r>
        <w:rPr>
          <w:rFonts w:hint="eastAsia" w:ascii="宋体" w:hAnsi="宋体"/>
          <w:color w:val="000000"/>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color w:val="000000"/>
          <w:sz w:val="32"/>
          <w:szCs w:val="32"/>
        </w:rPr>
      </w:pPr>
      <w:r>
        <w:rPr>
          <w:rFonts w:ascii="宋体" w:hAnsi="宋体" w:cs="宋体"/>
          <w:b/>
          <w:color w:val="000000"/>
          <w:sz w:val="32"/>
          <w:szCs w:val="32"/>
        </w:rPr>
        <w:br w:type="page"/>
      </w:r>
    </w:p>
    <w:p>
      <w:pPr>
        <w:spacing w:line="440" w:lineRule="exact"/>
        <w:jc w:val="center"/>
        <w:rPr>
          <w:rFonts w:ascii="宋体" w:hAnsi="宋体" w:cs="Calibri"/>
          <w:b/>
          <w:color w:val="000000"/>
          <w:sz w:val="32"/>
          <w:szCs w:val="32"/>
        </w:rPr>
      </w:pPr>
      <w:r>
        <w:rPr>
          <w:rFonts w:hint="eastAsia" w:ascii="宋体" w:hAnsi="宋体" w:cs="Calibri"/>
          <w:b/>
          <w:color w:val="000000"/>
          <w:sz w:val="32"/>
          <w:szCs w:val="32"/>
        </w:rPr>
        <w:t>六、项目管理机构</w:t>
      </w:r>
    </w:p>
    <w:p>
      <w:pPr>
        <w:pStyle w:val="26"/>
        <w:rPr>
          <w:rFonts w:ascii="宋体" w:hAnsi="宋体" w:eastAsia="宋体"/>
          <w:color w:val="000000"/>
          <w:szCs w:val="23"/>
        </w:rPr>
      </w:pPr>
      <w:bookmarkStart w:id="126" w:name="_Toc144974872"/>
      <w:bookmarkStart w:id="127" w:name="_Toc179632824"/>
      <w:bookmarkStart w:id="128" w:name="_Toc29304"/>
      <w:bookmarkStart w:id="129" w:name="_Toc246392161"/>
      <w:bookmarkStart w:id="130" w:name="_Toc152042593"/>
      <w:bookmarkStart w:id="131" w:name="_Toc152045804"/>
      <w:r>
        <w:rPr>
          <w:rFonts w:hint="eastAsia" w:ascii="宋体" w:hAnsi="宋体" w:eastAsia="宋体"/>
          <w:color w:val="000000"/>
          <w:szCs w:val="23"/>
        </w:rPr>
        <w:t>（一）项目管理机构组成表</w:t>
      </w:r>
      <w:bookmarkEnd w:id="126"/>
      <w:bookmarkEnd w:id="127"/>
      <w:bookmarkEnd w:id="128"/>
      <w:bookmarkEnd w:id="129"/>
      <w:bookmarkEnd w:id="130"/>
      <w:bookmarkEnd w:id="131"/>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color w:val="000000"/>
                <w:szCs w:val="21"/>
              </w:rPr>
            </w:pPr>
            <w:r>
              <w:rPr>
                <w:rFonts w:hint="eastAsia" w:ascii="宋体" w:hAnsi="宋体"/>
                <w:color w:val="000000"/>
                <w:szCs w:val="21"/>
              </w:rPr>
              <w:t>职务</w:t>
            </w:r>
          </w:p>
        </w:tc>
        <w:tc>
          <w:tcPr>
            <w:tcW w:w="864" w:type="dxa"/>
            <w:vMerge w:val="restart"/>
            <w:vAlign w:val="center"/>
          </w:tcPr>
          <w:p>
            <w:pPr>
              <w:spacing w:line="440" w:lineRule="exact"/>
              <w:jc w:val="center"/>
              <w:rPr>
                <w:rFonts w:ascii="宋体" w:hAnsi="宋体"/>
                <w:color w:val="000000"/>
                <w:szCs w:val="21"/>
              </w:rPr>
            </w:pPr>
            <w:r>
              <w:rPr>
                <w:rFonts w:hint="eastAsia" w:ascii="宋体" w:hAnsi="宋体"/>
                <w:color w:val="000000"/>
                <w:szCs w:val="21"/>
              </w:rPr>
              <w:t>姓名</w:t>
            </w:r>
          </w:p>
        </w:tc>
        <w:tc>
          <w:tcPr>
            <w:tcW w:w="862" w:type="dxa"/>
            <w:vMerge w:val="restart"/>
            <w:vAlign w:val="center"/>
          </w:tcPr>
          <w:p>
            <w:pPr>
              <w:spacing w:line="440" w:lineRule="exact"/>
              <w:jc w:val="center"/>
              <w:rPr>
                <w:rFonts w:ascii="宋体" w:hAnsi="宋体"/>
                <w:color w:val="000000"/>
                <w:szCs w:val="21"/>
              </w:rPr>
            </w:pPr>
            <w:r>
              <w:rPr>
                <w:rFonts w:hint="eastAsia" w:ascii="宋体" w:hAnsi="宋体"/>
                <w:color w:val="000000"/>
                <w:szCs w:val="21"/>
              </w:rPr>
              <w:t>职称</w:t>
            </w:r>
          </w:p>
        </w:tc>
        <w:tc>
          <w:tcPr>
            <w:tcW w:w="5548" w:type="dxa"/>
            <w:gridSpan w:val="5"/>
            <w:vAlign w:val="center"/>
          </w:tcPr>
          <w:p>
            <w:pPr>
              <w:spacing w:line="440" w:lineRule="exact"/>
              <w:jc w:val="center"/>
              <w:rPr>
                <w:rFonts w:ascii="宋体" w:hAnsi="宋体"/>
                <w:color w:val="000000"/>
                <w:szCs w:val="21"/>
              </w:rPr>
            </w:pPr>
            <w:r>
              <w:rPr>
                <w:rFonts w:hint="eastAsia" w:ascii="宋体" w:hAnsi="宋体"/>
                <w:color w:val="000000"/>
                <w:szCs w:val="21"/>
              </w:rPr>
              <w:t>执业或职业资格证明</w:t>
            </w:r>
          </w:p>
        </w:tc>
        <w:tc>
          <w:tcPr>
            <w:tcW w:w="806" w:type="dxa"/>
            <w:vAlign w:val="center"/>
          </w:tcPr>
          <w:p>
            <w:pPr>
              <w:spacing w:line="440" w:lineRule="exact"/>
              <w:jc w:val="center"/>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color w:val="000000"/>
                <w:szCs w:val="21"/>
              </w:rPr>
            </w:pPr>
          </w:p>
        </w:tc>
        <w:tc>
          <w:tcPr>
            <w:tcW w:w="864" w:type="dxa"/>
            <w:vMerge w:val="continue"/>
            <w:vAlign w:val="center"/>
          </w:tcPr>
          <w:p>
            <w:pPr>
              <w:spacing w:line="440" w:lineRule="exact"/>
              <w:jc w:val="center"/>
              <w:rPr>
                <w:rFonts w:ascii="宋体" w:hAnsi="宋体"/>
                <w:color w:val="000000"/>
                <w:szCs w:val="21"/>
              </w:rPr>
            </w:pPr>
          </w:p>
        </w:tc>
        <w:tc>
          <w:tcPr>
            <w:tcW w:w="862" w:type="dxa"/>
            <w:vMerge w:val="continue"/>
            <w:vAlign w:val="center"/>
          </w:tcPr>
          <w:p>
            <w:pPr>
              <w:spacing w:line="440" w:lineRule="exact"/>
              <w:jc w:val="center"/>
              <w:rPr>
                <w:rFonts w:ascii="宋体" w:hAnsi="宋体"/>
                <w:color w:val="000000"/>
                <w:szCs w:val="21"/>
              </w:rPr>
            </w:pPr>
          </w:p>
        </w:tc>
        <w:tc>
          <w:tcPr>
            <w:tcW w:w="1296" w:type="dxa"/>
            <w:vAlign w:val="center"/>
          </w:tcPr>
          <w:p>
            <w:pPr>
              <w:spacing w:line="440" w:lineRule="exact"/>
              <w:jc w:val="center"/>
              <w:rPr>
                <w:rFonts w:ascii="宋体" w:hAnsi="宋体"/>
                <w:color w:val="000000"/>
                <w:szCs w:val="21"/>
              </w:rPr>
            </w:pPr>
            <w:r>
              <w:rPr>
                <w:rFonts w:hint="eastAsia" w:ascii="宋体" w:hAnsi="宋体"/>
                <w:color w:val="000000"/>
                <w:szCs w:val="21"/>
              </w:rPr>
              <w:t>证书名称</w:t>
            </w:r>
          </w:p>
        </w:tc>
        <w:tc>
          <w:tcPr>
            <w:tcW w:w="863" w:type="dxa"/>
            <w:vAlign w:val="center"/>
          </w:tcPr>
          <w:p>
            <w:pPr>
              <w:spacing w:line="440" w:lineRule="exact"/>
              <w:jc w:val="center"/>
              <w:rPr>
                <w:rFonts w:ascii="宋体" w:hAnsi="宋体"/>
                <w:color w:val="000000"/>
                <w:szCs w:val="21"/>
              </w:rPr>
            </w:pPr>
            <w:r>
              <w:rPr>
                <w:rFonts w:hint="eastAsia" w:ascii="宋体" w:hAnsi="宋体"/>
                <w:color w:val="000000"/>
                <w:szCs w:val="21"/>
              </w:rPr>
              <w:t>级别</w:t>
            </w:r>
          </w:p>
        </w:tc>
        <w:tc>
          <w:tcPr>
            <w:tcW w:w="865" w:type="dxa"/>
            <w:vAlign w:val="center"/>
          </w:tcPr>
          <w:p>
            <w:pPr>
              <w:spacing w:line="440" w:lineRule="exact"/>
              <w:jc w:val="center"/>
              <w:rPr>
                <w:rFonts w:ascii="宋体" w:hAnsi="宋体"/>
                <w:color w:val="000000"/>
                <w:szCs w:val="21"/>
              </w:rPr>
            </w:pPr>
            <w:r>
              <w:rPr>
                <w:rFonts w:hint="eastAsia" w:ascii="宋体" w:hAnsi="宋体"/>
                <w:color w:val="000000"/>
                <w:szCs w:val="21"/>
              </w:rPr>
              <w:t>证号</w:t>
            </w:r>
          </w:p>
        </w:tc>
        <w:tc>
          <w:tcPr>
            <w:tcW w:w="863" w:type="dxa"/>
            <w:vAlign w:val="center"/>
          </w:tcPr>
          <w:p>
            <w:pPr>
              <w:spacing w:line="440" w:lineRule="exact"/>
              <w:jc w:val="center"/>
              <w:rPr>
                <w:rFonts w:ascii="宋体" w:hAnsi="宋体"/>
                <w:color w:val="000000"/>
                <w:szCs w:val="21"/>
              </w:rPr>
            </w:pPr>
            <w:r>
              <w:rPr>
                <w:rFonts w:hint="eastAsia" w:ascii="宋体" w:hAnsi="宋体"/>
                <w:color w:val="000000"/>
                <w:szCs w:val="21"/>
              </w:rPr>
              <w:t>专业</w:t>
            </w:r>
          </w:p>
        </w:tc>
        <w:tc>
          <w:tcPr>
            <w:tcW w:w="1661" w:type="dxa"/>
            <w:vAlign w:val="center"/>
          </w:tcPr>
          <w:p>
            <w:pPr>
              <w:spacing w:line="440" w:lineRule="exact"/>
              <w:jc w:val="center"/>
              <w:rPr>
                <w:rFonts w:ascii="宋体" w:hAnsi="宋体"/>
                <w:color w:val="000000"/>
                <w:szCs w:val="21"/>
              </w:rPr>
            </w:pPr>
            <w:r>
              <w:rPr>
                <w:rFonts w:hint="eastAsia" w:ascii="宋体" w:hAnsi="宋体"/>
                <w:color w:val="000000"/>
                <w:szCs w:val="21"/>
              </w:rPr>
              <w:t>养老保险</w:t>
            </w:r>
          </w:p>
        </w:tc>
        <w:tc>
          <w:tcPr>
            <w:tcW w:w="806" w:type="dxa"/>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color w:val="000000"/>
                <w:szCs w:val="21"/>
              </w:rPr>
            </w:pPr>
          </w:p>
        </w:tc>
        <w:tc>
          <w:tcPr>
            <w:tcW w:w="864" w:type="dxa"/>
            <w:vAlign w:val="center"/>
          </w:tcPr>
          <w:p>
            <w:pPr>
              <w:spacing w:line="440" w:lineRule="exact"/>
              <w:jc w:val="center"/>
              <w:rPr>
                <w:rFonts w:ascii="宋体" w:hAnsi="宋体"/>
                <w:color w:val="000000"/>
                <w:szCs w:val="21"/>
              </w:rPr>
            </w:pPr>
          </w:p>
        </w:tc>
        <w:tc>
          <w:tcPr>
            <w:tcW w:w="862" w:type="dxa"/>
            <w:vAlign w:val="center"/>
          </w:tcPr>
          <w:p>
            <w:pPr>
              <w:spacing w:line="440" w:lineRule="exact"/>
              <w:jc w:val="center"/>
              <w:rPr>
                <w:rFonts w:ascii="宋体" w:hAnsi="宋体"/>
                <w:color w:val="000000"/>
                <w:szCs w:val="21"/>
              </w:rPr>
            </w:pPr>
          </w:p>
        </w:tc>
        <w:tc>
          <w:tcPr>
            <w:tcW w:w="1296" w:type="dxa"/>
            <w:vAlign w:val="center"/>
          </w:tcPr>
          <w:p>
            <w:pPr>
              <w:spacing w:line="440" w:lineRule="exact"/>
              <w:jc w:val="center"/>
              <w:rPr>
                <w:rFonts w:ascii="宋体" w:hAnsi="宋体"/>
                <w:color w:val="000000"/>
                <w:szCs w:val="21"/>
              </w:rPr>
            </w:pPr>
          </w:p>
        </w:tc>
        <w:tc>
          <w:tcPr>
            <w:tcW w:w="863" w:type="dxa"/>
            <w:vAlign w:val="center"/>
          </w:tcPr>
          <w:p>
            <w:pPr>
              <w:spacing w:line="440" w:lineRule="exact"/>
              <w:jc w:val="center"/>
              <w:rPr>
                <w:rFonts w:ascii="宋体" w:hAnsi="宋体"/>
                <w:color w:val="000000"/>
                <w:szCs w:val="21"/>
              </w:rPr>
            </w:pPr>
          </w:p>
        </w:tc>
        <w:tc>
          <w:tcPr>
            <w:tcW w:w="865" w:type="dxa"/>
            <w:vAlign w:val="center"/>
          </w:tcPr>
          <w:p>
            <w:pPr>
              <w:spacing w:line="440" w:lineRule="exact"/>
              <w:jc w:val="center"/>
              <w:rPr>
                <w:rFonts w:ascii="宋体" w:hAnsi="宋体"/>
                <w:color w:val="000000"/>
                <w:szCs w:val="21"/>
              </w:rPr>
            </w:pPr>
          </w:p>
        </w:tc>
        <w:tc>
          <w:tcPr>
            <w:tcW w:w="863" w:type="dxa"/>
            <w:vAlign w:val="center"/>
          </w:tcPr>
          <w:p>
            <w:pPr>
              <w:spacing w:line="440" w:lineRule="exact"/>
              <w:jc w:val="center"/>
              <w:rPr>
                <w:rFonts w:ascii="宋体" w:hAnsi="宋体"/>
                <w:color w:val="000000"/>
                <w:szCs w:val="21"/>
              </w:rPr>
            </w:pPr>
          </w:p>
        </w:tc>
        <w:tc>
          <w:tcPr>
            <w:tcW w:w="1661" w:type="dxa"/>
            <w:vAlign w:val="center"/>
          </w:tcPr>
          <w:p>
            <w:pPr>
              <w:spacing w:line="440" w:lineRule="exact"/>
              <w:jc w:val="center"/>
              <w:rPr>
                <w:rFonts w:ascii="宋体" w:hAnsi="宋体"/>
                <w:color w:val="000000"/>
                <w:szCs w:val="21"/>
              </w:rPr>
            </w:pPr>
          </w:p>
        </w:tc>
        <w:tc>
          <w:tcPr>
            <w:tcW w:w="806" w:type="dxa"/>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color w:val="000000"/>
                <w:szCs w:val="21"/>
              </w:rPr>
            </w:pPr>
          </w:p>
        </w:tc>
        <w:tc>
          <w:tcPr>
            <w:tcW w:w="864" w:type="dxa"/>
          </w:tcPr>
          <w:p>
            <w:pPr>
              <w:spacing w:line="440" w:lineRule="exact"/>
              <w:jc w:val="center"/>
              <w:rPr>
                <w:rFonts w:ascii="宋体" w:hAnsi="宋体"/>
                <w:color w:val="000000"/>
                <w:szCs w:val="21"/>
              </w:rPr>
            </w:pPr>
          </w:p>
        </w:tc>
        <w:tc>
          <w:tcPr>
            <w:tcW w:w="862" w:type="dxa"/>
          </w:tcPr>
          <w:p>
            <w:pPr>
              <w:spacing w:line="440" w:lineRule="exact"/>
              <w:jc w:val="center"/>
              <w:rPr>
                <w:rFonts w:ascii="宋体" w:hAnsi="宋体"/>
                <w:color w:val="000000"/>
                <w:szCs w:val="21"/>
              </w:rPr>
            </w:pPr>
          </w:p>
        </w:tc>
        <w:tc>
          <w:tcPr>
            <w:tcW w:w="1296"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865"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1661" w:type="dxa"/>
          </w:tcPr>
          <w:p>
            <w:pPr>
              <w:spacing w:line="440" w:lineRule="exact"/>
              <w:jc w:val="center"/>
              <w:rPr>
                <w:rFonts w:ascii="宋体" w:hAnsi="宋体"/>
                <w:color w:val="000000"/>
                <w:szCs w:val="21"/>
              </w:rPr>
            </w:pPr>
          </w:p>
        </w:tc>
        <w:tc>
          <w:tcPr>
            <w:tcW w:w="80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color w:val="000000"/>
                <w:szCs w:val="21"/>
              </w:rPr>
            </w:pPr>
          </w:p>
        </w:tc>
        <w:tc>
          <w:tcPr>
            <w:tcW w:w="864" w:type="dxa"/>
          </w:tcPr>
          <w:p>
            <w:pPr>
              <w:spacing w:line="440" w:lineRule="exact"/>
              <w:jc w:val="center"/>
              <w:rPr>
                <w:rFonts w:ascii="宋体" w:hAnsi="宋体"/>
                <w:color w:val="000000"/>
                <w:szCs w:val="21"/>
              </w:rPr>
            </w:pPr>
          </w:p>
        </w:tc>
        <w:tc>
          <w:tcPr>
            <w:tcW w:w="862" w:type="dxa"/>
          </w:tcPr>
          <w:p>
            <w:pPr>
              <w:spacing w:line="440" w:lineRule="exact"/>
              <w:jc w:val="center"/>
              <w:rPr>
                <w:rFonts w:ascii="宋体" w:hAnsi="宋体"/>
                <w:color w:val="000000"/>
                <w:szCs w:val="21"/>
              </w:rPr>
            </w:pPr>
          </w:p>
        </w:tc>
        <w:tc>
          <w:tcPr>
            <w:tcW w:w="1296"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865"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1661" w:type="dxa"/>
          </w:tcPr>
          <w:p>
            <w:pPr>
              <w:spacing w:line="440" w:lineRule="exact"/>
              <w:jc w:val="center"/>
              <w:rPr>
                <w:rFonts w:ascii="宋体" w:hAnsi="宋体"/>
                <w:color w:val="000000"/>
                <w:szCs w:val="21"/>
              </w:rPr>
            </w:pPr>
          </w:p>
        </w:tc>
        <w:tc>
          <w:tcPr>
            <w:tcW w:w="80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color w:val="000000"/>
                <w:szCs w:val="21"/>
              </w:rPr>
            </w:pPr>
          </w:p>
        </w:tc>
        <w:tc>
          <w:tcPr>
            <w:tcW w:w="864" w:type="dxa"/>
          </w:tcPr>
          <w:p>
            <w:pPr>
              <w:spacing w:line="440" w:lineRule="exact"/>
              <w:jc w:val="center"/>
              <w:rPr>
                <w:rFonts w:ascii="宋体" w:hAnsi="宋体"/>
                <w:color w:val="000000"/>
                <w:szCs w:val="21"/>
              </w:rPr>
            </w:pPr>
          </w:p>
        </w:tc>
        <w:tc>
          <w:tcPr>
            <w:tcW w:w="862" w:type="dxa"/>
          </w:tcPr>
          <w:p>
            <w:pPr>
              <w:spacing w:line="440" w:lineRule="exact"/>
              <w:jc w:val="center"/>
              <w:rPr>
                <w:rFonts w:ascii="宋体" w:hAnsi="宋体"/>
                <w:color w:val="000000"/>
                <w:szCs w:val="21"/>
              </w:rPr>
            </w:pPr>
          </w:p>
        </w:tc>
        <w:tc>
          <w:tcPr>
            <w:tcW w:w="1296"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865"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1661" w:type="dxa"/>
          </w:tcPr>
          <w:p>
            <w:pPr>
              <w:spacing w:line="440" w:lineRule="exact"/>
              <w:jc w:val="center"/>
              <w:rPr>
                <w:rFonts w:ascii="宋体" w:hAnsi="宋体"/>
                <w:color w:val="000000"/>
                <w:szCs w:val="21"/>
              </w:rPr>
            </w:pPr>
          </w:p>
        </w:tc>
        <w:tc>
          <w:tcPr>
            <w:tcW w:w="80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color w:val="000000"/>
                <w:szCs w:val="21"/>
              </w:rPr>
            </w:pPr>
          </w:p>
        </w:tc>
        <w:tc>
          <w:tcPr>
            <w:tcW w:w="864" w:type="dxa"/>
          </w:tcPr>
          <w:p>
            <w:pPr>
              <w:spacing w:line="440" w:lineRule="exact"/>
              <w:jc w:val="center"/>
              <w:rPr>
                <w:rFonts w:ascii="宋体" w:hAnsi="宋体"/>
                <w:color w:val="000000"/>
                <w:szCs w:val="21"/>
              </w:rPr>
            </w:pPr>
          </w:p>
        </w:tc>
        <w:tc>
          <w:tcPr>
            <w:tcW w:w="862" w:type="dxa"/>
          </w:tcPr>
          <w:p>
            <w:pPr>
              <w:spacing w:line="440" w:lineRule="exact"/>
              <w:jc w:val="center"/>
              <w:rPr>
                <w:rFonts w:ascii="宋体" w:hAnsi="宋体"/>
                <w:color w:val="000000"/>
                <w:szCs w:val="21"/>
              </w:rPr>
            </w:pPr>
          </w:p>
        </w:tc>
        <w:tc>
          <w:tcPr>
            <w:tcW w:w="1296"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865"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1661" w:type="dxa"/>
          </w:tcPr>
          <w:p>
            <w:pPr>
              <w:spacing w:line="440" w:lineRule="exact"/>
              <w:jc w:val="center"/>
              <w:rPr>
                <w:rFonts w:ascii="宋体" w:hAnsi="宋体"/>
                <w:color w:val="000000"/>
                <w:szCs w:val="21"/>
              </w:rPr>
            </w:pPr>
          </w:p>
        </w:tc>
        <w:tc>
          <w:tcPr>
            <w:tcW w:w="80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color w:val="000000"/>
                <w:szCs w:val="21"/>
              </w:rPr>
            </w:pPr>
          </w:p>
        </w:tc>
        <w:tc>
          <w:tcPr>
            <w:tcW w:w="864" w:type="dxa"/>
          </w:tcPr>
          <w:p>
            <w:pPr>
              <w:spacing w:line="440" w:lineRule="exact"/>
              <w:jc w:val="center"/>
              <w:rPr>
                <w:rFonts w:ascii="宋体" w:hAnsi="宋体"/>
                <w:color w:val="000000"/>
                <w:szCs w:val="21"/>
              </w:rPr>
            </w:pPr>
          </w:p>
        </w:tc>
        <w:tc>
          <w:tcPr>
            <w:tcW w:w="862" w:type="dxa"/>
          </w:tcPr>
          <w:p>
            <w:pPr>
              <w:spacing w:line="440" w:lineRule="exact"/>
              <w:jc w:val="center"/>
              <w:rPr>
                <w:rFonts w:ascii="宋体" w:hAnsi="宋体"/>
                <w:color w:val="000000"/>
                <w:szCs w:val="21"/>
              </w:rPr>
            </w:pPr>
          </w:p>
        </w:tc>
        <w:tc>
          <w:tcPr>
            <w:tcW w:w="1296"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865"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1661" w:type="dxa"/>
          </w:tcPr>
          <w:p>
            <w:pPr>
              <w:spacing w:line="440" w:lineRule="exact"/>
              <w:jc w:val="center"/>
              <w:rPr>
                <w:rFonts w:ascii="宋体" w:hAnsi="宋体"/>
                <w:color w:val="000000"/>
                <w:szCs w:val="21"/>
              </w:rPr>
            </w:pPr>
          </w:p>
        </w:tc>
        <w:tc>
          <w:tcPr>
            <w:tcW w:w="80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color w:val="000000"/>
                <w:szCs w:val="21"/>
              </w:rPr>
            </w:pPr>
          </w:p>
        </w:tc>
        <w:tc>
          <w:tcPr>
            <w:tcW w:w="864" w:type="dxa"/>
          </w:tcPr>
          <w:p>
            <w:pPr>
              <w:spacing w:line="440" w:lineRule="exact"/>
              <w:jc w:val="center"/>
              <w:rPr>
                <w:rFonts w:ascii="宋体" w:hAnsi="宋体"/>
                <w:color w:val="000000"/>
                <w:szCs w:val="21"/>
              </w:rPr>
            </w:pPr>
          </w:p>
        </w:tc>
        <w:tc>
          <w:tcPr>
            <w:tcW w:w="862" w:type="dxa"/>
          </w:tcPr>
          <w:p>
            <w:pPr>
              <w:spacing w:line="440" w:lineRule="exact"/>
              <w:jc w:val="center"/>
              <w:rPr>
                <w:rFonts w:ascii="宋体" w:hAnsi="宋体"/>
                <w:color w:val="000000"/>
                <w:szCs w:val="21"/>
              </w:rPr>
            </w:pPr>
          </w:p>
        </w:tc>
        <w:tc>
          <w:tcPr>
            <w:tcW w:w="1296"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865"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1661" w:type="dxa"/>
          </w:tcPr>
          <w:p>
            <w:pPr>
              <w:spacing w:line="440" w:lineRule="exact"/>
              <w:jc w:val="center"/>
              <w:rPr>
                <w:rFonts w:ascii="宋体" w:hAnsi="宋体"/>
                <w:color w:val="000000"/>
                <w:szCs w:val="21"/>
              </w:rPr>
            </w:pPr>
          </w:p>
        </w:tc>
        <w:tc>
          <w:tcPr>
            <w:tcW w:w="80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color w:val="000000"/>
                <w:szCs w:val="21"/>
              </w:rPr>
            </w:pPr>
          </w:p>
        </w:tc>
        <w:tc>
          <w:tcPr>
            <w:tcW w:w="864" w:type="dxa"/>
          </w:tcPr>
          <w:p>
            <w:pPr>
              <w:spacing w:line="440" w:lineRule="exact"/>
              <w:jc w:val="center"/>
              <w:rPr>
                <w:rFonts w:ascii="宋体" w:hAnsi="宋体"/>
                <w:color w:val="000000"/>
                <w:szCs w:val="21"/>
              </w:rPr>
            </w:pPr>
          </w:p>
        </w:tc>
        <w:tc>
          <w:tcPr>
            <w:tcW w:w="862" w:type="dxa"/>
          </w:tcPr>
          <w:p>
            <w:pPr>
              <w:spacing w:line="440" w:lineRule="exact"/>
              <w:jc w:val="center"/>
              <w:rPr>
                <w:rFonts w:ascii="宋体" w:hAnsi="宋体"/>
                <w:color w:val="000000"/>
                <w:szCs w:val="21"/>
              </w:rPr>
            </w:pPr>
          </w:p>
        </w:tc>
        <w:tc>
          <w:tcPr>
            <w:tcW w:w="1296"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865"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1661" w:type="dxa"/>
          </w:tcPr>
          <w:p>
            <w:pPr>
              <w:spacing w:line="440" w:lineRule="exact"/>
              <w:jc w:val="center"/>
              <w:rPr>
                <w:rFonts w:ascii="宋体" w:hAnsi="宋体"/>
                <w:color w:val="000000"/>
                <w:szCs w:val="21"/>
              </w:rPr>
            </w:pPr>
          </w:p>
        </w:tc>
        <w:tc>
          <w:tcPr>
            <w:tcW w:w="80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color w:val="000000"/>
                <w:szCs w:val="21"/>
              </w:rPr>
            </w:pPr>
          </w:p>
        </w:tc>
        <w:tc>
          <w:tcPr>
            <w:tcW w:w="864" w:type="dxa"/>
          </w:tcPr>
          <w:p>
            <w:pPr>
              <w:spacing w:line="440" w:lineRule="exact"/>
              <w:jc w:val="center"/>
              <w:rPr>
                <w:rFonts w:ascii="宋体" w:hAnsi="宋体"/>
                <w:color w:val="000000"/>
                <w:szCs w:val="21"/>
              </w:rPr>
            </w:pPr>
          </w:p>
        </w:tc>
        <w:tc>
          <w:tcPr>
            <w:tcW w:w="862" w:type="dxa"/>
          </w:tcPr>
          <w:p>
            <w:pPr>
              <w:spacing w:line="440" w:lineRule="exact"/>
              <w:jc w:val="center"/>
              <w:rPr>
                <w:rFonts w:ascii="宋体" w:hAnsi="宋体"/>
                <w:color w:val="000000"/>
                <w:szCs w:val="21"/>
              </w:rPr>
            </w:pPr>
          </w:p>
        </w:tc>
        <w:tc>
          <w:tcPr>
            <w:tcW w:w="1296"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865"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1661" w:type="dxa"/>
          </w:tcPr>
          <w:p>
            <w:pPr>
              <w:spacing w:line="440" w:lineRule="exact"/>
              <w:jc w:val="center"/>
              <w:rPr>
                <w:rFonts w:ascii="宋体" w:hAnsi="宋体"/>
                <w:color w:val="000000"/>
                <w:szCs w:val="21"/>
              </w:rPr>
            </w:pPr>
          </w:p>
        </w:tc>
        <w:tc>
          <w:tcPr>
            <w:tcW w:w="80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color w:val="000000"/>
                <w:szCs w:val="21"/>
              </w:rPr>
            </w:pPr>
          </w:p>
        </w:tc>
        <w:tc>
          <w:tcPr>
            <w:tcW w:w="864" w:type="dxa"/>
          </w:tcPr>
          <w:p>
            <w:pPr>
              <w:spacing w:line="440" w:lineRule="exact"/>
              <w:jc w:val="center"/>
              <w:rPr>
                <w:rFonts w:ascii="宋体" w:hAnsi="宋体"/>
                <w:color w:val="000000"/>
                <w:szCs w:val="21"/>
              </w:rPr>
            </w:pPr>
          </w:p>
        </w:tc>
        <w:tc>
          <w:tcPr>
            <w:tcW w:w="862" w:type="dxa"/>
          </w:tcPr>
          <w:p>
            <w:pPr>
              <w:spacing w:line="440" w:lineRule="exact"/>
              <w:jc w:val="center"/>
              <w:rPr>
                <w:rFonts w:ascii="宋体" w:hAnsi="宋体"/>
                <w:color w:val="000000"/>
                <w:szCs w:val="21"/>
              </w:rPr>
            </w:pPr>
          </w:p>
        </w:tc>
        <w:tc>
          <w:tcPr>
            <w:tcW w:w="1296"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865"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1661" w:type="dxa"/>
          </w:tcPr>
          <w:p>
            <w:pPr>
              <w:spacing w:line="440" w:lineRule="exact"/>
              <w:jc w:val="center"/>
              <w:rPr>
                <w:rFonts w:ascii="宋体" w:hAnsi="宋体"/>
                <w:color w:val="000000"/>
                <w:szCs w:val="21"/>
              </w:rPr>
            </w:pPr>
          </w:p>
        </w:tc>
        <w:tc>
          <w:tcPr>
            <w:tcW w:w="80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color w:val="000000"/>
                <w:szCs w:val="21"/>
              </w:rPr>
            </w:pPr>
          </w:p>
        </w:tc>
        <w:tc>
          <w:tcPr>
            <w:tcW w:w="864" w:type="dxa"/>
          </w:tcPr>
          <w:p>
            <w:pPr>
              <w:spacing w:line="440" w:lineRule="exact"/>
              <w:jc w:val="center"/>
              <w:rPr>
                <w:rFonts w:ascii="宋体" w:hAnsi="宋体"/>
                <w:color w:val="000000"/>
                <w:szCs w:val="21"/>
              </w:rPr>
            </w:pPr>
          </w:p>
        </w:tc>
        <w:tc>
          <w:tcPr>
            <w:tcW w:w="862" w:type="dxa"/>
          </w:tcPr>
          <w:p>
            <w:pPr>
              <w:spacing w:line="440" w:lineRule="exact"/>
              <w:jc w:val="center"/>
              <w:rPr>
                <w:rFonts w:ascii="宋体" w:hAnsi="宋体"/>
                <w:color w:val="000000"/>
                <w:szCs w:val="21"/>
              </w:rPr>
            </w:pPr>
          </w:p>
        </w:tc>
        <w:tc>
          <w:tcPr>
            <w:tcW w:w="1296"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865"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1661" w:type="dxa"/>
          </w:tcPr>
          <w:p>
            <w:pPr>
              <w:spacing w:line="440" w:lineRule="exact"/>
              <w:jc w:val="center"/>
              <w:rPr>
                <w:rFonts w:ascii="宋体" w:hAnsi="宋体"/>
                <w:color w:val="000000"/>
                <w:szCs w:val="21"/>
              </w:rPr>
            </w:pPr>
          </w:p>
        </w:tc>
        <w:tc>
          <w:tcPr>
            <w:tcW w:w="80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color w:val="000000"/>
                <w:szCs w:val="21"/>
              </w:rPr>
            </w:pPr>
          </w:p>
        </w:tc>
        <w:tc>
          <w:tcPr>
            <w:tcW w:w="864" w:type="dxa"/>
          </w:tcPr>
          <w:p>
            <w:pPr>
              <w:spacing w:line="440" w:lineRule="exact"/>
              <w:jc w:val="center"/>
              <w:rPr>
                <w:rFonts w:ascii="宋体" w:hAnsi="宋体"/>
                <w:color w:val="000000"/>
                <w:szCs w:val="21"/>
              </w:rPr>
            </w:pPr>
          </w:p>
        </w:tc>
        <w:tc>
          <w:tcPr>
            <w:tcW w:w="862" w:type="dxa"/>
          </w:tcPr>
          <w:p>
            <w:pPr>
              <w:spacing w:line="440" w:lineRule="exact"/>
              <w:jc w:val="center"/>
              <w:rPr>
                <w:rFonts w:ascii="宋体" w:hAnsi="宋体"/>
                <w:color w:val="000000"/>
                <w:szCs w:val="21"/>
              </w:rPr>
            </w:pPr>
          </w:p>
        </w:tc>
        <w:tc>
          <w:tcPr>
            <w:tcW w:w="1296"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865"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1661" w:type="dxa"/>
          </w:tcPr>
          <w:p>
            <w:pPr>
              <w:spacing w:line="440" w:lineRule="exact"/>
              <w:jc w:val="center"/>
              <w:rPr>
                <w:rFonts w:ascii="宋体" w:hAnsi="宋体"/>
                <w:color w:val="000000"/>
                <w:szCs w:val="21"/>
              </w:rPr>
            </w:pPr>
          </w:p>
        </w:tc>
        <w:tc>
          <w:tcPr>
            <w:tcW w:w="80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color w:val="000000"/>
                <w:szCs w:val="21"/>
              </w:rPr>
            </w:pPr>
          </w:p>
        </w:tc>
        <w:tc>
          <w:tcPr>
            <w:tcW w:w="864" w:type="dxa"/>
          </w:tcPr>
          <w:p>
            <w:pPr>
              <w:spacing w:line="440" w:lineRule="exact"/>
              <w:jc w:val="center"/>
              <w:rPr>
                <w:rFonts w:ascii="宋体" w:hAnsi="宋体"/>
                <w:color w:val="000000"/>
                <w:szCs w:val="21"/>
              </w:rPr>
            </w:pPr>
          </w:p>
        </w:tc>
        <w:tc>
          <w:tcPr>
            <w:tcW w:w="862" w:type="dxa"/>
          </w:tcPr>
          <w:p>
            <w:pPr>
              <w:spacing w:line="440" w:lineRule="exact"/>
              <w:jc w:val="center"/>
              <w:rPr>
                <w:rFonts w:ascii="宋体" w:hAnsi="宋体"/>
                <w:color w:val="000000"/>
                <w:szCs w:val="21"/>
              </w:rPr>
            </w:pPr>
          </w:p>
        </w:tc>
        <w:tc>
          <w:tcPr>
            <w:tcW w:w="1296"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865"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1661" w:type="dxa"/>
          </w:tcPr>
          <w:p>
            <w:pPr>
              <w:spacing w:line="440" w:lineRule="exact"/>
              <w:jc w:val="center"/>
              <w:rPr>
                <w:rFonts w:ascii="宋体" w:hAnsi="宋体"/>
                <w:color w:val="000000"/>
                <w:szCs w:val="21"/>
              </w:rPr>
            </w:pPr>
          </w:p>
        </w:tc>
        <w:tc>
          <w:tcPr>
            <w:tcW w:w="80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color w:val="000000"/>
                <w:szCs w:val="21"/>
              </w:rPr>
            </w:pPr>
          </w:p>
        </w:tc>
        <w:tc>
          <w:tcPr>
            <w:tcW w:w="864" w:type="dxa"/>
          </w:tcPr>
          <w:p>
            <w:pPr>
              <w:spacing w:line="440" w:lineRule="exact"/>
              <w:jc w:val="center"/>
              <w:rPr>
                <w:rFonts w:ascii="宋体" w:hAnsi="宋体"/>
                <w:color w:val="000000"/>
                <w:szCs w:val="21"/>
              </w:rPr>
            </w:pPr>
          </w:p>
        </w:tc>
        <w:tc>
          <w:tcPr>
            <w:tcW w:w="862" w:type="dxa"/>
          </w:tcPr>
          <w:p>
            <w:pPr>
              <w:spacing w:line="440" w:lineRule="exact"/>
              <w:jc w:val="center"/>
              <w:rPr>
                <w:rFonts w:ascii="宋体" w:hAnsi="宋体"/>
                <w:color w:val="000000"/>
                <w:szCs w:val="21"/>
              </w:rPr>
            </w:pPr>
          </w:p>
        </w:tc>
        <w:tc>
          <w:tcPr>
            <w:tcW w:w="1296"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865"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1661" w:type="dxa"/>
          </w:tcPr>
          <w:p>
            <w:pPr>
              <w:spacing w:line="440" w:lineRule="exact"/>
              <w:jc w:val="center"/>
              <w:rPr>
                <w:rFonts w:ascii="宋体" w:hAnsi="宋体"/>
                <w:color w:val="000000"/>
                <w:szCs w:val="21"/>
              </w:rPr>
            </w:pPr>
          </w:p>
        </w:tc>
        <w:tc>
          <w:tcPr>
            <w:tcW w:w="80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color w:val="000000"/>
                <w:szCs w:val="21"/>
              </w:rPr>
            </w:pPr>
          </w:p>
        </w:tc>
        <w:tc>
          <w:tcPr>
            <w:tcW w:w="864" w:type="dxa"/>
          </w:tcPr>
          <w:p>
            <w:pPr>
              <w:spacing w:line="440" w:lineRule="exact"/>
              <w:jc w:val="center"/>
              <w:rPr>
                <w:rFonts w:ascii="宋体" w:hAnsi="宋体"/>
                <w:color w:val="000000"/>
                <w:szCs w:val="21"/>
              </w:rPr>
            </w:pPr>
          </w:p>
        </w:tc>
        <w:tc>
          <w:tcPr>
            <w:tcW w:w="862" w:type="dxa"/>
          </w:tcPr>
          <w:p>
            <w:pPr>
              <w:spacing w:line="440" w:lineRule="exact"/>
              <w:jc w:val="center"/>
              <w:rPr>
                <w:rFonts w:ascii="宋体" w:hAnsi="宋体"/>
                <w:color w:val="000000"/>
                <w:szCs w:val="21"/>
              </w:rPr>
            </w:pPr>
          </w:p>
        </w:tc>
        <w:tc>
          <w:tcPr>
            <w:tcW w:w="1296"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865"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1661" w:type="dxa"/>
          </w:tcPr>
          <w:p>
            <w:pPr>
              <w:spacing w:line="440" w:lineRule="exact"/>
              <w:jc w:val="center"/>
              <w:rPr>
                <w:rFonts w:ascii="宋体" w:hAnsi="宋体"/>
                <w:color w:val="000000"/>
                <w:szCs w:val="21"/>
              </w:rPr>
            </w:pPr>
          </w:p>
        </w:tc>
        <w:tc>
          <w:tcPr>
            <w:tcW w:w="80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color w:val="000000"/>
                <w:szCs w:val="21"/>
              </w:rPr>
            </w:pPr>
          </w:p>
        </w:tc>
        <w:tc>
          <w:tcPr>
            <w:tcW w:w="864" w:type="dxa"/>
          </w:tcPr>
          <w:p>
            <w:pPr>
              <w:spacing w:line="440" w:lineRule="exact"/>
              <w:jc w:val="center"/>
              <w:rPr>
                <w:rFonts w:ascii="宋体" w:hAnsi="宋体"/>
                <w:color w:val="000000"/>
                <w:szCs w:val="21"/>
              </w:rPr>
            </w:pPr>
          </w:p>
        </w:tc>
        <w:tc>
          <w:tcPr>
            <w:tcW w:w="862" w:type="dxa"/>
          </w:tcPr>
          <w:p>
            <w:pPr>
              <w:spacing w:line="440" w:lineRule="exact"/>
              <w:jc w:val="center"/>
              <w:rPr>
                <w:rFonts w:ascii="宋体" w:hAnsi="宋体"/>
                <w:color w:val="000000"/>
                <w:szCs w:val="21"/>
              </w:rPr>
            </w:pPr>
          </w:p>
        </w:tc>
        <w:tc>
          <w:tcPr>
            <w:tcW w:w="1296"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865"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1661" w:type="dxa"/>
          </w:tcPr>
          <w:p>
            <w:pPr>
              <w:spacing w:line="440" w:lineRule="exact"/>
              <w:jc w:val="center"/>
              <w:rPr>
                <w:rFonts w:ascii="宋体" w:hAnsi="宋体"/>
                <w:color w:val="000000"/>
                <w:szCs w:val="21"/>
              </w:rPr>
            </w:pPr>
          </w:p>
        </w:tc>
        <w:tc>
          <w:tcPr>
            <w:tcW w:w="80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color w:val="000000"/>
                <w:szCs w:val="21"/>
              </w:rPr>
            </w:pPr>
          </w:p>
        </w:tc>
        <w:tc>
          <w:tcPr>
            <w:tcW w:w="864" w:type="dxa"/>
          </w:tcPr>
          <w:p>
            <w:pPr>
              <w:spacing w:line="440" w:lineRule="exact"/>
              <w:jc w:val="center"/>
              <w:rPr>
                <w:rFonts w:ascii="宋体" w:hAnsi="宋体"/>
                <w:color w:val="000000"/>
                <w:szCs w:val="21"/>
              </w:rPr>
            </w:pPr>
          </w:p>
        </w:tc>
        <w:tc>
          <w:tcPr>
            <w:tcW w:w="862" w:type="dxa"/>
          </w:tcPr>
          <w:p>
            <w:pPr>
              <w:spacing w:line="440" w:lineRule="exact"/>
              <w:jc w:val="center"/>
              <w:rPr>
                <w:rFonts w:ascii="宋体" w:hAnsi="宋体"/>
                <w:color w:val="000000"/>
                <w:szCs w:val="21"/>
              </w:rPr>
            </w:pPr>
          </w:p>
        </w:tc>
        <w:tc>
          <w:tcPr>
            <w:tcW w:w="1296"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865"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1661" w:type="dxa"/>
          </w:tcPr>
          <w:p>
            <w:pPr>
              <w:spacing w:line="440" w:lineRule="exact"/>
              <w:jc w:val="center"/>
              <w:rPr>
                <w:rFonts w:ascii="宋体" w:hAnsi="宋体"/>
                <w:color w:val="000000"/>
                <w:szCs w:val="21"/>
              </w:rPr>
            </w:pPr>
          </w:p>
        </w:tc>
        <w:tc>
          <w:tcPr>
            <w:tcW w:w="80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color w:val="000000"/>
                <w:szCs w:val="21"/>
              </w:rPr>
            </w:pPr>
          </w:p>
        </w:tc>
        <w:tc>
          <w:tcPr>
            <w:tcW w:w="864" w:type="dxa"/>
          </w:tcPr>
          <w:p>
            <w:pPr>
              <w:spacing w:line="440" w:lineRule="exact"/>
              <w:jc w:val="center"/>
              <w:rPr>
                <w:rFonts w:ascii="宋体" w:hAnsi="宋体"/>
                <w:color w:val="000000"/>
                <w:szCs w:val="21"/>
              </w:rPr>
            </w:pPr>
          </w:p>
        </w:tc>
        <w:tc>
          <w:tcPr>
            <w:tcW w:w="862" w:type="dxa"/>
          </w:tcPr>
          <w:p>
            <w:pPr>
              <w:spacing w:line="440" w:lineRule="exact"/>
              <w:jc w:val="center"/>
              <w:rPr>
                <w:rFonts w:ascii="宋体" w:hAnsi="宋体"/>
                <w:color w:val="000000"/>
                <w:szCs w:val="21"/>
              </w:rPr>
            </w:pPr>
          </w:p>
        </w:tc>
        <w:tc>
          <w:tcPr>
            <w:tcW w:w="1296"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865"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1661" w:type="dxa"/>
          </w:tcPr>
          <w:p>
            <w:pPr>
              <w:spacing w:line="440" w:lineRule="exact"/>
              <w:jc w:val="center"/>
              <w:rPr>
                <w:rFonts w:ascii="宋体" w:hAnsi="宋体"/>
                <w:color w:val="000000"/>
                <w:szCs w:val="21"/>
              </w:rPr>
            </w:pPr>
          </w:p>
        </w:tc>
        <w:tc>
          <w:tcPr>
            <w:tcW w:w="80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color w:val="000000"/>
                <w:szCs w:val="21"/>
              </w:rPr>
            </w:pPr>
          </w:p>
        </w:tc>
        <w:tc>
          <w:tcPr>
            <w:tcW w:w="864" w:type="dxa"/>
          </w:tcPr>
          <w:p>
            <w:pPr>
              <w:spacing w:line="440" w:lineRule="exact"/>
              <w:jc w:val="center"/>
              <w:rPr>
                <w:rFonts w:ascii="宋体" w:hAnsi="宋体"/>
                <w:color w:val="000000"/>
                <w:szCs w:val="21"/>
              </w:rPr>
            </w:pPr>
          </w:p>
        </w:tc>
        <w:tc>
          <w:tcPr>
            <w:tcW w:w="862" w:type="dxa"/>
          </w:tcPr>
          <w:p>
            <w:pPr>
              <w:spacing w:line="440" w:lineRule="exact"/>
              <w:jc w:val="center"/>
              <w:rPr>
                <w:rFonts w:ascii="宋体" w:hAnsi="宋体"/>
                <w:color w:val="000000"/>
                <w:szCs w:val="21"/>
              </w:rPr>
            </w:pPr>
          </w:p>
        </w:tc>
        <w:tc>
          <w:tcPr>
            <w:tcW w:w="1296"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865"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1661" w:type="dxa"/>
          </w:tcPr>
          <w:p>
            <w:pPr>
              <w:spacing w:line="440" w:lineRule="exact"/>
              <w:jc w:val="center"/>
              <w:rPr>
                <w:rFonts w:ascii="宋体" w:hAnsi="宋体"/>
                <w:color w:val="000000"/>
                <w:szCs w:val="21"/>
              </w:rPr>
            </w:pPr>
          </w:p>
        </w:tc>
        <w:tc>
          <w:tcPr>
            <w:tcW w:w="80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color w:val="000000"/>
                <w:szCs w:val="21"/>
              </w:rPr>
            </w:pPr>
          </w:p>
        </w:tc>
        <w:tc>
          <w:tcPr>
            <w:tcW w:w="864" w:type="dxa"/>
          </w:tcPr>
          <w:p>
            <w:pPr>
              <w:spacing w:line="440" w:lineRule="exact"/>
              <w:jc w:val="center"/>
              <w:rPr>
                <w:rFonts w:ascii="宋体" w:hAnsi="宋体"/>
                <w:color w:val="000000"/>
                <w:szCs w:val="21"/>
              </w:rPr>
            </w:pPr>
          </w:p>
        </w:tc>
        <w:tc>
          <w:tcPr>
            <w:tcW w:w="862" w:type="dxa"/>
          </w:tcPr>
          <w:p>
            <w:pPr>
              <w:spacing w:line="440" w:lineRule="exact"/>
              <w:jc w:val="center"/>
              <w:rPr>
                <w:rFonts w:ascii="宋体" w:hAnsi="宋体"/>
                <w:color w:val="000000"/>
                <w:szCs w:val="21"/>
              </w:rPr>
            </w:pPr>
          </w:p>
        </w:tc>
        <w:tc>
          <w:tcPr>
            <w:tcW w:w="1296"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865"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1661" w:type="dxa"/>
          </w:tcPr>
          <w:p>
            <w:pPr>
              <w:spacing w:line="440" w:lineRule="exact"/>
              <w:jc w:val="center"/>
              <w:rPr>
                <w:rFonts w:ascii="宋体" w:hAnsi="宋体"/>
                <w:color w:val="000000"/>
                <w:szCs w:val="21"/>
              </w:rPr>
            </w:pPr>
          </w:p>
        </w:tc>
        <w:tc>
          <w:tcPr>
            <w:tcW w:w="80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color w:val="000000"/>
                <w:szCs w:val="21"/>
              </w:rPr>
            </w:pPr>
          </w:p>
        </w:tc>
        <w:tc>
          <w:tcPr>
            <w:tcW w:w="864" w:type="dxa"/>
          </w:tcPr>
          <w:p>
            <w:pPr>
              <w:spacing w:line="440" w:lineRule="exact"/>
              <w:jc w:val="center"/>
              <w:rPr>
                <w:rFonts w:ascii="宋体" w:hAnsi="宋体"/>
                <w:color w:val="000000"/>
                <w:szCs w:val="21"/>
              </w:rPr>
            </w:pPr>
          </w:p>
        </w:tc>
        <w:tc>
          <w:tcPr>
            <w:tcW w:w="862" w:type="dxa"/>
          </w:tcPr>
          <w:p>
            <w:pPr>
              <w:spacing w:line="440" w:lineRule="exact"/>
              <w:jc w:val="center"/>
              <w:rPr>
                <w:rFonts w:ascii="宋体" w:hAnsi="宋体"/>
                <w:color w:val="000000"/>
                <w:szCs w:val="21"/>
              </w:rPr>
            </w:pPr>
          </w:p>
        </w:tc>
        <w:tc>
          <w:tcPr>
            <w:tcW w:w="1296"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865"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1661" w:type="dxa"/>
          </w:tcPr>
          <w:p>
            <w:pPr>
              <w:spacing w:line="440" w:lineRule="exact"/>
              <w:jc w:val="center"/>
              <w:rPr>
                <w:rFonts w:ascii="宋体" w:hAnsi="宋体"/>
                <w:color w:val="000000"/>
                <w:szCs w:val="21"/>
              </w:rPr>
            </w:pPr>
          </w:p>
        </w:tc>
        <w:tc>
          <w:tcPr>
            <w:tcW w:w="80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color w:val="000000"/>
                <w:szCs w:val="21"/>
              </w:rPr>
            </w:pPr>
          </w:p>
        </w:tc>
        <w:tc>
          <w:tcPr>
            <w:tcW w:w="864" w:type="dxa"/>
          </w:tcPr>
          <w:p>
            <w:pPr>
              <w:spacing w:line="440" w:lineRule="exact"/>
              <w:jc w:val="center"/>
              <w:rPr>
                <w:rFonts w:ascii="宋体" w:hAnsi="宋体"/>
                <w:color w:val="000000"/>
                <w:szCs w:val="21"/>
              </w:rPr>
            </w:pPr>
          </w:p>
        </w:tc>
        <w:tc>
          <w:tcPr>
            <w:tcW w:w="862" w:type="dxa"/>
          </w:tcPr>
          <w:p>
            <w:pPr>
              <w:spacing w:line="440" w:lineRule="exact"/>
              <w:jc w:val="center"/>
              <w:rPr>
                <w:rFonts w:ascii="宋体" w:hAnsi="宋体"/>
                <w:color w:val="000000"/>
                <w:szCs w:val="21"/>
              </w:rPr>
            </w:pPr>
          </w:p>
        </w:tc>
        <w:tc>
          <w:tcPr>
            <w:tcW w:w="1296"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865"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1661" w:type="dxa"/>
          </w:tcPr>
          <w:p>
            <w:pPr>
              <w:spacing w:line="440" w:lineRule="exact"/>
              <w:jc w:val="center"/>
              <w:rPr>
                <w:rFonts w:ascii="宋体" w:hAnsi="宋体"/>
                <w:color w:val="000000"/>
                <w:szCs w:val="21"/>
              </w:rPr>
            </w:pPr>
          </w:p>
        </w:tc>
        <w:tc>
          <w:tcPr>
            <w:tcW w:w="806" w:type="dxa"/>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color w:val="000000"/>
                <w:szCs w:val="21"/>
              </w:rPr>
            </w:pPr>
          </w:p>
        </w:tc>
        <w:tc>
          <w:tcPr>
            <w:tcW w:w="864" w:type="dxa"/>
          </w:tcPr>
          <w:p>
            <w:pPr>
              <w:spacing w:line="440" w:lineRule="exact"/>
              <w:jc w:val="center"/>
              <w:rPr>
                <w:rFonts w:ascii="宋体" w:hAnsi="宋体"/>
                <w:color w:val="000000"/>
                <w:szCs w:val="21"/>
              </w:rPr>
            </w:pPr>
          </w:p>
        </w:tc>
        <w:tc>
          <w:tcPr>
            <w:tcW w:w="862" w:type="dxa"/>
          </w:tcPr>
          <w:p>
            <w:pPr>
              <w:spacing w:line="440" w:lineRule="exact"/>
              <w:jc w:val="center"/>
              <w:rPr>
                <w:rFonts w:ascii="宋体" w:hAnsi="宋体"/>
                <w:color w:val="000000"/>
                <w:szCs w:val="21"/>
              </w:rPr>
            </w:pPr>
          </w:p>
        </w:tc>
        <w:tc>
          <w:tcPr>
            <w:tcW w:w="1296"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865" w:type="dxa"/>
          </w:tcPr>
          <w:p>
            <w:pPr>
              <w:spacing w:line="440" w:lineRule="exact"/>
              <w:jc w:val="center"/>
              <w:rPr>
                <w:rFonts w:ascii="宋体" w:hAnsi="宋体"/>
                <w:color w:val="000000"/>
                <w:szCs w:val="21"/>
              </w:rPr>
            </w:pPr>
          </w:p>
        </w:tc>
        <w:tc>
          <w:tcPr>
            <w:tcW w:w="863" w:type="dxa"/>
          </w:tcPr>
          <w:p>
            <w:pPr>
              <w:spacing w:line="440" w:lineRule="exact"/>
              <w:jc w:val="center"/>
              <w:rPr>
                <w:rFonts w:ascii="宋体" w:hAnsi="宋体"/>
                <w:color w:val="000000"/>
                <w:szCs w:val="21"/>
              </w:rPr>
            </w:pPr>
          </w:p>
        </w:tc>
        <w:tc>
          <w:tcPr>
            <w:tcW w:w="1661" w:type="dxa"/>
          </w:tcPr>
          <w:p>
            <w:pPr>
              <w:spacing w:line="440" w:lineRule="exact"/>
              <w:jc w:val="center"/>
              <w:rPr>
                <w:rFonts w:ascii="宋体" w:hAnsi="宋体"/>
                <w:color w:val="000000"/>
                <w:szCs w:val="21"/>
              </w:rPr>
            </w:pPr>
          </w:p>
        </w:tc>
        <w:tc>
          <w:tcPr>
            <w:tcW w:w="806" w:type="dxa"/>
          </w:tcPr>
          <w:p>
            <w:pPr>
              <w:spacing w:line="440" w:lineRule="exact"/>
              <w:jc w:val="center"/>
              <w:rPr>
                <w:rFonts w:ascii="宋体" w:hAnsi="宋体"/>
                <w:color w:val="000000"/>
                <w:szCs w:val="21"/>
              </w:rPr>
            </w:pPr>
          </w:p>
        </w:tc>
      </w:tr>
    </w:tbl>
    <w:p>
      <w:pPr>
        <w:topLinePunct/>
        <w:spacing w:line="440" w:lineRule="exact"/>
        <w:jc w:val="center"/>
        <w:rPr>
          <w:rFonts w:ascii="宋体" w:hAnsi="宋体"/>
          <w:color w:val="000000"/>
          <w:sz w:val="20"/>
        </w:rPr>
      </w:pPr>
      <w:r>
        <w:rPr>
          <w:rFonts w:ascii="宋体" w:hAnsi="宋体"/>
          <w:color w:val="000000"/>
          <w:sz w:val="20"/>
        </w:rPr>
        <w:br w:type="page"/>
      </w:r>
    </w:p>
    <w:p>
      <w:pPr>
        <w:pStyle w:val="26"/>
        <w:rPr>
          <w:rFonts w:ascii="宋体" w:hAnsi="宋体" w:eastAsia="宋体"/>
          <w:color w:val="000000"/>
          <w:szCs w:val="23"/>
        </w:rPr>
      </w:pPr>
      <w:bookmarkStart w:id="132" w:name="_Toc246392162"/>
      <w:bookmarkStart w:id="133" w:name="_Toc152042594"/>
      <w:bookmarkStart w:id="134" w:name="_Toc144974873"/>
      <w:bookmarkStart w:id="135" w:name="_Toc25718"/>
      <w:bookmarkStart w:id="136" w:name="_Toc179632825"/>
      <w:bookmarkStart w:id="137" w:name="_Toc152045805"/>
      <w:r>
        <w:rPr>
          <w:rFonts w:hint="eastAsia" w:ascii="宋体" w:hAnsi="宋体" w:eastAsia="宋体"/>
          <w:color w:val="000000"/>
          <w:szCs w:val="23"/>
        </w:rPr>
        <w:t>（二）主要人员简历表</w:t>
      </w:r>
      <w:bookmarkEnd w:id="132"/>
      <w:bookmarkEnd w:id="133"/>
      <w:bookmarkEnd w:id="134"/>
      <w:bookmarkEnd w:id="135"/>
      <w:bookmarkEnd w:id="136"/>
      <w:bookmarkEnd w:id="137"/>
    </w:p>
    <w:p>
      <w:pPr>
        <w:spacing w:line="400" w:lineRule="exact"/>
        <w:ind w:firstLine="480" w:firstLineChars="200"/>
        <w:rPr>
          <w:rFonts w:ascii="宋体" w:hAnsi="宋体"/>
          <w:color w:val="000000"/>
        </w:rPr>
      </w:pPr>
    </w:p>
    <w:p>
      <w:pPr>
        <w:spacing w:line="400" w:lineRule="exact"/>
        <w:ind w:firstLine="480" w:firstLineChars="200"/>
        <w:rPr>
          <w:rFonts w:ascii="宋体" w:hAnsi="宋体"/>
          <w:color w:val="000000"/>
        </w:rPr>
      </w:pPr>
      <w:r>
        <w:rPr>
          <w:rFonts w:hint="eastAsia" w:ascii="宋体" w:hAnsi="宋体"/>
          <w:color w:val="000000"/>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color w:val="000000"/>
          <w:sz w:val="23"/>
          <w:szCs w:val="23"/>
        </w:rPr>
      </w:pPr>
    </w:p>
    <w:tbl>
      <w:tblPr>
        <w:tblStyle w:val="19"/>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color w:val="000000"/>
                <w:sz w:val="22"/>
              </w:rPr>
            </w:pPr>
            <w:r>
              <w:rPr>
                <w:rFonts w:hint="eastAsia" w:ascii="宋体" w:hAnsi="宋体"/>
                <w:color w:val="000000"/>
                <w:sz w:val="22"/>
              </w:rPr>
              <w:t>姓</w:t>
            </w:r>
            <w:r>
              <w:rPr>
                <w:rFonts w:ascii="宋体" w:hAnsi="宋体"/>
                <w:color w:val="000000"/>
                <w:sz w:val="22"/>
              </w:rPr>
              <w:t xml:space="preserve">  </w:t>
            </w:r>
            <w:r>
              <w:rPr>
                <w:rFonts w:hint="eastAsia" w:ascii="宋体" w:hAnsi="宋体"/>
                <w:color w:val="000000"/>
                <w:sz w:val="22"/>
              </w:rPr>
              <w:t>名</w:t>
            </w:r>
          </w:p>
        </w:tc>
        <w:tc>
          <w:tcPr>
            <w:tcW w:w="1079" w:type="dxa"/>
            <w:gridSpan w:val="2"/>
            <w:vAlign w:val="center"/>
          </w:tcPr>
          <w:p>
            <w:pPr>
              <w:spacing w:line="440" w:lineRule="exact"/>
              <w:rPr>
                <w:rFonts w:ascii="宋体" w:hAnsi="宋体"/>
                <w:color w:val="000000"/>
                <w:sz w:val="22"/>
              </w:rPr>
            </w:pPr>
          </w:p>
        </w:tc>
        <w:tc>
          <w:tcPr>
            <w:tcW w:w="927" w:type="dxa"/>
            <w:vAlign w:val="center"/>
          </w:tcPr>
          <w:p>
            <w:pPr>
              <w:spacing w:line="440" w:lineRule="exact"/>
              <w:rPr>
                <w:rFonts w:ascii="宋体" w:hAnsi="宋体"/>
                <w:color w:val="000000"/>
                <w:sz w:val="22"/>
              </w:rPr>
            </w:pPr>
            <w:r>
              <w:rPr>
                <w:rFonts w:hint="eastAsia" w:ascii="宋体" w:hAnsi="宋体"/>
                <w:color w:val="000000"/>
                <w:sz w:val="22"/>
              </w:rPr>
              <w:t>年</w:t>
            </w:r>
            <w:r>
              <w:rPr>
                <w:rFonts w:ascii="宋体" w:hAnsi="宋体"/>
                <w:color w:val="000000"/>
                <w:sz w:val="22"/>
              </w:rPr>
              <w:t xml:space="preserve"> </w:t>
            </w:r>
            <w:r>
              <w:rPr>
                <w:rFonts w:hint="eastAsia" w:ascii="宋体" w:hAnsi="宋体"/>
                <w:color w:val="000000"/>
                <w:sz w:val="22"/>
              </w:rPr>
              <w:t>龄</w:t>
            </w:r>
          </w:p>
        </w:tc>
        <w:tc>
          <w:tcPr>
            <w:tcW w:w="1065" w:type="dxa"/>
            <w:vAlign w:val="center"/>
          </w:tcPr>
          <w:p>
            <w:pPr>
              <w:spacing w:line="440" w:lineRule="exact"/>
              <w:rPr>
                <w:rFonts w:ascii="宋体" w:hAnsi="宋体"/>
                <w:color w:val="000000"/>
                <w:sz w:val="22"/>
              </w:rPr>
            </w:pPr>
          </w:p>
        </w:tc>
        <w:tc>
          <w:tcPr>
            <w:tcW w:w="1784" w:type="dxa"/>
            <w:gridSpan w:val="3"/>
            <w:vAlign w:val="center"/>
          </w:tcPr>
          <w:p>
            <w:pPr>
              <w:spacing w:line="440" w:lineRule="exact"/>
              <w:rPr>
                <w:rFonts w:ascii="宋体" w:hAnsi="宋体"/>
                <w:color w:val="000000"/>
                <w:sz w:val="22"/>
              </w:rPr>
            </w:pPr>
            <w:r>
              <w:rPr>
                <w:rFonts w:hint="eastAsia" w:ascii="宋体" w:hAnsi="宋体"/>
                <w:color w:val="000000"/>
                <w:sz w:val="22"/>
              </w:rPr>
              <w:t>学历</w:t>
            </w:r>
          </w:p>
        </w:tc>
        <w:tc>
          <w:tcPr>
            <w:tcW w:w="2135" w:type="dxa"/>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color w:val="000000"/>
                <w:sz w:val="22"/>
              </w:rPr>
            </w:pPr>
            <w:r>
              <w:rPr>
                <w:rFonts w:hint="eastAsia" w:ascii="宋体" w:hAnsi="宋体"/>
                <w:color w:val="000000"/>
                <w:sz w:val="22"/>
              </w:rPr>
              <w:t>职</w:t>
            </w:r>
            <w:r>
              <w:rPr>
                <w:rFonts w:ascii="宋体" w:hAnsi="宋体"/>
                <w:color w:val="000000"/>
                <w:sz w:val="22"/>
              </w:rPr>
              <w:t xml:space="preserve">  </w:t>
            </w:r>
            <w:r>
              <w:rPr>
                <w:rFonts w:hint="eastAsia" w:ascii="宋体" w:hAnsi="宋体"/>
                <w:color w:val="000000"/>
                <w:sz w:val="22"/>
              </w:rPr>
              <w:t>称</w:t>
            </w:r>
          </w:p>
        </w:tc>
        <w:tc>
          <w:tcPr>
            <w:tcW w:w="1079" w:type="dxa"/>
            <w:gridSpan w:val="2"/>
            <w:vAlign w:val="center"/>
          </w:tcPr>
          <w:p>
            <w:pPr>
              <w:spacing w:line="440" w:lineRule="exact"/>
              <w:rPr>
                <w:rFonts w:ascii="宋体" w:hAnsi="宋体"/>
                <w:color w:val="000000"/>
                <w:sz w:val="22"/>
              </w:rPr>
            </w:pPr>
          </w:p>
        </w:tc>
        <w:tc>
          <w:tcPr>
            <w:tcW w:w="927" w:type="dxa"/>
            <w:vAlign w:val="center"/>
          </w:tcPr>
          <w:p>
            <w:pPr>
              <w:spacing w:line="440" w:lineRule="exact"/>
              <w:rPr>
                <w:rFonts w:ascii="宋体" w:hAnsi="宋体"/>
                <w:color w:val="000000"/>
                <w:sz w:val="22"/>
              </w:rPr>
            </w:pPr>
            <w:r>
              <w:rPr>
                <w:rFonts w:hint="eastAsia" w:ascii="宋体" w:hAnsi="宋体"/>
                <w:color w:val="000000"/>
                <w:sz w:val="22"/>
              </w:rPr>
              <w:t>职</w:t>
            </w:r>
            <w:r>
              <w:rPr>
                <w:rFonts w:ascii="宋体" w:hAnsi="宋体"/>
                <w:color w:val="000000"/>
                <w:sz w:val="22"/>
              </w:rPr>
              <w:t xml:space="preserve"> </w:t>
            </w:r>
            <w:r>
              <w:rPr>
                <w:rFonts w:hint="eastAsia" w:ascii="宋体" w:hAnsi="宋体"/>
                <w:color w:val="000000"/>
                <w:sz w:val="22"/>
              </w:rPr>
              <w:t>务</w:t>
            </w:r>
          </w:p>
        </w:tc>
        <w:tc>
          <w:tcPr>
            <w:tcW w:w="1065" w:type="dxa"/>
            <w:vAlign w:val="center"/>
          </w:tcPr>
          <w:p>
            <w:pPr>
              <w:spacing w:line="440" w:lineRule="exact"/>
              <w:rPr>
                <w:rFonts w:ascii="宋体" w:hAnsi="宋体"/>
                <w:color w:val="000000"/>
                <w:sz w:val="22"/>
              </w:rPr>
            </w:pPr>
          </w:p>
        </w:tc>
        <w:tc>
          <w:tcPr>
            <w:tcW w:w="1784" w:type="dxa"/>
            <w:gridSpan w:val="3"/>
            <w:vAlign w:val="center"/>
          </w:tcPr>
          <w:p>
            <w:pPr>
              <w:spacing w:line="440" w:lineRule="exact"/>
              <w:rPr>
                <w:rFonts w:ascii="宋体" w:hAnsi="宋体"/>
                <w:color w:val="000000"/>
                <w:sz w:val="22"/>
              </w:rPr>
            </w:pPr>
            <w:r>
              <w:rPr>
                <w:rFonts w:hint="eastAsia" w:ascii="宋体" w:hAnsi="宋体"/>
                <w:color w:val="000000"/>
                <w:sz w:val="22"/>
              </w:rPr>
              <w:t>拟在本合同任职</w:t>
            </w:r>
          </w:p>
        </w:tc>
        <w:tc>
          <w:tcPr>
            <w:tcW w:w="2135" w:type="dxa"/>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color w:val="000000"/>
                <w:sz w:val="22"/>
              </w:rPr>
            </w:pPr>
            <w:r>
              <w:rPr>
                <w:rFonts w:hint="eastAsia" w:ascii="宋体" w:hAnsi="宋体"/>
                <w:color w:val="000000"/>
                <w:sz w:val="22"/>
              </w:rPr>
              <w:t>毕业学校</w:t>
            </w:r>
          </w:p>
        </w:tc>
        <w:tc>
          <w:tcPr>
            <w:tcW w:w="6990" w:type="dxa"/>
            <w:gridSpan w:val="8"/>
          </w:tcPr>
          <w:p>
            <w:pPr>
              <w:spacing w:line="440" w:lineRule="exact"/>
              <w:rPr>
                <w:rFonts w:ascii="宋体" w:hAnsi="宋体"/>
                <w:color w:val="000000"/>
                <w:sz w:val="22"/>
              </w:rPr>
            </w:pPr>
            <w:r>
              <w:rPr>
                <w:rFonts w:ascii="宋体" w:hAnsi="宋体"/>
                <w:color w:val="000000"/>
                <w:sz w:val="22"/>
              </w:rPr>
              <w:t xml:space="preserve">      </w:t>
            </w:r>
            <w:r>
              <w:rPr>
                <w:rFonts w:hint="eastAsia" w:ascii="宋体" w:hAnsi="宋体"/>
                <w:color w:val="000000"/>
                <w:sz w:val="22"/>
              </w:rPr>
              <w:t>年毕业于</w:t>
            </w:r>
            <w:r>
              <w:rPr>
                <w:rFonts w:ascii="宋体" w:hAnsi="宋体"/>
                <w:color w:val="000000"/>
                <w:sz w:val="22"/>
              </w:rPr>
              <w:t xml:space="preserve">            </w:t>
            </w:r>
            <w:r>
              <w:rPr>
                <w:rFonts w:hint="eastAsia" w:ascii="宋体" w:hAnsi="宋体"/>
                <w:color w:val="000000"/>
                <w:sz w:val="22"/>
              </w:rPr>
              <w:t>学校</w:t>
            </w:r>
            <w:r>
              <w:rPr>
                <w:rFonts w:ascii="宋体" w:hAnsi="宋体"/>
                <w:color w:val="000000"/>
                <w:sz w:val="22"/>
              </w:rPr>
              <w:t xml:space="preserve">        </w:t>
            </w:r>
            <w:r>
              <w:rPr>
                <w:rFonts w:hint="eastAsia" w:ascii="宋体" w:hAnsi="宋体"/>
                <w:color w:val="000000"/>
                <w:sz w:val="22"/>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color w:val="000000"/>
                <w:sz w:val="22"/>
              </w:rPr>
            </w:pPr>
            <w:r>
              <w:rPr>
                <w:rFonts w:hint="eastAsia" w:ascii="宋体" w:hAnsi="宋体"/>
                <w:color w:val="000000"/>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color w:val="000000"/>
                <w:sz w:val="22"/>
              </w:rPr>
            </w:pPr>
            <w:r>
              <w:rPr>
                <w:rFonts w:hint="eastAsia" w:ascii="宋体" w:hAnsi="宋体"/>
                <w:color w:val="000000"/>
                <w:sz w:val="22"/>
              </w:rPr>
              <w:t>时</w:t>
            </w:r>
            <w:r>
              <w:rPr>
                <w:rFonts w:ascii="宋体" w:hAnsi="宋体"/>
                <w:color w:val="000000"/>
                <w:sz w:val="22"/>
              </w:rPr>
              <w:t xml:space="preserve">  </w:t>
            </w:r>
            <w:r>
              <w:rPr>
                <w:rFonts w:hint="eastAsia" w:ascii="宋体" w:hAnsi="宋体"/>
                <w:color w:val="000000"/>
                <w:sz w:val="22"/>
              </w:rPr>
              <w:t>间</w:t>
            </w:r>
          </w:p>
        </w:tc>
        <w:tc>
          <w:tcPr>
            <w:tcW w:w="3074" w:type="dxa"/>
            <w:gridSpan w:val="4"/>
            <w:vAlign w:val="center"/>
          </w:tcPr>
          <w:p>
            <w:pPr>
              <w:spacing w:line="440" w:lineRule="exact"/>
              <w:rPr>
                <w:rFonts w:ascii="宋体" w:hAnsi="宋体"/>
                <w:color w:val="000000"/>
                <w:sz w:val="22"/>
              </w:rPr>
            </w:pPr>
            <w:r>
              <w:rPr>
                <w:rFonts w:hint="eastAsia" w:ascii="宋体" w:hAnsi="宋体"/>
                <w:color w:val="000000"/>
                <w:sz w:val="22"/>
              </w:rPr>
              <w:t>参加过的类似项目</w:t>
            </w:r>
          </w:p>
        </w:tc>
        <w:tc>
          <w:tcPr>
            <w:tcW w:w="1261" w:type="dxa"/>
            <w:vAlign w:val="center"/>
          </w:tcPr>
          <w:p>
            <w:pPr>
              <w:spacing w:line="440" w:lineRule="exact"/>
              <w:rPr>
                <w:rFonts w:ascii="宋体" w:hAnsi="宋体"/>
                <w:color w:val="000000"/>
                <w:sz w:val="22"/>
              </w:rPr>
            </w:pPr>
            <w:r>
              <w:rPr>
                <w:rFonts w:hint="eastAsia" w:ascii="宋体" w:hAnsi="宋体"/>
                <w:color w:val="000000"/>
                <w:sz w:val="22"/>
              </w:rPr>
              <w:t>担任职务</w:t>
            </w:r>
          </w:p>
        </w:tc>
        <w:tc>
          <w:tcPr>
            <w:tcW w:w="2296" w:type="dxa"/>
            <w:gridSpan w:val="2"/>
            <w:vAlign w:val="center"/>
          </w:tcPr>
          <w:p>
            <w:pPr>
              <w:spacing w:line="440" w:lineRule="exact"/>
              <w:rPr>
                <w:rFonts w:ascii="宋体" w:hAnsi="宋体"/>
                <w:color w:val="000000"/>
                <w:sz w:val="22"/>
              </w:rPr>
            </w:pPr>
            <w:r>
              <w:rPr>
                <w:rFonts w:hint="eastAsia" w:ascii="宋体" w:hAnsi="宋体"/>
                <w:color w:val="000000"/>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color w:val="000000"/>
                <w:sz w:val="22"/>
              </w:rPr>
            </w:pPr>
          </w:p>
        </w:tc>
        <w:tc>
          <w:tcPr>
            <w:tcW w:w="3074" w:type="dxa"/>
            <w:gridSpan w:val="4"/>
          </w:tcPr>
          <w:p>
            <w:pPr>
              <w:spacing w:line="440" w:lineRule="exact"/>
              <w:rPr>
                <w:rFonts w:ascii="宋体" w:hAnsi="宋体"/>
                <w:color w:val="000000"/>
                <w:sz w:val="22"/>
              </w:rPr>
            </w:pPr>
          </w:p>
        </w:tc>
        <w:tc>
          <w:tcPr>
            <w:tcW w:w="1261" w:type="dxa"/>
          </w:tcPr>
          <w:p>
            <w:pPr>
              <w:spacing w:line="440" w:lineRule="exact"/>
              <w:rPr>
                <w:rFonts w:ascii="宋体" w:hAnsi="宋体"/>
                <w:color w:val="000000"/>
                <w:sz w:val="22"/>
              </w:rPr>
            </w:pPr>
          </w:p>
        </w:tc>
        <w:tc>
          <w:tcPr>
            <w:tcW w:w="2296" w:type="dxa"/>
            <w:gridSpan w:val="2"/>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color w:val="000000"/>
                <w:sz w:val="22"/>
              </w:rPr>
            </w:pPr>
          </w:p>
        </w:tc>
        <w:tc>
          <w:tcPr>
            <w:tcW w:w="3074" w:type="dxa"/>
            <w:gridSpan w:val="4"/>
          </w:tcPr>
          <w:p>
            <w:pPr>
              <w:spacing w:line="440" w:lineRule="exact"/>
              <w:rPr>
                <w:rFonts w:ascii="宋体" w:hAnsi="宋体"/>
                <w:color w:val="000000"/>
                <w:sz w:val="22"/>
              </w:rPr>
            </w:pPr>
          </w:p>
        </w:tc>
        <w:tc>
          <w:tcPr>
            <w:tcW w:w="1261" w:type="dxa"/>
          </w:tcPr>
          <w:p>
            <w:pPr>
              <w:spacing w:line="440" w:lineRule="exact"/>
              <w:rPr>
                <w:rFonts w:ascii="宋体" w:hAnsi="宋体"/>
                <w:color w:val="000000"/>
                <w:sz w:val="22"/>
              </w:rPr>
            </w:pPr>
          </w:p>
        </w:tc>
        <w:tc>
          <w:tcPr>
            <w:tcW w:w="2296" w:type="dxa"/>
            <w:gridSpan w:val="2"/>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color w:val="000000"/>
                <w:sz w:val="22"/>
              </w:rPr>
            </w:pPr>
          </w:p>
        </w:tc>
        <w:tc>
          <w:tcPr>
            <w:tcW w:w="3074" w:type="dxa"/>
            <w:gridSpan w:val="4"/>
          </w:tcPr>
          <w:p>
            <w:pPr>
              <w:spacing w:line="440" w:lineRule="exact"/>
              <w:rPr>
                <w:rFonts w:ascii="宋体" w:hAnsi="宋体"/>
                <w:color w:val="000000"/>
                <w:sz w:val="22"/>
              </w:rPr>
            </w:pPr>
          </w:p>
        </w:tc>
        <w:tc>
          <w:tcPr>
            <w:tcW w:w="1261" w:type="dxa"/>
          </w:tcPr>
          <w:p>
            <w:pPr>
              <w:spacing w:line="440" w:lineRule="exact"/>
              <w:rPr>
                <w:rFonts w:ascii="宋体" w:hAnsi="宋体"/>
                <w:color w:val="000000"/>
                <w:sz w:val="22"/>
              </w:rPr>
            </w:pPr>
          </w:p>
        </w:tc>
        <w:tc>
          <w:tcPr>
            <w:tcW w:w="2296" w:type="dxa"/>
            <w:gridSpan w:val="2"/>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color w:val="000000"/>
                <w:sz w:val="22"/>
              </w:rPr>
            </w:pPr>
          </w:p>
        </w:tc>
        <w:tc>
          <w:tcPr>
            <w:tcW w:w="3074" w:type="dxa"/>
            <w:gridSpan w:val="4"/>
            <w:vAlign w:val="center"/>
          </w:tcPr>
          <w:p>
            <w:pPr>
              <w:spacing w:line="440" w:lineRule="exact"/>
              <w:rPr>
                <w:rFonts w:ascii="宋体" w:hAnsi="宋体"/>
                <w:color w:val="000000"/>
                <w:sz w:val="22"/>
              </w:rPr>
            </w:pPr>
          </w:p>
        </w:tc>
        <w:tc>
          <w:tcPr>
            <w:tcW w:w="1261" w:type="dxa"/>
            <w:vAlign w:val="center"/>
          </w:tcPr>
          <w:p>
            <w:pPr>
              <w:spacing w:line="440" w:lineRule="exact"/>
              <w:rPr>
                <w:rFonts w:ascii="宋体" w:hAnsi="宋体"/>
                <w:color w:val="000000"/>
                <w:sz w:val="22"/>
              </w:rPr>
            </w:pPr>
          </w:p>
        </w:tc>
        <w:tc>
          <w:tcPr>
            <w:tcW w:w="2296" w:type="dxa"/>
            <w:gridSpan w:val="2"/>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color w:val="000000"/>
                <w:sz w:val="22"/>
              </w:rPr>
            </w:pPr>
          </w:p>
        </w:tc>
        <w:tc>
          <w:tcPr>
            <w:tcW w:w="3074" w:type="dxa"/>
            <w:gridSpan w:val="4"/>
            <w:vAlign w:val="center"/>
          </w:tcPr>
          <w:p>
            <w:pPr>
              <w:spacing w:line="440" w:lineRule="exact"/>
              <w:rPr>
                <w:rFonts w:ascii="宋体" w:hAnsi="宋体"/>
                <w:color w:val="000000"/>
                <w:sz w:val="22"/>
              </w:rPr>
            </w:pPr>
          </w:p>
        </w:tc>
        <w:tc>
          <w:tcPr>
            <w:tcW w:w="1261" w:type="dxa"/>
            <w:vAlign w:val="center"/>
          </w:tcPr>
          <w:p>
            <w:pPr>
              <w:spacing w:line="440" w:lineRule="exact"/>
              <w:rPr>
                <w:rFonts w:ascii="宋体" w:hAnsi="宋体"/>
                <w:color w:val="000000"/>
                <w:sz w:val="22"/>
              </w:rPr>
            </w:pPr>
          </w:p>
        </w:tc>
        <w:tc>
          <w:tcPr>
            <w:tcW w:w="2296" w:type="dxa"/>
            <w:gridSpan w:val="2"/>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color w:val="000000"/>
                <w:sz w:val="22"/>
              </w:rPr>
            </w:pPr>
          </w:p>
        </w:tc>
        <w:tc>
          <w:tcPr>
            <w:tcW w:w="3074" w:type="dxa"/>
            <w:gridSpan w:val="4"/>
            <w:vAlign w:val="center"/>
          </w:tcPr>
          <w:p>
            <w:pPr>
              <w:spacing w:line="440" w:lineRule="exact"/>
              <w:rPr>
                <w:rFonts w:ascii="宋体" w:hAnsi="宋体"/>
                <w:color w:val="000000"/>
                <w:sz w:val="22"/>
              </w:rPr>
            </w:pPr>
          </w:p>
        </w:tc>
        <w:tc>
          <w:tcPr>
            <w:tcW w:w="1261" w:type="dxa"/>
            <w:vAlign w:val="center"/>
          </w:tcPr>
          <w:p>
            <w:pPr>
              <w:spacing w:line="440" w:lineRule="exact"/>
              <w:rPr>
                <w:rFonts w:ascii="宋体" w:hAnsi="宋体"/>
                <w:color w:val="000000"/>
                <w:sz w:val="22"/>
              </w:rPr>
            </w:pPr>
          </w:p>
        </w:tc>
        <w:tc>
          <w:tcPr>
            <w:tcW w:w="2296" w:type="dxa"/>
            <w:gridSpan w:val="2"/>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color w:val="000000"/>
                <w:sz w:val="22"/>
              </w:rPr>
            </w:pPr>
          </w:p>
        </w:tc>
        <w:tc>
          <w:tcPr>
            <w:tcW w:w="3074" w:type="dxa"/>
            <w:gridSpan w:val="4"/>
            <w:vAlign w:val="center"/>
          </w:tcPr>
          <w:p>
            <w:pPr>
              <w:spacing w:line="440" w:lineRule="exact"/>
              <w:rPr>
                <w:rFonts w:ascii="宋体" w:hAnsi="宋体"/>
                <w:color w:val="000000"/>
                <w:sz w:val="22"/>
              </w:rPr>
            </w:pPr>
          </w:p>
        </w:tc>
        <w:tc>
          <w:tcPr>
            <w:tcW w:w="1261" w:type="dxa"/>
            <w:vAlign w:val="center"/>
          </w:tcPr>
          <w:p>
            <w:pPr>
              <w:spacing w:line="440" w:lineRule="exact"/>
              <w:rPr>
                <w:rFonts w:ascii="宋体" w:hAnsi="宋体"/>
                <w:color w:val="000000"/>
                <w:sz w:val="22"/>
              </w:rPr>
            </w:pPr>
          </w:p>
        </w:tc>
        <w:tc>
          <w:tcPr>
            <w:tcW w:w="2296" w:type="dxa"/>
            <w:gridSpan w:val="2"/>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color w:val="000000"/>
                <w:sz w:val="22"/>
              </w:rPr>
            </w:pPr>
          </w:p>
        </w:tc>
        <w:tc>
          <w:tcPr>
            <w:tcW w:w="3074" w:type="dxa"/>
            <w:gridSpan w:val="4"/>
            <w:vAlign w:val="center"/>
          </w:tcPr>
          <w:p>
            <w:pPr>
              <w:spacing w:line="440" w:lineRule="exact"/>
              <w:rPr>
                <w:rFonts w:ascii="宋体" w:hAnsi="宋体"/>
                <w:color w:val="000000"/>
                <w:sz w:val="22"/>
              </w:rPr>
            </w:pPr>
          </w:p>
        </w:tc>
        <w:tc>
          <w:tcPr>
            <w:tcW w:w="1261" w:type="dxa"/>
            <w:vAlign w:val="center"/>
          </w:tcPr>
          <w:p>
            <w:pPr>
              <w:spacing w:line="440" w:lineRule="exact"/>
              <w:rPr>
                <w:rFonts w:ascii="宋体" w:hAnsi="宋体"/>
                <w:color w:val="000000"/>
                <w:sz w:val="22"/>
              </w:rPr>
            </w:pPr>
          </w:p>
        </w:tc>
        <w:tc>
          <w:tcPr>
            <w:tcW w:w="2296" w:type="dxa"/>
            <w:gridSpan w:val="2"/>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color w:val="000000"/>
                <w:sz w:val="22"/>
              </w:rPr>
            </w:pPr>
          </w:p>
        </w:tc>
        <w:tc>
          <w:tcPr>
            <w:tcW w:w="3074" w:type="dxa"/>
            <w:gridSpan w:val="4"/>
            <w:vAlign w:val="center"/>
          </w:tcPr>
          <w:p>
            <w:pPr>
              <w:spacing w:line="440" w:lineRule="exact"/>
              <w:rPr>
                <w:rFonts w:ascii="宋体" w:hAnsi="宋体"/>
                <w:color w:val="000000"/>
                <w:sz w:val="22"/>
              </w:rPr>
            </w:pPr>
          </w:p>
        </w:tc>
        <w:tc>
          <w:tcPr>
            <w:tcW w:w="1261" w:type="dxa"/>
            <w:vAlign w:val="center"/>
          </w:tcPr>
          <w:p>
            <w:pPr>
              <w:spacing w:line="440" w:lineRule="exact"/>
              <w:rPr>
                <w:rFonts w:ascii="宋体" w:hAnsi="宋体"/>
                <w:color w:val="000000"/>
                <w:sz w:val="22"/>
              </w:rPr>
            </w:pPr>
          </w:p>
        </w:tc>
        <w:tc>
          <w:tcPr>
            <w:tcW w:w="2296" w:type="dxa"/>
            <w:gridSpan w:val="2"/>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color w:val="000000"/>
                <w:sz w:val="22"/>
              </w:rPr>
            </w:pPr>
          </w:p>
        </w:tc>
        <w:tc>
          <w:tcPr>
            <w:tcW w:w="3074" w:type="dxa"/>
            <w:gridSpan w:val="4"/>
            <w:vAlign w:val="center"/>
          </w:tcPr>
          <w:p>
            <w:pPr>
              <w:spacing w:line="440" w:lineRule="exact"/>
              <w:rPr>
                <w:rFonts w:ascii="宋体" w:hAnsi="宋体"/>
                <w:color w:val="000000"/>
                <w:sz w:val="22"/>
              </w:rPr>
            </w:pPr>
          </w:p>
        </w:tc>
        <w:tc>
          <w:tcPr>
            <w:tcW w:w="1261" w:type="dxa"/>
            <w:vAlign w:val="center"/>
          </w:tcPr>
          <w:p>
            <w:pPr>
              <w:spacing w:line="440" w:lineRule="exact"/>
              <w:rPr>
                <w:rFonts w:ascii="宋体" w:hAnsi="宋体"/>
                <w:color w:val="000000"/>
                <w:sz w:val="22"/>
              </w:rPr>
            </w:pPr>
          </w:p>
        </w:tc>
        <w:tc>
          <w:tcPr>
            <w:tcW w:w="2296" w:type="dxa"/>
            <w:gridSpan w:val="2"/>
            <w:vAlign w:val="center"/>
          </w:tcPr>
          <w:p>
            <w:pPr>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color w:val="000000"/>
                <w:sz w:val="22"/>
              </w:rPr>
            </w:pPr>
          </w:p>
        </w:tc>
        <w:tc>
          <w:tcPr>
            <w:tcW w:w="3074" w:type="dxa"/>
            <w:gridSpan w:val="4"/>
            <w:vAlign w:val="center"/>
          </w:tcPr>
          <w:p>
            <w:pPr>
              <w:spacing w:line="440" w:lineRule="exact"/>
              <w:rPr>
                <w:rFonts w:ascii="宋体" w:hAnsi="宋体"/>
                <w:color w:val="000000"/>
                <w:sz w:val="22"/>
              </w:rPr>
            </w:pPr>
          </w:p>
        </w:tc>
        <w:tc>
          <w:tcPr>
            <w:tcW w:w="1261" w:type="dxa"/>
            <w:vAlign w:val="center"/>
          </w:tcPr>
          <w:p>
            <w:pPr>
              <w:spacing w:line="440" w:lineRule="exact"/>
              <w:rPr>
                <w:rFonts w:ascii="宋体" w:hAnsi="宋体"/>
                <w:color w:val="000000"/>
                <w:sz w:val="22"/>
              </w:rPr>
            </w:pPr>
          </w:p>
        </w:tc>
        <w:tc>
          <w:tcPr>
            <w:tcW w:w="2296" w:type="dxa"/>
            <w:gridSpan w:val="2"/>
            <w:vAlign w:val="center"/>
          </w:tcPr>
          <w:p>
            <w:pPr>
              <w:spacing w:line="440" w:lineRule="exact"/>
              <w:rPr>
                <w:rFonts w:ascii="宋体" w:hAnsi="宋体"/>
                <w:color w:val="000000"/>
                <w:sz w:val="22"/>
              </w:rPr>
            </w:pPr>
          </w:p>
        </w:tc>
      </w:tr>
    </w:tbl>
    <w:p>
      <w:pPr>
        <w:spacing w:line="440" w:lineRule="exact"/>
        <w:jc w:val="center"/>
        <w:rPr>
          <w:rFonts w:ascii="宋体" w:hAnsi="宋体" w:cs="Calibri"/>
          <w:color w:val="000000"/>
          <w:sz w:val="32"/>
          <w:szCs w:val="32"/>
        </w:rPr>
      </w:pPr>
      <w:r>
        <w:rPr>
          <w:rFonts w:ascii="宋体" w:hAnsi="宋体"/>
          <w:color w:val="000000"/>
        </w:rPr>
        <w:br w:type="page"/>
      </w:r>
      <w:bookmarkStart w:id="138" w:name="_Toc245036711"/>
      <w:bookmarkStart w:id="139" w:name="_Toc7025"/>
      <w:r>
        <w:rPr>
          <w:rFonts w:hint="eastAsia" w:ascii="宋体" w:hAnsi="宋体" w:cs="Calibri"/>
          <w:color w:val="000000"/>
          <w:sz w:val="32"/>
          <w:szCs w:val="32"/>
        </w:rPr>
        <w:t>七、资格审查资料</w:t>
      </w:r>
      <w:bookmarkEnd w:id="138"/>
      <w:bookmarkEnd w:id="139"/>
    </w:p>
    <w:p>
      <w:pPr>
        <w:topLinePunct/>
        <w:spacing w:line="440" w:lineRule="exact"/>
        <w:jc w:val="center"/>
        <w:rPr>
          <w:rFonts w:ascii="宋体" w:hAnsi="宋体"/>
          <w:color w:val="000000"/>
          <w:sz w:val="27"/>
          <w:szCs w:val="27"/>
        </w:rPr>
      </w:pPr>
    </w:p>
    <w:p>
      <w:pPr>
        <w:pStyle w:val="26"/>
        <w:rPr>
          <w:rFonts w:ascii="宋体" w:hAnsi="宋体" w:eastAsia="宋体"/>
          <w:color w:val="000000"/>
          <w:szCs w:val="23"/>
        </w:rPr>
      </w:pPr>
      <w:bookmarkStart w:id="140" w:name="_Toc17487"/>
      <w:bookmarkStart w:id="141" w:name="_Toc245036712"/>
      <w:bookmarkStart w:id="142" w:name="_Toc144974876"/>
      <w:bookmarkStart w:id="143" w:name="_Toc152042597"/>
      <w:bookmarkStart w:id="144" w:name="_Toc152045808"/>
      <w:r>
        <w:rPr>
          <w:rFonts w:hint="eastAsia" w:ascii="宋体" w:hAnsi="宋体" w:eastAsia="宋体"/>
          <w:color w:val="000000"/>
          <w:szCs w:val="23"/>
        </w:rPr>
        <w:t>（一）投标人基本情况表</w:t>
      </w:r>
      <w:bookmarkEnd w:id="140"/>
      <w:bookmarkEnd w:id="141"/>
      <w:bookmarkEnd w:id="142"/>
      <w:bookmarkEnd w:id="143"/>
      <w:bookmarkEnd w:id="144"/>
    </w:p>
    <w:p>
      <w:pPr>
        <w:topLinePunct/>
        <w:spacing w:line="440" w:lineRule="exact"/>
        <w:jc w:val="center"/>
        <w:rPr>
          <w:rFonts w:ascii="宋体" w:hAnsi="宋体"/>
          <w:color w:val="000000"/>
          <w:sz w:val="23"/>
          <w:szCs w:val="23"/>
        </w:rPr>
      </w:pPr>
    </w:p>
    <w:tbl>
      <w:tblPr>
        <w:tblStyle w:val="19"/>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投标人名称</w:t>
            </w:r>
          </w:p>
        </w:tc>
        <w:tc>
          <w:tcPr>
            <w:tcW w:w="6840" w:type="dxa"/>
            <w:gridSpan w:val="9"/>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邮政编码</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电</w:t>
            </w:r>
            <w:r>
              <w:rPr>
                <w:rFonts w:ascii="宋体" w:hAnsi="宋体"/>
                <w:color w:val="000000"/>
                <w:sz w:val="22"/>
              </w:rPr>
              <w:t xml:space="preserve"> </w:t>
            </w:r>
            <w:r>
              <w:rPr>
                <w:rFonts w:hint="eastAsia" w:ascii="宋体" w:hAnsi="宋体"/>
                <w:color w:val="000000"/>
                <w:sz w:val="22"/>
              </w:rPr>
              <w:t>话</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传</w:t>
            </w:r>
            <w:r>
              <w:rPr>
                <w:rFonts w:ascii="宋体" w:hAnsi="宋体"/>
                <w:color w:val="000000"/>
                <w:sz w:val="22"/>
              </w:rPr>
              <w:t xml:space="preserve">  </w:t>
            </w:r>
            <w:r>
              <w:rPr>
                <w:rFonts w:hint="eastAsia" w:ascii="宋体" w:hAnsi="宋体"/>
                <w:color w:val="000000"/>
                <w:sz w:val="22"/>
              </w:rPr>
              <w:t>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网</w:t>
            </w:r>
            <w:r>
              <w:rPr>
                <w:rFonts w:ascii="宋体" w:hAnsi="宋体"/>
                <w:color w:val="000000"/>
                <w:sz w:val="22"/>
              </w:rPr>
              <w:t xml:space="preserve"> </w:t>
            </w:r>
            <w:r>
              <w:rPr>
                <w:rFonts w:hint="eastAsia" w:ascii="宋体" w:hAnsi="宋体"/>
                <w:color w:val="000000"/>
                <w:sz w:val="22"/>
              </w:rPr>
              <w:t>址</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组织结构</w:t>
            </w:r>
          </w:p>
        </w:tc>
        <w:tc>
          <w:tcPr>
            <w:tcW w:w="6840" w:type="dxa"/>
            <w:gridSpan w:val="9"/>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电话</w:t>
            </w:r>
          </w:p>
        </w:tc>
        <w:tc>
          <w:tcPr>
            <w:tcW w:w="992" w:type="dxa"/>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电话</w:t>
            </w:r>
          </w:p>
        </w:tc>
        <w:tc>
          <w:tcPr>
            <w:tcW w:w="992" w:type="dxa"/>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p>
        </w:tc>
        <w:tc>
          <w:tcPr>
            <w:tcW w:w="4991" w:type="dxa"/>
            <w:gridSpan w:val="7"/>
            <w:tcBorders>
              <w:top w:val="single" w:color="auto" w:sz="4" w:space="0"/>
              <w:left w:val="single" w:color="auto" w:sz="4" w:space="0"/>
              <w:bottom w:val="single" w:color="auto" w:sz="4" w:space="0"/>
            </w:tcBorders>
            <w:vAlign w:val="center"/>
          </w:tcPr>
          <w:p>
            <w:pPr>
              <w:topLinePunct/>
              <w:spacing w:line="440" w:lineRule="exact"/>
              <w:ind w:firstLine="110" w:firstLineChars="50"/>
              <w:jc w:val="center"/>
              <w:rPr>
                <w:rFonts w:ascii="宋体" w:hAnsi="宋体"/>
                <w:color w:val="000000"/>
                <w:sz w:val="22"/>
              </w:rPr>
            </w:pPr>
            <w:r>
              <w:rPr>
                <w:rFonts w:hint="eastAsia" w:ascii="宋体" w:hAnsi="宋体"/>
                <w:color w:val="000000"/>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项目经理</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高级职称人员</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中级职称人员</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初级职称人员</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21"/>
              <w:ind w:left="-23" w:firstLine="440"/>
              <w:rPr>
                <w:rFonts w:ascii="宋体" w:hAnsi="宋体"/>
                <w:color w:val="000000"/>
                <w:sz w:val="22"/>
              </w:rPr>
            </w:pPr>
            <w:r>
              <w:rPr>
                <w:rFonts w:hint="eastAsia" w:ascii="宋体" w:hAnsi="宋体"/>
                <w:color w:val="000000"/>
                <w:sz w:val="22"/>
              </w:rPr>
              <w:t>技</w:t>
            </w:r>
            <w:r>
              <w:rPr>
                <w:rFonts w:ascii="宋体" w:hAnsi="宋体"/>
                <w:color w:val="000000"/>
                <w:sz w:val="22"/>
              </w:rPr>
              <w:t xml:space="preserve">  </w:t>
            </w:r>
            <w:r>
              <w:rPr>
                <w:rFonts w:hint="eastAsia" w:ascii="宋体" w:hAnsi="宋体"/>
                <w:color w:val="000000"/>
                <w:sz w:val="22"/>
              </w:rPr>
              <w:t>工</w:t>
            </w:r>
          </w:p>
        </w:tc>
        <w:tc>
          <w:tcPr>
            <w:tcW w:w="1852"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right w:val="single" w:color="auto" w:sz="4" w:space="0"/>
            </w:tcBorders>
            <w:vAlign w:val="center"/>
          </w:tcPr>
          <w:p>
            <w:pPr>
              <w:topLinePunct/>
              <w:spacing w:line="440" w:lineRule="exact"/>
              <w:ind w:firstLine="220" w:firstLineChars="100"/>
              <w:jc w:val="center"/>
              <w:rPr>
                <w:rFonts w:ascii="宋体" w:hAnsi="宋体"/>
                <w:color w:val="000000"/>
                <w:sz w:val="22"/>
              </w:rPr>
            </w:pPr>
            <w:r>
              <w:rPr>
                <w:rFonts w:hint="eastAsia" w:ascii="宋体" w:hAnsi="宋体"/>
                <w:color w:val="000000"/>
                <w:sz w:val="22"/>
              </w:rPr>
              <w:t>经营范围</w:t>
            </w:r>
          </w:p>
        </w:tc>
        <w:tc>
          <w:tcPr>
            <w:tcW w:w="6840" w:type="dxa"/>
            <w:gridSpan w:val="9"/>
            <w:tcBorders>
              <w:top w:val="single" w:color="auto" w:sz="4" w:space="0"/>
              <w:left w:val="single" w:color="auto" w:sz="4" w:space="0"/>
            </w:tcBorders>
            <w:vAlign w:val="center"/>
          </w:tcPr>
          <w:p>
            <w:pPr>
              <w:topLinePunct/>
              <w:spacing w:line="440" w:lineRule="exact"/>
              <w:jc w:val="center"/>
              <w:rPr>
                <w:rFonts w:ascii="宋体" w:hAnsi="宋体"/>
                <w:color w:val="000000"/>
                <w:sz w:val="22"/>
              </w:rPr>
            </w:pPr>
          </w:p>
          <w:p>
            <w:pPr>
              <w:topLinePunct/>
              <w:spacing w:line="440" w:lineRule="exact"/>
              <w:jc w:val="center"/>
              <w:rPr>
                <w:rFonts w:ascii="宋体" w:hAnsi="宋体"/>
                <w:color w:val="000000"/>
                <w:sz w:val="22"/>
              </w:rPr>
            </w:pPr>
          </w:p>
          <w:p>
            <w:pPr>
              <w:topLinePunct/>
              <w:spacing w:line="440" w:lineRule="exact"/>
              <w:jc w:val="center"/>
              <w:rPr>
                <w:rFonts w:ascii="宋体" w:hAnsi="宋体"/>
                <w:color w:val="000000"/>
                <w:sz w:val="22"/>
              </w:rPr>
            </w:pPr>
          </w:p>
          <w:p>
            <w:pPr>
              <w:topLinePunct/>
              <w:spacing w:line="440" w:lineRule="exact"/>
              <w:jc w:val="center"/>
              <w:rPr>
                <w:rFonts w:ascii="宋体" w:hAnsi="宋体"/>
                <w:color w:val="000000"/>
                <w:sz w:val="22"/>
              </w:rPr>
            </w:pPr>
          </w:p>
          <w:p>
            <w:pPr>
              <w:topLinePunct/>
              <w:spacing w:line="440" w:lineRule="exact"/>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000000"/>
                <w:sz w:val="22"/>
              </w:rPr>
            </w:pPr>
            <w:r>
              <w:rPr>
                <w:rFonts w:hint="eastAsia" w:ascii="宋体" w:hAnsi="宋体"/>
                <w:color w:val="000000"/>
                <w:sz w:val="22"/>
              </w:rPr>
              <w:t>备注</w:t>
            </w:r>
          </w:p>
        </w:tc>
        <w:tc>
          <w:tcPr>
            <w:tcW w:w="6840" w:type="dxa"/>
            <w:gridSpan w:val="9"/>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000000"/>
                <w:sz w:val="22"/>
              </w:rPr>
            </w:pPr>
          </w:p>
        </w:tc>
      </w:tr>
    </w:tbl>
    <w:p>
      <w:pPr>
        <w:spacing w:line="400" w:lineRule="exact"/>
        <w:ind w:firstLine="480" w:firstLineChars="200"/>
        <w:rPr>
          <w:rFonts w:ascii="宋体" w:hAnsi="宋体"/>
          <w:color w:val="000000"/>
        </w:rPr>
      </w:pPr>
      <w:r>
        <w:rPr>
          <w:rFonts w:hint="eastAsia" w:ascii="宋体" w:hAnsi="宋体"/>
          <w:color w:val="000000"/>
        </w:rPr>
        <w:t>附：</w:t>
      </w:r>
      <w:r>
        <w:rPr>
          <w:rFonts w:hint="eastAsia" w:ascii="宋体" w:hAnsi="宋体"/>
          <w:b/>
          <w:color w:val="000000"/>
        </w:rPr>
        <w:t>投标人有效的营业执照、资质证书、安全生产许可证及三类人员证书（和任命文件）、业绩证明材料等复印件。</w:t>
      </w:r>
    </w:p>
    <w:p>
      <w:pPr>
        <w:pStyle w:val="26"/>
        <w:rPr>
          <w:rFonts w:ascii="宋体" w:hAnsi="宋体" w:eastAsia="宋体"/>
          <w:b/>
          <w:color w:val="000000"/>
        </w:rPr>
      </w:pPr>
      <w:bookmarkStart w:id="145" w:name="_Toc16950"/>
      <w:bookmarkStart w:id="146" w:name="_Toc152042598"/>
      <w:bookmarkStart w:id="147" w:name="_Toc152045809"/>
      <w:bookmarkStart w:id="148" w:name="_Toc245036713"/>
      <w:bookmarkStart w:id="149" w:name="_Toc144974877"/>
      <w:r>
        <w:rPr>
          <w:rFonts w:ascii="宋体" w:hAnsi="宋体" w:eastAsia="宋体"/>
          <w:color w:val="000000"/>
        </w:rPr>
        <w:br w:type="page"/>
      </w:r>
      <w:r>
        <w:rPr>
          <w:rFonts w:hint="eastAsia" w:ascii="宋体" w:hAnsi="宋体" w:eastAsia="宋体"/>
          <w:b/>
          <w:color w:val="000000"/>
        </w:rPr>
        <w:t>（二）</w:t>
      </w:r>
      <w:r>
        <w:rPr>
          <w:rFonts w:ascii="宋体" w:hAnsi="宋体" w:eastAsia="宋体"/>
          <w:b/>
          <w:color w:val="000000"/>
        </w:rPr>
        <w:t>提供营业执照复印件并加盖公章；</w:t>
      </w:r>
    </w:p>
    <w:p>
      <w:pPr>
        <w:pStyle w:val="26"/>
        <w:rPr>
          <w:rFonts w:ascii="宋体" w:hAnsi="宋体" w:eastAsia="宋体"/>
          <w:b/>
          <w:color w:val="000000"/>
        </w:rPr>
      </w:pPr>
      <w:r>
        <w:rPr>
          <w:rFonts w:ascii="宋体" w:hAnsi="宋体" w:eastAsia="宋体"/>
          <w:color w:val="000000"/>
        </w:rPr>
        <w:br w:type="page"/>
      </w:r>
      <w:r>
        <w:rPr>
          <w:rFonts w:hint="eastAsia" w:ascii="宋体" w:hAnsi="宋体" w:eastAsia="宋体"/>
          <w:b/>
          <w:bCs/>
          <w:color w:val="000000"/>
        </w:rPr>
        <w:t>（三）</w:t>
      </w:r>
      <w:r>
        <w:rPr>
          <w:rFonts w:hint="eastAsia" w:ascii="宋体" w:hAnsi="宋体" w:eastAsia="宋体"/>
          <w:b/>
          <w:color w:val="000000"/>
        </w:rPr>
        <w:t>投标人具备电子与智能化工程专业承包二级及以上或民航空管工程及机场弱电系统工程专业承包二级及以上资质（需提供证明文件并加盖公章，原件备查）；</w:t>
      </w:r>
      <w:r>
        <w:rPr>
          <w:rFonts w:ascii="宋体" w:hAnsi="宋体" w:eastAsia="宋体"/>
          <w:color w:val="000000"/>
        </w:rPr>
        <w:br w:type="page"/>
      </w:r>
      <w:r>
        <w:rPr>
          <w:rFonts w:hint="eastAsia" w:ascii="宋体" w:hAnsi="宋体" w:eastAsia="宋体"/>
          <w:b/>
          <w:bCs/>
          <w:color w:val="000000"/>
        </w:rPr>
        <w:t>（四）投</w:t>
      </w:r>
      <w:r>
        <w:rPr>
          <w:rFonts w:hint="eastAsia" w:ascii="宋体" w:hAnsi="宋体" w:eastAsia="宋体"/>
          <w:b/>
          <w:color w:val="000000"/>
        </w:rPr>
        <w:t>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pStyle w:val="26"/>
        <w:rPr>
          <w:rFonts w:ascii="宋体" w:hAnsi="宋体" w:eastAsia="宋体"/>
          <w:color w:val="000000"/>
          <w:szCs w:val="23"/>
        </w:rPr>
      </w:pPr>
      <w:r>
        <w:rPr>
          <w:rFonts w:ascii="宋体" w:hAnsi="宋体" w:eastAsia="宋体"/>
          <w:b/>
          <w:color w:val="000000"/>
        </w:rPr>
        <w:br w:type="page"/>
      </w:r>
      <w:r>
        <w:rPr>
          <w:rFonts w:hint="eastAsia" w:ascii="宋体" w:hAnsi="宋体" w:eastAsia="宋体"/>
          <w:b/>
          <w:color w:val="000000"/>
        </w:rPr>
        <w:t xml:space="preserve">（五）项目经理资格要求：具有 </w:t>
      </w:r>
      <w:r>
        <w:rPr>
          <w:rFonts w:hint="eastAsia" w:ascii="宋体" w:hAnsi="宋体" w:eastAsia="宋体"/>
          <w:b/>
          <w:color w:val="000000"/>
          <w:u w:val="single"/>
        </w:rPr>
        <w:t xml:space="preserve"> 机电   专业  贰级  级</w:t>
      </w:r>
      <w:r>
        <w:rPr>
          <w:rFonts w:hint="eastAsia" w:ascii="宋体" w:hAnsi="宋体" w:eastAsia="宋体"/>
          <w:b/>
          <w:color w:val="000000"/>
        </w:rPr>
        <w:t>及以上注册建造师执业证书。</w:t>
      </w:r>
      <w:r>
        <w:rPr>
          <w:rFonts w:ascii="宋体" w:hAnsi="宋体" w:eastAsia="宋体"/>
          <w:color w:val="000000"/>
        </w:rPr>
        <w:br w:type="page"/>
      </w:r>
      <w:r>
        <w:rPr>
          <w:rFonts w:hint="eastAsia" w:ascii="宋体" w:hAnsi="宋体" w:eastAsia="宋体"/>
          <w:color w:val="000000"/>
        </w:rPr>
        <w:t>（六）近年财务状况表</w:t>
      </w:r>
      <w:bookmarkEnd w:id="145"/>
      <w:bookmarkEnd w:id="146"/>
      <w:bookmarkEnd w:id="147"/>
      <w:bookmarkEnd w:id="148"/>
      <w:bookmarkEnd w:id="149"/>
    </w:p>
    <w:p>
      <w:pPr>
        <w:spacing w:line="440" w:lineRule="exact"/>
        <w:rPr>
          <w:rFonts w:ascii="宋体" w:hAnsi="宋体"/>
          <w:color w:val="000000"/>
          <w:sz w:val="23"/>
          <w:szCs w:val="23"/>
        </w:rPr>
      </w:pPr>
      <w:r>
        <w:rPr>
          <w:rFonts w:ascii="宋体" w:hAnsi="宋体"/>
          <w:color w:val="000000"/>
          <w:sz w:val="23"/>
          <w:szCs w:val="23"/>
        </w:rPr>
        <w:br w:type="page"/>
      </w:r>
    </w:p>
    <w:p>
      <w:pPr>
        <w:pStyle w:val="26"/>
        <w:rPr>
          <w:rFonts w:ascii="宋体" w:hAnsi="宋体" w:eastAsia="宋体"/>
          <w:color w:val="000000"/>
          <w:szCs w:val="23"/>
        </w:rPr>
      </w:pPr>
      <w:bookmarkStart w:id="150" w:name="_Toc152045810"/>
      <w:bookmarkStart w:id="151" w:name="_Toc31021"/>
      <w:bookmarkStart w:id="152" w:name="_Toc245036714"/>
      <w:bookmarkStart w:id="153" w:name="_Toc144974878"/>
      <w:bookmarkStart w:id="154" w:name="_Toc152042599"/>
      <w:r>
        <w:rPr>
          <w:rFonts w:hint="eastAsia" w:ascii="宋体" w:hAnsi="宋体" w:eastAsia="宋体"/>
          <w:color w:val="000000"/>
          <w:szCs w:val="23"/>
        </w:rPr>
        <w:t>（七）近三年完成的类似项目情况表</w:t>
      </w:r>
      <w:bookmarkEnd w:id="150"/>
      <w:bookmarkEnd w:id="151"/>
      <w:bookmarkEnd w:id="152"/>
      <w:bookmarkEnd w:id="153"/>
      <w:bookmarkEnd w:id="154"/>
    </w:p>
    <w:p>
      <w:pPr>
        <w:spacing w:line="440" w:lineRule="exact"/>
        <w:jc w:val="center"/>
        <w:rPr>
          <w:rFonts w:ascii="宋体" w:hAnsi="宋体"/>
          <w:color w:val="000000"/>
          <w:sz w:val="23"/>
          <w:szCs w:val="23"/>
        </w:rPr>
      </w:pPr>
    </w:p>
    <w:tbl>
      <w:tblPr>
        <w:tblStyle w:val="19"/>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000000"/>
                <w:szCs w:val="21"/>
              </w:rPr>
            </w:pPr>
            <w:r>
              <w:rPr>
                <w:rFonts w:hint="eastAsia" w:ascii="宋体" w:hAnsi="宋体"/>
                <w:color w:val="000000"/>
                <w:szCs w:val="21"/>
              </w:rPr>
              <w:t>项目名称</w:t>
            </w:r>
          </w:p>
        </w:tc>
        <w:tc>
          <w:tcPr>
            <w:tcW w:w="5927" w:type="dxa"/>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000000"/>
                <w:szCs w:val="21"/>
              </w:rPr>
            </w:pPr>
            <w:bookmarkStart w:id="155" w:name="_Toc13233"/>
            <w:r>
              <w:rPr>
                <w:rFonts w:hint="eastAsia" w:ascii="宋体" w:hAnsi="宋体"/>
                <w:color w:val="000000"/>
                <w:szCs w:val="21"/>
              </w:rPr>
              <w:t>项目所在地</w:t>
            </w:r>
            <w:bookmarkEnd w:id="155"/>
          </w:p>
        </w:tc>
        <w:tc>
          <w:tcPr>
            <w:tcW w:w="5927" w:type="dxa"/>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000000"/>
                <w:szCs w:val="21"/>
              </w:rPr>
            </w:pPr>
            <w:r>
              <w:rPr>
                <w:rFonts w:hint="eastAsia" w:ascii="宋体" w:hAnsi="宋体"/>
                <w:color w:val="000000"/>
                <w:szCs w:val="21"/>
              </w:rPr>
              <w:t>发包人名称</w:t>
            </w:r>
          </w:p>
        </w:tc>
        <w:tc>
          <w:tcPr>
            <w:tcW w:w="5927" w:type="dxa"/>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000000"/>
                <w:szCs w:val="21"/>
              </w:rPr>
            </w:pPr>
            <w:bookmarkStart w:id="156" w:name="_Toc20896"/>
            <w:r>
              <w:rPr>
                <w:rFonts w:hint="eastAsia" w:ascii="宋体" w:hAnsi="宋体"/>
                <w:color w:val="000000"/>
                <w:szCs w:val="21"/>
              </w:rPr>
              <w:t>发包人地址</w:t>
            </w:r>
            <w:bookmarkEnd w:id="156"/>
          </w:p>
        </w:tc>
        <w:tc>
          <w:tcPr>
            <w:tcW w:w="5927" w:type="dxa"/>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000000"/>
                <w:szCs w:val="21"/>
              </w:rPr>
            </w:pPr>
            <w:r>
              <w:rPr>
                <w:rFonts w:hint="eastAsia" w:ascii="宋体" w:hAnsi="宋体"/>
                <w:color w:val="000000"/>
                <w:szCs w:val="21"/>
              </w:rPr>
              <w:t>发包人电话</w:t>
            </w:r>
          </w:p>
        </w:tc>
        <w:tc>
          <w:tcPr>
            <w:tcW w:w="5927" w:type="dxa"/>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000000"/>
                <w:szCs w:val="21"/>
              </w:rPr>
            </w:pPr>
            <w:r>
              <w:rPr>
                <w:rFonts w:hint="eastAsia" w:ascii="宋体" w:hAnsi="宋体"/>
                <w:color w:val="000000"/>
                <w:szCs w:val="21"/>
              </w:rPr>
              <w:t>合同价格</w:t>
            </w:r>
          </w:p>
        </w:tc>
        <w:tc>
          <w:tcPr>
            <w:tcW w:w="5927" w:type="dxa"/>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000000"/>
                <w:szCs w:val="21"/>
              </w:rPr>
            </w:pPr>
            <w:r>
              <w:rPr>
                <w:rFonts w:hint="eastAsia" w:ascii="宋体" w:hAnsi="宋体"/>
                <w:color w:val="000000"/>
                <w:szCs w:val="21"/>
              </w:rPr>
              <w:t>开工日期</w:t>
            </w:r>
          </w:p>
        </w:tc>
        <w:tc>
          <w:tcPr>
            <w:tcW w:w="5927" w:type="dxa"/>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000000"/>
                <w:szCs w:val="21"/>
              </w:rPr>
            </w:pPr>
            <w:r>
              <w:rPr>
                <w:rFonts w:hint="eastAsia" w:ascii="宋体" w:hAnsi="宋体"/>
                <w:color w:val="000000"/>
                <w:szCs w:val="21"/>
              </w:rPr>
              <w:t>竣工日期</w:t>
            </w:r>
          </w:p>
        </w:tc>
        <w:tc>
          <w:tcPr>
            <w:tcW w:w="5927" w:type="dxa"/>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000000"/>
                <w:szCs w:val="21"/>
              </w:rPr>
            </w:pPr>
            <w:bookmarkStart w:id="157" w:name="_Toc3155"/>
            <w:r>
              <w:rPr>
                <w:rFonts w:hint="eastAsia" w:ascii="宋体" w:hAnsi="宋体"/>
                <w:color w:val="000000"/>
                <w:szCs w:val="21"/>
              </w:rPr>
              <w:t>承担的工作</w:t>
            </w:r>
            <w:bookmarkEnd w:id="157"/>
          </w:p>
        </w:tc>
        <w:tc>
          <w:tcPr>
            <w:tcW w:w="5927" w:type="dxa"/>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000000"/>
                <w:szCs w:val="21"/>
              </w:rPr>
            </w:pPr>
            <w:r>
              <w:rPr>
                <w:rFonts w:hint="eastAsia" w:ascii="宋体" w:hAnsi="宋体"/>
                <w:color w:val="000000"/>
                <w:szCs w:val="21"/>
              </w:rPr>
              <w:t>工程质量</w:t>
            </w:r>
          </w:p>
        </w:tc>
        <w:tc>
          <w:tcPr>
            <w:tcW w:w="5927" w:type="dxa"/>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000000"/>
                <w:szCs w:val="21"/>
              </w:rPr>
            </w:pPr>
            <w:r>
              <w:rPr>
                <w:rFonts w:hint="eastAsia" w:ascii="宋体" w:hAnsi="宋体"/>
                <w:color w:val="000000"/>
                <w:szCs w:val="21"/>
              </w:rPr>
              <w:t>项目经理</w:t>
            </w:r>
          </w:p>
        </w:tc>
        <w:tc>
          <w:tcPr>
            <w:tcW w:w="5927" w:type="dxa"/>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000000"/>
                <w:szCs w:val="21"/>
              </w:rPr>
            </w:pPr>
            <w:r>
              <w:rPr>
                <w:rFonts w:hint="eastAsia" w:ascii="宋体" w:hAnsi="宋体"/>
                <w:color w:val="000000"/>
                <w:szCs w:val="21"/>
              </w:rPr>
              <w:t>技术负责人</w:t>
            </w:r>
          </w:p>
        </w:tc>
        <w:tc>
          <w:tcPr>
            <w:tcW w:w="5927" w:type="dxa"/>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000000"/>
                <w:szCs w:val="21"/>
              </w:rPr>
            </w:pPr>
            <w:r>
              <w:rPr>
                <w:rFonts w:hint="eastAsia" w:ascii="宋体" w:hAnsi="宋体"/>
                <w:color w:val="000000"/>
                <w:szCs w:val="21"/>
              </w:rPr>
              <w:t>总监理工程师及电话</w:t>
            </w:r>
          </w:p>
        </w:tc>
        <w:tc>
          <w:tcPr>
            <w:tcW w:w="5927" w:type="dxa"/>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color w:val="000000"/>
                <w:szCs w:val="21"/>
              </w:rPr>
            </w:pPr>
            <w:r>
              <w:rPr>
                <w:rFonts w:hint="eastAsia" w:ascii="宋体" w:hAnsi="宋体"/>
                <w:color w:val="000000"/>
                <w:szCs w:val="21"/>
              </w:rPr>
              <w:t>项目描述</w:t>
            </w:r>
          </w:p>
        </w:tc>
        <w:tc>
          <w:tcPr>
            <w:tcW w:w="5927" w:type="dxa"/>
            <w:vAlign w:val="center"/>
          </w:tcPr>
          <w:p>
            <w:pPr>
              <w:topLinePunct/>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color w:val="000000"/>
                <w:szCs w:val="21"/>
              </w:rPr>
            </w:pPr>
            <w:r>
              <w:rPr>
                <w:rFonts w:hint="eastAsia" w:ascii="宋体" w:hAnsi="宋体"/>
                <w:color w:val="000000"/>
                <w:szCs w:val="21"/>
              </w:rPr>
              <w:t>备注</w:t>
            </w:r>
          </w:p>
        </w:tc>
        <w:tc>
          <w:tcPr>
            <w:tcW w:w="5927" w:type="dxa"/>
            <w:vAlign w:val="center"/>
          </w:tcPr>
          <w:p>
            <w:pPr>
              <w:topLinePunct/>
              <w:spacing w:line="440" w:lineRule="exact"/>
              <w:rPr>
                <w:rFonts w:ascii="宋体" w:hAnsi="宋体"/>
                <w:color w:val="000000"/>
                <w:szCs w:val="21"/>
              </w:rPr>
            </w:pPr>
          </w:p>
        </w:tc>
      </w:tr>
    </w:tbl>
    <w:p>
      <w:pPr>
        <w:pStyle w:val="26"/>
        <w:rPr>
          <w:rFonts w:ascii="宋体" w:hAnsi="宋体" w:eastAsia="宋体"/>
          <w:color w:val="000000"/>
          <w:szCs w:val="23"/>
        </w:rPr>
      </w:pPr>
      <w:bookmarkStart w:id="158" w:name="_Toc245036715"/>
      <w:bookmarkStart w:id="159" w:name="_Toc152045811"/>
      <w:bookmarkStart w:id="160" w:name="_Toc144974879"/>
      <w:bookmarkStart w:id="161" w:name="_Toc152042600"/>
      <w:bookmarkStart w:id="162" w:name="_Toc26600"/>
      <w:r>
        <w:rPr>
          <w:rFonts w:hint="eastAsia" w:ascii="宋体" w:hAnsi="宋体" w:eastAsia="宋体"/>
          <w:b/>
          <w:color w:val="000000"/>
          <w:szCs w:val="23"/>
        </w:rPr>
        <w:t>后附合同复印件、竣工报告复印件。</w:t>
      </w:r>
      <w:r>
        <w:rPr>
          <w:rFonts w:ascii="宋体" w:hAnsi="宋体" w:eastAsia="宋体"/>
          <w:color w:val="000000"/>
          <w:szCs w:val="23"/>
        </w:rPr>
        <w:br w:type="page"/>
      </w:r>
      <w:r>
        <w:rPr>
          <w:rFonts w:hint="eastAsia" w:ascii="宋体" w:hAnsi="宋体" w:eastAsia="宋体"/>
          <w:color w:val="000000"/>
          <w:szCs w:val="23"/>
        </w:rPr>
        <w:t>（八）正在施工的和新承接的项目情况表</w:t>
      </w:r>
      <w:bookmarkEnd w:id="158"/>
      <w:bookmarkEnd w:id="159"/>
      <w:bookmarkEnd w:id="160"/>
      <w:bookmarkEnd w:id="161"/>
      <w:bookmarkEnd w:id="162"/>
    </w:p>
    <w:p>
      <w:pPr>
        <w:keepNext/>
        <w:keepLines/>
        <w:topLinePunct/>
        <w:spacing w:before="240" w:beforeLines="100" w:line="280" w:lineRule="exact"/>
        <w:outlineLvl w:val="2"/>
        <w:rPr>
          <w:rFonts w:ascii="宋体" w:hAnsi="宋体"/>
          <w:b/>
          <w:bCs/>
          <w:color w:val="000000"/>
          <w:szCs w:val="21"/>
        </w:rPr>
      </w:pPr>
    </w:p>
    <w:tbl>
      <w:tblPr>
        <w:tblStyle w:val="19"/>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000000"/>
                <w:szCs w:val="21"/>
              </w:rPr>
            </w:pPr>
            <w:bookmarkStart w:id="163" w:name="_Toc5773"/>
            <w:bookmarkStart w:id="164" w:name="_Toc152042601"/>
            <w:bookmarkStart w:id="165" w:name="_Toc152045812"/>
            <w:bookmarkStart w:id="166" w:name="_Toc245036716"/>
            <w:bookmarkStart w:id="167" w:name="_Toc144974880"/>
            <w:r>
              <w:rPr>
                <w:rFonts w:hint="eastAsia" w:ascii="宋体" w:hAnsi="宋体"/>
                <w:color w:val="000000"/>
                <w:szCs w:val="21"/>
              </w:rPr>
              <w:t>项目名称</w:t>
            </w:r>
            <w:bookmarkEnd w:id="163"/>
          </w:p>
        </w:tc>
        <w:tc>
          <w:tcPr>
            <w:tcW w:w="6480" w:type="dxa"/>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000000"/>
                <w:szCs w:val="21"/>
              </w:rPr>
            </w:pPr>
            <w:r>
              <w:rPr>
                <w:rFonts w:hint="eastAsia" w:ascii="宋体" w:hAnsi="宋体"/>
                <w:color w:val="000000"/>
                <w:szCs w:val="21"/>
              </w:rPr>
              <w:t>项目所在地</w:t>
            </w:r>
          </w:p>
        </w:tc>
        <w:tc>
          <w:tcPr>
            <w:tcW w:w="6480" w:type="dxa"/>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000000"/>
                <w:szCs w:val="21"/>
              </w:rPr>
            </w:pPr>
            <w:r>
              <w:rPr>
                <w:rFonts w:hint="eastAsia" w:ascii="宋体" w:hAnsi="宋体"/>
                <w:color w:val="000000"/>
                <w:szCs w:val="21"/>
              </w:rPr>
              <w:t>发包人名称</w:t>
            </w:r>
          </w:p>
        </w:tc>
        <w:tc>
          <w:tcPr>
            <w:tcW w:w="6480" w:type="dxa"/>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000000"/>
                <w:szCs w:val="21"/>
              </w:rPr>
            </w:pPr>
            <w:r>
              <w:rPr>
                <w:rFonts w:hint="eastAsia" w:ascii="宋体" w:hAnsi="宋体"/>
                <w:color w:val="000000"/>
                <w:szCs w:val="21"/>
              </w:rPr>
              <w:t>发包人地址</w:t>
            </w:r>
          </w:p>
        </w:tc>
        <w:tc>
          <w:tcPr>
            <w:tcW w:w="6480" w:type="dxa"/>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000000"/>
                <w:szCs w:val="21"/>
              </w:rPr>
            </w:pPr>
            <w:r>
              <w:rPr>
                <w:rFonts w:hint="eastAsia" w:ascii="宋体" w:hAnsi="宋体"/>
                <w:color w:val="000000"/>
                <w:szCs w:val="21"/>
              </w:rPr>
              <w:t>发包人电话</w:t>
            </w:r>
          </w:p>
        </w:tc>
        <w:tc>
          <w:tcPr>
            <w:tcW w:w="6480" w:type="dxa"/>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000000"/>
                <w:szCs w:val="21"/>
              </w:rPr>
            </w:pPr>
            <w:r>
              <w:rPr>
                <w:rFonts w:hint="eastAsia" w:ascii="宋体" w:hAnsi="宋体"/>
                <w:color w:val="000000"/>
                <w:szCs w:val="21"/>
              </w:rPr>
              <w:t>签约合同价</w:t>
            </w:r>
          </w:p>
        </w:tc>
        <w:tc>
          <w:tcPr>
            <w:tcW w:w="6480" w:type="dxa"/>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000000"/>
                <w:szCs w:val="21"/>
              </w:rPr>
            </w:pPr>
            <w:r>
              <w:rPr>
                <w:rFonts w:hint="eastAsia" w:ascii="宋体" w:hAnsi="宋体"/>
                <w:color w:val="000000"/>
                <w:szCs w:val="21"/>
              </w:rPr>
              <w:t>开工日期</w:t>
            </w:r>
          </w:p>
        </w:tc>
        <w:tc>
          <w:tcPr>
            <w:tcW w:w="6480" w:type="dxa"/>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000000"/>
                <w:szCs w:val="21"/>
              </w:rPr>
            </w:pPr>
            <w:r>
              <w:rPr>
                <w:rFonts w:hint="eastAsia" w:ascii="宋体" w:hAnsi="宋体"/>
                <w:color w:val="000000"/>
                <w:szCs w:val="21"/>
              </w:rPr>
              <w:t>计划竣工日期</w:t>
            </w:r>
          </w:p>
        </w:tc>
        <w:tc>
          <w:tcPr>
            <w:tcW w:w="6480" w:type="dxa"/>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000000"/>
                <w:szCs w:val="21"/>
              </w:rPr>
            </w:pPr>
            <w:r>
              <w:rPr>
                <w:rFonts w:hint="eastAsia" w:ascii="宋体" w:hAnsi="宋体"/>
                <w:color w:val="000000"/>
                <w:szCs w:val="21"/>
              </w:rPr>
              <w:t>承担的工作</w:t>
            </w:r>
          </w:p>
        </w:tc>
        <w:tc>
          <w:tcPr>
            <w:tcW w:w="6480" w:type="dxa"/>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000000"/>
                <w:szCs w:val="21"/>
              </w:rPr>
            </w:pPr>
            <w:r>
              <w:rPr>
                <w:rFonts w:hint="eastAsia" w:ascii="宋体" w:hAnsi="宋体"/>
                <w:color w:val="000000"/>
                <w:szCs w:val="21"/>
              </w:rPr>
              <w:t>工程质量</w:t>
            </w:r>
          </w:p>
        </w:tc>
        <w:tc>
          <w:tcPr>
            <w:tcW w:w="6480" w:type="dxa"/>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000000"/>
                <w:szCs w:val="21"/>
              </w:rPr>
            </w:pPr>
            <w:r>
              <w:rPr>
                <w:rFonts w:hint="eastAsia" w:ascii="宋体" w:hAnsi="宋体"/>
                <w:color w:val="000000"/>
                <w:szCs w:val="21"/>
              </w:rPr>
              <w:t>项目经理</w:t>
            </w:r>
          </w:p>
        </w:tc>
        <w:tc>
          <w:tcPr>
            <w:tcW w:w="6480" w:type="dxa"/>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000000"/>
                <w:szCs w:val="21"/>
              </w:rPr>
            </w:pPr>
            <w:r>
              <w:rPr>
                <w:rFonts w:hint="eastAsia" w:ascii="宋体" w:hAnsi="宋体"/>
                <w:color w:val="000000"/>
                <w:szCs w:val="21"/>
              </w:rPr>
              <w:t>技术负责人</w:t>
            </w:r>
          </w:p>
        </w:tc>
        <w:tc>
          <w:tcPr>
            <w:tcW w:w="6480" w:type="dxa"/>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000000"/>
                <w:szCs w:val="21"/>
              </w:rPr>
            </w:pPr>
            <w:r>
              <w:rPr>
                <w:rFonts w:hint="eastAsia" w:ascii="宋体" w:hAnsi="宋体"/>
                <w:color w:val="000000"/>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color w:val="000000"/>
                <w:szCs w:val="21"/>
              </w:rPr>
            </w:pPr>
            <w:r>
              <w:rPr>
                <w:rFonts w:hint="eastAsia" w:ascii="宋体" w:hAnsi="宋体"/>
                <w:color w:val="000000"/>
                <w:szCs w:val="21"/>
              </w:rPr>
              <w:t>项目描述</w:t>
            </w:r>
          </w:p>
        </w:tc>
        <w:tc>
          <w:tcPr>
            <w:tcW w:w="6480" w:type="dxa"/>
            <w:vAlign w:val="center"/>
          </w:tcPr>
          <w:p>
            <w:pPr>
              <w:keepNext/>
              <w:keepLines/>
              <w:topLinePunct/>
              <w:spacing w:before="240" w:beforeLines="100" w:line="280" w:lineRule="exact"/>
              <w:outlineLvl w:val="2"/>
              <w:rPr>
                <w:rFonts w:ascii="宋体" w:hAnsi="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color w:val="000000"/>
                <w:szCs w:val="21"/>
              </w:rPr>
            </w:pPr>
            <w:r>
              <w:rPr>
                <w:rFonts w:hint="eastAsia" w:ascii="宋体" w:hAnsi="宋体"/>
                <w:color w:val="000000"/>
                <w:szCs w:val="21"/>
              </w:rPr>
              <w:t>备注</w:t>
            </w:r>
          </w:p>
        </w:tc>
        <w:tc>
          <w:tcPr>
            <w:tcW w:w="6480" w:type="dxa"/>
            <w:vAlign w:val="center"/>
          </w:tcPr>
          <w:p>
            <w:pPr>
              <w:keepNext/>
              <w:keepLines/>
              <w:topLinePunct/>
              <w:spacing w:before="240" w:beforeLines="100" w:line="280" w:lineRule="exact"/>
              <w:outlineLvl w:val="2"/>
              <w:rPr>
                <w:rFonts w:ascii="宋体" w:hAnsi="宋体"/>
                <w:b/>
                <w:bCs/>
                <w:color w:val="000000"/>
                <w:szCs w:val="21"/>
              </w:rPr>
            </w:pPr>
          </w:p>
        </w:tc>
      </w:tr>
      <w:bookmarkEnd w:id="164"/>
      <w:bookmarkEnd w:id="165"/>
      <w:bookmarkEnd w:id="166"/>
      <w:bookmarkEnd w:id="167"/>
    </w:tbl>
    <w:p>
      <w:pPr>
        <w:spacing w:line="440" w:lineRule="exact"/>
        <w:rPr>
          <w:rFonts w:ascii="宋体" w:hAnsi="宋体"/>
          <w:color w:val="000000"/>
          <w:sz w:val="20"/>
          <w:szCs w:val="20"/>
        </w:rPr>
      </w:pPr>
    </w:p>
    <w:p>
      <w:pPr>
        <w:spacing w:line="440" w:lineRule="exact"/>
        <w:jc w:val="center"/>
        <w:rPr>
          <w:rFonts w:ascii="宋体" w:hAnsi="宋体" w:cs="Calibri"/>
          <w:b/>
          <w:color w:val="000000"/>
          <w:sz w:val="32"/>
          <w:szCs w:val="32"/>
        </w:rPr>
      </w:pPr>
      <w:bookmarkStart w:id="168" w:name="_Toc144974881"/>
      <w:bookmarkStart w:id="169" w:name="_Toc152045813"/>
      <w:bookmarkStart w:id="170" w:name="_Toc675"/>
      <w:bookmarkStart w:id="171" w:name="_Toc245036717"/>
      <w:bookmarkStart w:id="172" w:name="_Toc152042602"/>
      <w:r>
        <w:rPr>
          <w:rFonts w:ascii="宋体" w:hAnsi="宋体"/>
          <w:color w:val="000000"/>
        </w:rPr>
        <w:br w:type="page"/>
      </w:r>
      <w:r>
        <w:rPr>
          <w:rFonts w:hint="eastAsia" w:ascii="宋体" w:hAnsi="宋体" w:cs="Calibri"/>
          <w:b/>
          <w:color w:val="000000"/>
          <w:sz w:val="32"/>
          <w:szCs w:val="32"/>
        </w:rPr>
        <w:t>八、</w:t>
      </w:r>
      <w:bookmarkStart w:id="173" w:name="_Toc21221"/>
      <w:bookmarkEnd w:id="168"/>
      <w:bookmarkEnd w:id="169"/>
      <w:bookmarkEnd w:id="170"/>
      <w:bookmarkEnd w:id="171"/>
      <w:bookmarkEnd w:id="172"/>
      <w:r>
        <w:rPr>
          <w:rFonts w:hint="eastAsia" w:ascii="宋体" w:hAnsi="宋体" w:cs="Calibri"/>
          <w:b/>
          <w:color w:val="000000"/>
          <w:sz w:val="32"/>
          <w:szCs w:val="32"/>
        </w:rPr>
        <w:t>投标人认为应该提供的其他材料</w:t>
      </w:r>
    </w:p>
    <w:bookmarkEnd w:id="173"/>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Pr>
        <w:overflowPunct w:val="0"/>
        <w:autoSpaceDE w:val="0"/>
        <w:autoSpaceDN w:val="0"/>
        <w:spacing w:line="440" w:lineRule="exact"/>
        <w:ind w:left="839" w:hanging="839"/>
        <w:jc w:val="center"/>
        <w:rPr>
          <w:rFonts w:ascii="宋体" w:hAnsi="宋体" w:cs="宋体"/>
          <w:b/>
          <w:color w:val="000000"/>
          <w:sz w:val="32"/>
          <w:szCs w:val="32"/>
        </w:rPr>
      </w:pPr>
    </w:p>
    <w:p/>
    <w:p>
      <w:pPr>
        <w:spacing w:line="300" w:lineRule="auto"/>
        <w:rPr>
          <w:rFonts w:ascii="宋体" w:cs="宋体"/>
          <w:b/>
          <w:color w:val="000000"/>
          <w:sz w:val="44"/>
          <w:szCs w:val="44"/>
        </w:rPr>
      </w:pPr>
      <w:r>
        <w:rPr>
          <w:rFonts w:hint="eastAsia" w:eastAsia="黑体"/>
          <w:b/>
          <w:bCs/>
          <w:color w:val="000000"/>
          <w:kern w:val="0"/>
          <w:sz w:val="32"/>
          <w:szCs w:val="32"/>
        </w:rPr>
        <w:t>附件</w:t>
      </w:r>
      <w:r>
        <w:rPr>
          <w:rFonts w:eastAsia="黑体"/>
          <w:b/>
          <w:bCs/>
          <w:color w:val="000000"/>
          <w:kern w:val="0"/>
          <w:sz w:val="32"/>
          <w:szCs w:val="32"/>
        </w:rPr>
        <w:t>1</w:t>
      </w:r>
    </w:p>
    <w:p>
      <w:pPr>
        <w:pStyle w:val="15"/>
      </w:pPr>
      <w:bookmarkStart w:id="174" w:name="_Toc13826051"/>
      <w:bookmarkStart w:id="175" w:name="_Toc17509"/>
      <w:bookmarkStart w:id="176" w:name="_Toc32703"/>
      <w:r>
        <w:rPr>
          <w:rFonts w:hint="eastAsia"/>
        </w:rPr>
        <w:t>技术规格书</w:t>
      </w:r>
      <w:bookmarkEnd w:id="174"/>
      <w:bookmarkEnd w:id="175"/>
      <w:bookmarkEnd w:id="176"/>
    </w:p>
    <w:p>
      <w:pPr>
        <w:pStyle w:val="2"/>
        <w:widowControl/>
        <w:ind w:right="2" w:rightChars="1"/>
        <w:jc w:val="both"/>
        <w:rPr>
          <w:color w:val="000000"/>
        </w:rPr>
      </w:pPr>
      <w:bookmarkStart w:id="177" w:name="_主要设备、软件、服务清单要求"/>
      <w:bookmarkEnd w:id="177"/>
      <w:bookmarkStart w:id="178" w:name="_Toc123028527"/>
      <w:bookmarkStart w:id="179" w:name="_Toc119258084"/>
      <w:bookmarkStart w:id="180" w:name="_Toc118207929"/>
      <w:bookmarkStart w:id="181" w:name="_Toc122958925"/>
      <w:bookmarkStart w:id="182" w:name="_Toc119504303"/>
      <w:bookmarkStart w:id="183" w:name="_Toc386910844"/>
      <w:bookmarkStart w:id="184" w:name="_Toc392056798"/>
      <w:bookmarkStart w:id="185" w:name="_Toc127347639"/>
      <w:bookmarkStart w:id="186" w:name="_Toc118101327"/>
      <w:bookmarkStart w:id="187" w:name="_Toc105213123"/>
      <w:bookmarkStart w:id="188" w:name="_Toc4765"/>
      <w:bookmarkStart w:id="189" w:name="_Toc119378476"/>
      <w:bookmarkStart w:id="190" w:name="_Toc119378288"/>
      <w:bookmarkStart w:id="191" w:name="_Toc118624721"/>
      <w:bookmarkStart w:id="192" w:name="_Toc13826052"/>
      <w:bookmarkStart w:id="193" w:name="_Toc17021"/>
      <w:bookmarkStart w:id="194" w:name="_Toc214177989"/>
      <w:bookmarkStart w:id="195" w:name="_Toc124561160"/>
      <w:bookmarkStart w:id="196" w:name="_1总则"/>
      <w:bookmarkStart w:id="197" w:name="_Toc123028535"/>
      <w:bookmarkStart w:id="198" w:name="_Toc122958933"/>
      <w:bookmarkStart w:id="199" w:name="_Toc127347647"/>
      <w:bookmarkStart w:id="200" w:name="_Toc124561168"/>
      <w:bookmarkStart w:id="201" w:name="_Toc214177997"/>
      <w:bookmarkStart w:id="202" w:name="_Toc119258098"/>
      <w:r>
        <w:rPr>
          <w:rFonts w:cs="黑体"/>
          <w:color w:val="000000"/>
        </w:rPr>
        <w:t>1</w:t>
      </w:r>
      <w:r>
        <w:rPr>
          <w:rFonts w:hint="eastAsia" w:cs="黑体"/>
          <w:color w:val="000000"/>
        </w:rPr>
        <w:t>总则</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bookmarkEnd w:id="196"/>
    <w:p>
      <w:pPr>
        <w:pStyle w:val="3"/>
        <w:keepNext w:val="0"/>
        <w:keepLines w:val="0"/>
        <w:tabs>
          <w:tab w:val="left" w:pos="576"/>
        </w:tabs>
        <w:spacing w:before="0" w:after="0"/>
        <w:ind w:left="576" w:hanging="576"/>
        <w:jc w:val="both"/>
        <w:rPr>
          <w:rFonts w:ascii="Times New Roman" w:hAnsi="Times New Roman"/>
          <w:color w:val="000000"/>
          <w:sz w:val="22"/>
          <w:szCs w:val="22"/>
        </w:rPr>
      </w:pPr>
      <w:bookmarkStart w:id="203" w:name="_Toc122958926"/>
      <w:bookmarkStart w:id="204" w:name="_Toc124561161"/>
      <w:bookmarkStart w:id="205" w:name="_Toc214177990"/>
      <w:bookmarkStart w:id="206" w:name="_Toc392056799"/>
      <w:bookmarkStart w:id="207" w:name="_Toc119258085"/>
      <w:bookmarkStart w:id="208" w:name="_Toc386910845"/>
      <w:bookmarkStart w:id="209" w:name="_Toc127347640"/>
      <w:bookmarkStart w:id="210" w:name="_Toc123028528"/>
      <w:bookmarkStart w:id="211" w:name="_Toc119378477"/>
      <w:bookmarkStart w:id="212" w:name="_Toc119378289"/>
      <w:bookmarkStart w:id="213" w:name="_Toc119504304"/>
      <w:r>
        <w:rPr>
          <w:rFonts w:ascii="Times New Roman" w:hAnsi="Times New Roman"/>
          <w:color w:val="000000"/>
          <w:sz w:val="22"/>
          <w:szCs w:val="22"/>
        </w:rPr>
        <w:t>1.1</w:t>
      </w:r>
      <w:r>
        <w:rPr>
          <w:rFonts w:hint="eastAsia" w:ascii="Times New Roman" w:hAnsi="Times New Roman" w:cs="宋体"/>
          <w:color w:val="000000"/>
          <w:sz w:val="22"/>
          <w:szCs w:val="22"/>
        </w:rPr>
        <w:t>概述</w:t>
      </w:r>
      <w:bookmarkEnd w:id="203"/>
      <w:bookmarkEnd w:id="204"/>
      <w:bookmarkEnd w:id="205"/>
      <w:bookmarkEnd w:id="206"/>
      <w:bookmarkEnd w:id="207"/>
      <w:bookmarkEnd w:id="208"/>
      <w:bookmarkEnd w:id="209"/>
      <w:bookmarkEnd w:id="210"/>
      <w:bookmarkEnd w:id="211"/>
      <w:bookmarkEnd w:id="212"/>
      <w:bookmarkEnd w:id="213"/>
    </w:p>
    <w:p>
      <w:pPr>
        <w:snapToGrid w:val="0"/>
        <w:spacing w:line="360" w:lineRule="auto"/>
        <w:ind w:right="2" w:rightChars="1" w:firstLine="440" w:firstLineChars="200"/>
        <w:rPr>
          <w:rFonts w:ascii="宋体" w:cs="宋体"/>
          <w:b/>
          <w:color w:val="000000"/>
          <w:sz w:val="22"/>
        </w:rPr>
      </w:pPr>
      <w:r>
        <w:rPr>
          <w:rFonts w:hint="eastAsia" w:ascii="宋体" w:hAnsi="宋体" w:cs="宋体"/>
          <w:color w:val="000000"/>
          <w:sz w:val="22"/>
        </w:rPr>
        <w:t>本技术规格书是招标文件的组成部分，内容包括</w:t>
      </w:r>
      <w:r>
        <w:rPr>
          <w:rFonts w:hint="eastAsia" w:ascii="宋体" w:hAnsi="宋体" w:cs="宋体"/>
          <w:sz w:val="22"/>
          <w:u w:val="single"/>
        </w:rPr>
        <w:t>杭州萧山国际机场场区高空监控工程</w:t>
      </w:r>
      <w:r>
        <w:rPr>
          <w:rFonts w:hint="eastAsia" w:ascii="宋体" w:hAnsi="宋体" w:cs="宋体"/>
          <w:color w:val="000000"/>
          <w:sz w:val="22"/>
        </w:rPr>
        <w:t>的主要规格、要求、资料及有关文件。</w:t>
      </w:r>
    </w:p>
    <w:p>
      <w:pPr>
        <w:snapToGrid w:val="0"/>
        <w:spacing w:line="360" w:lineRule="auto"/>
        <w:ind w:right="2" w:rightChars="1" w:firstLine="440" w:firstLineChars="200"/>
        <w:rPr>
          <w:rFonts w:ascii="宋体" w:cs="宋体"/>
          <w:color w:val="000000"/>
          <w:sz w:val="22"/>
        </w:rPr>
      </w:pPr>
      <w:r>
        <w:rPr>
          <w:rFonts w:hint="eastAsia" w:ascii="宋体" w:hAnsi="宋体" w:cs="宋体"/>
          <w:color w:val="000000"/>
          <w:sz w:val="22"/>
        </w:rPr>
        <w:t>投标人必须按招标文件各章节条款的内容合理编制投标文件，并在投标文件中按本技术规格书要求按顺序逐项作出实质性应答，投标文件与本技术规格书内容的任何偏差都必须列入投标文件中的技术规格偏差表。否则，将承担不经任何澄清就被判定为未能满足招标文件要求而废标的风险。中标后中标方在合同谈判中的任何偏差都不得超越此偏差表中已被招标人确认的条款。</w:t>
      </w:r>
    </w:p>
    <w:p>
      <w:pPr>
        <w:snapToGrid w:val="0"/>
        <w:spacing w:line="360" w:lineRule="auto"/>
        <w:ind w:firstLine="440" w:firstLineChars="200"/>
        <w:rPr>
          <w:rFonts w:ascii="宋体" w:cs="宋体"/>
          <w:color w:val="000000"/>
          <w:sz w:val="22"/>
        </w:rPr>
      </w:pPr>
      <w:bookmarkStart w:id="214" w:name="_Toc283888221"/>
      <w:bookmarkStart w:id="215" w:name="_Toc283888180"/>
      <w:r>
        <w:rPr>
          <w:rFonts w:hint="eastAsia" w:ascii="宋体" w:hAnsi="宋体" w:cs="宋体"/>
          <w:color w:val="000000"/>
          <w:sz w:val="22"/>
        </w:rPr>
        <w:t>投标人提供的安防系统必须是全新的未曾使用过的设备。</w:t>
      </w:r>
      <w:bookmarkEnd w:id="214"/>
      <w:bookmarkEnd w:id="215"/>
    </w:p>
    <w:p>
      <w:pPr>
        <w:snapToGrid w:val="0"/>
        <w:spacing w:line="360" w:lineRule="auto"/>
        <w:ind w:right="2" w:rightChars="1" w:firstLine="440" w:firstLineChars="200"/>
        <w:rPr>
          <w:rFonts w:ascii="宋体" w:cs="宋体"/>
          <w:color w:val="000000"/>
          <w:sz w:val="22"/>
        </w:rPr>
      </w:pPr>
      <w:bookmarkStart w:id="216" w:name="_Toc283888181"/>
      <w:bookmarkStart w:id="217" w:name="_Toc283888222"/>
      <w:r>
        <w:rPr>
          <w:rFonts w:hint="eastAsia" w:ascii="宋体" w:hAnsi="宋体" w:cs="宋体"/>
          <w:color w:val="000000"/>
          <w:sz w:val="22"/>
        </w:rPr>
        <w:t>投标人应保证所供安防系统的先进性、可靠性和适用性。</w:t>
      </w:r>
      <w:bookmarkEnd w:id="216"/>
      <w:bookmarkEnd w:id="217"/>
    </w:p>
    <w:p>
      <w:pPr>
        <w:snapToGrid w:val="0"/>
        <w:spacing w:line="360" w:lineRule="auto"/>
        <w:ind w:right="2" w:rightChars="1" w:firstLine="440" w:firstLineChars="200"/>
        <w:rPr>
          <w:rFonts w:ascii="宋体" w:cs="宋体"/>
          <w:color w:val="000000"/>
          <w:sz w:val="22"/>
        </w:rPr>
      </w:pPr>
      <w:bookmarkStart w:id="218" w:name="_Toc283888182"/>
      <w:bookmarkStart w:id="219" w:name="_Toc283888223"/>
      <w:r>
        <w:rPr>
          <w:rFonts w:hint="eastAsia" w:ascii="宋体" w:hAnsi="宋体" w:cs="宋体"/>
          <w:color w:val="000000"/>
          <w:sz w:val="22"/>
        </w:rPr>
        <w:t>投标人应保证所供安防系统的完整性和成套性，能保证安防系统的正常运行和使用。</w:t>
      </w:r>
      <w:bookmarkEnd w:id="218"/>
      <w:bookmarkEnd w:id="219"/>
    </w:p>
    <w:p>
      <w:pPr>
        <w:snapToGrid w:val="0"/>
        <w:spacing w:line="360" w:lineRule="auto"/>
        <w:ind w:right="2" w:rightChars="1" w:firstLine="440" w:firstLineChars="200"/>
        <w:rPr>
          <w:rFonts w:ascii="宋体" w:cs="宋体"/>
          <w:color w:val="000000"/>
          <w:sz w:val="22"/>
        </w:rPr>
      </w:pPr>
      <w:r>
        <w:rPr>
          <w:rFonts w:hint="eastAsia" w:ascii="宋体" w:hAnsi="宋体" w:cs="宋体"/>
          <w:color w:val="000000"/>
          <w:sz w:val="22"/>
        </w:rPr>
        <w:t>投标人应根据招标文件所提出的设备技术规格和服务要求，综合考虑设备的适应性，选择具有最佳性能价格比的设备前来投标，以精良的设备、优良的服务和优惠的价格，充分显示竞争实力。</w:t>
      </w:r>
    </w:p>
    <w:p>
      <w:pPr>
        <w:snapToGrid w:val="0"/>
        <w:spacing w:line="360" w:lineRule="auto"/>
        <w:ind w:right="2" w:rightChars="1" w:firstLine="440" w:firstLineChars="200"/>
        <w:rPr>
          <w:rFonts w:ascii="宋体" w:cs="宋体"/>
          <w:color w:val="000000"/>
          <w:sz w:val="22"/>
        </w:rPr>
      </w:pPr>
      <w:r>
        <w:rPr>
          <w:rFonts w:hint="eastAsia" w:ascii="宋体" w:hAnsi="宋体" w:cs="宋体"/>
          <w:color w:val="000000"/>
          <w:sz w:val="22"/>
        </w:rPr>
        <w:t>投标人须充分考虑在如果中标并履行合同时安防系统升级安装所需的一切费用及进入现场施工安装的施工水电费、设备吊装费、墙洞修补费及隔离区内施工监管费等费用，上述费用均须全部包括在投标报价内否则由以上因素而引起的一切费用均视为已包括在投标总价。</w:t>
      </w:r>
    </w:p>
    <w:p>
      <w:pPr>
        <w:pStyle w:val="4"/>
        <w:keepNext w:val="0"/>
        <w:numPr>
          <w:ilvl w:val="0"/>
          <w:numId w:val="0"/>
        </w:numPr>
        <w:tabs>
          <w:tab w:val="left" w:pos="720"/>
        </w:tabs>
        <w:snapToGrid w:val="0"/>
        <w:spacing w:line="360" w:lineRule="auto"/>
        <w:ind w:right="2" w:rightChars="1"/>
        <w:rPr>
          <w:rFonts w:hAnsi="宋体" w:cs="黑体"/>
          <w:bCs/>
          <w:color w:val="000000"/>
          <w:sz w:val="22"/>
          <w:szCs w:val="22"/>
        </w:rPr>
      </w:pPr>
      <w:bookmarkStart w:id="220" w:name="_Toc119258088"/>
      <w:r>
        <w:rPr>
          <w:rFonts w:ascii="Times New Roman"/>
          <w:bCs/>
          <w:color w:val="000000"/>
          <w:sz w:val="22"/>
          <w:szCs w:val="22"/>
        </w:rPr>
        <w:t>1.1.1</w:t>
      </w:r>
      <w:r>
        <w:rPr>
          <w:rFonts w:hint="eastAsia" w:hAnsi="宋体" w:cs="黑体"/>
          <w:bCs/>
          <w:color w:val="000000"/>
          <w:sz w:val="22"/>
          <w:szCs w:val="22"/>
        </w:rPr>
        <w:t>工程项目概况</w:t>
      </w:r>
      <w:bookmarkEnd w:id="220"/>
    </w:p>
    <w:p>
      <w:pPr>
        <w:adjustRightInd w:val="0"/>
        <w:snapToGrid w:val="0"/>
        <w:spacing w:line="340" w:lineRule="exact"/>
        <w:ind w:firstLine="440" w:firstLineChars="200"/>
        <w:rPr>
          <w:rFonts w:ascii="宋体" w:hAnsi="宋体" w:cs="Arial"/>
          <w:kern w:val="0"/>
          <w:sz w:val="22"/>
        </w:rPr>
      </w:pPr>
      <w:bookmarkStart w:id="221" w:name="_Toc127347641"/>
      <w:bookmarkStart w:id="222" w:name="_Toc124561162"/>
      <w:bookmarkStart w:id="223" w:name="_Toc119258091"/>
      <w:bookmarkStart w:id="224" w:name="_Toc214177991"/>
      <w:bookmarkStart w:id="225" w:name="_Toc119504305"/>
      <w:bookmarkStart w:id="226" w:name="_Toc386910846"/>
      <w:bookmarkStart w:id="227" w:name="_Toc119378478"/>
      <w:bookmarkStart w:id="228" w:name="_Toc392056800"/>
      <w:bookmarkStart w:id="229" w:name="_Toc122958927"/>
      <w:bookmarkStart w:id="230" w:name="_Toc123028529"/>
      <w:bookmarkStart w:id="231" w:name="_Toc119378290"/>
      <w:bookmarkStart w:id="232" w:name="OLE_LINK6"/>
      <w:r>
        <w:rPr>
          <w:rFonts w:hint="eastAsia" w:ascii="宋体" w:hAnsi="宋体" w:cs="Arial"/>
          <w:kern w:val="0"/>
          <w:sz w:val="22"/>
        </w:rPr>
        <w:t>为弥补停车场高空监控缺失的不足，进一步提升场区监控覆盖面，在场内新增</w:t>
      </w:r>
      <w:r>
        <w:rPr>
          <w:rFonts w:ascii="宋体" w:hAnsi="宋体" w:cs="Arial"/>
          <w:kern w:val="0"/>
          <w:sz w:val="22"/>
        </w:rPr>
        <w:t>14</w:t>
      </w:r>
      <w:r>
        <w:rPr>
          <w:rFonts w:hint="eastAsia" w:ascii="宋体" w:hAnsi="宋体" w:cs="Arial"/>
          <w:kern w:val="0"/>
          <w:sz w:val="22"/>
        </w:rPr>
        <w:t>个摄像机，录像存储90天。</w:t>
      </w:r>
    </w:p>
    <w:p>
      <w:pPr>
        <w:pStyle w:val="3"/>
        <w:keepNext w:val="0"/>
        <w:keepLines w:val="0"/>
        <w:tabs>
          <w:tab w:val="left" w:pos="576"/>
        </w:tabs>
        <w:spacing w:before="0" w:after="0"/>
        <w:ind w:left="576" w:hanging="576"/>
        <w:jc w:val="both"/>
        <w:rPr>
          <w:rFonts w:ascii="Times New Roman" w:hAnsi="Times New Roman" w:cs="宋体"/>
          <w:color w:val="000000"/>
          <w:sz w:val="30"/>
          <w:szCs w:val="30"/>
        </w:rPr>
      </w:pPr>
      <w:r>
        <w:rPr>
          <w:rFonts w:ascii="Times New Roman" w:hAnsi="Times New Roman" w:cs="宋体"/>
          <w:color w:val="000000"/>
          <w:sz w:val="30"/>
          <w:szCs w:val="30"/>
        </w:rPr>
        <w:t>1.2</w:t>
      </w:r>
      <w:r>
        <w:rPr>
          <w:rFonts w:hint="eastAsia" w:ascii="Times New Roman" w:hAnsi="Times New Roman" w:cs="宋体"/>
          <w:color w:val="000000"/>
          <w:sz w:val="30"/>
          <w:szCs w:val="30"/>
        </w:rPr>
        <w:t>总体要求</w:t>
      </w:r>
      <w:bookmarkEnd w:id="221"/>
      <w:bookmarkEnd w:id="222"/>
      <w:bookmarkEnd w:id="223"/>
      <w:bookmarkEnd w:id="224"/>
      <w:bookmarkEnd w:id="225"/>
      <w:bookmarkEnd w:id="226"/>
      <w:bookmarkEnd w:id="227"/>
      <w:bookmarkEnd w:id="228"/>
      <w:bookmarkEnd w:id="229"/>
      <w:bookmarkEnd w:id="230"/>
      <w:bookmarkEnd w:id="231"/>
    </w:p>
    <w:bookmarkEnd w:id="232"/>
    <w:p>
      <w:pPr>
        <w:pStyle w:val="4"/>
        <w:keepNext w:val="0"/>
        <w:numPr>
          <w:ilvl w:val="0"/>
          <w:numId w:val="0"/>
        </w:numPr>
        <w:tabs>
          <w:tab w:val="left" w:pos="720"/>
        </w:tabs>
        <w:snapToGrid w:val="0"/>
        <w:spacing w:line="360" w:lineRule="auto"/>
        <w:rPr>
          <w:rFonts w:hAnsi="宋体"/>
          <w:b w:val="0"/>
          <w:bCs/>
          <w:color w:val="000000"/>
          <w:sz w:val="22"/>
          <w:szCs w:val="22"/>
        </w:rPr>
      </w:pPr>
      <w:r>
        <w:rPr>
          <w:rFonts w:hAnsi="宋体"/>
          <w:bCs/>
          <w:color w:val="000000"/>
          <w:sz w:val="22"/>
          <w:szCs w:val="22"/>
        </w:rPr>
        <w:t>1.2.1</w:t>
      </w:r>
      <w:r>
        <w:rPr>
          <w:rFonts w:hint="eastAsia" w:hAnsi="宋体" w:cs="宋体"/>
          <w:b w:val="0"/>
          <w:bCs/>
          <w:color w:val="000000"/>
          <w:sz w:val="22"/>
          <w:szCs w:val="22"/>
        </w:rPr>
        <w:t>投标人须认真阅读本技术规格书，若投标人与招标人对条款的理解不一致或者技术规格书中描述的内容出现前后不一致，以招标人的解释为准。</w:t>
      </w:r>
    </w:p>
    <w:p>
      <w:pPr>
        <w:pStyle w:val="4"/>
        <w:keepNext w:val="0"/>
        <w:numPr>
          <w:ilvl w:val="0"/>
          <w:numId w:val="0"/>
        </w:numPr>
        <w:tabs>
          <w:tab w:val="left" w:pos="720"/>
        </w:tabs>
        <w:snapToGrid w:val="0"/>
        <w:spacing w:line="360" w:lineRule="auto"/>
        <w:rPr>
          <w:rFonts w:hAnsi="宋体"/>
          <w:b w:val="0"/>
          <w:bCs/>
          <w:color w:val="000000"/>
          <w:sz w:val="22"/>
          <w:szCs w:val="22"/>
        </w:rPr>
      </w:pPr>
      <w:r>
        <w:rPr>
          <w:rFonts w:hAnsi="宋体"/>
          <w:bCs/>
          <w:color w:val="000000"/>
          <w:sz w:val="22"/>
          <w:szCs w:val="22"/>
        </w:rPr>
        <w:t>1.2.2</w:t>
      </w:r>
      <w:r>
        <w:rPr>
          <w:rFonts w:hint="eastAsia" w:hAnsi="宋体" w:cs="宋体"/>
          <w:b w:val="0"/>
          <w:bCs/>
          <w:color w:val="000000"/>
          <w:sz w:val="22"/>
          <w:szCs w:val="22"/>
        </w:rPr>
        <w:t>投标人必须根据</w:t>
      </w:r>
      <w:bookmarkStart w:id="233" w:name="OLE_LINK7"/>
      <w:r>
        <w:rPr>
          <w:rFonts w:hint="eastAsia" w:hAnsi="宋体" w:cs="宋体"/>
          <w:b w:val="0"/>
          <w:bCs/>
          <w:color w:val="000000"/>
          <w:sz w:val="22"/>
          <w:szCs w:val="22"/>
        </w:rPr>
        <w:t>本技术规格书的要求在投标时提供投标技术规格书，投标人必须清楚地描述自己对工程范围、业务需求、性能和功能需求的理解，并在投标文件中进行清楚的描述。该描述将作为投标人的承诺，一旦中标后将无条件执行。</w:t>
      </w:r>
    </w:p>
    <w:p>
      <w:pPr>
        <w:pStyle w:val="4"/>
        <w:keepNext w:val="0"/>
        <w:numPr>
          <w:ilvl w:val="0"/>
          <w:numId w:val="0"/>
        </w:numPr>
        <w:tabs>
          <w:tab w:val="left" w:pos="720"/>
        </w:tabs>
        <w:snapToGrid w:val="0"/>
        <w:spacing w:line="360" w:lineRule="auto"/>
        <w:rPr>
          <w:rFonts w:hAnsi="宋体"/>
          <w:b w:val="0"/>
          <w:bCs/>
          <w:color w:val="000000"/>
          <w:sz w:val="22"/>
          <w:szCs w:val="22"/>
        </w:rPr>
      </w:pPr>
      <w:r>
        <w:rPr>
          <w:rFonts w:hAnsi="宋体"/>
          <w:bCs/>
          <w:color w:val="000000"/>
          <w:sz w:val="22"/>
          <w:szCs w:val="22"/>
        </w:rPr>
        <w:t>1.2.3</w:t>
      </w:r>
      <w:bookmarkStart w:id="234" w:name="OLE_LINK15"/>
      <w:r>
        <w:rPr>
          <w:rFonts w:hint="eastAsia" w:hAnsi="宋体" w:cs="宋体"/>
          <w:b w:val="0"/>
          <w:bCs/>
          <w:color w:val="000000"/>
          <w:sz w:val="22"/>
          <w:szCs w:val="22"/>
        </w:rPr>
        <w:t>本技术规格书仅指工程的主要要求，不应作为完整</w:t>
      </w:r>
      <w:bookmarkEnd w:id="233"/>
      <w:r>
        <w:rPr>
          <w:rFonts w:hint="eastAsia" w:hAnsi="宋体" w:cs="宋体"/>
          <w:b w:val="0"/>
          <w:bCs/>
          <w:color w:val="000000"/>
          <w:sz w:val="22"/>
          <w:szCs w:val="22"/>
        </w:rPr>
        <w:t>的详细的要求，投标人应提供完整的详细的系统设计、设备材料配置，并计入投标总价。如果满足本技术规格书所要求的系统功能和性能所需的软件、硬件、服务未列入投标总价，投标人必须在不变更投标总价的前提下予以补足。</w:t>
      </w:r>
    </w:p>
    <w:bookmarkEnd w:id="234"/>
    <w:p>
      <w:pPr>
        <w:pStyle w:val="4"/>
        <w:keepNext w:val="0"/>
        <w:numPr>
          <w:ilvl w:val="0"/>
          <w:numId w:val="0"/>
        </w:numPr>
        <w:tabs>
          <w:tab w:val="left" w:pos="720"/>
        </w:tabs>
        <w:snapToGrid w:val="0"/>
        <w:spacing w:line="360" w:lineRule="auto"/>
        <w:rPr>
          <w:rFonts w:hAnsi="宋体"/>
          <w:b w:val="0"/>
          <w:bCs/>
          <w:color w:val="000000"/>
          <w:sz w:val="22"/>
          <w:szCs w:val="22"/>
        </w:rPr>
      </w:pPr>
      <w:r>
        <w:rPr>
          <w:rFonts w:hAnsi="宋体"/>
          <w:bCs/>
          <w:color w:val="000000"/>
          <w:sz w:val="22"/>
          <w:szCs w:val="22"/>
        </w:rPr>
        <w:t>1.2.4</w:t>
      </w:r>
      <w:r>
        <w:rPr>
          <w:rFonts w:hint="eastAsia" w:hAnsi="宋体" w:cs="宋体"/>
          <w:b w:val="0"/>
          <w:bCs/>
          <w:color w:val="000000"/>
          <w:sz w:val="22"/>
          <w:szCs w:val="22"/>
        </w:rPr>
        <w:t>为满足本技术规格书中要求的系统功能和性能，投标人应提供本技术规格书中未描述的所需的全部设备、附件、软件、工具和服务，费用包含在投标总价内。</w:t>
      </w:r>
    </w:p>
    <w:p>
      <w:pPr>
        <w:pStyle w:val="4"/>
        <w:keepNext w:val="0"/>
        <w:numPr>
          <w:ilvl w:val="0"/>
          <w:numId w:val="0"/>
        </w:numPr>
        <w:tabs>
          <w:tab w:val="left" w:pos="720"/>
        </w:tabs>
        <w:snapToGrid w:val="0"/>
        <w:spacing w:line="360" w:lineRule="auto"/>
        <w:ind w:left="-823" w:leftChars="-343" w:firstLine="753" w:firstLineChars="341"/>
        <w:rPr>
          <w:rFonts w:hAnsi="宋体"/>
          <w:b w:val="0"/>
          <w:bCs/>
          <w:color w:val="000000"/>
          <w:sz w:val="22"/>
          <w:szCs w:val="22"/>
        </w:rPr>
      </w:pPr>
      <w:bookmarkStart w:id="235" w:name="_Toc107240627"/>
      <w:r>
        <w:rPr>
          <w:rFonts w:hAnsi="宋体"/>
          <w:bCs/>
          <w:color w:val="000000"/>
          <w:sz w:val="22"/>
          <w:szCs w:val="22"/>
        </w:rPr>
        <w:t>1.2.5</w:t>
      </w:r>
      <w:r>
        <w:rPr>
          <w:rFonts w:hint="eastAsia" w:hAnsi="宋体" w:cs="宋体"/>
          <w:b w:val="0"/>
          <w:bCs/>
          <w:color w:val="000000"/>
          <w:sz w:val="22"/>
          <w:szCs w:val="22"/>
        </w:rPr>
        <w:t>招标人保留采纳投标人所提供的更为优秀可靠的系统设计方案的权利。</w:t>
      </w:r>
      <w:bookmarkEnd w:id="235"/>
    </w:p>
    <w:p>
      <w:pPr>
        <w:pStyle w:val="4"/>
        <w:keepNext w:val="0"/>
        <w:numPr>
          <w:ilvl w:val="0"/>
          <w:numId w:val="0"/>
        </w:numPr>
        <w:tabs>
          <w:tab w:val="left" w:pos="720"/>
        </w:tabs>
        <w:snapToGrid w:val="0"/>
        <w:spacing w:line="360" w:lineRule="auto"/>
        <w:rPr>
          <w:rFonts w:hAnsi="宋体"/>
          <w:b w:val="0"/>
          <w:bCs/>
          <w:color w:val="000000"/>
          <w:sz w:val="22"/>
          <w:szCs w:val="22"/>
        </w:rPr>
      </w:pPr>
      <w:r>
        <w:rPr>
          <w:rFonts w:hAnsi="宋体"/>
          <w:bCs/>
          <w:color w:val="000000"/>
          <w:sz w:val="22"/>
          <w:szCs w:val="22"/>
        </w:rPr>
        <w:t>1.2.6</w:t>
      </w:r>
      <w:r>
        <w:rPr>
          <w:rFonts w:hint="eastAsia" w:hAnsi="宋体" w:cs="宋体"/>
          <w:b w:val="0"/>
          <w:bCs/>
          <w:color w:val="000000"/>
          <w:sz w:val="22"/>
          <w:szCs w:val="22"/>
        </w:rPr>
        <w:t>投标人必须对所提供产品和系统的技术要求、质量总负责，包括协作和合作制造部分。如果工程涉及几个制造商，投标人在投标时须向招标人提供各制造商的工作范围和责任并提供制造商针对各自工作范围和职责的书面承诺。</w:t>
      </w:r>
    </w:p>
    <w:p>
      <w:pPr>
        <w:pStyle w:val="4"/>
        <w:keepNext w:val="0"/>
        <w:numPr>
          <w:ilvl w:val="0"/>
          <w:numId w:val="0"/>
        </w:numPr>
        <w:tabs>
          <w:tab w:val="left" w:pos="720"/>
        </w:tabs>
        <w:snapToGrid w:val="0"/>
        <w:spacing w:line="360" w:lineRule="auto"/>
        <w:rPr>
          <w:rFonts w:hAnsi="宋体"/>
          <w:b w:val="0"/>
          <w:bCs/>
          <w:color w:val="000000"/>
          <w:sz w:val="22"/>
          <w:szCs w:val="22"/>
        </w:rPr>
      </w:pPr>
      <w:r>
        <w:rPr>
          <w:rFonts w:hAnsi="宋体"/>
          <w:bCs/>
          <w:color w:val="000000"/>
          <w:sz w:val="22"/>
          <w:szCs w:val="22"/>
        </w:rPr>
        <w:t>1.2.7</w:t>
      </w:r>
      <w:r>
        <w:rPr>
          <w:rFonts w:hint="eastAsia" w:hAnsi="宋体" w:cs="宋体"/>
          <w:b w:val="0"/>
          <w:bCs/>
          <w:color w:val="000000"/>
          <w:sz w:val="22"/>
          <w:szCs w:val="22"/>
        </w:rPr>
        <w:t>投标人应仔细研究本技术规格书，在满足规格书所有技术要求的前提下，结合土建结构和系统设备的特点，对本规格书提出的安防系统的设计和系统配置提出更详细的系统方案，并用文字和图纸做详细说明。</w:t>
      </w:r>
    </w:p>
    <w:p>
      <w:pPr>
        <w:pStyle w:val="4"/>
        <w:keepNext w:val="0"/>
        <w:numPr>
          <w:ilvl w:val="0"/>
          <w:numId w:val="0"/>
        </w:numPr>
        <w:tabs>
          <w:tab w:val="left" w:pos="720"/>
        </w:tabs>
        <w:snapToGrid w:val="0"/>
        <w:spacing w:line="360" w:lineRule="auto"/>
        <w:rPr>
          <w:rFonts w:hAnsi="宋体"/>
          <w:b w:val="0"/>
          <w:bCs/>
          <w:color w:val="000000"/>
          <w:sz w:val="22"/>
          <w:szCs w:val="22"/>
        </w:rPr>
      </w:pPr>
      <w:r>
        <w:rPr>
          <w:rFonts w:hAnsi="宋体"/>
          <w:bCs/>
          <w:color w:val="000000"/>
          <w:sz w:val="22"/>
          <w:szCs w:val="22"/>
        </w:rPr>
        <w:t>1.2.8</w:t>
      </w:r>
      <w:r>
        <w:rPr>
          <w:rFonts w:hint="eastAsia" w:hAnsi="宋体" w:cs="宋体"/>
          <w:b w:val="0"/>
          <w:bCs/>
          <w:color w:val="000000"/>
          <w:sz w:val="22"/>
          <w:szCs w:val="22"/>
        </w:rPr>
        <w:t>本技术规范与设计图纸的规定和要求基本是一致的，应互相对照阅读和使用。如本技术规范与设计图纸的规定和要求出现不一致的情况，以本技术规范的规定和要求为准。如果本技术规范与设计图纸中有明显未提到的细节，或在涉及到本技术规范中任何条款的叙述中没有明显的规定，都应被认为指的是采用发包人可以接受的标准和规范。</w:t>
      </w:r>
    </w:p>
    <w:p>
      <w:pPr>
        <w:pStyle w:val="4"/>
        <w:keepNext w:val="0"/>
        <w:numPr>
          <w:ilvl w:val="0"/>
          <w:numId w:val="0"/>
        </w:numPr>
        <w:tabs>
          <w:tab w:val="left" w:pos="720"/>
        </w:tabs>
        <w:snapToGrid w:val="0"/>
        <w:spacing w:line="360" w:lineRule="auto"/>
        <w:rPr>
          <w:rFonts w:hAnsi="宋体"/>
          <w:b w:val="0"/>
          <w:bCs/>
          <w:color w:val="000000"/>
          <w:sz w:val="22"/>
          <w:szCs w:val="22"/>
        </w:rPr>
      </w:pPr>
      <w:r>
        <w:rPr>
          <w:rFonts w:hAnsi="宋体"/>
          <w:bCs/>
          <w:color w:val="000000"/>
          <w:sz w:val="22"/>
          <w:szCs w:val="22"/>
        </w:rPr>
        <w:t>1.2.9</w:t>
      </w:r>
      <w:r>
        <w:rPr>
          <w:rFonts w:hint="eastAsia" w:hAnsi="宋体" w:cs="宋体"/>
          <w:b w:val="0"/>
          <w:bCs/>
          <w:color w:val="000000"/>
          <w:sz w:val="22"/>
          <w:szCs w:val="22"/>
        </w:rPr>
        <w:t>遵循竞争公平、技术客观、利益无关的原则，参与本工程相关的设计、监理、咨询、顾问、评测、测试等活动的公司实体不可参与本工程。</w:t>
      </w:r>
    </w:p>
    <w:p>
      <w:pPr>
        <w:pStyle w:val="4"/>
        <w:keepNext w:val="0"/>
        <w:numPr>
          <w:ilvl w:val="0"/>
          <w:numId w:val="0"/>
        </w:numPr>
        <w:tabs>
          <w:tab w:val="left" w:pos="720"/>
        </w:tabs>
        <w:snapToGrid w:val="0"/>
        <w:spacing w:line="360" w:lineRule="auto"/>
        <w:rPr>
          <w:rFonts w:hAnsi="宋体"/>
          <w:bCs/>
          <w:color w:val="000000"/>
          <w:sz w:val="22"/>
          <w:szCs w:val="22"/>
        </w:rPr>
      </w:pPr>
      <w:bookmarkStart w:id="236" w:name="_Toc107586417"/>
      <w:bookmarkStart w:id="237" w:name="_Toc113810169"/>
      <w:r>
        <w:rPr>
          <w:rFonts w:hAnsi="宋体"/>
          <w:bCs/>
          <w:color w:val="000000"/>
          <w:sz w:val="22"/>
          <w:szCs w:val="22"/>
        </w:rPr>
        <w:t>1.2.10</w:t>
      </w:r>
      <w:r>
        <w:rPr>
          <w:rFonts w:hint="eastAsia" w:hAnsi="宋体" w:cs="宋体"/>
          <w:bCs/>
          <w:color w:val="000000"/>
          <w:sz w:val="22"/>
          <w:szCs w:val="22"/>
        </w:rPr>
        <w:t>系统总体产品及服务质量保证要求</w:t>
      </w:r>
      <w:bookmarkEnd w:id="236"/>
      <w:bookmarkEnd w:id="237"/>
    </w:p>
    <w:p>
      <w:pPr>
        <w:pStyle w:val="5"/>
        <w:keepNext w:val="0"/>
        <w:keepLines w:val="0"/>
        <w:tabs>
          <w:tab w:val="left" w:pos="840"/>
          <w:tab w:val="left" w:pos="900"/>
          <w:tab w:val="left" w:pos="1584"/>
        </w:tabs>
        <w:snapToGrid w:val="0"/>
        <w:spacing w:before="0" w:after="0" w:line="360" w:lineRule="auto"/>
        <w:rPr>
          <w:rFonts w:ascii="宋体" w:hAnsi="宋体" w:eastAsia="宋体"/>
          <w:b w:val="0"/>
          <w:color w:val="000000"/>
          <w:sz w:val="22"/>
          <w:szCs w:val="22"/>
        </w:rPr>
      </w:pPr>
      <w:r>
        <w:rPr>
          <w:rFonts w:ascii="宋体" w:hAnsi="宋体" w:eastAsia="宋体" w:cs="宋体"/>
          <w:color w:val="000000"/>
          <w:sz w:val="22"/>
          <w:szCs w:val="22"/>
        </w:rPr>
        <w:t>1.2.10.1</w:t>
      </w:r>
      <w:r>
        <w:rPr>
          <w:rFonts w:hint="eastAsia" w:ascii="宋体" w:hAnsi="宋体" w:eastAsia="宋体" w:cs="宋体"/>
          <w:b w:val="0"/>
          <w:color w:val="000000"/>
          <w:sz w:val="22"/>
          <w:szCs w:val="22"/>
        </w:rPr>
        <w:t>投标人承诺所提供的软件产品（含系统软件产品和应用软件产品）均为正版软件，允许发包人在本项目中使用。并且一次性提供企业版本终身使用许可，保证发包人免受第三方提出的侵犯其专利权、商标权、著作权或其它知识产权的起诉。</w:t>
      </w:r>
    </w:p>
    <w:p>
      <w:pPr>
        <w:pStyle w:val="5"/>
        <w:keepNext w:val="0"/>
        <w:keepLines w:val="0"/>
        <w:tabs>
          <w:tab w:val="left" w:pos="840"/>
          <w:tab w:val="left" w:pos="900"/>
          <w:tab w:val="left" w:pos="1584"/>
        </w:tabs>
        <w:snapToGrid w:val="0"/>
        <w:spacing w:before="0" w:after="0" w:line="360" w:lineRule="auto"/>
        <w:rPr>
          <w:rFonts w:ascii="宋体" w:hAnsi="宋体" w:eastAsia="宋体"/>
          <w:b w:val="0"/>
          <w:color w:val="000000"/>
          <w:sz w:val="22"/>
          <w:szCs w:val="22"/>
        </w:rPr>
      </w:pPr>
      <w:r>
        <w:rPr>
          <w:rFonts w:ascii="宋体" w:hAnsi="宋体" w:eastAsia="宋体" w:cs="宋体"/>
          <w:color w:val="000000"/>
          <w:sz w:val="22"/>
          <w:szCs w:val="22"/>
        </w:rPr>
        <w:t>1.2.10.2</w:t>
      </w:r>
      <w:r>
        <w:rPr>
          <w:rFonts w:hint="eastAsia" w:ascii="宋体" w:hAnsi="宋体" w:eastAsia="宋体" w:cs="宋体"/>
          <w:b w:val="0"/>
          <w:color w:val="000000"/>
          <w:sz w:val="22"/>
          <w:szCs w:val="22"/>
        </w:rPr>
        <w:t>投标人所提供产品的质量、安装施工工艺、测试手段及方法都应符合最新颁布的标准和规范要求。</w:t>
      </w:r>
    </w:p>
    <w:p>
      <w:pPr>
        <w:pStyle w:val="5"/>
        <w:keepNext w:val="0"/>
        <w:keepLines w:val="0"/>
        <w:tabs>
          <w:tab w:val="left" w:pos="840"/>
          <w:tab w:val="left" w:pos="900"/>
          <w:tab w:val="left" w:pos="1584"/>
        </w:tabs>
        <w:snapToGrid w:val="0"/>
        <w:spacing w:before="0" w:after="0" w:line="360" w:lineRule="auto"/>
        <w:rPr>
          <w:rFonts w:ascii="宋体" w:hAnsi="宋体" w:eastAsia="宋体"/>
          <w:b w:val="0"/>
          <w:color w:val="000000"/>
          <w:sz w:val="22"/>
          <w:szCs w:val="22"/>
        </w:rPr>
      </w:pPr>
      <w:r>
        <w:rPr>
          <w:rFonts w:ascii="宋体" w:hAnsi="宋体" w:eastAsia="宋体" w:cs="宋体"/>
          <w:color w:val="000000"/>
          <w:sz w:val="22"/>
          <w:szCs w:val="22"/>
        </w:rPr>
        <w:t>1.2.10.3</w:t>
      </w:r>
      <w:r>
        <w:rPr>
          <w:rFonts w:hint="eastAsia" w:ascii="宋体" w:hAnsi="宋体" w:eastAsia="宋体" w:cs="宋体"/>
          <w:b w:val="0"/>
          <w:color w:val="000000"/>
          <w:sz w:val="22"/>
          <w:szCs w:val="22"/>
        </w:rPr>
        <w:t>投标人所提供的产品必须是全新的、无破损的，为原厂包装，并符合本技术规格书规定的规格、质量。</w:t>
      </w:r>
    </w:p>
    <w:p>
      <w:pPr>
        <w:pStyle w:val="5"/>
        <w:keepNext w:val="0"/>
        <w:keepLines w:val="0"/>
        <w:tabs>
          <w:tab w:val="left" w:pos="840"/>
          <w:tab w:val="left" w:pos="900"/>
          <w:tab w:val="left" w:pos="1584"/>
        </w:tabs>
        <w:snapToGrid w:val="0"/>
        <w:spacing w:before="0" w:after="0" w:line="360" w:lineRule="auto"/>
        <w:rPr>
          <w:rFonts w:ascii="宋体" w:hAnsi="宋体" w:eastAsia="宋体"/>
          <w:b w:val="0"/>
          <w:color w:val="000000"/>
          <w:sz w:val="22"/>
          <w:szCs w:val="22"/>
        </w:rPr>
      </w:pPr>
      <w:r>
        <w:rPr>
          <w:rFonts w:ascii="宋体" w:hAnsi="宋体" w:eastAsia="宋体" w:cs="宋体"/>
          <w:color w:val="000000"/>
          <w:sz w:val="22"/>
          <w:szCs w:val="22"/>
        </w:rPr>
        <w:t>1.2.10.4</w:t>
      </w:r>
      <w:r>
        <w:rPr>
          <w:rFonts w:hint="eastAsia" w:ascii="宋体" w:hAnsi="宋体" w:eastAsia="宋体" w:cs="宋体"/>
          <w:b w:val="0"/>
          <w:color w:val="000000"/>
          <w:sz w:val="22"/>
          <w:szCs w:val="22"/>
        </w:rPr>
        <w:t>投标技术文件中应提供投标硬件产品的检测证明或产品最新印刷样本。投标文件内容与样本、检测证明内容应保持一致。</w:t>
      </w:r>
    </w:p>
    <w:p>
      <w:pPr>
        <w:pStyle w:val="4"/>
        <w:keepNext w:val="0"/>
        <w:numPr>
          <w:ilvl w:val="0"/>
          <w:numId w:val="0"/>
        </w:numPr>
        <w:tabs>
          <w:tab w:val="left" w:pos="720"/>
        </w:tabs>
        <w:snapToGrid w:val="0"/>
        <w:spacing w:line="360" w:lineRule="auto"/>
        <w:ind w:left="-720"/>
        <w:rPr>
          <w:rFonts w:hAnsi="宋体"/>
          <w:bCs/>
          <w:color w:val="000000"/>
          <w:sz w:val="22"/>
          <w:szCs w:val="22"/>
        </w:rPr>
      </w:pPr>
      <w:bookmarkStart w:id="238" w:name="_Toc113810170"/>
      <w:bookmarkStart w:id="239" w:name="_Toc107586418"/>
      <w:r>
        <w:rPr>
          <w:rFonts w:hint="eastAsia" w:hAnsi="宋体"/>
          <w:bCs/>
          <w:color w:val="000000"/>
          <w:sz w:val="22"/>
          <w:szCs w:val="22"/>
        </w:rPr>
        <w:t xml:space="preserve">      </w:t>
      </w:r>
      <w:r>
        <w:rPr>
          <w:rFonts w:hAnsi="宋体"/>
          <w:bCs/>
          <w:color w:val="000000"/>
          <w:sz w:val="22"/>
          <w:szCs w:val="22"/>
        </w:rPr>
        <w:t>1.2.11</w:t>
      </w:r>
      <w:r>
        <w:rPr>
          <w:rFonts w:hint="eastAsia" w:hAnsi="宋体" w:cs="宋体"/>
          <w:bCs/>
          <w:color w:val="000000"/>
          <w:sz w:val="22"/>
          <w:szCs w:val="22"/>
        </w:rPr>
        <w:t>资料管理要求</w:t>
      </w:r>
      <w:bookmarkEnd w:id="238"/>
      <w:bookmarkEnd w:id="239"/>
    </w:p>
    <w:p>
      <w:pPr>
        <w:snapToGrid w:val="0"/>
        <w:spacing w:line="360" w:lineRule="auto"/>
        <w:ind w:firstLine="440" w:firstLineChars="200"/>
        <w:rPr>
          <w:rFonts w:ascii="宋体"/>
          <w:color w:val="000000"/>
          <w:sz w:val="22"/>
        </w:rPr>
      </w:pPr>
      <w:r>
        <w:rPr>
          <w:rFonts w:hint="eastAsia" w:ascii="宋体" w:hAnsi="宋体" w:cs="宋体"/>
          <w:color w:val="000000"/>
          <w:sz w:val="22"/>
        </w:rPr>
        <w:t>提供的资料（除随机资料外）要求以中文为准。</w:t>
      </w:r>
    </w:p>
    <w:p>
      <w:pPr>
        <w:pStyle w:val="4"/>
        <w:keepNext w:val="0"/>
        <w:numPr>
          <w:ilvl w:val="0"/>
          <w:numId w:val="0"/>
        </w:numPr>
        <w:tabs>
          <w:tab w:val="left" w:pos="720"/>
        </w:tabs>
        <w:snapToGrid w:val="0"/>
        <w:spacing w:line="360" w:lineRule="auto"/>
        <w:ind w:left="-720"/>
        <w:rPr>
          <w:rFonts w:hAnsi="宋体"/>
          <w:bCs/>
          <w:color w:val="000000"/>
          <w:sz w:val="22"/>
          <w:szCs w:val="22"/>
        </w:rPr>
      </w:pPr>
      <w:bookmarkStart w:id="240" w:name="_Toc81122692"/>
      <w:bookmarkStart w:id="241" w:name="_Toc81122749"/>
      <w:bookmarkStart w:id="242" w:name="_Toc81390750"/>
      <w:bookmarkStart w:id="243" w:name="_Toc81378259"/>
      <w:bookmarkStart w:id="244" w:name="_Toc81122222"/>
      <w:bookmarkStart w:id="245" w:name="_Toc51336888"/>
      <w:r>
        <w:rPr>
          <w:rFonts w:hint="eastAsia" w:hAnsi="宋体"/>
          <w:bCs/>
          <w:color w:val="000000"/>
          <w:sz w:val="22"/>
          <w:szCs w:val="22"/>
        </w:rPr>
        <w:t xml:space="preserve">      </w:t>
      </w:r>
      <w:r>
        <w:rPr>
          <w:rFonts w:hAnsi="宋体"/>
          <w:bCs/>
          <w:color w:val="000000"/>
          <w:sz w:val="22"/>
          <w:szCs w:val="22"/>
        </w:rPr>
        <w:t>1.2.12</w:t>
      </w:r>
      <w:r>
        <w:rPr>
          <w:rFonts w:hint="eastAsia" w:hAnsi="宋体" w:cs="宋体"/>
          <w:bCs/>
          <w:color w:val="000000"/>
          <w:sz w:val="22"/>
          <w:szCs w:val="22"/>
        </w:rPr>
        <w:t>工地勘察</w:t>
      </w:r>
      <w:bookmarkEnd w:id="240"/>
      <w:bookmarkEnd w:id="241"/>
      <w:bookmarkEnd w:id="242"/>
      <w:bookmarkEnd w:id="243"/>
      <w:bookmarkEnd w:id="244"/>
      <w:bookmarkEnd w:id="245"/>
    </w:p>
    <w:p>
      <w:pPr>
        <w:pStyle w:val="5"/>
        <w:keepNext w:val="0"/>
        <w:keepLines w:val="0"/>
        <w:tabs>
          <w:tab w:val="left" w:pos="840"/>
          <w:tab w:val="left" w:pos="900"/>
          <w:tab w:val="left" w:pos="1584"/>
        </w:tabs>
        <w:snapToGrid w:val="0"/>
        <w:spacing w:before="0" w:after="0" w:line="360" w:lineRule="auto"/>
        <w:rPr>
          <w:rFonts w:ascii="宋体" w:hAnsi="宋体" w:eastAsia="宋体"/>
          <w:b w:val="0"/>
          <w:color w:val="000000"/>
          <w:sz w:val="22"/>
          <w:szCs w:val="22"/>
        </w:rPr>
      </w:pPr>
      <w:r>
        <w:rPr>
          <w:rFonts w:ascii="宋体" w:hAnsi="宋体" w:eastAsia="宋体" w:cs="宋体"/>
          <w:color w:val="000000"/>
          <w:sz w:val="22"/>
          <w:szCs w:val="22"/>
        </w:rPr>
        <w:t>1.2.12.1</w:t>
      </w:r>
      <w:r>
        <w:rPr>
          <w:rFonts w:hint="eastAsia" w:ascii="宋体" w:hAnsi="宋体" w:eastAsia="宋体" w:cs="宋体"/>
          <w:b w:val="0"/>
          <w:color w:val="000000"/>
          <w:sz w:val="22"/>
          <w:szCs w:val="22"/>
        </w:rPr>
        <w:t>投标人应对工程现场及其周围环境进行现场考察，以获取与投标准备、签署合同和进场施工有关的所有资料和信息。考察现场的费用由投标人承担。</w:t>
      </w:r>
    </w:p>
    <w:p>
      <w:pPr>
        <w:pStyle w:val="5"/>
        <w:keepNext w:val="0"/>
        <w:keepLines w:val="0"/>
        <w:tabs>
          <w:tab w:val="left" w:pos="840"/>
          <w:tab w:val="left" w:pos="900"/>
          <w:tab w:val="left" w:pos="1584"/>
        </w:tabs>
        <w:snapToGrid w:val="0"/>
        <w:spacing w:before="0" w:after="0" w:line="360" w:lineRule="auto"/>
        <w:rPr>
          <w:rFonts w:ascii="宋体" w:hAnsi="宋体" w:eastAsia="宋体"/>
          <w:b w:val="0"/>
          <w:color w:val="000000"/>
          <w:sz w:val="22"/>
          <w:szCs w:val="22"/>
        </w:rPr>
      </w:pPr>
      <w:r>
        <w:rPr>
          <w:rFonts w:ascii="宋体" w:hAnsi="宋体" w:eastAsia="宋体" w:cs="宋体"/>
          <w:color w:val="000000"/>
          <w:sz w:val="22"/>
          <w:szCs w:val="22"/>
        </w:rPr>
        <w:t xml:space="preserve">1.2.12.2 </w:t>
      </w:r>
      <w:bookmarkStart w:id="246" w:name="OLE_LINK8"/>
      <w:r>
        <w:rPr>
          <w:rFonts w:hint="eastAsia" w:ascii="宋体" w:hAnsi="宋体" w:eastAsia="宋体" w:cs="宋体"/>
          <w:b w:val="0"/>
          <w:color w:val="000000"/>
          <w:sz w:val="22"/>
          <w:szCs w:val="22"/>
        </w:rPr>
        <w:t>经发包人允许和事先安排，投标人及其代表方能进入现场进行勘察。投标人及其代表不得让发包人为现场考察负任何责任。投标人及其代表必须承担其进入现场后，由于自身的行为所造成的人身伤害（不管是否致命）、财产损失或损坏的后果与责任。</w:t>
      </w:r>
    </w:p>
    <w:bookmarkEnd w:id="246"/>
    <w:p>
      <w:pPr>
        <w:pStyle w:val="5"/>
        <w:keepNext w:val="0"/>
        <w:keepLines w:val="0"/>
        <w:tabs>
          <w:tab w:val="left" w:pos="840"/>
          <w:tab w:val="left" w:pos="900"/>
          <w:tab w:val="left" w:pos="1584"/>
        </w:tabs>
        <w:snapToGrid w:val="0"/>
        <w:spacing w:before="0" w:after="0" w:line="360" w:lineRule="auto"/>
        <w:rPr>
          <w:rFonts w:ascii="宋体" w:hAnsi="宋体" w:eastAsia="宋体" w:cs="宋体"/>
          <w:b w:val="0"/>
          <w:color w:val="000000"/>
          <w:sz w:val="22"/>
          <w:szCs w:val="22"/>
        </w:rPr>
      </w:pPr>
      <w:r>
        <w:rPr>
          <w:rFonts w:ascii="宋体" w:hAnsi="宋体" w:eastAsia="宋体" w:cs="宋体"/>
          <w:color w:val="000000"/>
          <w:sz w:val="22"/>
          <w:szCs w:val="22"/>
        </w:rPr>
        <w:t>1.2.12.3</w:t>
      </w:r>
      <w:r>
        <w:rPr>
          <w:rFonts w:ascii="宋体" w:hAnsi="宋体" w:eastAsia="宋体" w:cs="宋体"/>
          <w:b w:val="0"/>
          <w:color w:val="000000"/>
          <w:sz w:val="22"/>
          <w:szCs w:val="22"/>
        </w:rPr>
        <w:t xml:space="preserve"> </w:t>
      </w:r>
      <w:r>
        <w:rPr>
          <w:rFonts w:hint="eastAsia" w:ascii="宋体" w:hAnsi="宋体" w:eastAsia="宋体" w:cs="宋体"/>
          <w:b w:val="0"/>
          <w:color w:val="000000"/>
          <w:sz w:val="22"/>
          <w:szCs w:val="22"/>
        </w:rPr>
        <w:t>投标人的一切人员在进入工地时，须遵守发包人的所有规定和条例。</w:t>
      </w:r>
    </w:p>
    <w:p>
      <w:pPr>
        <w:pStyle w:val="3"/>
        <w:keepNext w:val="0"/>
        <w:keepLines w:val="0"/>
        <w:tabs>
          <w:tab w:val="left" w:pos="576"/>
        </w:tabs>
        <w:spacing w:before="0" w:after="0"/>
        <w:ind w:left="576" w:hanging="576"/>
        <w:jc w:val="both"/>
        <w:rPr>
          <w:rFonts w:ascii="Times New Roman" w:hAnsi="Times New Roman"/>
          <w:color w:val="000000"/>
          <w:sz w:val="30"/>
          <w:szCs w:val="30"/>
        </w:rPr>
      </w:pPr>
      <w:bookmarkStart w:id="247" w:name="_Toc392056802"/>
      <w:bookmarkStart w:id="248" w:name="_Toc119258094"/>
      <w:bookmarkStart w:id="249" w:name="_Toc127347643"/>
      <w:bookmarkStart w:id="250" w:name="_Toc386910848"/>
      <w:bookmarkStart w:id="251" w:name="_Toc123028531"/>
      <w:bookmarkStart w:id="252" w:name="_Toc214177993"/>
      <w:bookmarkStart w:id="253" w:name="_Toc122958929"/>
      <w:bookmarkStart w:id="254" w:name="_Toc124561164"/>
      <w:bookmarkStart w:id="255" w:name="_Toc119258096"/>
      <w:r>
        <w:rPr>
          <w:rFonts w:ascii="Times New Roman" w:hAnsi="Times New Roman"/>
          <w:color w:val="000000"/>
          <w:sz w:val="30"/>
          <w:szCs w:val="30"/>
        </w:rPr>
        <w:t>1.3</w:t>
      </w:r>
      <w:r>
        <w:rPr>
          <w:rFonts w:hint="eastAsia" w:ascii="Times New Roman" w:hAnsi="Times New Roman" w:cs="宋体"/>
          <w:color w:val="000000"/>
          <w:sz w:val="30"/>
          <w:szCs w:val="30"/>
        </w:rPr>
        <w:t>标准和规范</w:t>
      </w:r>
      <w:bookmarkEnd w:id="247"/>
      <w:bookmarkEnd w:id="248"/>
      <w:bookmarkEnd w:id="249"/>
      <w:bookmarkEnd w:id="250"/>
      <w:bookmarkEnd w:id="251"/>
      <w:bookmarkEnd w:id="252"/>
      <w:bookmarkEnd w:id="253"/>
      <w:bookmarkEnd w:id="254"/>
    </w:p>
    <w:p>
      <w:pPr>
        <w:pStyle w:val="5"/>
        <w:keepNext w:val="0"/>
        <w:keepLines w:val="0"/>
        <w:tabs>
          <w:tab w:val="left" w:pos="840"/>
          <w:tab w:val="left" w:pos="900"/>
          <w:tab w:val="left" w:pos="1584"/>
        </w:tabs>
        <w:snapToGrid w:val="0"/>
        <w:spacing w:before="0" w:after="0" w:line="360" w:lineRule="auto"/>
        <w:rPr>
          <w:rFonts w:ascii="Times New Roman" w:hAnsi="Times New Roman"/>
          <w:b w:val="0"/>
          <w:color w:val="000000"/>
          <w:sz w:val="22"/>
          <w:szCs w:val="22"/>
        </w:rPr>
      </w:pPr>
      <w:r>
        <w:rPr>
          <w:rFonts w:ascii="Times New Roman" w:hAnsi="Times New Roman"/>
          <w:color w:val="000000"/>
          <w:sz w:val="22"/>
          <w:szCs w:val="22"/>
        </w:rPr>
        <w:t>1.3.1</w:t>
      </w:r>
      <w:r>
        <w:rPr>
          <w:rFonts w:hint="eastAsia" w:ascii="Times New Roman" w:hAnsi="Times New Roman" w:eastAsia="宋体" w:cs="宋体"/>
          <w:b w:val="0"/>
          <w:color w:val="000000"/>
          <w:sz w:val="22"/>
          <w:szCs w:val="22"/>
        </w:rPr>
        <w:t>投标人所提供的设备及系统至少符合下列标准和规范这些标准应包括但不限于：</w:t>
      </w:r>
    </w:p>
    <w:p>
      <w:pPr>
        <w:pStyle w:val="4"/>
        <w:keepNext w:val="0"/>
        <w:numPr>
          <w:ilvl w:val="0"/>
          <w:numId w:val="5"/>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民用建筑电气设计规范</w:t>
      </w:r>
      <w:r>
        <w:rPr>
          <w:b w:val="0"/>
          <w:bCs/>
          <w:color w:val="000000"/>
          <w:sz w:val="22"/>
          <w:szCs w:val="22"/>
        </w:rPr>
        <w:t xml:space="preserve"> JGJ/T16-92</w:t>
      </w:r>
      <w:r>
        <w:rPr>
          <w:rFonts w:hint="eastAsia" w:ascii="Times New Roman" w:cs="宋体"/>
          <w:b w:val="0"/>
          <w:bCs/>
          <w:color w:val="000000"/>
          <w:sz w:val="22"/>
          <w:szCs w:val="22"/>
        </w:rPr>
        <w:t>；</w:t>
      </w:r>
    </w:p>
    <w:p>
      <w:pPr>
        <w:pStyle w:val="4"/>
        <w:keepNext w:val="0"/>
        <w:numPr>
          <w:ilvl w:val="0"/>
          <w:numId w:val="5"/>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中国电气装置安装工程施工及验收规范</w:t>
      </w:r>
      <w:r>
        <w:rPr>
          <w:b w:val="0"/>
          <w:bCs/>
          <w:color w:val="000000"/>
          <w:sz w:val="22"/>
          <w:szCs w:val="22"/>
        </w:rPr>
        <w:t xml:space="preserve"> GBJ232-82</w:t>
      </w:r>
      <w:r>
        <w:rPr>
          <w:rFonts w:hint="eastAsia" w:ascii="Times New Roman" w:cs="宋体"/>
          <w:b w:val="0"/>
          <w:bCs/>
          <w:color w:val="000000"/>
          <w:sz w:val="22"/>
          <w:szCs w:val="22"/>
        </w:rPr>
        <w:t>；</w:t>
      </w:r>
    </w:p>
    <w:p>
      <w:pPr>
        <w:pStyle w:val="4"/>
        <w:keepNext w:val="0"/>
        <w:numPr>
          <w:ilvl w:val="0"/>
          <w:numId w:val="5"/>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国际民航组织理事会“国际标准和建议措施《附件</w:t>
      </w:r>
      <w:r>
        <w:rPr>
          <w:b w:val="0"/>
          <w:bCs/>
          <w:color w:val="000000"/>
          <w:sz w:val="22"/>
          <w:szCs w:val="22"/>
        </w:rPr>
        <w:t>14--</w:t>
      </w:r>
      <w:r>
        <w:rPr>
          <w:rFonts w:hint="eastAsia" w:ascii="Times New Roman" w:cs="宋体"/>
          <w:b w:val="0"/>
          <w:bCs/>
          <w:color w:val="000000"/>
          <w:sz w:val="22"/>
          <w:szCs w:val="22"/>
        </w:rPr>
        <w:t>机场》”；</w:t>
      </w:r>
    </w:p>
    <w:p>
      <w:pPr>
        <w:pStyle w:val="4"/>
        <w:keepNext w:val="0"/>
        <w:numPr>
          <w:ilvl w:val="0"/>
          <w:numId w:val="5"/>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国际民航组织理事会“国际标准和建议措施、航空电信、国际民用航空公约”《附件</w:t>
      </w:r>
      <w:r>
        <w:rPr>
          <w:b w:val="0"/>
          <w:bCs/>
          <w:color w:val="000000"/>
          <w:sz w:val="22"/>
          <w:szCs w:val="22"/>
        </w:rPr>
        <w:t>10</w:t>
      </w:r>
      <w:r>
        <w:rPr>
          <w:rFonts w:hint="eastAsia" w:ascii="Times New Roman" w:cs="宋体"/>
          <w:b w:val="0"/>
          <w:bCs/>
          <w:color w:val="000000"/>
          <w:sz w:val="22"/>
          <w:szCs w:val="22"/>
        </w:rPr>
        <w:t>》；</w:t>
      </w:r>
    </w:p>
    <w:p>
      <w:pPr>
        <w:pStyle w:val="4"/>
        <w:keepNext w:val="0"/>
        <w:numPr>
          <w:ilvl w:val="0"/>
          <w:numId w:val="5"/>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建筑与建筑群综合布线系统工程设计规范</w:t>
      </w:r>
      <w:r>
        <w:rPr>
          <w:b w:val="0"/>
          <w:bCs/>
          <w:color w:val="000000"/>
          <w:sz w:val="22"/>
          <w:szCs w:val="22"/>
        </w:rPr>
        <w:t xml:space="preserve"> CECS 72:97</w:t>
      </w:r>
      <w:r>
        <w:rPr>
          <w:rFonts w:hint="eastAsia" w:ascii="Times New Roman" w:cs="宋体"/>
          <w:b w:val="0"/>
          <w:bCs/>
          <w:color w:val="000000"/>
          <w:sz w:val="22"/>
          <w:szCs w:val="22"/>
        </w:rPr>
        <w:t>；</w:t>
      </w:r>
    </w:p>
    <w:p>
      <w:pPr>
        <w:pStyle w:val="4"/>
        <w:keepNext w:val="0"/>
        <w:numPr>
          <w:ilvl w:val="0"/>
          <w:numId w:val="5"/>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信息技术设备</w:t>
      </w:r>
      <w:r>
        <w:rPr>
          <w:b w:val="0"/>
          <w:bCs/>
          <w:color w:val="000000"/>
          <w:sz w:val="22"/>
          <w:szCs w:val="22"/>
        </w:rPr>
        <w:t>(</w:t>
      </w:r>
      <w:r>
        <w:rPr>
          <w:rFonts w:hint="eastAsia" w:ascii="Times New Roman" w:cs="宋体"/>
          <w:b w:val="0"/>
          <w:bCs/>
          <w:color w:val="000000"/>
          <w:sz w:val="22"/>
          <w:szCs w:val="22"/>
        </w:rPr>
        <w:t>包括电气事务设备</w:t>
      </w:r>
      <w:r>
        <w:rPr>
          <w:b w:val="0"/>
          <w:bCs/>
          <w:color w:val="000000"/>
          <w:sz w:val="22"/>
          <w:szCs w:val="22"/>
        </w:rPr>
        <w:t>)</w:t>
      </w:r>
      <w:r>
        <w:rPr>
          <w:rFonts w:hint="eastAsia" w:ascii="Times New Roman" w:cs="宋体"/>
          <w:b w:val="0"/>
          <w:bCs/>
          <w:color w:val="000000"/>
          <w:sz w:val="22"/>
          <w:szCs w:val="22"/>
        </w:rPr>
        <w:t>的安全</w:t>
      </w:r>
      <w:r>
        <w:rPr>
          <w:b w:val="0"/>
          <w:bCs/>
          <w:color w:val="000000"/>
          <w:sz w:val="22"/>
          <w:szCs w:val="22"/>
        </w:rPr>
        <w:t>GB4943-1995</w:t>
      </w:r>
      <w:r>
        <w:rPr>
          <w:rFonts w:hint="eastAsia" w:ascii="Times New Roman" w:cs="宋体"/>
          <w:b w:val="0"/>
          <w:bCs/>
          <w:color w:val="000000"/>
          <w:sz w:val="22"/>
          <w:szCs w:val="22"/>
        </w:rPr>
        <w:t>；</w:t>
      </w:r>
    </w:p>
    <w:p>
      <w:pPr>
        <w:pStyle w:val="4"/>
        <w:keepNext w:val="0"/>
        <w:numPr>
          <w:ilvl w:val="0"/>
          <w:numId w:val="5"/>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电子设备雷击保护导则</w:t>
      </w:r>
      <w:r>
        <w:rPr>
          <w:b w:val="0"/>
          <w:bCs/>
          <w:color w:val="000000"/>
          <w:sz w:val="22"/>
          <w:szCs w:val="22"/>
        </w:rPr>
        <w:t>GB7450-87</w:t>
      </w:r>
      <w:r>
        <w:rPr>
          <w:rFonts w:hint="eastAsia" w:ascii="Times New Roman" w:cs="宋体"/>
          <w:b w:val="0"/>
          <w:bCs/>
          <w:color w:val="000000"/>
          <w:sz w:val="22"/>
          <w:szCs w:val="22"/>
        </w:rPr>
        <w:t>；</w:t>
      </w:r>
    </w:p>
    <w:p>
      <w:pPr>
        <w:pStyle w:val="4"/>
        <w:keepNext w:val="0"/>
        <w:numPr>
          <w:ilvl w:val="0"/>
          <w:numId w:val="5"/>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智能建筑工程质量验收规范（</w:t>
      </w:r>
      <w:r>
        <w:rPr>
          <w:b w:val="0"/>
          <w:bCs/>
          <w:color w:val="000000"/>
          <w:sz w:val="22"/>
          <w:szCs w:val="22"/>
        </w:rPr>
        <w:t>GB 50339-2003</w:t>
      </w:r>
      <w:r>
        <w:rPr>
          <w:rFonts w:hint="eastAsia" w:ascii="Times New Roman" w:cs="宋体"/>
          <w:b w:val="0"/>
          <w:bCs/>
          <w:color w:val="000000"/>
          <w:sz w:val="22"/>
          <w:szCs w:val="22"/>
        </w:rPr>
        <w:t>）；</w:t>
      </w:r>
    </w:p>
    <w:p>
      <w:pPr>
        <w:pStyle w:val="4"/>
        <w:keepNext w:val="0"/>
        <w:numPr>
          <w:ilvl w:val="0"/>
          <w:numId w:val="5"/>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建筑物电子信息系统防雷技术规范（</w:t>
      </w:r>
      <w:r>
        <w:rPr>
          <w:b w:val="0"/>
          <w:bCs/>
          <w:color w:val="000000"/>
          <w:sz w:val="22"/>
          <w:szCs w:val="22"/>
        </w:rPr>
        <w:t>GB 50343-2004</w:t>
      </w:r>
      <w:r>
        <w:rPr>
          <w:rFonts w:hint="eastAsia" w:ascii="Times New Roman" w:cs="宋体"/>
          <w:b w:val="0"/>
          <w:bCs/>
          <w:color w:val="000000"/>
          <w:sz w:val="22"/>
          <w:szCs w:val="22"/>
        </w:rPr>
        <w:t>）；</w:t>
      </w:r>
    </w:p>
    <w:p>
      <w:pPr>
        <w:pStyle w:val="4"/>
        <w:keepNext w:val="0"/>
        <w:numPr>
          <w:ilvl w:val="0"/>
          <w:numId w:val="5"/>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建筑设计防火规范（</w:t>
      </w:r>
      <w:r>
        <w:rPr>
          <w:b w:val="0"/>
          <w:bCs/>
          <w:color w:val="000000"/>
          <w:sz w:val="22"/>
          <w:szCs w:val="22"/>
        </w:rPr>
        <w:t>GBJ 16-87</w:t>
      </w:r>
      <w:r>
        <w:rPr>
          <w:rFonts w:hint="eastAsia" w:ascii="Times New Roman" w:cs="宋体"/>
          <w:b w:val="0"/>
          <w:bCs/>
          <w:color w:val="000000"/>
          <w:sz w:val="22"/>
          <w:szCs w:val="22"/>
        </w:rPr>
        <w:t>）；</w:t>
      </w:r>
    </w:p>
    <w:p>
      <w:pPr>
        <w:pStyle w:val="4"/>
        <w:keepNext w:val="0"/>
        <w:numPr>
          <w:ilvl w:val="0"/>
          <w:numId w:val="5"/>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电磁兼容标准综述电磁兼容基本术语和定义的应用与解释（</w:t>
      </w:r>
      <w:r>
        <w:rPr>
          <w:b w:val="0"/>
          <w:bCs/>
          <w:color w:val="000000"/>
          <w:sz w:val="22"/>
          <w:szCs w:val="22"/>
        </w:rPr>
        <w:t>GB/T 17624.1-1998</w:t>
      </w:r>
      <w:r>
        <w:rPr>
          <w:rFonts w:hint="eastAsia" w:ascii="Times New Roman" w:cs="宋体"/>
          <w:b w:val="0"/>
          <w:bCs/>
          <w:color w:val="000000"/>
          <w:sz w:val="22"/>
          <w:szCs w:val="22"/>
        </w:rPr>
        <w:t>）；</w:t>
      </w:r>
    </w:p>
    <w:p>
      <w:pPr>
        <w:pStyle w:val="4"/>
        <w:keepNext w:val="0"/>
        <w:numPr>
          <w:ilvl w:val="0"/>
          <w:numId w:val="5"/>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取自电缆的材料燃烧时析出气体的试验方法（</w:t>
      </w:r>
      <w:r>
        <w:rPr>
          <w:b w:val="0"/>
          <w:bCs/>
          <w:color w:val="000000"/>
          <w:sz w:val="22"/>
          <w:szCs w:val="22"/>
        </w:rPr>
        <w:t>GB/T 17650-1998</w:t>
      </w:r>
      <w:r>
        <w:rPr>
          <w:rFonts w:hint="eastAsia" w:ascii="Times New Roman" w:cs="宋体"/>
          <w:b w:val="0"/>
          <w:bCs/>
          <w:color w:val="000000"/>
          <w:sz w:val="22"/>
          <w:szCs w:val="22"/>
        </w:rPr>
        <w:t>）；</w:t>
      </w:r>
    </w:p>
    <w:p>
      <w:pPr>
        <w:pStyle w:val="4"/>
        <w:keepNext w:val="0"/>
        <w:numPr>
          <w:ilvl w:val="0"/>
          <w:numId w:val="5"/>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用户终端设备耐过电压和过电流能力要求和试验方法（</w:t>
      </w:r>
      <w:r>
        <w:rPr>
          <w:b w:val="0"/>
          <w:bCs/>
          <w:color w:val="000000"/>
          <w:sz w:val="22"/>
          <w:szCs w:val="22"/>
        </w:rPr>
        <w:t>YD/T870-906</w:t>
      </w:r>
      <w:r>
        <w:rPr>
          <w:rFonts w:hint="eastAsia" w:ascii="Times New Roman" w:cs="宋体"/>
          <w:b w:val="0"/>
          <w:bCs/>
          <w:color w:val="000000"/>
          <w:sz w:val="22"/>
          <w:szCs w:val="22"/>
        </w:rPr>
        <w:t>）；</w:t>
      </w:r>
    </w:p>
    <w:p>
      <w:pPr>
        <w:pStyle w:val="4"/>
        <w:keepNext w:val="0"/>
        <w:numPr>
          <w:ilvl w:val="0"/>
          <w:numId w:val="5"/>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安全防范工程费用概预算编制办法（</w:t>
      </w:r>
      <w:r>
        <w:rPr>
          <w:b w:val="0"/>
          <w:bCs/>
          <w:color w:val="000000"/>
          <w:sz w:val="22"/>
          <w:szCs w:val="22"/>
        </w:rPr>
        <w:t>GT/T70-94</w:t>
      </w:r>
      <w:r>
        <w:rPr>
          <w:rFonts w:hint="eastAsia" w:ascii="Times New Roman" w:cs="宋体"/>
          <w:b w:val="0"/>
          <w:bCs/>
          <w:color w:val="000000"/>
          <w:sz w:val="22"/>
          <w:szCs w:val="22"/>
        </w:rPr>
        <w:t>）；</w:t>
      </w:r>
    </w:p>
    <w:p>
      <w:pPr>
        <w:pStyle w:val="4"/>
        <w:keepNext w:val="0"/>
        <w:numPr>
          <w:ilvl w:val="0"/>
          <w:numId w:val="5"/>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安全防范系统通用图形符号（</w:t>
      </w:r>
      <w:r>
        <w:rPr>
          <w:b w:val="0"/>
          <w:bCs/>
          <w:color w:val="000000"/>
          <w:sz w:val="22"/>
          <w:szCs w:val="22"/>
        </w:rPr>
        <w:t>GT/T74-94</w:t>
      </w:r>
      <w:r>
        <w:rPr>
          <w:rFonts w:hint="eastAsia" w:ascii="Times New Roman" w:cs="宋体"/>
          <w:b w:val="0"/>
          <w:bCs/>
          <w:color w:val="000000"/>
          <w:sz w:val="22"/>
          <w:szCs w:val="22"/>
        </w:rPr>
        <w:t>）；</w:t>
      </w:r>
    </w:p>
    <w:p>
      <w:pPr>
        <w:pStyle w:val="4"/>
        <w:keepNext w:val="0"/>
        <w:numPr>
          <w:ilvl w:val="0"/>
          <w:numId w:val="5"/>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安全防范工程程序与要求（</w:t>
      </w:r>
      <w:r>
        <w:rPr>
          <w:b w:val="0"/>
          <w:bCs/>
          <w:color w:val="000000"/>
          <w:sz w:val="22"/>
          <w:szCs w:val="22"/>
        </w:rPr>
        <w:t>GT/T75-94</w:t>
      </w:r>
      <w:r>
        <w:rPr>
          <w:rFonts w:hint="eastAsia" w:ascii="Times New Roman" w:cs="宋体"/>
          <w:b w:val="0"/>
          <w:bCs/>
          <w:color w:val="000000"/>
          <w:sz w:val="22"/>
          <w:szCs w:val="22"/>
        </w:rPr>
        <w:t>）；</w:t>
      </w:r>
    </w:p>
    <w:p>
      <w:pPr>
        <w:pStyle w:val="4"/>
        <w:keepNext w:val="0"/>
        <w:numPr>
          <w:ilvl w:val="0"/>
          <w:numId w:val="5"/>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保安电视监控工程技术规范（</w:t>
      </w:r>
      <w:r>
        <w:rPr>
          <w:b w:val="0"/>
          <w:bCs/>
          <w:color w:val="000000"/>
          <w:sz w:val="22"/>
          <w:szCs w:val="22"/>
        </w:rPr>
        <w:t>GT/76-94</w:t>
      </w:r>
      <w:r>
        <w:rPr>
          <w:rFonts w:hint="eastAsia" w:ascii="Times New Roman" w:cs="宋体"/>
          <w:b w:val="0"/>
          <w:bCs/>
          <w:color w:val="000000"/>
          <w:sz w:val="22"/>
          <w:szCs w:val="22"/>
        </w:rPr>
        <w:t>）；</w:t>
      </w:r>
    </w:p>
    <w:p>
      <w:pPr>
        <w:pStyle w:val="4"/>
        <w:keepNext w:val="0"/>
        <w:numPr>
          <w:ilvl w:val="0"/>
          <w:numId w:val="5"/>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入侵报警工程设计规范（</w:t>
      </w:r>
      <w:r>
        <w:rPr>
          <w:b w:val="0"/>
          <w:bCs/>
          <w:color w:val="000000"/>
          <w:sz w:val="22"/>
          <w:szCs w:val="22"/>
        </w:rPr>
        <w:t>GA/77-94</w:t>
      </w:r>
      <w:r>
        <w:rPr>
          <w:rFonts w:hint="eastAsia" w:ascii="Times New Roman" w:cs="宋体"/>
          <w:b w:val="0"/>
          <w:bCs/>
          <w:color w:val="000000"/>
          <w:sz w:val="22"/>
          <w:szCs w:val="22"/>
        </w:rPr>
        <w:t>）；</w:t>
      </w:r>
    </w:p>
    <w:p>
      <w:pPr>
        <w:pStyle w:val="4"/>
        <w:keepNext w:val="0"/>
        <w:numPr>
          <w:ilvl w:val="0"/>
          <w:numId w:val="5"/>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用户终端设备耐过电压和过电流能要求和试验方法（</w:t>
      </w:r>
      <w:r>
        <w:rPr>
          <w:b w:val="0"/>
          <w:bCs/>
          <w:color w:val="000000"/>
          <w:sz w:val="22"/>
          <w:szCs w:val="22"/>
        </w:rPr>
        <w:t>YD/T870-906</w:t>
      </w:r>
      <w:r>
        <w:rPr>
          <w:rFonts w:hint="eastAsia" w:ascii="Times New Roman" w:cs="宋体"/>
          <w:b w:val="0"/>
          <w:bCs/>
          <w:color w:val="000000"/>
          <w:sz w:val="22"/>
          <w:szCs w:val="22"/>
        </w:rPr>
        <w:t>）；</w:t>
      </w:r>
    </w:p>
    <w:p>
      <w:pPr>
        <w:pStyle w:val="4"/>
        <w:keepNext w:val="0"/>
        <w:numPr>
          <w:ilvl w:val="0"/>
          <w:numId w:val="5"/>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其他相关标准和图集；</w:t>
      </w:r>
    </w:p>
    <w:p>
      <w:pPr>
        <w:pStyle w:val="4"/>
        <w:keepNext w:val="0"/>
        <w:numPr>
          <w:ilvl w:val="0"/>
          <w:numId w:val="5"/>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现行的国家有关建筑消防标准和规范；</w:t>
      </w:r>
    </w:p>
    <w:p>
      <w:pPr>
        <w:pStyle w:val="4"/>
        <w:keepNext w:val="0"/>
        <w:numPr>
          <w:ilvl w:val="0"/>
          <w:numId w:val="0"/>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若上述条例和规范尚不能满足本工程的需要，或未能达到国际标准，投标人应采用一切方法令</w:t>
      </w:r>
    </w:p>
    <w:p>
      <w:pPr>
        <w:pStyle w:val="4"/>
        <w:keepNext w:val="0"/>
        <w:numPr>
          <w:ilvl w:val="0"/>
          <w:numId w:val="0"/>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所有材料及安装，符合所有最通用、最新的，适合于国际的标准、规范和运用的最新版本的要求并</w:t>
      </w:r>
    </w:p>
    <w:p>
      <w:pPr>
        <w:pStyle w:val="4"/>
        <w:keepNext w:val="0"/>
        <w:numPr>
          <w:ilvl w:val="0"/>
          <w:numId w:val="0"/>
        </w:numPr>
        <w:tabs>
          <w:tab w:val="left" w:pos="720"/>
        </w:tabs>
        <w:snapToGrid w:val="0"/>
        <w:spacing w:line="360" w:lineRule="auto"/>
        <w:ind w:right="2" w:rightChars="1"/>
        <w:rPr>
          <w:b w:val="0"/>
          <w:bCs/>
          <w:color w:val="000000"/>
          <w:sz w:val="22"/>
          <w:szCs w:val="22"/>
        </w:rPr>
      </w:pPr>
      <w:r>
        <w:rPr>
          <w:rFonts w:hint="eastAsia" w:ascii="Times New Roman" w:cs="宋体"/>
          <w:b w:val="0"/>
          <w:bCs/>
          <w:color w:val="000000"/>
          <w:sz w:val="22"/>
          <w:szCs w:val="22"/>
        </w:rPr>
        <w:t>提供书面文件得到业主认可。</w:t>
      </w:r>
    </w:p>
    <w:p>
      <w:pPr>
        <w:pStyle w:val="4"/>
        <w:keepNext w:val="0"/>
        <w:numPr>
          <w:ilvl w:val="0"/>
          <w:numId w:val="0"/>
        </w:numPr>
        <w:tabs>
          <w:tab w:val="left" w:pos="720"/>
        </w:tabs>
        <w:snapToGrid w:val="0"/>
        <w:spacing w:line="360" w:lineRule="auto"/>
        <w:ind w:right="2" w:rightChars="1"/>
        <w:rPr>
          <w:b w:val="0"/>
          <w:bCs/>
          <w:color w:val="000000"/>
          <w:sz w:val="22"/>
          <w:szCs w:val="22"/>
        </w:rPr>
      </w:pPr>
      <w:r>
        <w:rPr>
          <w:bCs/>
          <w:color w:val="000000"/>
          <w:sz w:val="22"/>
          <w:szCs w:val="22"/>
        </w:rPr>
        <w:t>1.3.2</w:t>
      </w:r>
      <w:r>
        <w:rPr>
          <w:rFonts w:hint="eastAsia" w:ascii="Times New Roman" w:cs="宋体"/>
          <w:bCs/>
          <w:color w:val="000000"/>
          <w:sz w:val="22"/>
          <w:szCs w:val="22"/>
        </w:rPr>
        <w:t>计量标准</w:t>
      </w:r>
    </w:p>
    <w:p>
      <w:pPr>
        <w:snapToGrid w:val="0"/>
        <w:spacing w:line="360" w:lineRule="auto"/>
        <w:ind w:firstLine="440" w:firstLineChars="200"/>
        <w:rPr>
          <w:rFonts w:cs="宋体"/>
          <w:color w:val="000000"/>
          <w:sz w:val="22"/>
        </w:rPr>
      </w:pPr>
      <w:r>
        <w:rPr>
          <w:rFonts w:hint="eastAsia" w:cs="宋体"/>
          <w:color w:val="000000"/>
          <w:sz w:val="22"/>
        </w:rPr>
        <w:t>计量单位除本技术规格另有规定，应以中华人民共和国法定计量单位作为计量单位。不在法定计量单位范围内的，将使用国际计量单位和国家选定的其它计量单位。</w:t>
      </w:r>
    </w:p>
    <w:bookmarkEnd w:id="255"/>
    <w:p>
      <w:pPr>
        <w:pStyle w:val="3"/>
        <w:keepNext w:val="0"/>
        <w:keepLines w:val="0"/>
        <w:tabs>
          <w:tab w:val="left" w:pos="576"/>
        </w:tabs>
        <w:spacing w:before="0" w:after="0"/>
        <w:ind w:left="576" w:hanging="576"/>
        <w:jc w:val="both"/>
        <w:rPr>
          <w:rFonts w:ascii="Times New Roman" w:hAnsi="Times New Roman" w:cs="宋体"/>
          <w:color w:val="000000"/>
          <w:sz w:val="30"/>
          <w:szCs w:val="30"/>
        </w:rPr>
      </w:pPr>
      <w:bookmarkStart w:id="256" w:name="_Toc127347646"/>
      <w:bookmarkStart w:id="257" w:name="_Toc392056805"/>
      <w:bookmarkStart w:id="258" w:name="_Toc123028534"/>
      <w:bookmarkStart w:id="259" w:name="_Toc386910851"/>
      <w:bookmarkStart w:id="260" w:name="_Toc214177996"/>
      <w:bookmarkStart w:id="261" w:name="_Toc124561167"/>
      <w:bookmarkStart w:id="262" w:name="_Toc122958932"/>
      <w:bookmarkStart w:id="263" w:name="_Toc120933823"/>
      <w:r>
        <w:rPr>
          <w:rFonts w:ascii="Times New Roman" w:hAnsi="Times New Roman"/>
          <w:color w:val="000000"/>
          <w:sz w:val="30"/>
          <w:szCs w:val="30"/>
        </w:rPr>
        <w:t>1.4</w:t>
      </w:r>
      <w:r>
        <w:rPr>
          <w:rFonts w:hint="eastAsia" w:ascii="Times New Roman" w:hAnsi="Times New Roman" w:cs="宋体"/>
          <w:color w:val="000000"/>
          <w:sz w:val="30"/>
          <w:szCs w:val="30"/>
        </w:rPr>
        <w:t>工程</w:t>
      </w:r>
      <w:bookmarkEnd w:id="256"/>
      <w:bookmarkEnd w:id="257"/>
      <w:bookmarkEnd w:id="258"/>
      <w:bookmarkEnd w:id="259"/>
      <w:bookmarkEnd w:id="260"/>
      <w:bookmarkEnd w:id="261"/>
      <w:bookmarkEnd w:id="262"/>
      <w:bookmarkEnd w:id="263"/>
      <w:r>
        <w:rPr>
          <w:rFonts w:hint="eastAsia" w:ascii="Times New Roman" w:hAnsi="Times New Roman" w:cs="宋体"/>
          <w:color w:val="000000"/>
          <w:sz w:val="30"/>
          <w:szCs w:val="30"/>
        </w:rPr>
        <w:t>施工内容</w:t>
      </w:r>
    </w:p>
    <w:p>
      <w:pPr>
        <w:snapToGrid w:val="0"/>
        <w:spacing w:line="360" w:lineRule="auto"/>
        <w:rPr>
          <w:rFonts w:ascii="宋体" w:hAnsi="宋体" w:cs="宋体"/>
          <w:b/>
          <w:color w:val="000000"/>
          <w:sz w:val="22"/>
        </w:rPr>
      </w:pPr>
      <w:r>
        <w:rPr>
          <w:rFonts w:ascii="宋体" w:hAnsi="宋体" w:cs="宋体"/>
          <w:b/>
          <w:color w:val="000000"/>
          <w:sz w:val="22"/>
        </w:rPr>
        <w:t>1.4.</w:t>
      </w:r>
      <w:r>
        <w:rPr>
          <w:rFonts w:hint="eastAsia" w:ascii="宋体" w:hAnsi="宋体" w:cs="宋体"/>
          <w:b/>
          <w:color w:val="000000"/>
          <w:sz w:val="22"/>
        </w:rPr>
        <w:t>1 施工背景说明：</w:t>
      </w:r>
    </w:p>
    <w:p>
      <w:pPr>
        <w:snapToGrid w:val="0"/>
        <w:spacing w:line="360" w:lineRule="auto"/>
        <w:ind w:firstLine="440" w:firstLineChars="200"/>
        <w:rPr>
          <w:rFonts w:ascii="宋体" w:hAnsi="宋体" w:cs="Arial"/>
          <w:kern w:val="0"/>
          <w:sz w:val="22"/>
        </w:rPr>
      </w:pPr>
      <w:bookmarkStart w:id="264" w:name="_Toc536443890"/>
      <w:r>
        <w:rPr>
          <w:rFonts w:hint="eastAsia" w:ascii="宋体" w:hAnsi="宋体" w:cs="Arial"/>
          <w:color w:val="000000"/>
          <w:kern w:val="0"/>
          <w:sz w:val="22"/>
        </w:rPr>
        <w:t>为弥补场区高空监控的不足</w:t>
      </w:r>
      <w:r>
        <w:rPr>
          <w:rFonts w:hint="eastAsia" w:ascii="宋体" w:hAnsi="宋体" w:cs="Arial"/>
          <w:kern w:val="0"/>
          <w:sz w:val="22"/>
        </w:rPr>
        <w:t>，进一步提升场区监控覆盖面，在机场内新增摄像机，通过监控及时发现、干预和消除交通堵点，进一步提高区域运行应急响应能力。</w:t>
      </w:r>
    </w:p>
    <w:p>
      <w:pPr>
        <w:snapToGrid w:val="0"/>
        <w:spacing w:line="360" w:lineRule="auto"/>
        <w:rPr>
          <w:rFonts w:ascii="宋体" w:hAnsi="宋体" w:cs="宋体"/>
          <w:b/>
          <w:color w:val="000000"/>
          <w:sz w:val="22"/>
        </w:rPr>
      </w:pPr>
      <w:r>
        <w:rPr>
          <w:rFonts w:ascii="宋体" w:hAnsi="宋体" w:cs="宋体"/>
          <w:b/>
          <w:bCs/>
          <w:color w:val="000000"/>
          <w:sz w:val="22"/>
        </w:rPr>
        <w:t>1.4.</w:t>
      </w:r>
      <w:r>
        <w:rPr>
          <w:rFonts w:hint="eastAsia" w:ascii="宋体" w:hAnsi="宋体" w:cs="宋体"/>
          <w:b/>
          <w:bCs/>
          <w:color w:val="000000"/>
          <w:sz w:val="22"/>
        </w:rPr>
        <w:t>2</w:t>
      </w:r>
      <w:r>
        <w:rPr>
          <w:rFonts w:ascii="宋体" w:hAnsi="宋体" w:cs="宋体"/>
          <w:b/>
          <w:bCs/>
          <w:color w:val="000000"/>
          <w:sz w:val="22"/>
        </w:rPr>
        <w:t xml:space="preserve"> </w:t>
      </w:r>
      <w:r>
        <w:rPr>
          <w:rFonts w:hint="eastAsia" w:ascii="宋体" w:hAnsi="宋体" w:cs="宋体"/>
          <w:b/>
          <w:color w:val="000000"/>
          <w:sz w:val="22"/>
        </w:rPr>
        <w:t>施工方必须完成的工程内容如下：</w:t>
      </w:r>
    </w:p>
    <w:p>
      <w:pPr>
        <w:adjustRightInd w:val="0"/>
        <w:snapToGrid w:val="0"/>
        <w:spacing w:line="340" w:lineRule="exact"/>
        <w:ind w:firstLine="440" w:firstLineChars="200"/>
        <w:rPr>
          <w:rFonts w:ascii="宋体" w:hAnsi="宋体" w:cs="Arial"/>
          <w:color w:val="000000"/>
          <w:kern w:val="0"/>
          <w:sz w:val="22"/>
        </w:rPr>
      </w:pPr>
      <w:r>
        <w:rPr>
          <w:rFonts w:hint="eastAsia" w:ascii="宋体" w:hAnsi="宋体" w:cs="Arial"/>
          <w:color w:val="000000"/>
          <w:kern w:val="0"/>
          <w:sz w:val="22"/>
        </w:rPr>
        <w:t>1、监控安装</w:t>
      </w:r>
    </w:p>
    <w:p>
      <w:pPr>
        <w:adjustRightInd w:val="0"/>
        <w:snapToGrid w:val="0"/>
        <w:spacing w:line="340" w:lineRule="exact"/>
        <w:ind w:firstLine="440" w:firstLineChars="200"/>
        <w:rPr>
          <w:rFonts w:ascii="宋体" w:hAnsi="宋体" w:cs="Arial"/>
          <w:color w:val="000000"/>
          <w:kern w:val="0"/>
          <w:sz w:val="22"/>
        </w:rPr>
      </w:pPr>
      <w:r>
        <w:rPr>
          <w:rFonts w:hint="eastAsia" w:ascii="宋体" w:hAnsi="宋体" w:cs="Arial"/>
          <w:color w:val="000000"/>
          <w:kern w:val="0"/>
          <w:sz w:val="22"/>
        </w:rPr>
        <w:t>在场区内新增监控摄像机14个，分别位于空管塔台、信息大楼、蝶来大酒店、厦航办公大楼、综合服务大楼、机场6号员工宿舍楼、国航宿舍楼顶及交通服务中心。其中交通服务中心摄像机接入机场海康平台，录音录像存储时长15天，其他摄像机接入机场大华平台，录像存储时长90天。</w:t>
      </w:r>
      <w:r>
        <w:rPr>
          <w:rFonts w:ascii="宋体" w:hAnsi="宋体" w:cs="Arial"/>
          <w:color w:val="000000"/>
          <w:kern w:val="0"/>
          <w:sz w:val="22"/>
        </w:rPr>
        <w:t xml:space="preserve"> </w:t>
      </w:r>
    </w:p>
    <w:p>
      <w:pPr>
        <w:adjustRightInd w:val="0"/>
        <w:snapToGrid w:val="0"/>
        <w:spacing w:line="340" w:lineRule="exact"/>
        <w:ind w:firstLine="440" w:firstLineChars="200"/>
        <w:rPr>
          <w:rFonts w:ascii="宋体" w:hAnsi="宋体" w:cs="Arial"/>
          <w:color w:val="000000"/>
          <w:kern w:val="0"/>
          <w:sz w:val="22"/>
        </w:rPr>
      </w:pPr>
      <w:r>
        <w:rPr>
          <w:rFonts w:hint="eastAsia" w:ascii="宋体" w:hAnsi="宋体" w:cs="Arial"/>
          <w:color w:val="000000"/>
          <w:kern w:val="0"/>
          <w:sz w:val="22"/>
        </w:rPr>
        <w:t>2、室内综合布线</w:t>
      </w:r>
    </w:p>
    <w:p>
      <w:pPr>
        <w:adjustRightInd w:val="0"/>
        <w:snapToGrid w:val="0"/>
        <w:spacing w:line="340" w:lineRule="exact"/>
        <w:ind w:firstLine="440" w:firstLineChars="200"/>
        <w:rPr>
          <w:rFonts w:asciiTheme="minorEastAsia" w:hAnsiTheme="minorEastAsia" w:eastAsiaTheme="minorEastAsia" w:cstheme="minorEastAsia"/>
          <w:sz w:val="22"/>
          <w:szCs w:val="22"/>
        </w:rPr>
      </w:pPr>
      <w:r>
        <w:rPr>
          <w:rFonts w:hint="eastAsia" w:ascii="宋体" w:hAnsi="宋体" w:cs="Arial"/>
          <w:color w:val="000000"/>
          <w:kern w:val="0"/>
          <w:sz w:val="22"/>
        </w:rPr>
        <w:t>在老公安楼6楼场区运控室新增48个网络信息点，信息点接入6楼弱电机房，弱电机房机柜上新增一</w:t>
      </w:r>
      <w:r>
        <w:rPr>
          <w:rFonts w:hint="eastAsia" w:asciiTheme="minorEastAsia" w:hAnsiTheme="minorEastAsia" w:eastAsiaTheme="minorEastAsia" w:cstheme="minorEastAsia"/>
          <w:sz w:val="22"/>
          <w:szCs w:val="22"/>
        </w:rPr>
        <w:t>48口网络配线架。</w:t>
      </w:r>
    </w:p>
    <w:p>
      <w:pPr>
        <w:adjustRightInd w:val="0"/>
        <w:snapToGrid w:val="0"/>
        <w:spacing w:line="340" w:lineRule="exact"/>
        <w:ind w:firstLine="440" w:firstLineChars="200"/>
        <w:rPr>
          <w:rFonts w:ascii="宋体" w:hAnsi="宋体" w:cs="Arial"/>
          <w:color w:val="000000"/>
          <w:kern w:val="0"/>
          <w:sz w:val="22"/>
        </w:rPr>
      </w:pPr>
      <w:r>
        <w:rPr>
          <w:rFonts w:hint="eastAsia" w:ascii="宋体" w:hAnsi="宋体" w:cs="Arial"/>
          <w:color w:val="000000"/>
          <w:kern w:val="0"/>
          <w:sz w:val="22"/>
        </w:rPr>
        <w:t>3、新增场区运控室大屏解码设备</w:t>
      </w:r>
    </w:p>
    <w:p>
      <w:pPr>
        <w:adjustRightInd w:val="0"/>
        <w:snapToGrid w:val="0"/>
        <w:spacing w:line="340" w:lineRule="exact"/>
        <w:ind w:firstLine="440" w:firstLineChars="200"/>
        <w:rPr>
          <w:rFonts w:ascii="宋体" w:hAnsi="宋体" w:cs="Arial"/>
          <w:color w:val="000000"/>
          <w:kern w:val="0"/>
          <w:sz w:val="22"/>
        </w:rPr>
      </w:pPr>
      <w:r>
        <w:rPr>
          <w:rFonts w:hint="eastAsia" w:ascii="宋体" w:hAnsi="宋体" w:cs="Arial"/>
          <w:color w:val="000000"/>
          <w:kern w:val="0"/>
          <w:sz w:val="22"/>
        </w:rPr>
        <w:t>老公安楼6楼场区运控室新增一台视频综合平台机箱，含2块HDMI解码输出板、2块HDMI编码输入板，支持现有的大华监控平台。现有大华监控平台通过新增视频综合平台，投屏至场区运控室监控大屏，能够实时监控视频图像。</w:t>
      </w:r>
    </w:p>
    <w:p>
      <w:pPr>
        <w:adjustRightInd w:val="0"/>
        <w:snapToGrid w:val="0"/>
        <w:spacing w:line="340" w:lineRule="exact"/>
        <w:ind w:firstLine="440" w:firstLineChars="200"/>
        <w:rPr>
          <w:rFonts w:ascii="宋体" w:hAnsi="宋体" w:cs="Arial"/>
          <w:color w:val="000000"/>
          <w:kern w:val="0"/>
          <w:sz w:val="22"/>
        </w:rPr>
      </w:pPr>
      <w:r>
        <w:rPr>
          <w:rFonts w:hint="eastAsia" w:ascii="宋体" w:hAnsi="宋体" w:cs="Arial"/>
          <w:color w:val="000000"/>
          <w:kern w:val="0"/>
          <w:sz w:val="22"/>
        </w:rPr>
        <w:t>4、网络架构</w:t>
      </w:r>
    </w:p>
    <w:p>
      <w:pPr>
        <w:adjustRightInd w:val="0"/>
        <w:snapToGrid w:val="0"/>
        <w:spacing w:line="340" w:lineRule="exact"/>
        <w:rPr>
          <w:rFonts w:ascii="Times New Roman" w:hAnsi="Times New Roman"/>
          <w:b/>
          <w:color w:val="000000"/>
          <w:kern w:val="0"/>
          <w:sz w:val="22"/>
          <w:szCs w:val="22"/>
        </w:rPr>
      </w:pPr>
      <w:r>
        <w:rPr>
          <w:rFonts w:hint="eastAsia" w:ascii="宋体" w:hAnsi="宋体" w:cs="Arial"/>
          <w:color w:val="000000"/>
          <w:kern w:val="0"/>
          <w:sz w:val="22"/>
        </w:rPr>
        <w:t xml:space="preserve">    老公安楼6楼弱电机房、P5停车场弱电机房各新增一台接入层交换机。新增高空监控通过各楼弱电间跳至信息大楼进线间，统一跳至P5停车场弱电机房。接入层交换机接入P5停车场弱电机房核心交换机。航站楼交通服务中心柜台新增监控摄像机接入航站楼弱电机房接入层交换机。</w:t>
      </w:r>
    </w:p>
    <w:p>
      <w:pPr>
        <w:snapToGrid w:val="0"/>
        <w:spacing w:line="360" w:lineRule="auto"/>
        <w:rPr>
          <w:rFonts w:ascii="宋体" w:hAnsi="宋体" w:cs="宋体"/>
          <w:b/>
          <w:sz w:val="22"/>
        </w:rPr>
      </w:pPr>
      <w:r>
        <w:rPr>
          <w:rFonts w:ascii="宋体" w:hAnsi="宋体" w:cs="宋体"/>
          <w:b/>
          <w:bCs/>
          <w:color w:val="000000"/>
          <w:sz w:val="22"/>
        </w:rPr>
        <w:t>1.4.</w:t>
      </w:r>
      <w:r>
        <w:rPr>
          <w:rFonts w:hint="eastAsia" w:ascii="宋体" w:hAnsi="宋体" w:cs="宋体"/>
          <w:b/>
          <w:bCs/>
          <w:color w:val="000000"/>
          <w:sz w:val="22"/>
        </w:rPr>
        <w:t>3</w:t>
      </w:r>
      <w:r>
        <w:rPr>
          <w:rFonts w:hint="eastAsia" w:ascii="宋体" w:hAnsi="宋体" w:cs="宋体"/>
          <w:b/>
          <w:sz w:val="22"/>
        </w:rPr>
        <w:t>本工程涉及现有系统现状及要求：</w:t>
      </w:r>
    </w:p>
    <w:p>
      <w:pPr>
        <w:adjustRightInd w:val="0"/>
        <w:snapToGrid w:val="0"/>
        <w:spacing w:line="360" w:lineRule="exact"/>
        <w:ind w:firstLine="442" w:firstLineChars="200"/>
        <w:rPr>
          <w:rFonts w:ascii="宋体" w:hAnsi="宋体" w:cs="Calibri"/>
          <w:b/>
          <w:kern w:val="0"/>
          <w:sz w:val="22"/>
        </w:rPr>
      </w:pPr>
      <w:r>
        <w:rPr>
          <w:rFonts w:hint="eastAsia" w:ascii="宋体" w:hAnsi="宋体" w:cs="Calibri"/>
          <w:b/>
          <w:kern w:val="0"/>
          <w:sz w:val="22"/>
        </w:rPr>
        <w:t>现有监控包括大华、海康监控平台，后台设备安装位置分别为P5停车场弱电机房、ITC三楼机房内。本项目新增高空监控设备接入大华平台，新增存储设备接入大华云存储平台，和原有云存储做扩容对接；新增交通服务中心监控接入海康平台，新增存储设备接入海康存储平台。网络内核心交换机品牌为华三，要求接入层交换机与现有网络系统无缝兼容。</w:t>
      </w:r>
    </w:p>
    <w:p>
      <w:pPr>
        <w:adjustRightInd w:val="0"/>
        <w:snapToGrid w:val="0"/>
        <w:spacing w:line="360" w:lineRule="exact"/>
        <w:rPr>
          <w:rFonts w:ascii="宋体" w:hAnsi="宋体" w:cs="Calibri"/>
          <w:b/>
          <w:kern w:val="0"/>
          <w:sz w:val="22"/>
        </w:rPr>
      </w:pPr>
      <w:r>
        <w:rPr>
          <w:rFonts w:hint="eastAsia" w:ascii="宋体" w:hAnsi="宋体" w:cs="宋体"/>
          <w:b/>
          <w:bCs/>
          <w:color w:val="000000"/>
          <w:sz w:val="22"/>
        </w:rPr>
        <w:t>1.4.4</w:t>
      </w:r>
      <w:r>
        <w:rPr>
          <w:rFonts w:hint="eastAsia" w:ascii="宋体" w:hAnsi="宋体" w:cs="Calibri"/>
          <w:b/>
          <w:kern w:val="0"/>
          <w:sz w:val="22"/>
        </w:rPr>
        <w:t>摄像机点位表</w:t>
      </w:r>
    </w:p>
    <w:tbl>
      <w:tblPr>
        <w:tblStyle w:val="20"/>
        <w:tblW w:w="96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2497"/>
        <w:gridCol w:w="1275"/>
        <w:gridCol w:w="5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606" w:type="dxa"/>
            <w:vAlign w:val="center"/>
          </w:tcPr>
          <w:p>
            <w:pPr>
              <w:spacing w:line="360" w:lineRule="exact"/>
              <w:jc w:val="center"/>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sz w:val="22"/>
                <w:szCs w:val="22"/>
              </w:rPr>
              <w:br w:type="page"/>
            </w:r>
            <w:r>
              <w:rPr>
                <w:rFonts w:hint="eastAsia" w:asciiTheme="minorEastAsia" w:hAnsiTheme="minorEastAsia" w:eastAsiaTheme="minorEastAsia" w:cstheme="minorEastAsia"/>
                <w:b/>
                <w:sz w:val="22"/>
                <w:szCs w:val="22"/>
              </w:rPr>
              <w:t>序号</w:t>
            </w:r>
          </w:p>
        </w:tc>
        <w:tc>
          <w:tcPr>
            <w:tcW w:w="2497" w:type="dxa"/>
            <w:vAlign w:val="center"/>
          </w:tcPr>
          <w:p>
            <w:pPr>
              <w:spacing w:line="360" w:lineRule="exact"/>
              <w:jc w:val="center"/>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安装地点及设备类型</w:t>
            </w:r>
          </w:p>
        </w:tc>
        <w:tc>
          <w:tcPr>
            <w:tcW w:w="1275" w:type="dxa"/>
          </w:tcPr>
          <w:p>
            <w:pPr>
              <w:spacing w:line="360" w:lineRule="exact"/>
              <w:jc w:val="center"/>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摄像机类型及数量</w:t>
            </w:r>
          </w:p>
        </w:tc>
        <w:tc>
          <w:tcPr>
            <w:tcW w:w="5248" w:type="dxa"/>
            <w:vAlign w:val="center"/>
          </w:tcPr>
          <w:p>
            <w:pPr>
              <w:spacing w:line="360" w:lineRule="exact"/>
              <w:jc w:val="center"/>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覆盖区域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606"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2497"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信息大楼楼顶东北角</w:t>
            </w:r>
          </w:p>
        </w:tc>
        <w:tc>
          <w:tcPr>
            <w:tcW w:w="1275" w:type="dxa"/>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全景摄像机</w:t>
            </w:r>
            <w:r>
              <w:rPr>
                <w:rFonts w:ascii="Arial" w:hAnsi="Arial" w:cs="Arial" w:eastAsiaTheme="minorEastAsia"/>
                <w:sz w:val="22"/>
                <w:szCs w:val="22"/>
              </w:rPr>
              <w:t>×</w:t>
            </w:r>
            <w:r>
              <w:rPr>
                <w:rFonts w:hint="eastAsia" w:asciiTheme="minorEastAsia" w:hAnsiTheme="minorEastAsia" w:eastAsiaTheme="minorEastAsia" w:cstheme="minorEastAsia"/>
                <w:sz w:val="22"/>
                <w:szCs w:val="22"/>
              </w:rPr>
              <w:t>1</w:t>
            </w:r>
          </w:p>
        </w:tc>
        <w:tc>
          <w:tcPr>
            <w:tcW w:w="5248"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1号路（6号路至14号路段）、</w:t>
            </w:r>
          </w:p>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新建高架桥上下引桥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jc w:val="center"/>
        </w:trPr>
        <w:tc>
          <w:tcPr>
            <w:tcW w:w="606"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2497"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蝶来大酒店楼顶西北角、东南角</w:t>
            </w:r>
          </w:p>
        </w:tc>
        <w:tc>
          <w:tcPr>
            <w:tcW w:w="1275"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全景摄像机</w:t>
            </w:r>
            <w:r>
              <w:rPr>
                <w:rFonts w:ascii="Arial" w:hAnsi="Arial" w:cs="Arial" w:eastAsiaTheme="minorEastAsia"/>
                <w:sz w:val="22"/>
                <w:szCs w:val="22"/>
              </w:rPr>
              <w:t>×</w:t>
            </w:r>
            <w:r>
              <w:rPr>
                <w:rFonts w:hint="eastAsia" w:ascii="Arial" w:hAnsi="Arial" w:cs="Arial" w:eastAsiaTheme="minorEastAsia"/>
                <w:sz w:val="22"/>
                <w:szCs w:val="22"/>
              </w:rPr>
              <w:t>2</w:t>
            </w:r>
          </w:p>
        </w:tc>
        <w:tc>
          <w:tcPr>
            <w:tcW w:w="5248"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13号路（10号路以东段）、P3停车场、隧道西口、新建高架桥（浙旅北侧至下引桥段）、1号路14号路交叉口、新建高架（T3至浙旅段）、T4楼前高架桥（出发层）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606"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2497"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厦航办公大楼楼顶西北角</w:t>
            </w:r>
          </w:p>
        </w:tc>
        <w:tc>
          <w:tcPr>
            <w:tcW w:w="1275" w:type="dxa"/>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全景摄像机</w:t>
            </w:r>
            <w:r>
              <w:rPr>
                <w:rFonts w:ascii="Arial" w:hAnsi="Arial" w:cs="Arial" w:eastAsiaTheme="minorEastAsia"/>
                <w:sz w:val="22"/>
                <w:szCs w:val="22"/>
              </w:rPr>
              <w:t>×</w:t>
            </w:r>
            <w:r>
              <w:rPr>
                <w:rFonts w:hint="eastAsia" w:asciiTheme="minorEastAsia" w:hAnsiTheme="minorEastAsia" w:eastAsiaTheme="minorEastAsia" w:cstheme="minorEastAsia"/>
                <w:sz w:val="22"/>
                <w:szCs w:val="22"/>
              </w:rPr>
              <w:t>1</w:t>
            </w:r>
          </w:p>
        </w:tc>
        <w:tc>
          <w:tcPr>
            <w:tcW w:w="5248"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10号路、13号路、P1/ P2/P3停车场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606"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c>
          <w:tcPr>
            <w:tcW w:w="2497"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综合服务楼楼顶东北角、西南角</w:t>
            </w:r>
          </w:p>
        </w:tc>
        <w:tc>
          <w:tcPr>
            <w:tcW w:w="1275" w:type="dxa"/>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全景摄像机</w:t>
            </w:r>
            <w:r>
              <w:rPr>
                <w:rFonts w:ascii="Arial" w:hAnsi="Arial" w:cs="Arial" w:eastAsiaTheme="minorEastAsia"/>
                <w:sz w:val="22"/>
                <w:szCs w:val="22"/>
              </w:rPr>
              <w:t>×</w:t>
            </w:r>
            <w:r>
              <w:rPr>
                <w:rFonts w:hint="eastAsia" w:asciiTheme="minorEastAsia" w:hAnsiTheme="minorEastAsia" w:eastAsiaTheme="minorEastAsia" w:cstheme="minorEastAsia"/>
                <w:sz w:val="22"/>
                <w:szCs w:val="22"/>
              </w:rPr>
              <w:t>1、云台摄像机</w:t>
            </w:r>
            <w:r>
              <w:rPr>
                <w:rFonts w:ascii="Arial" w:hAnsi="Arial" w:cs="Arial" w:eastAsiaTheme="minorEastAsia"/>
                <w:sz w:val="22"/>
                <w:szCs w:val="22"/>
              </w:rPr>
              <w:t>×</w:t>
            </w:r>
            <w:r>
              <w:rPr>
                <w:rFonts w:hint="eastAsia" w:asciiTheme="minorEastAsia" w:hAnsiTheme="minorEastAsia" w:eastAsiaTheme="minorEastAsia" w:cstheme="minorEastAsia"/>
                <w:sz w:val="22"/>
                <w:szCs w:val="22"/>
              </w:rPr>
              <w:t>1</w:t>
            </w:r>
          </w:p>
        </w:tc>
        <w:tc>
          <w:tcPr>
            <w:tcW w:w="5248"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14号路、3号路（综合楼出口以东段）、</w:t>
            </w:r>
          </w:p>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P6停车场、新建高架桥（14号路至T2段）、5号路、出租车服务区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606"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c>
          <w:tcPr>
            <w:tcW w:w="2497"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6号员工宿舍楼楼顶西北角</w:t>
            </w:r>
          </w:p>
        </w:tc>
        <w:tc>
          <w:tcPr>
            <w:tcW w:w="1275" w:type="dxa"/>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全景摄像机</w:t>
            </w:r>
            <w:r>
              <w:rPr>
                <w:rFonts w:ascii="Arial" w:hAnsi="Arial" w:cs="Arial" w:eastAsiaTheme="minorEastAsia"/>
                <w:sz w:val="22"/>
                <w:szCs w:val="22"/>
              </w:rPr>
              <w:t>×</w:t>
            </w:r>
            <w:r>
              <w:rPr>
                <w:rFonts w:hint="eastAsia" w:asciiTheme="minorEastAsia" w:hAnsiTheme="minorEastAsia" w:eastAsiaTheme="minorEastAsia" w:cstheme="minorEastAsia"/>
                <w:sz w:val="22"/>
                <w:szCs w:val="22"/>
              </w:rPr>
              <w:t>1</w:t>
            </w:r>
          </w:p>
        </w:tc>
        <w:tc>
          <w:tcPr>
            <w:tcW w:w="5248"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隧道东口、浙航路、风华路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606"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w:t>
            </w:r>
          </w:p>
        </w:tc>
        <w:tc>
          <w:tcPr>
            <w:tcW w:w="2497"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信息大楼西南角</w:t>
            </w:r>
          </w:p>
        </w:tc>
        <w:tc>
          <w:tcPr>
            <w:tcW w:w="1275" w:type="dxa"/>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云台摄像机</w:t>
            </w:r>
            <w:r>
              <w:rPr>
                <w:rFonts w:ascii="Arial" w:hAnsi="Arial" w:cs="Arial" w:eastAsiaTheme="minorEastAsia"/>
                <w:sz w:val="22"/>
                <w:szCs w:val="22"/>
              </w:rPr>
              <w:t>×</w:t>
            </w:r>
            <w:r>
              <w:rPr>
                <w:rFonts w:hint="eastAsia" w:asciiTheme="minorEastAsia" w:hAnsiTheme="minorEastAsia" w:eastAsiaTheme="minorEastAsia" w:cstheme="minorEastAsia"/>
                <w:sz w:val="22"/>
                <w:szCs w:val="22"/>
              </w:rPr>
              <w:t>1</w:t>
            </w:r>
          </w:p>
        </w:tc>
        <w:tc>
          <w:tcPr>
            <w:tcW w:w="5248"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P4/ P5停车场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606"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w:t>
            </w:r>
          </w:p>
        </w:tc>
        <w:tc>
          <w:tcPr>
            <w:tcW w:w="2497"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国航宿舍楼楼顶西北角</w:t>
            </w:r>
          </w:p>
        </w:tc>
        <w:tc>
          <w:tcPr>
            <w:tcW w:w="1275" w:type="dxa"/>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云台摄像机</w:t>
            </w:r>
            <w:r>
              <w:rPr>
                <w:rFonts w:ascii="Arial" w:hAnsi="Arial" w:cs="Arial" w:eastAsiaTheme="minorEastAsia"/>
                <w:sz w:val="22"/>
                <w:szCs w:val="22"/>
              </w:rPr>
              <w:t>×</w:t>
            </w:r>
            <w:r>
              <w:rPr>
                <w:rFonts w:hint="eastAsia" w:asciiTheme="minorEastAsia" w:hAnsiTheme="minorEastAsia" w:eastAsiaTheme="minorEastAsia" w:cstheme="minorEastAsia"/>
                <w:sz w:val="22"/>
                <w:szCs w:val="22"/>
              </w:rPr>
              <w:t>1</w:t>
            </w:r>
          </w:p>
        </w:tc>
        <w:tc>
          <w:tcPr>
            <w:tcW w:w="5248"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浙航路东段、东大门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606"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w:t>
            </w:r>
          </w:p>
        </w:tc>
        <w:tc>
          <w:tcPr>
            <w:tcW w:w="2497"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空管塔台北侧</w:t>
            </w:r>
          </w:p>
        </w:tc>
        <w:tc>
          <w:tcPr>
            <w:tcW w:w="1275" w:type="dxa"/>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云台摄像机</w:t>
            </w:r>
            <w:r>
              <w:rPr>
                <w:rFonts w:ascii="Arial" w:hAnsi="Arial" w:cs="Arial" w:eastAsiaTheme="minorEastAsia"/>
                <w:sz w:val="22"/>
                <w:szCs w:val="22"/>
              </w:rPr>
              <w:t>×</w:t>
            </w:r>
            <w:r>
              <w:rPr>
                <w:rFonts w:hint="eastAsia" w:asciiTheme="minorEastAsia" w:hAnsiTheme="minorEastAsia" w:eastAsiaTheme="minorEastAsia" w:cstheme="minorEastAsia"/>
                <w:sz w:val="22"/>
                <w:szCs w:val="22"/>
              </w:rPr>
              <w:t>1</w:t>
            </w:r>
          </w:p>
        </w:tc>
        <w:tc>
          <w:tcPr>
            <w:tcW w:w="5248"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1号路（10号路以东段）、</w:t>
            </w:r>
          </w:p>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1号路14号路交叉口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606"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p>
        </w:tc>
        <w:tc>
          <w:tcPr>
            <w:tcW w:w="2497"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机场中石化加油站背面</w:t>
            </w:r>
          </w:p>
        </w:tc>
        <w:tc>
          <w:tcPr>
            <w:tcW w:w="1275" w:type="dxa"/>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高清球机</w:t>
            </w:r>
            <w:r>
              <w:rPr>
                <w:rFonts w:ascii="Arial" w:hAnsi="Arial" w:cs="Arial" w:eastAsiaTheme="minorEastAsia"/>
                <w:sz w:val="22"/>
                <w:szCs w:val="22"/>
              </w:rPr>
              <w:t>×</w:t>
            </w:r>
            <w:r>
              <w:rPr>
                <w:rFonts w:hint="eastAsia" w:asciiTheme="minorEastAsia" w:hAnsiTheme="minorEastAsia" w:eastAsiaTheme="minorEastAsia" w:cstheme="minorEastAsia"/>
                <w:sz w:val="22"/>
                <w:szCs w:val="22"/>
              </w:rPr>
              <w:t>1</w:t>
            </w:r>
          </w:p>
        </w:tc>
        <w:tc>
          <w:tcPr>
            <w:tcW w:w="5248"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翔天路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606" w:type="dxa"/>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w:t>
            </w:r>
          </w:p>
        </w:tc>
        <w:tc>
          <w:tcPr>
            <w:tcW w:w="2497" w:type="dxa"/>
            <w:vAlign w:val="center"/>
          </w:tcPr>
          <w:p>
            <w:pPr>
              <w:spacing w:line="360" w:lineRule="exact"/>
              <w:jc w:val="center"/>
              <w:rPr>
                <w:rFonts w:asciiTheme="minorEastAsia" w:hAnsiTheme="minorEastAsia" w:eastAsiaTheme="minorEastAsia" w:cstheme="minorEastAsia"/>
                <w:sz w:val="22"/>
                <w:szCs w:val="22"/>
              </w:rPr>
            </w:pPr>
            <w:r>
              <w:rPr>
                <w:rFonts w:hint="eastAsia" w:ascii="宋体" w:hAnsi="宋体" w:cs="Arial"/>
                <w:color w:val="000000"/>
                <w:kern w:val="0"/>
                <w:sz w:val="22"/>
              </w:rPr>
              <w:t>交通服务中心</w:t>
            </w:r>
          </w:p>
        </w:tc>
        <w:tc>
          <w:tcPr>
            <w:tcW w:w="1275" w:type="dxa"/>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高清半球</w:t>
            </w:r>
          </w:p>
          <w:p>
            <w:pPr>
              <w:spacing w:line="360" w:lineRule="exact"/>
              <w:jc w:val="center"/>
              <w:rPr>
                <w:rFonts w:asciiTheme="minorEastAsia" w:hAnsiTheme="minorEastAsia" w:eastAsiaTheme="minorEastAsia" w:cstheme="minorEastAsia"/>
                <w:sz w:val="22"/>
                <w:szCs w:val="22"/>
              </w:rPr>
            </w:pPr>
            <w:r>
              <w:rPr>
                <w:rFonts w:ascii="Arial" w:hAnsi="Arial" w:cs="Arial" w:eastAsiaTheme="minorEastAsia"/>
                <w:sz w:val="22"/>
                <w:szCs w:val="22"/>
              </w:rPr>
              <w:t>×</w:t>
            </w:r>
            <w:r>
              <w:rPr>
                <w:rFonts w:hint="eastAsia" w:asciiTheme="minorEastAsia" w:hAnsiTheme="minorEastAsia" w:eastAsiaTheme="minorEastAsia" w:cstheme="minorEastAsia"/>
                <w:sz w:val="22"/>
                <w:szCs w:val="22"/>
              </w:rPr>
              <w:t>3</w:t>
            </w:r>
          </w:p>
        </w:tc>
        <w:tc>
          <w:tcPr>
            <w:tcW w:w="5248" w:type="dxa"/>
            <w:vAlign w:val="center"/>
          </w:tcPr>
          <w:p>
            <w:pPr>
              <w:spacing w:line="360" w:lineRule="exact"/>
              <w:jc w:val="center"/>
              <w:rPr>
                <w:rFonts w:ascii="宋体" w:hAnsi="宋体" w:cs="Arial"/>
                <w:color w:val="000000"/>
                <w:kern w:val="0"/>
                <w:sz w:val="22"/>
              </w:rPr>
            </w:pPr>
          </w:p>
        </w:tc>
      </w:tr>
    </w:tbl>
    <w:p>
      <w:pPr>
        <w:adjustRightInd w:val="0"/>
        <w:snapToGrid w:val="0"/>
        <w:spacing w:line="360" w:lineRule="exact"/>
        <w:rPr>
          <w:rFonts w:ascii="宋体" w:hAnsi="宋体" w:cs="Calibri"/>
          <w:b/>
          <w:kern w:val="0"/>
          <w:sz w:val="22"/>
        </w:rPr>
      </w:pPr>
    </w:p>
    <w:p>
      <w:pPr>
        <w:pStyle w:val="4"/>
        <w:keepNext w:val="0"/>
        <w:numPr>
          <w:ilvl w:val="0"/>
          <w:numId w:val="0"/>
        </w:numPr>
        <w:tabs>
          <w:tab w:val="left" w:pos="720"/>
        </w:tabs>
        <w:snapToGrid w:val="0"/>
        <w:spacing w:line="360" w:lineRule="auto"/>
        <w:ind w:right="2" w:rightChars="1"/>
        <w:rPr>
          <w:rFonts w:cs="Arial"/>
          <w:sz w:val="22"/>
          <w:szCs w:val="22"/>
        </w:rPr>
      </w:pPr>
      <w:bookmarkStart w:id="265" w:name="_Toc386910852"/>
      <w:bookmarkStart w:id="266" w:name="_Toc392056806"/>
      <w:r>
        <w:rPr>
          <w:rFonts w:ascii="Times New Roman"/>
          <w:color w:val="000000"/>
          <w:sz w:val="30"/>
          <w:szCs w:val="30"/>
        </w:rPr>
        <w:t>1.5</w:t>
      </w:r>
      <w:r>
        <w:rPr>
          <w:rFonts w:hint="eastAsia" w:ascii="Times New Roman"/>
          <w:color w:val="000000"/>
          <w:sz w:val="30"/>
          <w:szCs w:val="30"/>
        </w:rPr>
        <w:t>参考工程量清单</w:t>
      </w:r>
      <w:bookmarkEnd w:id="197"/>
      <w:bookmarkEnd w:id="198"/>
      <w:bookmarkEnd w:id="199"/>
      <w:bookmarkEnd w:id="200"/>
      <w:bookmarkEnd w:id="201"/>
      <w:bookmarkEnd w:id="202"/>
      <w:bookmarkEnd w:id="264"/>
      <w:bookmarkEnd w:id="265"/>
      <w:bookmarkEnd w:id="266"/>
      <w:bookmarkStart w:id="267" w:name="_Toc107586469"/>
      <w:bookmarkStart w:id="268" w:name="_Toc119378534"/>
      <w:bookmarkStart w:id="269" w:name="_Toc122958973"/>
      <w:bookmarkStart w:id="270" w:name="_Toc124561208"/>
      <w:bookmarkStart w:id="271" w:name="_Toc113810222"/>
      <w:bookmarkStart w:id="272" w:name="_Toc119258201"/>
      <w:bookmarkStart w:id="273" w:name="_Toc119504362"/>
      <w:bookmarkStart w:id="274" w:name="_Toc127347687"/>
      <w:bookmarkStart w:id="275" w:name="_Toc214178028"/>
      <w:bookmarkStart w:id="276" w:name="_Toc123028574"/>
      <w:bookmarkStart w:id="277" w:name="_Toc119378346"/>
      <w:bookmarkStart w:id="278" w:name="_Toc386206737"/>
    </w:p>
    <w:tbl>
      <w:tblPr>
        <w:tblStyle w:val="19"/>
        <w:tblW w:w="9074" w:type="dxa"/>
        <w:jc w:val="center"/>
        <w:tblInd w:w="0" w:type="dxa"/>
        <w:tblLayout w:type="fixed"/>
        <w:tblCellMar>
          <w:top w:w="0" w:type="dxa"/>
          <w:left w:w="30" w:type="dxa"/>
          <w:bottom w:w="0" w:type="dxa"/>
          <w:right w:w="30" w:type="dxa"/>
        </w:tblCellMar>
      </w:tblPr>
      <w:tblGrid>
        <w:gridCol w:w="1346"/>
        <w:gridCol w:w="3334"/>
        <w:gridCol w:w="1350"/>
        <w:gridCol w:w="930"/>
        <w:gridCol w:w="2114"/>
      </w:tblGrid>
      <w:tr>
        <w:tblPrEx>
          <w:tblLayout w:type="fixed"/>
          <w:tblCellMar>
            <w:top w:w="0" w:type="dxa"/>
            <w:left w:w="30" w:type="dxa"/>
            <w:bottom w:w="0" w:type="dxa"/>
            <w:right w:w="30" w:type="dxa"/>
          </w:tblCellMar>
        </w:tblPrEx>
        <w:trPr>
          <w:trHeight w:val="442" w:hRule="atLeast"/>
          <w:jc w:val="center"/>
        </w:trPr>
        <w:tc>
          <w:tcPr>
            <w:tcW w:w="1346" w:type="dxa"/>
            <w:tcBorders>
              <w:top w:val="single" w:color="000000" w:sz="6" w:space="0"/>
              <w:left w:val="single" w:color="000000" w:sz="6" w:space="0"/>
              <w:bottom w:val="nil"/>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序号</w:t>
            </w:r>
          </w:p>
        </w:tc>
        <w:tc>
          <w:tcPr>
            <w:tcW w:w="3334" w:type="dxa"/>
            <w:tcBorders>
              <w:top w:val="single" w:color="000000" w:sz="6" w:space="0"/>
              <w:left w:val="single" w:color="000000" w:sz="6" w:space="0"/>
              <w:bottom w:val="nil"/>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设备名称</w:t>
            </w:r>
          </w:p>
        </w:tc>
        <w:tc>
          <w:tcPr>
            <w:tcW w:w="1350" w:type="dxa"/>
            <w:tcBorders>
              <w:top w:val="single" w:color="000000" w:sz="6" w:space="0"/>
              <w:left w:val="single" w:color="000000" w:sz="6" w:space="0"/>
              <w:bottom w:val="nil"/>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单位</w:t>
            </w:r>
          </w:p>
        </w:tc>
        <w:tc>
          <w:tcPr>
            <w:tcW w:w="930" w:type="dxa"/>
            <w:tcBorders>
              <w:top w:val="single" w:color="000000" w:sz="6" w:space="0"/>
              <w:left w:val="single" w:color="000000" w:sz="6" w:space="0"/>
              <w:bottom w:val="nil"/>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数量</w:t>
            </w:r>
          </w:p>
        </w:tc>
        <w:tc>
          <w:tcPr>
            <w:tcW w:w="2114" w:type="dxa"/>
            <w:tcBorders>
              <w:top w:val="single" w:color="000000" w:sz="6" w:space="0"/>
              <w:left w:val="single" w:color="000000" w:sz="6" w:space="0"/>
              <w:bottom w:val="nil"/>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备注</w:t>
            </w:r>
          </w:p>
        </w:tc>
      </w:tr>
      <w:tr>
        <w:tblPrEx>
          <w:tblLayout w:type="fixed"/>
          <w:tblCellMar>
            <w:top w:w="0" w:type="dxa"/>
            <w:left w:w="30" w:type="dxa"/>
            <w:bottom w:w="0" w:type="dxa"/>
            <w:right w:w="30" w:type="dxa"/>
          </w:tblCellMar>
        </w:tblPrEx>
        <w:trPr>
          <w:trHeight w:val="439" w:hRule="atLeast"/>
          <w:jc w:val="center"/>
        </w:trPr>
        <w:tc>
          <w:tcPr>
            <w:tcW w:w="1346"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333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全景摄像机</w:t>
            </w:r>
          </w:p>
        </w:tc>
        <w:tc>
          <w:tcPr>
            <w:tcW w:w="135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台</w:t>
            </w:r>
          </w:p>
        </w:tc>
        <w:tc>
          <w:tcPr>
            <w:tcW w:w="93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w:t>
            </w:r>
          </w:p>
        </w:tc>
        <w:tc>
          <w:tcPr>
            <w:tcW w:w="211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含支架</w:t>
            </w:r>
          </w:p>
        </w:tc>
      </w:tr>
      <w:tr>
        <w:tblPrEx>
          <w:tblLayout w:type="fixed"/>
          <w:tblCellMar>
            <w:top w:w="0" w:type="dxa"/>
            <w:left w:w="30" w:type="dxa"/>
            <w:bottom w:w="0" w:type="dxa"/>
            <w:right w:w="30" w:type="dxa"/>
          </w:tblCellMar>
        </w:tblPrEx>
        <w:trPr>
          <w:trHeight w:val="439" w:hRule="atLeast"/>
          <w:jc w:val="center"/>
        </w:trPr>
        <w:tc>
          <w:tcPr>
            <w:tcW w:w="1346"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333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高清半球</w:t>
            </w:r>
          </w:p>
        </w:tc>
        <w:tc>
          <w:tcPr>
            <w:tcW w:w="135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台</w:t>
            </w:r>
          </w:p>
        </w:tc>
        <w:tc>
          <w:tcPr>
            <w:tcW w:w="93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211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含电源</w:t>
            </w:r>
          </w:p>
        </w:tc>
      </w:tr>
      <w:tr>
        <w:tblPrEx>
          <w:tblLayout w:type="fixed"/>
          <w:tblCellMar>
            <w:top w:w="0" w:type="dxa"/>
            <w:left w:w="30" w:type="dxa"/>
            <w:bottom w:w="0" w:type="dxa"/>
            <w:right w:w="30" w:type="dxa"/>
          </w:tblCellMar>
        </w:tblPrEx>
        <w:trPr>
          <w:trHeight w:val="90" w:hRule="atLeast"/>
          <w:jc w:val="center"/>
        </w:trPr>
        <w:tc>
          <w:tcPr>
            <w:tcW w:w="1346"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333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高清球机</w:t>
            </w:r>
          </w:p>
        </w:tc>
        <w:tc>
          <w:tcPr>
            <w:tcW w:w="135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台</w:t>
            </w:r>
          </w:p>
        </w:tc>
        <w:tc>
          <w:tcPr>
            <w:tcW w:w="93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211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含支架</w:t>
            </w:r>
          </w:p>
        </w:tc>
      </w:tr>
      <w:tr>
        <w:tblPrEx>
          <w:tblLayout w:type="fixed"/>
          <w:tblCellMar>
            <w:top w:w="0" w:type="dxa"/>
            <w:left w:w="30" w:type="dxa"/>
            <w:bottom w:w="0" w:type="dxa"/>
            <w:right w:w="30" w:type="dxa"/>
          </w:tblCellMar>
        </w:tblPrEx>
        <w:trPr>
          <w:trHeight w:val="439" w:hRule="atLeast"/>
          <w:jc w:val="center"/>
        </w:trPr>
        <w:tc>
          <w:tcPr>
            <w:tcW w:w="1346"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c>
          <w:tcPr>
            <w:tcW w:w="333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一体化云台摄像机</w:t>
            </w:r>
          </w:p>
        </w:tc>
        <w:tc>
          <w:tcPr>
            <w:tcW w:w="135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台</w:t>
            </w:r>
          </w:p>
        </w:tc>
        <w:tc>
          <w:tcPr>
            <w:tcW w:w="93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c>
          <w:tcPr>
            <w:tcW w:w="211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含支架</w:t>
            </w:r>
          </w:p>
        </w:tc>
      </w:tr>
      <w:tr>
        <w:tblPrEx>
          <w:tblLayout w:type="fixed"/>
          <w:tblCellMar>
            <w:top w:w="0" w:type="dxa"/>
            <w:left w:w="30" w:type="dxa"/>
            <w:bottom w:w="0" w:type="dxa"/>
            <w:right w:w="30" w:type="dxa"/>
          </w:tblCellMar>
        </w:tblPrEx>
        <w:trPr>
          <w:trHeight w:val="439" w:hRule="atLeast"/>
          <w:jc w:val="center"/>
        </w:trPr>
        <w:tc>
          <w:tcPr>
            <w:tcW w:w="1346"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c>
          <w:tcPr>
            <w:tcW w:w="333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摄像机电源</w:t>
            </w:r>
          </w:p>
        </w:tc>
        <w:tc>
          <w:tcPr>
            <w:tcW w:w="135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个</w:t>
            </w:r>
          </w:p>
        </w:tc>
        <w:tc>
          <w:tcPr>
            <w:tcW w:w="93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w:t>
            </w:r>
          </w:p>
        </w:tc>
        <w:tc>
          <w:tcPr>
            <w:tcW w:w="211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金属外壳</w:t>
            </w:r>
          </w:p>
        </w:tc>
      </w:tr>
      <w:tr>
        <w:tblPrEx>
          <w:tblLayout w:type="fixed"/>
          <w:tblCellMar>
            <w:top w:w="0" w:type="dxa"/>
            <w:left w:w="30" w:type="dxa"/>
            <w:bottom w:w="0" w:type="dxa"/>
            <w:right w:w="30" w:type="dxa"/>
          </w:tblCellMar>
        </w:tblPrEx>
        <w:trPr>
          <w:trHeight w:val="439" w:hRule="atLeast"/>
          <w:jc w:val="center"/>
        </w:trPr>
        <w:tc>
          <w:tcPr>
            <w:tcW w:w="1346"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w:t>
            </w:r>
          </w:p>
        </w:tc>
        <w:tc>
          <w:tcPr>
            <w:tcW w:w="333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拾音器</w:t>
            </w:r>
          </w:p>
        </w:tc>
        <w:tc>
          <w:tcPr>
            <w:tcW w:w="135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个</w:t>
            </w:r>
          </w:p>
        </w:tc>
        <w:tc>
          <w:tcPr>
            <w:tcW w:w="93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211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与高清半球配套使用</w:t>
            </w:r>
          </w:p>
        </w:tc>
      </w:tr>
      <w:tr>
        <w:tblPrEx>
          <w:tblLayout w:type="fixed"/>
          <w:tblCellMar>
            <w:top w:w="0" w:type="dxa"/>
            <w:left w:w="30" w:type="dxa"/>
            <w:bottom w:w="0" w:type="dxa"/>
            <w:right w:w="30" w:type="dxa"/>
          </w:tblCellMar>
        </w:tblPrEx>
        <w:trPr>
          <w:trHeight w:val="439" w:hRule="atLeast"/>
          <w:jc w:val="center"/>
        </w:trPr>
        <w:tc>
          <w:tcPr>
            <w:tcW w:w="1346"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w:t>
            </w:r>
          </w:p>
        </w:tc>
        <w:tc>
          <w:tcPr>
            <w:tcW w:w="333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视频综合平台机箱</w:t>
            </w:r>
          </w:p>
        </w:tc>
        <w:tc>
          <w:tcPr>
            <w:tcW w:w="135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台</w:t>
            </w:r>
          </w:p>
        </w:tc>
        <w:tc>
          <w:tcPr>
            <w:tcW w:w="93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211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用于场区运控室</w:t>
            </w:r>
          </w:p>
        </w:tc>
      </w:tr>
      <w:tr>
        <w:tblPrEx>
          <w:tblLayout w:type="fixed"/>
          <w:tblCellMar>
            <w:top w:w="0" w:type="dxa"/>
            <w:left w:w="30" w:type="dxa"/>
            <w:bottom w:w="0" w:type="dxa"/>
            <w:right w:w="30" w:type="dxa"/>
          </w:tblCellMar>
        </w:tblPrEx>
        <w:trPr>
          <w:trHeight w:val="439" w:hRule="atLeast"/>
          <w:jc w:val="center"/>
        </w:trPr>
        <w:tc>
          <w:tcPr>
            <w:tcW w:w="1346"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w:t>
            </w:r>
          </w:p>
        </w:tc>
        <w:tc>
          <w:tcPr>
            <w:tcW w:w="333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HDMI解码输出板</w:t>
            </w:r>
          </w:p>
        </w:tc>
        <w:tc>
          <w:tcPr>
            <w:tcW w:w="135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块</w:t>
            </w:r>
          </w:p>
        </w:tc>
        <w:tc>
          <w:tcPr>
            <w:tcW w:w="93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211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p>
        </w:tc>
      </w:tr>
      <w:tr>
        <w:tblPrEx>
          <w:tblLayout w:type="fixed"/>
          <w:tblCellMar>
            <w:top w:w="0" w:type="dxa"/>
            <w:left w:w="30" w:type="dxa"/>
            <w:bottom w:w="0" w:type="dxa"/>
            <w:right w:w="30" w:type="dxa"/>
          </w:tblCellMar>
        </w:tblPrEx>
        <w:trPr>
          <w:trHeight w:val="439" w:hRule="atLeast"/>
          <w:jc w:val="center"/>
        </w:trPr>
        <w:tc>
          <w:tcPr>
            <w:tcW w:w="1346"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p>
        </w:tc>
        <w:tc>
          <w:tcPr>
            <w:tcW w:w="333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HDMI编码输入板</w:t>
            </w:r>
          </w:p>
        </w:tc>
        <w:tc>
          <w:tcPr>
            <w:tcW w:w="135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块</w:t>
            </w:r>
          </w:p>
        </w:tc>
        <w:tc>
          <w:tcPr>
            <w:tcW w:w="93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211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p>
        </w:tc>
      </w:tr>
      <w:tr>
        <w:tblPrEx>
          <w:tblLayout w:type="fixed"/>
          <w:tblCellMar>
            <w:top w:w="0" w:type="dxa"/>
            <w:left w:w="30" w:type="dxa"/>
            <w:bottom w:w="0" w:type="dxa"/>
            <w:right w:w="30" w:type="dxa"/>
          </w:tblCellMar>
        </w:tblPrEx>
        <w:trPr>
          <w:trHeight w:val="439" w:hRule="atLeast"/>
          <w:jc w:val="center"/>
        </w:trPr>
        <w:tc>
          <w:tcPr>
            <w:tcW w:w="1346"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w:t>
            </w:r>
          </w:p>
        </w:tc>
        <w:tc>
          <w:tcPr>
            <w:tcW w:w="333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扩容存储磁盘柜</w:t>
            </w:r>
          </w:p>
        </w:tc>
        <w:tc>
          <w:tcPr>
            <w:tcW w:w="135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台</w:t>
            </w:r>
          </w:p>
        </w:tc>
        <w:tc>
          <w:tcPr>
            <w:tcW w:w="93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211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含配套硬盘，实际裸容量不小于126T</w:t>
            </w:r>
          </w:p>
        </w:tc>
      </w:tr>
      <w:tr>
        <w:tblPrEx>
          <w:tblLayout w:type="fixed"/>
          <w:tblCellMar>
            <w:top w:w="0" w:type="dxa"/>
            <w:left w:w="30" w:type="dxa"/>
            <w:bottom w:w="0" w:type="dxa"/>
            <w:right w:w="30" w:type="dxa"/>
          </w:tblCellMar>
        </w:tblPrEx>
        <w:trPr>
          <w:trHeight w:val="439" w:hRule="atLeast"/>
          <w:jc w:val="center"/>
        </w:trPr>
        <w:tc>
          <w:tcPr>
            <w:tcW w:w="1346"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w:t>
            </w:r>
          </w:p>
        </w:tc>
        <w:tc>
          <w:tcPr>
            <w:tcW w:w="333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光纤收发器</w:t>
            </w:r>
          </w:p>
        </w:tc>
        <w:tc>
          <w:tcPr>
            <w:tcW w:w="135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对</w:t>
            </w:r>
          </w:p>
        </w:tc>
        <w:tc>
          <w:tcPr>
            <w:tcW w:w="93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18</w:t>
            </w:r>
          </w:p>
        </w:tc>
        <w:tc>
          <w:tcPr>
            <w:tcW w:w="211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与光收发配套机箱配套使用</w:t>
            </w:r>
          </w:p>
        </w:tc>
      </w:tr>
      <w:tr>
        <w:tblPrEx>
          <w:tblLayout w:type="fixed"/>
          <w:tblCellMar>
            <w:top w:w="0" w:type="dxa"/>
            <w:left w:w="30" w:type="dxa"/>
            <w:bottom w:w="0" w:type="dxa"/>
            <w:right w:w="30" w:type="dxa"/>
          </w:tblCellMar>
        </w:tblPrEx>
        <w:trPr>
          <w:trHeight w:val="439" w:hRule="atLeast"/>
          <w:jc w:val="center"/>
        </w:trPr>
        <w:tc>
          <w:tcPr>
            <w:tcW w:w="1346"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w:t>
            </w:r>
          </w:p>
        </w:tc>
        <w:tc>
          <w:tcPr>
            <w:tcW w:w="333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光收发配套机箱</w:t>
            </w:r>
          </w:p>
        </w:tc>
        <w:tc>
          <w:tcPr>
            <w:tcW w:w="135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台</w:t>
            </w:r>
          </w:p>
        </w:tc>
        <w:tc>
          <w:tcPr>
            <w:tcW w:w="93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211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p>
        </w:tc>
      </w:tr>
      <w:tr>
        <w:tblPrEx>
          <w:tblLayout w:type="fixed"/>
          <w:tblCellMar>
            <w:top w:w="0" w:type="dxa"/>
            <w:left w:w="30" w:type="dxa"/>
            <w:bottom w:w="0" w:type="dxa"/>
            <w:right w:w="30" w:type="dxa"/>
          </w:tblCellMar>
        </w:tblPrEx>
        <w:trPr>
          <w:trHeight w:val="439" w:hRule="atLeast"/>
          <w:jc w:val="center"/>
        </w:trPr>
        <w:tc>
          <w:tcPr>
            <w:tcW w:w="1346"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w:t>
            </w:r>
          </w:p>
        </w:tc>
        <w:tc>
          <w:tcPr>
            <w:tcW w:w="333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HDMI高清线</w:t>
            </w:r>
          </w:p>
        </w:tc>
        <w:tc>
          <w:tcPr>
            <w:tcW w:w="135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根</w:t>
            </w:r>
          </w:p>
        </w:tc>
        <w:tc>
          <w:tcPr>
            <w:tcW w:w="93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w:t>
            </w:r>
          </w:p>
        </w:tc>
        <w:tc>
          <w:tcPr>
            <w:tcW w:w="211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15米</w:t>
            </w:r>
          </w:p>
        </w:tc>
      </w:tr>
      <w:tr>
        <w:tblPrEx>
          <w:tblLayout w:type="fixed"/>
          <w:tblCellMar>
            <w:top w:w="0" w:type="dxa"/>
            <w:left w:w="30" w:type="dxa"/>
            <w:bottom w:w="0" w:type="dxa"/>
            <w:right w:w="30" w:type="dxa"/>
          </w:tblCellMar>
        </w:tblPrEx>
        <w:trPr>
          <w:trHeight w:val="439" w:hRule="atLeast"/>
          <w:jc w:val="center"/>
        </w:trPr>
        <w:tc>
          <w:tcPr>
            <w:tcW w:w="1346"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w:t>
            </w:r>
          </w:p>
        </w:tc>
        <w:tc>
          <w:tcPr>
            <w:tcW w:w="333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HDMI高清线</w:t>
            </w:r>
          </w:p>
        </w:tc>
        <w:tc>
          <w:tcPr>
            <w:tcW w:w="135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根</w:t>
            </w:r>
          </w:p>
        </w:tc>
        <w:tc>
          <w:tcPr>
            <w:tcW w:w="93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w:t>
            </w:r>
          </w:p>
        </w:tc>
        <w:tc>
          <w:tcPr>
            <w:tcW w:w="211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10米</w:t>
            </w:r>
          </w:p>
        </w:tc>
      </w:tr>
      <w:tr>
        <w:tblPrEx>
          <w:tblLayout w:type="fixed"/>
          <w:tblCellMar>
            <w:top w:w="0" w:type="dxa"/>
            <w:left w:w="30" w:type="dxa"/>
            <w:bottom w:w="0" w:type="dxa"/>
            <w:right w:w="30" w:type="dxa"/>
          </w:tblCellMar>
        </w:tblPrEx>
        <w:trPr>
          <w:trHeight w:val="90" w:hRule="atLeast"/>
          <w:jc w:val="center"/>
        </w:trPr>
        <w:tc>
          <w:tcPr>
            <w:tcW w:w="1346"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w:t>
            </w:r>
          </w:p>
        </w:tc>
        <w:tc>
          <w:tcPr>
            <w:tcW w:w="333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避雷装置</w:t>
            </w:r>
          </w:p>
        </w:tc>
        <w:tc>
          <w:tcPr>
            <w:tcW w:w="135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套</w:t>
            </w:r>
          </w:p>
        </w:tc>
        <w:tc>
          <w:tcPr>
            <w:tcW w:w="93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w:t>
            </w:r>
          </w:p>
        </w:tc>
        <w:tc>
          <w:tcPr>
            <w:tcW w:w="211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含电源防雷和网络防雷</w:t>
            </w:r>
          </w:p>
        </w:tc>
      </w:tr>
      <w:tr>
        <w:tblPrEx>
          <w:tblLayout w:type="fixed"/>
          <w:tblCellMar>
            <w:top w:w="0" w:type="dxa"/>
            <w:left w:w="30" w:type="dxa"/>
            <w:bottom w:w="0" w:type="dxa"/>
            <w:right w:w="30" w:type="dxa"/>
          </w:tblCellMar>
        </w:tblPrEx>
        <w:trPr>
          <w:trHeight w:val="502" w:hRule="atLeast"/>
          <w:jc w:val="center"/>
        </w:trPr>
        <w:tc>
          <w:tcPr>
            <w:tcW w:w="1346"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w:t>
            </w:r>
          </w:p>
        </w:tc>
        <w:tc>
          <w:tcPr>
            <w:tcW w:w="333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室外机箱</w:t>
            </w:r>
          </w:p>
        </w:tc>
        <w:tc>
          <w:tcPr>
            <w:tcW w:w="135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只</w:t>
            </w:r>
          </w:p>
        </w:tc>
        <w:tc>
          <w:tcPr>
            <w:tcW w:w="93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w:t>
            </w:r>
          </w:p>
        </w:tc>
        <w:tc>
          <w:tcPr>
            <w:tcW w:w="211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p>
        </w:tc>
      </w:tr>
      <w:tr>
        <w:tblPrEx>
          <w:tblLayout w:type="fixed"/>
          <w:tblCellMar>
            <w:top w:w="0" w:type="dxa"/>
            <w:left w:w="30" w:type="dxa"/>
            <w:bottom w:w="0" w:type="dxa"/>
            <w:right w:w="30" w:type="dxa"/>
          </w:tblCellMar>
        </w:tblPrEx>
        <w:trPr>
          <w:trHeight w:val="439" w:hRule="atLeast"/>
          <w:jc w:val="center"/>
        </w:trPr>
        <w:tc>
          <w:tcPr>
            <w:tcW w:w="1346"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17</w:t>
            </w:r>
          </w:p>
        </w:tc>
        <w:tc>
          <w:tcPr>
            <w:tcW w:w="333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定制支架</w:t>
            </w:r>
          </w:p>
        </w:tc>
        <w:tc>
          <w:tcPr>
            <w:tcW w:w="135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件</w:t>
            </w:r>
          </w:p>
        </w:tc>
        <w:tc>
          <w:tcPr>
            <w:tcW w:w="93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w:t>
            </w:r>
          </w:p>
        </w:tc>
        <w:tc>
          <w:tcPr>
            <w:tcW w:w="211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根据现场情况定制支架</w:t>
            </w:r>
          </w:p>
        </w:tc>
      </w:tr>
      <w:tr>
        <w:tblPrEx>
          <w:tblLayout w:type="fixed"/>
          <w:tblCellMar>
            <w:top w:w="0" w:type="dxa"/>
            <w:left w:w="30" w:type="dxa"/>
            <w:bottom w:w="0" w:type="dxa"/>
            <w:right w:w="30" w:type="dxa"/>
          </w:tblCellMar>
        </w:tblPrEx>
        <w:trPr>
          <w:trHeight w:val="439" w:hRule="atLeast"/>
          <w:jc w:val="center"/>
        </w:trPr>
        <w:tc>
          <w:tcPr>
            <w:tcW w:w="1346"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18</w:t>
            </w:r>
          </w:p>
        </w:tc>
        <w:tc>
          <w:tcPr>
            <w:tcW w:w="333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水泥基础</w:t>
            </w:r>
          </w:p>
        </w:tc>
        <w:tc>
          <w:tcPr>
            <w:tcW w:w="135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个</w:t>
            </w:r>
          </w:p>
        </w:tc>
        <w:tc>
          <w:tcPr>
            <w:tcW w:w="93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w:t>
            </w:r>
          </w:p>
        </w:tc>
        <w:tc>
          <w:tcPr>
            <w:tcW w:w="211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根据现场情况定制</w:t>
            </w:r>
          </w:p>
        </w:tc>
      </w:tr>
      <w:tr>
        <w:tblPrEx>
          <w:tblLayout w:type="fixed"/>
          <w:tblCellMar>
            <w:top w:w="0" w:type="dxa"/>
            <w:left w:w="30" w:type="dxa"/>
            <w:bottom w:w="0" w:type="dxa"/>
            <w:right w:w="30" w:type="dxa"/>
          </w:tblCellMar>
        </w:tblPrEx>
        <w:trPr>
          <w:trHeight w:val="439" w:hRule="atLeast"/>
          <w:jc w:val="center"/>
        </w:trPr>
        <w:tc>
          <w:tcPr>
            <w:tcW w:w="1346"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19</w:t>
            </w:r>
          </w:p>
        </w:tc>
        <w:tc>
          <w:tcPr>
            <w:tcW w:w="333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电源线</w:t>
            </w:r>
          </w:p>
        </w:tc>
        <w:tc>
          <w:tcPr>
            <w:tcW w:w="135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米</w:t>
            </w:r>
          </w:p>
        </w:tc>
        <w:tc>
          <w:tcPr>
            <w:tcW w:w="93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2500</w:t>
            </w:r>
          </w:p>
        </w:tc>
        <w:tc>
          <w:tcPr>
            <w:tcW w:w="211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RVV3*2.5</w:t>
            </w:r>
          </w:p>
        </w:tc>
      </w:tr>
      <w:tr>
        <w:tblPrEx>
          <w:tblLayout w:type="fixed"/>
          <w:tblCellMar>
            <w:top w:w="0" w:type="dxa"/>
            <w:left w:w="30" w:type="dxa"/>
            <w:bottom w:w="0" w:type="dxa"/>
            <w:right w:w="30" w:type="dxa"/>
          </w:tblCellMar>
        </w:tblPrEx>
        <w:trPr>
          <w:trHeight w:val="439" w:hRule="atLeast"/>
          <w:jc w:val="center"/>
        </w:trPr>
        <w:tc>
          <w:tcPr>
            <w:tcW w:w="1346"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w:t>
            </w:r>
          </w:p>
        </w:tc>
        <w:tc>
          <w:tcPr>
            <w:tcW w:w="333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光缆</w:t>
            </w:r>
          </w:p>
        </w:tc>
        <w:tc>
          <w:tcPr>
            <w:tcW w:w="135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米</w:t>
            </w:r>
          </w:p>
        </w:tc>
        <w:tc>
          <w:tcPr>
            <w:tcW w:w="930" w:type="dxa"/>
            <w:tcBorders>
              <w:top w:val="single" w:color="000000" w:sz="6" w:space="0"/>
              <w:left w:val="single" w:color="000000" w:sz="6" w:space="0"/>
              <w:bottom w:val="single" w:color="000000" w:sz="6" w:space="0"/>
              <w:right w:val="single" w:color="auto"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2500</w:t>
            </w:r>
          </w:p>
        </w:tc>
        <w:tc>
          <w:tcPr>
            <w:tcW w:w="211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单模6芯</w:t>
            </w:r>
          </w:p>
        </w:tc>
      </w:tr>
      <w:tr>
        <w:tblPrEx>
          <w:tblLayout w:type="fixed"/>
          <w:tblCellMar>
            <w:top w:w="0" w:type="dxa"/>
            <w:left w:w="30" w:type="dxa"/>
            <w:bottom w:w="0" w:type="dxa"/>
            <w:right w:w="30" w:type="dxa"/>
          </w:tblCellMar>
        </w:tblPrEx>
        <w:trPr>
          <w:trHeight w:val="637" w:hRule="atLeast"/>
          <w:jc w:val="center"/>
        </w:trPr>
        <w:tc>
          <w:tcPr>
            <w:tcW w:w="1346"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w:t>
            </w:r>
          </w:p>
        </w:tc>
        <w:tc>
          <w:tcPr>
            <w:tcW w:w="333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光纤熔接盒</w:t>
            </w:r>
          </w:p>
        </w:tc>
        <w:tc>
          <w:tcPr>
            <w:tcW w:w="135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个</w:t>
            </w:r>
          </w:p>
        </w:tc>
        <w:tc>
          <w:tcPr>
            <w:tcW w:w="930" w:type="dxa"/>
            <w:tcBorders>
              <w:top w:val="single" w:color="000000" w:sz="6" w:space="0"/>
              <w:left w:val="single" w:color="000000" w:sz="6" w:space="0"/>
              <w:bottom w:val="single" w:color="000000" w:sz="6" w:space="0"/>
              <w:right w:val="single" w:color="auto"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w:t>
            </w:r>
          </w:p>
        </w:tc>
        <w:tc>
          <w:tcPr>
            <w:tcW w:w="211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室外设备箱至机房，配满耦合器</w:t>
            </w:r>
          </w:p>
        </w:tc>
      </w:tr>
      <w:tr>
        <w:tblPrEx>
          <w:tblLayout w:type="fixed"/>
          <w:tblCellMar>
            <w:top w:w="0" w:type="dxa"/>
            <w:left w:w="30" w:type="dxa"/>
            <w:bottom w:w="0" w:type="dxa"/>
            <w:right w:w="30" w:type="dxa"/>
          </w:tblCellMar>
        </w:tblPrEx>
        <w:trPr>
          <w:trHeight w:val="439" w:hRule="atLeast"/>
          <w:jc w:val="center"/>
        </w:trPr>
        <w:tc>
          <w:tcPr>
            <w:tcW w:w="1346"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w:t>
            </w:r>
          </w:p>
        </w:tc>
        <w:tc>
          <w:tcPr>
            <w:tcW w:w="333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六类网线</w:t>
            </w:r>
          </w:p>
        </w:tc>
        <w:tc>
          <w:tcPr>
            <w:tcW w:w="135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米</w:t>
            </w:r>
          </w:p>
        </w:tc>
        <w:tc>
          <w:tcPr>
            <w:tcW w:w="930" w:type="dxa"/>
            <w:tcBorders>
              <w:top w:val="single" w:color="000000" w:sz="6" w:space="0"/>
              <w:left w:val="single" w:color="000000" w:sz="6" w:space="0"/>
              <w:bottom w:val="single" w:color="000000" w:sz="6" w:space="0"/>
              <w:right w:val="single" w:color="auto"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6000</w:t>
            </w:r>
          </w:p>
        </w:tc>
        <w:tc>
          <w:tcPr>
            <w:tcW w:w="211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UTP6</w:t>
            </w:r>
          </w:p>
        </w:tc>
      </w:tr>
      <w:tr>
        <w:tblPrEx>
          <w:tblLayout w:type="fixed"/>
          <w:tblCellMar>
            <w:top w:w="0" w:type="dxa"/>
            <w:left w:w="30" w:type="dxa"/>
            <w:bottom w:w="0" w:type="dxa"/>
            <w:right w:w="30" w:type="dxa"/>
          </w:tblCellMar>
        </w:tblPrEx>
        <w:trPr>
          <w:trHeight w:val="439" w:hRule="atLeast"/>
          <w:jc w:val="center"/>
        </w:trPr>
        <w:tc>
          <w:tcPr>
            <w:tcW w:w="1346"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23</w:t>
            </w:r>
          </w:p>
        </w:tc>
        <w:tc>
          <w:tcPr>
            <w:tcW w:w="333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KBG管</w:t>
            </w:r>
          </w:p>
        </w:tc>
        <w:tc>
          <w:tcPr>
            <w:tcW w:w="1350"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米</w:t>
            </w:r>
          </w:p>
        </w:tc>
        <w:tc>
          <w:tcPr>
            <w:tcW w:w="930" w:type="dxa"/>
            <w:tcBorders>
              <w:top w:val="single" w:color="000000" w:sz="6" w:space="0"/>
              <w:left w:val="single" w:color="000000" w:sz="6" w:space="0"/>
              <w:bottom w:val="single" w:color="000000" w:sz="6" w:space="0"/>
              <w:right w:val="single" w:color="auto"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3000</w:t>
            </w:r>
          </w:p>
        </w:tc>
        <w:tc>
          <w:tcPr>
            <w:tcW w:w="2114" w:type="dxa"/>
            <w:tcBorders>
              <w:top w:val="single" w:color="000000" w:sz="6" w:space="0"/>
              <w:left w:val="single" w:color="000000" w:sz="6" w:space="0"/>
              <w:bottom w:val="single" w:color="000000" w:sz="6" w:space="0"/>
              <w:right w:val="single" w:color="000000"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p>
        </w:tc>
      </w:tr>
      <w:tr>
        <w:tblPrEx>
          <w:tblLayout w:type="fixed"/>
          <w:tblCellMar>
            <w:top w:w="0" w:type="dxa"/>
            <w:left w:w="30" w:type="dxa"/>
            <w:bottom w:w="0" w:type="dxa"/>
            <w:right w:w="30" w:type="dxa"/>
          </w:tblCellMar>
        </w:tblPrEx>
        <w:trPr>
          <w:trHeight w:val="439" w:hRule="atLeast"/>
          <w:jc w:val="center"/>
        </w:trPr>
        <w:tc>
          <w:tcPr>
            <w:tcW w:w="1346" w:type="dxa"/>
            <w:tcBorders>
              <w:top w:val="single" w:color="auto" w:sz="6" w:space="0"/>
              <w:left w:val="single" w:color="auto" w:sz="6" w:space="0"/>
              <w:bottom w:val="single" w:color="auto" w:sz="6" w:space="0"/>
              <w:right w:val="single" w:color="auto"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24</w:t>
            </w:r>
          </w:p>
        </w:tc>
        <w:tc>
          <w:tcPr>
            <w:tcW w:w="3334"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48口网络配线架</w:t>
            </w:r>
          </w:p>
        </w:tc>
        <w:tc>
          <w:tcPr>
            <w:tcW w:w="1350" w:type="dxa"/>
            <w:tcBorders>
              <w:top w:val="single" w:color="auto" w:sz="6" w:space="0"/>
              <w:left w:val="single" w:color="auto" w:sz="6" w:space="0"/>
              <w:bottom w:val="single" w:color="auto" w:sz="6" w:space="0"/>
              <w:right w:val="single" w:color="auto"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个</w:t>
            </w:r>
          </w:p>
        </w:tc>
        <w:tc>
          <w:tcPr>
            <w:tcW w:w="93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211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heme="minorEastAsia" w:hAnsiTheme="minorEastAsia" w:eastAsiaTheme="minorEastAsia" w:cstheme="minorEastAsia"/>
                <w:sz w:val="22"/>
                <w:szCs w:val="22"/>
              </w:rPr>
            </w:pPr>
          </w:p>
        </w:tc>
      </w:tr>
      <w:tr>
        <w:tblPrEx>
          <w:tblLayout w:type="fixed"/>
          <w:tblCellMar>
            <w:top w:w="0" w:type="dxa"/>
            <w:left w:w="30" w:type="dxa"/>
            <w:bottom w:w="0" w:type="dxa"/>
            <w:right w:w="30" w:type="dxa"/>
          </w:tblCellMar>
        </w:tblPrEx>
        <w:trPr>
          <w:trHeight w:val="439" w:hRule="atLeast"/>
          <w:jc w:val="center"/>
        </w:trPr>
        <w:tc>
          <w:tcPr>
            <w:tcW w:w="1346" w:type="dxa"/>
            <w:tcBorders>
              <w:top w:val="single" w:color="auto" w:sz="6" w:space="0"/>
              <w:left w:val="single" w:color="auto" w:sz="6" w:space="0"/>
              <w:bottom w:val="single" w:color="auto" w:sz="6" w:space="0"/>
              <w:right w:val="single" w:color="auto"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25</w:t>
            </w:r>
          </w:p>
        </w:tc>
        <w:tc>
          <w:tcPr>
            <w:tcW w:w="3334"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机柜专用插线板</w:t>
            </w:r>
          </w:p>
        </w:tc>
        <w:tc>
          <w:tcPr>
            <w:tcW w:w="1350" w:type="dxa"/>
            <w:tcBorders>
              <w:top w:val="single" w:color="auto" w:sz="6" w:space="0"/>
              <w:left w:val="single" w:color="auto" w:sz="6" w:space="0"/>
              <w:bottom w:val="single" w:color="auto" w:sz="6" w:space="0"/>
              <w:right w:val="single" w:color="auto"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个</w:t>
            </w:r>
          </w:p>
        </w:tc>
        <w:tc>
          <w:tcPr>
            <w:tcW w:w="93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c>
          <w:tcPr>
            <w:tcW w:w="211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heme="minorEastAsia" w:hAnsiTheme="minorEastAsia" w:eastAsiaTheme="minorEastAsia" w:cstheme="minorEastAsia"/>
                <w:sz w:val="22"/>
                <w:szCs w:val="22"/>
              </w:rPr>
            </w:pPr>
          </w:p>
        </w:tc>
      </w:tr>
      <w:tr>
        <w:tblPrEx>
          <w:tblLayout w:type="fixed"/>
          <w:tblCellMar>
            <w:top w:w="0" w:type="dxa"/>
            <w:left w:w="30" w:type="dxa"/>
            <w:bottom w:w="0" w:type="dxa"/>
            <w:right w:w="30" w:type="dxa"/>
          </w:tblCellMar>
        </w:tblPrEx>
        <w:trPr>
          <w:trHeight w:val="439" w:hRule="atLeast"/>
          <w:jc w:val="center"/>
        </w:trPr>
        <w:tc>
          <w:tcPr>
            <w:tcW w:w="1346" w:type="dxa"/>
            <w:tcBorders>
              <w:top w:val="single" w:color="auto" w:sz="6" w:space="0"/>
              <w:left w:val="single" w:color="auto" w:sz="6" w:space="0"/>
              <w:bottom w:val="single" w:color="auto" w:sz="6" w:space="0"/>
              <w:right w:val="single" w:color="auto"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26</w:t>
            </w:r>
          </w:p>
        </w:tc>
        <w:tc>
          <w:tcPr>
            <w:tcW w:w="3334"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3孔网络面板</w:t>
            </w:r>
          </w:p>
        </w:tc>
        <w:tc>
          <w:tcPr>
            <w:tcW w:w="1350" w:type="dxa"/>
            <w:tcBorders>
              <w:top w:val="single" w:color="auto" w:sz="6" w:space="0"/>
              <w:left w:val="single" w:color="auto" w:sz="6" w:space="0"/>
              <w:bottom w:val="single" w:color="auto" w:sz="6" w:space="0"/>
              <w:right w:val="single" w:color="auto"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个</w:t>
            </w:r>
          </w:p>
        </w:tc>
        <w:tc>
          <w:tcPr>
            <w:tcW w:w="93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w:t>
            </w:r>
          </w:p>
        </w:tc>
        <w:tc>
          <w:tcPr>
            <w:tcW w:w="211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heme="minorEastAsia" w:hAnsiTheme="minorEastAsia" w:eastAsiaTheme="minorEastAsia" w:cstheme="minorEastAsia"/>
                <w:sz w:val="22"/>
                <w:szCs w:val="22"/>
              </w:rPr>
            </w:pPr>
          </w:p>
        </w:tc>
      </w:tr>
      <w:tr>
        <w:tblPrEx>
          <w:tblLayout w:type="fixed"/>
          <w:tblCellMar>
            <w:top w:w="0" w:type="dxa"/>
            <w:left w:w="30" w:type="dxa"/>
            <w:bottom w:w="0" w:type="dxa"/>
            <w:right w:w="30" w:type="dxa"/>
          </w:tblCellMar>
        </w:tblPrEx>
        <w:trPr>
          <w:trHeight w:val="635" w:hRule="atLeast"/>
          <w:jc w:val="center"/>
        </w:trPr>
        <w:tc>
          <w:tcPr>
            <w:tcW w:w="1346" w:type="dxa"/>
            <w:tcBorders>
              <w:top w:val="single" w:color="auto" w:sz="6" w:space="0"/>
              <w:left w:val="single" w:color="auto" w:sz="6" w:space="0"/>
              <w:bottom w:val="single" w:color="auto" w:sz="6" w:space="0"/>
              <w:right w:val="single" w:color="auto"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w:t>
            </w:r>
          </w:p>
        </w:tc>
        <w:tc>
          <w:tcPr>
            <w:tcW w:w="3334"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24口企业级接入层交换机</w:t>
            </w:r>
          </w:p>
        </w:tc>
        <w:tc>
          <w:tcPr>
            <w:tcW w:w="1350" w:type="dxa"/>
            <w:tcBorders>
              <w:top w:val="single" w:color="auto" w:sz="6" w:space="0"/>
              <w:left w:val="single" w:color="auto" w:sz="6" w:space="0"/>
              <w:bottom w:val="single" w:color="auto" w:sz="6" w:space="0"/>
              <w:right w:val="single" w:color="auto"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台</w:t>
            </w:r>
          </w:p>
        </w:tc>
        <w:tc>
          <w:tcPr>
            <w:tcW w:w="93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211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每台至少含2个光模块</w:t>
            </w:r>
          </w:p>
        </w:tc>
      </w:tr>
      <w:tr>
        <w:tblPrEx>
          <w:tblLayout w:type="fixed"/>
          <w:tblCellMar>
            <w:top w:w="0" w:type="dxa"/>
            <w:left w:w="30" w:type="dxa"/>
            <w:bottom w:w="0" w:type="dxa"/>
            <w:right w:w="30" w:type="dxa"/>
          </w:tblCellMar>
        </w:tblPrEx>
        <w:trPr>
          <w:trHeight w:val="525" w:hRule="atLeast"/>
          <w:jc w:val="center"/>
        </w:trPr>
        <w:tc>
          <w:tcPr>
            <w:tcW w:w="1346" w:type="dxa"/>
            <w:tcBorders>
              <w:top w:val="single" w:color="auto" w:sz="6" w:space="0"/>
              <w:left w:val="single" w:color="auto" w:sz="6" w:space="0"/>
              <w:bottom w:val="single" w:color="auto" w:sz="6" w:space="0"/>
              <w:right w:val="single" w:color="auto"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28</w:t>
            </w:r>
          </w:p>
        </w:tc>
        <w:tc>
          <w:tcPr>
            <w:tcW w:w="3334"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PC工作站</w:t>
            </w:r>
          </w:p>
        </w:tc>
        <w:tc>
          <w:tcPr>
            <w:tcW w:w="1350" w:type="dxa"/>
            <w:tcBorders>
              <w:top w:val="single" w:color="auto" w:sz="6" w:space="0"/>
              <w:left w:val="single" w:color="auto" w:sz="6" w:space="0"/>
              <w:bottom w:val="single" w:color="auto" w:sz="6" w:space="0"/>
              <w:right w:val="single" w:color="auto"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台</w:t>
            </w:r>
          </w:p>
        </w:tc>
        <w:tc>
          <w:tcPr>
            <w:tcW w:w="93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211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包括主机、显示器、键盘、鼠标</w:t>
            </w:r>
          </w:p>
        </w:tc>
      </w:tr>
      <w:tr>
        <w:tblPrEx>
          <w:tblLayout w:type="fixed"/>
          <w:tblCellMar>
            <w:top w:w="0" w:type="dxa"/>
            <w:left w:w="30" w:type="dxa"/>
            <w:bottom w:w="0" w:type="dxa"/>
            <w:right w:w="30" w:type="dxa"/>
          </w:tblCellMar>
        </w:tblPrEx>
        <w:trPr>
          <w:trHeight w:val="525" w:hRule="atLeast"/>
          <w:jc w:val="center"/>
        </w:trPr>
        <w:tc>
          <w:tcPr>
            <w:tcW w:w="1346" w:type="dxa"/>
            <w:tcBorders>
              <w:top w:val="single" w:color="auto" w:sz="6" w:space="0"/>
              <w:left w:val="single" w:color="auto" w:sz="6" w:space="0"/>
              <w:bottom w:val="single" w:color="auto" w:sz="6" w:space="0"/>
              <w:right w:val="single" w:color="auto"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29</w:t>
            </w:r>
          </w:p>
        </w:tc>
        <w:tc>
          <w:tcPr>
            <w:tcW w:w="3334"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彩色激光多功能一体机</w:t>
            </w:r>
          </w:p>
        </w:tc>
        <w:tc>
          <w:tcPr>
            <w:tcW w:w="1350" w:type="dxa"/>
            <w:tcBorders>
              <w:top w:val="single" w:color="auto" w:sz="6" w:space="0"/>
              <w:left w:val="single" w:color="auto" w:sz="6" w:space="0"/>
              <w:bottom w:val="single" w:color="auto" w:sz="6" w:space="0"/>
              <w:right w:val="single" w:color="auto"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台</w:t>
            </w:r>
          </w:p>
        </w:tc>
        <w:tc>
          <w:tcPr>
            <w:tcW w:w="93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211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打印、复印、扫描、传真</w:t>
            </w:r>
          </w:p>
        </w:tc>
      </w:tr>
      <w:tr>
        <w:tblPrEx>
          <w:tblLayout w:type="fixed"/>
          <w:tblCellMar>
            <w:top w:w="0" w:type="dxa"/>
            <w:left w:w="30" w:type="dxa"/>
            <w:bottom w:w="0" w:type="dxa"/>
            <w:right w:w="30" w:type="dxa"/>
          </w:tblCellMar>
        </w:tblPrEx>
        <w:trPr>
          <w:trHeight w:val="439" w:hRule="atLeast"/>
          <w:jc w:val="center"/>
        </w:trPr>
        <w:tc>
          <w:tcPr>
            <w:tcW w:w="1346" w:type="dxa"/>
            <w:tcBorders>
              <w:top w:val="single" w:color="auto" w:sz="6" w:space="0"/>
              <w:left w:val="single" w:color="auto" w:sz="6" w:space="0"/>
              <w:bottom w:val="single" w:color="auto" w:sz="6" w:space="0"/>
              <w:right w:val="single" w:color="auto"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w:t>
            </w:r>
          </w:p>
        </w:tc>
        <w:tc>
          <w:tcPr>
            <w:tcW w:w="3334"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辅材</w:t>
            </w:r>
          </w:p>
        </w:tc>
        <w:tc>
          <w:tcPr>
            <w:tcW w:w="1350" w:type="dxa"/>
            <w:tcBorders>
              <w:top w:val="single" w:color="auto" w:sz="6" w:space="0"/>
              <w:left w:val="single" w:color="auto" w:sz="6" w:space="0"/>
              <w:bottom w:val="single" w:color="auto" w:sz="6" w:space="0"/>
              <w:right w:val="single" w:color="auto" w:sz="6" w:space="0"/>
            </w:tcBorders>
            <w:shd w:val="solid" w:color="FFFFFF" w:fill="auto"/>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批</w:t>
            </w:r>
          </w:p>
        </w:tc>
        <w:tc>
          <w:tcPr>
            <w:tcW w:w="93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211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heme="minorEastAsia" w:hAnsiTheme="minorEastAsia" w:eastAsiaTheme="minorEastAsia" w:cstheme="minorEastAsia"/>
                <w:sz w:val="22"/>
                <w:szCs w:val="22"/>
              </w:rPr>
            </w:pPr>
          </w:p>
        </w:tc>
      </w:tr>
    </w:tbl>
    <w:p>
      <w:pPr>
        <w:pStyle w:val="13"/>
        <w:snapToGrid w:val="0"/>
        <w:spacing w:before="0" w:beforeAutospacing="0" w:after="0" w:afterAutospacing="0" w:line="360" w:lineRule="auto"/>
        <w:jc w:val="both"/>
        <w:rPr>
          <w:rFonts w:ascii="宋体" w:cs="Arial"/>
          <w:sz w:val="22"/>
          <w:szCs w:val="22"/>
        </w:rPr>
      </w:pPr>
    </w:p>
    <w:p>
      <w:pPr>
        <w:pStyle w:val="13"/>
        <w:snapToGrid w:val="0"/>
        <w:spacing w:before="0" w:beforeAutospacing="0" w:after="0" w:afterAutospacing="0" w:line="360" w:lineRule="auto"/>
        <w:ind w:firstLine="440" w:firstLineChars="200"/>
        <w:jc w:val="both"/>
        <w:rPr>
          <w:rFonts w:ascii="宋体" w:cs="Arial"/>
          <w:color w:val="auto"/>
          <w:sz w:val="22"/>
          <w:szCs w:val="22"/>
        </w:rPr>
      </w:pPr>
      <w:r>
        <w:rPr>
          <w:rFonts w:hint="eastAsia" w:ascii="宋体" w:hAnsi="宋体" w:cs="Arial"/>
          <w:color w:val="auto"/>
          <w:sz w:val="22"/>
          <w:szCs w:val="22"/>
        </w:rPr>
        <w:t>以上所述招标范围的工程施工内容并非详细完整的工程内容，投标人必须仔细踏勘现场，准确掌握全部工程内容。投标人须充分考虑机场现有安防系统及其专用网络所使用设备的品牌和型号，所采购的设备能接入现有的系统和平台，与现有系统兼容。若投标人认为所投的设备品牌型号接入现有的系统和平台需额外增加设备，该类设备由投标人负责提供。若有遗漏或缺项报价的风险由投标人承担，投标人认为有遗漏或缺项报价的请另附页列明。</w:t>
      </w:r>
    </w:p>
    <w:p>
      <w:pPr>
        <w:pStyle w:val="3"/>
        <w:keepNext w:val="0"/>
        <w:keepLines w:val="0"/>
        <w:tabs>
          <w:tab w:val="left" w:pos="576"/>
        </w:tabs>
        <w:spacing w:before="0"/>
        <w:jc w:val="both"/>
        <w:rPr>
          <w:rFonts w:ascii="Times New Roman" w:hAnsi="Times New Roman"/>
          <w:color w:val="000000"/>
          <w:sz w:val="30"/>
          <w:szCs w:val="30"/>
        </w:rPr>
      </w:pPr>
      <w:bookmarkStart w:id="279" w:name="_Toc119378303"/>
      <w:bookmarkStart w:id="280" w:name="_Toc123028544"/>
      <w:bookmarkStart w:id="281" w:name="_Toc119504318"/>
      <w:bookmarkStart w:id="282" w:name="_Toc119258136"/>
      <w:bookmarkStart w:id="283" w:name="_Toc127347657"/>
      <w:bookmarkStart w:id="284" w:name="_Toc214178004"/>
      <w:bookmarkStart w:id="285" w:name="_Toc122958942"/>
      <w:bookmarkStart w:id="286" w:name="_Toc124561178"/>
      <w:bookmarkStart w:id="287" w:name="_Toc119378491"/>
      <w:bookmarkStart w:id="288" w:name="_Toc392056813"/>
      <w:r>
        <w:rPr>
          <w:rFonts w:ascii="Times New Roman" w:hAnsi="Times New Roman"/>
          <w:color w:val="000000"/>
          <w:sz w:val="30"/>
          <w:szCs w:val="30"/>
        </w:rPr>
        <w:t xml:space="preserve">1.6 </w:t>
      </w:r>
      <w:r>
        <w:rPr>
          <w:rFonts w:hint="eastAsia" w:ascii="Times New Roman" w:hAnsi="Times New Roman" w:cs="宋体"/>
          <w:color w:val="000000"/>
          <w:sz w:val="30"/>
          <w:szCs w:val="30"/>
        </w:rPr>
        <w:t>详细技术要求</w:t>
      </w:r>
      <w:bookmarkEnd w:id="279"/>
      <w:bookmarkEnd w:id="280"/>
      <w:bookmarkEnd w:id="281"/>
      <w:bookmarkEnd w:id="282"/>
      <w:bookmarkEnd w:id="283"/>
      <w:bookmarkEnd w:id="284"/>
      <w:bookmarkEnd w:id="285"/>
      <w:bookmarkEnd w:id="286"/>
      <w:bookmarkEnd w:id="287"/>
      <w:bookmarkEnd w:id="288"/>
    </w:p>
    <w:p>
      <w:pPr>
        <w:pStyle w:val="5"/>
        <w:keepNext w:val="0"/>
        <w:keepLines w:val="0"/>
        <w:tabs>
          <w:tab w:val="left" w:pos="900"/>
          <w:tab w:val="left" w:pos="1584"/>
        </w:tabs>
        <w:snapToGrid w:val="0"/>
        <w:spacing w:before="0" w:after="0" w:line="360" w:lineRule="auto"/>
        <w:ind w:left="1584" w:right="2" w:rightChars="1" w:hanging="1584"/>
        <w:rPr>
          <w:rFonts w:ascii="宋体" w:hAnsi="宋体" w:eastAsia="宋体" w:cs="宋体"/>
          <w:color w:val="000000"/>
          <w:sz w:val="22"/>
          <w:szCs w:val="22"/>
        </w:rPr>
      </w:pPr>
      <w:bookmarkStart w:id="289" w:name="_Toc128984433"/>
      <w:r>
        <w:rPr>
          <w:rFonts w:ascii="Times New Roman" w:hAnsi="Times New Roman" w:eastAsia="宋体"/>
          <w:sz w:val="22"/>
          <w:szCs w:val="22"/>
        </w:rPr>
        <w:t xml:space="preserve">1.6.1 </w:t>
      </w:r>
      <w:r>
        <w:rPr>
          <w:rFonts w:hint="eastAsia" w:ascii="宋体" w:hAnsi="宋体" w:eastAsia="宋体" w:cs="宋体"/>
          <w:color w:val="000000"/>
          <w:sz w:val="22"/>
          <w:szCs w:val="22"/>
        </w:rPr>
        <w:t>总体性能指标</w:t>
      </w:r>
    </w:p>
    <w:bookmarkEnd w:id="289"/>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cs="宋体"/>
          <w:color w:val="000000"/>
          <w:sz w:val="22"/>
          <w:lang w:val="zh-TW"/>
        </w:rPr>
      </w:pPr>
      <w:r>
        <w:rPr>
          <w:sz w:val="22"/>
          <w:szCs w:val="22"/>
        </w:rPr>
        <w:t>1.6.1.</w:t>
      </w:r>
      <w:r>
        <w:rPr>
          <w:rFonts w:hint="eastAsia"/>
          <w:sz w:val="22"/>
          <w:szCs w:val="22"/>
        </w:rPr>
        <w:t>1</w:t>
      </w:r>
      <w:r>
        <w:rPr>
          <w:rFonts w:hint="eastAsia" w:ascii="宋体" w:hAnsi="宋体"/>
          <w:bCs w:val="0"/>
          <w:color w:val="000000"/>
          <w:sz w:val="22"/>
          <w:szCs w:val="22"/>
        </w:rPr>
        <w:t>全景</w:t>
      </w:r>
      <w:r>
        <w:rPr>
          <w:rFonts w:hint="eastAsia" w:ascii="宋体" w:hAnsi="宋体" w:cs="宋体"/>
          <w:color w:val="000000"/>
          <w:sz w:val="22"/>
          <w:lang w:val="zh-TW"/>
        </w:rPr>
        <w:t>摄像机</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16" w:firstLineChars="98"/>
        <w:rPr>
          <w:rFonts w:ascii="宋体"/>
          <w:bCs w:val="0"/>
          <w:color w:val="000000"/>
          <w:sz w:val="22"/>
          <w:szCs w:val="22"/>
        </w:rPr>
      </w:pPr>
      <w:r>
        <w:rPr>
          <w:rFonts w:hint="eastAsia" w:ascii="宋体" w:hAnsi="宋体"/>
          <w:bCs w:val="0"/>
          <w:color w:val="000000"/>
          <w:sz w:val="22"/>
          <w:szCs w:val="22"/>
        </w:rPr>
        <w:t>可接受的标准化产品品牌为：</w:t>
      </w:r>
      <w:r>
        <w:rPr>
          <w:rFonts w:hint="eastAsia" w:ascii="宋体" w:hAnsi="宋体"/>
          <w:sz w:val="22"/>
        </w:rPr>
        <w:t>大华、海康、宇视</w:t>
      </w:r>
      <w:r>
        <w:rPr>
          <w:rFonts w:hint="eastAsia" w:ascii="宋体" w:hAnsi="宋体"/>
          <w:bCs w:val="0"/>
          <w:color w:val="000000"/>
          <w:sz w:val="22"/>
          <w:szCs w:val="22"/>
        </w:rPr>
        <w:t>同等或以上档次品牌。</w:t>
      </w:r>
    </w:p>
    <w:tbl>
      <w:tblPr>
        <w:tblStyle w:val="19"/>
        <w:tblW w:w="9562" w:type="dxa"/>
        <w:jc w:val="center"/>
        <w:tblInd w:w="0" w:type="dxa"/>
        <w:tblLayout w:type="fixed"/>
        <w:tblCellMar>
          <w:top w:w="0" w:type="dxa"/>
          <w:left w:w="0" w:type="dxa"/>
          <w:bottom w:w="0" w:type="dxa"/>
          <w:right w:w="0" w:type="dxa"/>
        </w:tblCellMar>
      </w:tblPr>
      <w:tblGrid>
        <w:gridCol w:w="495"/>
        <w:gridCol w:w="1676"/>
        <w:gridCol w:w="7391"/>
      </w:tblGrid>
      <w:tr>
        <w:tblPrEx>
          <w:tblLayout w:type="fixed"/>
          <w:tblCellMar>
            <w:top w:w="0" w:type="dxa"/>
            <w:left w:w="0" w:type="dxa"/>
            <w:bottom w:w="0" w:type="dxa"/>
            <w:right w:w="0" w:type="dxa"/>
          </w:tblCellMar>
        </w:tblPrEx>
        <w:trPr>
          <w:trHeight w:val="28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序号</w:t>
            </w:r>
          </w:p>
        </w:tc>
        <w:tc>
          <w:tcPr>
            <w:tcW w:w="90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主要特征需求</w:t>
            </w:r>
          </w:p>
        </w:tc>
      </w:tr>
      <w:tr>
        <w:tblPrEx>
          <w:tblLayout w:type="fixed"/>
          <w:tblCellMar>
            <w:top w:w="0" w:type="dxa"/>
            <w:left w:w="0" w:type="dxa"/>
            <w:bottom w:w="0" w:type="dxa"/>
            <w:right w:w="0" w:type="dxa"/>
          </w:tblCellMar>
        </w:tblPrEx>
        <w:trPr>
          <w:trHeight w:val="28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传感器类型</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全景≥1/1.8英寸CMOS  ；球机≥1/1.8英寸CMOS</w:t>
            </w:r>
          </w:p>
        </w:tc>
      </w:tr>
      <w:tr>
        <w:tblPrEx>
          <w:tblLayout w:type="fixed"/>
          <w:tblCellMar>
            <w:top w:w="0" w:type="dxa"/>
            <w:left w:w="0" w:type="dxa"/>
            <w:bottom w:w="0" w:type="dxa"/>
            <w:right w:w="0" w:type="dxa"/>
          </w:tblCellMar>
        </w:tblPrEx>
        <w:trPr>
          <w:trHeight w:val="28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分辨率</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全景≥8192×1800；球机≥1920×1080</w:t>
            </w:r>
          </w:p>
        </w:tc>
      </w:tr>
      <w:tr>
        <w:tblPrEx>
          <w:tblLayout w:type="fixed"/>
          <w:tblCellMar>
            <w:top w:w="0" w:type="dxa"/>
            <w:left w:w="0" w:type="dxa"/>
            <w:bottom w:w="0" w:type="dxa"/>
            <w:right w:w="0" w:type="dxa"/>
          </w:tblCellMar>
        </w:tblPrEx>
        <w:trPr>
          <w:trHeight w:val="28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图像像素</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≥1600万像素</w:t>
            </w:r>
          </w:p>
        </w:tc>
      </w:tr>
      <w:tr>
        <w:tblPrEx>
          <w:tblLayout w:type="fixed"/>
          <w:tblCellMar>
            <w:top w:w="0" w:type="dxa"/>
            <w:left w:w="0" w:type="dxa"/>
            <w:bottom w:w="0" w:type="dxa"/>
            <w:right w:w="0" w:type="dxa"/>
          </w:tblCellMar>
        </w:tblPrEx>
        <w:trPr>
          <w:trHeight w:val="28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最大补光距离</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全景≥30米；球机：≥450米</w:t>
            </w:r>
          </w:p>
        </w:tc>
      </w:tr>
      <w:tr>
        <w:tblPrEx>
          <w:tblLayout w:type="fixed"/>
          <w:tblCellMar>
            <w:top w:w="0" w:type="dxa"/>
            <w:left w:w="0" w:type="dxa"/>
            <w:bottom w:w="0" w:type="dxa"/>
            <w:right w:w="0" w:type="dxa"/>
          </w:tblCellMar>
        </w:tblPrEx>
        <w:trPr>
          <w:trHeight w:val="40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最低照度</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0.001Lux(彩色模式);0.0001Lux(黑白模式);0Lux(红外灯开启)</w:t>
            </w:r>
          </w:p>
        </w:tc>
      </w:tr>
      <w:tr>
        <w:tblPrEx>
          <w:tblLayout w:type="fixed"/>
          <w:tblCellMar>
            <w:top w:w="0" w:type="dxa"/>
            <w:left w:w="0" w:type="dxa"/>
            <w:bottom w:w="0" w:type="dxa"/>
            <w:right w:w="0" w:type="dxa"/>
          </w:tblCellMar>
        </w:tblPrEx>
        <w:trPr>
          <w:trHeight w:val="28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日夜转换</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ICR自动切换</w:t>
            </w:r>
          </w:p>
        </w:tc>
      </w:tr>
      <w:tr>
        <w:tblPrEx>
          <w:tblLayout w:type="fixed"/>
          <w:tblCellMar>
            <w:top w:w="0" w:type="dxa"/>
            <w:left w:w="0" w:type="dxa"/>
            <w:bottom w:w="0" w:type="dxa"/>
            <w:right w:w="0" w:type="dxa"/>
          </w:tblCellMar>
        </w:tblPrEx>
        <w:trPr>
          <w:trHeight w:val="28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镜头类型</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全景： 定焦； 球机： 电动变焦</w:t>
            </w:r>
          </w:p>
        </w:tc>
      </w:tr>
      <w:tr>
        <w:tblPrEx>
          <w:tblLayout w:type="fixed"/>
          <w:tblCellMar>
            <w:top w:w="0" w:type="dxa"/>
            <w:left w:w="0" w:type="dxa"/>
            <w:bottom w:w="0" w:type="dxa"/>
            <w:right w:w="0" w:type="dxa"/>
          </w:tblCellMar>
        </w:tblPrEx>
        <w:trPr>
          <w:trHeight w:val="28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镜头焦距</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全景：5mm；球机：6.25mm～300mm</w:t>
            </w:r>
          </w:p>
        </w:tc>
      </w:tr>
      <w:tr>
        <w:tblPrEx>
          <w:tblLayout w:type="fixed"/>
          <w:tblCellMar>
            <w:top w:w="0" w:type="dxa"/>
            <w:left w:w="0" w:type="dxa"/>
            <w:bottom w:w="0" w:type="dxa"/>
            <w:right w:w="0" w:type="dxa"/>
          </w:tblCellMar>
        </w:tblPrEx>
        <w:trPr>
          <w:trHeight w:val="42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宽动态</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≥120dB</w:t>
            </w:r>
          </w:p>
        </w:tc>
      </w:tr>
      <w:tr>
        <w:tblPrEx>
          <w:tblLayout w:type="fixed"/>
          <w:tblCellMar>
            <w:top w:w="0" w:type="dxa"/>
            <w:left w:w="0" w:type="dxa"/>
            <w:bottom w:w="0" w:type="dxa"/>
            <w:right w:w="0" w:type="dxa"/>
          </w:tblCellMar>
        </w:tblPrEx>
        <w:trPr>
          <w:trHeight w:val="28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镜头光圈</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全景： F2.0 球机： F1.3</w:t>
            </w:r>
          </w:p>
        </w:tc>
      </w:tr>
      <w:tr>
        <w:tblPrEx>
          <w:tblLayout w:type="fixed"/>
          <w:tblCellMar>
            <w:top w:w="0" w:type="dxa"/>
            <w:left w:w="0" w:type="dxa"/>
            <w:bottom w:w="0" w:type="dxa"/>
            <w:right w:w="0" w:type="dxa"/>
          </w:tblCellMar>
        </w:tblPrEx>
        <w:trPr>
          <w:trHeight w:val="28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信噪比</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＞56dB</w:t>
            </w:r>
          </w:p>
        </w:tc>
      </w:tr>
      <w:tr>
        <w:tblPrEx>
          <w:tblLayout w:type="fixed"/>
          <w:tblCellMar>
            <w:top w:w="0" w:type="dxa"/>
            <w:left w:w="0" w:type="dxa"/>
            <w:bottom w:w="0" w:type="dxa"/>
            <w:right w:w="0" w:type="dxa"/>
          </w:tblCellMar>
        </w:tblPrEx>
        <w:trPr>
          <w:trHeight w:val="28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数字变倍</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球机</w:t>
            </w:r>
            <w:r>
              <w:rPr>
                <w:rFonts w:ascii="宋体" w:hAnsi="宋体" w:cs="宋体"/>
                <w:color w:val="000000"/>
                <w:kern w:val="0"/>
                <w:sz w:val="22"/>
                <w:szCs w:val="22"/>
                <w:lang w:bidi="ar"/>
              </w:rPr>
              <w:t>≥</w:t>
            </w:r>
            <w:r>
              <w:rPr>
                <w:rFonts w:hint="eastAsia" w:ascii="宋体" w:hAnsi="宋体" w:cs="宋体"/>
                <w:color w:val="000000"/>
                <w:kern w:val="0"/>
                <w:sz w:val="22"/>
                <w:szCs w:val="22"/>
                <w:lang w:bidi="ar"/>
              </w:rPr>
              <w:t>16倍</w:t>
            </w:r>
          </w:p>
        </w:tc>
      </w:tr>
      <w:tr>
        <w:tblPrEx>
          <w:tblLayout w:type="fixed"/>
          <w:tblCellMar>
            <w:top w:w="0" w:type="dxa"/>
            <w:left w:w="0" w:type="dxa"/>
            <w:bottom w:w="0" w:type="dxa"/>
            <w:right w:w="0" w:type="dxa"/>
          </w:tblCellMar>
        </w:tblPrEx>
        <w:trPr>
          <w:trHeight w:val="28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光学变倍</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球机</w:t>
            </w:r>
            <w:r>
              <w:rPr>
                <w:rFonts w:ascii="宋体" w:hAnsi="宋体" w:cs="宋体"/>
                <w:color w:val="000000"/>
                <w:kern w:val="0"/>
                <w:sz w:val="22"/>
                <w:szCs w:val="22"/>
                <w:lang w:bidi="ar"/>
              </w:rPr>
              <w:t>≥</w:t>
            </w:r>
            <w:r>
              <w:rPr>
                <w:rFonts w:hint="eastAsia" w:ascii="宋体" w:hAnsi="宋体" w:cs="宋体"/>
                <w:color w:val="000000"/>
                <w:kern w:val="0"/>
                <w:sz w:val="22"/>
                <w:szCs w:val="22"/>
                <w:lang w:bidi="ar"/>
              </w:rPr>
              <w:t>48倍光学变倍</w:t>
            </w:r>
          </w:p>
        </w:tc>
      </w:tr>
      <w:tr>
        <w:tblPrEx>
          <w:tblLayout w:type="fixed"/>
          <w:tblCellMar>
            <w:top w:w="0" w:type="dxa"/>
            <w:left w:w="0" w:type="dxa"/>
            <w:bottom w:w="0" w:type="dxa"/>
            <w:right w:w="0" w:type="dxa"/>
          </w:tblCellMar>
        </w:tblPrEx>
        <w:trPr>
          <w:trHeight w:val="57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14</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视场角</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全景：水平:360°；垂直</w:t>
            </w:r>
            <w:r>
              <w:rPr>
                <w:rFonts w:ascii="宋体" w:hAnsi="宋体" w:cs="宋体"/>
                <w:color w:val="000000"/>
                <w:kern w:val="0"/>
                <w:sz w:val="22"/>
                <w:szCs w:val="22"/>
                <w:lang w:bidi="ar"/>
              </w:rPr>
              <w:t>≥</w:t>
            </w:r>
            <w:r>
              <w:rPr>
                <w:rFonts w:hint="eastAsia" w:ascii="宋体" w:hAnsi="宋体" w:cs="宋体"/>
                <w:color w:val="000000"/>
                <w:kern w:val="0"/>
                <w:sz w:val="22"/>
                <w:szCs w:val="22"/>
                <w:lang w:bidi="ar"/>
              </w:rPr>
              <w:t>80°</w:t>
            </w:r>
          </w:p>
        </w:tc>
      </w:tr>
      <w:tr>
        <w:tblPrEx>
          <w:tblLayout w:type="fixed"/>
          <w:tblCellMar>
            <w:top w:w="0" w:type="dxa"/>
            <w:left w:w="0" w:type="dxa"/>
            <w:bottom w:w="0" w:type="dxa"/>
            <w:right w:w="0" w:type="dxa"/>
          </w:tblCellMar>
        </w:tblPrEx>
        <w:trPr>
          <w:trHeight w:val="28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视频码率</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全景：H.264: 112K ~ 30312Kbps H.265:67K ~ 18418Kbps</w:t>
            </w:r>
          </w:p>
        </w:tc>
      </w:tr>
      <w:tr>
        <w:tblPrEx>
          <w:tblLayout w:type="fixed"/>
          <w:tblCellMar>
            <w:top w:w="0" w:type="dxa"/>
            <w:left w:w="0" w:type="dxa"/>
            <w:bottom w:w="0" w:type="dxa"/>
            <w:right w:w="0" w:type="dxa"/>
          </w:tblCellMar>
        </w:tblPrEx>
        <w:trPr>
          <w:trHeight w:val="30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16</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全景画面</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w:t>
            </w:r>
            <w:r>
              <w:rPr>
                <w:rFonts w:hint="eastAsia" w:ascii="宋体" w:hAnsi="宋体" w:cs="宋体"/>
                <w:color w:val="000000"/>
                <w:kern w:val="0"/>
                <w:sz w:val="22"/>
                <w:szCs w:val="22"/>
                <w:lang w:bidi="ar"/>
              </w:rPr>
              <w:t>8个传感器拼接而成，将视频图像进行拼接，通过360°拼接画面显示，可选择270°，180°视场角显示</w:t>
            </w:r>
          </w:p>
        </w:tc>
      </w:tr>
      <w:tr>
        <w:tblPrEx>
          <w:tblLayout w:type="fixed"/>
          <w:tblCellMar>
            <w:top w:w="0" w:type="dxa"/>
            <w:left w:w="0" w:type="dxa"/>
            <w:bottom w:w="0" w:type="dxa"/>
            <w:right w:w="0" w:type="dxa"/>
          </w:tblCellMar>
        </w:tblPrEx>
        <w:trPr>
          <w:trHeight w:val="28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17</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视频压缩标准</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H.264/H.264H/H.264B/H.265/MJPEG</w:t>
            </w:r>
          </w:p>
        </w:tc>
      </w:tr>
      <w:tr>
        <w:tblPrEx>
          <w:tblLayout w:type="fixed"/>
          <w:tblCellMar>
            <w:top w:w="0" w:type="dxa"/>
            <w:left w:w="0" w:type="dxa"/>
            <w:bottom w:w="0" w:type="dxa"/>
            <w:right w:w="0" w:type="dxa"/>
          </w:tblCellMar>
        </w:tblPrEx>
        <w:trPr>
          <w:trHeight w:val="28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18</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星光</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w:t>
            </w:r>
          </w:p>
        </w:tc>
      </w:tr>
      <w:tr>
        <w:tblPrEx>
          <w:tblLayout w:type="fixed"/>
          <w:tblCellMar>
            <w:top w:w="0" w:type="dxa"/>
            <w:left w:w="0" w:type="dxa"/>
            <w:bottom w:w="0" w:type="dxa"/>
            <w:right w:w="0" w:type="dxa"/>
          </w:tblCellMar>
        </w:tblPrEx>
        <w:trPr>
          <w:trHeight w:val="28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19</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透雾功能</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w:t>
            </w:r>
          </w:p>
        </w:tc>
      </w:tr>
      <w:tr>
        <w:tblPrEx>
          <w:tblLayout w:type="fixed"/>
          <w:tblCellMar>
            <w:top w:w="0" w:type="dxa"/>
            <w:left w:w="0" w:type="dxa"/>
            <w:bottom w:w="0" w:type="dxa"/>
            <w:right w:w="0" w:type="dxa"/>
          </w:tblCellMar>
        </w:tblPrEx>
        <w:trPr>
          <w:trHeight w:val="28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雨刷功能</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w:t>
            </w:r>
          </w:p>
        </w:tc>
      </w:tr>
      <w:tr>
        <w:tblPrEx>
          <w:tblLayout w:type="fixed"/>
          <w:tblCellMar>
            <w:top w:w="0" w:type="dxa"/>
            <w:left w:w="0" w:type="dxa"/>
            <w:bottom w:w="0" w:type="dxa"/>
            <w:right w:w="0" w:type="dxa"/>
          </w:tblCellMar>
        </w:tblPrEx>
        <w:trPr>
          <w:trHeight w:val="28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21</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网络接口</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1个100/1000M以太网电口，1个10/100/1000M光口</w:t>
            </w:r>
          </w:p>
        </w:tc>
      </w:tr>
      <w:tr>
        <w:tblPrEx>
          <w:tblLayout w:type="fixed"/>
          <w:tblCellMar>
            <w:top w:w="0" w:type="dxa"/>
            <w:left w:w="0" w:type="dxa"/>
            <w:bottom w:w="0" w:type="dxa"/>
            <w:right w:w="0" w:type="dxa"/>
          </w:tblCellMar>
        </w:tblPrEx>
        <w:trPr>
          <w:trHeight w:val="28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22</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接入标准</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ONVIF;GB/T28181;CGI</w:t>
            </w:r>
          </w:p>
        </w:tc>
      </w:tr>
      <w:tr>
        <w:tblPrEx>
          <w:tblLayout w:type="fixed"/>
          <w:tblCellMar>
            <w:top w:w="0" w:type="dxa"/>
            <w:left w:w="0" w:type="dxa"/>
            <w:bottom w:w="0" w:type="dxa"/>
            <w:right w:w="0" w:type="dxa"/>
          </w:tblCellMar>
        </w:tblPrEx>
        <w:trPr>
          <w:trHeight w:val="38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23</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供电方式</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DC36V±50%</w:t>
            </w:r>
          </w:p>
        </w:tc>
      </w:tr>
      <w:tr>
        <w:tblPrEx>
          <w:tblLayout w:type="fixed"/>
          <w:tblCellMar>
            <w:top w:w="0" w:type="dxa"/>
            <w:left w:w="0" w:type="dxa"/>
            <w:bottom w:w="0" w:type="dxa"/>
            <w:right w:w="0" w:type="dxa"/>
          </w:tblCellMar>
        </w:tblPrEx>
        <w:trPr>
          <w:trHeight w:val="28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24</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工作温度</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-40℃~+60℃</w:t>
            </w:r>
          </w:p>
        </w:tc>
      </w:tr>
      <w:tr>
        <w:tblPrEx>
          <w:tblLayout w:type="fixed"/>
          <w:tblCellMar>
            <w:top w:w="0" w:type="dxa"/>
            <w:left w:w="0" w:type="dxa"/>
            <w:bottom w:w="0" w:type="dxa"/>
            <w:right w:w="0" w:type="dxa"/>
          </w:tblCellMar>
        </w:tblPrEx>
        <w:trPr>
          <w:trHeight w:val="28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25</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工作湿度</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≤95%</w:t>
            </w:r>
          </w:p>
        </w:tc>
      </w:tr>
      <w:tr>
        <w:tblPrEx>
          <w:tblLayout w:type="fixed"/>
          <w:tblCellMar>
            <w:top w:w="0" w:type="dxa"/>
            <w:left w:w="0" w:type="dxa"/>
            <w:bottom w:w="0" w:type="dxa"/>
            <w:right w:w="0" w:type="dxa"/>
          </w:tblCellMar>
        </w:tblPrEx>
        <w:trPr>
          <w:trHeight w:val="28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26</w:t>
            </w:r>
          </w:p>
        </w:tc>
        <w:tc>
          <w:tcPr>
            <w:tcW w:w="16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防护等级</w:t>
            </w:r>
          </w:p>
        </w:tc>
        <w:tc>
          <w:tcPr>
            <w:tcW w:w="7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IP67/IK10</w:t>
            </w:r>
          </w:p>
        </w:tc>
      </w:tr>
    </w:tbl>
    <w:p>
      <w:pPr>
        <w:pStyle w:val="6"/>
        <w:keepNext w:val="0"/>
        <w:keepLines w:val="0"/>
        <w:tabs>
          <w:tab w:val="left" w:pos="720"/>
          <w:tab w:val="left" w:pos="1080"/>
          <w:tab w:val="left" w:pos="1968"/>
        </w:tabs>
        <w:adjustRightInd w:val="0"/>
        <w:snapToGrid w:val="0"/>
        <w:spacing w:before="0" w:after="0" w:line="360" w:lineRule="auto"/>
        <w:ind w:right="2" w:rightChars="1"/>
        <w:rPr>
          <w:rFonts w:ascii="宋体"/>
          <w:bCs w:val="0"/>
          <w:color w:val="000000"/>
          <w:sz w:val="22"/>
          <w:szCs w:val="22"/>
        </w:rPr>
      </w:pPr>
    </w:p>
    <w:p>
      <w:pPr>
        <w:pStyle w:val="6"/>
        <w:keepNext w:val="0"/>
        <w:keepLines w:val="0"/>
        <w:tabs>
          <w:tab w:val="left" w:pos="720"/>
          <w:tab w:val="left" w:pos="1080"/>
          <w:tab w:val="left" w:pos="1968"/>
        </w:tabs>
        <w:adjustRightInd w:val="0"/>
        <w:snapToGrid w:val="0"/>
        <w:spacing w:before="0" w:after="0" w:line="360" w:lineRule="auto"/>
        <w:ind w:right="2" w:rightChars="1"/>
        <w:rPr>
          <w:rFonts w:ascii="宋体" w:hAnsi="宋体"/>
          <w:bCs w:val="0"/>
          <w:color w:val="FF0000"/>
          <w:sz w:val="22"/>
          <w:szCs w:val="22"/>
        </w:rPr>
      </w:pPr>
      <w:bookmarkStart w:id="290" w:name="_Toc430266653"/>
      <w:r>
        <w:rPr>
          <w:sz w:val="22"/>
          <w:szCs w:val="22"/>
        </w:rPr>
        <w:t>1.6.1.</w:t>
      </w:r>
      <w:r>
        <w:rPr>
          <w:rFonts w:hint="eastAsia"/>
          <w:sz w:val="22"/>
          <w:szCs w:val="22"/>
        </w:rPr>
        <w:t>1</w:t>
      </w:r>
      <w:r>
        <w:rPr>
          <w:rFonts w:hint="eastAsia" w:ascii="宋体" w:hAnsi="宋体"/>
          <w:bCs w:val="0"/>
          <w:sz w:val="22"/>
          <w:szCs w:val="22"/>
        </w:rPr>
        <w:t>高清半球</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16" w:firstLineChars="98"/>
        <w:rPr>
          <w:rFonts w:ascii="宋体"/>
          <w:bCs w:val="0"/>
          <w:color w:val="000000"/>
          <w:sz w:val="22"/>
          <w:szCs w:val="22"/>
        </w:rPr>
      </w:pPr>
      <w:r>
        <w:rPr>
          <w:rFonts w:hint="eastAsia" w:ascii="宋体" w:hAnsi="宋体"/>
          <w:bCs w:val="0"/>
          <w:color w:val="000000"/>
          <w:sz w:val="22"/>
          <w:szCs w:val="22"/>
        </w:rPr>
        <w:t>可接受的标准化产品品牌为：</w:t>
      </w:r>
      <w:r>
        <w:rPr>
          <w:rFonts w:hint="eastAsia" w:ascii="宋体" w:hAnsi="宋体"/>
          <w:sz w:val="22"/>
        </w:rPr>
        <w:t>大华、海康、宇视</w:t>
      </w:r>
      <w:r>
        <w:rPr>
          <w:rFonts w:hint="eastAsia" w:ascii="宋体" w:hAnsi="宋体"/>
          <w:bCs w:val="0"/>
          <w:color w:val="000000"/>
          <w:sz w:val="22"/>
          <w:szCs w:val="22"/>
        </w:rPr>
        <w:t>同等或以上档次品牌。</w:t>
      </w:r>
    </w:p>
    <w:tbl>
      <w:tblPr>
        <w:tblStyle w:val="19"/>
        <w:tblW w:w="9345" w:type="dxa"/>
        <w:jc w:val="center"/>
        <w:tblInd w:w="0" w:type="dxa"/>
        <w:tblLayout w:type="fixed"/>
        <w:tblCellMar>
          <w:top w:w="0" w:type="dxa"/>
          <w:left w:w="0" w:type="dxa"/>
          <w:bottom w:w="0" w:type="dxa"/>
          <w:right w:w="0" w:type="dxa"/>
        </w:tblCellMar>
      </w:tblPr>
      <w:tblGrid>
        <w:gridCol w:w="413"/>
        <w:gridCol w:w="1665"/>
        <w:gridCol w:w="7267"/>
      </w:tblGrid>
      <w:tr>
        <w:tblPrEx>
          <w:tblLayout w:type="fixed"/>
          <w:tblCellMar>
            <w:top w:w="0" w:type="dxa"/>
            <w:left w:w="0" w:type="dxa"/>
            <w:bottom w:w="0" w:type="dxa"/>
            <w:right w:w="0" w:type="dxa"/>
          </w:tblCellMar>
        </w:tblPrEx>
        <w:trPr>
          <w:trHeight w:val="270" w:hRule="atLeast"/>
          <w:jc w:val="center"/>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89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主要特征 </w:t>
            </w:r>
          </w:p>
        </w:tc>
      </w:tr>
      <w:tr>
        <w:tblPrEx>
          <w:tblLayout w:type="fixed"/>
          <w:tblCellMar>
            <w:top w:w="0" w:type="dxa"/>
            <w:left w:w="0" w:type="dxa"/>
            <w:bottom w:w="0" w:type="dxa"/>
            <w:right w:w="0" w:type="dxa"/>
          </w:tblCellMar>
        </w:tblPrEx>
        <w:trPr>
          <w:trHeight w:val="270" w:hRule="atLeast"/>
          <w:jc w:val="center"/>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传感器类型</w:t>
            </w:r>
          </w:p>
        </w:tc>
        <w:tc>
          <w:tcPr>
            <w:tcW w:w="7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≥1/1.8英寸CMOS</w:t>
            </w:r>
          </w:p>
        </w:tc>
      </w:tr>
      <w:tr>
        <w:tblPrEx>
          <w:tblLayout w:type="fixed"/>
          <w:tblCellMar>
            <w:top w:w="0" w:type="dxa"/>
            <w:left w:w="0" w:type="dxa"/>
            <w:bottom w:w="0" w:type="dxa"/>
            <w:right w:w="0" w:type="dxa"/>
          </w:tblCellMar>
        </w:tblPrEx>
        <w:trPr>
          <w:trHeight w:val="270" w:hRule="atLeast"/>
          <w:jc w:val="center"/>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像素</w:t>
            </w:r>
          </w:p>
        </w:tc>
        <w:tc>
          <w:tcPr>
            <w:tcW w:w="7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≥200W</w:t>
            </w:r>
          </w:p>
        </w:tc>
      </w:tr>
      <w:tr>
        <w:tblPrEx>
          <w:tblLayout w:type="fixed"/>
          <w:tblCellMar>
            <w:top w:w="0" w:type="dxa"/>
            <w:left w:w="0" w:type="dxa"/>
            <w:bottom w:w="0" w:type="dxa"/>
            <w:right w:w="0" w:type="dxa"/>
          </w:tblCellMar>
        </w:tblPrEx>
        <w:trPr>
          <w:trHeight w:val="540" w:hRule="atLeast"/>
          <w:jc w:val="center"/>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最低照度</w:t>
            </w:r>
          </w:p>
        </w:tc>
        <w:tc>
          <w:tcPr>
            <w:tcW w:w="7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0.001Lux(彩色模式);0.0001Lux(黑白模式);0Lux(红外灯开启)</w:t>
            </w:r>
          </w:p>
        </w:tc>
      </w:tr>
      <w:tr>
        <w:tblPrEx>
          <w:tblLayout w:type="fixed"/>
          <w:tblCellMar>
            <w:top w:w="0" w:type="dxa"/>
            <w:left w:w="0" w:type="dxa"/>
            <w:bottom w:w="0" w:type="dxa"/>
            <w:right w:w="0" w:type="dxa"/>
          </w:tblCellMar>
        </w:tblPrEx>
        <w:trPr>
          <w:trHeight w:val="270" w:hRule="atLeast"/>
          <w:jc w:val="center"/>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镜头类型</w:t>
            </w:r>
          </w:p>
        </w:tc>
        <w:tc>
          <w:tcPr>
            <w:tcW w:w="7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电动变焦</w:t>
            </w:r>
          </w:p>
        </w:tc>
      </w:tr>
      <w:tr>
        <w:tblPrEx>
          <w:tblLayout w:type="fixed"/>
          <w:tblCellMar>
            <w:top w:w="0" w:type="dxa"/>
            <w:left w:w="0" w:type="dxa"/>
            <w:bottom w:w="0" w:type="dxa"/>
            <w:right w:w="0" w:type="dxa"/>
          </w:tblCellMar>
        </w:tblPrEx>
        <w:trPr>
          <w:trHeight w:val="270" w:hRule="atLeast"/>
          <w:jc w:val="center"/>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镜头焦距</w:t>
            </w:r>
          </w:p>
        </w:tc>
        <w:tc>
          <w:tcPr>
            <w:tcW w:w="7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3.5mm~12mm</w:t>
            </w:r>
          </w:p>
        </w:tc>
      </w:tr>
      <w:tr>
        <w:tblPrEx>
          <w:tblLayout w:type="fixed"/>
          <w:tblCellMar>
            <w:top w:w="0" w:type="dxa"/>
            <w:left w:w="0" w:type="dxa"/>
            <w:bottom w:w="0" w:type="dxa"/>
            <w:right w:w="0" w:type="dxa"/>
          </w:tblCellMar>
        </w:tblPrEx>
        <w:trPr>
          <w:trHeight w:val="270" w:hRule="atLeast"/>
          <w:jc w:val="center"/>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宽动态</w:t>
            </w:r>
          </w:p>
        </w:tc>
        <w:tc>
          <w:tcPr>
            <w:tcW w:w="7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≥120dB</w:t>
            </w:r>
          </w:p>
        </w:tc>
      </w:tr>
      <w:tr>
        <w:tblPrEx>
          <w:tblLayout w:type="fixed"/>
          <w:tblCellMar>
            <w:top w:w="0" w:type="dxa"/>
            <w:left w:w="0" w:type="dxa"/>
            <w:bottom w:w="0" w:type="dxa"/>
            <w:right w:w="0" w:type="dxa"/>
          </w:tblCellMar>
        </w:tblPrEx>
        <w:trPr>
          <w:trHeight w:val="270" w:hRule="atLeast"/>
          <w:jc w:val="center"/>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光圈控制</w:t>
            </w:r>
          </w:p>
        </w:tc>
        <w:tc>
          <w:tcPr>
            <w:tcW w:w="7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自动</w:t>
            </w:r>
          </w:p>
        </w:tc>
      </w:tr>
      <w:tr>
        <w:tblPrEx>
          <w:tblLayout w:type="fixed"/>
          <w:tblCellMar>
            <w:top w:w="0" w:type="dxa"/>
            <w:left w:w="0" w:type="dxa"/>
            <w:bottom w:w="0" w:type="dxa"/>
            <w:right w:w="0" w:type="dxa"/>
          </w:tblCellMar>
        </w:tblPrEx>
        <w:trPr>
          <w:trHeight w:val="270" w:hRule="atLeast"/>
          <w:jc w:val="center"/>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信噪比</w:t>
            </w:r>
          </w:p>
        </w:tc>
        <w:tc>
          <w:tcPr>
            <w:tcW w:w="7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＞56dB</w:t>
            </w:r>
          </w:p>
        </w:tc>
      </w:tr>
      <w:tr>
        <w:tblPrEx>
          <w:tblLayout w:type="fixed"/>
          <w:tblCellMar>
            <w:top w:w="0" w:type="dxa"/>
            <w:left w:w="0" w:type="dxa"/>
            <w:bottom w:w="0" w:type="dxa"/>
            <w:right w:w="0" w:type="dxa"/>
          </w:tblCellMar>
        </w:tblPrEx>
        <w:trPr>
          <w:trHeight w:val="270" w:hRule="atLeast"/>
          <w:jc w:val="center"/>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音频接口</w:t>
            </w:r>
          </w:p>
        </w:tc>
        <w:tc>
          <w:tcPr>
            <w:tcW w:w="7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w:t>
            </w:r>
          </w:p>
        </w:tc>
      </w:tr>
      <w:tr>
        <w:tblPrEx>
          <w:tblLayout w:type="fixed"/>
          <w:tblCellMar>
            <w:top w:w="0" w:type="dxa"/>
            <w:left w:w="0" w:type="dxa"/>
            <w:bottom w:w="0" w:type="dxa"/>
            <w:right w:w="0" w:type="dxa"/>
          </w:tblCellMar>
        </w:tblPrEx>
        <w:trPr>
          <w:trHeight w:val="390" w:hRule="atLeast"/>
          <w:jc w:val="center"/>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三码流</w:t>
            </w:r>
          </w:p>
        </w:tc>
        <w:tc>
          <w:tcPr>
            <w:tcW w:w="7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sz w:val="22"/>
                <w:szCs w:val="22"/>
              </w:rPr>
              <w:t>支持</w:t>
            </w:r>
          </w:p>
        </w:tc>
      </w:tr>
      <w:tr>
        <w:tblPrEx>
          <w:tblLayout w:type="fixed"/>
          <w:tblCellMar>
            <w:top w:w="0" w:type="dxa"/>
            <w:left w:w="0" w:type="dxa"/>
            <w:bottom w:w="0" w:type="dxa"/>
            <w:right w:w="0" w:type="dxa"/>
          </w:tblCellMar>
        </w:tblPrEx>
        <w:trPr>
          <w:trHeight w:val="270" w:hRule="atLeast"/>
          <w:jc w:val="center"/>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音频输入</w:t>
            </w:r>
          </w:p>
        </w:tc>
        <w:tc>
          <w:tcPr>
            <w:tcW w:w="7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1路,RCA音频输入</w:t>
            </w:r>
          </w:p>
        </w:tc>
      </w:tr>
      <w:tr>
        <w:tblPrEx>
          <w:tblLayout w:type="fixed"/>
          <w:tblCellMar>
            <w:top w:w="0" w:type="dxa"/>
            <w:left w:w="0" w:type="dxa"/>
            <w:bottom w:w="0" w:type="dxa"/>
            <w:right w:w="0" w:type="dxa"/>
          </w:tblCellMar>
        </w:tblPrEx>
        <w:trPr>
          <w:trHeight w:val="270" w:hRule="atLeast"/>
          <w:jc w:val="center"/>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音频输出</w:t>
            </w:r>
          </w:p>
        </w:tc>
        <w:tc>
          <w:tcPr>
            <w:tcW w:w="7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1路,RCA音频输出</w:t>
            </w:r>
          </w:p>
        </w:tc>
      </w:tr>
      <w:tr>
        <w:tblPrEx>
          <w:tblLayout w:type="fixed"/>
          <w:tblCellMar>
            <w:top w:w="0" w:type="dxa"/>
            <w:left w:w="0" w:type="dxa"/>
            <w:bottom w:w="0" w:type="dxa"/>
            <w:right w:w="0" w:type="dxa"/>
          </w:tblCellMar>
        </w:tblPrEx>
        <w:trPr>
          <w:trHeight w:val="270" w:hRule="atLeast"/>
          <w:jc w:val="center"/>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视频压缩标准</w:t>
            </w:r>
          </w:p>
        </w:tc>
        <w:tc>
          <w:tcPr>
            <w:tcW w:w="7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H.265;H.264;H.264H;H.264B;MJPEG</w:t>
            </w:r>
          </w:p>
        </w:tc>
      </w:tr>
      <w:tr>
        <w:tblPrEx>
          <w:tblLayout w:type="fixed"/>
          <w:tblCellMar>
            <w:top w:w="0" w:type="dxa"/>
            <w:left w:w="0" w:type="dxa"/>
            <w:bottom w:w="0" w:type="dxa"/>
            <w:right w:w="0" w:type="dxa"/>
          </w:tblCellMar>
        </w:tblPrEx>
        <w:trPr>
          <w:trHeight w:val="270" w:hRule="atLeast"/>
          <w:jc w:val="center"/>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电子防抖</w:t>
            </w:r>
          </w:p>
        </w:tc>
        <w:tc>
          <w:tcPr>
            <w:tcW w:w="7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w:t>
            </w:r>
          </w:p>
        </w:tc>
      </w:tr>
      <w:tr>
        <w:tblPrEx>
          <w:tblLayout w:type="fixed"/>
          <w:tblCellMar>
            <w:top w:w="0" w:type="dxa"/>
            <w:left w:w="0" w:type="dxa"/>
            <w:bottom w:w="0" w:type="dxa"/>
            <w:right w:w="0" w:type="dxa"/>
          </w:tblCellMar>
        </w:tblPrEx>
        <w:trPr>
          <w:trHeight w:val="270" w:hRule="atLeast"/>
          <w:jc w:val="center"/>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网络接口</w:t>
            </w:r>
          </w:p>
        </w:tc>
        <w:tc>
          <w:tcPr>
            <w:tcW w:w="7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1个，10M/100M Base-T自适应以太网电口</w:t>
            </w:r>
          </w:p>
        </w:tc>
      </w:tr>
      <w:tr>
        <w:tblPrEx>
          <w:tblLayout w:type="fixed"/>
          <w:tblCellMar>
            <w:top w:w="0" w:type="dxa"/>
            <w:left w:w="0" w:type="dxa"/>
            <w:bottom w:w="0" w:type="dxa"/>
            <w:right w:w="0" w:type="dxa"/>
          </w:tblCellMar>
        </w:tblPrEx>
        <w:trPr>
          <w:trHeight w:val="270" w:hRule="atLeast"/>
          <w:jc w:val="center"/>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16</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接入标准</w:t>
            </w:r>
          </w:p>
        </w:tc>
        <w:tc>
          <w:tcPr>
            <w:tcW w:w="7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ONVIF;GB/T28181;CGI;PSIA</w:t>
            </w:r>
          </w:p>
        </w:tc>
      </w:tr>
      <w:tr>
        <w:tblPrEx>
          <w:tblLayout w:type="fixed"/>
          <w:tblCellMar>
            <w:top w:w="0" w:type="dxa"/>
            <w:left w:w="0" w:type="dxa"/>
            <w:bottom w:w="0" w:type="dxa"/>
            <w:right w:w="0" w:type="dxa"/>
          </w:tblCellMar>
        </w:tblPrEx>
        <w:trPr>
          <w:trHeight w:val="270" w:hRule="atLeast"/>
          <w:jc w:val="center"/>
        </w:trPr>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供电方式</w:t>
            </w:r>
          </w:p>
        </w:tc>
        <w:tc>
          <w:tcPr>
            <w:tcW w:w="7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DC12V+AC24V+POE</w:t>
            </w:r>
          </w:p>
        </w:tc>
      </w:tr>
    </w:tbl>
    <w:p/>
    <w:bookmarkEnd w:id="290"/>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color w:val="000000"/>
          <w:sz w:val="22"/>
          <w:szCs w:val="22"/>
        </w:rPr>
      </w:pPr>
      <w:r>
        <w:rPr>
          <w:sz w:val="22"/>
          <w:szCs w:val="22"/>
        </w:rPr>
        <w:t>1.6.1.</w:t>
      </w:r>
      <w:r>
        <w:rPr>
          <w:rFonts w:hint="eastAsia"/>
          <w:sz w:val="22"/>
          <w:szCs w:val="22"/>
        </w:rPr>
        <w:t>3</w:t>
      </w:r>
      <w:r>
        <w:rPr>
          <w:rFonts w:hint="eastAsia" w:ascii="宋体" w:hAnsi="宋体"/>
          <w:bCs w:val="0"/>
          <w:color w:val="000000"/>
          <w:sz w:val="22"/>
          <w:szCs w:val="22"/>
        </w:rPr>
        <w:t xml:space="preserve"> 高清球机</w:t>
      </w:r>
    </w:p>
    <w:p>
      <w:pPr>
        <w:widowControl/>
        <w:ind w:left="250" w:leftChars="104" w:right="319" w:rightChars="133"/>
        <w:jc w:val="left"/>
        <w:rPr>
          <w:rFonts w:ascii="宋体" w:hAnsi="宋体"/>
          <w:b/>
          <w:bCs/>
          <w:kern w:val="0"/>
          <w:sz w:val="22"/>
          <w:szCs w:val="28"/>
        </w:rPr>
      </w:pPr>
      <w:r>
        <w:rPr>
          <w:rFonts w:hint="eastAsia" w:ascii="宋体" w:hAnsi="宋体"/>
          <w:b/>
          <w:bCs/>
          <w:kern w:val="0"/>
          <w:sz w:val="22"/>
          <w:szCs w:val="28"/>
        </w:rPr>
        <w:t>可接受的标准化产品品牌为：大华、海康、宇视同等或以上档次品牌。</w:t>
      </w:r>
    </w:p>
    <w:tbl>
      <w:tblPr>
        <w:tblStyle w:val="19"/>
        <w:tblW w:w="9474" w:type="dxa"/>
        <w:tblInd w:w="0" w:type="dxa"/>
        <w:tblLayout w:type="fixed"/>
        <w:tblCellMar>
          <w:top w:w="0" w:type="dxa"/>
          <w:left w:w="0" w:type="dxa"/>
          <w:bottom w:w="0" w:type="dxa"/>
          <w:right w:w="0" w:type="dxa"/>
        </w:tblCellMar>
      </w:tblPr>
      <w:tblGrid>
        <w:gridCol w:w="474"/>
        <w:gridCol w:w="1663"/>
        <w:gridCol w:w="7337"/>
      </w:tblGrid>
      <w:tr>
        <w:tblPrEx>
          <w:tblLayout w:type="fixed"/>
          <w:tblCellMar>
            <w:top w:w="0" w:type="dxa"/>
            <w:left w:w="0" w:type="dxa"/>
            <w:bottom w:w="0" w:type="dxa"/>
            <w:right w:w="0" w:type="dxa"/>
          </w:tblCellMar>
        </w:tblPrEx>
        <w:trPr>
          <w:trHeight w:val="28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序号</w:t>
            </w:r>
          </w:p>
        </w:tc>
        <w:tc>
          <w:tcPr>
            <w:tcW w:w="90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 xml:space="preserve"> 主要特征需求 </w:t>
            </w:r>
          </w:p>
        </w:tc>
      </w:tr>
      <w:tr>
        <w:tblPrEx>
          <w:tblLayout w:type="fixed"/>
          <w:tblCellMar>
            <w:top w:w="0" w:type="dxa"/>
            <w:left w:w="0" w:type="dxa"/>
            <w:bottom w:w="0" w:type="dxa"/>
            <w:right w:w="0" w:type="dxa"/>
          </w:tblCellMar>
        </w:tblPrEx>
        <w:trPr>
          <w:trHeight w:val="28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图像传感器</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≥1/2.8英寸 CM OS</w:t>
            </w:r>
          </w:p>
        </w:tc>
      </w:tr>
      <w:tr>
        <w:tblPrEx>
          <w:tblLayout w:type="fixed"/>
          <w:tblCellMar>
            <w:top w:w="0" w:type="dxa"/>
            <w:left w:w="0" w:type="dxa"/>
            <w:bottom w:w="0" w:type="dxa"/>
            <w:right w:w="0" w:type="dxa"/>
          </w:tblCellMar>
        </w:tblPrEx>
        <w:trPr>
          <w:trHeight w:val="28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像素</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≥200万像素</w:t>
            </w:r>
          </w:p>
        </w:tc>
      </w:tr>
      <w:tr>
        <w:tblPrEx>
          <w:tblLayout w:type="fixed"/>
          <w:tblCellMar>
            <w:top w:w="0" w:type="dxa"/>
            <w:left w:w="0" w:type="dxa"/>
            <w:bottom w:w="0" w:type="dxa"/>
            <w:right w:w="0" w:type="dxa"/>
          </w:tblCellMar>
        </w:tblPrEx>
        <w:trPr>
          <w:trHeight w:val="24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水平解析度</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≥1000TVL</w:t>
            </w:r>
          </w:p>
        </w:tc>
      </w:tr>
      <w:tr>
        <w:tblPrEx>
          <w:tblLayout w:type="fixed"/>
          <w:tblCellMar>
            <w:top w:w="0" w:type="dxa"/>
            <w:left w:w="0" w:type="dxa"/>
            <w:bottom w:w="0" w:type="dxa"/>
            <w:right w:w="0" w:type="dxa"/>
          </w:tblCellMar>
        </w:tblPrEx>
        <w:trPr>
          <w:trHeight w:val="40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最低照度</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彩色：0.005Lu   x@F1.6 黑白： 0.0005Lux@   F1.6 0Lux（ 红外灯开启）</w:t>
            </w:r>
          </w:p>
        </w:tc>
      </w:tr>
      <w:tr>
        <w:tblPrEx>
          <w:tblLayout w:type="fixed"/>
          <w:tblCellMar>
            <w:top w:w="0" w:type="dxa"/>
            <w:left w:w="0" w:type="dxa"/>
            <w:bottom w:w="0" w:type="dxa"/>
            <w:right w:w="0" w:type="dxa"/>
          </w:tblCellMar>
        </w:tblPrEx>
        <w:trPr>
          <w:trHeight w:val="28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信噪比</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≥63dB</w:t>
            </w:r>
          </w:p>
        </w:tc>
      </w:tr>
      <w:tr>
        <w:tblPrEx>
          <w:tblLayout w:type="fixed"/>
          <w:tblCellMar>
            <w:top w:w="0" w:type="dxa"/>
            <w:left w:w="0" w:type="dxa"/>
            <w:bottom w:w="0" w:type="dxa"/>
            <w:right w:w="0" w:type="dxa"/>
          </w:tblCellMar>
        </w:tblPrEx>
        <w:trPr>
          <w:trHeight w:val="28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数字变倍</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16倍</w:t>
            </w:r>
          </w:p>
        </w:tc>
      </w:tr>
      <w:tr>
        <w:tblPrEx>
          <w:tblLayout w:type="fixed"/>
          <w:tblCellMar>
            <w:top w:w="0" w:type="dxa"/>
            <w:left w:w="0" w:type="dxa"/>
            <w:bottom w:w="0" w:type="dxa"/>
            <w:right w:w="0" w:type="dxa"/>
          </w:tblCellMar>
        </w:tblPrEx>
        <w:trPr>
          <w:trHeight w:val="28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焦距</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5.0mm～115m m</w:t>
            </w:r>
          </w:p>
        </w:tc>
      </w:tr>
      <w:tr>
        <w:tblPrEx>
          <w:tblLayout w:type="fixed"/>
          <w:tblCellMar>
            <w:top w:w="0" w:type="dxa"/>
            <w:left w:w="0" w:type="dxa"/>
            <w:bottom w:w="0" w:type="dxa"/>
            <w:right w:w="0" w:type="dxa"/>
          </w:tblCellMar>
        </w:tblPrEx>
        <w:trPr>
          <w:trHeight w:val="28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光学变倍</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23倍</w:t>
            </w:r>
          </w:p>
        </w:tc>
      </w:tr>
      <w:tr>
        <w:tblPrEx>
          <w:tblLayout w:type="fixed"/>
          <w:tblCellMar>
            <w:top w:w="0" w:type="dxa"/>
            <w:left w:w="0" w:type="dxa"/>
            <w:bottom w:w="0" w:type="dxa"/>
            <w:right w:w="0" w:type="dxa"/>
          </w:tblCellMar>
        </w:tblPrEx>
        <w:trPr>
          <w:trHeight w:val="28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光圈值</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F1.6～F3.5</w:t>
            </w:r>
          </w:p>
        </w:tc>
      </w:tr>
      <w:tr>
        <w:tblPrEx>
          <w:tblLayout w:type="fixed"/>
          <w:tblCellMar>
            <w:top w:w="0" w:type="dxa"/>
            <w:left w:w="0" w:type="dxa"/>
            <w:bottom w:w="0" w:type="dxa"/>
            <w:right w:w="0" w:type="dxa"/>
          </w:tblCellMar>
        </w:tblPrEx>
        <w:trPr>
          <w:trHeight w:val="28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三码流</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支持</w:t>
            </w:r>
          </w:p>
        </w:tc>
      </w:tr>
      <w:tr>
        <w:tblPrEx>
          <w:tblLayout w:type="fixed"/>
          <w:tblCellMar>
            <w:top w:w="0" w:type="dxa"/>
            <w:left w:w="0" w:type="dxa"/>
            <w:bottom w:w="0" w:type="dxa"/>
            <w:right w:w="0" w:type="dxa"/>
          </w:tblCellMar>
        </w:tblPrEx>
        <w:trPr>
          <w:trHeight w:val="54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视频压缩</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H.265/H.264BaselineProfile/H.264MainProfile/H.264HighProfile /MJPEG</w:t>
            </w:r>
          </w:p>
        </w:tc>
      </w:tr>
      <w:tr>
        <w:tblPrEx>
          <w:tblLayout w:type="fixed"/>
          <w:tblCellMar>
            <w:top w:w="0" w:type="dxa"/>
            <w:left w:w="0" w:type="dxa"/>
            <w:bottom w:w="0" w:type="dxa"/>
            <w:right w:w="0" w:type="dxa"/>
          </w:tblCellMar>
        </w:tblPrEx>
        <w:trPr>
          <w:trHeight w:val="28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协议</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 xml:space="preserve">ONVIF、CGI 、GB/T28181 </w:t>
            </w:r>
          </w:p>
        </w:tc>
      </w:tr>
      <w:tr>
        <w:tblPrEx>
          <w:tblLayout w:type="fixed"/>
          <w:tblCellMar>
            <w:top w:w="0" w:type="dxa"/>
            <w:left w:w="0" w:type="dxa"/>
            <w:bottom w:w="0" w:type="dxa"/>
            <w:right w:w="0" w:type="dxa"/>
          </w:tblCellMar>
        </w:tblPrEx>
        <w:trPr>
          <w:trHeight w:val="28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电源</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AC24V/2.2A  ±25%（含红外控 制电路）</w:t>
            </w:r>
          </w:p>
        </w:tc>
      </w:tr>
      <w:tr>
        <w:tblPrEx>
          <w:tblLayout w:type="fixed"/>
          <w:tblCellMar>
            <w:top w:w="0" w:type="dxa"/>
            <w:left w:w="0" w:type="dxa"/>
            <w:bottom w:w="0" w:type="dxa"/>
            <w:right w:w="0" w:type="dxa"/>
          </w:tblCellMar>
        </w:tblPrEx>
        <w:trPr>
          <w:trHeight w:val="28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工作环境</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温度-40～70℃；  湿度＜95%</w:t>
            </w:r>
          </w:p>
        </w:tc>
      </w:tr>
      <w:tr>
        <w:tblPrEx>
          <w:tblLayout w:type="fixed"/>
          <w:tblCellMar>
            <w:top w:w="0" w:type="dxa"/>
            <w:left w:w="0" w:type="dxa"/>
            <w:bottom w:w="0" w:type="dxa"/>
            <w:right w:w="0" w:type="dxa"/>
          </w:tblCellMar>
        </w:tblPrEx>
        <w:trPr>
          <w:trHeight w:val="378"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防护等级</w:t>
            </w:r>
          </w:p>
        </w:tc>
        <w:tc>
          <w:tcPr>
            <w:tcW w:w="73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IP66，TVS 6 000V防雷、防浪涌 和防突波保护</w:t>
            </w:r>
          </w:p>
        </w:tc>
      </w:tr>
    </w:tbl>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color w:val="000000"/>
          <w:sz w:val="22"/>
          <w:szCs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sz w:val="22"/>
          <w:szCs w:val="22"/>
        </w:rPr>
      </w:pPr>
      <w:r>
        <w:rPr>
          <w:sz w:val="22"/>
          <w:szCs w:val="22"/>
        </w:rPr>
        <w:t>1.6.1.</w:t>
      </w:r>
      <w:r>
        <w:rPr>
          <w:rFonts w:hint="eastAsia"/>
          <w:sz w:val="22"/>
          <w:szCs w:val="22"/>
        </w:rPr>
        <w:t>4 一体化云台摄像机</w:t>
      </w:r>
    </w:p>
    <w:p>
      <w:pPr>
        <w:widowControl/>
        <w:ind w:left="250" w:leftChars="104" w:right="319" w:rightChars="133"/>
        <w:jc w:val="left"/>
        <w:rPr>
          <w:rFonts w:ascii="宋体" w:hAnsi="宋体"/>
          <w:b/>
          <w:bCs/>
          <w:kern w:val="0"/>
          <w:sz w:val="22"/>
          <w:szCs w:val="28"/>
        </w:rPr>
      </w:pPr>
      <w:r>
        <w:rPr>
          <w:rFonts w:hint="eastAsia" w:ascii="宋体" w:hAnsi="宋体"/>
          <w:b/>
          <w:bCs/>
          <w:kern w:val="0"/>
          <w:sz w:val="22"/>
          <w:szCs w:val="28"/>
        </w:rPr>
        <w:t>可接受的标准化产品品牌为：大华、海康、宇视同等或以上档次品牌。</w:t>
      </w:r>
    </w:p>
    <w:tbl>
      <w:tblPr>
        <w:tblStyle w:val="19"/>
        <w:tblpPr w:leftFromText="180" w:rightFromText="180" w:vertAnchor="text" w:horzAnchor="page" w:tblpXSpec="center" w:tblpY="420"/>
        <w:tblOverlap w:val="never"/>
        <w:tblW w:w="9601" w:type="dxa"/>
        <w:jc w:val="center"/>
        <w:tblInd w:w="0" w:type="dxa"/>
        <w:tblLayout w:type="fixed"/>
        <w:tblCellMar>
          <w:top w:w="0" w:type="dxa"/>
          <w:left w:w="0" w:type="dxa"/>
          <w:bottom w:w="0" w:type="dxa"/>
          <w:right w:w="0" w:type="dxa"/>
        </w:tblCellMar>
      </w:tblPr>
      <w:tblGrid>
        <w:gridCol w:w="554"/>
        <w:gridCol w:w="1677"/>
        <w:gridCol w:w="7370"/>
      </w:tblGrid>
      <w:tr>
        <w:tblPrEx>
          <w:tblLayout w:type="fixed"/>
          <w:tblCellMar>
            <w:top w:w="0" w:type="dxa"/>
            <w:left w:w="0" w:type="dxa"/>
            <w:bottom w:w="0" w:type="dxa"/>
            <w:right w:w="0" w:type="dxa"/>
          </w:tblCellMar>
        </w:tblPrEx>
        <w:trPr>
          <w:trHeight w:val="285"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90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 xml:space="preserve"> 主要特征需求 </w:t>
            </w:r>
          </w:p>
        </w:tc>
      </w:tr>
      <w:tr>
        <w:tblPrEx>
          <w:tblLayout w:type="fixed"/>
          <w:tblCellMar>
            <w:top w:w="0" w:type="dxa"/>
            <w:left w:w="0" w:type="dxa"/>
            <w:bottom w:w="0" w:type="dxa"/>
            <w:right w:w="0" w:type="dxa"/>
          </w:tblCellMar>
        </w:tblPrEx>
        <w:trPr>
          <w:trHeight w:val="285"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传感器类型</w:t>
            </w:r>
          </w:p>
        </w:tc>
        <w:tc>
          <w:tcPr>
            <w:tcW w:w="7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≥1/1.9英寸CMOS</w:t>
            </w:r>
          </w:p>
        </w:tc>
      </w:tr>
      <w:tr>
        <w:tblPrEx>
          <w:tblLayout w:type="fixed"/>
          <w:tblCellMar>
            <w:top w:w="0" w:type="dxa"/>
            <w:left w:w="0" w:type="dxa"/>
            <w:bottom w:w="0" w:type="dxa"/>
            <w:right w:w="0" w:type="dxa"/>
          </w:tblCellMar>
        </w:tblPrEx>
        <w:trPr>
          <w:trHeight w:val="285"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像素</w:t>
            </w:r>
          </w:p>
        </w:tc>
        <w:tc>
          <w:tcPr>
            <w:tcW w:w="7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≥200万</w:t>
            </w:r>
          </w:p>
        </w:tc>
      </w:tr>
      <w:tr>
        <w:tblPrEx>
          <w:tblLayout w:type="fixed"/>
          <w:tblCellMar>
            <w:top w:w="0" w:type="dxa"/>
            <w:left w:w="0" w:type="dxa"/>
            <w:bottom w:w="0" w:type="dxa"/>
            <w:right w:w="0" w:type="dxa"/>
          </w:tblCellMar>
        </w:tblPrEx>
        <w:trPr>
          <w:trHeight w:val="285"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分辨率</w:t>
            </w:r>
          </w:p>
        </w:tc>
        <w:tc>
          <w:tcPr>
            <w:tcW w:w="7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≥1920×1080</w:t>
            </w:r>
          </w:p>
        </w:tc>
      </w:tr>
      <w:tr>
        <w:tblPrEx>
          <w:tblLayout w:type="fixed"/>
          <w:tblCellMar>
            <w:top w:w="0" w:type="dxa"/>
            <w:left w:w="0" w:type="dxa"/>
            <w:bottom w:w="0" w:type="dxa"/>
            <w:right w:w="0" w:type="dxa"/>
          </w:tblCellMar>
        </w:tblPrEx>
        <w:trPr>
          <w:trHeight w:val="285"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最低照度</w:t>
            </w:r>
          </w:p>
        </w:tc>
        <w:tc>
          <w:tcPr>
            <w:tcW w:w="7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彩色：0.005lux/F1.4 黑白：0.0005lux/F1.4 0Lux（激光开启）</w:t>
            </w:r>
          </w:p>
        </w:tc>
      </w:tr>
      <w:tr>
        <w:tblPrEx>
          <w:tblLayout w:type="fixed"/>
          <w:tblCellMar>
            <w:top w:w="0" w:type="dxa"/>
            <w:left w:w="0" w:type="dxa"/>
            <w:bottom w:w="0" w:type="dxa"/>
            <w:right w:w="0" w:type="dxa"/>
          </w:tblCellMar>
        </w:tblPrEx>
        <w:trPr>
          <w:trHeight w:val="285"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最大补光距离</w:t>
            </w:r>
          </w:p>
        </w:tc>
        <w:tc>
          <w:tcPr>
            <w:tcW w:w="7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≥800m（激光）</w:t>
            </w:r>
          </w:p>
        </w:tc>
      </w:tr>
      <w:tr>
        <w:tblPrEx>
          <w:tblLayout w:type="fixed"/>
          <w:tblCellMar>
            <w:top w:w="0" w:type="dxa"/>
            <w:left w:w="0" w:type="dxa"/>
            <w:bottom w:w="0" w:type="dxa"/>
            <w:right w:w="0" w:type="dxa"/>
          </w:tblCellMar>
        </w:tblPrEx>
        <w:trPr>
          <w:trHeight w:val="285"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补光类型</w:t>
            </w:r>
          </w:p>
        </w:tc>
        <w:tc>
          <w:tcPr>
            <w:tcW w:w="7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激光</w:t>
            </w:r>
          </w:p>
        </w:tc>
      </w:tr>
      <w:tr>
        <w:tblPrEx>
          <w:tblLayout w:type="fixed"/>
          <w:tblCellMar>
            <w:top w:w="0" w:type="dxa"/>
            <w:left w:w="0" w:type="dxa"/>
            <w:bottom w:w="0" w:type="dxa"/>
            <w:right w:w="0" w:type="dxa"/>
          </w:tblCellMar>
        </w:tblPrEx>
        <w:trPr>
          <w:trHeight w:val="285"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雨刷功能</w:t>
            </w:r>
          </w:p>
        </w:tc>
        <w:tc>
          <w:tcPr>
            <w:tcW w:w="7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雨刷</w:t>
            </w:r>
          </w:p>
        </w:tc>
      </w:tr>
      <w:tr>
        <w:tblPrEx>
          <w:tblLayout w:type="fixed"/>
          <w:tblCellMar>
            <w:top w:w="0" w:type="dxa"/>
            <w:left w:w="0" w:type="dxa"/>
            <w:bottom w:w="0" w:type="dxa"/>
            <w:right w:w="0" w:type="dxa"/>
          </w:tblCellMar>
        </w:tblPrEx>
        <w:trPr>
          <w:trHeight w:val="285"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镜头焦距</w:t>
            </w:r>
          </w:p>
        </w:tc>
        <w:tc>
          <w:tcPr>
            <w:tcW w:w="7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5.6mm～336mm</w:t>
            </w:r>
          </w:p>
        </w:tc>
      </w:tr>
      <w:tr>
        <w:tblPrEx>
          <w:tblLayout w:type="fixed"/>
          <w:tblCellMar>
            <w:top w:w="0" w:type="dxa"/>
            <w:left w:w="0" w:type="dxa"/>
            <w:bottom w:w="0" w:type="dxa"/>
            <w:right w:w="0" w:type="dxa"/>
          </w:tblCellMar>
        </w:tblPrEx>
        <w:trPr>
          <w:trHeight w:val="285"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镜头光圈</w:t>
            </w:r>
          </w:p>
        </w:tc>
        <w:tc>
          <w:tcPr>
            <w:tcW w:w="7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F1.4～F4.5</w:t>
            </w:r>
          </w:p>
        </w:tc>
      </w:tr>
      <w:tr>
        <w:tblPrEx>
          <w:tblLayout w:type="fixed"/>
          <w:tblCellMar>
            <w:top w:w="0" w:type="dxa"/>
            <w:left w:w="0" w:type="dxa"/>
            <w:bottom w:w="0" w:type="dxa"/>
            <w:right w:w="0" w:type="dxa"/>
          </w:tblCellMar>
        </w:tblPrEx>
        <w:trPr>
          <w:trHeight w:val="285"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光学变倍</w:t>
            </w:r>
          </w:p>
        </w:tc>
        <w:tc>
          <w:tcPr>
            <w:tcW w:w="7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60倍</w:t>
            </w:r>
          </w:p>
        </w:tc>
      </w:tr>
      <w:tr>
        <w:tblPrEx>
          <w:tblLayout w:type="fixed"/>
          <w:tblCellMar>
            <w:top w:w="0" w:type="dxa"/>
            <w:left w:w="0" w:type="dxa"/>
            <w:bottom w:w="0" w:type="dxa"/>
            <w:right w:w="0" w:type="dxa"/>
          </w:tblCellMar>
        </w:tblPrEx>
        <w:trPr>
          <w:trHeight w:val="285"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旋转范围</w:t>
            </w:r>
          </w:p>
        </w:tc>
        <w:tc>
          <w:tcPr>
            <w:tcW w:w="7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水平：0°~360°连续旋转 垂直：-45°~+90°连续监视</w:t>
            </w:r>
          </w:p>
        </w:tc>
      </w:tr>
      <w:tr>
        <w:tblPrEx>
          <w:tblLayout w:type="fixed"/>
          <w:tblCellMar>
            <w:top w:w="0" w:type="dxa"/>
            <w:left w:w="0" w:type="dxa"/>
            <w:bottom w:w="0" w:type="dxa"/>
            <w:right w:w="0" w:type="dxa"/>
          </w:tblCellMar>
        </w:tblPrEx>
        <w:trPr>
          <w:trHeight w:val="540"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视频压缩标准</w:t>
            </w:r>
          </w:p>
        </w:tc>
        <w:tc>
          <w:tcPr>
            <w:tcW w:w="7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H.265；H.264BaselineProfile；H.264MainProfile；H.264HighProfile；MJPEG；smart H.265；smart H.264</w:t>
            </w:r>
          </w:p>
        </w:tc>
      </w:tr>
      <w:tr>
        <w:tblPrEx>
          <w:tblLayout w:type="fixed"/>
          <w:tblCellMar>
            <w:top w:w="0" w:type="dxa"/>
            <w:left w:w="0" w:type="dxa"/>
            <w:bottom w:w="0" w:type="dxa"/>
            <w:right w:w="0" w:type="dxa"/>
          </w:tblCellMar>
        </w:tblPrEx>
        <w:trPr>
          <w:trHeight w:val="285"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13</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三码流</w:t>
            </w:r>
          </w:p>
        </w:tc>
        <w:tc>
          <w:tcPr>
            <w:tcW w:w="7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支持</w:t>
            </w:r>
          </w:p>
        </w:tc>
      </w:tr>
      <w:tr>
        <w:tblPrEx>
          <w:tblLayout w:type="fixed"/>
          <w:tblCellMar>
            <w:top w:w="0" w:type="dxa"/>
            <w:left w:w="0" w:type="dxa"/>
            <w:bottom w:w="0" w:type="dxa"/>
            <w:right w:w="0" w:type="dxa"/>
          </w:tblCellMar>
        </w:tblPrEx>
        <w:trPr>
          <w:trHeight w:val="285"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14</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透雾功能</w:t>
            </w:r>
          </w:p>
        </w:tc>
        <w:tc>
          <w:tcPr>
            <w:tcW w:w="7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光学透雾</w:t>
            </w:r>
          </w:p>
        </w:tc>
      </w:tr>
      <w:tr>
        <w:tblPrEx>
          <w:tblLayout w:type="fixed"/>
          <w:tblCellMar>
            <w:top w:w="0" w:type="dxa"/>
            <w:left w:w="0" w:type="dxa"/>
            <w:bottom w:w="0" w:type="dxa"/>
            <w:right w:w="0" w:type="dxa"/>
          </w:tblCellMar>
        </w:tblPrEx>
        <w:trPr>
          <w:trHeight w:val="285"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数字变倍</w:t>
            </w:r>
          </w:p>
        </w:tc>
        <w:tc>
          <w:tcPr>
            <w:tcW w:w="7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16倍</w:t>
            </w:r>
          </w:p>
        </w:tc>
      </w:tr>
      <w:tr>
        <w:tblPrEx>
          <w:tblLayout w:type="fixed"/>
          <w:tblCellMar>
            <w:top w:w="0" w:type="dxa"/>
            <w:left w:w="0" w:type="dxa"/>
            <w:bottom w:w="0" w:type="dxa"/>
            <w:right w:w="0" w:type="dxa"/>
          </w:tblCellMar>
        </w:tblPrEx>
        <w:trPr>
          <w:trHeight w:val="285"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16</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预置点精度</w:t>
            </w:r>
          </w:p>
        </w:tc>
        <w:tc>
          <w:tcPr>
            <w:tcW w:w="7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垂直：0.1° 水平：0.1°</w:t>
            </w:r>
          </w:p>
        </w:tc>
      </w:tr>
      <w:tr>
        <w:tblPrEx>
          <w:tblLayout w:type="fixed"/>
          <w:tblCellMar>
            <w:top w:w="0" w:type="dxa"/>
            <w:left w:w="0" w:type="dxa"/>
            <w:bottom w:w="0" w:type="dxa"/>
            <w:right w:w="0" w:type="dxa"/>
          </w:tblCellMar>
        </w:tblPrEx>
        <w:trPr>
          <w:trHeight w:val="285"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17</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信噪比</w:t>
            </w:r>
          </w:p>
        </w:tc>
        <w:tc>
          <w:tcPr>
            <w:tcW w:w="7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≥55dB</w:t>
            </w:r>
          </w:p>
        </w:tc>
      </w:tr>
      <w:tr>
        <w:tblPrEx>
          <w:tblLayout w:type="fixed"/>
          <w:tblCellMar>
            <w:top w:w="0" w:type="dxa"/>
            <w:left w:w="0" w:type="dxa"/>
            <w:bottom w:w="0" w:type="dxa"/>
            <w:right w:w="0" w:type="dxa"/>
          </w:tblCellMar>
        </w:tblPrEx>
        <w:trPr>
          <w:trHeight w:val="285"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18</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接入标准</w:t>
            </w:r>
          </w:p>
        </w:tc>
        <w:tc>
          <w:tcPr>
            <w:tcW w:w="7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ONVIF；GB/T28181；CGI</w:t>
            </w:r>
          </w:p>
        </w:tc>
      </w:tr>
      <w:tr>
        <w:tblPrEx>
          <w:tblLayout w:type="fixed"/>
          <w:tblCellMar>
            <w:top w:w="0" w:type="dxa"/>
            <w:left w:w="0" w:type="dxa"/>
            <w:bottom w:w="0" w:type="dxa"/>
            <w:right w:w="0" w:type="dxa"/>
          </w:tblCellMar>
        </w:tblPrEx>
        <w:trPr>
          <w:trHeight w:val="285"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19</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供电方式</w:t>
            </w:r>
          </w:p>
        </w:tc>
        <w:tc>
          <w:tcPr>
            <w:tcW w:w="7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AC24V/8.35A±25%（标配） DC36V/4.17A±25%</w:t>
            </w:r>
          </w:p>
        </w:tc>
      </w:tr>
      <w:tr>
        <w:tblPrEx>
          <w:tblLayout w:type="fixed"/>
          <w:tblCellMar>
            <w:top w:w="0" w:type="dxa"/>
            <w:left w:w="0" w:type="dxa"/>
            <w:bottom w:w="0" w:type="dxa"/>
            <w:right w:w="0" w:type="dxa"/>
          </w:tblCellMar>
        </w:tblPrEx>
        <w:trPr>
          <w:trHeight w:val="285"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工作温度</w:t>
            </w:r>
          </w:p>
        </w:tc>
        <w:tc>
          <w:tcPr>
            <w:tcW w:w="7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-40℃~+70℃</w:t>
            </w:r>
          </w:p>
        </w:tc>
      </w:tr>
      <w:tr>
        <w:tblPrEx>
          <w:tblLayout w:type="fixed"/>
          <w:tblCellMar>
            <w:top w:w="0" w:type="dxa"/>
            <w:left w:w="0" w:type="dxa"/>
            <w:bottom w:w="0" w:type="dxa"/>
            <w:right w:w="0" w:type="dxa"/>
          </w:tblCellMar>
        </w:tblPrEx>
        <w:trPr>
          <w:trHeight w:val="285"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21</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工作湿度</w:t>
            </w:r>
          </w:p>
        </w:tc>
        <w:tc>
          <w:tcPr>
            <w:tcW w:w="7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≤95%</w:t>
            </w:r>
          </w:p>
        </w:tc>
      </w:tr>
      <w:tr>
        <w:tblPrEx>
          <w:tblLayout w:type="fixed"/>
          <w:tblCellMar>
            <w:top w:w="0" w:type="dxa"/>
            <w:left w:w="0" w:type="dxa"/>
            <w:bottom w:w="0" w:type="dxa"/>
            <w:right w:w="0" w:type="dxa"/>
          </w:tblCellMar>
        </w:tblPrEx>
        <w:trPr>
          <w:trHeight w:val="285" w:hRule="atLeast"/>
          <w:jc w:val="center"/>
        </w:trPr>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22</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防护等级</w:t>
            </w:r>
          </w:p>
        </w:tc>
        <w:tc>
          <w:tcPr>
            <w:tcW w:w="7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kern w:val="0"/>
                <w:sz w:val="22"/>
                <w:szCs w:val="22"/>
                <w:lang w:bidi="ar"/>
              </w:rPr>
              <w:t>IP66；TVS 6000V防雷；防浪涌和防突波保护；符合GB/T 17626.5 4级标准</w:t>
            </w:r>
          </w:p>
        </w:tc>
      </w:tr>
    </w:tbl>
    <w:p>
      <w:pPr>
        <w:pStyle w:val="6"/>
        <w:keepNext w:val="0"/>
        <w:keepLines w:val="0"/>
        <w:tabs>
          <w:tab w:val="left" w:pos="420"/>
          <w:tab w:val="left" w:pos="720"/>
          <w:tab w:val="left" w:pos="1080"/>
          <w:tab w:val="left" w:pos="1968"/>
        </w:tabs>
        <w:adjustRightInd w:val="0"/>
        <w:snapToGrid w:val="0"/>
        <w:spacing w:before="0" w:after="0" w:line="360" w:lineRule="auto"/>
        <w:ind w:right="2" w:rightChars="1"/>
        <w:rPr>
          <w:sz w:val="22"/>
          <w:szCs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sz w:val="22"/>
          <w:szCs w:val="22"/>
        </w:rPr>
      </w:pPr>
      <w:r>
        <w:rPr>
          <w:sz w:val="22"/>
          <w:szCs w:val="22"/>
        </w:rPr>
        <w:t>1.6.1.</w:t>
      </w:r>
      <w:r>
        <w:rPr>
          <w:rFonts w:hint="eastAsia"/>
          <w:sz w:val="22"/>
          <w:szCs w:val="22"/>
        </w:rPr>
        <w:t>5 拾音器</w:t>
      </w:r>
    </w:p>
    <w:p>
      <w:pPr>
        <w:widowControl/>
        <w:ind w:left="250" w:leftChars="104" w:right="319" w:rightChars="133"/>
        <w:jc w:val="left"/>
        <w:rPr>
          <w:rFonts w:ascii="宋体" w:hAnsi="宋体"/>
          <w:b/>
          <w:bCs/>
          <w:kern w:val="0"/>
          <w:sz w:val="22"/>
          <w:szCs w:val="28"/>
        </w:rPr>
      </w:pPr>
      <w:r>
        <w:rPr>
          <w:rFonts w:hint="eastAsia" w:ascii="宋体" w:hAnsi="宋体"/>
          <w:b/>
          <w:bCs/>
          <w:kern w:val="0"/>
          <w:sz w:val="22"/>
          <w:szCs w:val="28"/>
        </w:rPr>
        <w:t>可接受的标准化产品品牌为：大华、海康、宇视同等或以上档次品牌。</w:t>
      </w:r>
    </w:p>
    <w:tbl>
      <w:tblPr>
        <w:tblStyle w:val="19"/>
        <w:tblW w:w="9529" w:type="dxa"/>
        <w:jc w:val="center"/>
        <w:tblInd w:w="0" w:type="dxa"/>
        <w:tblLayout w:type="fixed"/>
        <w:tblCellMar>
          <w:top w:w="0" w:type="dxa"/>
          <w:left w:w="0" w:type="dxa"/>
          <w:bottom w:w="0" w:type="dxa"/>
          <w:right w:w="0" w:type="dxa"/>
        </w:tblCellMar>
      </w:tblPr>
      <w:tblGrid>
        <w:gridCol w:w="499"/>
        <w:gridCol w:w="1766"/>
        <w:gridCol w:w="7264"/>
      </w:tblGrid>
      <w:tr>
        <w:tblPrEx>
          <w:tblLayout w:type="fixed"/>
          <w:tblCellMar>
            <w:top w:w="0" w:type="dxa"/>
            <w:left w:w="0" w:type="dxa"/>
            <w:bottom w:w="0" w:type="dxa"/>
            <w:right w:w="0" w:type="dxa"/>
          </w:tblCellMar>
        </w:tblPrEx>
        <w:trPr>
          <w:trHeight w:val="27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90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主要特征 </w:t>
            </w:r>
          </w:p>
        </w:tc>
      </w:tr>
      <w:tr>
        <w:tblPrEx>
          <w:tblLayout w:type="fixed"/>
          <w:tblCellMar>
            <w:top w:w="0" w:type="dxa"/>
            <w:left w:w="0" w:type="dxa"/>
            <w:bottom w:w="0" w:type="dxa"/>
            <w:right w:w="0" w:type="dxa"/>
          </w:tblCellMar>
        </w:tblPrEx>
        <w:trPr>
          <w:trHeight w:val="27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333333"/>
                <w:sz w:val="22"/>
                <w:szCs w:val="22"/>
              </w:rPr>
            </w:pPr>
            <w:r>
              <w:rPr>
                <w:rFonts w:hint="eastAsia" w:ascii="宋体" w:hAnsi="宋体" w:cs="宋体"/>
                <w:color w:val="333333"/>
                <w:kern w:val="0"/>
                <w:sz w:val="22"/>
                <w:szCs w:val="22"/>
                <w:lang w:bidi="ar"/>
              </w:rPr>
              <w:t>拾音范围</w:t>
            </w:r>
          </w:p>
        </w:tc>
        <w:tc>
          <w:tcPr>
            <w:tcW w:w="72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333333"/>
                <w:sz w:val="22"/>
                <w:szCs w:val="22"/>
              </w:rPr>
            </w:pPr>
            <w:r>
              <w:rPr>
                <w:rFonts w:hint="eastAsia" w:ascii="宋体" w:hAnsi="宋体" w:cs="宋体"/>
                <w:color w:val="333333"/>
                <w:kern w:val="0"/>
                <w:sz w:val="22"/>
                <w:szCs w:val="22"/>
                <w:lang w:bidi="ar"/>
              </w:rPr>
              <w:t>≥180平方米</w:t>
            </w:r>
          </w:p>
        </w:tc>
      </w:tr>
      <w:tr>
        <w:tblPrEx>
          <w:tblLayout w:type="fixed"/>
          <w:tblCellMar>
            <w:top w:w="0" w:type="dxa"/>
            <w:left w:w="0" w:type="dxa"/>
            <w:bottom w:w="0" w:type="dxa"/>
            <w:right w:w="0" w:type="dxa"/>
          </w:tblCellMar>
        </w:tblPrEx>
        <w:trPr>
          <w:trHeight w:val="27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333333"/>
                <w:sz w:val="22"/>
                <w:szCs w:val="22"/>
              </w:rPr>
            </w:pPr>
            <w:r>
              <w:rPr>
                <w:rFonts w:hint="eastAsia" w:ascii="宋体" w:hAnsi="宋体" w:cs="宋体"/>
                <w:color w:val="333333"/>
                <w:kern w:val="0"/>
                <w:sz w:val="22"/>
                <w:szCs w:val="22"/>
                <w:lang w:bidi="ar"/>
              </w:rPr>
              <w:t>音频传输距离</w:t>
            </w:r>
          </w:p>
        </w:tc>
        <w:tc>
          <w:tcPr>
            <w:tcW w:w="72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333333"/>
                <w:sz w:val="22"/>
                <w:szCs w:val="22"/>
              </w:rPr>
            </w:pPr>
            <w:r>
              <w:rPr>
                <w:rFonts w:hint="eastAsia" w:ascii="宋体" w:hAnsi="宋体" w:cs="宋体"/>
                <w:color w:val="333333"/>
                <w:kern w:val="0"/>
                <w:sz w:val="22"/>
                <w:szCs w:val="22"/>
                <w:lang w:bidi="ar"/>
              </w:rPr>
              <w:t>≥3000米</w:t>
            </w:r>
          </w:p>
        </w:tc>
      </w:tr>
      <w:tr>
        <w:tblPrEx>
          <w:tblLayout w:type="fixed"/>
          <w:tblCellMar>
            <w:top w:w="0" w:type="dxa"/>
            <w:left w:w="0" w:type="dxa"/>
            <w:bottom w:w="0" w:type="dxa"/>
            <w:right w:w="0" w:type="dxa"/>
          </w:tblCellMar>
        </w:tblPrEx>
        <w:trPr>
          <w:trHeight w:val="27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333333"/>
                <w:sz w:val="22"/>
                <w:szCs w:val="22"/>
              </w:rPr>
            </w:pPr>
            <w:r>
              <w:rPr>
                <w:rFonts w:hint="eastAsia" w:ascii="宋体" w:hAnsi="宋体" w:cs="宋体"/>
                <w:color w:val="333333"/>
                <w:kern w:val="0"/>
                <w:sz w:val="22"/>
                <w:szCs w:val="22"/>
                <w:lang w:bidi="ar"/>
              </w:rPr>
              <w:t>频率响应</w:t>
            </w:r>
          </w:p>
        </w:tc>
        <w:tc>
          <w:tcPr>
            <w:tcW w:w="72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333333"/>
                <w:sz w:val="22"/>
                <w:szCs w:val="22"/>
              </w:rPr>
            </w:pPr>
            <w:r>
              <w:rPr>
                <w:rFonts w:hint="eastAsia" w:ascii="宋体" w:hAnsi="宋体" w:cs="宋体"/>
                <w:color w:val="333333"/>
                <w:kern w:val="0"/>
                <w:sz w:val="22"/>
                <w:szCs w:val="22"/>
                <w:lang w:bidi="ar"/>
              </w:rPr>
              <w:t>20Hz ～ 20KHz</w:t>
            </w:r>
          </w:p>
        </w:tc>
      </w:tr>
      <w:tr>
        <w:tblPrEx>
          <w:tblLayout w:type="fixed"/>
          <w:tblCellMar>
            <w:top w:w="0" w:type="dxa"/>
            <w:left w:w="0" w:type="dxa"/>
            <w:bottom w:w="0" w:type="dxa"/>
            <w:right w:w="0" w:type="dxa"/>
          </w:tblCellMar>
        </w:tblPrEx>
        <w:trPr>
          <w:trHeight w:val="27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333333"/>
                <w:sz w:val="22"/>
                <w:szCs w:val="22"/>
              </w:rPr>
            </w:pPr>
            <w:r>
              <w:rPr>
                <w:rFonts w:hint="eastAsia" w:ascii="宋体" w:hAnsi="宋体" w:cs="宋体"/>
                <w:color w:val="333333"/>
                <w:kern w:val="0"/>
                <w:sz w:val="22"/>
                <w:szCs w:val="22"/>
                <w:lang w:bidi="ar"/>
              </w:rPr>
              <w:t>灵敏度</w:t>
            </w:r>
          </w:p>
        </w:tc>
        <w:tc>
          <w:tcPr>
            <w:tcW w:w="72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333333"/>
                <w:sz w:val="22"/>
                <w:szCs w:val="22"/>
              </w:rPr>
            </w:pPr>
            <w:r>
              <w:rPr>
                <w:rFonts w:hint="eastAsia" w:ascii="宋体" w:hAnsi="宋体" w:cs="宋体"/>
                <w:color w:val="333333"/>
                <w:kern w:val="0"/>
                <w:sz w:val="22"/>
                <w:szCs w:val="22"/>
                <w:lang w:bidi="ar"/>
              </w:rPr>
              <w:t>-30dB</w:t>
            </w:r>
          </w:p>
        </w:tc>
      </w:tr>
      <w:tr>
        <w:tblPrEx>
          <w:tblLayout w:type="fixed"/>
          <w:tblCellMar>
            <w:top w:w="0" w:type="dxa"/>
            <w:left w:w="0" w:type="dxa"/>
            <w:bottom w:w="0" w:type="dxa"/>
            <w:right w:w="0" w:type="dxa"/>
          </w:tblCellMar>
        </w:tblPrEx>
        <w:trPr>
          <w:trHeight w:val="27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333333"/>
                <w:sz w:val="22"/>
                <w:szCs w:val="22"/>
              </w:rPr>
            </w:pPr>
            <w:r>
              <w:rPr>
                <w:rFonts w:hint="eastAsia" w:ascii="宋体" w:hAnsi="宋体" w:cs="宋体"/>
                <w:color w:val="333333"/>
                <w:kern w:val="0"/>
                <w:sz w:val="22"/>
                <w:szCs w:val="22"/>
                <w:lang w:bidi="ar"/>
              </w:rPr>
              <w:t>指向特性</w:t>
            </w:r>
          </w:p>
        </w:tc>
        <w:tc>
          <w:tcPr>
            <w:tcW w:w="72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333333"/>
                <w:sz w:val="22"/>
                <w:szCs w:val="22"/>
              </w:rPr>
            </w:pPr>
            <w:r>
              <w:rPr>
                <w:rFonts w:hint="eastAsia" w:ascii="宋体" w:hAnsi="宋体" w:cs="宋体"/>
                <w:color w:val="333333"/>
                <w:kern w:val="0"/>
                <w:sz w:val="22"/>
                <w:szCs w:val="22"/>
                <w:lang w:bidi="ar"/>
              </w:rPr>
              <w:t>全指向性</w:t>
            </w:r>
          </w:p>
        </w:tc>
      </w:tr>
      <w:tr>
        <w:tblPrEx>
          <w:tblLayout w:type="fixed"/>
          <w:tblCellMar>
            <w:top w:w="0" w:type="dxa"/>
            <w:left w:w="0" w:type="dxa"/>
            <w:bottom w:w="0" w:type="dxa"/>
            <w:right w:w="0" w:type="dxa"/>
          </w:tblCellMar>
        </w:tblPrEx>
        <w:trPr>
          <w:trHeight w:val="27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1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333333"/>
                <w:sz w:val="22"/>
                <w:szCs w:val="22"/>
              </w:rPr>
            </w:pPr>
            <w:r>
              <w:rPr>
                <w:rFonts w:hint="eastAsia" w:ascii="宋体" w:hAnsi="宋体" w:cs="宋体"/>
                <w:color w:val="333333"/>
                <w:kern w:val="0"/>
                <w:sz w:val="22"/>
                <w:szCs w:val="22"/>
                <w:lang w:bidi="ar"/>
              </w:rPr>
              <w:t>动态范围</w:t>
            </w:r>
          </w:p>
        </w:tc>
        <w:tc>
          <w:tcPr>
            <w:tcW w:w="72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333333"/>
                <w:sz w:val="22"/>
                <w:szCs w:val="22"/>
              </w:rPr>
            </w:pPr>
            <w:r>
              <w:rPr>
                <w:rFonts w:hint="eastAsia" w:ascii="宋体" w:hAnsi="宋体" w:cs="宋体"/>
                <w:color w:val="333333"/>
                <w:kern w:val="0"/>
                <w:sz w:val="22"/>
                <w:szCs w:val="22"/>
                <w:lang w:bidi="ar"/>
              </w:rPr>
              <w:t>≥110dB</w:t>
            </w:r>
          </w:p>
        </w:tc>
      </w:tr>
      <w:tr>
        <w:tblPrEx>
          <w:tblLayout w:type="fixed"/>
          <w:tblCellMar>
            <w:top w:w="0" w:type="dxa"/>
            <w:left w:w="0" w:type="dxa"/>
            <w:bottom w:w="0" w:type="dxa"/>
            <w:right w:w="0" w:type="dxa"/>
          </w:tblCellMar>
        </w:tblPrEx>
        <w:trPr>
          <w:trHeight w:val="27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333333"/>
                <w:sz w:val="22"/>
                <w:szCs w:val="22"/>
              </w:rPr>
            </w:pPr>
            <w:r>
              <w:rPr>
                <w:rFonts w:hint="eastAsia" w:ascii="宋体" w:hAnsi="宋体" w:cs="宋体"/>
                <w:color w:val="333333"/>
                <w:kern w:val="0"/>
                <w:sz w:val="22"/>
                <w:szCs w:val="22"/>
                <w:lang w:bidi="ar"/>
              </w:rPr>
              <w:t>信号处理电路</w:t>
            </w:r>
          </w:p>
        </w:tc>
        <w:tc>
          <w:tcPr>
            <w:tcW w:w="72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333333"/>
                <w:sz w:val="22"/>
                <w:szCs w:val="22"/>
              </w:rPr>
            </w:pPr>
            <w:r>
              <w:rPr>
                <w:rFonts w:hint="eastAsia" w:ascii="宋体" w:hAnsi="宋体" w:cs="宋体"/>
                <w:color w:val="333333"/>
                <w:kern w:val="0"/>
                <w:sz w:val="22"/>
                <w:szCs w:val="22"/>
                <w:lang w:bidi="ar"/>
              </w:rPr>
              <w:t>DSP数字降噪</w:t>
            </w:r>
          </w:p>
        </w:tc>
      </w:tr>
      <w:tr>
        <w:tblPrEx>
          <w:tblLayout w:type="fixed"/>
          <w:tblCellMar>
            <w:top w:w="0" w:type="dxa"/>
            <w:left w:w="0" w:type="dxa"/>
            <w:bottom w:w="0" w:type="dxa"/>
            <w:right w:w="0" w:type="dxa"/>
          </w:tblCellMar>
        </w:tblPrEx>
        <w:trPr>
          <w:trHeight w:val="27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1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333333"/>
                <w:sz w:val="22"/>
                <w:szCs w:val="22"/>
              </w:rPr>
            </w:pPr>
            <w:r>
              <w:rPr>
                <w:rFonts w:hint="eastAsia" w:ascii="宋体" w:hAnsi="宋体" w:cs="宋体"/>
                <w:color w:val="333333"/>
                <w:kern w:val="0"/>
                <w:sz w:val="22"/>
                <w:szCs w:val="22"/>
                <w:lang w:bidi="ar"/>
              </w:rPr>
              <w:t>电源电压</w:t>
            </w:r>
          </w:p>
        </w:tc>
        <w:tc>
          <w:tcPr>
            <w:tcW w:w="72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333333"/>
                <w:sz w:val="22"/>
                <w:szCs w:val="22"/>
              </w:rPr>
            </w:pPr>
            <w:r>
              <w:rPr>
                <w:rFonts w:hint="eastAsia" w:ascii="宋体" w:hAnsi="宋体" w:cs="宋体"/>
                <w:color w:val="333333"/>
                <w:kern w:val="0"/>
                <w:sz w:val="22"/>
                <w:szCs w:val="22"/>
                <w:lang w:bidi="ar"/>
              </w:rPr>
              <w:t>DC-12V</w:t>
            </w:r>
          </w:p>
        </w:tc>
      </w:tr>
      <w:tr>
        <w:tblPrEx>
          <w:tblLayout w:type="fixed"/>
          <w:tblCellMar>
            <w:top w:w="0" w:type="dxa"/>
            <w:left w:w="0" w:type="dxa"/>
            <w:bottom w:w="0" w:type="dxa"/>
            <w:right w:w="0" w:type="dxa"/>
          </w:tblCellMar>
        </w:tblPrEx>
        <w:trPr>
          <w:trHeight w:val="30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1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333333"/>
                <w:sz w:val="22"/>
                <w:szCs w:val="22"/>
              </w:rPr>
            </w:pPr>
            <w:r>
              <w:rPr>
                <w:rFonts w:hint="eastAsia" w:ascii="宋体" w:hAnsi="宋体" w:cs="宋体"/>
                <w:color w:val="333333"/>
                <w:kern w:val="0"/>
                <w:sz w:val="22"/>
                <w:szCs w:val="22"/>
                <w:lang w:bidi="ar"/>
              </w:rPr>
              <w:t>符合标准</w:t>
            </w:r>
          </w:p>
        </w:tc>
        <w:tc>
          <w:tcPr>
            <w:tcW w:w="72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333333"/>
                <w:sz w:val="22"/>
                <w:szCs w:val="22"/>
              </w:rPr>
            </w:pPr>
            <w:r>
              <w:rPr>
                <w:rFonts w:hint="eastAsia" w:ascii="宋体" w:hAnsi="宋体" w:cs="宋体"/>
                <w:color w:val="333333"/>
                <w:kern w:val="0"/>
                <w:sz w:val="22"/>
                <w:szCs w:val="22"/>
                <w:lang w:bidi="ar"/>
              </w:rPr>
              <w:t>欧盟CE认证，美国FCC认证</w:t>
            </w:r>
          </w:p>
        </w:tc>
      </w:tr>
    </w:tbl>
    <w:p>
      <w:pPr>
        <w:pStyle w:val="6"/>
        <w:keepNext w:val="0"/>
        <w:keepLines w:val="0"/>
        <w:tabs>
          <w:tab w:val="left" w:pos="420"/>
          <w:tab w:val="left" w:pos="720"/>
          <w:tab w:val="left" w:pos="1080"/>
          <w:tab w:val="left" w:pos="1968"/>
        </w:tabs>
        <w:adjustRightInd w:val="0"/>
        <w:snapToGrid w:val="0"/>
        <w:spacing w:before="0" w:after="0" w:line="360" w:lineRule="auto"/>
        <w:ind w:right="2" w:rightChars="1"/>
        <w:rPr>
          <w:sz w:val="22"/>
          <w:szCs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sz w:val="22"/>
          <w:szCs w:val="22"/>
        </w:rPr>
      </w:pPr>
      <w:r>
        <w:rPr>
          <w:sz w:val="22"/>
          <w:szCs w:val="22"/>
        </w:rPr>
        <w:t>1.6.1.</w:t>
      </w:r>
      <w:r>
        <w:rPr>
          <w:rFonts w:hint="eastAsia"/>
          <w:sz w:val="22"/>
          <w:szCs w:val="22"/>
        </w:rPr>
        <w:t>6视频综合平台机箱</w:t>
      </w:r>
    </w:p>
    <w:p>
      <w:pPr>
        <w:ind w:firstLine="220" w:firstLineChars="100"/>
        <w:rPr>
          <w:rFonts w:ascii="宋体" w:hAnsi="宋体"/>
          <w:b/>
          <w:bCs/>
          <w:kern w:val="0"/>
          <w:sz w:val="22"/>
          <w:szCs w:val="28"/>
        </w:rPr>
      </w:pPr>
      <w:r>
        <w:rPr>
          <w:rFonts w:hint="eastAsia" w:ascii="宋体" w:hAnsi="宋体"/>
          <w:sz w:val="22"/>
          <w:szCs w:val="22"/>
        </w:rPr>
        <w:t xml:space="preserve">  接入现有大华监控平台，平台内的视频图像通过此设备解码上显示大屏。</w:t>
      </w:r>
    </w:p>
    <w:tbl>
      <w:tblPr>
        <w:tblStyle w:val="19"/>
        <w:tblW w:w="9501" w:type="dxa"/>
        <w:tblInd w:w="0" w:type="dxa"/>
        <w:tblLayout w:type="fixed"/>
        <w:tblCellMar>
          <w:top w:w="0" w:type="dxa"/>
          <w:left w:w="0" w:type="dxa"/>
          <w:bottom w:w="0" w:type="dxa"/>
          <w:right w:w="0" w:type="dxa"/>
        </w:tblCellMar>
      </w:tblPr>
      <w:tblGrid>
        <w:gridCol w:w="474"/>
        <w:gridCol w:w="9027"/>
      </w:tblGrid>
      <w:tr>
        <w:tblPrEx>
          <w:tblLayout w:type="fixed"/>
          <w:tblCellMar>
            <w:top w:w="0" w:type="dxa"/>
            <w:left w:w="0" w:type="dxa"/>
            <w:bottom w:w="0" w:type="dxa"/>
            <w:right w:w="0" w:type="dxa"/>
          </w:tblCellMar>
        </w:tblPrEx>
        <w:trPr>
          <w:trHeight w:val="28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序号</w:t>
            </w:r>
          </w:p>
        </w:tc>
        <w:tc>
          <w:tcPr>
            <w:tcW w:w="9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 xml:space="preserve"> 主要特征需求 </w:t>
            </w:r>
          </w:p>
        </w:tc>
      </w:tr>
      <w:tr>
        <w:tblPrEx>
          <w:tblLayout w:type="fixed"/>
          <w:tblCellMar>
            <w:top w:w="0" w:type="dxa"/>
            <w:left w:w="0" w:type="dxa"/>
            <w:bottom w:w="0" w:type="dxa"/>
            <w:right w:w="0" w:type="dxa"/>
          </w:tblCellMar>
        </w:tblPrEx>
        <w:trPr>
          <w:trHeight w:val="28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9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机箱高度≤5U，板卡插槽≥12个；</w:t>
            </w:r>
          </w:p>
        </w:tc>
      </w:tr>
      <w:tr>
        <w:tblPrEx>
          <w:tblLayout w:type="fixed"/>
          <w:tblCellMar>
            <w:top w:w="0" w:type="dxa"/>
            <w:left w:w="0" w:type="dxa"/>
            <w:bottom w:w="0" w:type="dxa"/>
            <w:right w:w="0" w:type="dxa"/>
          </w:tblCellMar>
        </w:tblPrEx>
        <w:trPr>
          <w:trHeight w:val="28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9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支持双电源冗余，要求配置双电源；</w:t>
            </w:r>
          </w:p>
        </w:tc>
      </w:tr>
      <w:tr>
        <w:tblPrEx>
          <w:tblLayout w:type="fixed"/>
          <w:tblCellMar>
            <w:top w:w="0" w:type="dxa"/>
            <w:left w:w="0" w:type="dxa"/>
            <w:bottom w:w="0" w:type="dxa"/>
            <w:right w:w="0" w:type="dxa"/>
          </w:tblCellMar>
        </w:tblPrEx>
        <w:trPr>
          <w:trHeight w:val="54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9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支持多网口绑定，整机通过一个IP地址即可完成IP设备、模拟设备、SDI设备视音频数据的接入、转发和存储；</w:t>
            </w:r>
          </w:p>
        </w:tc>
      </w:tr>
      <w:tr>
        <w:tblPrEx>
          <w:tblLayout w:type="fixed"/>
          <w:tblCellMar>
            <w:top w:w="0" w:type="dxa"/>
            <w:left w:w="0" w:type="dxa"/>
            <w:bottom w:w="0" w:type="dxa"/>
            <w:right w:w="0" w:type="dxa"/>
          </w:tblCellMar>
        </w:tblPrEx>
        <w:trPr>
          <w:trHeight w:val="68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9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支持通过网络将计算机桌面、应用窗口或自定义矩形区域投射到电视墙上，最大支持投射分辨率≥3840×2160；单台计算机可投射任务窗口≥8个；</w:t>
            </w:r>
          </w:p>
        </w:tc>
      </w:tr>
      <w:tr>
        <w:tblPrEx>
          <w:tblLayout w:type="fixed"/>
          <w:tblCellMar>
            <w:top w:w="0" w:type="dxa"/>
            <w:left w:w="0" w:type="dxa"/>
            <w:bottom w:w="0" w:type="dxa"/>
            <w:right w:w="0" w:type="dxa"/>
          </w:tblCellMar>
        </w:tblPrEx>
        <w:trPr>
          <w:trHeight w:val="28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9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整机3840*2160分辨率端口输出≥40个</w:t>
            </w:r>
          </w:p>
        </w:tc>
      </w:tr>
    </w:tbl>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221" w:firstLineChars="100"/>
        <w:rPr>
          <w:sz w:val="22"/>
          <w:szCs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sz w:val="22"/>
          <w:szCs w:val="22"/>
        </w:rPr>
      </w:pPr>
      <w:r>
        <w:rPr>
          <w:sz w:val="22"/>
          <w:szCs w:val="22"/>
        </w:rPr>
        <w:t>1.6.1.</w:t>
      </w:r>
      <w:r>
        <w:rPr>
          <w:rFonts w:hint="eastAsia"/>
          <w:sz w:val="22"/>
          <w:szCs w:val="22"/>
        </w:rPr>
        <w:t>7 HDMI解码输出板（与视频综合平台机箱配套使用）</w:t>
      </w:r>
    </w:p>
    <w:tbl>
      <w:tblPr>
        <w:tblStyle w:val="19"/>
        <w:tblW w:w="9515" w:type="dxa"/>
        <w:jc w:val="center"/>
        <w:tblInd w:w="0" w:type="dxa"/>
        <w:tblLayout w:type="fixed"/>
        <w:tblCellMar>
          <w:top w:w="0" w:type="dxa"/>
          <w:left w:w="0" w:type="dxa"/>
          <w:bottom w:w="0" w:type="dxa"/>
          <w:right w:w="0" w:type="dxa"/>
        </w:tblCellMar>
      </w:tblPr>
      <w:tblGrid>
        <w:gridCol w:w="511"/>
        <w:gridCol w:w="9004"/>
      </w:tblGrid>
      <w:tr>
        <w:tblPrEx>
          <w:tblLayout w:type="fixed"/>
          <w:tblCellMar>
            <w:top w:w="0" w:type="dxa"/>
            <w:left w:w="0" w:type="dxa"/>
            <w:bottom w:w="0" w:type="dxa"/>
            <w:right w:w="0" w:type="dxa"/>
          </w:tblCellMar>
        </w:tblPrEx>
        <w:trPr>
          <w:trHeight w:val="285"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序号</w:t>
            </w:r>
          </w:p>
        </w:tc>
        <w:tc>
          <w:tcPr>
            <w:tcW w:w="9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 xml:space="preserve"> 主要特征需求 </w:t>
            </w:r>
          </w:p>
        </w:tc>
      </w:tr>
      <w:tr>
        <w:tblPrEx>
          <w:tblLayout w:type="fixed"/>
          <w:tblCellMar>
            <w:top w:w="0" w:type="dxa"/>
            <w:left w:w="0" w:type="dxa"/>
            <w:bottom w:w="0" w:type="dxa"/>
            <w:right w:w="0" w:type="dxa"/>
          </w:tblCellMar>
        </w:tblPrEx>
        <w:trPr>
          <w:trHeight w:val="52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9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6路HDMI视频接口；</w:t>
            </w:r>
          </w:p>
        </w:tc>
      </w:tr>
      <w:tr>
        <w:tblPrEx>
          <w:tblLayout w:type="fixed"/>
          <w:tblCellMar>
            <w:top w:w="0" w:type="dxa"/>
            <w:left w:w="0" w:type="dxa"/>
            <w:bottom w:w="0" w:type="dxa"/>
            <w:right w:w="0" w:type="dxa"/>
          </w:tblCellMar>
        </w:tblPrEx>
        <w:trPr>
          <w:trHeight w:val="81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9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支持4路8K@25fps, 8路4096*2160@25fps，8路3840*2160@30fps ，32路1080p@30fps（H.264、H.265），72路720p@30fps，150路D1解码；</w:t>
            </w:r>
          </w:p>
        </w:tc>
      </w:tr>
      <w:tr>
        <w:tblPrEx>
          <w:tblLayout w:type="fixed"/>
          <w:tblCellMar>
            <w:top w:w="0" w:type="dxa"/>
            <w:left w:w="0" w:type="dxa"/>
            <w:bottom w:w="0" w:type="dxa"/>
            <w:right w:w="0" w:type="dxa"/>
          </w:tblCellMar>
        </w:tblPrEx>
        <w:trPr>
          <w:trHeight w:val="285"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9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支持8路1080P的SVAC解码；</w:t>
            </w:r>
          </w:p>
        </w:tc>
      </w:tr>
      <w:tr>
        <w:tblPrEx>
          <w:tblLayout w:type="fixed"/>
          <w:tblCellMar>
            <w:top w:w="0" w:type="dxa"/>
            <w:left w:w="0" w:type="dxa"/>
            <w:bottom w:w="0" w:type="dxa"/>
            <w:right w:w="0" w:type="dxa"/>
          </w:tblCellMar>
        </w:tblPrEx>
        <w:trPr>
          <w:trHeight w:val="285"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9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支持24路非标D1码流解码；</w:t>
            </w:r>
          </w:p>
        </w:tc>
      </w:tr>
    </w:tbl>
    <w:p>
      <w:pPr>
        <w:ind w:firstLine="221" w:firstLineChars="100"/>
        <w:rPr>
          <w:rFonts w:ascii="Times New Roman" w:hAnsi="Times New Roman"/>
          <w:b/>
          <w:bCs/>
          <w:kern w:val="0"/>
          <w:sz w:val="22"/>
          <w:szCs w:val="22"/>
        </w:rPr>
      </w:pPr>
    </w:p>
    <w:p>
      <w:pPr>
        <w:rPr>
          <w:rFonts w:ascii="Times New Roman" w:hAnsi="Times New Roman"/>
          <w:b/>
          <w:bCs/>
          <w:kern w:val="0"/>
          <w:sz w:val="22"/>
          <w:szCs w:val="22"/>
        </w:rPr>
      </w:pPr>
      <w:r>
        <w:rPr>
          <w:rFonts w:ascii="Times New Roman" w:hAnsi="Times New Roman"/>
          <w:b/>
          <w:bCs/>
          <w:kern w:val="0"/>
          <w:sz w:val="22"/>
          <w:szCs w:val="22"/>
        </w:rPr>
        <w:t>1.6.1.</w:t>
      </w:r>
      <w:r>
        <w:rPr>
          <w:rFonts w:hint="eastAsia" w:ascii="Times New Roman" w:hAnsi="Times New Roman"/>
          <w:b/>
          <w:bCs/>
          <w:kern w:val="0"/>
          <w:sz w:val="22"/>
          <w:szCs w:val="22"/>
        </w:rPr>
        <w:t xml:space="preserve">8 </w:t>
      </w:r>
      <w:r>
        <w:rPr>
          <w:rFonts w:ascii="Times New Roman" w:hAnsi="Times New Roman"/>
          <w:b/>
          <w:bCs/>
          <w:kern w:val="0"/>
          <w:sz w:val="22"/>
          <w:szCs w:val="22"/>
        </w:rPr>
        <w:t>HDMI</w:t>
      </w:r>
      <w:r>
        <w:rPr>
          <w:rFonts w:hint="eastAsia" w:ascii="Times New Roman" w:hAnsi="Times New Roman"/>
          <w:b/>
          <w:bCs/>
          <w:kern w:val="0"/>
          <w:sz w:val="22"/>
          <w:szCs w:val="22"/>
        </w:rPr>
        <w:t>编</w:t>
      </w:r>
      <w:r>
        <w:rPr>
          <w:rFonts w:ascii="Times New Roman" w:hAnsi="Times New Roman"/>
          <w:b/>
          <w:bCs/>
          <w:kern w:val="0"/>
          <w:sz w:val="22"/>
          <w:szCs w:val="22"/>
        </w:rPr>
        <w:t>码输</w:t>
      </w:r>
      <w:r>
        <w:rPr>
          <w:rFonts w:hint="eastAsia" w:ascii="Times New Roman" w:hAnsi="Times New Roman"/>
          <w:b/>
          <w:bCs/>
          <w:kern w:val="0"/>
          <w:sz w:val="22"/>
          <w:szCs w:val="22"/>
        </w:rPr>
        <w:t>入</w:t>
      </w:r>
      <w:r>
        <w:rPr>
          <w:rFonts w:ascii="Times New Roman" w:hAnsi="Times New Roman"/>
          <w:b/>
          <w:bCs/>
          <w:kern w:val="0"/>
          <w:sz w:val="22"/>
          <w:szCs w:val="22"/>
        </w:rPr>
        <w:t>板（与视频综合平台机箱配套使用）</w:t>
      </w:r>
    </w:p>
    <w:tbl>
      <w:tblPr>
        <w:tblStyle w:val="19"/>
        <w:tblpPr w:leftFromText="180" w:rightFromText="180" w:vertAnchor="text" w:horzAnchor="page" w:tblpX="1290" w:tblpY="156"/>
        <w:tblOverlap w:val="never"/>
        <w:tblW w:w="9460" w:type="dxa"/>
        <w:tblInd w:w="0" w:type="dxa"/>
        <w:tblLayout w:type="fixed"/>
        <w:tblCellMar>
          <w:top w:w="0" w:type="dxa"/>
          <w:left w:w="0" w:type="dxa"/>
          <w:bottom w:w="0" w:type="dxa"/>
          <w:right w:w="0" w:type="dxa"/>
        </w:tblCellMar>
      </w:tblPr>
      <w:tblGrid>
        <w:gridCol w:w="486"/>
        <w:gridCol w:w="8974"/>
      </w:tblGrid>
      <w:tr>
        <w:tblPrEx>
          <w:tblLayout w:type="fixed"/>
          <w:tblCellMar>
            <w:top w:w="0" w:type="dxa"/>
            <w:left w:w="0" w:type="dxa"/>
            <w:bottom w:w="0" w:type="dxa"/>
            <w:right w:w="0" w:type="dxa"/>
          </w:tblCellMar>
        </w:tblPrEx>
        <w:trPr>
          <w:trHeight w:val="28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序号</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 xml:space="preserve"> 主要特征需求 </w:t>
            </w:r>
          </w:p>
        </w:tc>
      </w:tr>
      <w:tr>
        <w:tblPrEx>
          <w:tblLayout w:type="fixed"/>
          <w:tblCellMar>
            <w:top w:w="0" w:type="dxa"/>
            <w:left w:w="0" w:type="dxa"/>
            <w:bottom w:w="0" w:type="dxa"/>
            <w:right w:w="0" w:type="dxa"/>
          </w:tblCellMar>
        </w:tblPrEx>
        <w:trPr>
          <w:trHeight w:val="28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1</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支持H.264/MPEG4；</w:t>
            </w:r>
          </w:p>
        </w:tc>
      </w:tr>
      <w:tr>
        <w:tblPrEx>
          <w:tblLayout w:type="fixed"/>
          <w:tblCellMar>
            <w:top w:w="0" w:type="dxa"/>
            <w:left w:w="0" w:type="dxa"/>
            <w:bottom w:w="0" w:type="dxa"/>
            <w:right w:w="0" w:type="dxa"/>
          </w:tblCellMar>
        </w:tblPrEx>
        <w:trPr>
          <w:trHeight w:val="28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2</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 xml:space="preserve">视频接口不少于4路； </w:t>
            </w:r>
          </w:p>
        </w:tc>
      </w:tr>
      <w:tr>
        <w:tblPrEx>
          <w:tblLayout w:type="fixed"/>
          <w:tblCellMar>
            <w:top w:w="0" w:type="dxa"/>
            <w:left w:w="0" w:type="dxa"/>
            <w:bottom w:w="0" w:type="dxa"/>
            <w:right w:w="0" w:type="dxa"/>
          </w:tblCellMar>
        </w:tblPrEx>
        <w:trPr>
          <w:trHeight w:val="28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支持1080P/720P/UXGA/SXGA+/SXGA/XGA/SVGA/VGA分辨率；</w:t>
            </w:r>
          </w:p>
        </w:tc>
      </w:tr>
      <w:tr>
        <w:tblPrEx>
          <w:tblLayout w:type="fixed"/>
          <w:tblCellMar>
            <w:top w:w="0" w:type="dxa"/>
            <w:left w:w="0" w:type="dxa"/>
            <w:bottom w:w="0" w:type="dxa"/>
            <w:right w:w="0" w:type="dxa"/>
          </w:tblCellMar>
        </w:tblPrEx>
        <w:trPr>
          <w:trHeight w:val="28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4</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支持VGA、YPbPr逐行分量信号；</w:t>
            </w:r>
          </w:p>
        </w:tc>
      </w:tr>
      <w:tr>
        <w:tblPrEx>
          <w:tblLayout w:type="fixed"/>
          <w:tblCellMar>
            <w:top w:w="0" w:type="dxa"/>
            <w:left w:w="0" w:type="dxa"/>
            <w:bottom w:w="0" w:type="dxa"/>
            <w:right w:w="0" w:type="dxa"/>
          </w:tblCellMar>
        </w:tblPrEx>
        <w:trPr>
          <w:trHeight w:val="28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5</w:t>
            </w:r>
          </w:p>
        </w:tc>
        <w:tc>
          <w:tcPr>
            <w:tcW w:w="89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支持RGBHV以及SOG信号；</w:t>
            </w:r>
          </w:p>
        </w:tc>
      </w:tr>
    </w:tbl>
    <w:p>
      <w:pPr>
        <w:rPr>
          <w:rFonts w:ascii="Times New Roman" w:hAnsi="Times New Roman"/>
          <w:b/>
          <w:bCs/>
          <w:kern w:val="0"/>
          <w:sz w:val="22"/>
          <w:szCs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sz w:val="22"/>
          <w:szCs w:val="22"/>
        </w:rPr>
      </w:pPr>
      <w:r>
        <w:rPr>
          <w:sz w:val="22"/>
          <w:szCs w:val="22"/>
        </w:rPr>
        <w:t>1.6.1.</w:t>
      </w:r>
      <w:r>
        <w:rPr>
          <w:rFonts w:hint="eastAsia"/>
          <w:sz w:val="22"/>
          <w:szCs w:val="22"/>
        </w:rPr>
        <w:t>9 扩容存储磁盘柜</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sz w:val="22"/>
          <w:szCs w:val="22"/>
        </w:rPr>
      </w:pPr>
      <w:r>
        <w:rPr>
          <w:rFonts w:hint="eastAsia" w:ascii="宋体" w:hAnsi="宋体"/>
          <w:sz w:val="22"/>
        </w:rPr>
        <w:t>与P5停车场在用的大华存储无缝兼容,为实现兼容所需的清单外设备由投标方提供。</w:t>
      </w:r>
    </w:p>
    <w:tbl>
      <w:tblPr>
        <w:tblStyle w:val="19"/>
        <w:tblW w:w="9476" w:type="dxa"/>
        <w:tblInd w:w="0" w:type="dxa"/>
        <w:tblLayout w:type="fixed"/>
        <w:tblCellMar>
          <w:top w:w="0" w:type="dxa"/>
          <w:left w:w="0" w:type="dxa"/>
          <w:bottom w:w="0" w:type="dxa"/>
          <w:right w:w="0" w:type="dxa"/>
        </w:tblCellMar>
      </w:tblPr>
      <w:tblGrid>
        <w:gridCol w:w="491"/>
        <w:gridCol w:w="1639"/>
        <w:gridCol w:w="7346"/>
      </w:tblGrid>
      <w:tr>
        <w:tblPrEx>
          <w:tblLayout w:type="fixed"/>
          <w:tblCellMar>
            <w:top w:w="0" w:type="dxa"/>
            <w:left w:w="0" w:type="dxa"/>
            <w:bottom w:w="0" w:type="dxa"/>
            <w:right w:w="0" w:type="dxa"/>
          </w:tblCellMar>
        </w:tblPrEx>
        <w:trPr>
          <w:trHeight w:val="27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序号</w:t>
            </w:r>
          </w:p>
        </w:tc>
        <w:tc>
          <w:tcPr>
            <w:tcW w:w="8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主要特征需求 </w:t>
            </w:r>
          </w:p>
        </w:tc>
      </w:tr>
      <w:tr>
        <w:tblPrEx>
          <w:tblLayout w:type="fixed"/>
          <w:tblCellMar>
            <w:top w:w="0" w:type="dxa"/>
            <w:left w:w="0" w:type="dxa"/>
            <w:bottom w:w="0" w:type="dxa"/>
            <w:right w:w="0" w:type="dxa"/>
          </w:tblCellMar>
        </w:tblPrEx>
        <w:trPr>
          <w:trHeight w:val="27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高速缓存</w:t>
            </w:r>
          </w:p>
        </w:tc>
        <w:tc>
          <w:tcPr>
            <w:tcW w:w="7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≥16G</w:t>
            </w:r>
          </w:p>
        </w:tc>
      </w:tr>
      <w:tr>
        <w:tblPrEx>
          <w:tblLayout w:type="fixed"/>
          <w:tblCellMar>
            <w:top w:w="0" w:type="dxa"/>
            <w:left w:w="0" w:type="dxa"/>
            <w:bottom w:w="0" w:type="dxa"/>
            <w:right w:w="0" w:type="dxa"/>
          </w:tblCellMar>
        </w:tblPrEx>
        <w:trPr>
          <w:trHeight w:val="27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SAS接口</w:t>
            </w:r>
          </w:p>
        </w:tc>
        <w:tc>
          <w:tcPr>
            <w:tcW w:w="7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≥2个</w:t>
            </w:r>
          </w:p>
        </w:tc>
      </w:tr>
      <w:tr>
        <w:tblPrEx>
          <w:tblLayout w:type="fixed"/>
          <w:tblCellMar>
            <w:top w:w="0" w:type="dxa"/>
            <w:left w:w="0" w:type="dxa"/>
            <w:bottom w:w="0" w:type="dxa"/>
            <w:right w:w="0" w:type="dxa"/>
          </w:tblCellMar>
        </w:tblPrEx>
        <w:trPr>
          <w:trHeight w:val="27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网口</w:t>
            </w:r>
          </w:p>
        </w:tc>
        <w:tc>
          <w:tcPr>
            <w:tcW w:w="7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≥8个千兆口</w:t>
            </w:r>
          </w:p>
        </w:tc>
      </w:tr>
      <w:tr>
        <w:tblPrEx>
          <w:tblLayout w:type="fixed"/>
          <w:tblCellMar>
            <w:top w:w="0" w:type="dxa"/>
            <w:left w:w="0" w:type="dxa"/>
            <w:bottom w:w="0" w:type="dxa"/>
            <w:right w:w="0" w:type="dxa"/>
          </w:tblCellMar>
        </w:tblPrEx>
        <w:trPr>
          <w:trHeight w:val="6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硬盘配置</w:t>
            </w:r>
          </w:p>
        </w:tc>
        <w:tc>
          <w:tcPr>
            <w:tcW w:w="7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支持6T，支持SAS/SATA盘混插，支持SSD硬盘，支持2.5/3.5英寸硬盘；</w:t>
            </w:r>
          </w:p>
          <w:p>
            <w:pPr>
              <w:widowControl/>
              <w:jc w:val="left"/>
              <w:textAlignment w:val="center"/>
              <w:rPr>
                <w:rFonts w:ascii="宋体" w:hAnsi="宋体" w:cs="宋体"/>
                <w:color w:val="000000"/>
                <w:sz w:val="22"/>
                <w:szCs w:val="22"/>
              </w:rPr>
            </w:pPr>
            <w:r>
              <w:rPr>
                <w:rFonts w:hint="eastAsia" w:ascii="宋体"/>
                <w:bCs/>
                <w:sz w:val="22"/>
              </w:rPr>
              <w:t>使用企业级硬盘，单块硬盘裸容量</w:t>
            </w:r>
            <w:r>
              <w:rPr>
                <w:rFonts w:hint="eastAsia" w:ascii="宋体" w:hAnsi="宋体"/>
                <w:bCs/>
                <w:sz w:val="22"/>
              </w:rPr>
              <w:t>≥6T，实际硬盘块数≥21块，实际裸容量≥126T</w:t>
            </w:r>
          </w:p>
        </w:tc>
      </w:tr>
      <w:tr>
        <w:tblPrEx>
          <w:tblLayout w:type="fixed"/>
          <w:tblCellMar>
            <w:top w:w="0" w:type="dxa"/>
            <w:left w:w="0" w:type="dxa"/>
            <w:bottom w:w="0" w:type="dxa"/>
            <w:right w:w="0" w:type="dxa"/>
          </w:tblCellMar>
        </w:tblPrEx>
        <w:trPr>
          <w:trHeight w:val="38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视频流模式</w:t>
            </w:r>
          </w:p>
        </w:tc>
        <w:tc>
          <w:tcPr>
            <w:tcW w:w="7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支持视频流直存</w:t>
            </w:r>
          </w:p>
        </w:tc>
      </w:tr>
      <w:tr>
        <w:tblPrEx>
          <w:tblLayout w:type="fixed"/>
          <w:tblCellMar>
            <w:top w:w="0" w:type="dxa"/>
            <w:left w:w="0" w:type="dxa"/>
            <w:bottom w:w="0" w:type="dxa"/>
            <w:right w:w="0" w:type="dxa"/>
          </w:tblCellMar>
        </w:tblPrEx>
        <w:trPr>
          <w:trHeight w:val="27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设备高度</w:t>
            </w:r>
          </w:p>
        </w:tc>
        <w:tc>
          <w:tcPr>
            <w:tcW w:w="7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≤4U</w:t>
            </w:r>
          </w:p>
        </w:tc>
      </w:tr>
      <w:tr>
        <w:tblPrEx>
          <w:tblLayout w:type="fixed"/>
          <w:tblCellMar>
            <w:top w:w="0" w:type="dxa"/>
            <w:left w:w="0" w:type="dxa"/>
            <w:bottom w:w="0" w:type="dxa"/>
            <w:right w:w="0" w:type="dxa"/>
          </w:tblCellMar>
        </w:tblPrEx>
        <w:trPr>
          <w:trHeight w:val="27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支持硬盘</w:t>
            </w:r>
          </w:p>
        </w:tc>
        <w:tc>
          <w:tcPr>
            <w:tcW w:w="7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≥36个</w:t>
            </w:r>
          </w:p>
        </w:tc>
      </w:tr>
      <w:tr>
        <w:tblPrEx>
          <w:tblLayout w:type="fixed"/>
          <w:tblCellMar>
            <w:top w:w="0" w:type="dxa"/>
            <w:left w:w="0" w:type="dxa"/>
            <w:bottom w:w="0" w:type="dxa"/>
            <w:right w:w="0" w:type="dxa"/>
          </w:tblCellMar>
        </w:tblPrEx>
        <w:trPr>
          <w:trHeight w:val="36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硬盘安装</w:t>
            </w:r>
          </w:p>
        </w:tc>
        <w:tc>
          <w:tcPr>
            <w:tcW w:w="7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独立硬盘支架</w:t>
            </w:r>
          </w:p>
        </w:tc>
      </w:tr>
      <w:tr>
        <w:tblPrEx>
          <w:tblLayout w:type="fixed"/>
          <w:tblCellMar>
            <w:top w:w="0" w:type="dxa"/>
            <w:left w:w="0" w:type="dxa"/>
            <w:bottom w:w="0" w:type="dxa"/>
            <w:right w:w="0" w:type="dxa"/>
          </w:tblCellMar>
        </w:tblPrEx>
        <w:trPr>
          <w:trHeight w:val="27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硬盘热插拔</w:t>
            </w:r>
          </w:p>
        </w:tc>
        <w:tc>
          <w:tcPr>
            <w:tcW w:w="7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w:t>
            </w:r>
          </w:p>
        </w:tc>
      </w:tr>
      <w:tr>
        <w:tblPrEx>
          <w:tblLayout w:type="fixed"/>
          <w:tblCellMar>
            <w:top w:w="0" w:type="dxa"/>
            <w:left w:w="0" w:type="dxa"/>
            <w:bottom w:w="0" w:type="dxa"/>
            <w:right w:w="0" w:type="dxa"/>
          </w:tblCellMar>
        </w:tblPrEx>
        <w:trPr>
          <w:trHeight w:val="36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网口特性</w:t>
            </w:r>
          </w:p>
        </w:tc>
        <w:tc>
          <w:tcPr>
            <w:tcW w:w="7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支持负载均衡、容错等网口绑定模式</w:t>
            </w:r>
          </w:p>
        </w:tc>
      </w:tr>
      <w:tr>
        <w:tblPrEx>
          <w:tblLayout w:type="fixed"/>
          <w:tblCellMar>
            <w:top w:w="0" w:type="dxa"/>
            <w:left w:w="0" w:type="dxa"/>
            <w:bottom w:w="0" w:type="dxa"/>
            <w:right w:w="0" w:type="dxa"/>
          </w:tblCellMar>
        </w:tblPrEx>
        <w:trPr>
          <w:trHeight w:val="27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电源</w:t>
            </w:r>
          </w:p>
        </w:tc>
        <w:tc>
          <w:tcPr>
            <w:tcW w:w="7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支持冗余，支持热插拔</w:t>
            </w:r>
          </w:p>
        </w:tc>
      </w:tr>
      <w:tr>
        <w:tblPrEx>
          <w:tblLayout w:type="fixed"/>
          <w:tblCellMar>
            <w:top w:w="0" w:type="dxa"/>
            <w:left w:w="0" w:type="dxa"/>
            <w:bottom w:w="0" w:type="dxa"/>
            <w:right w:w="0" w:type="dxa"/>
          </w:tblCellMar>
        </w:tblPrEx>
        <w:trPr>
          <w:trHeight w:val="46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12</w:t>
            </w:r>
          </w:p>
        </w:tc>
        <w:tc>
          <w:tcPr>
            <w:tcW w:w="16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安装方式</w:t>
            </w:r>
          </w:p>
        </w:tc>
        <w:tc>
          <w:tcPr>
            <w:tcW w:w="73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标准19英寸机架式安装</w:t>
            </w:r>
          </w:p>
        </w:tc>
      </w:tr>
    </w:tbl>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color w:val="000000"/>
          <w:sz w:val="22"/>
          <w:szCs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sz w:val="22"/>
          <w:szCs w:val="22"/>
        </w:rPr>
      </w:pPr>
      <w:r>
        <w:rPr>
          <w:sz w:val="22"/>
          <w:szCs w:val="22"/>
        </w:rPr>
        <w:t>1.6.1.</w:t>
      </w:r>
      <w:r>
        <w:rPr>
          <w:rFonts w:hint="eastAsia"/>
          <w:sz w:val="22"/>
          <w:szCs w:val="22"/>
        </w:rPr>
        <w:t>10 光收发配套机箱</w:t>
      </w:r>
    </w:p>
    <w:p>
      <w:pPr>
        <w:pStyle w:val="6"/>
        <w:keepNext w:val="0"/>
        <w:keepLines w:val="0"/>
        <w:tabs>
          <w:tab w:val="left" w:pos="720"/>
          <w:tab w:val="left" w:pos="1080"/>
          <w:tab w:val="left" w:pos="1968"/>
        </w:tabs>
        <w:adjustRightInd w:val="0"/>
        <w:snapToGrid w:val="0"/>
        <w:spacing w:before="0" w:after="0" w:line="360" w:lineRule="auto"/>
        <w:ind w:right="2" w:rightChars="1" w:firstLine="437" w:firstLineChars="198"/>
        <w:rPr>
          <w:rFonts w:cs="黑体"/>
          <w:color w:val="000000"/>
          <w:sz w:val="22"/>
        </w:rPr>
      </w:pPr>
      <w:r>
        <w:rPr>
          <w:rFonts w:hint="eastAsia" w:ascii="宋体" w:hAnsi="宋体"/>
          <w:bCs w:val="0"/>
          <w:color w:val="000000"/>
          <w:sz w:val="22"/>
          <w:szCs w:val="22"/>
        </w:rPr>
        <w:t>可接受的标准化产品品牌为：雷贝、瑞斯康达、烽火等同档次品牌。</w:t>
      </w:r>
    </w:p>
    <w:tbl>
      <w:tblPr>
        <w:tblStyle w:val="19"/>
        <w:tblW w:w="9282" w:type="dxa"/>
        <w:jc w:val="center"/>
        <w:tblInd w:w="0" w:type="dxa"/>
        <w:tblLayout w:type="fixed"/>
        <w:tblCellMar>
          <w:top w:w="0" w:type="dxa"/>
          <w:left w:w="0" w:type="dxa"/>
          <w:bottom w:w="0" w:type="dxa"/>
          <w:right w:w="0" w:type="dxa"/>
        </w:tblCellMar>
      </w:tblPr>
      <w:tblGrid>
        <w:gridCol w:w="503"/>
        <w:gridCol w:w="8779"/>
      </w:tblGrid>
      <w:tr>
        <w:tblPrEx>
          <w:tblLayout w:type="fixed"/>
          <w:tblCellMar>
            <w:top w:w="0" w:type="dxa"/>
            <w:left w:w="0" w:type="dxa"/>
            <w:bottom w:w="0" w:type="dxa"/>
            <w:right w:w="0" w:type="dxa"/>
          </w:tblCellMar>
        </w:tblPrEx>
        <w:trPr>
          <w:trHeight w:val="331"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序号</w:t>
            </w:r>
          </w:p>
        </w:tc>
        <w:tc>
          <w:tcPr>
            <w:tcW w:w="8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 xml:space="preserve"> 主要特征需求 </w:t>
            </w:r>
          </w:p>
        </w:tc>
      </w:tr>
      <w:tr>
        <w:tblPrEx>
          <w:tblLayout w:type="fixed"/>
          <w:tblCellMar>
            <w:top w:w="0" w:type="dxa"/>
            <w:left w:w="0" w:type="dxa"/>
            <w:bottom w:w="0" w:type="dxa"/>
            <w:right w:w="0" w:type="dxa"/>
          </w:tblCellMar>
        </w:tblPrEx>
        <w:trPr>
          <w:trHeight w:val="285" w:hRule="atLeast"/>
          <w:jc w:val="center"/>
        </w:trPr>
        <w:tc>
          <w:tcPr>
            <w:tcW w:w="5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7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19寸、 2U插卡式机箱，≥14槽，双电源；</w:t>
            </w:r>
          </w:p>
        </w:tc>
      </w:tr>
    </w:tbl>
    <w:p/>
    <w:p>
      <w:pPr>
        <w:rPr>
          <w:rFonts w:ascii="Times New Roman" w:hAnsi="Times New Roman"/>
          <w:b/>
          <w:bCs/>
          <w:kern w:val="0"/>
          <w:sz w:val="22"/>
          <w:szCs w:val="22"/>
        </w:rPr>
      </w:pPr>
      <w:r>
        <w:rPr>
          <w:rFonts w:ascii="Times New Roman" w:hAnsi="Times New Roman"/>
          <w:b/>
          <w:bCs/>
          <w:kern w:val="0"/>
          <w:sz w:val="22"/>
          <w:szCs w:val="22"/>
        </w:rPr>
        <w:t>1.6.1.</w:t>
      </w:r>
      <w:r>
        <w:rPr>
          <w:rFonts w:hint="eastAsia" w:ascii="Times New Roman" w:hAnsi="Times New Roman"/>
          <w:b/>
          <w:bCs/>
          <w:kern w:val="0"/>
          <w:sz w:val="22"/>
          <w:szCs w:val="22"/>
        </w:rPr>
        <w:t>11光纤收发器（与光收发配套机箱配套使用）</w:t>
      </w:r>
    </w:p>
    <w:tbl>
      <w:tblPr>
        <w:tblStyle w:val="19"/>
        <w:tblW w:w="9351" w:type="dxa"/>
        <w:jc w:val="center"/>
        <w:tblInd w:w="0" w:type="dxa"/>
        <w:tblLayout w:type="fixed"/>
        <w:tblCellMar>
          <w:top w:w="0" w:type="dxa"/>
          <w:left w:w="0" w:type="dxa"/>
          <w:bottom w:w="0" w:type="dxa"/>
          <w:right w:w="0" w:type="dxa"/>
        </w:tblCellMar>
      </w:tblPr>
      <w:tblGrid>
        <w:gridCol w:w="579"/>
        <w:gridCol w:w="8772"/>
      </w:tblGrid>
      <w:tr>
        <w:tblPrEx>
          <w:tblLayout w:type="fixed"/>
          <w:tblCellMar>
            <w:top w:w="0" w:type="dxa"/>
            <w:left w:w="0" w:type="dxa"/>
            <w:bottom w:w="0" w:type="dxa"/>
            <w:right w:w="0" w:type="dxa"/>
          </w:tblCellMar>
        </w:tblPrEx>
        <w:trPr>
          <w:trHeight w:val="285"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8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主要特征需求 </w:t>
            </w:r>
          </w:p>
        </w:tc>
      </w:tr>
      <w:tr>
        <w:tblPrEx>
          <w:tblLayout w:type="fixed"/>
          <w:tblCellMar>
            <w:top w:w="0" w:type="dxa"/>
            <w:left w:w="0" w:type="dxa"/>
            <w:bottom w:w="0" w:type="dxa"/>
            <w:right w:w="0" w:type="dxa"/>
          </w:tblCellMar>
        </w:tblPrEx>
        <w:trPr>
          <w:trHeight w:val="285"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8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网口信息 1*100/1000Mbps RJ45，1*1000Mbps光口；</w:t>
            </w:r>
          </w:p>
        </w:tc>
      </w:tr>
      <w:tr>
        <w:tblPrEx>
          <w:tblLayout w:type="fixed"/>
          <w:tblCellMar>
            <w:top w:w="0" w:type="dxa"/>
            <w:left w:w="0" w:type="dxa"/>
            <w:bottom w:w="0" w:type="dxa"/>
            <w:right w:w="0" w:type="dxa"/>
          </w:tblCellMar>
        </w:tblPrEx>
        <w:trPr>
          <w:trHeight w:val="285" w:hRule="atLeast"/>
          <w:jc w:val="center"/>
        </w:trPr>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87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光纤类型：单模单纤；</w:t>
            </w:r>
          </w:p>
        </w:tc>
      </w:tr>
    </w:tbl>
    <w:p>
      <w:pPr>
        <w:pStyle w:val="6"/>
        <w:keepNext w:val="0"/>
        <w:keepLines w:val="0"/>
        <w:tabs>
          <w:tab w:val="left" w:pos="720"/>
          <w:tab w:val="left" w:pos="1080"/>
          <w:tab w:val="left" w:pos="1968"/>
        </w:tabs>
        <w:adjustRightInd w:val="0"/>
        <w:snapToGrid w:val="0"/>
        <w:spacing w:before="0" w:after="0" w:line="360" w:lineRule="auto"/>
        <w:ind w:right="2" w:rightChars="1" w:firstLine="221" w:firstLineChars="100"/>
        <w:rPr>
          <w:rFonts w:ascii="宋体"/>
          <w:bCs w:val="0"/>
          <w:color w:val="000000"/>
          <w:sz w:val="22"/>
          <w:szCs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color w:val="000000"/>
          <w:sz w:val="22"/>
          <w:szCs w:val="22"/>
        </w:rPr>
      </w:pPr>
      <w:r>
        <w:rPr>
          <w:sz w:val="22"/>
          <w:szCs w:val="22"/>
        </w:rPr>
        <w:t>1.6.1.</w:t>
      </w:r>
      <w:r>
        <w:rPr>
          <w:rFonts w:hint="eastAsia"/>
          <w:sz w:val="22"/>
          <w:szCs w:val="22"/>
        </w:rPr>
        <w:t>12 室外机箱</w:t>
      </w:r>
    </w:p>
    <w:tbl>
      <w:tblPr>
        <w:tblStyle w:val="19"/>
        <w:tblW w:w="9164" w:type="dxa"/>
        <w:jc w:val="center"/>
        <w:tblInd w:w="0" w:type="dxa"/>
        <w:tblLayout w:type="fixed"/>
        <w:tblCellMar>
          <w:top w:w="0" w:type="dxa"/>
          <w:left w:w="0" w:type="dxa"/>
          <w:bottom w:w="0" w:type="dxa"/>
          <w:right w:w="0" w:type="dxa"/>
        </w:tblCellMar>
      </w:tblPr>
      <w:tblGrid>
        <w:gridCol w:w="498"/>
        <w:gridCol w:w="8666"/>
      </w:tblGrid>
      <w:tr>
        <w:tblPrEx>
          <w:tblLayout w:type="fixed"/>
          <w:tblCellMar>
            <w:top w:w="0" w:type="dxa"/>
            <w:left w:w="0" w:type="dxa"/>
            <w:bottom w:w="0" w:type="dxa"/>
            <w:right w:w="0" w:type="dxa"/>
          </w:tblCellMar>
        </w:tblPrEx>
        <w:trPr>
          <w:trHeight w:val="285"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序号</w:t>
            </w:r>
          </w:p>
        </w:tc>
        <w:tc>
          <w:tcPr>
            <w:tcW w:w="8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主要特征需求</w:t>
            </w:r>
          </w:p>
        </w:tc>
      </w:tr>
      <w:tr>
        <w:tblPrEx>
          <w:tblLayout w:type="fixed"/>
          <w:tblCellMar>
            <w:top w:w="0" w:type="dxa"/>
            <w:left w:w="0" w:type="dxa"/>
            <w:bottom w:w="0" w:type="dxa"/>
            <w:right w:w="0" w:type="dxa"/>
          </w:tblCellMar>
        </w:tblPrEx>
        <w:trPr>
          <w:trHeight w:val="285"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1</w:t>
            </w:r>
          </w:p>
        </w:tc>
        <w:tc>
          <w:tcPr>
            <w:tcW w:w="8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尺寸：600*450*600（W*H*D）</w:t>
            </w:r>
          </w:p>
        </w:tc>
      </w:tr>
      <w:tr>
        <w:tblPrEx>
          <w:tblLayout w:type="fixed"/>
          <w:tblCellMar>
            <w:top w:w="0" w:type="dxa"/>
            <w:left w:w="0" w:type="dxa"/>
            <w:bottom w:w="0" w:type="dxa"/>
            <w:right w:w="0" w:type="dxa"/>
          </w:tblCellMar>
        </w:tblPrEx>
        <w:trPr>
          <w:trHeight w:val="285"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2</w:t>
            </w:r>
          </w:p>
        </w:tc>
        <w:tc>
          <w:tcPr>
            <w:tcW w:w="8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原材料：优质冷轧钢板</w:t>
            </w:r>
          </w:p>
        </w:tc>
      </w:tr>
      <w:tr>
        <w:tblPrEx>
          <w:tblLayout w:type="fixed"/>
          <w:tblCellMar>
            <w:top w:w="0" w:type="dxa"/>
            <w:left w:w="0" w:type="dxa"/>
            <w:bottom w:w="0" w:type="dxa"/>
            <w:right w:w="0" w:type="dxa"/>
          </w:tblCellMar>
        </w:tblPrEx>
        <w:trPr>
          <w:trHeight w:val="343"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3</w:t>
            </w:r>
          </w:p>
        </w:tc>
        <w:tc>
          <w:tcPr>
            <w:tcW w:w="8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机柜结构：拼装式机柜框架；表面处理：表面脱脂、磷化、静电喷塑处理；</w:t>
            </w:r>
          </w:p>
        </w:tc>
      </w:tr>
      <w:tr>
        <w:tblPrEx>
          <w:tblLayout w:type="fixed"/>
          <w:tblCellMar>
            <w:top w:w="0" w:type="dxa"/>
            <w:left w:w="0" w:type="dxa"/>
            <w:bottom w:w="0" w:type="dxa"/>
            <w:right w:w="0" w:type="dxa"/>
          </w:tblCellMar>
        </w:tblPrEx>
        <w:trPr>
          <w:trHeight w:val="357"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4</w:t>
            </w:r>
          </w:p>
        </w:tc>
        <w:tc>
          <w:tcPr>
            <w:tcW w:w="8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箱体、箱门上预装M8接地柱；含空开、汇流排、导轨；</w:t>
            </w:r>
          </w:p>
        </w:tc>
      </w:tr>
      <w:tr>
        <w:tblPrEx>
          <w:tblLayout w:type="fixed"/>
          <w:tblCellMar>
            <w:top w:w="0" w:type="dxa"/>
            <w:left w:w="0" w:type="dxa"/>
            <w:bottom w:w="0" w:type="dxa"/>
            <w:right w:w="0" w:type="dxa"/>
          </w:tblCellMar>
        </w:tblPrEx>
        <w:trPr>
          <w:trHeight w:val="285"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5</w:t>
            </w:r>
          </w:p>
        </w:tc>
        <w:tc>
          <w:tcPr>
            <w:tcW w:w="8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lang w:bidi="ar"/>
              </w:rPr>
              <w:t>防护等级：IP65；</w:t>
            </w:r>
          </w:p>
        </w:tc>
      </w:tr>
    </w:tbl>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color w:val="000000"/>
          <w:sz w:val="22"/>
          <w:szCs w:val="22"/>
        </w:rPr>
      </w:pPr>
      <w:r>
        <w:rPr>
          <w:sz w:val="22"/>
          <w:szCs w:val="22"/>
        </w:rPr>
        <w:t>1.6.1.</w:t>
      </w:r>
      <w:r>
        <w:rPr>
          <w:rFonts w:hint="eastAsia"/>
          <w:sz w:val="22"/>
          <w:szCs w:val="22"/>
        </w:rPr>
        <w:t xml:space="preserve">13 </w:t>
      </w:r>
      <w:r>
        <w:rPr>
          <w:rFonts w:hint="eastAsia" w:ascii="宋体" w:hAnsi="宋体"/>
          <w:bCs w:val="0"/>
          <w:color w:val="000000"/>
          <w:sz w:val="22"/>
          <w:szCs w:val="22"/>
        </w:rPr>
        <w:t>六类网线</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color w:val="000000"/>
        </w:rPr>
      </w:pPr>
      <w:r>
        <w:rPr>
          <w:rFonts w:hint="eastAsia" w:ascii="宋体" w:hAnsi="宋体"/>
          <w:bCs w:val="0"/>
          <w:color w:val="000000"/>
          <w:sz w:val="22"/>
          <w:szCs w:val="22"/>
        </w:rPr>
        <w:t>可接受的标准化产品品牌为：鸿雁、普天、</w:t>
      </w:r>
      <w:r>
        <w:rPr>
          <w:rFonts w:ascii="宋体" w:hAnsi="宋体"/>
          <w:bCs w:val="0"/>
          <w:color w:val="000000"/>
          <w:sz w:val="22"/>
          <w:szCs w:val="22"/>
        </w:rPr>
        <w:t>TCL</w:t>
      </w:r>
      <w:r>
        <w:rPr>
          <w:rFonts w:hint="eastAsia" w:ascii="宋体" w:hAnsi="宋体"/>
          <w:bCs w:val="0"/>
          <w:color w:val="000000"/>
          <w:sz w:val="22"/>
          <w:szCs w:val="22"/>
        </w:rPr>
        <w:t>同等或以上档次品牌。</w:t>
      </w:r>
    </w:p>
    <w:tbl>
      <w:tblPr>
        <w:tblStyle w:val="19"/>
        <w:tblW w:w="92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17"/>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jc w:val="center"/>
              <w:rPr>
                <w:rFonts w:ascii="宋体" w:cs="黑体"/>
                <w:b/>
                <w:color w:val="000000"/>
                <w:sz w:val="22"/>
              </w:rPr>
            </w:pPr>
            <w:r>
              <w:rPr>
                <w:rFonts w:hint="eastAsia" w:ascii="宋体" w:hAnsi="宋体" w:cs="黑体"/>
                <w:b/>
                <w:color w:val="000000"/>
                <w:sz w:val="22"/>
              </w:rPr>
              <w:t>序号</w:t>
            </w:r>
          </w:p>
        </w:tc>
        <w:tc>
          <w:tcPr>
            <w:tcW w:w="8647" w:type="dxa"/>
            <w:gridSpan w:val="2"/>
            <w:vAlign w:val="center"/>
          </w:tcPr>
          <w:p>
            <w:pPr>
              <w:jc w:val="center"/>
              <w:rPr>
                <w:rFonts w:ascii="宋体" w:cs="黑体"/>
                <w:b/>
                <w:color w:val="000000"/>
                <w:sz w:val="22"/>
              </w:rPr>
            </w:pPr>
            <w:r>
              <w:rPr>
                <w:rFonts w:hint="eastAsia" w:ascii="宋体" w:hAnsi="宋体" w:cs="黑体"/>
                <w:b/>
                <w:color w:val="000000"/>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jc w:val="center"/>
              <w:rPr>
                <w:rFonts w:ascii="宋体" w:cs="黑体"/>
                <w:color w:val="000000"/>
                <w:sz w:val="22"/>
              </w:rPr>
            </w:pPr>
            <w:r>
              <w:rPr>
                <w:rFonts w:ascii="宋体" w:hAnsi="宋体" w:cs="黑体"/>
                <w:color w:val="000000"/>
                <w:sz w:val="22"/>
              </w:rPr>
              <w:t>1</w:t>
            </w:r>
          </w:p>
        </w:tc>
        <w:tc>
          <w:tcPr>
            <w:tcW w:w="1417" w:type="dxa"/>
            <w:vAlign w:val="center"/>
          </w:tcPr>
          <w:p>
            <w:pPr>
              <w:rPr>
                <w:rFonts w:ascii="宋体" w:cs="黑体"/>
                <w:color w:val="000000"/>
                <w:sz w:val="22"/>
              </w:rPr>
            </w:pPr>
            <w:r>
              <w:rPr>
                <w:rFonts w:hint="eastAsia" w:ascii="宋体" w:hAnsi="宋体" w:cs="黑体"/>
                <w:color w:val="000000"/>
                <w:sz w:val="22"/>
              </w:rPr>
              <w:t>类型</w:t>
            </w:r>
          </w:p>
        </w:tc>
        <w:tc>
          <w:tcPr>
            <w:tcW w:w="7230" w:type="dxa"/>
            <w:vAlign w:val="center"/>
          </w:tcPr>
          <w:p>
            <w:pPr>
              <w:rPr>
                <w:rFonts w:ascii="宋体" w:cs="黑体"/>
                <w:color w:val="000000"/>
                <w:sz w:val="22"/>
              </w:rPr>
            </w:pPr>
            <w:r>
              <w:rPr>
                <w:rFonts w:hint="eastAsia" w:ascii="宋体" w:hAnsi="宋体" w:cs="黑体"/>
                <w:color w:val="000000"/>
                <w:sz w:val="22"/>
              </w:rPr>
              <w:t>六类</w:t>
            </w:r>
            <w:r>
              <w:rPr>
                <w:rFonts w:ascii="宋体" w:hAnsi="宋体" w:cs="黑体"/>
                <w:color w:val="000000"/>
                <w:sz w:val="22"/>
              </w:rPr>
              <w:t>UTP</w:t>
            </w:r>
            <w:r>
              <w:rPr>
                <w:rFonts w:hint="eastAsia" w:ascii="宋体" w:hAnsi="宋体" w:cs="黑体"/>
                <w:color w:val="000000"/>
                <w:sz w:val="22"/>
              </w:rPr>
              <w:t>电缆，每线对具有隔离的骨架结构，以保证系统的传输性能，紧护套结构以保证施工前后的性能保持一致。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jc w:val="center"/>
              <w:rPr>
                <w:rFonts w:ascii="宋体" w:cs="黑体"/>
                <w:color w:val="000000"/>
                <w:sz w:val="22"/>
              </w:rPr>
            </w:pPr>
            <w:r>
              <w:rPr>
                <w:rFonts w:ascii="宋体" w:hAnsi="宋体" w:cs="黑体"/>
                <w:color w:val="000000"/>
                <w:sz w:val="22"/>
              </w:rPr>
              <w:t>2</w:t>
            </w:r>
          </w:p>
        </w:tc>
        <w:tc>
          <w:tcPr>
            <w:tcW w:w="1417" w:type="dxa"/>
            <w:vAlign w:val="center"/>
          </w:tcPr>
          <w:p>
            <w:pPr>
              <w:rPr>
                <w:rFonts w:ascii="宋体" w:cs="黑体"/>
                <w:color w:val="000000"/>
                <w:sz w:val="22"/>
              </w:rPr>
            </w:pPr>
            <w:r>
              <w:rPr>
                <w:rFonts w:hint="eastAsia" w:ascii="宋体" w:hAnsi="宋体" w:cs="黑体"/>
                <w:color w:val="000000"/>
                <w:sz w:val="22"/>
              </w:rPr>
              <w:t>芯线规格</w:t>
            </w:r>
          </w:p>
        </w:tc>
        <w:tc>
          <w:tcPr>
            <w:tcW w:w="7230" w:type="dxa"/>
            <w:vAlign w:val="center"/>
          </w:tcPr>
          <w:p>
            <w:pPr>
              <w:rPr>
                <w:rFonts w:ascii="宋体" w:cs="黑体"/>
                <w:color w:val="000000"/>
                <w:sz w:val="22"/>
              </w:rPr>
            </w:pPr>
            <w:r>
              <w:rPr>
                <w:rFonts w:ascii="宋体" w:hAnsi="宋体" w:cs="黑体"/>
                <w:color w:val="000000"/>
                <w:sz w:val="22"/>
              </w:rPr>
              <w:t>23 AWG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jc w:val="center"/>
              <w:rPr>
                <w:rFonts w:ascii="宋体" w:cs="黑体"/>
                <w:color w:val="000000"/>
                <w:sz w:val="22"/>
              </w:rPr>
            </w:pPr>
            <w:r>
              <w:rPr>
                <w:rFonts w:ascii="宋体" w:hAnsi="宋体" w:cs="黑体"/>
                <w:color w:val="000000"/>
                <w:sz w:val="22"/>
              </w:rPr>
              <w:t>3</w:t>
            </w:r>
          </w:p>
        </w:tc>
        <w:tc>
          <w:tcPr>
            <w:tcW w:w="1417" w:type="dxa"/>
            <w:vAlign w:val="center"/>
          </w:tcPr>
          <w:p>
            <w:pPr>
              <w:rPr>
                <w:rFonts w:ascii="宋体" w:cs="黑体"/>
                <w:color w:val="000000"/>
                <w:sz w:val="22"/>
              </w:rPr>
            </w:pPr>
            <w:r>
              <w:rPr>
                <w:rFonts w:hint="eastAsia" w:ascii="宋体" w:hAnsi="宋体" w:cs="黑体"/>
                <w:color w:val="000000"/>
                <w:sz w:val="22"/>
              </w:rPr>
              <w:t>芯线对数</w:t>
            </w:r>
          </w:p>
        </w:tc>
        <w:tc>
          <w:tcPr>
            <w:tcW w:w="7230" w:type="dxa"/>
            <w:vAlign w:val="center"/>
          </w:tcPr>
          <w:p>
            <w:pPr>
              <w:rPr>
                <w:rFonts w:ascii="宋体" w:cs="黑体"/>
                <w:color w:val="000000"/>
                <w:sz w:val="22"/>
              </w:rPr>
            </w:pPr>
            <w:r>
              <w:rPr>
                <w:rFonts w:ascii="宋体" w:hAnsi="宋体" w:cs="黑体"/>
                <w:color w:val="000000"/>
                <w:sz w:val="22"/>
              </w:rPr>
              <w:t>4</w:t>
            </w:r>
            <w:r>
              <w:rPr>
                <w:rFonts w:hint="eastAsia" w:ascii="宋体" w:hAnsi="宋体" w:cs="黑体"/>
                <w:color w:val="000000"/>
                <w:sz w:val="22"/>
              </w:rPr>
              <w:t>对，每芯带有彩色护套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jc w:val="center"/>
              <w:rPr>
                <w:rFonts w:ascii="宋体" w:cs="黑体"/>
                <w:color w:val="000000"/>
                <w:sz w:val="22"/>
              </w:rPr>
            </w:pPr>
            <w:r>
              <w:rPr>
                <w:rFonts w:ascii="宋体" w:hAnsi="宋体" w:cs="黑体"/>
                <w:color w:val="000000"/>
                <w:sz w:val="22"/>
              </w:rPr>
              <w:t>4</w:t>
            </w:r>
          </w:p>
        </w:tc>
        <w:tc>
          <w:tcPr>
            <w:tcW w:w="1417" w:type="dxa"/>
            <w:vAlign w:val="center"/>
          </w:tcPr>
          <w:p>
            <w:pPr>
              <w:rPr>
                <w:rFonts w:ascii="宋体" w:cs="黑体"/>
                <w:color w:val="000000"/>
                <w:sz w:val="22"/>
              </w:rPr>
            </w:pPr>
            <w:r>
              <w:rPr>
                <w:rFonts w:hint="eastAsia" w:ascii="宋体" w:hAnsi="宋体" w:cs="黑体"/>
                <w:color w:val="000000"/>
                <w:sz w:val="22"/>
              </w:rPr>
              <w:t>标准</w:t>
            </w:r>
          </w:p>
        </w:tc>
        <w:tc>
          <w:tcPr>
            <w:tcW w:w="7230" w:type="dxa"/>
            <w:vAlign w:val="center"/>
          </w:tcPr>
          <w:p>
            <w:pPr>
              <w:rPr>
                <w:rFonts w:ascii="宋体" w:cs="黑体"/>
                <w:color w:val="000000"/>
                <w:sz w:val="22"/>
              </w:rPr>
            </w:pPr>
            <w:r>
              <w:rPr>
                <w:rFonts w:ascii="宋体" w:hAnsi="宋体" w:cs="黑体"/>
                <w:color w:val="000000"/>
                <w:sz w:val="22"/>
              </w:rPr>
              <w:t>ISO/IEC 11801:2002 Ed2.0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jc w:val="center"/>
              <w:rPr>
                <w:rFonts w:ascii="宋体" w:cs="黑体"/>
                <w:color w:val="000000"/>
                <w:sz w:val="22"/>
              </w:rPr>
            </w:pPr>
            <w:r>
              <w:rPr>
                <w:rFonts w:ascii="宋体" w:hAnsi="宋体" w:cs="黑体"/>
                <w:color w:val="000000"/>
                <w:sz w:val="22"/>
              </w:rPr>
              <w:t>5</w:t>
            </w:r>
          </w:p>
        </w:tc>
        <w:tc>
          <w:tcPr>
            <w:tcW w:w="1417" w:type="dxa"/>
            <w:vAlign w:val="center"/>
          </w:tcPr>
          <w:p>
            <w:pPr>
              <w:rPr>
                <w:rFonts w:ascii="宋体" w:cs="黑体"/>
                <w:color w:val="000000"/>
                <w:sz w:val="22"/>
              </w:rPr>
            </w:pPr>
            <w:r>
              <w:rPr>
                <w:rFonts w:hint="eastAsia" w:ascii="宋体" w:hAnsi="宋体" w:cs="黑体"/>
                <w:color w:val="000000"/>
                <w:sz w:val="22"/>
              </w:rPr>
              <w:t>带宽</w:t>
            </w:r>
          </w:p>
        </w:tc>
        <w:tc>
          <w:tcPr>
            <w:tcW w:w="7230" w:type="dxa"/>
            <w:vAlign w:val="center"/>
          </w:tcPr>
          <w:p>
            <w:pPr>
              <w:rPr>
                <w:rFonts w:ascii="宋体" w:cs="黑体"/>
                <w:color w:val="000000"/>
                <w:sz w:val="22"/>
              </w:rPr>
            </w:pPr>
            <w:r>
              <w:rPr>
                <w:rFonts w:hint="eastAsia" w:ascii="宋体" w:cs="黑体"/>
                <w:color w:val="000000"/>
                <w:sz w:val="22"/>
              </w:rPr>
              <w:t>≥</w:t>
            </w:r>
            <w:r>
              <w:rPr>
                <w:rFonts w:ascii="宋体" w:hAnsi="宋体" w:cs="黑体"/>
                <w:color w:val="000000"/>
                <w:sz w:val="22"/>
              </w:rPr>
              <w:t>250MHz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jc w:val="center"/>
              <w:rPr>
                <w:rFonts w:ascii="宋体" w:cs="黑体"/>
                <w:color w:val="000000"/>
                <w:sz w:val="22"/>
              </w:rPr>
            </w:pPr>
            <w:r>
              <w:rPr>
                <w:rFonts w:ascii="宋体" w:hAnsi="宋体" w:cs="黑体"/>
                <w:color w:val="000000"/>
                <w:sz w:val="22"/>
              </w:rPr>
              <w:t>6</w:t>
            </w:r>
          </w:p>
        </w:tc>
        <w:tc>
          <w:tcPr>
            <w:tcW w:w="1417" w:type="dxa"/>
            <w:vAlign w:val="center"/>
          </w:tcPr>
          <w:p>
            <w:pPr>
              <w:rPr>
                <w:rFonts w:ascii="宋体" w:cs="黑体"/>
                <w:color w:val="000000"/>
                <w:sz w:val="22"/>
              </w:rPr>
            </w:pPr>
            <w:r>
              <w:rPr>
                <w:rFonts w:hint="eastAsia" w:ascii="宋体" w:hAnsi="宋体" w:cs="黑体"/>
                <w:color w:val="000000"/>
                <w:sz w:val="22"/>
              </w:rPr>
              <w:t>直流电阻</w:t>
            </w:r>
          </w:p>
        </w:tc>
        <w:tc>
          <w:tcPr>
            <w:tcW w:w="7230" w:type="dxa"/>
            <w:vAlign w:val="center"/>
          </w:tcPr>
          <w:p>
            <w:pPr>
              <w:rPr>
                <w:rFonts w:ascii="宋体" w:cs="黑体"/>
                <w:color w:val="000000"/>
                <w:sz w:val="22"/>
              </w:rPr>
            </w:pPr>
            <w:r>
              <w:rPr>
                <w:rFonts w:ascii="宋体" w:hAnsi="宋体" w:cs="黑体"/>
                <w:color w:val="000000"/>
                <w:sz w:val="22"/>
              </w:rPr>
              <w:t>9.38</w:t>
            </w:r>
            <w:r>
              <w:rPr>
                <w:rFonts w:hint="eastAsia" w:ascii="宋体" w:hAnsi="Symbol" w:cs="黑体"/>
                <w:color w:val="000000"/>
                <w:sz w:val="22"/>
              </w:rPr>
              <w:sym w:font="Symbol" w:char="F057"/>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jc w:val="center"/>
              <w:rPr>
                <w:rFonts w:ascii="宋体" w:cs="黑体"/>
                <w:color w:val="000000"/>
                <w:sz w:val="22"/>
              </w:rPr>
            </w:pPr>
            <w:r>
              <w:rPr>
                <w:rFonts w:ascii="宋体" w:hAnsi="宋体" w:cs="黑体"/>
                <w:color w:val="000000"/>
                <w:sz w:val="22"/>
              </w:rPr>
              <w:t>7</w:t>
            </w:r>
          </w:p>
        </w:tc>
        <w:tc>
          <w:tcPr>
            <w:tcW w:w="1417" w:type="dxa"/>
            <w:vAlign w:val="center"/>
          </w:tcPr>
          <w:p>
            <w:pPr>
              <w:rPr>
                <w:rFonts w:ascii="宋体" w:cs="黑体"/>
                <w:color w:val="000000"/>
                <w:sz w:val="22"/>
              </w:rPr>
            </w:pPr>
            <w:r>
              <w:rPr>
                <w:rFonts w:hint="eastAsia" w:ascii="宋体" w:hAnsi="宋体" w:cs="黑体"/>
                <w:color w:val="000000"/>
                <w:sz w:val="22"/>
              </w:rPr>
              <w:t>特性阻抗</w:t>
            </w:r>
          </w:p>
        </w:tc>
        <w:tc>
          <w:tcPr>
            <w:tcW w:w="7230" w:type="dxa"/>
            <w:vAlign w:val="center"/>
          </w:tcPr>
          <w:p>
            <w:pPr>
              <w:rPr>
                <w:rFonts w:ascii="宋体" w:cs="黑体"/>
                <w:color w:val="000000"/>
                <w:sz w:val="22"/>
              </w:rPr>
            </w:pPr>
            <w:r>
              <w:rPr>
                <w:rFonts w:ascii="宋体" w:hAnsi="宋体" w:cs="黑体"/>
                <w:color w:val="000000"/>
                <w:sz w:val="22"/>
              </w:rPr>
              <w:t>100</w:t>
            </w:r>
            <w:r>
              <w:rPr>
                <w:rFonts w:hint="eastAsia" w:ascii="宋体" w:hAnsi="Symbol" w:cs="黑体"/>
                <w:color w:val="000000"/>
                <w:sz w:val="22"/>
              </w:rPr>
              <w:sym w:font="Symbol" w:char="F057"/>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jc w:val="center"/>
              <w:rPr>
                <w:rFonts w:ascii="宋体" w:cs="黑体"/>
                <w:color w:val="000000"/>
                <w:sz w:val="22"/>
              </w:rPr>
            </w:pPr>
            <w:r>
              <w:rPr>
                <w:rFonts w:ascii="宋体" w:hAnsi="宋体" w:cs="黑体"/>
                <w:color w:val="000000"/>
                <w:sz w:val="22"/>
              </w:rPr>
              <w:t>8</w:t>
            </w:r>
          </w:p>
        </w:tc>
        <w:tc>
          <w:tcPr>
            <w:tcW w:w="1417" w:type="dxa"/>
            <w:vAlign w:val="center"/>
          </w:tcPr>
          <w:p>
            <w:pPr>
              <w:rPr>
                <w:rFonts w:ascii="宋体" w:cs="黑体"/>
                <w:color w:val="000000"/>
                <w:sz w:val="22"/>
              </w:rPr>
            </w:pPr>
            <w:r>
              <w:rPr>
                <w:rFonts w:hint="eastAsia" w:ascii="宋体" w:hAnsi="宋体" w:cs="黑体"/>
                <w:color w:val="000000"/>
                <w:sz w:val="22"/>
              </w:rPr>
              <w:t>护套</w:t>
            </w:r>
          </w:p>
        </w:tc>
        <w:tc>
          <w:tcPr>
            <w:tcW w:w="7230" w:type="dxa"/>
            <w:vAlign w:val="center"/>
          </w:tcPr>
          <w:p>
            <w:pPr>
              <w:rPr>
                <w:rFonts w:ascii="宋体" w:cs="黑体"/>
                <w:color w:val="000000"/>
                <w:sz w:val="22"/>
              </w:rPr>
            </w:pPr>
            <w:r>
              <w:rPr>
                <w:rFonts w:hint="eastAsia" w:ascii="宋体" w:hAnsi="宋体" w:cs="黑体"/>
                <w:color w:val="000000"/>
                <w:sz w:val="22"/>
              </w:rPr>
              <w:t>低烟无卤阻燃护套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Align w:val="center"/>
          </w:tcPr>
          <w:p>
            <w:pPr>
              <w:jc w:val="center"/>
              <w:rPr>
                <w:rFonts w:ascii="宋体" w:cs="黑体"/>
                <w:color w:val="000000"/>
                <w:sz w:val="22"/>
              </w:rPr>
            </w:pPr>
            <w:r>
              <w:rPr>
                <w:rFonts w:ascii="宋体" w:hAnsi="宋体" w:cs="黑体"/>
                <w:color w:val="000000"/>
                <w:sz w:val="22"/>
              </w:rPr>
              <w:t>9</w:t>
            </w:r>
          </w:p>
        </w:tc>
        <w:tc>
          <w:tcPr>
            <w:tcW w:w="1417" w:type="dxa"/>
            <w:vAlign w:val="center"/>
          </w:tcPr>
          <w:p>
            <w:pPr>
              <w:rPr>
                <w:rFonts w:ascii="宋体" w:cs="黑体"/>
                <w:color w:val="000000"/>
                <w:sz w:val="22"/>
              </w:rPr>
            </w:pPr>
            <w:r>
              <w:rPr>
                <w:rFonts w:hint="eastAsia" w:ascii="宋体" w:hAnsi="宋体" w:cs="黑体"/>
                <w:color w:val="000000"/>
                <w:sz w:val="22"/>
              </w:rPr>
              <w:t>认证</w:t>
            </w:r>
          </w:p>
        </w:tc>
        <w:tc>
          <w:tcPr>
            <w:tcW w:w="7230" w:type="dxa"/>
            <w:vAlign w:val="center"/>
          </w:tcPr>
          <w:p>
            <w:pPr>
              <w:rPr>
                <w:rFonts w:ascii="宋体" w:cs="黑体"/>
                <w:color w:val="000000"/>
                <w:sz w:val="22"/>
              </w:rPr>
            </w:pPr>
            <w:r>
              <w:rPr>
                <w:rFonts w:ascii="宋体" w:hAnsi="宋体" w:cs="黑体"/>
                <w:color w:val="000000"/>
                <w:sz w:val="22"/>
              </w:rPr>
              <w:t>IEC60332-1</w:t>
            </w:r>
            <w:r>
              <w:rPr>
                <w:rFonts w:hint="eastAsia" w:ascii="宋体" w:hAnsi="宋体" w:cs="黑体"/>
                <w:color w:val="000000"/>
                <w:sz w:val="22"/>
              </w:rPr>
              <w:t>，</w:t>
            </w:r>
            <w:r>
              <w:rPr>
                <w:rFonts w:ascii="宋体" w:hAnsi="宋体" w:cs="黑体"/>
                <w:color w:val="000000"/>
                <w:sz w:val="22"/>
              </w:rPr>
              <w:t>IEC 61034</w:t>
            </w:r>
            <w:r>
              <w:rPr>
                <w:rFonts w:hint="eastAsia" w:ascii="宋体" w:hAnsi="宋体" w:cs="黑体"/>
                <w:color w:val="000000"/>
                <w:sz w:val="22"/>
              </w:rPr>
              <w:t>、</w:t>
            </w:r>
            <w:r>
              <w:rPr>
                <w:rFonts w:ascii="宋体" w:hAnsi="宋体" w:cs="黑体"/>
                <w:color w:val="000000"/>
                <w:sz w:val="22"/>
              </w:rPr>
              <w:t>IEC60754</w:t>
            </w:r>
            <w:r>
              <w:rPr>
                <w:rFonts w:hint="eastAsia" w:ascii="宋体" w:hAnsi="宋体" w:cs="黑体"/>
                <w:color w:val="000000"/>
                <w:sz w:val="22"/>
              </w:rPr>
              <w:t>性能要求</w:t>
            </w:r>
          </w:p>
        </w:tc>
      </w:tr>
    </w:tbl>
    <w:p>
      <w:pPr>
        <w:rPr>
          <w:rFonts w:ascii="宋体" w:cs="黑体"/>
          <w:color w:val="000000"/>
          <w:sz w:val="22"/>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color w:val="000000"/>
          <w:sz w:val="22"/>
          <w:szCs w:val="22"/>
        </w:rPr>
      </w:pPr>
      <w:r>
        <w:rPr>
          <w:sz w:val="22"/>
          <w:szCs w:val="22"/>
        </w:rPr>
        <w:t>1.6.1</w:t>
      </w:r>
      <w:r>
        <w:rPr>
          <w:rFonts w:hint="eastAsia"/>
          <w:sz w:val="22"/>
          <w:szCs w:val="22"/>
        </w:rPr>
        <w:t>.14</w:t>
      </w:r>
      <w:r>
        <w:rPr>
          <w:rFonts w:hint="eastAsia" w:ascii="宋体" w:hAnsi="宋体" w:cs="宋体"/>
          <w:color w:val="000000"/>
          <w:sz w:val="22"/>
          <w:szCs w:val="22"/>
          <w:lang w:bidi="ar"/>
        </w:rPr>
        <w:t>电源线（VV3*2.5）</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color w:val="000000"/>
        </w:rPr>
      </w:pPr>
      <w:r>
        <w:rPr>
          <w:rFonts w:hint="eastAsia" w:ascii="宋体" w:hAnsi="宋体"/>
          <w:bCs w:val="0"/>
          <w:color w:val="000000"/>
          <w:sz w:val="22"/>
          <w:szCs w:val="22"/>
        </w:rPr>
        <w:t>可接受的标准化产品品牌为：爱谱华顿、联嘉祥、天诚同等或以上档次品牌。</w:t>
      </w:r>
    </w:p>
    <w:tbl>
      <w:tblPr>
        <w:tblStyle w:val="19"/>
        <w:tblW w:w="871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tcPr>
          <w:p>
            <w:pPr>
              <w:jc w:val="center"/>
              <w:rPr>
                <w:rFonts w:ascii="宋体" w:cs="黑体"/>
                <w:b/>
                <w:color w:val="000000"/>
                <w:sz w:val="22"/>
              </w:rPr>
            </w:pPr>
            <w:r>
              <w:rPr>
                <w:rFonts w:hint="eastAsia" w:ascii="宋体" w:hAnsi="宋体" w:cs="黑体"/>
                <w:b/>
                <w:color w:val="000000"/>
                <w:sz w:val="22"/>
              </w:rPr>
              <w:t>序号</w:t>
            </w:r>
          </w:p>
        </w:tc>
        <w:tc>
          <w:tcPr>
            <w:tcW w:w="7981" w:type="dxa"/>
          </w:tcPr>
          <w:p>
            <w:pPr>
              <w:jc w:val="center"/>
              <w:rPr>
                <w:rFonts w:ascii="宋体" w:cs="黑体"/>
                <w:b/>
                <w:color w:val="000000"/>
                <w:sz w:val="22"/>
              </w:rPr>
            </w:pPr>
            <w:r>
              <w:rPr>
                <w:rFonts w:hint="eastAsia" w:ascii="宋体" w:hAnsi="宋体" w:cs="黑体"/>
                <w:b/>
                <w:color w:val="000000"/>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jc w:val="center"/>
              <w:rPr>
                <w:rFonts w:ascii="宋体" w:cs="黑体"/>
                <w:color w:val="000000"/>
                <w:sz w:val="22"/>
              </w:rPr>
            </w:pPr>
            <w:r>
              <w:rPr>
                <w:rFonts w:ascii="宋体" w:hAnsi="宋体" w:cs="黑体"/>
                <w:color w:val="000000"/>
                <w:sz w:val="22"/>
              </w:rPr>
              <w:t>1</w:t>
            </w:r>
          </w:p>
        </w:tc>
        <w:tc>
          <w:tcPr>
            <w:tcW w:w="7981" w:type="dxa"/>
          </w:tcPr>
          <w:p>
            <w:pPr>
              <w:rPr>
                <w:rFonts w:ascii="宋体" w:cs="黑体"/>
                <w:color w:val="000000"/>
                <w:sz w:val="22"/>
              </w:rPr>
            </w:pPr>
            <w:r>
              <w:rPr>
                <w:rFonts w:hint="eastAsia" w:ascii="宋体" w:hAnsi="宋体" w:cs="黑体"/>
                <w:color w:val="000000"/>
                <w:sz w:val="22"/>
              </w:rPr>
              <w:t>采用</w:t>
            </w:r>
            <w:r>
              <w:rPr>
                <w:rFonts w:ascii="宋体" w:hAnsi="宋体" w:cs="黑体"/>
                <w:color w:val="000000"/>
                <w:sz w:val="22"/>
              </w:rPr>
              <w:t>PVC</w:t>
            </w:r>
            <w:r>
              <w:rPr>
                <w:rFonts w:hint="eastAsia" w:ascii="宋体" w:hAnsi="宋体" w:cs="黑体"/>
                <w:color w:val="000000"/>
                <w:sz w:val="22"/>
              </w:rPr>
              <w:t>材料，低烟低卤，符合</w:t>
            </w:r>
            <w:r>
              <w:rPr>
                <w:rFonts w:ascii="宋体" w:hAnsi="宋体" w:cs="黑体"/>
                <w:color w:val="000000"/>
                <w:sz w:val="22"/>
              </w:rPr>
              <w:t>UL 1666</w:t>
            </w:r>
            <w:r>
              <w:rPr>
                <w:rFonts w:hint="eastAsia" w:ascii="宋体" w:hAnsi="宋体" w:cs="黑体"/>
                <w:color w:val="000000"/>
                <w:sz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jc w:val="center"/>
              <w:rPr>
                <w:rFonts w:ascii="宋体" w:cs="黑体"/>
                <w:color w:val="000000"/>
                <w:sz w:val="22"/>
              </w:rPr>
            </w:pPr>
            <w:r>
              <w:rPr>
                <w:rFonts w:ascii="宋体" w:hAnsi="宋体" w:cs="黑体"/>
                <w:color w:val="000000"/>
                <w:sz w:val="22"/>
              </w:rPr>
              <w:t>2</w:t>
            </w:r>
          </w:p>
        </w:tc>
        <w:tc>
          <w:tcPr>
            <w:tcW w:w="7981" w:type="dxa"/>
          </w:tcPr>
          <w:p>
            <w:pPr>
              <w:rPr>
                <w:rFonts w:ascii="宋体" w:cs="黑体"/>
                <w:color w:val="000000"/>
                <w:sz w:val="22"/>
              </w:rPr>
            </w:pPr>
            <w:r>
              <w:rPr>
                <w:rFonts w:hint="eastAsia" w:ascii="宋体" w:hAnsi="宋体" w:cs="黑体"/>
                <w:color w:val="000000"/>
                <w:sz w:val="22"/>
              </w:rPr>
              <w:t>护套：</w:t>
            </w:r>
            <w:r>
              <w:rPr>
                <w:rFonts w:ascii="宋体" w:hAnsi="宋体" w:cs="黑体"/>
                <w:color w:val="000000"/>
                <w:sz w:val="22"/>
              </w:rPr>
              <w:t>PVC</w:t>
            </w:r>
            <w:r>
              <w:rPr>
                <w:rFonts w:hint="eastAsia" w:ascii="宋体" w:hAnsi="宋体" w:cs="黑体"/>
                <w:color w:val="000000"/>
                <w:sz w:val="22"/>
              </w:rPr>
              <w:t>，低烟低卤，符合</w:t>
            </w:r>
            <w:r>
              <w:rPr>
                <w:rFonts w:ascii="宋体" w:hAnsi="宋体" w:cs="黑体"/>
                <w:color w:val="000000"/>
                <w:sz w:val="22"/>
              </w:rPr>
              <w:t>UL 1666</w:t>
            </w:r>
            <w:r>
              <w:rPr>
                <w:rFonts w:hint="eastAsia" w:ascii="宋体" w:hAnsi="宋体" w:cs="黑体"/>
                <w:color w:val="000000"/>
                <w:sz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jc w:val="center"/>
              <w:rPr>
                <w:rFonts w:ascii="宋体" w:cs="黑体"/>
                <w:color w:val="000000"/>
                <w:sz w:val="22"/>
              </w:rPr>
            </w:pPr>
            <w:r>
              <w:rPr>
                <w:rFonts w:ascii="宋体" w:hAnsi="宋体" w:cs="黑体"/>
                <w:color w:val="000000"/>
                <w:sz w:val="22"/>
              </w:rPr>
              <w:t>3</w:t>
            </w:r>
          </w:p>
        </w:tc>
        <w:tc>
          <w:tcPr>
            <w:tcW w:w="7981" w:type="dxa"/>
          </w:tcPr>
          <w:p>
            <w:pPr>
              <w:rPr>
                <w:rFonts w:ascii="宋体" w:cs="黑体"/>
                <w:color w:val="000000"/>
                <w:sz w:val="22"/>
              </w:rPr>
            </w:pPr>
            <w:r>
              <w:rPr>
                <w:rFonts w:hint="eastAsia" w:ascii="宋体" w:hAnsi="宋体" w:cs="黑体"/>
                <w:color w:val="000000"/>
                <w:sz w:val="22"/>
              </w:rPr>
              <w:t>最大工作电压：≥</w:t>
            </w:r>
            <w:r>
              <w:rPr>
                <w:rFonts w:ascii="宋体" w:hAnsi="宋体" w:cs="黑体"/>
                <w:color w:val="000000"/>
                <w:sz w:val="22"/>
              </w:rPr>
              <w:t>300V</w:t>
            </w:r>
            <w:r>
              <w:rPr>
                <w:rFonts w:hint="eastAsia" w:ascii="宋体" w:hAnsi="宋体" w:cs="黑体"/>
                <w:color w:val="000000"/>
                <w:sz w:val="22"/>
              </w:rPr>
              <w:t>（</w:t>
            </w:r>
            <w:r>
              <w:rPr>
                <w:rFonts w:ascii="宋体" w:hAnsi="宋体" w:cs="黑体"/>
                <w:color w:val="000000"/>
                <w:sz w:val="22"/>
              </w:rPr>
              <w:t>25</w:t>
            </w:r>
            <w:r>
              <w:rPr>
                <w:rFonts w:hint="eastAsia" w:ascii="宋体" w:hAnsi="宋体" w:cs="黑体"/>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jc w:val="center"/>
              <w:rPr>
                <w:rFonts w:ascii="宋体" w:cs="黑体"/>
                <w:color w:val="000000"/>
                <w:sz w:val="22"/>
              </w:rPr>
            </w:pPr>
            <w:r>
              <w:rPr>
                <w:rFonts w:ascii="宋体" w:hAnsi="宋体" w:cs="黑体"/>
                <w:color w:val="000000"/>
                <w:sz w:val="22"/>
              </w:rPr>
              <w:t>4</w:t>
            </w:r>
          </w:p>
        </w:tc>
        <w:tc>
          <w:tcPr>
            <w:tcW w:w="7981" w:type="dxa"/>
          </w:tcPr>
          <w:p>
            <w:pPr>
              <w:rPr>
                <w:rFonts w:ascii="宋体" w:cs="黑体"/>
                <w:color w:val="000000"/>
                <w:sz w:val="22"/>
              </w:rPr>
            </w:pPr>
            <w:r>
              <w:rPr>
                <w:rFonts w:hint="eastAsia" w:ascii="宋体" w:hAnsi="宋体" w:cs="黑体"/>
                <w:color w:val="000000"/>
                <w:sz w:val="22"/>
              </w:rPr>
              <w:t>最小弯曲率：≤电缆外径的</w:t>
            </w:r>
            <w:r>
              <w:rPr>
                <w:rFonts w:ascii="宋体" w:hAnsi="宋体" w:cs="黑体"/>
                <w:color w:val="000000"/>
                <w:sz w:val="22"/>
              </w:rPr>
              <w:t>6</w:t>
            </w:r>
            <w:r>
              <w:rPr>
                <w:rFonts w:hint="eastAsia" w:ascii="宋体" w:hAnsi="宋体" w:cs="黑体"/>
                <w:color w:val="000000"/>
                <w:sz w:val="22"/>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jc w:val="center"/>
              <w:rPr>
                <w:rFonts w:ascii="宋体" w:cs="黑体"/>
                <w:color w:val="000000"/>
                <w:sz w:val="22"/>
              </w:rPr>
            </w:pPr>
            <w:r>
              <w:rPr>
                <w:rFonts w:ascii="宋体" w:hAnsi="宋体" w:cs="黑体"/>
                <w:color w:val="000000"/>
                <w:sz w:val="22"/>
              </w:rPr>
              <w:t>5</w:t>
            </w:r>
          </w:p>
        </w:tc>
        <w:tc>
          <w:tcPr>
            <w:tcW w:w="7981" w:type="dxa"/>
          </w:tcPr>
          <w:p>
            <w:pPr>
              <w:rPr>
                <w:rFonts w:ascii="宋体" w:cs="黑体"/>
                <w:color w:val="000000"/>
                <w:sz w:val="22"/>
              </w:rPr>
            </w:pPr>
            <w:r>
              <w:rPr>
                <w:rFonts w:hint="eastAsia" w:ascii="宋体" w:hAnsi="宋体" w:cs="黑体"/>
                <w:color w:val="000000"/>
                <w:sz w:val="22"/>
              </w:rPr>
              <w:t>线缆耐压</w:t>
            </w:r>
            <w:r>
              <w:rPr>
                <w:rFonts w:ascii="宋体" w:hAnsi="宋体" w:cs="黑体"/>
                <w:color w:val="000000"/>
                <w:sz w:val="22"/>
              </w:rPr>
              <w:t>300V</w:t>
            </w:r>
          </w:p>
        </w:tc>
      </w:tr>
    </w:tbl>
    <w:p>
      <w:pPr>
        <w:spacing w:line="360" w:lineRule="auto"/>
        <w:ind w:firstLine="480" w:firstLineChars="200"/>
        <w:rPr>
          <w:rFonts w:ascii="宋体" w:hAnsi="宋体" w:cs="宋体"/>
          <w:color w:val="000000"/>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宋体" w:hAnsi="宋体"/>
          <w:bCs w:val="0"/>
          <w:color w:val="000000"/>
          <w:sz w:val="22"/>
          <w:szCs w:val="22"/>
        </w:rPr>
      </w:pPr>
      <w:r>
        <w:rPr>
          <w:rFonts w:hint="eastAsia"/>
          <w:sz w:val="22"/>
          <w:szCs w:val="22"/>
        </w:rPr>
        <w:t>1.6.1.15</w:t>
      </w:r>
      <w:r>
        <w:rPr>
          <w:rFonts w:hint="eastAsia" w:ascii="宋体" w:hAnsi="宋体"/>
          <w:bCs w:val="0"/>
          <w:color w:val="000000"/>
          <w:sz w:val="22"/>
          <w:szCs w:val="22"/>
        </w:rPr>
        <w:t xml:space="preserve"> KBG管</w:t>
      </w:r>
    </w:p>
    <w:tbl>
      <w:tblPr>
        <w:tblStyle w:val="19"/>
        <w:tblW w:w="871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8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 w:type="dxa"/>
          </w:tcPr>
          <w:p>
            <w:pPr>
              <w:jc w:val="center"/>
              <w:rPr>
                <w:rFonts w:ascii="宋体"/>
                <w:b/>
                <w:color w:val="000000"/>
                <w:sz w:val="22"/>
              </w:rPr>
            </w:pPr>
            <w:r>
              <w:rPr>
                <w:rFonts w:hint="eastAsia" w:ascii="宋体" w:hAnsi="宋体"/>
                <w:b/>
                <w:color w:val="000000"/>
                <w:sz w:val="22"/>
              </w:rPr>
              <w:t>序号</w:t>
            </w:r>
          </w:p>
        </w:tc>
        <w:tc>
          <w:tcPr>
            <w:tcW w:w="8011" w:type="dxa"/>
          </w:tcPr>
          <w:p>
            <w:pPr>
              <w:jc w:val="center"/>
              <w:rPr>
                <w:rFonts w:ascii="宋体"/>
                <w:b/>
                <w:color w:val="000000"/>
                <w:sz w:val="22"/>
              </w:rPr>
            </w:pPr>
            <w:r>
              <w:rPr>
                <w:rFonts w:hint="eastAsia" w:ascii="宋体" w:hAnsi="宋体"/>
                <w:b/>
                <w:color w:val="000000"/>
                <w:sz w:val="22"/>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 w:type="dxa"/>
            <w:vAlign w:val="center"/>
          </w:tcPr>
          <w:p>
            <w:pPr>
              <w:jc w:val="center"/>
              <w:rPr>
                <w:rFonts w:ascii="宋体" w:hAnsi="宋体" w:cs="黑体"/>
                <w:color w:val="000000"/>
                <w:sz w:val="22"/>
              </w:rPr>
            </w:pPr>
            <w:r>
              <w:rPr>
                <w:rFonts w:hint="eastAsia" w:ascii="宋体" w:hAnsi="宋体" w:cs="黑体"/>
                <w:color w:val="000000"/>
                <w:sz w:val="22"/>
              </w:rPr>
              <w:t>1</w:t>
            </w:r>
          </w:p>
        </w:tc>
        <w:tc>
          <w:tcPr>
            <w:tcW w:w="8011" w:type="dxa"/>
          </w:tcPr>
          <w:p>
            <w:pPr>
              <w:rPr>
                <w:rFonts w:ascii="宋体" w:hAnsi="宋体" w:cs="黑体"/>
                <w:color w:val="000000"/>
                <w:sz w:val="22"/>
              </w:rPr>
            </w:pPr>
            <w:r>
              <w:rPr>
                <w:rFonts w:hint="eastAsia" w:ascii="宋体" w:hAnsi="宋体" w:cs="黑体"/>
                <w:color w:val="000000"/>
                <w:sz w:val="22"/>
              </w:rPr>
              <w:t>Φ25热镀锌KBG管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 w:type="dxa"/>
            <w:vAlign w:val="center"/>
          </w:tcPr>
          <w:p>
            <w:pPr>
              <w:jc w:val="center"/>
              <w:rPr>
                <w:rFonts w:ascii="宋体" w:hAnsi="宋体" w:cs="黑体"/>
                <w:color w:val="000000"/>
                <w:sz w:val="22"/>
              </w:rPr>
            </w:pPr>
            <w:r>
              <w:rPr>
                <w:rFonts w:hint="eastAsia" w:ascii="宋体" w:hAnsi="宋体" w:cs="黑体"/>
                <w:color w:val="000000"/>
                <w:sz w:val="22"/>
              </w:rPr>
              <w:t>2</w:t>
            </w:r>
          </w:p>
        </w:tc>
        <w:tc>
          <w:tcPr>
            <w:tcW w:w="8011" w:type="dxa"/>
          </w:tcPr>
          <w:p>
            <w:pPr>
              <w:rPr>
                <w:rFonts w:ascii="宋体" w:hAnsi="宋体" w:cs="黑体"/>
                <w:color w:val="000000"/>
                <w:sz w:val="22"/>
              </w:rPr>
            </w:pPr>
            <w:r>
              <w:rPr>
                <w:rFonts w:hint="eastAsia" w:ascii="宋体" w:hAnsi="宋体" w:cs="黑体"/>
                <w:color w:val="000000"/>
                <w:sz w:val="22"/>
              </w:rPr>
              <w:t>壁厚≥1.2MM，管壁均匀、一致、不应有折扁、裂缝、砂眼、塌陷等现象。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 w:type="dxa"/>
            <w:vAlign w:val="center"/>
          </w:tcPr>
          <w:p>
            <w:pPr>
              <w:jc w:val="center"/>
              <w:rPr>
                <w:rFonts w:ascii="宋体" w:hAnsi="宋体" w:cs="黑体"/>
                <w:color w:val="000000"/>
                <w:sz w:val="22"/>
              </w:rPr>
            </w:pPr>
            <w:r>
              <w:rPr>
                <w:rFonts w:hint="eastAsia" w:ascii="宋体" w:hAnsi="宋体" w:cs="黑体"/>
                <w:color w:val="000000"/>
                <w:sz w:val="22"/>
              </w:rPr>
              <w:t>3</w:t>
            </w:r>
          </w:p>
        </w:tc>
        <w:tc>
          <w:tcPr>
            <w:tcW w:w="8011" w:type="dxa"/>
          </w:tcPr>
          <w:p>
            <w:pPr>
              <w:rPr>
                <w:rFonts w:ascii="宋体" w:hAnsi="宋体" w:cs="黑体"/>
                <w:color w:val="000000"/>
                <w:sz w:val="22"/>
              </w:rPr>
            </w:pPr>
            <w:r>
              <w:rPr>
                <w:rFonts w:hint="eastAsia" w:ascii="宋体" w:hAnsi="宋体" w:cs="黑体"/>
                <w:color w:val="000000"/>
                <w:sz w:val="22"/>
              </w:rPr>
              <w:t>内外表面应光滑，不应有折叠、裂缝、搭焊、缺焊、毛刺的现象。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701" w:type="dxa"/>
            <w:vAlign w:val="center"/>
          </w:tcPr>
          <w:p>
            <w:pPr>
              <w:jc w:val="center"/>
              <w:rPr>
                <w:rFonts w:ascii="宋体" w:hAnsi="宋体" w:cs="黑体"/>
                <w:color w:val="000000"/>
                <w:sz w:val="22"/>
              </w:rPr>
            </w:pPr>
            <w:r>
              <w:rPr>
                <w:rFonts w:hint="eastAsia" w:ascii="宋体" w:hAnsi="宋体" w:cs="黑体"/>
                <w:color w:val="000000"/>
                <w:sz w:val="22"/>
              </w:rPr>
              <w:t>4</w:t>
            </w:r>
          </w:p>
        </w:tc>
        <w:tc>
          <w:tcPr>
            <w:tcW w:w="8011" w:type="dxa"/>
          </w:tcPr>
          <w:p>
            <w:pPr>
              <w:rPr>
                <w:rFonts w:ascii="宋体" w:hAnsi="宋体" w:cs="黑体"/>
                <w:color w:val="000000"/>
                <w:sz w:val="22"/>
              </w:rPr>
            </w:pPr>
            <w:r>
              <w:rPr>
                <w:rFonts w:hint="eastAsia" w:ascii="宋体" w:hAnsi="宋体" w:cs="黑体"/>
                <w:color w:val="000000"/>
                <w:sz w:val="22"/>
              </w:rPr>
              <w:t>管箍的大小应符合国家规范要求，丝扣清晰、均匀、不乱扣，镀锌层均匀，无剥落、无劈裂，两端光滑无毛刺。</w:t>
            </w:r>
          </w:p>
        </w:tc>
      </w:tr>
    </w:tbl>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Theme="minorEastAsia" w:hAnsiTheme="minorEastAsia" w:eastAsiaTheme="minorEastAsia" w:cstheme="minorEastAsia"/>
          <w:bCs w:val="0"/>
          <w:color w:val="000000"/>
          <w:sz w:val="22"/>
          <w:szCs w:val="22"/>
        </w:rPr>
      </w:pPr>
      <w:r>
        <w:rPr>
          <w:rFonts w:hint="eastAsia"/>
          <w:sz w:val="22"/>
          <w:szCs w:val="22"/>
        </w:rPr>
        <w:t>1.6.1.16</w:t>
      </w:r>
      <w:r>
        <w:rPr>
          <w:rFonts w:hint="eastAsia" w:asciiTheme="minorEastAsia" w:hAnsiTheme="minorEastAsia" w:eastAsiaTheme="minorEastAsia" w:cstheme="minorEastAsia"/>
          <w:bCs w:val="0"/>
          <w:color w:val="000000"/>
          <w:sz w:val="22"/>
          <w:szCs w:val="22"/>
        </w:rPr>
        <w:t>光缆</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color w:val="000000"/>
        </w:rPr>
      </w:pPr>
      <w:r>
        <w:rPr>
          <w:rFonts w:hint="eastAsia" w:ascii="宋体" w:hAnsi="宋体"/>
          <w:bCs w:val="0"/>
          <w:color w:val="000000"/>
          <w:sz w:val="22"/>
          <w:szCs w:val="22"/>
        </w:rPr>
        <w:t>可接受的标准化产品品牌为：</w:t>
      </w:r>
      <w:r>
        <w:rPr>
          <w:rFonts w:hint="eastAsia" w:ascii="Calibri" w:hAnsi="Calibri"/>
          <w:color w:val="000000"/>
          <w:sz w:val="22"/>
          <w:szCs w:val="22"/>
          <w:lang w:bidi="ar"/>
        </w:rPr>
        <w:t>劳兰、富通、长飞同等或以上档次品牌。</w:t>
      </w:r>
    </w:p>
    <w:tbl>
      <w:tblPr>
        <w:tblStyle w:val="19"/>
        <w:tblW w:w="8731" w:type="dxa"/>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8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tcPr>
          <w:p>
            <w:pPr>
              <w:jc w:val="center"/>
              <w:rPr>
                <w:rFonts w:ascii="宋体" w:cs="宋体"/>
                <w:b/>
                <w:sz w:val="22"/>
                <w:szCs w:val="22"/>
              </w:rPr>
            </w:pPr>
            <w:r>
              <w:rPr>
                <w:rFonts w:hint="eastAsia" w:ascii="宋体" w:hAnsi="宋体" w:cs="宋体"/>
                <w:b/>
                <w:sz w:val="22"/>
                <w:szCs w:val="22"/>
                <w:lang w:bidi="ar"/>
              </w:rPr>
              <w:t>序号</w:t>
            </w:r>
          </w:p>
        </w:tc>
        <w:tc>
          <w:tcPr>
            <w:tcW w:w="8026" w:type="dxa"/>
            <w:tcBorders>
              <w:top w:val="single" w:color="auto" w:sz="4" w:space="0"/>
              <w:left w:val="single" w:color="auto" w:sz="4" w:space="0"/>
              <w:bottom w:val="single" w:color="auto" w:sz="4" w:space="0"/>
              <w:right w:val="single" w:color="auto" w:sz="4" w:space="0"/>
            </w:tcBorders>
          </w:tcPr>
          <w:p>
            <w:pPr>
              <w:jc w:val="center"/>
              <w:rPr>
                <w:rFonts w:ascii="宋体" w:cs="宋体"/>
                <w:b/>
                <w:sz w:val="22"/>
                <w:szCs w:val="22"/>
              </w:rPr>
            </w:pPr>
            <w:r>
              <w:rPr>
                <w:rFonts w:hint="eastAsia" w:ascii="宋体" w:hAnsi="宋体" w:cs="宋体"/>
                <w:b/>
                <w:sz w:val="22"/>
                <w:szCs w:val="22"/>
                <w:lang w:bidi="ar"/>
              </w:rPr>
              <w:t>主要特征需求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2"/>
                <w:szCs w:val="22"/>
              </w:rPr>
            </w:pPr>
            <w:r>
              <w:rPr>
                <w:rFonts w:hint="eastAsia" w:ascii="宋体" w:hAnsi="宋体" w:cs="宋体"/>
                <w:sz w:val="22"/>
                <w:szCs w:val="22"/>
                <w:lang w:bidi="ar"/>
              </w:rPr>
              <w:t>1</w:t>
            </w:r>
          </w:p>
        </w:tc>
        <w:tc>
          <w:tcPr>
            <w:tcW w:w="8026" w:type="dxa"/>
            <w:tcBorders>
              <w:top w:val="single" w:color="auto" w:sz="4" w:space="0"/>
              <w:left w:val="single" w:color="auto" w:sz="4" w:space="0"/>
              <w:bottom w:val="single" w:color="auto" w:sz="4" w:space="0"/>
              <w:right w:val="single" w:color="auto" w:sz="4" w:space="0"/>
            </w:tcBorders>
          </w:tcPr>
          <w:p>
            <w:pPr>
              <w:rPr>
                <w:rFonts w:ascii="宋体" w:cs="宋体"/>
                <w:sz w:val="22"/>
                <w:szCs w:val="22"/>
              </w:rPr>
            </w:pPr>
            <w:r>
              <w:rPr>
                <w:rFonts w:hint="eastAsia" w:ascii="宋体" w:hAnsi="宋体" w:cs="宋体"/>
                <w:sz w:val="22"/>
                <w:szCs w:val="22"/>
                <w:lang w:bidi="ar"/>
              </w:rPr>
              <w:t>光缆护套采用低烟无卤阻燃材料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2"/>
                <w:szCs w:val="22"/>
              </w:rPr>
            </w:pPr>
            <w:r>
              <w:rPr>
                <w:rFonts w:hint="eastAsia" w:ascii="宋体" w:hAnsi="宋体" w:cs="宋体"/>
                <w:sz w:val="22"/>
                <w:szCs w:val="22"/>
                <w:lang w:bidi="ar"/>
              </w:rPr>
              <w:t>2</w:t>
            </w:r>
          </w:p>
        </w:tc>
        <w:tc>
          <w:tcPr>
            <w:tcW w:w="8026" w:type="dxa"/>
            <w:tcBorders>
              <w:top w:val="single" w:color="auto" w:sz="4" w:space="0"/>
              <w:left w:val="single" w:color="auto" w:sz="4" w:space="0"/>
              <w:bottom w:val="single" w:color="auto" w:sz="4" w:space="0"/>
              <w:right w:val="single" w:color="auto" w:sz="4" w:space="0"/>
            </w:tcBorders>
          </w:tcPr>
          <w:p>
            <w:pPr>
              <w:rPr>
                <w:rFonts w:ascii="宋体" w:cs="宋体"/>
                <w:sz w:val="22"/>
                <w:szCs w:val="22"/>
              </w:rPr>
            </w:pPr>
            <w:r>
              <w:rPr>
                <w:rFonts w:hint="eastAsia" w:ascii="宋体" w:hAnsi="宋体" w:cs="宋体"/>
                <w:sz w:val="22"/>
                <w:szCs w:val="22"/>
                <w:lang w:bidi="ar"/>
              </w:rPr>
              <w:t>符合GB/T 7424.3-2003。光纤传输损耗小、色散低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2"/>
                <w:szCs w:val="22"/>
              </w:rPr>
            </w:pPr>
            <w:r>
              <w:rPr>
                <w:rFonts w:hint="eastAsia" w:ascii="宋体" w:hAnsi="宋体" w:cs="宋体"/>
                <w:sz w:val="22"/>
                <w:szCs w:val="22"/>
                <w:lang w:bidi="ar"/>
              </w:rPr>
              <w:t>3</w:t>
            </w:r>
          </w:p>
        </w:tc>
        <w:tc>
          <w:tcPr>
            <w:tcW w:w="8026" w:type="dxa"/>
            <w:tcBorders>
              <w:top w:val="single" w:color="auto" w:sz="4" w:space="0"/>
              <w:left w:val="single" w:color="auto" w:sz="4" w:space="0"/>
              <w:bottom w:val="single" w:color="auto" w:sz="4" w:space="0"/>
              <w:right w:val="single" w:color="auto" w:sz="4" w:space="0"/>
            </w:tcBorders>
          </w:tcPr>
          <w:p>
            <w:pPr>
              <w:rPr>
                <w:rFonts w:ascii="宋体" w:cs="宋体"/>
                <w:sz w:val="22"/>
                <w:szCs w:val="22"/>
              </w:rPr>
            </w:pPr>
            <w:r>
              <w:rPr>
                <w:rFonts w:hint="eastAsia" w:ascii="宋体" w:hAnsi="宋体" w:cs="宋体"/>
                <w:sz w:val="22"/>
                <w:szCs w:val="22"/>
                <w:lang w:bidi="ar"/>
              </w:rPr>
              <w:t>光缆具有优良的机械性能和环境性能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2"/>
                <w:szCs w:val="22"/>
              </w:rPr>
            </w:pPr>
            <w:r>
              <w:rPr>
                <w:rFonts w:hint="eastAsia" w:ascii="宋体" w:hAnsi="宋体" w:cs="宋体"/>
                <w:sz w:val="22"/>
                <w:szCs w:val="22"/>
                <w:lang w:bidi="ar"/>
              </w:rPr>
              <w:t>4</w:t>
            </w:r>
          </w:p>
        </w:tc>
        <w:tc>
          <w:tcPr>
            <w:tcW w:w="8026" w:type="dxa"/>
            <w:tcBorders>
              <w:top w:val="single" w:color="auto" w:sz="4" w:space="0"/>
              <w:left w:val="single" w:color="auto" w:sz="4" w:space="0"/>
              <w:bottom w:val="single" w:color="auto" w:sz="4" w:space="0"/>
              <w:right w:val="single" w:color="auto" w:sz="4" w:space="0"/>
            </w:tcBorders>
          </w:tcPr>
          <w:p>
            <w:pPr>
              <w:rPr>
                <w:rFonts w:ascii="宋体" w:cs="宋体"/>
                <w:sz w:val="22"/>
                <w:szCs w:val="22"/>
              </w:rPr>
            </w:pPr>
            <w:r>
              <w:rPr>
                <w:rFonts w:hint="eastAsia" w:ascii="宋体" w:hAnsi="宋体" w:cs="宋体"/>
                <w:sz w:val="22"/>
                <w:szCs w:val="22"/>
                <w:lang w:bidi="ar"/>
              </w:rPr>
              <w:t>光缆结构紧凑，钢带与松套管之间热熔胶粘为一体，确保光缆防潮、阻水效果，保证光缆敷设后，松套管无回缩，重量轻，敷设方便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2"/>
                <w:szCs w:val="22"/>
              </w:rPr>
            </w:pPr>
            <w:r>
              <w:rPr>
                <w:rFonts w:hint="eastAsia" w:ascii="宋体" w:hAnsi="宋体" w:cs="宋体"/>
                <w:sz w:val="22"/>
                <w:szCs w:val="22"/>
                <w:lang w:bidi="ar"/>
              </w:rPr>
              <w:t>5</w:t>
            </w:r>
          </w:p>
        </w:tc>
        <w:tc>
          <w:tcPr>
            <w:tcW w:w="8026" w:type="dxa"/>
            <w:tcBorders>
              <w:top w:val="single" w:color="auto" w:sz="4" w:space="0"/>
              <w:left w:val="single" w:color="auto" w:sz="4" w:space="0"/>
              <w:bottom w:val="single" w:color="auto" w:sz="4" w:space="0"/>
              <w:right w:val="single" w:color="auto" w:sz="4" w:space="0"/>
            </w:tcBorders>
          </w:tcPr>
          <w:p>
            <w:pPr>
              <w:rPr>
                <w:rFonts w:ascii="宋体" w:cs="宋体"/>
                <w:sz w:val="22"/>
                <w:szCs w:val="22"/>
              </w:rPr>
            </w:pPr>
            <w:r>
              <w:rPr>
                <w:rFonts w:hint="eastAsia" w:ascii="宋体" w:hAnsi="宋体" w:cs="宋体"/>
                <w:sz w:val="22"/>
                <w:szCs w:val="22"/>
                <w:lang w:bidi="ar"/>
              </w:rPr>
              <w:t>光缆柔韧性和抗弯曲能力优良</w:t>
            </w:r>
          </w:p>
        </w:tc>
      </w:tr>
    </w:tbl>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rFonts w:asciiTheme="minorEastAsia" w:hAnsiTheme="minorEastAsia" w:eastAsiaTheme="minorEastAsia" w:cstheme="minorEastAsia"/>
          <w:bCs w:val="0"/>
          <w:color w:val="000000"/>
          <w:sz w:val="22"/>
          <w:szCs w:val="22"/>
        </w:rPr>
      </w:pPr>
      <w:r>
        <w:rPr>
          <w:rFonts w:hint="eastAsia"/>
          <w:sz w:val="22"/>
          <w:szCs w:val="22"/>
        </w:rPr>
        <w:t>1.6.1.17</w:t>
      </w:r>
      <w:r>
        <w:rPr>
          <w:rFonts w:hint="eastAsia" w:asciiTheme="minorEastAsia" w:hAnsiTheme="minorEastAsia" w:eastAsiaTheme="minorEastAsia" w:cstheme="minorEastAsia"/>
          <w:sz w:val="22"/>
          <w:szCs w:val="22"/>
        </w:rPr>
        <w:t xml:space="preserve"> 24口</w:t>
      </w:r>
      <w:r>
        <w:rPr>
          <w:rFonts w:hint="eastAsia" w:asciiTheme="minorEastAsia" w:hAnsiTheme="minorEastAsia" w:eastAsiaTheme="minorEastAsia" w:cstheme="minorEastAsia"/>
          <w:bCs w:val="0"/>
          <w:color w:val="000000"/>
          <w:sz w:val="22"/>
          <w:szCs w:val="22"/>
        </w:rPr>
        <w:t>企业级接入层交换机</w:t>
      </w:r>
    </w:p>
    <w:p>
      <w:pPr>
        <w:pStyle w:val="6"/>
        <w:keepNext w:val="0"/>
        <w:keepLines w:val="0"/>
        <w:tabs>
          <w:tab w:val="left" w:pos="420"/>
          <w:tab w:val="left" w:pos="720"/>
          <w:tab w:val="left" w:pos="1080"/>
          <w:tab w:val="left" w:pos="1968"/>
        </w:tabs>
        <w:adjustRightInd w:val="0"/>
        <w:snapToGrid w:val="0"/>
        <w:spacing w:before="0" w:after="0" w:line="360" w:lineRule="auto"/>
        <w:ind w:right="2" w:rightChars="1" w:firstLine="442" w:firstLineChars="200"/>
        <w:rPr>
          <w:rFonts w:ascii="宋体" w:hAnsi="宋体"/>
          <w:bCs w:val="0"/>
          <w:color w:val="000000"/>
          <w:sz w:val="22"/>
          <w:szCs w:val="22"/>
        </w:rPr>
      </w:pPr>
      <w:r>
        <w:rPr>
          <w:rFonts w:hint="eastAsia" w:ascii="宋体" w:hAnsi="宋体"/>
          <w:bCs w:val="0"/>
          <w:color w:val="000000"/>
          <w:sz w:val="22"/>
          <w:szCs w:val="22"/>
        </w:rPr>
        <w:t>可接受的标准化产品品牌为：华三、思科同等或以上档次品牌。</w:t>
      </w:r>
    </w:p>
    <w:bookmarkEnd w:id="267"/>
    <w:bookmarkEnd w:id="268"/>
    <w:bookmarkEnd w:id="269"/>
    <w:bookmarkEnd w:id="270"/>
    <w:bookmarkEnd w:id="271"/>
    <w:bookmarkEnd w:id="272"/>
    <w:bookmarkEnd w:id="273"/>
    <w:bookmarkEnd w:id="274"/>
    <w:bookmarkEnd w:id="275"/>
    <w:bookmarkEnd w:id="276"/>
    <w:bookmarkEnd w:id="277"/>
    <w:bookmarkEnd w:id="278"/>
    <w:tbl>
      <w:tblPr>
        <w:tblStyle w:val="19"/>
        <w:tblW w:w="8805" w:type="dxa"/>
        <w:tblInd w:w="371" w:type="dxa"/>
        <w:tblLayout w:type="fixed"/>
        <w:tblCellMar>
          <w:top w:w="0" w:type="dxa"/>
          <w:left w:w="0" w:type="dxa"/>
          <w:bottom w:w="0" w:type="dxa"/>
          <w:right w:w="0" w:type="dxa"/>
        </w:tblCellMar>
      </w:tblPr>
      <w:tblGrid>
        <w:gridCol w:w="720"/>
        <w:gridCol w:w="1039"/>
        <w:gridCol w:w="7046"/>
      </w:tblGrid>
      <w:tr>
        <w:tblPrEx>
          <w:tblLayout w:type="fixed"/>
          <w:tblCellMar>
            <w:top w:w="0" w:type="dxa"/>
            <w:left w:w="0" w:type="dxa"/>
            <w:bottom w:w="0" w:type="dxa"/>
            <w:right w:w="0" w:type="dxa"/>
          </w:tblCellMar>
        </w:tblPrEx>
        <w:trPr>
          <w:trHeight w:val="31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80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主要特征需求</w:t>
            </w:r>
          </w:p>
        </w:tc>
      </w:tr>
      <w:tr>
        <w:tblPrEx>
          <w:tblLayout w:type="fixed"/>
          <w:tblCellMar>
            <w:top w:w="0" w:type="dxa"/>
            <w:left w:w="0" w:type="dxa"/>
            <w:bottom w:w="0" w:type="dxa"/>
            <w:right w:w="0"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10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交换容量</w:t>
            </w: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≥598Gbps/5.98Tbps</w:t>
            </w:r>
          </w:p>
        </w:tc>
      </w:tr>
      <w:tr>
        <w:tblPrEx>
          <w:tblLayout w:type="fixed"/>
          <w:tblCellMar>
            <w:top w:w="0" w:type="dxa"/>
            <w:left w:w="0" w:type="dxa"/>
            <w:bottom w:w="0" w:type="dxa"/>
            <w:right w:w="0" w:type="dxa"/>
          </w:tblCellMar>
        </w:tblPrEx>
        <w:trPr>
          <w:trHeight w:val="27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10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包转发率</w:t>
            </w: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≥222Mpps</w:t>
            </w:r>
          </w:p>
        </w:tc>
      </w:tr>
      <w:tr>
        <w:tblPrEx>
          <w:tblLayout w:type="fixed"/>
          <w:tblCellMar>
            <w:top w:w="0" w:type="dxa"/>
            <w:left w:w="0" w:type="dxa"/>
            <w:bottom w:w="0" w:type="dxa"/>
            <w:right w:w="0" w:type="dxa"/>
          </w:tblCellMar>
        </w:tblPrEx>
        <w:trPr>
          <w:trHeight w:val="3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10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端口参数</w:t>
            </w: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≥24个10/100/1000Base-T自适应以太网端口，4个万兆SFP+口</w:t>
            </w:r>
          </w:p>
        </w:tc>
      </w:tr>
      <w:tr>
        <w:tblPrEx>
          <w:tblLayout w:type="fixed"/>
          <w:tblCellMar>
            <w:top w:w="0" w:type="dxa"/>
            <w:left w:w="0" w:type="dxa"/>
            <w:bottom w:w="0" w:type="dxa"/>
            <w:right w:w="0" w:type="dxa"/>
          </w:tblCellMar>
        </w:tblPrEx>
        <w:trPr>
          <w:trHeight w:val="26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端口聚合</w:t>
            </w: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支持GE端口聚合</w:t>
            </w:r>
          </w:p>
        </w:tc>
      </w:tr>
      <w:tr>
        <w:tblPrEx>
          <w:tblLayout w:type="fixed"/>
          <w:tblCellMar>
            <w:top w:w="0" w:type="dxa"/>
            <w:left w:w="0" w:type="dxa"/>
            <w:bottom w:w="0" w:type="dxa"/>
            <w:right w:w="0" w:type="dxa"/>
          </w:tblCellMar>
        </w:tblPrEx>
        <w:trPr>
          <w:trHeight w:val="3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支持10GE端口聚合</w:t>
            </w:r>
          </w:p>
        </w:tc>
      </w:tr>
      <w:tr>
        <w:tblPrEx>
          <w:tblLayout w:type="fixed"/>
          <w:tblCellMar>
            <w:top w:w="0" w:type="dxa"/>
            <w:left w:w="0" w:type="dxa"/>
            <w:bottom w:w="0" w:type="dxa"/>
            <w:right w:w="0"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支持40G聚合</w:t>
            </w:r>
          </w:p>
        </w:tc>
      </w:tr>
      <w:tr>
        <w:tblPrEx>
          <w:tblLayout w:type="fixed"/>
          <w:tblCellMar>
            <w:top w:w="0" w:type="dxa"/>
            <w:left w:w="0" w:type="dxa"/>
            <w:bottom w:w="0" w:type="dxa"/>
            <w:right w:w="0" w:type="dxa"/>
          </w:tblCellMar>
        </w:tblPrEx>
        <w:trPr>
          <w:trHeight w:val="3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支持静态聚合</w:t>
            </w:r>
          </w:p>
        </w:tc>
      </w:tr>
      <w:tr>
        <w:tblPrEx>
          <w:tblLayout w:type="fixed"/>
          <w:tblCellMar>
            <w:top w:w="0" w:type="dxa"/>
            <w:left w:w="0" w:type="dxa"/>
            <w:bottom w:w="0" w:type="dxa"/>
            <w:right w:w="0" w:type="dxa"/>
          </w:tblCellMar>
        </w:tblPrEx>
        <w:trPr>
          <w:trHeight w:val="44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端口特性</w:t>
            </w: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支持IEEE802.3x 流量控制（全双工）</w:t>
            </w:r>
          </w:p>
        </w:tc>
      </w:tr>
      <w:tr>
        <w:tblPrEx>
          <w:tblLayout w:type="fixed"/>
          <w:tblCellMar>
            <w:top w:w="0" w:type="dxa"/>
            <w:left w:w="0" w:type="dxa"/>
            <w:bottom w:w="0" w:type="dxa"/>
            <w:right w:w="0"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支持基于端口速率百分比的风暴抑制</w:t>
            </w:r>
          </w:p>
        </w:tc>
      </w:tr>
      <w:tr>
        <w:tblPrEx>
          <w:tblLayout w:type="fixed"/>
          <w:tblCellMar>
            <w:top w:w="0" w:type="dxa"/>
            <w:left w:w="0" w:type="dxa"/>
            <w:bottom w:w="0" w:type="dxa"/>
            <w:right w:w="0" w:type="dxa"/>
          </w:tblCellMar>
        </w:tblPrEx>
        <w:trPr>
          <w:trHeight w:val="3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支持基于PPS的风暴抑制</w:t>
            </w:r>
          </w:p>
        </w:tc>
      </w:tr>
      <w:tr>
        <w:tblPrEx>
          <w:tblLayout w:type="fixed"/>
          <w:tblCellMar>
            <w:top w:w="0" w:type="dxa"/>
            <w:left w:w="0" w:type="dxa"/>
            <w:bottom w:w="0" w:type="dxa"/>
            <w:right w:w="0"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支持基于bps的风暴抑制</w:t>
            </w:r>
          </w:p>
        </w:tc>
      </w:tr>
      <w:tr>
        <w:tblPrEx>
          <w:tblLayout w:type="fixed"/>
          <w:tblCellMar>
            <w:top w:w="0" w:type="dxa"/>
            <w:left w:w="0" w:type="dxa"/>
            <w:bottom w:w="0" w:type="dxa"/>
            <w:right w:w="0" w:type="dxa"/>
          </w:tblCellMar>
        </w:tblPrEx>
        <w:trPr>
          <w:trHeight w:val="38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IP路由</w:t>
            </w: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支持静态路由</w:t>
            </w:r>
          </w:p>
        </w:tc>
      </w:tr>
      <w:tr>
        <w:tblPrEx>
          <w:tblLayout w:type="fixed"/>
          <w:tblCellMar>
            <w:top w:w="0" w:type="dxa"/>
            <w:left w:w="0" w:type="dxa"/>
            <w:bottom w:w="0" w:type="dxa"/>
            <w:right w:w="0"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支持RIPv1/v2，RIPng</w:t>
            </w:r>
          </w:p>
        </w:tc>
      </w:tr>
      <w:tr>
        <w:tblPrEx>
          <w:tblLayout w:type="fixed"/>
          <w:tblCellMar>
            <w:top w:w="0" w:type="dxa"/>
            <w:left w:w="0" w:type="dxa"/>
            <w:bottom w:w="0" w:type="dxa"/>
            <w:right w:w="0" w:type="dxa"/>
          </w:tblCellMar>
        </w:tblPrEx>
        <w:trPr>
          <w:trHeight w:val="4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支持OSPFv1/v2，OSPFv3</w:t>
            </w:r>
          </w:p>
        </w:tc>
      </w:tr>
      <w:tr>
        <w:tblPrEx>
          <w:tblLayout w:type="fixed"/>
          <w:tblCellMar>
            <w:top w:w="0" w:type="dxa"/>
            <w:left w:w="0" w:type="dxa"/>
            <w:bottom w:w="0" w:type="dxa"/>
            <w:right w:w="0"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支持BGP4，BGP4+ for IPv6</w:t>
            </w:r>
          </w:p>
        </w:tc>
      </w:tr>
      <w:tr>
        <w:tblPrEx>
          <w:tblLayout w:type="fixed"/>
          <w:tblCellMar>
            <w:top w:w="0" w:type="dxa"/>
            <w:left w:w="0" w:type="dxa"/>
            <w:bottom w:w="0" w:type="dxa"/>
            <w:right w:w="0" w:type="dxa"/>
          </w:tblCellMar>
        </w:tblPrEx>
        <w:trPr>
          <w:trHeight w:val="3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支持IS-IS，IS-IS V6</w:t>
            </w:r>
          </w:p>
        </w:tc>
      </w:tr>
      <w:tr>
        <w:tblPrEx>
          <w:tblLayout w:type="fixed"/>
          <w:tblCellMar>
            <w:top w:w="0" w:type="dxa"/>
            <w:left w:w="0" w:type="dxa"/>
            <w:bottom w:w="0" w:type="dxa"/>
            <w:right w:w="0"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支持等价路由，策略路由</w:t>
            </w:r>
          </w:p>
        </w:tc>
      </w:tr>
      <w:tr>
        <w:tblPrEx>
          <w:tblLayout w:type="fixed"/>
          <w:tblCellMar>
            <w:top w:w="0" w:type="dxa"/>
            <w:left w:w="0" w:type="dxa"/>
            <w:bottom w:w="0" w:type="dxa"/>
            <w:right w:w="0" w:type="dxa"/>
          </w:tblCellMar>
        </w:tblPrEx>
        <w:trPr>
          <w:trHeight w:val="2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支持VRRP/VRRPv3</w:t>
            </w:r>
          </w:p>
        </w:tc>
      </w:tr>
      <w:tr>
        <w:tblPrEx>
          <w:tblLayout w:type="fixed"/>
          <w:tblCellMar>
            <w:top w:w="0" w:type="dxa"/>
            <w:left w:w="0" w:type="dxa"/>
            <w:bottom w:w="0" w:type="dxa"/>
            <w:right w:w="0" w:type="dxa"/>
          </w:tblCellMar>
        </w:tblPrEx>
        <w:trPr>
          <w:trHeight w:val="40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IPv6</w:t>
            </w: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支持ND（Neighbor Discovery）</w:t>
            </w:r>
          </w:p>
        </w:tc>
      </w:tr>
      <w:tr>
        <w:tblPrEx>
          <w:tblLayout w:type="fixed"/>
          <w:tblCellMar>
            <w:top w:w="0" w:type="dxa"/>
            <w:left w:w="0" w:type="dxa"/>
            <w:bottom w:w="0" w:type="dxa"/>
            <w:right w:w="0" w:type="dxa"/>
          </w:tblCellMar>
        </w:tblPrEx>
        <w:trPr>
          <w:trHeight w:val="4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支持PMTU</w:t>
            </w:r>
          </w:p>
        </w:tc>
      </w:tr>
      <w:tr>
        <w:tblPrEx>
          <w:tblLayout w:type="fixed"/>
          <w:tblCellMar>
            <w:top w:w="0" w:type="dxa"/>
            <w:left w:w="0" w:type="dxa"/>
            <w:bottom w:w="0" w:type="dxa"/>
            <w:right w:w="0"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支持IPv6-Ping，IPv6-Tracert，IPv6-Telnet，IPv6-TFTP</w:t>
            </w:r>
          </w:p>
        </w:tc>
      </w:tr>
      <w:tr>
        <w:tblPrEx>
          <w:tblLayout w:type="fixed"/>
          <w:tblCellMar>
            <w:top w:w="0" w:type="dxa"/>
            <w:left w:w="0" w:type="dxa"/>
            <w:bottom w:w="0" w:type="dxa"/>
            <w:right w:w="0" w:type="dxa"/>
          </w:tblCellMar>
        </w:tblPrEx>
        <w:trPr>
          <w:trHeight w:val="3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支持手动配置Tunnel</w:t>
            </w:r>
          </w:p>
        </w:tc>
      </w:tr>
      <w:tr>
        <w:tblPrEx>
          <w:tblLayout w:type="fixed"/>
          <w:tblCellMar>
            <w:top w:w="0" w:type="dxa"/>
            <w:left w:w="0" w:type="dxa"/>
            <w:bottom w:w="0" w:type="dxa"/>
            <w:right w:w="0"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支持6to4 tunnel</w:t>
            </w:r>
          </w:p>
        </w:tc>
      </w:tr>
      <w:tr>
        <w:tblPrEx>
          <w:tblLayout w:type="fixed"/>
          <w:tblCellMar>
            <w:top w:w="0" w:type="dxa"/>
            <w:left w:w="0" w:type="dxa"/>
            <w:bottom w:w="0" w:type="dxa"/>
            <w:right w:w="0" w:type="dxa"/>
          </w:tblCellMar>
        </w:tblPrEx>
        <w:trPr>
          <w:trHeight w:val="4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支持ISATAP tunnel</w:t>
            </w:r>
          </w:p>
        </w:tc>
      </w:tr>
      <w:tr>
        <w:tblPrEx>
          <w:tblLayout w:type="fixed"/>
          <w:tblCellMar>
            <w:top w:w="0" w:type="dxa"/>
            <w:left w:w="0" w:type="dxa"/>
            <w:bottom w:w="0" w:type="dxa"/>
            <w:right w:w="0"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支持GRE tunnel</w:t>
            </w:r>
          </w:p>
        </w:tc>
      </w:tr>
      <w:tr>
        <w:tblPrEx>
          <w:tblLayout w:type="fixed"/>
          <w:tblCellMar>
            <w:top w:w="0" w:type="dxa"/>
            <w:left w:w="0" w:type="dxa"/>
            <w:bottom w:w="0" w:type="dxa"/>
            <w:right w:w="0" w:type="dxa"/>
          </w:tblCellMar>
        </w:tblPrEx>
        <w:trPr>
          <w:trHeight w:val="36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镜像</w:t>
            </w: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支持流镜像</w:t>
            </w:r>
          </w:p>
        </w:tc>
      </w:tr>
      <w:tr>
        <w:tblPrEx>
          <w:tblLayout w:type="fixed"/>
          <w:tblCellMar>
            <w:top w:w="0" w:type="dxa"/>
            <w:left w:w="0" w:type="dxa"/>
            <w:bottom w:w="0" w:type="dxa"/>
            <w:right w:w="0" w:type="dxa"/>
          </w:tblCellMar>
        </w:tblPrEx>
        <w:trPr>
          <w:trHeight w:val="24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支持N:4端口镜像</w:t>
            </w:r>
          </w:p>
        </w:tc>
      </w:tr>
      <w:tr>
        <w:tblPrEx>
          <w:tblLayout w:type="fixed"/>
          <w:tblCellMar>
            <w:top w:w="0" w:type="dxa"/>
            <w:left w:w="0" w:type="dxa"/>
            <w:bottom w:w="0" w:type="dxa"/>
            <w:right w:w="0"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支持本地和远程端口镜像</w:t>
            </w:r>
          </w:p>
        </w:tc>
      </w:tr>
      <w:tr>
        <w:tblPrEx>
          <w:tblLayout w:type="fixed"/>
          <w:tblCellMar>
            <w:top w:w="0" w:type="dxa"/>
            <w:left w:w="0" w:type="dxa"/>
            <w:bottom w:w="0" w:type="dxa"/>
            <w:right w:w="0" w:type="dxa"/>
          </w:tblCellMar>
        </w:tblPrEx>
        <w:trPr>
          <w:trHeight w:val="90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QoS</w:t>
            </w: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支持L2（Layer 2）~L4（Layer 4）包过滤功能，提供基于源MAC地址、目的MAC地址、源IP(IPv4/IPv6)地址、目的IP(IPv4/IPv6)地址、TCP/UDP端口号、VLAN的流分类</w:t>
            </w:r>
          </w:p>
        </w:tc>
      </w:tr>
      <w:tr>
        <w:tblPrEx>
          <w:tblLayout w:type="fixed"/>
          <w:tblCellMar>
            <w:top w:w="0" w:type="dxa"/>
            <w:left w:w="0" w:type="dxa"/>
            <w:bottom w:w="0" w:type="dxa"/>
            <w:right w:w="0" w:type="dxa"/>
          </w:tblCellMar>
        </w:tblPrEx>
        <w:trPr>
          <w:trHeight w:val="43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支持对端口接收报文的速率和发送报文的速率进行限制，最小粒度8Kbps</w:t>
            </w:r>
          </w:p>
        </w:tc>
      </w:tr>
      <w:tr>
        <w:tblPrEx>
          <w:tblLayout w:type="fixed"/>
          <w:tblCellMar>
            <w:top w:w="0" w:type="dxa"/>
            <w:left w:w="0" w:type="dxa"/>
            <w:bottom w:w="0" w:type="dxa"/>
            <w:right w:w="0" w:type="dxa"/>
          </w:tblCellMar>
        </w:tblPrEx>
        <w:trPr>
          <w:trHeight w:val="4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支持报文重定向</w:t>
            </w:r>
          </w:p>
        </w:tc>
      </w:tr>
      <w:tr>
        <w:tblPrEx>
          <w:tblLayout w:type="fixed"/>
          <w:tblCellMar>
            <w:top w:w="0" w:type="dxa"/>
            <w:left w:w="0" w:type="dxa"/>
            <w:bottom w:w="0" w:type="dxa"/>
            <w:right w:w="0"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支持报文的802.1p和DSCP优先级重新标记</w:t>
            </w:r>
          </w:p>
        </w:tc>
      </w:tr>
      <w:tr>
        <w:tblPrEx>
          <w:tblLayout w:type="fixed"/>
          <w:tblCellMar>
            <w:top w:w="0" w:type="dxa"/>
            <w:left w:w="0" w:type="dxa"/>
            <w:bottom w:w="0" w:type="dxa"/>
            <w:right w:w="0" w:type="dxa"/>
          </w:tblCellMar>
        </w:tblPrEx>
        <w:trPr>
          <w:trHeight w:val="2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支持CAR（Committed Access Rate）功能</w:t>
            </w:r>
          </w:p>
        </w:tc>
      </w:tr>
      <w:tr>
        <w:tblPrEx>
          <w:tblLayout w:type="fixed"/>
          <w:tblCellMar>
            <w:top w:w="0" w:type="dxa"/>
            <w:left w:w="0" w:type="dxa"/>
            <w:bottom w:w="0" w:type="dxa"/>
            <w:right w:w="0" w:type="dxa"/>
          </w:tblCellMar>
        </w:tblPrEx>
        <w:trPr>
          <w:trHeight w:val="54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支持灵活的队列调度算法，可以同时基于端口和队列进行设置，支持SP、WRR、SP+WRR三种模式</w:t>
            </w:r>
          </w:p>
        </w:tc>
      </w:tr>
      <w:tr>
        <w:tblPrEx>
          <w:tblLayout w:type="fixed"/>
          <w:tblCellMar>
            <w:top w:w="0" w:type="dxa"/>
            <w:left w:w="0" w:type="dxa"/>
            <w:bottom w:w="0" w:type="dxa"/>
            <w:right w:w="0"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支持WRED</w:t>
            </w:r>
          </w:p>
        </w:tc>
      </w:tr>
      <w:tr>
        <w:tblPrEx>
          <w:tblLayout w:type="fixed"/>
          <w:tblCellMar>
            <w:top w:w="0" w:type="dxa"/>
            <w:left w:w="0" w:type="dxa"/>
            <w:bottom w:w="0" w:type="dxa"/>
            <w:right w:w="0" w:type="dxa"/>
          </w:tblCellMar>
        </w:tblPrEx>
        <w:trPr>
          <w:trHeight w:val="42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安全特性</w:t>
            </w: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支持用户分级管理和口令保护</w:t>
            </w:r>
          </w:p>
        </w:tc>
      </w:tr>
      <w:tr>
        <w:tblPrEx>
          <w:tblLayout w:type="fixed"/>
          <w:tblCellMar>
            <w:top w:w="0" w:type="dxa"/>
            <w:left w:w="0" w:type="dxa"/>
            <w:bottom w:w="0" w:type="dxa"/>
            <w:right w:w="0"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支持802.1X认证/集中式MAC地址认证</w:t>
            </w:r>
          </w:p>
        </w:tc>
      </w:tr>
      <w:tr>
        <w:tblPrEx>
          <w:tblLayout w:type="fixed"/>
          <w:tblCellMar>
            <w:top w:w="0" w:type="dxa"/>
            <w:left w:w="0" w:type="dxa"/>
            <w:bottom w:w="0" w:type="dxa"/>
            <w:right w:w="0" w:type="dxa"/>
          </w:tblCellMar>
        </w:tblPrEx>
        <w:trPr>
          <w:trHeight w:val="3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支持Guest VLAN</w:t>
            </w:r>
          </w:p>
        </w:tc>
      </w:tr>
      <w:tr>
        <w:tblPrEx>
          <w:tblLayout w:type="fixed"/>
          <w:tblCellMar>
            <w:top w:w="0" w:type="dxa"/>
            <w:left w:w="0" w:type="dxa"/>
            <w:bottom w:w="0" w:type="dxa"/>
            <w:right w:w="0"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支持RADIUS认证</w:t>
            </w:r>
          </w:p>
        </w:tc>
      </w:tr>
      <w:tr>
        <w:tblPrEx>
          <w:tblLayout w:type="fixed"/>
          <w:tblCellMar>
            <w:top w:w="0" w:type="dxa"/>
            <w:left w:w="0" w:type="dxa"/>
            <w:bottom w:w="0" w:type="dxa"/>
            <w:right w:w="0" w:type="dxa"/>
          </w:tblCellMar>
        </w:tblPrEx>
        <w:trPr>
          <w:trHeight w:val="42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支持SSH 2.0</w:t>
            </w:r>
          </w:p>
        </w:tc>
      </w:tr>
      <w:tr>
        <w:tblPrEx>
          <w:tblLayout w:type="fixed"/>
          <w:tblCellMar>
            <w:top w:w="0" w:type="dxa"/>
            <w:left w:w="0" w:type="dxa"/>
            <w:bottom w:w="0" w:type="dxa"/>
            <w:right w:w="0"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支持端口隔离</w:t>
            </w:r>
          </w:p>
        </w:tc>
      </w:tr>
      <w:tr>
        <w:tblPrEx>
          <w:tblLayout w:type="fixed"/>
          <w:tblCellMar>
            <w:top w:w="0" w:type="dxa"/>
            <w:left w:w="0" w:type="dxa"/>
            <w:bottom w:w="0" w:type="dxa"/>
            <w:right w:w="0" w:type="dxa"/>
          </w:tblCellMar>
        </w:tblPrEx>
        <w:trPr>
          <w:trHeight w:val="28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支持端口安全</w:t>
            </w:r>
          </w:p>
        </w:tc>
      </w:tr>
      <w:tr>
        <w:tblPrEx>
          <w:tblLayout w:type="fixed"/>
          <w:tblCellMar>
            <w:top w:w="0" w:type="dxa"/>
            <w:left w:w="0" w:type="dxa"/>
            <w:bottom w:w="0" w:type="dxa"/>
            <w:right w:w="0"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支持动态ARP检测，防止中间人攻击和ARP拒绝服务</w:t>
            </w:r>
          </w:p>
        </w:tc>
      </w:tr>
      <w:tr>
        <w:tblPrEx>
          <w:tblLayout w:type="fixed"/>
          <w:tblCellMar>
            <w:top w:w="0" w:type="dxa"/>
            <w:left w:w="0" w:type="dxa"/>
            <w:bottom w:w="0" w:type="dxa"/>
            <w:right w:w="0"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支持BPDU guard， Root guard</w:t>
            </w:r>
          </w:p>
        </w:tc>
      </w:tr>
      <w:tr>
        <w:tblPrEx>
          <w:tblLayout w:type="fixed"/>
          <w:tblCellMar>
            <w:top w:w="0" w:type="dxa"/>
            <w:left w:w="0" w:type="dxa"/>
            <w:bottom w:w="0" w:type="dxa"/>
            <w:right w:w="0" w:type="dxa"/>
          </w:tblCellMar>
        </w:tblPrEx>
        <w:trPr>
          <w:trHeight w:val="26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支持uRPF(单播反向路径检测)，杜绝IP源地址欺骗，防范病毒和攻击</w:t>
            </w:r>
          </w:p>
        </w:tc>
      </w:tr>
      <w:tr>
        <w:tblPrEx>
          <w:tblLayout w:type="fixed"/>
          <w:tblCellMar>
            <w:top w:w="0" w:type="dxa"/>
            <w:left w:w="0" w:type="dxa"/>
            <w:bottom w:w="0" w:type="dxa"/>
            <w:right w:w="0"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支持PKI（Public Key Infrastructure，公钥基础设施）</w:t>
            </w:r>
          </w:p>
        </w:tc>
      </w:tr>
      <w:tr>
        <w:tblPrEx>
          <w:tblLayout w:type="fixed"/>
          <w:tblCellMar>
            <w:top w:w="0" w:type="dxa"/>
            <w:left w:w="0" w:type="dxa"/>
            <w:bottom w:w="0" w:type="dxa"/>
            <w:right w:w="0" w:type="dxa"/>
          </w:tblCellMar>
        </w:tblPrEx>
        <w:trPr>
          <w:trHeight w:val="30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11</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输入电压</w:t>
            </w: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AC：额定电压范围：100V～240V AC，50/60Hz</w:t>
            </w:r>
          </w:p>
        </w:tc>
      </w:tr>
      <w:tr>
        <w:tblPrEx>
          <w:tblLayout w:type="fixed"/>
          <w:tblCellMar>
            <w:top w:w="0" w:type="dxa"/>
            <w:left w:w="0" w:type="dxa"/>
            <w:bottom w:w="0" w:type="dxa"/>
            <w:right w:w="0" w:type="dxa"/>
          </w:tblCellMar>
        </w:tblPrEx>
        <w:trPr>
          <w:trHeight w:val="27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ascii="宋体" w:hAnsi="宋体" w:cs="宋体"/>
                <w:color w:val="000000"/>
                <w:sz w:val="22"/>
                <w:szCs w:val="22"/>
              </w:rPr>
            </w:pPr>
          </w:p>
        </w:tc>
        <w:tc>
          <w:tcPr>
            <w:tcW w:w="704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lang w:bidi="ar"/>
              </w:rPr>
              <w:t>DC：输入额定电压范围 -48V～-60V DC</w:t>
            </w:r>
          </w:p>
        </w:tc>
      </w:tr>
    </w:tbl>
    <w:p>
      <w:pPr>
        <w:pStyle w:val="7"/>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sz w:val="22"/>
          <w:szCs w:val="22"/>
        </w:rPr>
      </w:pPr>
      <w:r>
        <w:rPr>
          <w:sz w:val="22"/>
          <w:szCs w:val="22"/>
        </w:rPr>
        <w:t>1.6.1</w:t>
      </w:r>
      <w:r>
        <w:rPr>
          <w:rFonts w:hint="eastAsia"/>
          <w:sz w:val="22"/>
          <w:szCs w:val="22"/>
        </w:rPr>
        <w:t>.18 PC工作站</w:t>
      </w:r>
    </w:p>
    <w:p>
      <w:pPr>
        <w:ind w:firstLine="241" w:firstLineChars="100"/>
        <w:rPr>
          <w:b/>
          <w:bCs/>
        </w:rPr>
      </w:pPr>
      <w:r>
        <w:rPr>
          <w:rFonts w:hint="eastAsia"/>
          <w:b/>
          <w:bCs/>
        </w:rPr>
        <w:t>可接受的标准化产品品牌为：戴尔、联想、惠普同等或以上档次品牌。</w:t>
      </w:r>
    </w:p>
    <w:tbl>
      <w:tblPr>
        <w:tblStyle w:val="19"/>
        <w:tblW w:w="8851" w:type="dxa"/>
        <w:jc w:val="center"/>
        <w:tblInd w:w="0" w:type="dxa"/>
        <w:tblLayout w:type="fixed"/>
        <w:tblCellMar>
          <w:top w:w="0" w:type="dxa"/>
          <w:left w:w="0" w:type="dxa"/>
          <w:bottom w:w="0" w:type="dxa"/>
          <w:right w:w="0" w:type="dxa"/>
        </w:tblCellMar>
      </w:tblPr>
      <w:tblGrid>
        <w:gridCol w:w="840"/>
        <w:gridCol w:w="1005"/>
        <w:gridCol w:w="7006"/>
      </w:tblGrid>
      <w:tr>
        <w:tblPrEx>
          <w:tblLayout w:type="fixed"/>
          <w:tblCellMar>
            <w:top w:w="0" w:type="dxa"/>
            <w:left w:w="0" w:type="dxa"/>
            <w:bottom w:w="0" w:type="dxa"/>
            <w:right w:w="0" w:type="dxa"/>
          </w:tblCellMar>
        </w:tblPrEx>
        <w:trPr>
          <w:trHeight w:val="40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序号</w:t>
            </w:r>
          </w:p>
        </w:tc>
        <w:tc>
          <w:tcPr>
            <w:tcW w:w="80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主要特征需求</w:t>
            </w:r>
          </w:p>
        </w:tc>
      </w:tr>
      <w:tr>
        <w:tblPrEx>
          <w:tblLayout w:type="fixed"/>
          <w:tblCellMar>
            <w:top w:w="0" w:type="dxa"/>
            <w:left w:w="0" w:type="dxa"/>
            <w:bottom w:w="0" w:type="dxa"/>
            <w:right w:w="0" w:type="dxa"/>
          </w:tblCellMar>
        </w:tblPrEx>
        <w:trPr>
          <w:trHeight w:val="32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CPU</w:t>
            </w:r>
          </w:p>
        </w:tc>
        <w:tc>
          <w:tcPr>
            <w:tcW w:w="7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i7-9700  八核；</w:t>
            </w:r>
          </w:p>
        </w:tc>
      </w:tr>
      <w:tr>
        <w:tblPrEx>
          <w:tblLayout w:type="fixed"/>
          <w:tblCellMar>
            <w:top w:w="0" w:type="dxa"/>
            <w:left w:w="0" w:type="dxa"/>
            <w:bottom w:w="0" w:type="dxa"/>
            <w:right w:w="0" w:type="dxa"/>
          </w:tblCellMar>
        </w:tblPrEx>
        <w:trPr>
          <w:trHeight w:val="34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显卡</w:t>
            </w:r>
          </w:p>
        </w:tc>
        <w:tc>
          <w:tcPr>
            <w:tcW w:w="7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独立2GB；</w:t>
            </w:r>
          </w:p>
        </w:tc>
      </w:tr>
      <w:tr>
        <w:tblPrEx>
          <w:tblLayout w:type="fixed"/>
          <w:tblCellMar>
            <w:top w:w="0" w:type="dxa"/>
            <w:left w:w="0" w:type="dxa"/>
            <w:bottom w:w="0" w:type="dxa"/>
            <w:right w:w="0" w:type="dxa"/>
          </w:tblCellMar>
        </w:tblPrEx>
        <w:trPr>
          <w:trHeight w:val="35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内存</w:t>
            </w:r>
          </w:p>
        </w:tc>
        <w:tc>
          <w:tcPr>
            <w:tcW w:w="7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16GB DDR4；</w:t>
            </w:r>
          </w:p>
        </w:tc>
      </w:tr>
      <w:tr>
        <w:tblPrEx>
          <w:tblLayout w:type="fixed"/>
          <w:tblCellMar>
            <w:top w:w="0" w:type="dxa"/>
            <w:left w:w="0" w:type="dxa"/>
            <w:bottom w:w="0" w:type="dxa"/>
            <w:right w:w="0" w:type="dxa"/>
          </w:tblCellMar>
        </w:tblPrEx>
        <w:trPr>
          <w:trHeight w:val="29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硬盘</w:t>
            </w:r>
          </w:p>
        </w:tc>
        <w:tc>
          <w:tcPr>
            <w:tcW w:w="7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2TB；256GB SSD；</w:t>
            </w:r>
          </w:p>
        </w:tc>
      </w:tr>
      <w:tr>
        <w:tblPrEx>
          <w:tblLayout w:type="fixed"/>
          <w:tblCellMar>
            <w:top w:w="0" w:type="dxa"/>
            <w:left w:w="0" w:type="dxa"/>
            <w:bottom w:w="0" w:type="dxa"/>
            <w:right w:w="0" w:type="dxa"/>
          </w:tblCellMar>
        </w:tblPrEx>
        <w:trPr>
          <w:trHeight w:val="475"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显示器</w:t>
            </w:r>
          </w:p>
        </w:tc>
        <w:tc>
          <w:tcPr>
            <w:tcW w:w="7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屏幕尺寸≥23.8英寸；接口：DP，mDP,HDMI；</w:t>
            </w:r>
          </w:p>
        </w:tc>
      </w:tr>
      <w:tr>
        <w:tblPrEx>
          <w:tblLayout w:type="fixed"/>
          <w:tblCellMar>
            <w:top w:w="0" w:type="dxa"/>
            <w:left w:w="0" w:type="dxa"/>
            <w:bottom w:w="0" w:type="dxa"/>
            <w:right w:w="0" w:type="dxa"/>
          </w:tblCellMar>
        </w:tblPrEx>
        <w:trPr>
          <w:trHeight w:val="4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 w:val="22"/>
                <w:szCs w:val="22"/>
                <w:lang w:bidi="ar"/>
              </w:rPr>
            </w:pPr>
            <w:r>
              <w:rPr>
                <w:rFonts w:hint="eastAsia" w:ascii="宋体" w:hAnsi="宋体" w:cs="宋体"/>
                <w:kern w:val="0"/>
                <w:sz w:val="22"/>
                <w:szCs w:val="22"/>
                <w:lang w:bidi="ar"/>
              </w:rPr>
              <w:t>电源</w:t>
            </w:r>
          </w:p>
        </w:tc>
        <w:tc>
          <w:tcPr>
            <w:tcW w:w="7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kern w:val="0"/>
                <w:sz w:val="22"/>
                <w:szCs w:val="22"/>
                <w:lang w:bidi="ar"/>
              </w:rPr>
            </w:pPr>
            <w:r>
              <w:rPr>
                <w:rFonts w:hint="eastAsia" w:ascii="宋体" w:hAnsi="宋体" w:cs="宋体"/>
                <w:kern w:val="0"/>
                <w:sz w:val="22"/>
                <w:szCs w:val="22"/>
                <w:lang w:bidi="ar"/>
              </w:rPr>
              <w:t>≥290W电源；</w:t>
            </w:r>
          </w:p>
        </w:tc>
      </w:tr>
    </w:tbl>
    <w:p>
      <w:pPr>
        <w:widowControl/>
        <w:jc w:val="left"/>
        <w:textAlignment w:val="center"/>
        <w:rPr>
          <w:rFonts w:ascii="宋体" w:hAnsi="宋体" w:cs="宋体"/>
          <w:color w:val="000000"/>
          <w:kern w:val="0"/>
          <w:sz w:val="22"/>
          <w:szCs w:val="22"/>
          <w:lang w:bidi="ar"/>
        </w:rPr>
      </w:pPr>
    </w:p>
    <w:p>
      <w:pPr>
        <w:pStyle w:val="6"/>
        <w:keepNext w:val="0"/>
        <w:keepLines w:val="0"/>
        <w:tabs>
          <w:tab w:val="left" w:pos="420"/>
          <w:tab w:val="left" w:pos="720"/>
          <w:tab w:val="left" w:pos="1080"/>
          <w:tab w:val="left" w:pos="1968"/>
        </w:tabs>
        <w:adjustRightInd w:val="0"/>
        <w:snapToGrid w:val="0"/>
        <w:spacing w:before="0" w:after="0" w:line="360" w:lineRule="auto"/>
        <w:ind w:right="2" w:rightChars="1"/>
        <w:rPr>
          <w:sz w:val="22"/>
          <w:szCs w:val="22"/>
        </w:rPr>
      </w:pPr>
      <w:r>
        <w:rPr>
          <w:sz w:val="22"/>
          <w:szCs w:val="22"/>
        </w:rPr>
        <w:t>1.6.1</w:t>
      </w:r>
      <w:r>
        <w:rPr>
          <w:rFonts w:hint="eastAsia"/>
          <w:sz w:val="22"/>
          <w:szCs w:val="22"/>
        </w:rPr>
        <w:t>.19彩色激光多功能一体机</w:t>
      </w:r>
    </w:p>
    <w:p>
      <w:pPr>
        <w:ind w:firstLine="241" w:firstLineChars="100"/>
        <w:rPr>
          <w:b/>
          <w:bCs/>
        </w:rPr>
      </w:pPr>
      <w:r>
        <w:rPr>
          <w:rFonts w:hint="eastAsia"/>
          <w:b/>
          <w:bCs/>
        </w:rPr>
        <w:t>可接受的标准化产品品牌为：惠普、佳能同等或以上档次品牌。</w:t>
      </w:r>
    </w:p>
    <w:tbl>
      <w:tblPr>
        <w:tblStyle w:val="19"/>
        <w:tblW w:w="8880" w:type="dxa"/>
        <w:jc w:val="center"/>
        <w:tblInd w:w="0" w:type="dxa"/>
        <w:tblLayout w:type="fixed"/>
        <w:tblCellMar>
          <w:top w:w="0" w:type="dxa"/>
          <w:left w:w="0" w:type="dxa"/>
          <w:bottom w:w="0" w:type="dxa"/>
          <w:right w:w="0" w:type="dxa"/>
        </w:tblCellMar>
      </w:tblPr>
      <w:tblGrid>
        <w:gridCol w:w="893"/>
        <w:gridCol w:w="1102"/>
        <w:gridCol w:w="6885"/>
      </w:tblGrid>
      <w:tr>
        <w:tblPrEx>
          <w:tblLayout w:type="fixed"/>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序号</w:t>
            </w: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 主要特征需求 </w:t>
            </w:r>
          </w:p>
        </w:tc>
      </w:tr>
      <w:tr>
        <w:tblPrEx>
          <w:tblLayout w:type="fixed"/>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1</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类型</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彩色激光</w:t>
            </w:r>
          </w:p>
        </w:tc>
      </w:tr>
      <w:tr>
        <w:tblPrEx>
          <w:tblLayout w:type="fixed"/>
          <w:tblCellMar>
            <w:top w:w="0" w:type="dxa"/>
            <w:left w:w="0" w:type="dxa"/>
            <w:bottom w:w="0" w:type="dxa"/>
            <w:right w:w="0" w:type="dxa"/>
          </w:tblCellMar>
        </w:tblPrEx>
        <w:trPr>
          <w:trHeight w:val="28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2</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功能</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打印 扫描 复印 传真</w:t>
            </w:r>
          </w:p>
        </w:tc>
      </w:tr>
      <w:tr>
        <w:tblPrEx>
          <w:tblLayout w:type="fixed"/>
          <w:tblCellMar>
            <w:top w:w="0" w:type="dxa"/>
            <w:left w:w="0" w:type="dxa"/>
            <w:bottom w:w="0" w:type="dxa"/>
            <w:right w:w="0" w:type="dxa"/>
          </w:tblCellMar>
        </w:tblPrEx>
        <w:trPr>
          <w:trHeight w:val="62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4</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打印功能</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分辨率高达600 x 600 dpi；打印速度：黑白(正常模式，A4)：高达21页/分钟彩色(正常模式，A4)：高达21页/分钟</w:t>
            </w:r>
          </w:p>
        </w:tc>
      </w:tr>
      <w:tr>
        <w:tblPrEx>
          <w:tblLayout w:type="fixed"/>
          <w:tblCellMar>
            <w:top w:w="0" w:type="dxa"/>
            <w:left w:w="0" w:type="dxa"/>
            <w:bottom w:w="0" w:type="dxa"/>
            <w:right w:w="0" w:type="dxa"/>
          </w:tblCellMar>
        </w:tblPrEx>
        <w:trPr>
          <w:trHeight w:val="85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扫描功能</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扫描类型：平板式；扫描分辨率：高达300 x 300 dpi(ADF),高达1200 x 1200 dpi(平板)；高达300 x 300 dpi(彩色及单色ADF)，高达1200 x 1200 dpi(平板)；色彩深度：24位(彩色)；8位(单色)；</w:t>
            </w:r>
          </w:p>
        </w:tc>
      </w:tr>
      <w:tr>
        <w:tblPrEx>
          <w:tblLayout w:type="fixed"/>
          <w:tblCellMar>
            <w:top w:w="0" w:type="dxa"/>
            <w:left w:w="0" w:type="dxa"/>
            <w:bottom w:w="0" w:type="dxa"/>
            <w:right w:w="0" w:type="dxa"/>
          </w:tblCellMar>
        </w:tblPrEx>
        <w:trPr>
          <w:trHeight w:val="87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6</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复印功能</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复印分辨率：黑白(文本和图片)：高达600 x 600 dpi；彩色(文本和图片)：600 x 600 dpi；复印速度：黑白：高达21页/分钟；彩色：高达21页/分钟；</w:t>
            </w:r>
          </w:p>
        </w:tc>
      </w:tr>
      <w:tr>
        <w:tblPrEx>
          <w:tblLayout w:type="fixed"/>
          <w:tblCellMar>
            <w:top w:w="0" w:type="dxa"/>
            <w:left w:w="0" w:type="dxa"/>
            <w:bottom w:w="0" w:type="dxa"/>
            <w:right w:w="0" w:type="dxa"/>
          </w:tblCellMar>
        </w:tblPrEx>
        <w:trPr>
          <w:trHeight w:val="40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7</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传真功能</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传真分辨率：高达300 x 300 dpi</w:t>
            </w:r>
          </w:p>
        </w:tc>
      </w:tr>
      <w:tr>
        <w:tblPrEx>
          <w:tblLayout w:type="fixed"/>
          <w:tblCellMar>
            <w:top w:w="0" w:type="dxa"/>
            <w:left w:w="0" w:type="dxa"/>
            <w:bottom w:w="0" w:type="dxa"/>
            <w:right w:w="0" w:type="dxa"/>
          </w:tblCellMar>
        </w:tblPrEx>
        <w:trPr>
          <w:trHeight w:val="33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8</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网络功能</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有线网络接口：有；WiFi（无线）接口：有</w:t>
            </w:r>
          </w:p>
        </w:tc>
      </w:tr>
      <w:tr>
        <w:tblPrEx>
          <w:tblLayout w:type="fixed"/>
          <w:tblCellMar>
            <w:top w:w="0" w:type="dxa"/>
            <w:left w:w="0" w:type="dxa"/>
            <w:bottom w:w="0" w:type="dxa"/>
            <w:right w:w="0" w:type="dxa"/>
          </w:tblCellMar>
        </w:tblPrEx>
        <w:trPr>
          <w:trHeight w:val="115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9</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噪音水平</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lang w:bidi="ar"/>
              </w:rPr>
              <w:t>噪声功率：6.4 B(A)(单色)单面；6.3 B(A)(彩色)单面；6.3 B(A)(单色)双面；6.3 B(A)(彩色)双面；噪声功率(就绪)：2.6 B(A)；待机声压(打印)：50 dB(A)(单色)单面；50 dB(A)(彩色)单面；50 dB(A) (单色)双面；49dB(A)(彩色)双面；待机声压(就绪)：16 dB(A)</w:t>
            </w:r>
          </w:p>
        </w:tc>
      </w:tr>
    </w:tbl>
    <w:p/>
    <w:p/>
    <w:p>
      <w:pPr>
        <w:pStyle w:val="5"/>
        <w:keepNext w:val="0"/>
        <w:keepLines w:val="0"/>
        <w:tabs>
          <w:tab w:val="left" w:pos="900"/>
          <w:tab w:val="left" w:pos="1584"/>
        </w:tabs>
        <w:snapToGrid w:val="0"/>
        <w:spacing w:before="0" w:after="0" w:line="360" w:lineRule="auto"/>
        <w:ind w:left="1584" w:right="2" w:rightChars="1" w:hanging="1584"/>
        <w:rPr>
          <w:rFonts w:ascii="宋体" w:hAnsi="宋体" w:eastAsia="宋体" w:cs="宋体"/>
          <w:color w:val="000000"/>
          <w:sz w:val="22"/>
          <w:szCs w:val="22"/>
        </w:rPr>
      </w:pPr>
      <w:r>
        <w:rPr>
          <w:rFonts w:ascii="Times New Roman" w:hAnsi="Times New Roman" w:eastAsia="等线"/>
          <w:sz w:val="22"/>
          <w:szCs w:val="22"/>
        </w:rPr>
        <w:t>1.6.2</w:t>
      </w:r>
      <w:r>
        <w:rPr>
          <w:rFonts w:hint="eastAsia" w:ascii="宋体" w:hAnsi="宋体" w:eastAsia="宋体" w:cs="宋体"/>
          <w:color w:val="000000"/>
          <w:sz w:val="22"/>
          <w:szCs w:val="22"/>
        </w:rPr>
        <w:t>工作制度和施工要求、</w:t>
      </w:r>
    </w:p>
    <w:p>
      <w:pPr>
        <w:spacing w:line="360" w:lineRule="auto"/>
        <w:ind w:firstLine="454"/>
        <w:rPr>
          <w:rFonts w:ascii="宋体" w:hAnsi="宋体" w:cs="宋体"/>
          <w:color w:val="000000"/>
          <w:sz w:val="22"/>
        </w:rPr>
      </w:pPr>
      <w:r>
        <w:rPr>
          <w:rFonts w:hint="eastAsia" w:ascii="宋体" w:hAnsi="宋体" w:cs="宋体"/>
          <w:color w:val="000000"/>
          <w:sz w:val="22"/>
        </w:rPr>
        <w:t>杭州萧山国际机场工作制度为</w:t>
      </w:r>
      <w:r>
        <w:rPr>
          <w:rFonts w:ascii="宋体" w:hAnsi="宋体" w:cs="宋体"/>
          <w:color w:val="000000"/>
          <w:sz w:val="22"/>
        </w:rPr>
        <w:t>365</w:t>
      </w:r>
      <w:r>
        <w:rPr>
          <w:rFonts w:hint="eastAsia" w:ascii="宋体" w:hAnsi="宋体" w:cs="宋体"/>
          <w:color w:val="000000"/>
          <w:sz w:val="22"/>
        </w:rPr>
        <w:t>天∕</w:t>
      </w:r>
      <w:r>
        <w:rPr>
          <w:rFonts w:ascii="宋体" w:hAnsi="宋体" w:cs="宋体"/>
          <w:color w:val="000000"/>
          <w:sz w:val="22"/>
        </w:rPr>
        <w:t>24</w:t>
      </w:r>
      <w:r>
        <w:rPr>
          <w:rFonts w:hint="eastAsia" w:ascii="宋体" w:hAnsi="宋体" w:cs="宋体"/>
          <w:color w:val="000000"/>
          <w:sz w:val="22"/>
        </w:rPr>
        <w:t>小时。航站楼、机坪的施工时间为每天凌晨</w:t>
      </w:r>
      <w:r>
        <w:rPr>
          <w:rFonts w:ascii="宋体" w:hAnsi="宋体" w:cs="宋体"/>
          <w:color w:val="000000"/>
          <w:sz w:val="22"/>
        </w:rPr>
        <w:t>2</w:t>
      </w:r>
      <w:r>
        <w:rPr>
          <w:rFonts w:hint="eastAsia" w:ascii="宋体" w:hAnsi="宋体" w:cs="宋体"/>
          <w:color w:val="000000"/>
          <w:sz w:val="22"/>
        </w:rPr>
        <w:t>点至</w:t>
      </w:r>
      <w:r>
        <w:rPr>
          <w:rFonts w:ascii="宋体" w:hAnsi="宋体" w:cs="宋体"/>
          <w:color w:val="000000"/>
          <w:sz w:val="22"/>
        </w:rPr>
        <w:t>6</w:t>
      </w:r>
      <w:r>
        <w:rPr>
          <w:rFonts w:hint="eastAsia" w:ascii="宋体" w:hAnsi="宋体" w:cs="宋体"/>
          <w:color w:val="000000"/>
          <w:sz w:val="22"/>
        </w:rPr>
        <w:t>点。</w:t>
      </w:r>
    </w:p>
    <w:p>
      <w:pPr>
        <w:spacing w:line="360" w:lineRule="auto"/>
        <w:ind w:firstLine="440" w:firstLineChars="200"/>
        <w:rPr>
          <w:rFonts w:ascii="宋体" w:hAnsi="宋体" w:cs="宋体"/>
          <w:color w:val="000000"/>
          <w:sz w:val="22"/>
        </w:rPr>
      </w:pPr>
      <w:r>
        <w:rPr>
          <w:rFonts w:hint="eastAsia" w:ascii="宋体" w:hAnsi="宋体" w:cs="宋体"/>
          <w:color w:val="000000"/>
          <w:sz w:val="22"/>
        </w:rPr>
        <w:t>由于本工程施工地点为信息大楼、空管塔台、厦航办公大楼等，涉及重点部位，施工必须严格遵守民航局及杭州萧山国际机场不停航施工管理规定，所采用的任务设备、仪器和施工工艺不得对机场安全运行造成影响。所以，投标人应充分重视施工中的工程管理和施工组织，并充分考虑由此给施工带来的困难。</w:t>
      </w:r>
    </w:p>
    <w:p>
      <w:pPr>
        <w:spacing w:line="360" w:lineRule="auto"/>
        <w:ind w:firstLine="440" w:firstLineChars="200"/>
        <w:rPr>
          <w:rFonts w:ascii="宋体" w:hAnsi="宋体" w:cs="宋体"/>
          <w:color w:val="000000"/>
          <w:sz w:val="22"/>
        </w:rPr>
      </w:pPr>
      <w:r>
        <w:rPr>
          <w:rFonts w:hint="eastAsia" w:ascii="宋体" w:hAnsi="宋体" w:cs="宋体"/>
          <w:color w:val="000000"/>
          <w:sz w:val="22"/>
        </w:rPr>
        <w:t>施工道路：所有人员必须按招标人指定的进出场路口进出，并不得违反。</w:t>
      </w:r>
    </w:p>
    <w:p>
      <w:pPr>
        <w:spacing w:line="360" w:lineRule="auto"/>
        <w:ind w:firstLine="440" w:firstLineChars="200"/>
        <w:rPr>
          <w:rFonts w:ascii="宋体" w:hAnsi="宋体" w:cs="宋体"/>
          <w:color w:val="000000"/>
          <w:sz w:val="22"/>
        </w:rPr>
      </w:pPr>
      <w:r>
        <w:rPr>
          <w:rFonts w:hint="eastAsia" w:ascii="宋体" w:hAnsi="宋体" w:cs="宋体"/>
          <w:color w:val="000000"/>
          <w:sz w:val="22"/>
        </w:rPr>
        <w:t>施工临时设施：报价人根据现场情况及招标文件要求，综合考虑施工生产临时设施</w:t>
      </w:r>
      <w:r>
        <w:rPr>
          <w:rFonts w:ascii="宋体" w:hAnsi="宋体" w:cs="宋体"/>
          <w:color w:val="000000"/>
          <w:sz w:val="22"/>
        </w:rPr>
        <w:t>(</w:t>
      </w:r>
      <w:r>
        <w:rPr>
          <w:rFonts w:hint="eastAsia" w:ascii="宋体" w:hAnsi="宋体" w:cs="宋体"/>
          <w:color w:val="000000"/>
          <w:sz w:val="22"/>
        </w:rPr>
        <w:t>包括仓库、料场</w:t>
      </w:r>
      <w:r>
        <w:rPr>
          <w:rFonts w:ascii="宋体" w:hAnsi="宋体" w:cs="宋体"/>
          <w:color w:val="000000"/>
          <w:sz w:val="22"/>
        </w:rPr>
        <w:t>)</w:t>
      </w:r>
      <w:r>
        <w:rPr>
          <w:rFonts w:hint="eastAsia" w:ascii="宋体" w:hAnsi="宋体" w:cs="宋体"/>
          <w:color w:val="000000"/>
          <w:sz w:val="22"/>
        </w:rPr>
        <w:t>。所有的施工生产临时设施的方案需经招标人批准后方可实施。</w:t>
      </w:r>
    </w:p>
    <w:p>
      <w:pPr>
        <w:spacing w:line="360" w:lineRule="auto"/>
        <w:rPr>
          <w:rFonts w:ascii="宋体" w:hAnsi="宋体" w:cs="宋体"/>
          <w:b/>
          <w:color w:val="000000"/>
          <w:kern w:val="0"/>
          <w:sz w:val="22"/>
        </w:rPr>
      </w:pPr>
      <w:r>
        <w:rPr>
          <w:rFonts w:ascii="Times New Roman" w:hAnsi="Times New Roman"/>
          <w:b/>
          <w:bCs/>
          <w:kern w:val="0"/>
          <w:sz w:val="22"/>
          <w:szCs w:val="22"/>
        </w:rPr>
        <w:t>1.6.2.1</w:t>
      </w:r>
      <w:r>
        <w:rPr>
          <w:rFonts w:hint="eastAsia" w:ascii="宋体" w:hAnsi="宋体" w:cs="宋体"/>
          <w:b/>
          <w:color w:val="000000"/>
          <w:kern w:val="0"/>
          <w:sz w:val="22"/>
        </w:rPr>
        <w:t>线缆敷设</w:t>
      </w:r>
    </w:p>
    <w:p>
      <w:pPr>
        <w:pStyle w:val="6"/>
        <w:keepNext w:val="0"/>
        <w:keepLines w:val="0"/>
        <w:numPr>
          <w:ilvl w:val="0"/>
          <w:numId w:val="6"/>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所有弱电管路、线槽（或桥架）及弱电终端设备施工、安装均应按相应弱电规范要求与强电保持足够的间距。</w:t>
      </w:r>
    </w:p>
    <w:p>
      <w:pPr>
        <w:pStyle w:val="6"/>
        <w:keepNext w:val="0"/>
        <w:keepLines w:val="0"/>
        <w:numPr>
          <w:ilvl w:val="0"/>
          <w:numId w:val="6"/>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平面图中由弱电井引出的管路、线槽均按弱电井详图对应系统位置整齐连接到位。</w:t>
      </w:r>
    </w:p>
    <w:p>
      <w:pPr>
        <w:pStyle w:val="6"/>
        <w:keepNext w:val="0"/>
        <w:keepLines w:val="0"/>
        <w:numPr>
          <w:ilvl w:val="0"/>
          <w:numId w:val="6"/>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施工中遇管线过长</w:t>
      </w:r>
      <w:r>
        <w:rPr>
          <w:rFonts w:ascii="宋体" w:hAnsi="宋体"/>
          <w:b w:val="0"/>
          <w:bCs w:val="0"/>
          <w:color w:val="000000"/>
          <w:sz w:val="22"/>
          <w:szCs w:val="22"/>
        </w:rPr>
        <w:t>,</w:t>
      </w:r>
      <w:r>
        <w:rPr>
          <w:rFonts w:hint="eastAsia" w:ascii="宋体" w:hAnsi="宋体"/>
          <w:b w:val="0"/>
          <w:bCs w:val="0"/>
          <w:color w:val="000000"/>
          <w:sz w:val="22"/>
          <w:szCs w:val="22"/>
        </w:rPr>
        <w:t>须加中间过路盒</w:t>
      </w:r>
      <w:r>
        <w:rPr>
          <w:rFonts w:ascii="宋体" w:hAnsi="宋体"/>
          <w:b w:val="0"/>
          <w:bCs w:val="0"/>
          <w:color w:val="000000"/>
          <w:sz w:val="22"/>
          <w:szCs w:val="22"/>
        </w:rPr>
        <w:t>,</w:t>
      </w:r>
      <w:r>
        <w:rPr>
          <w:rFonts w:hint="eastAsia" w:ascii="宋体" w:hAnsi="宋体"/>
          <w:b w:val="0"/>
          <w:bCs w:val="0"/>
          <w:color w:val="000000"/>
          <w:sz w:val="22"/>
          <w:szCs w:val="22"/>
        </w:rPr>
        <w:t>图中未注明处须按施工规范施工。</w:t>
      </w:r>
    </w:p>
    <w:p>
      <w:pPr>
        <w:pStyle w:val="6"/>
        <w:keepNext w:val="0"/>
        <w:keepLines w:val="0"/>
        <w:numPr>
          <w:ilvl w:val="0"/>
          <w:numId w:val="6"/>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所有穿越防火分区的管、槽施工完毕后需做防火封堵处理。</w:t>
      </w:r>
    </w:p>
    <w:p>
      <w:pPr>
        <w:pStyle w:val="6"/>
        <w:keepNext w:val="0"/>
        <w:keepLines w:val="0"/>
        <w:numPr>
          <w:ilvl w:val="0"/>
          <w:numId w:val="6"/>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所有弱电管路、线槽在相应设备未到位时，仅埋（敷）管路。</w:t>
      </w:r>
    </w:p>
    <w:p>
      <w:pPr>
        <w:pStyle w:val="6"/>
        <w:keepNext w:val="0"/>
        <w:keepLines w:val="0"/>
        <w:numPr>
          <w:ilvl w:val="0"/>
          <w:numId w:val="6"/>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电线暗配管保护层应沿最近的路线敷设并减少弯曲。与建筑物、构筑物表面的距离不应小于</w:t>
      </w:r>
      <w:r>
        <w:rPr>
          <w:rFonts w:ascii="宋体" w:hAnsi="宋体"/>
          <w:b w:val="0"/>
          <w:bCs w:val="0"/>
          <w:color w:val="000000"/>
          <w:sz w:val="22"/>
          <w:szCs w:val="22"/>
        </w:rPr>
        <w:t>150mm</w:t>
      </w:r>
      <w:r>
        <w:rPr>
          <w:rFonts w:hint="eastAsia" w:ascii="宋体" w:hAnsi="宋体"/>
          <w:b w:val="0"/>
          <w:bCs w:val="0"/>
          <w:color w:val="000000"/>
          <w:sz w:val="22"/>
          <w:szCs w:val="22"/>
        </w:rPr>
        <w:t>。</w:t>
      </w:r>
    </w:p>
    <w:p>
      <w:pPr>
        <w:pStyle w:val="6"/>
        <w:keepNext w:val="0"/>
        <w:keepLines w:val="0"/>
        <w:numPr>
          <w:ilvl w:val="0"/>
          <w:numId w:val="6"/>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弯曲处，不应有折皱、凹陷和裂缝，且弯扁程度不应大于管外径的</w:t>
      </w:r>
      <w:r>
        <w:rPr>
          <w:rFonts w:ascii="宋体" w:hAnsi="宋体"/>
          <w:b w:val="0"/>
          <w:bCs w:val="0"/>
          <w:color w:val="000000"/>
          <w:sz w:val="22"/>
          <w:szCs w:val="22"/>
        </w:rPr>
        <w:t>10%</w:t>
      </w:r>
      <w:r>
        <w:rPr>
          <w:rFonts w:hint="eastAsia" w:ascii="宋体" w:hAnsi="宋体"/>
          <w:b w:val="0"/>
          <w:bCs w:val="0"/>
          <w:color w:val="000000"/>
          <w:sz w:val="22"/>
          <w:szCs w:val="22"/>
        </w:rPr>
        <w:t>。</w:t>
      </w:r>
    </w:p>
    <w:p>
      <w:pPr>
        <w:pStyle w:val="6"/>
        <w:keepNext w:val="0"/>
        <w:keepLines w:val="0"/>
        <w:numPr>
          <w:ilvl w:val="0"/>
          <w:numId w:val="6"/>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暗配管的弯曲半径应符合下列规定：弯曲半径不应小于管外径的</w:t>
      </w:r>
      <w:r>
        <w:rPr>
          <w:rFonts w:ascii="宋体" w:hAnsi="宋体"/>
          <w:b w:val="0"/>
          <w:bCs w:val="0"/>
          <w:color w:val="000000"/>
          <w:sz w:val="22"/>
          <w:szCs w:val="22"/>
        </w:rPr>
        <w:t>6</w:t>
      </w:r>
      <w:r>
        <w:rPr>
          <w:rFonts w:hint="eastAsia" w:ascii="宋体" w:hAnsi="宋体"/>
          <w:b w:val="0"/>
          <w:bCs w:val="0"/>
          <w:color w:val="000000"/>
          <w:sz w:val="22"/>
          <w:szCs w:val="22"/>
        </w:rPr>
        <w:t>倍，当埋设砼内时，其弯曲半径不应小于管外径的</w:t>
      </w:r>
      <w:r>
        <w:rPr>
          <w:rFonts w:ascii="宋体" w:hAnsi="宋体"/>
          <w:b w:val="0"/>
          <w:bCs w:val="0"/>
          <w:color w:val="000000"/>
          <w:sz w:val="22"/>
          <w:szCs w:val="22"/>
        </w:rPr>
        <w:t>10</w:t>
      </w:r>
      <w:r>
        <w:rPr>
          <w:rFonts w:hint="eastAsia" w:ascii="宋体" w:hAnsi="宋体"/>
          <w:b w:val="0"/>
          <w:bCs w:val="0"/>
          <w:color w:val="000000"/>
          <w:sz w:val="22"/>
          <w:szCs w:val="22"/>
        </w:rPr>
        <w:t>倍。</w:t>
      </w:r>
    </w:p>
    <w:p>
      <w:pPr>
        <w:pStyle w:val="6"/>
        <w:keepNext w:val="0"/>
        <w:keepLines w:val="0"/>
        <w:numPr>
          <w:ilvl w:val="0"/>
          <w:numId w:val="6"/>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当暗配管遇以下情况之一时，中间应增设接线盒，且接线盒的位置应便于穿线</w:t>
      </w:r>
      <w:r>
        <w:rPr>
          <w:rFonts w:ascii="宋体" w:hAnsi="宋体"/>
          <w:b w:val="0"/>
          <w:bCs w:val="0"/>
          <w:color w:val="000000"/>
          <w:sz w:val="22"/>
          <w:szCs w:val="22"/>
        </w:rPr>
        <w:t>:</w:t>
      </w:r>
      <w:r>
        <w:rPr>
          <w:rFonts w:hint="eastAsia" w:ascii="宋体" w:hAnsi="宋体"/>
          <w:b w:val="0"/>
          <w:bCs w:val="0"/>
          <w:color w:val="000000"/>
          <w:sz w:val="22"/>
          <w:szCs w:val="22"/>
        </w:rPr>
        <w:t>管长度每超过</w:t>
      </w:r>
      <w:r>
        <w:rPr>
          <w:rFonts w:ascii="宋体" w:hAnsi="宋体"/>
          <w:b w:val="0"/>
          <w:bCs w:val="0"/>
          <w:color w:val="000000"/>
          <w:sz w:val="22"/>
          <w:szCs w:val="22"/>
        </w:rPr>
        <w:t>30m</w:t>
      </w:r>
      <w:r>
        <w:rPr>
          <w:rFonts w:hint="eastAsia" w:ascii="宋体" w:hAnsi="宋体"/>
          <w:b w:val="0"/>
          <w:bCs w:val="0"/>
          <w:color w:val="000000"/>
          <w:sz w:val="22"/>
          <w:szCs w:val="22"/>
        </w:rPr>
        <w:t>，</w:t>
      </w:r>
    </w:p>
    <w:p>
      <w:pPr>
        <w:pStyle w:val="6"/>
        <w:keepNext w:val="0"/>
        <w:keepLines w:val="0"/>
        <w:numPr>
          <w:ilvl w:val="0"/>
          <w:numId w:val="6"/>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无弯曲；管长度每超过</w:t>
      </w:r>
      <w:r>
        <w:rPr>
          <w:rFonts w:ascii="宋体" w:hAnsi="宋体"/>
          <w:b w:val="0"/>
          <w:bCs w:val="0"/>
          <w:color w:val="000000"/>
          <w:sz w:val="22"/>
          <w:szCs w:val="22"/>
        </w:rPr>
        <w:t>20m</w:t>
      </w:r>
      <w:r>
        <w:rPr>
          <w:rFonts w:hint="eastAsia" w:ascii="宋体" w:hAnsi="宋体"/>
          <w:b w:val="0"/>
          <w:bCs w:val="0"/>
          <w:color w:val="000000"/>
          <w:sz w:val="22"/>
          <w:szCs w:val="22"/>
        </w:rPr>
        <w:t>，有一个弯曲；管长度每超过</w:t>
      </w:r>
      <w:r>
        <w:rPr>
          <w:rFonts w:ascii="宋体" w:hAnsi="宋体"/>
          <w:b w:val="0"/>
          <w:bCs w:val="0"/>
          <w:color w:val="000000"/>
          <w:sz w:val="22"/>
          <w:szCs w:val="22"/>
        </w:rPr>
        <w:t>15m</w:t>
      </w:r>
      <w:r>
        <w:rPr>
          <w:rFonts w:hint="eastAsia" w:ascii="宋体" w:hAnsi="宋体"/>
          <w:b w:val="0"/>
          <w:bCs w:val="0"/>
          <w:color w:val="000000"/>
          <w:sz w:val="22"/>
          <w:szCs w:val="22"/>
        </w:rPr>
        <w:t>，有二个弯曲；管长度每超过</w:t>
      </w:r>
      <w:r>
        <w:rPr>
          <w:rFonts w:ascii="宋体" w:hAnsi="宋体"/>
          <w:b w:val="0"/>
          <w:bCs w:val="0"/>
          <w:color w:val="000000"/>
          <w:sz w:val="22"/>
          <w:szCs w:val="22"/>
        </w:rPr>
        <w:t>8m</w:t>
      </w:r>
      <w:r>
        <w:rPr>
          <w:rFonts w:hint="eastAsia" w:ascii="宋体" w:hAnsi="宋体"/>
          <w:b w:val="0"/>
          <w:bCs w:val="0"/>
          <w:color w:val="000000"/>
          <w:sz w:val="22"/>
          <w:szCs w:val="22"/>
        </w:rPr>
        <w:t>，有三个弯曲。</w:t>
      </w:r>
    </w:p>
    <w:p>
      <w:pPr>
        <w:pStyle w:val="6"/>
        <w:keepNext w:val="0"/>
        <w:keepLines w:val="0"/>
        <w:numPr>
          <w:ilvl w:val="0"/>
          <w:numId w:val="6"/>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管口应平整，光滑；接口应牢固密封。</w:t>
      </w:r>
    </w:p>
    <w:p>
      <w:pPr>
        <w:pStyle w:val="6"/>
        <w:keepNext w:val="0"/>
        <w:keepLines w:val="0"/>
        <w:numPr>
          <w:ilvl w:val="0"/>
          <w:numId w:val="6"/>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敷设多条线缆的位置应用扎线带绑扎，并做出标识。扎线带应保持相应间距，线缆扎线带的绑扎不能太紧以免影响线缆的使用。所有线缆必须单独标签，线缆的两端及中途可为人接触的地方须加上标签，标签应清晰、耐用。</w:t>
      </w:r>
    </w:p>
    <w:p>
      <w:pPr>
        <w:pStyle w:val="6"/>
        <w:keepNext w:val="0"/>
        <w:keepLines w:val="0"/>
        <w:numPr>
          <w:ilvl w:val="0"/>
          <w:numId w:val="6"/>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机柜、控制台内的线缆应排列整齐，并绑扎在机柜内的布线槽内，同时做出标识。线缆的敷设不得影响机柜门的开启或关闭、设备的更换</w:t>
      </w:r>
    </w:p>
    <w:p>
      <w:pPr>
        <w:pStyle w:val="6"/>
        <w:keepNext w:val="0"/>
        <w:keepLines w:val="0"/>
        <w:numPr>
          <w:ilvl w:val="0"/>
          <w:numId w:val="6"/>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线缆的排列应避免交叉。线缆布放时长度应有冗余。在前端设备安装位置、设备间的铜缆的预留长度一般为</w:t>
      </w:r>
      <w:r>
        <w:rPr>
          <w:rFonts w:ascii="宋体" w:hAnsi="宋体"/>
          <w:b w:val="0"/>
          <w:bCs w:val="0"/>
          <w:color w:val="000000"/>
          <w:sz w:val="22"/>
          <w:szCs w:val="22"/>
        </w:rPr>
        <w:t>1m</w:t>
      </w:r>
      <w:r>
        <w:rPr>
          <w:rFonts w:hint="eastAsia" w:ascii="宋体" w:hAnsi="宋体"/>
          <w:b w:val="0"/>
          <w:bCs w:val="0"/>
          <w:color w:val="000000"/>
          <w:sz w:val="22"/>
          <w:szCs w:val="22"/>
        </w:rPr>
        <w:t>～</w:t>
      </w:r>
      <w:r>
        <w:rPr>
          <w:rFonts w:ascii="宋体" w:hAnsi="宋体"/>
          <w:b w:val="0"/>
          <w:bCs w:val="0"/>
          <w:color w:val="000000"/>
          <w:sz w:val="22"/>
          <w:szCs w:val="22"/>
        </w:rPr>
        <w:t>2m</w:t>
      </w:r>
      <w:r>
        <w:rPr>
          <w:rFonts w:hint="eastAsia" w:ascii="宋体" w:hAnsi="宋体"/>
          <w:b w:val="0"/>
          <w:bCs w:val="0"/>
          <w:color w:val="000000"/>
          <w:sz w:val="22"/>
          <w:szCs w:val="22"/>
        </w:rPr>
        <w:t>，光缆在设备端预留长度至少为</w:t>
      </w:r>
      <w:r>
        <w:rPr>
          <w:rFonts w:ascii="宋体" w:hAnsi="宋体"/>
          <w:b w:val="0"/>
          <w:bCs w:val="0"/>
          <w:color w:val="000000"/>
          <w:sz w:val="22"/>
          <w:szCs w:val="22"/>
        </w:rPr>
        <w:t>5m</w:t>
      </w:r>
      <w:r>
        <w:rPr>
          <w:rFonts w:hint="eastAsia" w:ascii="宋体" w:hAnsi="宋体"/>
          <w:b w:val="0"/>
          <w:bCs w:val="0"/>
          <w:color w:val="000000"/>
          <w:sz w:val="22"/>
          <w:szCs w:val="22"/>
        </w:rPr>
        <w:t>。有特殊要求的应按设计要求预留长度。</w:t>
      </w:r>
    </w:p>
    <w:p>
      <w:pPr>
        <w:pStyle w:val="6"/>
        <w:keepNext w:val="0"/>
        <w:keepLines w:val="0"/>
        <w:numPr>
          <w:ilvl w:val="0"/>
          <w:numId w:val="6"/>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除非已进入设备机柜，所有线缆必须放置于线槽、线管内，不得外露。线管的接续必须按照工艺标准视现场情况使用压接接头和过线盒。</w:t>
      </w:r>
    </w:p>
    <w:p>
      <w:pPr>
        <w:pStyle w:val="6"/>
        <w:keepNext w:val="0"/>
        <w:keepLines w:val="0"/>
        <w:numPr>
          <w:ilvl w:val="0"/>
          <w:numId w:val="6"/>
        </w:numPr>
        <w:tabs>
          <w:tab w:val="left" w:pos="720"/>
          <w:tab w:val="left" w:pos="1080"/>
          <w:tab w:val="left" w:pos="1968"/>
        </w:tabs>
        <w:adjustRightInd w:val="0"/>
        <w:snapToGrid w:val="0"/>
        <w:spacing w:before="0" w:after="0" w:line="360" w:lineRule="auto"/>
        <w:ind w:right="2" w:rightChars="1"/>
        <w:rPr>
          <w:rFonts w:ascii="宋体" w:hAnsi="宋体"/>
          <w:b w:val="0"/>
          <w:bCs w:val="0"/>
          <w:color w:val="000000"/>
          <w:sz w:val="22"/>
          <w:szCs w:val="22"/>
        </w:rPr>
      </w:pPr>
      <w:r>
        <w:rPr>
          <w:rFonts w:hint="eastAsia" w:ascii="宋体" w:hAnsi="宋体"/>
          <w:b w:val="0"/>
          <w:bCs w:val="0"/>
          <w:color w:val="000000"/>
          <w:sz w:val="22"/>
          <w:szCs w:val="22"/>
        </w:rPr>
        <w:t>所有管路应做接地处理。</w:t>
      </w:r>
      <w:bookmarkStart w:id="291" w:name="_Toc119378502"/>
      <w:bookmarkStart w:id="292" w:name="_Toc118771464"/>
      <w:bookmarkStart w:id="293" w:name="_Toc124561192"/>
      <w:bookmarkStart w:id="294" w:name="_Toc392056822"/>
      <w:bookmarkStart w:id="295" w:name="_Toc119378314"/>
      <w:bookmarkStart w:id="296" w:name="_Toc123028558"/>
      <w:bookmarkStart w:id="297" w:name="_Toc119504328"/>
      <w:bookmarkStart w:id="298" w:name="_Toc107586453"/>
      <w:bookmarkStart w:id="299" w:name="_Toc214178012"/>
      <w:bookmarkStart w:id="300" w:name="_Toc119258153"/>
      <w:bookmarkStart w:id="301" w:name="_Toc122958957"/>
      <w:bookmarkStart w:id="302" w:name="_Toc127347671"/>
      <w:bookmarkStart w:id="303" w:name="_Toc118214040"/>
    </w:p>
    <w:p>
      <w:pPr>
        <w:pStyle w:val="3"/>
        <w:keepNext w:val="0"/>
        <w:keepLines w:val="0"/>
        <w:tabs>
          <w:tab w:val="left" w:pos="576"/>
        </w:tabs>
        <w:spacing w:before="0" w:after="0"/>
        <w:ind w:left="576" w:hanging="576"/>
        <w:jc w:val="both"/>
        <w:rPr>
          <w:rFonts w:ascii="宋体" w:hAnsi="宋体"/>
          <w:color w:val="000000"/>
          <w:sz w:val="30"/>
          <w:szCs w:val="30"/>
        </w:rPr>
      </w:pPr>
      <w:r>
        <w:rPr>
          <w:rFonts w:ascii="Times New Roman" w:hAnsi="Times New Roman"/>
          <w:sz w:val="22"/>
          <w:szCs w:val="22"/>
        </w:rPr>
        <w:t>1.7</w:t>
      </w:r>
      <w:r>
        <w:rPr>
          <w:rFonts w:hint="eastAsia" w:ascii="宋体" w:hAnsi="宋体" w:cs="宋体"/>
          <w:color w:val="000000"/>
          <w:sz w:val="30"/>
          <w:szCs w:val="30"/>
        </w:rPr>
        <w:t>合同签订后的工作任务及要求</w:t>
      </w:r>
      <w:bookmarkEnd w:id="291"/>
      <w:bookmarkEnd w:id="292"/>
      <w:bookmarkEnd w:id="293"/>
      <w:bookmarkEnd w:id="294"/>
      <w:bookmarkEnd w:id="295"/>
      <w:bookmarkEnd w:id="296"/>
      <w:bookmarkEnd w:id="297"/>
      <w:bookmarkEnd w:id="298"/>
      <w:bookmarkEnd w:id="299"/>
      <w:bookmarkEnd w:id="300"/>
      <w:bookmarkEnd w:id="301"/>
      <w:bookmarkEnd w:id="302"/>
      <w:bookmarkEnd w:id="303"/>
    </w:p>
    <w:p>
      <w:pPr>
        <w:pStyle w:val="4"/>
        <w:keepNext w:val="0"/>
        <w:numPr>
          <w:ilvl w:val="0"/>
          <w:numId w:val="0"/>
        </w:numPr>
        <w:tabs>
          <w:tab w:val="left" w:pos="720"/>
        </w:tabs>
        <w:snapToGrid w:val="0"/>
        <w:spacing w:line="360" w:lineRule="auto"/>
        <w:ind w:right="2" w:rightChars="1"/>
        <w:rPr>
          <w:rFonts w:hAnsi="宋体"/>
          <w:bCs/>
          <w:color w:val="000000"/>
          <w:sz w:val="22"/>
          <w:szCs w:val="22"/>
        </w:rPr>
      </w:pPr>
      <w:r>
        <w:rPr>
          <w:rFonts w:ascii="Times New Roman"/>
          <w:bCs/>
          <w:sz w:val="22"/>
          <w:szCs w:val="22"/>
        </w:rPr>
        <w:t>1.7.1</w:t>
      </w:r>
      <w:r>
        <w:rPr>
          <w:rFonts w:hint="eastAsia" w:hAnsi="宋体" w:cs="宋体"/>
          <w:bCs/>
          <w:color w:val="000000"/>
          <w:sz w:val="22"/>
          <w:szCs w:val="22"/>
        </w:rPr>
        <w:t>资料管理要求</w:t>
      </w:r>
    </w:p>
    <w:p>
      <w:pPr>
        <w:pStyle w:val="5"/>
        <w:keepNext w:val="0"/>
        <w:keepLines w:val="0"/>
        <w:tabs>
          <w:tab w:val="left" w:pos="840"/>
          <w:tab w:val="left" w:pos="900"/>
          <w:tab w:val="left" w:pos="1584"/>
        </w:tabs>
        <w:snapToGrid w:val="0"/>
        <w:spacing w:before="0" w:after="0" w:line="360" w:lineRule="auto"/>
        <w:ind w:left="840" w:right="2" w:rightChars="1" w:hanging="840"/>
        <w:rPr>
          <w:rFonts w:ascii="宋体" w:hAnsi="宋体" w:eastAsia="宋体" w:cs="宋体"/>
          <w:b w:val="0"/>
          <w:color w:val="000000"/>
          <w:sz w:val="22"/>
          <w:szCs w:val="22"/>
        </w:rPr>
      </w:pPr>
      <w:r>
        <w:rPr>
          <w:rFonts w:ascii="Times New Roman" w:hAnsi="Times New Roman" w:eastAsia="等线"/>
          <w:sz w:val="22"/>
          <w:szCs w:val="22"/>
        </w:rPr>
        <w:t>1.7.1.1</w:t>
      </w:r>
      <w:r>
        <w:rPr>
          <w:rFonts w:hint="eastAsia" w:ascii="宋体" w:hAnsi="宋体" w:eastAsia="宋体" w:cs="宋体"/>
          <w:b w:val="0"/>
          <w:color w:val="000000"/>
          <w:kern w:val="2"/>
          <w:sz w:val="22"/>
          <w:szCs w:val="22"/>
        </w:rPr>
        <w:t>提供的资料以中文为准，资料提交包括但不限于资料提交汇总表的内容。</w:t>
      </w:r>
    </w:p>
    <w:p>
      <w:pPr>
        <w:pStyle w:val="5"/>
        <w:keepNext w:val="0"/>
        <w:keepLines w:val="0"/>
        <w:tabs>
          <w:tab w:val="left" w:pos="840"/>
          <w:tab w:val="left" w:pos="900"/>
          <w:tab w:val="left" w:pos="1584"/>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1.7.1.2</w:t>
      </w:r>
      <w:r>
        <w:rPr>
          <w:rFonts w:hint="eastAsia" w:ascii="宋体" w:hAnsi="宋体" w:eastAsia="宋体" w:cs="宋体"/>
          <w:b w:val="0"/>
          <w:color w:val="000000"/>
          <w:kern w:val="2"/>
          <w:sz w:val="22"/>
          <w:szCs w:val="22"/>
        </w:rPr>
        <w:t>项目资料管理必须包括需求整理及确认、深化设计、开发、试验室测试、现场安装调试、现场测试、验收、技术培训等、文档、竣工资料等的编制、提交、存档等。</w:t>
      </w:r>
      <w:r>
        <w:rPr>
          <w:rFonts w:ascii="宋体" w:hAnsi="宋体" w:eastAsia="宋体" w:cs="宋体"/>
          <w:b w:val="0"/>
          <w:color w:val="000000"/>
          <w:kern w:val="2"/>
          <w:sz w:val="22"/>
          <w:szCs w:val="22"/>
        </w:rPr>
        <w:t xml:space="preserve"> </w:t>
      </w:r>
    </w:p>
    <w:p>
      <w:pPr>
        <w:pStyle w:val="3"/>
        <w:keepNext w:val="0"/>
        <w:keepLines w:val="0"/>
        <w:tabs>
          <w:tab w:val="left" w:pos="576"/>
        </w:tabs>
        <w:snapToGrid w:val="0"/>
        <w:spacing w:before="0" w:after="0"/>
        <w:ind w:left="576" w:right="2" w:rightChars="1" w:hanging="576"/>
        <w:jc w:val="both"/>
        <w:rPr>
          <w:rFonts w:ascii="宋体" w:hAnsi="宋体"/>
          <w:color w:val="000000"/>
          <w:sz w:val="22"/>
          <w:szCs w:val="22"/>
        </w:rPr>
      </w:pPr>
      <w:bookmarkStart w:id="304" w:name="_Toc124561198"/>
      <w:bookmarkStart w:id="305" w:name="_Toc122958963"/>
      <w:bookmarkStart w:id="306" w:name="_Toc123028564"/>
      <w:bookmarkStart w:id="307" w:name="_Toc127347677"/>
      <w:bookmarkStart w:id="308" w:name="_Toc121826436"/>
      <w:bookmarkStart w:id="309" w:name="_Toc392056827"/>
      <w:bookmarkStart w:id="310" w:name="_Toc214178018"/>
      <w:r>
        <w:rPr>
          <w:rFonts w:ascii="Times New Roman" w:hAnsi="Times New Roman"/>
          <w:sz w:val="22"/>
          <w:szCs w:val="22"/>
        </w:rPr>
        <w:t>1.7.4</w:t>
      </w:r>
      <w:r>
        <w:rPr>
          <w:rFonts w:hint="eastAsia" w:ascii="宋体" w:hAnsi="宋体" w:cs="宋体"/>
          <w:color w:val="000000"/>
          <w:sz w:val="22"/>
          <w:szCs w:val="22"/>
        </w:rPr>
        <w:t>设备及产品运输包装、到货开箱及仓储</w:t>
      </w:r>
      <w:bookmarkEnd w:id="304"/>
      <w:bookmarkEnd w:id="305"/>
      <w:bookmarkEnd w:id="306"/>
      <w:bookmarkEnd w:id="307"/>
      <w:bookmarkEnd w:id="308"/>
      <w:bookmarkEnd w:id="309"/>
      <w:bookmarkEnd w:id="310"/>
    </w:p>
    <w:p>
      <w:pPr>
        <w:pStyle w:val="4"/>
        <w:keepNext w:val="0"/>
        <w:numPr>
          <w:ilvl w:val="0"/>
          <w:numId w:val="0"/>
        </w:numPr>
        <w:tabs>
          <w:tab w:val="left" w:pos="720"/>
        </w:tabs>
        <w:snapToGrid w:val="0"/>
        <w:spacing w:line="360" w:lineRule="auto"/>
        <w:ind w:right="2" w:rightChars="1"/>
        <w:rPr>
          <w:rFonts w:hAnsi="宋体" w:cs="宋体"/>
          <w:b w:val="0"/>
          <w:color w:val="000000"/>
          <w:kern w:val="2"/>
          <w:sz w:val="22"/>
          <w:szCs w:val="22"/>
        </w:rPr>
      </w:pPr>
      <w:r>
        <w:rPr>
          <w:rFonts w:ascii="Times New Roman"/>
          <w:bCs/>
          <w:sz w:val="22"/>
          <w:szCs w:val="22"/>
        </w:rPr>
        <w:t>1.7.4.1</w:t>
      </w:r>
      <w:r>
        <w:rPr>
          <w:rFonts w:hint="eastAsia" w:hAnsi="宋体" w:cs="宋体"/>
          <w:b w:val="0"/>
          <w:color w:val="000000"/>
          <w:kern w:val="2"/>
          <w:sz w:val="22"/>
          <w:szCs w:val="22"/>
        </w:rPr>
        <w:t>投标人所提供的产品须为原厂包装，并予以保护以防由于多次搬运、天气及其它原因而造成损坏。</w:t>
      </w:r>
    </w:p>
    <w:p>
      <w:pPr>
        <w:pStyle w:val="4"/>
        <w:keepNext w:val="0"/>
        <w:numPr>
          <w:ilvl w:val="0"/>
          <w:numId w:val="0"/>
        </w:numPr>
        <w:tabs>
          <w:tab w:val="left" w:pos="720"/>
        </w:tabs>
        <w:snapToGrid w:val="0"/>
        <w:spacing w:line="360" w:lineRule="auto"/>
        <w:rPr>
          <w:rFonts w:hAnsi="宋体" w:cs="宋体"/>
          <w:b w:val="0"/>
          <w:color w:val="000000"/>
          <w:kern w:val="2"/>
          <w:sz w:val="22"/>
          <w:szCs w:val="22"/>
        </w:rPr>
      </w:pPr>
      <w:r>
        <w:rPr>
          <w:rFonts w:ascii="Times New Roman"/>
          <w:bCs/>
          <w:sz w:val="22"/>
          <w:szCs w:val="22"/>
        </w:rPr>
        <w:t>1.7.4.2</w:t>
      </w:r>
      <w:r>
        <w:rPr>
          <w:rFonts w:hint="eastAsia" w:hAnsi="宋体" w:cs="宋体"/>
          <w:b w:val="0"/>
          <w:color w:val="000000"/>
          <w:kern w:val="2"/>
          <w:sz w:val="22"/>
          <w:szCs w:val="22"/>
        </w:rPr>
        <w:t>所有货物必须放在发包人确认或指定的仓储区域，所有因此产生的仓储、运输、保险等费用由投标人承担。</w:t>
      </w:r>
    </w:p>
    <w:p>
      <w:pPr>
        <w:pStyle w:val="4"/>
        <w:keepNext w:val="0"/>
        <w:numPr>
          <w:ilvl w:val="0"/>
          <w:numId w:val="0"/>
        </w:numPr>
        <w:tabs>
          <w:tab w:val="left" w:pos="720"/>
        </w:tabs>
        <w:snapToGrid w:val="0"/>
        <w:spacing w:line="360" w:lineRule="auto"/>
        <w:rPr>
          <w:rFonts w:hAnsi="宋体"/>
          <w:b w:val="0"/>
          <w:color w:val="000000"/>
          <w:sz w:val="22"/>
          <w:szCs w:val="22"/>
        </w:rPr>
      </w:pPr>
      <w:r>
        <w:rPr>
          <w:rFonts w:ascii="Times New Roman"/>
          <w:bCs/>
          <w:sz w:val="22"/>
          <w:szCs w:val="22"/>
        </w:rPr>
        <w:t>1.7.4.3</w:t>
      </w:r>
      <w:r>
        <w:rPr>
          <w:rFonts w:hint="eastAsia" w:hAnsi="宋体" w:cs="宋体"/>
          <w:b w:val="0"/>
          <w:color w:val="000000"/>
          <w:sz w:val="22"/>
          <w:szCs w:val="22"/>
        </w:rPr>
        <w:t>设备到达发包人指定现场后，投标人应根据发包人的要求，派员参加到货签收，并作好签收记录。</w:t>
      </w:r>
    </w:p>
    <w:p>
      <w:pPr>
        <w:pStyle w:val="4"/>
        <w:keepNext w:val="0"/>
        <w:numPr>
          <w:ilvl w:val="0"/>
          <w:numId w:val="0"/>
        </w:numPr>
        <w:tabs>
          <w:tab w:val="left" w:pos="720"/>
        </w:tabs>
        <w:snapToGrid w:val="0"/>
        <w:spacing w:line="360" w:lineRule="auto"/>
        <w:rPr>
          <w:rFonts w:hAnsi="宋体"/>
          <w:b w:val="0"/>
          <w:color w:val="000000"/>
          <w:sz w:val="22"/>
          <w:szCs w:val="22"/>
        </w:rPr>
      </w:pPr>
      <w:r>
        <w:rPr>
          <w:rFonts w:ascii="Times New Roman"/>
          <w:bCs/>
          <w:sz w:val="22"/>
          <w:szCs w:val="22"/>
        </w:rPr>
        <w:t>1.7.4.4</w:t>
      </w:r>
      <w:r>
        <w:rPr>
          <w:rFonts w:hint="eastAsia" w:hAnsi="宋体" w:cs="宋体"/>
          <w:b w:val="0"/>
          <w:bCs/>
          <w:color w:val="000000"/>
          <w:sz w:val="22"/>
          <w:szCs w:val="22"/>
        </w:rPr>
        <w:t>投标人</w:t>
      </w:r>
      <w:r>
        <w:rPr>
          <w:rFonts w:hint="eastAsia" w:hAnsi="宋体" w:cs="宋体"/>
          <w:b w:val="0"/>
          <w:color w:val="000000"/>
          <w:sz w:val="22"/>
          <w:szCs w:val="22"/>
        </w:rPr>
        <w:t>应根据</w:t>
      </w:r>
      <w:r>
        <w:rPr>
          <w:rFonts w:hint="eastAsia" w:hAnsi="宋体" w:cs="宋体"/>
          <w:b w:val="0"/>
          <w:bCs/>
          <w:color w:val="000000"/>
          <w:sz w:val="22"/>
          <w:szCs w:val="22"/>
        </w:rPr>
        <w:t>工程</w:t>
      </w:r>
      <w:r>
        <w:rPr>
          <w:rFonts w:hint="eastAsia" w:hAnsi="宋体" w:cs="宋体"/>
          <w:b w:val="0"/>
          <w:color w:val="000000"/>
          <w:sz w:val="22"/>
          <w:szCs w:val="22"/>
        </w:rPr>
        <w:t>进度分批到货。在</w:t>
      </w:r>
      <w:r>
        <w:rPr>
          <w:rFonts w:hint="eastAsia" w:hAnsi="宋体" w:cs="宋体"/>
          <w:b w:val="0"/>
          <w:bCs/>
          <w:color w:val="000000"/>
          <w:sz w:val="22"/>
          <w:szCs w:val="22"/>
        </w:rPr>
        <w:t>硬件设备</w:t>
      </w:r>
      <w:r>
        <w:rPr>
          <w:rFonts w:hint="eastAsia" w:hAnsi="宋体" w:cs="宋体"/>
          <w:b w:val="0"/>
          <w:color w:val="000000"/>
          <w:sz w:val="22"/>
          <w:szCs w:val="22"/>
        </w:rPr>
        <w:t>软硬件购买前，</w:t>
      </w:r>
      <w:r>
        <w:rPr>
          <w:rFonts w:hint="eastAsia" w:hAnsi="宋体" w:cs="宋体"/>
          <w:b w:val="0"/>
          <w:bCs/>
          <w:color w:val="000000"/>
          <w:sz w:val="22"/>
          <w:szCs w:val="22"/>
        </w:rPr>
        <w:t>投标人</w:t>
      </w:r>
      <w:r>
        <w:rPr>
          <w:rFonts w:hint="eastAsia" w:hAnsi="宋体" w:cs="宋体"/>
          <w:b w:val="0"/>
          <w:color w:val="000000"/>
          <w:sz w:val="22"/>
          <w:szCs w:val="22"/>
        </w:rPr>
        <w:t>须以书面的形式向发包人提供</w:t>
      </w:r>
      <w:r>
        <w:rPr>
          <w:rFonts w:hint="eastAsia" w:hAnsi="宋体" w:cs="宋体"/>
          <w:b w:val="0"/>
          <w:bCs/>
          <w:color w:val="000000"/>
          <w:sz w:val="22"/>
          <w:szCs w:val="22"/>
        </w:rPr>
        <w:t>硬件设备</w:t>
      </w:r>
      <w:r>
        <w:rPr>
          <w:rFonts w:hint="eastAsia" w:hAnsi="宋体" w:cs="宋体"/>
          <w:b w:val="0"/>
          <w:color w:val="000000"/>
          <w:sz w:val="22"/>
          <w:szCs w:val="22"/>
        </w:rPr>
        <w:t>的详细配置和版本的清单，并报发包人备案。</w:t>
      </w:r>
    </w:p>
    <w:p>
      <w:pPr>
        <w:pStyle w:val="3"/>
        <w:keepNext w:val="0"/>
        <w:keepLines w:val="0"/>
        <w:tabs>
          <w:tab w:val="left" w:pos="576"/>
        </w:tabs>
        <w:snapToGrid w:val="0"/>
        <w:spacing w:before="0" w:after="0"/>
        <w:ind w:left="576" w:right="2" w:rightChars="1" w:hanging="576"/>
        <w:jc w:val="both"/>
        <w:rPr>
          <w:rFonts w:ascii="宋体" w:hAnsi="宋体"/>
          <w:color w:val="000000"/>
          <w:sz w:val="22"/>
          <w:szCs w:val="22"/>
        </w:rPr>
      </w:pPr>
      <w:bookmarkStart w:id="311" w:name="_Toc122958965"/>
      <w:bookmarkStart w:id="312" w:name="_Toc392056829"/>
      <w:bookmarkStart w:id="313" w:name="_Toc119684696"/>
      <w:bookmarkStart w:id="314" w:name="_Toc127347679"/>
      <w:bookmarkStart w:id="315" w:name="_Toc107586461"/>
      <w:bookmarkStart w:id="316" w:name="_Toc214178020"/>
      <w:bookmarkStart w:id="317" w:name="_Toc124561200"/>
      <w:bookmarkStart w:id="318" w:name="_Toc123028566"/>
      <w:bookmarkStart w:id="319" w:name="_Toc121826438"/>
      <w:bookmarkStart w:id="320" w:name="_Toc118214048"/>
      <w:r>
        <w:rPr>
          <w:rFonts w:ascii="Times New Roman" w:hAnsi="Times New Roman"/>
          <w:sz w:val="22"/>
          <w:szCs w:val="22"/>
        </w:rPr>
        <w:t>1.7.4</w:t>
      </w:r>
      <w:r>
        <w:rPr>
          <w:rFonts w:hint="eastAsia" w:ascii="宋体" w:hAnsi="宋体" w:cs="宋体"/>
          <w:color w:val="000000"/>
          <w:sz w:val="22"/>
          <w:szCs w:val="22"/>
        </w:rPr>
        <w:t>安装调试</w:t>
      </w:r>
      <w:bookmarkEnd w:id="311"/>
      <w:bookmarkEnd w:id="312"/>
      <w:bookmarkEnd w:id="313"/>
      <w:bookmarkEnd w:id="314"/>
      <w:bookmarkEnd w:id="315"/>
      <w:bookmarkEnd w:id="316"/>
      <w:bookmarkEnd w:id="317"/>
      <w:bookmarkEnd w:id="318"/>
      <w:bookmarkEnd w:id="319"/>
      <w:bookmarkEnd w:id="320"/>
    </w:p>
    <w:p>
      <w:pPr>
        <w:pStyle w:val="4"/>
        <w:keepNext w:val="0"/>
        <w:numPr>
          <w:ilvl w:val="0"/>
          <w:numId w:val="0"/>
        </w:numPr>
        <w:tabs>
          <w:tab w:val="left" w:pos="720"/>
        </w:tabs>
        <w:snapToGrid w:val="0"/>
        <w:spacing w:line="360" w:lineRule="auto"/>
        <w:ind w:right="2" w:rightChars="1"/>
        <w:rPr>
          <w:rFonts w:hAnsi="宋体"/>
          <w:bCs/>
          <w:color w:val="000000"/>
          <w:sz w:val="22"/>
          <w:szCs w:val="22"/>
        </w:rPr>
      </w:pPr>
      <w:r>
        <w:rPr>
          <w:rFonts w:ascii="Times New Roman"/>
          <w:bCs/>
          <w:sz w:val="22"/>
          <w:szCs w:val="22"/>
        </w:rPr>
        <w:t>1.7.4.1</w:t>
      </w:r>
      <w:r>
        <w:rPr>
          <w:rFonts w:hint="eastAsia" w:hAnsi="宋体" w:cs="宋体"/>
          <w:bCs/>
          <w:color w:val="000000"/>
          <w:sz w:val="22"/>
          <w:szCs w:val="22"/>
        </w:rPr>
        <w:t>安装</w:t>
      </w:r>
    </w:p>
    <w:p>
      <w:pPr>
        <w:pStyle w:val="5"/>
        <w:keepNext w:val="0"/>
        <w:keepLines w:val="0"/>
        <w:tabs>
          <w:tab w:val="left" w:pos="720"/>
          <w:tab w:val="left" w:pos="840"/>
          <w:tab w:val="left" w:pos="1584"/>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1.7.4.1.1</w:t>
      </w:r>
      <w:r>
        <w:rPr>
          <w:rFonts w:hint="eastAsia" w:ascii="宋体" w:hAnsi="宋体" w:eastAsia="宋体" w:cs="宋体"/>
          <w:b w:val="0"/>
          <w:color w:val="000000"/>
          <w:kern w:val="2"/>
          <w:sz w:val="22"/>
          <w:szCs w:val="22"/>
        </w:rPr>
        <w:t>投标人应负责整个系统设备的安装及负责向质量监督部门办理报监，并负责系统的调试及运行。</w:t>
      </w:r>
    </w:p>
    <w:p>
      <w:pPr>
        <w:pStyle w:val="5"/>
        <w:keepNext w:val="0"/>
        <w:keepLines w:val="0"/>
        <w:tabs>
          <w:tab w:val="left" w:pos="720"/>
          <w:tab w:val="left" w:pos="840"/>
          <w:tab w:val="left" w:pos="1584"/>
        </w:tabs>
        <w:snapToGrid w:val="0"/>
        <w:spacing w:before="0" w:after="0" w:line="360" w:lineRule="auto"/>
        <w:ind w:left="840" w:right="2" w:rightChars="1" w:hanging="840"/>
        <w:rPr>
          <w:rFonts w:ascii="宋体" w:hAnsi="宋体" w:eastAsia="宋体" w:cs="宋体"/>
          <w:b w:val="0"/>
          <w:color w:val="000000"/>
          <w:kern w:val="2"/>
          <w:sz w:val="22"/>
          <w:szCs w:val="22"/>
        </w:rPr>
      </w:pPr>
      <w:r>
        <w:rPr>
          <w:rFonts w:ascii="Times New Roman" w:hAnsi="Times New Roman" w:eastAsia="等线"/>
          <w:sz w:val="22"/>
          <w:szCs w:val="22"/>
        </w:rPr>
        <w:t>1.7.4.1.2</w:t>
      </w:r>
      <w:r>
        <w:rPr>
          <w:rFonts w:ascii="宋体" w:hAnsi="宋体" w:eastAsia="宋体" w:cs="宋体"/>
          <w:color w:val="000000"/>
          <w:sz w:val="22"/>
          <w:szCs w:val="22"/>
        </w:rPr>
        <w:t xml:space="preserve"> </w:t>
      </w:r>
      <w:r>
        <w:rPr>
          <w:rFonts w:hint="eastAsia" w:ascii="宋体" w:hAnsi="宋体" w:eastAsia="宋体" w:cs="宋体"/>
          <w:b w:val="0"/>
          <w:color w:val="000000"/>
          <w:kern w:val="2"/>
          <w:sz w:val="22"/>
          <w:szCs w:val="22"/>
        </w:rPr>
        <w:t>投标人须派遣足够人数的、合格的工程师、技术人员和技术工人进行本项目工程的施工。</w:t>
      </w:r>
    </w:p>
    <w:p>
      <w:pPr>
        <w:pStyle w:val="5"/>
        <w:keepNext w:val="0"/>
        <w:keepLines w:val="0"/>
        <w:tabs>
          <w:tab w:val="left" w:pos="720"/>
          <w:tab w:val="left" w:pos="840"/>
          <w:tab w:val="left" w:pos="900"/>
          <w:tab w:val="left" w:pos="1584"/>
        </w:tabs>
        <w:snapToGrid w:val="0"/>
        <w:spacing w:before="0" w:after="0" w:line="360" w:lineRule="auto"/>
        <w:ind w:left="840" w:right="2" w:rightChars="1" w:hanging="840"/>
        <w:rPr>
          <w:rFonts w:ascii="宋体" w:hAnsi="宋体" w:eastAsia="宋体" w:cs="宋体"/>
          <w:b w:val="0"/>
          <w:color w:val="000000"/>
          <w:kern w:val="2"/>
          <w:sz w:val="22"/>
          <w:szCs w:val="22"/>
        </w:rPr>
      </w:pPr>
      <w:r>
        <w:rPr>
          <w:rFonts w:ascii="Times New Roman" w:hAnsi="Times New Roman" w:eastAsia="等线"/>
          <w:sz w:val="22"/>
          <w:szCs w:val="22"/>
        </w:rPr>
        <w:t xml:space="preserve">1.7.4.1.3 </w:t>
      </w:r>
      <w:r>
        <w:rPr>
          <w:rFonts w:hint="eastAsia" w:ascii="宋体" w:hAnsi="宋体" w:eastAsia="宋体" w:cs="宋体"/>
          <w:b w:val="0"/>
          <w:color w:val="000000"/>
          <w:kern w:val="2"/>
          <w:sz w:val="22"/>
          <w:szCs w:val="22"/>
        </w:rPr>
        <w:t>工程施工和设备安装单位所有进驻现场的施工人员必须是具有相关资格的正式员工。</w:t>
      </w:r>
    </w:p>
    <w:p>
      <w:pPr>
        <w:pStyle w:val="5"/>
        <w:keepNext w:val="0"/>
        <w:keepLines w:val="0"/>
        <w:tabs>
          <w:tab w:val="left" w:pos="720"/>
          <w:tab w:val="left" w:pos="840"/>
          <w:tab w:val="left" w:pos="900"/>
          <w:tab w:val="left" w:pos="1584"/>
        </w:tabs>
        <w:snapToGrid w:val="0"/>
        <w:spacing w:before="0" w:after="0" w:line="360" w:lineRule="auto"/>
        <w:ind w:right="2" w:rightChars="1"/>
        <w:rPr>
          <w:rFonts w:ascii="宋体" w:hAnsi="宋体" w:eastAsia="宋体" w:cs="宋体"/>
          <w:b w:val="0"/>
          <w:color w:val="000000"/>
          <w:kern w:val="2"/>
          <w:sz w:val="22"/>
          <w:szCs w:val="22"/>
        </w:rPr>
      </w:pPr>
      <w:r>
        <w:rPr>
          <w:rFonts w:ascii="Times New Roman" w:hAnsi="Times New Roman" w:eastAsia="等线"/>
          <w:sz w:val="22"/>
          <w:szCs w:val="22"/>
        </w:rPr>
        <w:t>1.7.4.1.4</w:t>
      </w:r>
      <w:r>
        <w:rPr>
          <w:rFonts w:ascii="宋体" w:hAnsi="宋体" w:eastAsia="宋体" w:cs="宋体"/>
          <w:color w:val="000000"/>
          <w:sz w:val="22"/>
          <w:szCs w:val="22"/>
        </w:rPr>
        <w:t xml:space="preserve"> </w:t>
      </w:r>
      <w:r>
        <w:rPr>
          <w:rFonts w:hint="eastAsia" w:ascii="宋体" w:hAnsi="宋体" w:eastAsia="宋体" w:cs="宋体"/>
          <w:b w:val="0"/>
          <w:color w:val="000000"/>
          <w:kern w:val="2"/>
          <w:sz w:val="22"/>
          <w:szCs w:val="22"/>
        </w:rPr>
        <w:t>在工程施工和设备安装、调试、验收等过程中，投标人应做好提供设备的现场保护以及提供相应保护措施。投标人不得损坏土建结构和已装修完毕的墙面、地面、吊顶和其他已安装的设备和系统，由此引起的修补费用由投标人承担。</w:t>
      </w:r>
    </w:p>
    <w:p>
      <w:pPr>
        <w:pStyle w:val="5"/>
        <w:keepNext w:val="0"/>
        <w:keepLines w:val="0"/>
        <w:tabs>
          <w:tab w:val="left" w:pos="720"/>
          <w:tab w:val="left" w:pos="840"/>
          <w:tab w:val="left" w:pos="900"/>
          <w:tab w:val="left" w:pos="1584"/>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 xml:space="preserve">1.7.4.1.5 </w:t>
      </w:r>
      <w:bookmarkStart w:id="321" w:name="OLE_LINK13"/>
      <w:r>
        <w:rPr>
          <w:rFonts w:hint="eastAsia" w:ascii="宋体" w:hAnsi="宋体" w:eastAsia="宋体" w:cs="宋体"/>
          <w:b w:val="0"/>
          <w:color w:val="000000"/>
          <w:kern w:val="2"/>
          <w:sz w:val="22"/>
          <w:szCs w:val="22"/>
        </w:rPr>
        <w:t>工程所产生的临时费用及所需设备的产品现场保护、工作设施、工作照明、防护、安装脚手、围栏、警告标志和守护人员等由投标人负责。</w:t>
      </w:r>
    </w:p>
    <w:bookmarkEnd w:id="321"/>
    <w:p>
      <w:pPr>
        <w:pStyle w:val="5"/>
        <w:keepNext w:val="0"/>
        <w:keepLines w:val="0"/>
        <w:tabs>
          <w:tab w:val="left" w:pos="720"/>
          <w:tab w:val="left" w:pos="840"/>
          <w:tab w:val="left" w:pos="900"/>
          <w:tab w:val="left" w:pos="1584"/>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1.7.4.1.6</w:t>
      </w:r>
      <w:r>
        <w:rPr>
          <w:rFonts w:hint="eastAsia" w:ascii="宋体" w:hAnsi="宋体" w:eastAsia="宋体" w:cs="宋体"/>
          <w:b w:val="0"/>
          <w:color w:val="000000"/>
          <w:kern w:val="2"/>
          <w:sz w:val="22"/>
          <w:szCs w:val="22"/>
        </w:rPr>
        <w:t>投标人在进驻现场前</w:t>
      </w:r>
      <w:r>
        <w:rPr>
          <w:rFonts w:ascii="宋体" w:hAnsi="宋体" w:eastAsia="宋体" w:cs="宋体"/>
          <w:b w:val="0"/>
          <w:color w:val="000000"/>
          <w:kern w:val="2"/>
          <w:sz w:val="22"/>
          <w:szCs w:val="22"/>
        </w:rPr>
        <w:t>2</w:t>
      </w:r>
      <w:r>
        <w:rPr>
          <w:rFonts w:hint="eastAsia" w:ascii="宋体" w:hAnsi="宋体" w:eastAsia="宋体" w:cs="宋体"/>
          <w:b w:val="0"/>
          <w:color w:val="000000"/>
          <w:kern w:val="2"/>
          <w:sz w:val="22"/>
          <w:szCs w:val="22"/>
        </w:rPr>
        <w:t>周，应与发包人签订安全施工责任保证书，并提交施工组织方案、进场施工申请报告等资料，并在工程实施中，必须无条件地接受总承包商和工程监理的管理与检查，并执行监理单位的指令，确保工程质量和安装进度能满足总的质量要求和进度要求。</w:t>
      </w:r>
    </w:p>
    <w:p>
      <w:pPr>
        <w:pStyle w:val="5"/>
        <w:keepNext w:val="0"/>
        <w:keepLines w:val="0"/>
        <w:tabs>
          <w:tab w:val="left" w:pos="720"/>
          <w:tab w:val="left" w:pos="840"/>
          <w:tab w:val="left" w:pos="900"/>
          <w:tab w:val="left" w:pos="1584"/>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1.7.4.1.7</w:t>
      </w:r>
      <w:r>
        <w:rPr>
          <w:rFonts w:hint="eastAsia" w:ascii="宋体" w:hAnsi="宋体" w:eastAsia="宋体" w:cs="宋体"/>
          <w:b w:val="0"/>
          <w:color w:val="000000"/>
          <w:kern w:val="2"/>
          <w:sz w:val="22"/>
          <w:szCs w:val="22"/>
        </w:rPr>
        <w:t>有关现场工作设施的敷设须经总承包单位或安装主承包单位的同意后，在指定的地点和范围内敷设。所需的临电、临水须按总承包商的要求敷设，施工现场所用的临电、临水按总承包商的管理要求执行，以上相关费用由投标人支付。</w:t>
      </w:r>
    </w:p>
    <w:p>
      <w:pPr>
        <w:pStyle w:val="4"/>
        <w:keepNext w:val="0"/>
        <w:numPr>
          <w:ilvl w:val="0"/>
          <w:numId w:val="0"/>
        </w:numPr>
        <w:tabs>
          <w:tab w:val="left" w:pos="720"/>
        </w:tabs>
        <w:snapToGrid w:val="0"/>
        <w:spacing w:line="360" w:lineRule="auto"/>
        <w:ind w:right="2" w:rightChars="1"/>
        <w:rPr>
          <w:rFonts w:hAnsi="宋体"/>
          <w:bCs/>
          <w:color w:val="000000"/>
          <w:sz w:val="22"/>
          <w:szCs w:val="22"/>
        </w:rPr>
      </w:pPr>
      <w:r>
        <w:rPr>
          <w:rFonts w:ascii="Times New Roman"/>
          <w:bCs/>
          <w:sz w:val="22"/>
          <w:szCs w:val="22"/>
        </w:rPr>
        <w:t>1.7.4.2</w:t>
      </w:r>
      <w:r>
        <w:rPr>
          <w:rFonts w:hint="eastAsia" w:hAnsi="宋体" w:cs="宋体"/>
          <w:bCs/>
          <w:color w:val="000000"/>
          <w:sz w:val="22"/>
          <w:szCs w:val="22"/>
        </w:rPr>
        <w:t>调试</w:t>
      </w:r>
    </w:p>
    <w:p>
      <w:pPr>
        <w:pStyle w:val="5"/>
        <w:keepNext w:val="0"/>
        <w:keepLines w:val="0"/>
        <w:tabs>
          <w:tab w:val="left" w:pos="720"/>
          <w:tab w:val="left" w:pos="840"/>
          <w:tab w:val="left" w:pos="900"/>
          <w:tab w:val="left" w:pos="1584"/>
        </w:tabs>
        <w:snapToGrid w:val="0"/>
        <w:spacing w:before="0" w:after="0" w:line="360" w:lineRule="auto"/>
        <w:rPr>
          <w:rFonts w:ascii="宋体" w:hAnsi="宋体" w:eastAsia="宋体" w:cs="宋体"/>
          <w:b w:val="0"/>
          <w:color w:val="000000"/>
          <w:kern w:val="2"/>
          <w:sz w:val="22"/>
          <w:szCs w:val="22"/>
        </w:rPr>
      </w:pPr>
      <w:r>
        <w:rPr>
          <w:rFonts w:ascii="宋体" w:hAnsi="宋体" w:eastAsia="宋体" w:cs="宋体"/>
          <w:color w:val="000000"/>
          <w:sz w:val="22"/>
          <w:szCs w:val="22"/>
        </w:rPr>
        <w:t>1</w:t>
      </w:r>
      <w:r>
        <w:rPr>
          <w:rFonts w:ascii="Times New Roman" w:hAnsi="Times New Roman" w:eastAsia="等线"/>
          <w:sz w:val="22"/>
          <w:szCs w:val="22"/>
        </w:rPr>
        <w:t>.7.4.2.1</w:t>
      </w:r>
      <w:r>
        <w:rPr>
          <w:rFonts w:hint="eastAsia" w:ascii="宋体" w:hAnsi="宋体" w:eastAsia="宋体" w:cs="宋体"/>
          <w:b w:val="0"/>
          <w:color w:val="000000"/>
          <w:kern w:val="2"/>
          <w:sz w:val="22"/>
          <w:szCs w:val="22"/>
        </w:rPr>
        <w:t>投标人应在现场对设备进行调试、现场测试，以检验其设计制作、操作性能和功能等方面的情况，并应提供所有调试和设备运行所需的工具、材料、仪器及劳务。</w:t>
      </w:r>
    </w:p>
    <w:p>
      <w:pPr>
        <w:pStyle w:val="5"/>
        <w:keepNext w:val="0"/>
        <w:keepLines w:val="0"/>
        <w:tabs>
          <w:tab w:val="left" w:pos="720"/>
          <w:tab w:val="left" w:pos="900"/>
          <w:tab w:val="left" w:pos="1584"/>
        </w:tabs>
        <w:snapToGrid w:val="0"/>
        <w:spacing w:before="0" w:after="0" w:line="360" w:lineRule="auto"/>
        <w:ind w:left="1584" w:right="2" w:rightChars="1" w:hanging="1584"/>
        <w:rPr>
          <w:rFonts w:ascii="宋体" w:hAnsi="宋体" w:eastAsia="宋体" w:cs="宋体"/>
          <w:b w:val="0"/>
          <w:color w:val="000000"/>
          <w:kern w:val="2"/>
          <w:sz w:val="22"/>
          <w:szCs w:val="22"/>
        </w:rPr>
      </w:pPr>
      <w:r>
        <w:rPr>
          <w:rFonts w:ascii="Times New Roman" w:hAnsi="Times New Roman" w:eastAsia="等线"/>
          <w:sz w:val="22"/>
          <w:szCs w:val="22"/>
        </w:rPr>
        <w:t xml:space="preserve">1.7.4.2.2 </w:t>
      </w:r>
      <w:r>
        <w:rPr>
          <w:rFonts w:hint="eastAsia" w:ascii="宋体" w:hAnsi="宋体" w:eastAsia="宋体" w:cs="宋体"/>
          <w:b w:val="0"/>
          <w:color w:val="000000"/>
          <w:kern w:val="2"/>
          <w:sz w:val="22"/>
          <w:szCs w:val="22"/>
        </w:rPr>
        <w:t>调试前，相关部门的建议和要求均应作为调试及验收要求的补充。</w:t>
      </w:r>
    </w:p>
    <w:p>
      <w:pPr>
        <w:pStyle w:val="3"/>
        <w:keepNext w:val="0"/>
        <w:keepLines w:val="0"/>
        <w:tabs>
          <w:tab w:val="left" w:pos="576"/>
        </w:tabs>
        <w:snapToGrid w:val="0"/>
        <w:spacing w:before="0" w:after="0"/>
        <w:ind w:left="576" w:right="2" w:rightChars="1" w:hanging="576"/>
        <w:jc w:val="both"/>
        <w:rPr>
          <w:rFonts w:ascii="宋体" w:hAnsi="宋体"/>
          <w:color w:val="000000"/>
          <w:sz w:val="22"/>
          <w:szCs w:val="22"/>
        </w:rPr>
      </w:pPr>
      <w:bookmarkStart w:id="322" w:name="_Toc124561204"/>
      <w:bookmarkStart w:id="323" w:name="_Toc123028570"/>
      <w:bookmarkStart w:id="324" w:name="_Toc122958969"/>
      <w:bookmarkStart w:id="325" w:name="_Toc214178024"/>
      <w:bookmarkStart w:id="326" w:name="_Toc127347683"/>
      <w:bookmarkStart w:id="327" w:name="_Toc392056833"/>
      <w:r>
        <w:rPr>
          <w:rFonts w:ascii="Times New Roman" w:hAnsi="Times New Roman"/>
          <w:sz w:val="22"/>
          <w:szCs w:val="22"/>
        </w:rPr>
        <w:t>1.7.5</w:t>
      </w:r>
      <w:r>
        <w:rPr>
          <w:rFonts w:hint="eastAsia" w:ascii="宋体" w:hAnsi="宋体" w:cs="宋体"/>
          <w:color w:val="000000"/>
          <w:sz w:val="22"/>
          <w:szCs w:val="22"/>
        </w:rPr>
        <w:t>最终验收</w:t>
      </w:r>
      <w:bookmarkEnd w:id="322"/>
      <w:bookmarkEnd w:id="323"/>
      <w:bookmarkEnd w:id="324"/>
      <w:bookmarkEnd w:id="325"/>
      <w:bookmarkEnd w:id="326"/>
      <w:bookmarkEnd w:id="327"/>
    </w:p>
    <w:p>
      <w:pPr>
        <w:pStyle w:val="4"/>
        <w:keepNext w:val="0"/>
        <w:numPr>
          <w:ilvl w:val="0"/>
          <w:numId w:val="0"/>
        </w:numPr>
        <w:tabs>
          <w:tab w:val="left" w:pos="720"/>
        </w:tabs>
        <w:snapToGrid w:val="0"/>
        <w:spacing w:line="360" w:lineRule="auto"/>
        <w:ind w:right="2" w:rightChars="1"/>
        <w:rPr>
          <w:rFonts w:hAnsi="宋体"/>
          <w:color w:val="000000"/>
          <w:sz w:val="22"/>
          <w:szCs w:val="22"/>
        </w:rPr>
      </w:pPr>
      <w:r>
        <w:rPr>
          <w:rFonts w:ascii="Times New Roman"/>
          <w:bCs/>
          <w:sz w:val="22"/>
          <w:szCs w:val="22"/>
        </w:rPr>
        <w:t>1.7.5.1</w:t>
      </w:r>
      <w:r>
        <w:rPr>
          <w:rFonts w:hint="eastAsia" w:hAnsi="宋体" w:cs="宋体"/>
          <w:color w:val="000000"/>
          <w:sz w:val="22"/>
          <w:szCs w:val="22"/>
        </w:rPr>
        <w:t>系统验收合格必须满足以下所有条件：</w:t>
      </w:r>
    </w:p>
    <w:p>
      <w:pPr>
        <w:pStyle w:val="5"/>
        <w:keepNext w:val="0"/>
        <w:keepLines w:val="0"/>
        <w:tabs>
          <w:tab w:val="left" w:pos="960"/>
          <w:tab w:val="left" w:pos="1584"/>
        </w:tabs>
        <w:snapToGrid w:val="0"/>
        <w:spacing w:before="0" w:after="0" w:line="360" w:lineRule="auto"/>
        <w:ind w:left="960" w:right="2" w:rightChars="1" w:hanging="960"/>
        <w:jc w:val="left"/>
        <w:rPr>
          <w:rFonts w:ascii="宋体" w:hAnsi="宋体" w:eastAsia="宋体" w:cs="黑体"/>
          <w:b w:val="0"/>
          <w:color w:val="000000"/>
          <w:sz w:val="22"/>
          <w:szCs w:val="22"/>
        </w:rPr>
      </w:pPr>
      <w:r>
        <w:rPr>
          <w:rFonts w:ascii="Times New Roman" w:hAnsi="Times New Roman" w:eastAsia="等线"/>
          <w:sz w:val="22"/>
          <w:szCs w:val="22"/>
        </w:rPr>
        <w:t>1.7.5.1.1</w:t>
      </w:r>
      <w:r>
        <w:rPr>
          <w:rFonts w:hint="eastAsia" w:ascii="宋体" w:hAnsi="宋体" w:eastAsia="宋体" w:cs="宋体"/>
          <w:b w:val="0"/>
          <w:bCs w:val="0"/>
          <w:color w:val="000000"/>
          <w:kern w:val="2"/>
          <w:sz w:val="22"/>
          <w:szCs w:val="22"/>
        </w:rPr>
        <w:t>现场测试时出现的问题已被解决至发包人满意，对其它工程项目的影响已消除。</w:t>
      </w:r>
    </w:p>
    <w:p>
      <w:pPr>
        <w:pStyle w:val="5"/>
        <w:keepNext w:val="0"/>
        <w:keepLines w:val="0"/>
        <w:tabs>
          <w:tab w:val="left" w:pos="960"/>
          <w:tab w:val="left" w:pos="1584"/>
        </w:tabs>
        <w:snapToGrid w:val="0"/>
        <w:spacing w:before="0" w:after="0" w:line="360" w:lineRule="auto"/>
        <w:ind w:left="960" w:right="2" w:rightChars="1" w:hanging="960"/>
        <w:rPr>
          <w:rFonts w:ascii="宋体" w:hAnsi="宋体" w:eastAsia="宋体"/>
          <w:b w:val="0"/>
          <w:color w:val="000000"/>
          <w:sz w:val="22"/>
          <w:szCs w:val="22"/>
        </w:rPr>
      </w:pPr>
      <w:r>
        <w:rPr>
          <w:rFonts w:ascii="Times New Roman" w:hAnsi="Times New Roman" w:eastAsia="等线"/>
          <w:sz w:val="22"/>
          <w:szCs w:val="22"/>
        </w:rPr>
        <w:t>1.7.5.1.2</w:t>
      </w:r>
      <w:r>
        <w:rPr>
          <w:rFonts w:hint="eastAsia" w:ascii="宋体" w:hAnsi="宋体" w:eastAsia="宋体" w:cs="宋体"/>
          <w:b w:val="0"/>
          <w:color w:val="000000"/>
          <w:sz w:val="22"/>
          <w:szCs w:val="22"/>
        </w:rPr>
        <w:t>已按本技术规范和政府有关管理部门的规定提供了全部货物和资料。</w:t>
      </w:r>
    </w:p>
    <w:p>
      <w:pPr>
        <w:pStyle w:val="5"/>
        <w:keepNext w:val="0"/>
        <w:keepLines w:val="0"/>
        <w:tabs>
          <w:tab w:val="left" w:pos="960"/>
          <w:tab w:val="left" w:pos="1584"/>
        </w:tabs>
        <w:snapToGrid w:val="0"/>
        <w:spacing w:before="0" w:after="0" w:line="360" w:lineRule="auto"/>
        <w:ind w:left="960" w:right="2" w:rightChars="1" w:hanging="960"/>
        <w:rPr>
          <w:rFonts w:ascii="宋体" w:hAnsi="宋体" w:eastAsia="宋体"/>
          <w:b w:val="0"/>
          <w:color w:val="000000"/>
          <w:sz w:val="22"/>
          <w:szCs w:val="22"/>
        </w:rPr>
      </w:pPr>
      <w:r>
        <w:rPr>
          <w:rFonts w:ascii="Times New Roman" w:hAnsi="Times New Roman" w:eastAsia="等线"/>
          <w:sz w:val="22"/>
          <w:szCs w:val="22"/>
        </w:rPr>
        <w:t>1.7.5.1.3</w:t>
      </w:r>
      <w:r>
        <w:rPr>
          <w:rFonts w:hint="eastAsia" w:ascii="宋体" w:hAnsi="宋体" w:eastAsia="宋体" w:cs="宋体"/>
          <w:b w:val="0"/>
          <w:color w:val="000000"/>
          <w:sz w:val="22"/>
          <w:szCs w:val="22"/>
        </w:rPr>
        <w:t>按照</w:t>
      </w:r>
      <w:r>
        <w:rPr>
          <w:rFonts w:ascii="宋体" w:hAnsi="宋体" w:eastAsia="宋体"/>
          <w:b w:val="0"/>
          <w:color w:val="000000"/>
          <w:sz w:val="22"/>
          <w:szCs w:val="22"/>
        </w:rPr>
        <w:t>HXIA</w:t>
      </w:r>
      <w:r>
        <w:rPr>
          <w:rFonts w:hint="eastAsia" w:ascii="宋体" w:hAnsi="宋体" w:eastAsia="宋体" w:cs="宋体"/>
          <w:b w:val="0"/>
          <w:color w:val="000000"/>
          <w:sz w:val="22"/>
          <w:szCs w:val="22"/>
        </w:rPr>
        <w:t>工程档案管理要求进行竣工资料归档。</w:t>
      </w:r>
    </w:p>
    <w:p>
      <w:pPr>
        <w:pStyle w:val="4"/>
        <w:keepNext w:val="0"/>
        <w:numPr>
          <w:ilvl w:val="0"/>
          <w:numId w:val="0"/>
        </w:numPr>
        <w:tabs>
          <w:tab w:val="left" w:pos="720"/>
        </w:tabs>
        <w:snapToGrid w:val="0"/>
        <w:spacing w:line="360" w:lineRule="auto"/>
        <w:rPr>
          <w:rFonts w:hAnsi="宋体" w:cs="宋体"/>
          <w:b w:val="0"/>
          <w:color w:val="000000"/>
          <w:kern w:val="2"/>
          <w:sz w:val="22"/>
          <w:szCs w:val="22"/>
        </w:rPr>
      </w:pPr>
      <w:r>
        <w:rPr>
          <w:rFonts w:ascii="Times New Roman"/>
          <w:bCs/>
          <w:sz w:val="22"/>
          <w:szCs w:val="22"/>
        </w:rPr>
        <w:t>1.7.5.1.4</w:t>
      </w:r>
      <w:r>
        <w:rPr>
          <w:rFonts w:hint="eastAsia" w:hAnsi="宋体" w:cs="宋体"/>
          <w:b w:val="0"/>
          <w:color w:val="000000"/>
          <w:kern w:val="2"/>
          <w:sz w:val="22"/>
          <w:szCs w:val="22"/>
        </w:rPr>
        <w:t>投标人负责全部设备设施及系统的保护和清洁工作至项目验收合格为止。若因进行工程实施过程中污损工程的设备、设施结构或其它设备仪器等，投标人须负责修理或者给予赔偿。</w:t>
      </w:r>
    </w:p>
    <w:p>
      <w:pPr>
        <w:pStyle w:val="4"/>
        <w:keepNext w:val="0"/>
        <w:numPr>
          <w:ilvl w:val="0"/>
          <w:numId w:val="0"/>
        </w:numPr>
        <w:tabs>
          <w:tab w:val="left" w:pos="720"/>
        </w:tabs>
        <w:snapToGrid w:val="0"/>
        <w:spacing w:line="360" w:lineRule="auto"/>
        <w:ind w:right="2" w:rightChars="1"/>
        <w:rPr>
          <w:rFonts w:hAnsi="宋体"/>
          <w:b w:val="0"/>
          <w:color w:val="000000"/>
          <w:sz w:val="22"/>
          <w:szCs w:val="22"/>
        </w:rPr>
      </w:pPr>
      <w:r>
        <w:rPr>
          <w:rFonts w:ascii="Times New Roman"/>
          <w:bCs/>
          <w:sz w:val="22"/>
          <w:szCs w:val="22"/>
        </w:rPr>
        <w:t>1.7.5.1.5</w:t>
      </w:r>
      <w:r>
        <w:rPr>
          <w:rFonts w:hint="eastAsia" w:hAnsi="宋体" w:cs="宋体"/>
          <w:b w:val="0"/>
          <w:color w:val="000000"/>
          <w:sz w:val="22"/>
          <w:szCs w:val="22"/>
        </w:rPr>
        <w:t>工程最终验收合格后，发包人给投标人颁发工程接收证书，同时进入为期</w:t>
      </w:r>
      <w:r>
        <w:rPr>
          <w:rFonts w:hAnsi="宋体"/>
          <w:b w:val="0"/>
          <w:color w:val="000000"/>
          <w:sz w:val="22"/>
          <w:szCs w:val="22"/>
        </w:rPr>
        <w:t>2</w:t>
      </w:r>
      <w:r>
        <w:rPr>
          <w:rFonts w:hint="eastAsia" w:hAnsi="宋体" w:cs="宋体"/>
          <w:b w:val="0"/>
          <w:color w:val="000000"/>
          <w:sz w:val="22"/>
          <w:szCs w:val="22"/>
        </w:rPr>
        <w:t>年的质保期。</w:t>
      </w:r>
    </w:p>
    <w:p>
      <w:pPr>
        <w:pStyle w:val="3"/>
        <w:keepNext w:val="0"/>
        <w:keepLines w:val="0"/>
        <w:tabs>
          <w:tab w:val="left" w:pos="576"/>
        </w:tabs>
        <w:snapToGrid w:val="0"/>
        <w:spacing w:before="0" w:after="0"/>
        <w:ind w:left="576" w:right="2" w:rightChars="1" w:hanging="576"/>
        <w:jc w:val="both"/>
        <w:rPr>
          <w:rFonts w:ascii="宋体" w:hAnsi="宋体"/>
          <w:color w:val="000000"/>
          <w:sz w:val="22"/>
          <w:szCs w:val="22"/>
        </w:rPr>
      </w:pPr>
      <w:bookmarkStart w:id="328" w:name="_Toc119504343"/>
      <w:bookmarkStart w:id="329" w:name="_Toc123028571"/>
      <w:bookmarkStart w:id="330" w:name="_Toc113810220"/>
      <w:bookmarkStart w:id="331" w:name="_Toc119378328"/>
      <w:bookmarkStart w:id="332" w:name="_Toc124561205"/>
      <w:bookmarkStart w:id="333" w:name="_Toc119258174"/>
      <w:bookmarkStart w:id="334" w:name="_Toc214178025"/>
      <w:bookmarkStart w:id="335" w:name="_Toc110162598"/>
      <w:bookmarkStart w:id="336" w:name="_Toc119378516"/>
      <w:bookmarkStart w:id="337" w:name="_Toc127347684"/>
      <w:bookmarkStart w:id="338" w:name="_Toc392056834"/>
      <w:bookmarkStart w:id="339" w:name="_Toc122958970"/>
      <w:r>
        <w:rPr>
          <w:rFonts w:ascii="Times New Roman" w:hAnsi="Times New Roman"/>
          <w:sz w:val="22"/>
          <w:szCs w:val="22"/>
        </w:rPr>
        <w:t>1.7.6</w:t>
      </w:r>
      <w:r>
        <w:rPr>
          <w:rFonts w:hint="eastAsia" w:ascii="宋体" w:hAnsi="宋体" w:cs="宋体"/>
          <w:color w:val="000000"/>
          <w:sz w:val="22"/>
          <w:szCs w:val="22"/>
        </w:rPr>
        <w:t>系统质保期</w:t>
      </w:r>
      <w:bookmarkEnd w:id="328"/>
      <w:bookmarkEnd w:id="329"/>
      <w:bookmarkEnd w:id="330"/>
      <w:bookmarkEnd w:id="331"/>
      <w:bookmarkEnd w:id="332"/>
      <w:bookmarkEnd w:id="333"/>
      <w:bookmarkEnd w:id="334"/>
      <w:bookmarkEnd w:id="335"/>
      <w:bookmarkEnd w:id="336"/>
      <w:bookmarkEnd w:id="337"/>
      <w:bookmarkEnd w:id="338"/>
      <w:bookmarkEnd w:id="339"/>
    </w:p>
    <w:p>
      <w:pPr>
        <w:pStyle w:val="4"/>
        <w:keepNext w:val="0"/>
        <w:numPr>
          <w:ilvl w:val="0"/>
          <w:numId w:val="0"/>
        </w:numPr>
        <w:tabs>
          <w:tab w:val="left" w:pos="720"/>
        </w:tabs>
        <w:snapToGrid w:val="0"/>
        <w:spacing w:line="360" w:lineRule="auto"/>
        <w:ind w:right="2" w:rightChars="1"/>
        <w:rPr>
          <w:rFonts w:hAnsi="宋体" w:cs="黑体"/>
          <w:bCs/>
          <w:color w:val="000000"/>
          <w:sz w:val="22"/>
          <w:szCs w:val="22"/>
        </w:rPr>
      </w:pPr>
      <w:r>
        <w:rPr>
          <w:rFonts w:ascii="Times New Roman"/>
          <w:bCs/>
          <w:sz w:val="22"/>
          <w:szCs w:val="22"/>
        </w:rPr>
        <w:t>1.7.6.1</w:t>
      </w:r>
      <w:r>
        <w:rPr>
          <w:rFonts w:hint="eastAsia" w:hAnsi="宋体" w:cs="黑体"/>
          <w:bCs/>
          <w:color w:val="000000"/>
          <w:sz w:val="22"/>
          <w:szCs w:val="22"/>
        </w:rPr>
        <w:t>系统质保期内</w:t>
      </w:r>
    </w:p>
    <w:p>
      <w:pPr>
        <w:pStyle w:val="5"/>
        <w:keepNext w:val="0"/>
        <w:keepLines w:val="0"/>
        <w:tabs>
          <w:tab w:val="left" w:pos="900"/>
          <w:tab w:val="left" w:pos="960"/>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1.7.6.1.1</w:t>
      </w:r>
      <w:r>
        <w:rPr>
          <w:rFonts w:hint="eastAsia" w:ascii="宋体" w:hAnsi="宋体" w:eastAsia="宋体" w:cs="宋体"/>
          <w:b w:val="0"/>
          <w:color w:val="000000"/>
          <w:kern w:val="2"/>
          <w:sz w:val="22"/>
          <w:szCs w:val="22"/>
        </w:rPr>
        <w:t>投标人必须为合同内所供应系统和服务提供</w:t>
      </w:r>
      <w:r>
        <w:rPr>
          <w:rFonts w:ascii="宋体" w:hAnsi="宋体" w:eastAsia="宋体" w:cs="宋体"/>
          <w:b w:val="0"/>
          <w:color w:val="000000"/>
          <w:kern w:val="2"/>
          <w:sz w:val="22"/>
          <w:szCs w:val="22"/>
        </w:rPr>
        <w:t>24</w:t>
      </w:r>
      <w:r>
        <w:rPr>
          <w:rFonts w:hint="eastAsia" w:ascii="宋体" w:hAnsi="宋体" w:eastAsia="宋体" w:cs="宋体"/>
          <w:b w:val="0"/>
          <w:color w:val="000000"/>
          <w:kern w:val="2"/>
          <w:sz w:val="22"/>
          <w:szCs w:val="22"/>
        </w:rPr>
        <w:t>个月的质保期服务（若第三方产品免费保修期明确大于</w:t>
      </w:r>
      <w:r>
        <w:rPr>
          <w:rFonts w:ascii="宋体" w:hAnsi="宋体" w:eastAsia="宋体" w:cs="宋体"/>
          <w:b w:val="0"/>
          <w:color w:val="000000"/>
          <w:kern w:val="2"/>
          <w:sz w:val="22"/>
          <w:szCs w:val="22"/>
        </w:rPr>
        <w:t>24</w:t>
      </w:r>
      <w:r>
        <w:rPr>
          <w:rFonts w:hint="eastAsia" w:ascii="宋体" w:hAnsi="宋体" w:eastAsia="宋体" w:cs="宋体"/>
          <w:b w:val="0"/>
          <w:color w:val="000000"/>
          <w:kern w:val="2"/>
          <w:sz w:val="22"/>
          <w:szCs w:val="22"/>
        </w:rPr>
        <w:t>个月的则按原厂商的承诺执行），计算日期从最终系统验收之日计算。</w:t>
      </w:r>
    </w:p>
    <w:p>
      <w:pPr>
        <w:pStyle w:val="5"/>
        <w:keepNext w:val="0"/>
        <w:keepLines w:val="0"/>
        <w:tabs>
          <w:tab w:val="left" w:pos="900"/>
          <w:tab w:val="left" w:pos="1584"/>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 xml:space="preserve">1.7.6.1.2 </w:t>
      </w:r>
      <w:r>
        <w:rPr>
          <w:rFonts w:hint="eastAsia" w:ascii="宋体" w:hAnsi="宋体" w:eastAsia="宋体" w:cs="宋体"/>
          <w:b w:val="0"/>
          <w:color w:val="000000"/>
          <w:kern w:val="2"/>
          <w:sz w:val="22"/>
          <w:szCs w:val="22"/>
        </w:rPr>
        <w:t>投标人必须保证机场运行时间内及时响应发包人的请求，在接到报修后</w:t>
      </w:r>
      <w:r>
        <w:rPr>
          <w:rFonts w:ascii="宋体" w:hAnsi="宋体" w:eastAsia="宋体" w:cs="宋体"/>
          <w:b w:val="0"/>
          <w:color w:val="000000"/>
          <w:kern w:val="2"/>
          <w:sz w:val="22"/>
          <w:szCs w:val="22"/>
        </w:rPr>
        <w:t>2</w:t>
      </w:r>
      <w:r>
        <w:rPr>
          <w:rFonts w:hint="eastAsia" w:ascii="宋体" w:hAnsi="宋体" w:eastAsia="宋体" w:cs="宋体"/>
          <w:b w:val="0"/>
          <w:color w:val="000000"/>
          <w:kern w:val="2"/>
          <w:sz w:val="22"/>
          <w:szCs w:val="22"/>
        </w:rPr>
        <w:t>小时内，技术服务人员必须赶到现场服务并连续进行，直至故障排除设备完全恢复正常使用为止。在故障解决之后，投标人应将故障现象及原因、处理过程和方法、完成处理及恢复正常的时间和日期等以书面形式报告发包人。</w:t>
      </w:r>
    </w:p>
    <w:p>
      <w:pPr>
        <w:pStyle w:val="5"/>
        <w:keepNext w:val="0"/>
        <w:keepLines w:val="0"/>
        <w:tabs>
          <w:tab w:val="left" w:pos="900"/>
          <w:tab w:val="left" w:pos="1584"/>
        </w:tabs>
        <w:snapToGrid w:val="0"/>
        <w:spacing w:before="0" w:after="0" w:line="360" w:lineRule="auto"/>
        <w:ind w:left="862" w:right="2" w:rightChars="1" w:hanging="862"/>
        <w:rPr>
          <w:rFonts w:ascii="宋体" w:hAnsi="宋体" w:eastAsia="宋体" w:cs="宋体"/>
          <w:b w:val="0"/>
          <w:color w:val="000000"/>
          <w:kern w:val="2"/>
          <w:sz w:val="22"/>
          <w:szCs w:val="22"/>
        </w:rPr>
      </w:pPr>
      <w:r>
        <w:rPr>
          <w:rFonts w:ascii="Times New Roman" w:hAnsi="Times New Roman" w:eastAsia="等线"/>
          <w:sz w:val="22"/>
          <w:szCs w:val="22"/>
        </w:rPr>
        <w:t xml:space="preserve">1.7.6.1.3 </w:t>
      </w:r>
      <w:r>
        <w:rPr>
          <w:rFonts w:hint="eastAsia" w:ascii="宋体" w:hAnsi="宋体" w:eastAsia="宋体" w:cs="宋体"/>
          <w:b w:val="0"/>
          <w:color w:val="000000"/>
          <w:kern w:val="2"/>
          <w:sz w:val="22"/>
          <w:szCs w:val="22"/>
        </w:rPr>
        <w:t>质保期内投标人必须免费提供系统配置修改、配置升级服务、软件缺陷修补。</w:t>
      </w:r>
    </w:p>
    <w:p>
      <w:pPr>
        <w:pStyle w:val="5"/>
        <w:keepNext w:val="0"/>
        <w:keepLines w:val="0"/>
        <w:tabs>
          <w:tab w:val="left" w:pos="900"/>
          <w:tab w:val="left" w:pos="1584"/>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 xml:space="preserve">1.7.6.1.5 </w:t>
      </w:r>
      <w:r>
        <w:rPr>
          <w:rFonts w:hint="eastAsia" w:ascii="宋体" w:hAnsi="宋体" w:eastAsia="宋体" w:cs="宋体"/>
          <w:b w:val="0"/>
          <w:color w:val="000000"/>
          <w:kern w:val="2"/>
          <w:sz w:val="22"/>
          <w:szCs w:val="22"/>
        </w:rPr>
        <w:t>投标人承担系统质保期内的维修和维护保养工作，并委派指定的技术人员进行维修工作和定期进行维护保养，委派人员名单必须报发包人审批，发包人认为不合格的，投标人应及时给予更换。</w:t>
      </w:r>
    </w:p>
    <w:p>
      <w:pPr>
        <w:pStyle w:val="5"/>
        <w:keepNext w:val="0"/>
        <w:keepLines w:val="0"/>
        <w:tabs>
          <w:tab w:val="left" w:pos="900"/>
          <w:tab w:val="left" w:pos="1584"/>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 xml:space="preserve">1.7.6.1.6 </w:t>
      </w:r>
      <w:r>
        <w:rPr>
          <w:rFonts w:hint="eastAsia" w:ascii="宋体" w:hAnsi="宋体" w:eastAsia="宋体" w:cs="宋体"/>
          <w:b w:val="0"/>
          <w:color w:val="000000"/>
          <w:kern w:val="2"/>
          <w:sz w:val="22"/>
          <w:szCs w:val="22"/>
        </w:rPr>
        <w:t>系统设备无论什么原因发生任何故障或损坏，投标人应及时提供替换设备，以保证每年不低于</w:t>
      </w:r>
      <w:r>
        <w:rPr>
          <w:rFonts w:ascii="宋体" w:hAnsi="宋体" w:eastAsia="宋体" w:cs="宋体"/>
          <w:b w:val="0"/>
          <w:color w:val="000000"/>
          <w:kern w:val="2"/>
          <w:sz w:val="22"/>
          <w:szCs w:val="22"/>
        </w:rPr>
        <w:t>99.9%</w:t>
      </w:r>
      <w:r>
        <w:rPr>
          <w:rFonts w:hint="eastAsia" w:ascii="宋体" w:hAnsi="宋体" w:eastAsia="宋体" w:cs="宋体"/>
          <w:b w:val="0"/>
          <w:color w:val="000000"/>
          <w:kern w:val="2"/>
          <w:sz w:val="22"/>
          <w:szCs w:val="22"/>
        </w:rPr>
        <w:t>的设备可使用率，投标人必须负责维修，维修期限不得超过</w:t>
      </w:r>
      <w:r>
        <w:rPr>
          <w:rFonts w:ascii="宋体" w:hAnsi="宋体" w:eastAsia="宋体" w:cs="宋体"/>
          <w:b w:val="0"/>
          <w:color w:val="000000"/>
          <w:kern w:val="2"/>
          <w:sz w:val="22"/>
          <w:szCs w:val="22"/>
        </w:rPr>
        <w:t>5</w:t>
      </w:r>
      <w:r>
        <w:rPr>
          <w:rFonts w:hint="eastAsia" w:ascii="宋体" w:hAnsi="宋体" w:eastAsia="宋体" w:cs="宋体"/>
          <w:b w:val="0"/>
          <w:color w:val="000000"/>
          <w:kern w:val="2"/>
          <w:sz w:val="22"/>
          <w:szCs w:val="22"/>
        </w:rPr>
        <w:t>天，一切费用由投标人承担。</w:t>
      </w:r>
    </w:p>
    <w:p>
      <w:pPr>
        <w:pStyle w:val="5"/>
        <w:keepNext w:val="0"/>
        <w:keepLines w:val="0"/>
        <w:tabs>
          <w:tab w:val="left" w:pos="900"/>
          <w:tab w:val="left" w:pos="1584"/>
        </w:tabs>
        <w:snapToGrid w:val="0"/>
        <w:spacing w:before="0" w:after="0" w:line="360" w:lineRule="auto"/>
        <w:ind w:left="862" w:right="2" w:rightChars="1" w:hanging="862"/>
        <w:rPr>
          <w:rFonts w:ascii="宋体" w:hAnsi="宋体" w:eastAsia="宋体" w:cs="宋体"/>
          <w:b w:val="0"/>
          <w:color w:val="000000"/>
          <w:kern w:val="2"/>
          <w:sz w:val="22"/>
          <w:szCs w:val="22"/>
        </w:rPr>
      </w:pPr>
      <w:r>
        <w:rPr>
          <w:rFonts w:ascii="Times New Roman" w:hAnsi="Times New Roman" w:eastAsia="等线"/>
          <w:sz w:val="22"/>
          <w:szCs w:val="22"/>
        </w:rPr>
        <w:t>1.7.6.1.7</w:t>
      </w:r>
      <w:r>
        <w:rPr>
          <w:rFonts w:ascii="宋体" w:hAnsi="宋体" w:eastAsia="宋体" w:cs="宋体"/>
          <w:color w:val="000000"/>
          <w:sz w:val="22"/>
          <w:szCs w:val="22"/>
        </w:rPr>
        <w:t xml:space="preserve"> </w:t>
      </w:r>
      <w:r>
        <w:rPr>
          <w:rFonts w:hint="eastAsia" w:ascii="宋体" w:hAnsi="宋体" w:eastAsia="宋体" w:cs="宋体"/>
          <w:b w:val="0"/>
          <w:color w:val="000000"/>
          <w:kern w:val="2"/>
          <w:sz w:val="22"/>
          <w:szCs w:val="22"/>
        </w:rPr>
        <w:t>如质保期内的缺陷未能解决，质保期应相应延长，具体延长时间由双方协定。</w:t>
      </w:r>
    </w:p>
    <w:p>
      <w:pPr>
        <w:pStyle w:val="5"/>
        <w:keepNext w:val="0"/>
        <w:keepLines w:val="0"/>
        <w:tabs>
          <w:tab w:val="left" w:pos="900"/>
          <w:tab w:val="left" w:pos="1080"/>
        </w:tabs>
        <w:snapToGrid w:val="0"/>
        <w:spacing w:before="0" w:after="0" w:line="360" w:lineRule="auto"/>
        <w:rPr>
          <w:rFonts w:ascii="宋体" w:hAnsi="宋体" w:eastAsia="宋体" w:cs="宋体"/>
          <w:b w:val="0"/>
          <w:color w:val="000000"/>
          <w:kern w:val="2"/>
          <w:sz w:val="22"/>
          <w:szCs w:val="22"/>
        </w:rPr>
      </w:pPr>
      <w:r>
        <w:rPr>
          <w:rFonts w:ascii="Times New Roman" w:hAnsi="Times New Roman" w:eastAsia="等线"/>
          <w:sz w:val="22"/>
          <w:szCs w:val="22"/>
        </w:rPr>
        <w:t xml:space="preserve">1.7.6.1.8 </w:t>
      </w:r>
      <w:r>
        <w:rPr>
          <w:rFonts w:hint="eastAsia" w:ascii="宋体" w:hAnsi="宋体" w:eastAsia="宋体" w:cs="宋体"/>
          <w:b w:val="0"/>
          <w:color w:val="000000"/>
          <w:kern w:val="2"/>
          <w:sz w:val="22"/>
          <w:szCs w:val="22"/>
        </w:rPr>
        <w:t>在系统质保期结束前，由专业工程师和发包人代表对整套系统进行一次全面检查，任何缺陷由投标人负责修理。在修理之后，投标人将成因、补救措施、完成修理及恢复正常的时间和日期等报告给发包人。</w:t>
      </w:r>
    </w:p>
    <w:p>
      <w:pPr>
        <w:pStyle w:val="4"/>
        <w:keepNext w:val="0"/>
        <w:numPr>
          <w:ilvl w:val="0"/>
          <w:numId w:val="0"/>
        </w:numPr>
        <w:tabs>
          <w:tab w:val="left" w:pos="720"/>
        </w:tabs>
        <w:snapToGrid w:val="0"/>
        <w:spacing w:line="360" w:lineRule="auto"/>
        <w:ind w:right="2" w:rightChars="1"/>
        <w:rPr>
          <w:rFonts w:hAnsi="宋体"/>
          <w:b w:val="0"/>
          <w:bCs/>
          <w:color w:val="000000"/>
          <w:sz w:val="22"/>
          <w:szCs w:val="22"/>
        </w:rPr>
      </w:pPr>
      <w:bookmarkStart w:id="340" w:name="_Toc119684723"/>
      <w:bookmarkStart w:id="341" w:name="_Toc118214033"/>
      <w:bookmarkStart w:id="342" w:name="_Toc107586446"/>
      <w:bookmarkStart w:id="343" w:name="_Toc118214032"/>
      <w:bookmarkStart w:id="344" w:name="_Toc119684722"/>
      <w:r>
        <w:rPr>
          <w:rFonts w:ascii="Times New Roman"/>
          <w:bCs/>
          <w:sz w:val="22"/>
          <w:szCs w:val="22"/>
        </w:rPr>
        <w:t>1.7.8</w:t>
      </w:r>
      <w:r>
        <w:rPr>
          <w:rFonts w:hint="eastAsia" w:hAnsi="宋体" w:cs="宋体"/>
          <w:bCs/>
          <w:color w:val="000000"/>
          <w:sz w:val="22"/>
          <w:szCs w:val="22"/>
        </w:rPr>
        <w:t>质量管理</w:t>
      </w:r>
      <w:bookmarkEnd w:id="340"/>
      <w:bookmarkEnd w:id="341"/>
      <w:bookmarkEnd w:id="342"/>
    </w:p>
    <w:p>
      <w:pPr>
        <w:pStyle w:val="5"/>
        <w:keepNext w:val="0"/>
        <w:keepLines w:val="0"/>
        <w:tabs>
          <w:tab w:val="left" w:pos="900"/>
          <w:tab w:val="left" w:pos="1584"/>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1.7.8.1</w:t>
      </w:r>
      <w:r>
        <w:rPr>
          <w:rFonts w:hint="eastAsia" w:ascii="宋体" w:hAnsi="宋体" w:eastAsia="宋体" w:cs="宋体"/>
          <w:b w:val="0"/>
          <w:color w:val="000000"/>
          <w:sz w:val="22"/>
          <w:szCs w:val="22"/>
        </w:rPr>
        <w:t>在设计、供应、开发、安装、调试、测试、验收直至质保期结束的各阶段，投标人应负责所有交付内容和产品的质量。</w:t>
      </w:r>
    </w:p>
    <w:p>
      <w:pPr>
        <w:pStyle w:val="5"/>
        <w:keepNext w:val="0"/>
        <w:keepLines w:val="0"/>
        <w:tabs>
          <w:tab w:val="left" w:pos="900"/>
          <w:tab w:val="left" w:pos="1584"/>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1.7.8.2</w:t>
      </w:r>
      <w:r>
        <w:rPr>
          <w:rFonts w:hint="eastAsia" w:ascii="宋体" w:hAnsi="宋体" w:eastAsia="宋体" w:cs="宋体"/>
          <w:b w:val="0"/>
          <w:color w:val="000000"/>
          <w:sz w:val="22"/>
          <w:szCs w:val="22"/>
        </w:rPr>
        <w:t>工程的质量标准必须符合中华人民共和国国家标准。若合同中约定的任何工程质量标准低于国家标准，则按国家标准执行；若合同中约定的任何工程质量标准高于国家标准，则按合同中约定的标准执行。</w:t>
      </w:r>
    </w:p>
    <w:p>
      <w:pPr>
        <w:pStyle w:val="5"/>
        <w:keepNext w:val="0"/>
        <w:keepLines w:val="0"/>
        <w:tabs>
          <w:tab w:val="left" w:pos="900"/>
          <w:tab w:val="left" w:pos="1584"/>
        </w:tabs>
        <w:snapToGrid w:val="0"/>
        <w:spacing w:before="0" w:after="0" w:line="360" w:lineRule="auto"/>
        <w:rPr>
          <w:rFonts w:ascii="宋体" w:hAnsi="宋体" w:eastAsia="宋体"/>
          <w:b w:val="0"/>
          <w:color w:val="000000"/>
          <w:sz w:val="22"/>
          <w:szCs w:val="22"/>
        </w:rPr>
      </w:pPr>
      <w:r>
        <w:rPr>
          <w:rFonts w:ascii="宋体" w:hAnsi="宋体" w:eastAsia="宋体"/>
          <w:color w:val="000000"/>
          <w:sz w:val="22"/>
          <w:szCs w:val="22"/>
        </w:rPr>
        <w:t>1.7.8.3</w:t>
      </w:r>
      <w:r>
        <w:rPr>
          <w:rFonts w:hint="eastAsia" w:ascii="宋体" w:hAnsi="宋体" w:eastAsia="宋体" w:cs="宋体"/>
          <w:b w:val="0"/>
          <w:color w:val="000000"/>
          <w:sz w:val="22"/>
          <w:szCs w:val="22"/>
        </w:rPr>
        <w:t>投标人应按照</w:t>
      </w:r>
      <w:r>
        <w:rPr>
          <w:rFonts w:ascii="宋体" w:hAnsi="宋体" w:eastAsia="宋体"/>
          <w:b w:val="0"/>
          <w:color w:val="000000"/>
          <w:sz w:val="22"/>
          <w:szCs w:val="22"/>
        </w:rPr>
        <w:t>ISO9000</w:t>
      </w:r>
      <w:r>
        <w:rPr>
          <w:rFonts w:hint="eastAsia" w:ascii="宋体" w:hAnsi="宋体" w:eastAsia="宋体" w:cs="宋体"/>
          <w:b w:val="0"/>
          <w:color w:val="000000"/>
          <w:sz w:val="22"/>
          <w:szCs w:val="22"/>
        </w:rPr>
        <w:t>系列质量管理体系的实施、竣工和修补缺陷的规范，建立适当和可行的质量保证体系，并保证工程的实施、竣工和修补缺陷的全部过程符合该质量保证体系的要求。</w:t>
      </w:r>
    </w:p>
    <w:p>
      <w:pPr>
        <w:pStyle w:val="5"/>
        <w:keepNext w:val="0"/>
        <w:keepLines w:val="0"/>
        <w:tabs>
          <w:tab w:val="left" w:pos="900"/>
          <w:tab w:val="left" w:pos="1584"/>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1.7.8.4</w:t>
      </w:r>
      <w:r>
        <w:rPr>
          <w:rFonts w:hint="eastAsia" w:ascii="宋体" w:hAnsi="宋体" w:eastAsia="宋体" w:cs="宋体"/>
          <w:b w:val="0"/>
          <w:color w:val="000000"/>
          <w:sz w:val="22"/>
          <w:szCs w:val="22"/>
        </w:rPr>
        <w:t>投标人应任命一名发包人认可的质量管理代表，负责全面质量保证措施的实施，监督并控制工程的全过程满足质量体系的要求。质量管理代表在工程实施期内始终位于现场，及时就工程质量相关事宜向发包人报告。</w:t>
      </w:r>
    </w:p>
    <w:p>
      <w:pPr>
        <w:pStyle w:val="5"/>
        <w:keepNext w:val="0"/>
        <w:keepLines w:val="0"/>
        <w:tabs>
          <w:tab w:val="left" w:pos="900"/>
          <w:tab w:val="left" w:pos="1584"/>
        </w:tabs>
        <w:snapToGrid w:val="0"/>
        <w:spacing w:before="0" w:after="0" w:line="360" w:lineRule="auto"/>
        <w:ind w:left="862" w:right="2" w:rightChars="1" w:hanging="862"/>
        <w:rPr>
          <w:rFonts w:ascii="宋体" w:hAnsi="宋体" w:eastAsia="宋体"/>
          <w:b w:val="0"/>
          <w:color w:val="000000"/>
          <w:sz w:val="22"/>
          <w:szCs w:val="22"/>
        </w:rPr>
      </w:pPr>
      <w:r>
        <w:rPr>
          <w:rFonts w:ascii="Times New Roman" w:hAnsi="Times New Roman" w:eastAsia="等线"/>
          <w:sz w:val="22"/>
          <w:szCs w:val="22"/>
        </w:rPr>
        <w:t>1.7.8.5</w:t>
      </w:r>
      <w:r>
        <w:rPr>
          <w:rFonts w:hint="eastAsia" w:ascii="宋体" w:hAnsi="宋体" w:eastAsia="宋体" w:cs="宋体"/>
          <w:b w:val="0"/>
          <w:color w:val="000000"/>
          <w:sz w:val="22"/>
          <w:szCs w:val="22"/>
        </w:rPr>
        <w:t>质量体系中应包含对软硬件测试和检验的方法和手段，并在工程中予以使用。</w:t>
      </w:r>
    </w:p>
    <w:p>
      <w:pPr>
        <w:pStyle w:val="5"/>
        <w:keepNext w:val="0"/>
        <w:keepLines w:val="0"/>
        <w:tabs>
          <w:tab w:val="left" w:pos="900"/>
          <w:tab w:val="left" w:pos="1584"/>
        </w:tabs>
        <w:snapToGrid w:val="0"/>
        <w:spacing w:before="0" w:after="0" w:line="360" w:lineRule="auto"/>
        <w:ind w:left="862" w:right="2" w:rightChars="1" w:hanging="862"/>
        <w:rPr>
          <w:rFonts w:ascii="宋体" w:hAnsi="宋体" w:eastAsia="宋体"/>
          <w:b w:val="0"/>
          <w:color w:val="000000"/>
          <w:sz w:val="22"/>
          <w:szCs w:val="22"/>
        </w:rPr>
      </w:pPr>
      <w:r>
        <w:rPr>
          <w:rFonts w:ascii="Times New Roman" w:hAnsi="Times New Roman" w:eastAsia="等线"/>
          <w:sz w:val="22"/>
          <w:szCs w:val="22"/>
        </w:rPr>
        <w:t>1.7.8.6</w:t>
      </w:r>
      <w:r>
        <w:rPr>
          <w:rFonts w:hint="eastAsia" w:ascii="宋体" w:hAnsi="宋体" w:eastAsia="宋体" w:cs="宋体"/>
          <w:b w:val="0"/>
          <w:color w:val="000000"/>
          <w:sz w:val="22"/>
          <w:szCs w:val="22"/>
        </w:rPr>
        <w:t>质量体系还应包括但不限于以下内容：</w:t>
      </w:r>
    </w:p>
    <w:p>
      <w:pPr>
        <w:numPr>
          <w:ilvl w:val="0"/>
          <w:numId w:val="7"/>
        </w:numPr>
        <w:snapToGrid w:val="0"/>
        <w:spacing w:line="360" w:lineRule="auto"/>
        <w:ind w:right="2" w:rightChars="1"/>
        <w:rPr>
          <w:rFonts w:ascii="宋体" w:hAnsi="宋体"/>
          <w:color w:val="000000"/>
          <w:sz w:val="22"/>
        </w:rPr>
      </w:pPr>
      <w:r>
        <w:rPr>
          <w:rFonts w:hint="eastAsia" w:ascii="宋体" w:hAnsi="宋体" w:cs="宋体"/>
          <w:color w:val="000000"/>
          <w:sz w:val="22"/>
        </w:rPr>
        <w:t>施工、生产、安装及测试活动精确完整的测量记录。</w:t>
      </w:r>
    </w:p>
    <w:p>
      <w:pPr>
        <w:numPr>
          <w:ilvl w:val="0"/>
          <w:numId w:val="7"/>
        </w:numPr>
        <w:snapToGrid w:val="0"/>
        <w:spacing w:line="360" w:lineRule="auto"/>
        <w:ind w:right="2" w:rightChars="1"/>
        <w:rPr>
          <w:rFonts w:ascii="宋体" w:hAnsi="宋体"/>
          <w:color w:val="000000"/>
          <w:sz w:val="22"/>
        </w:rPr>
      </w:pPr>
      <w:r>
        <w:rPr>
          <w:rFonts w:hint="eastAsia" w:ascii="宋体" w:hAnsi="宋体" w:cs="宋体"/>
          <w:color w:val="000000"/>
          <w:sz w:val="22"/>
        </w:rPr>
        <w:t>设备及其安装位置的直接关系。</w:t>
      </w:r>
    </w:p>
    <w:p>
      <w:pPr>
        <w:numPr>
          <w:ilvl w:val="0"/>
          <w:numId w:val="7"/>
        </w:numPr>
        <w:snapToGrid w:val="0"/>
        <w:spacing w:line="360" w:lineRule="auto"/>
        <w:ind w:right="2" w:rightChars="1"/>
        <w:rPr>
          <w:rFonts w:ascii="宋体" w:hAnsi="宋体"/>
          <w:color w:val="000000"/>
          <w:sz w:val="22"/>
        </w:rPr>
      </w:pPr>
      <w:r>
        <w:rPr>
          <w:rFonts w:hint="eastAsia" w:ascii="宋体" w:hAnsi="宋体" w:cs="宋体"/>
          <w:color w:val="000000"/>
          <w:sz w:val="22"/>
        </w:rPr>
        <w:t>跟踪</w:t>
      </w:r>
      <w:r>
        <w:rPr>
          <w:rFonts w:hint="eastAsia" w:ascii="宋体" w:hAnsi="宋体" w:cs="宋体"/>
          <w:bCs/>
          <w:color w:val="000000"/>
          <w:sz w:val="22"/>
        </w:rPr>
        <w:t>工程</w:t>
      </w:r>
      <w:r>
        <w:rPr>
          <w:rFonts w:hint="eastAsia" w:ascii="宋体" w:hAnsi="宋体" w:cs="宋体"/>
          <w:color w:val="000000"/>
          <w:sz w:val="22"/>
        </w:rPr>
        <w:t>进度，维护</w:t>
      </w:r>
      <w:r>
        <w:rPr>
          <w:rFonts w:hint="eastAsia" w:ascii="宋体" w:hAnsi="宋体" w:cs="宋体"/>
          <w:bCs/>
          <w:color w:val="000000"/>
          <w:sz w:val="22"/>
        </w:rPr>
        <w:t>工程</w:t>
      </w:r>
      <w:r>
        <w:rPr>
          <w:rFonts w:hint="eastAsia" w:ascii="宋体" w:hAnsi="宋体" w:cs="宋体"/>
          <w:color w:val="000000"/>
          <w:sz w:val="22"/>
        </w:rPr>
        <w:t>全过程中的质量检测记录文档。</w:t>
      </w:r>
    </w:p>
    <w:p>
      <w:pPr>
        <w:numPr>
          <w:ilvl w:val="0"/>
          <w:numId w:val="7"/>
        </w:numPr>
        <w:snapToGrid w:val="0"/>
        <w:spacing w:line="360" w:lineRule="auto"/>
        <w:ind w:right="2" w:rightChars="1"/>
        <w:rPr>
          <w:rFonts w:ascii="宋体" w:hAnsi="宋体"/>
          <w:color w:val="000000"/>
          <w:sz w:val="22"/>
        </w:rPr>
      </w:pPr>
      <w:r>
        <w:rPr>
          <w:rFonts w:hint="eastAsia" w:ascii="宋体" w:hAnsi="宋体" w:cs="宋体"/>
          <w:bCs/>
          <w:color w:val="000000"/>
          <w:sz w:val="22"/>
        </w:rPr>
        <w:t>工程</w:t>
      </w:r>
      <w:r>
        <w:rPr>
          <w:rFonts w:hint="eastAsia" w:ascii="宋体" w:hAnsi="宋体" w:cs="宋体"/>
          <w:color w:val="000000"/>
          <w:sz w:val="22"/>
        </w:rPr>
        <w:t>的关键节点进度表。</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1.7.8.7</w:t>
      </w:r>
      <w:r>
        <w:rPr>
          <w:rFonts w:hint="eastAsia" w:ascii="宋体" w:hAnsi="宋体" w:eastAsia="宋体" w:cs="宋体"/>
          <w:b w:val="0"/>
          <w:color w:val="000000"/>
          <w:sz w:val="22"/>
          <w:szCs w:val="22"/>
        </w:rPr>
        <w:t>投标人应按照质量体系的要求提供、填写、整理并保存任何必要的过程记录。发包人可随时查阅这些过程记录。</w:t>
      </w:r>
    </w:p>
    <w:bookmarkEnd w:id="343"/>
    <w:bookmarkEnd w:id="344"/>
    <w:p>
      <w:pPr>
        <w:pStyle w:val="4"/>
        <w:keepNext w:val="0"/>
        <w:numPr>
          <w:ilvl w:val="0"/>
          <w:numId w:val="0"/>
        </w:numPr>
        <w:tabs>
          <w:tab w:val="left" w:pos="720"/>
        </w:tabs>
        <w:snapToGrid w:val="0"/>
        <w:spacing w:line="360" w:lineRule="auto"/>
        <w:ind w:right="2" w:rightChars="1"/>
        <w:rPr>
          <w:rFonts w:hAnsi="宋体"/>
          <w:bCs/>
          <w:color w:val="000000"/>
          <w:sz w:val="22"/>
          <w:szCs w:val="22"/>
        </w:rPr>
      </w:pPr>
      <w:bookmarkStart w:id="345" w:name="_Toc118214035"/>
      <w:bookmarkStart w:id="346" w:name="_Toc119684725"/>
      <w:r>
        <w:rPr>
          <w:rFonts w:ascii="Times New Roman"/>
          <w:bCs/>
          <w:sz w:val="22"/>
          <w:szCs w:val="22"/>
        </w:rPr>
        <w:t>1.7.9</w:t>
      </w:r>
      <w:r>
        <w:rPr>
          <w:rFonts w:hint="eastAsia" w:hAnsi="宋体" w:cs="宋体"/>
          <w:bCs/>
          <w:color w:val="000000"/>
          <w:sz w:val="22"/>
          <w:szCs w:val="22"/>
        </w:rPr>
        <w:t>变更管理</w:t>
      </w:r>
      <w:bookmarkEnd w:id="345"/>
      <w:bookmarkEnd w:id="346"/>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1.7.9.1</w:t>
      </w:r>
      <w:r>
        <w:rPr>
          <w:rFonts w:hint="eastAsia" w:ascii="宋体" w:hAnsi="宋体" w:eastAsia="宋体" w:cs="宋体"/>
          <w:b w:val="0"/>
          <w:color w:val="000000"/>
          <w:sz w:val="22"/>
          <w:szCs w:val="22"/>
        </w:rPr>
        <w:t>在发生变更的情况下，投标人不应提出任何合同价格之外的费用要求，如果投标人提出合同价格之外的费用要求，发包人有权拒绝且不需说明理由。</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1.7.9.2</w:t>
      </w:r>
      <w:r>
        <w:rPr>
          <w:rFonts w:hint="eastAsia" w:ascii="宋体" w:hAnsi="宋体" w:eastAsia="宋体" w:cs="宋体"/>
          <w:b w:val="0"/>
          <w:color w:val="000000"/>
          <w:sz w:val="22"/>
          <w:szCs w:val="22"/>
        </w:rPr>
        <w:t>投标人应及时把所有的变更体现在有关的文档，记录变更的原因、内容、影响、处理过程、处理结果、日期等，并向发包人书面备案。</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1.7.9.3</w:t>
      </w:r>
      <w:r>
        <w:rPr>
          <w:rFonts w:hint="eastAsia" w:ascii="宋体" w:hAnsi="宋体" w:eastAsia="宋体" w:cs="宋体"/>
          <w:b w:val="0"/>
          <w:color w:val="000000"/>
          <w:sz w:val="22"/>
          <w:szCs w:val="22"/>
        </w:rPr>
        <w:t>所有设备的安装位置、信息点位置等，由于建筑结构、土建装修、使用需求或其它因素造成的变更，由发包人发出变更指示，投标人应遵照执行。</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1.7.9.4</w:t>
      </w:r>
      <w:r>
        <w:rPr>
          <w:rFonts w:hint="eastAsia" w:ascii="宋体" w:hAnsi="宋体" w:eastAsia="宋体" w:cs="宋体"/>
          <w:b w:val="0"/>
          <w:color w:val="000000"/>
          <w:sz w:val="22"/>
          <w:szCs w:val="22"/>
        </w:rPr>
        <w:t>发包人可根据业务需求，要求投标人增加合同所包括的设备或材料数量，投标人必须在发包人规定的期限内以不高于合同所列单价提供设备，并完成增加设备的采购、运输、到货、集成、安装、调试、测试工作，投标人不应要求设备或材料采购费用以外的任何费用。</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1.7.9.5</w:t>
      </w:r>
      <w:r>
        <w:rPr>
          <w:rFonts w:hint="eastAsia" w:ascii="宋体" w:hAnsi="宋体" w:eastAsia="宋体" w:cs="宋体"/>
          <w:b w:val="0"/>
          <w:color w:val="000000"/>
          <w:sz w:val="22"/>
          <w:szCs w:val="22"/>
        </w:rPr>
        <w:t>发包人可根据业务需求，更改设备或材料规格颜色、改变应用系统的部分功能要求，投标人必须在发包人规定的期限内完成更改和相关的集成、安装、调试、测试工作，投标人不应要求增加任何费用。</w:t>
      </w:r>
    </w:p>
    <w:p>
      <w:pPr>
        <w:pStyle w:val="5"/>
        <w:keepNext w:val="0"/>
        <w:keepLines w:val="0"/>
        <w:tabs>
          <w:tab w:val="left" w:pos="900"/>
          <w:tab w:val="left" w:pos="960"/>
        </w:tabs>
        <w:snapToGrid w:val="0"/>
        <w:spacing w:before="0" w:after="0" w:line="360" w:lineRule="auto"/>
        <w:ind w:left="960" w:right="2" w:rightChars="1" w:hanging="960"/>
        <w:rPr>
          <w:rFonts w:ascii="宋体" w:hAnsi="宋体" w:eastAsia="宋体"/>
          <w:b w:val="0"/>
          <w:color w:val="000000"/>
          <w:sz w:val="22"/>
          <w:szCs w:val="22"/>
        </w:rPr>
      </w:pPr>
      <w:r>
        <w:rPr>
          <w:rFonts w:ascii="Times New Roman" w:hAnsi="Times New Roman" w:eastAsia="等线"/>
          <w:sz w:val="22"/>
          <w:szCs w:val="22"/>
        </w:rPr>
        <w:t>1.7.9.6</w:t>
      </w:r>
      <w:r>
        <w:rPr>
          <w:rFonts w:hint="eastAsia" w:ascii="宋体" w:hAnsi="宋体" w:eastAsia="宋体" w:cs="宋体"/>
          <w:b w:val="0"/>
          <w:color w:val="000000"/>
          <w:sz w:val="22"/>
          <w:szCs w:val="22"/>
        </w:rPr>
        <w:t>没有发包人的书面指示，投标人不得作任何变更。</w:t>
      </w:r>
    </w:p>
    <w:p>
      <w:pPr>
        <w:pStyle w:val="4"/>
        <w:keepNext w:val="0"/>
        <w:numPr>
          <w:ilvl w:val="0"/>
          <w:numId w:val="0"/>
        </w:numPr>
        <w:tabs>
          <w:tab w:val="left" w:pos="720"/>
        </w:tabs>
        <w:snapToGrid w:val="0"/>
        <w:spacing w:line="360" w:lineRule="auto"/>
        <w:ind w:right="2" w:rightChars="1"/>
        <w:rPr>
          <w:rFonts w:hAnsi="宋体"/>
          <w:b w:val="0"/>
          <w:bCs/>
          <w:color w:val="000000"/>
          <w:sz w:val="22"/>
          <w:szCs w:val="22"/>
        </w:rPr>
      </w:pPr>
      <w:r>
        <w:rPr>
          <w:rFonts w:ascii="Times New Roman"/>
          <w:bCs/>
          <w:sz w:val="22"/>
          <w:szCs w:val="22"/>
        </w:rPr>
        <w:t>1.7.10</w:t>
      </w:r>
      <w:r>
        <w:rPr>
          <w:rFonts w:hint="eastAsia" w:hAnsi="宋体" w:cs="宋体"/>
          <w:bCs/>
          <w:color w:val="000000"/>
          <w:sz w:val="22"/>
          <w:szCs w:val="22"/>
        </w:rPr>
        <w:t>施工、安装与测试</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1.7.10.1</w:t>
      </w:r>
      <w:r>
        <w:rPr>
          <w:rFonts w:hint="eastAsia" w:ascii="宋体" w:hAnsi="宋体" w:eastAsia="宋体" w:cs="宋体"/>
          <w:b w:val="0"/>
          <w:color w:val="000000"/>
          <w:sz w:val="22"/>
          <w:szCs w:val="22"/>
        </w:rPr>
        <w:t>投标人按质量体系要求，管理和控制工程的所有施工、安装、与测试，管理和控制包括但不限于：详细的操作规程、人力资源、所需设备、工作环境。质量体系应为施工、安装与测试的每一步骤提供单独的指导程序。</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1.7.10.2</w:t>
      </w:r>
      <w:r>
        <w:rPr>
          <w:rFonts w:hint="eastAsia" w:ascii="宋体" w:hAnsi="宋体" w:eastAsia="宋体" w:cs="宋体"/>
          <w:b w:val="0"/>
          <w:color w:val="000000"/>
          <w:sz w:val="22"/>
          <w:szCs w:val="22"/>
        </w:rPr>
        <w:t>施工与安装前应对施工及工作条件进行预估，办理相关手续。在施工与安装过程中，保持与发包人、设计方的协调和沟通，接受发包人、工程监督人员的监督和检查。每日记录现场活动、人员及设备使用情况。</w:t>
      </w:r>
    </w:p>
    <w:p>
      <w:pPr>
        <w:pStyle w:val="4"/>
        <w:keepNext w:val="0"/>
        <w:numPr>
          <w:ilvl w:val="0"/>
          <w:numId w:val="0"/>
        </w:numPr>
        <w:tabs>
          <w:tab w:val="left" w:pos="720"/>
          <w:tab w:val="left" w:pos="960"/>
        </w:tabs>
        <w:snapToGrid w:val="0"/>
        <w:spacing w:line="360" w:lineRule="auto"/>
        <w:ind w:right="2" w:rightChars="1"/>
        <w:rPr>
          <w:rFonts w:hAnsi="宋体"/>
          <w:b w:val="0"/>
          <w:bCs/>
          <w:color w:val="000000"/>
          <w:sz w:val="22"/>
          <w:szCs w:val="22"/>
        </w:rPr>
      </w:pPr>
      <w:bookmarkStart w:id="347" w:name="_Toc118214039"/>
      <w:bookmarkStart w:id="348" w:name="_Toc119684729"/>
      <w:r>
        <w:rPr>
          <w:rFonts w:ascii="Times New Roman"/>
          <w:bCs/>
          <w:sz w:val="22"/>
          <w:szCs w:val="22"/>
        </w:rPr>
        <w:t>1.7.11</w:t>
      </w:r>
      <w:r>
        <w:rPr>
          <w:rFonts w:hint="eastAsia" w:hAnsi="宋体" w:cs="宋体"/>
          <w:bCs/>
          <w:color w:val="000000"/>
          <w:sz w:val="22"/>
          <w:szCs w:val="22"/>
        </w:rPr>
        <w:t>日常管理</w:t>
      </w:r>
      <w:bookmarkEnd w:id="347"/>
      <w:bookmarkEnd w:id="348"/>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1.7.11.1</w:t>
      </w:r>
      <w:r>
        <w:rPr>
          <w:rFonts w:hint="eastAsia" w:ascii="宋体" w:hAnsi="宋体" w:eastAsia="宋体" w:cs="宋体"/>
          <w:b w:val="0"/>
          <w:color w:val="000000"/>
          <w:sz w:val="22"/>
          <w:szCs w:val="22"/>
        </w:rPr>
        <w:t>投标人就安全、消防、卫生、用电等方面制定相应的管理规章制度，报发包人并严格执行，做到安全施工、文明管理。</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1.7.11.2</w:t>
      </w:r>
      <w:r>
        <w:rPr>
          <w:rFonts w:hint="eastAsia" w:ascii="宋体" w:hAnsi="宋体" w:eastAsia="宋体" w:cs="宋体"/>
          <w:b w:val="0"/>
          <w:color w:val="000000"/>
          <w:sz w:val="22"/>
          <w:szCs w:val="22"/>
        </w:rPr>
        <w:t>在工程施工期间，投标人保持现场不出现不必要的障碍物，存放并处置好设备和材料，清运废料、垃圾。</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1.7.11.3</w:t>
      </w:r>
      <w:r>
        <w:rPr>
          <w:rFonts w:hint="eastAsia" w:ascii="宋体" w:hAnsi="宋体" w:eastAsia="宋体" w:cs="宋体"/>
          <w:b w:val="0"/>
          <w:color w:val="000000"/>
          <w:sz w:val="22"/>
          <w:szCs w:val="22"/>
        </w:rPr>
        <w:t>在工程结束正式移交给发包人之前，投标人从其施工现场清运全部施工设备、材料、垃圾，保持现场清洁整齐。投标人可以在现场保留为完成系统质保期内的各项义务所需要的材料、设备，直至系统质保期结束，但须服从发包人安排，并承担可能发生的费用。</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1.7.11.4</w:t>
      </w:r>
      <w:r>
        <w:rPr>
          <w:rFonts w:hint="eastAsia" w:ascii="宋体" w:hAnsi="宋体" w:eastAsia="宋体" w:cs="宋体"/>
          <w:b w:val="0"/>
          <w:color w:val="000000"/>
          <w:sz w:val="22"/>
          <w:szCs w:val="22"/>
        </w:rPr>
        <w:t>除合同中另有约定，从工程开工日期起直到整个工程的竣工止，承包商应对整个工程、施工过程的中间成果、工程材料、待安装及已经安装的工程设备（服务器、工作站、外设等）等的保护负完全责任。</w:t>
      </w:r>
    </w:p>
    <w:p>
      <w:pPr>
        <w:pStyle w:val="5"/>
        <w:keepNext w:val="0"/>
        <w:keepLines w:val="0"/>
        <w:tabs>
          <w:tab w:val="left" w:pos="900"/>
          <w:tab w:val="left" w:pos="960"/>
        </w:tabs>
        <w:snapToGrid w:val="0"/>
        <w:spacing w:before="0" w:after="0" w:line="360" w:lineRule="auto"/>
        <w:rPr>
          <w:rFonts w:ascii="宋体" w:hAnsi="宋体" w:eastAsia="宋体"/>
          <w:b w:val="0"/>
          <w:color w:val="000000"/>
          <w:sz w:val="22"/>
          <w:szCs w:val="22"/>
        </w:rPr>
      </w:pPr>
      <w:r>
        <w:rPr>
          <w:rFonts w:ascii="Times New Roman" w:hAnsi="Times New Roman" w:eastAsia="等线"/>
          <w:sz w:val="22"/>
          <w:szCs w:val="22"/>
        </w:rPr>
        <w:t>1.7.11.5</w:t>
      </w:r>
      <w:r>
        <w:rPr>
          <w:rFonts w:hint="eastAsia" w:ascii="宋体" w:hAnsi="宋体" w:eastAsia="宋体" w:cs="宋体"/>
          <w:b w:val="0"/>
          <w:color w:val="000000"/>
          <w:sz w:val="22"/>
          <w:szCs w:val="22"/>
        </w:rPr>
        <w:t>工程期间，投标人的中间成果、设备、材料损坏或丢失，不论何种原因，投标人必须免费修理或补足。</w:t>
      </w:r>
    </w:p>
    <w:p>
      <w:pPr>
        <w:pStyle w:val="4"/>
        <w:keepNext w:val="0"/>
        <w:numPr>
          <w:ilvl w:val="0"/>
          <w:numId w:val="0"/>
        </w:numPr>
        <w:tabs>
          <w:tab w:val="left" w:pos="720"/>
          <w:tab w:val="left" w:pos="960"/>
        </w:tabs>
        <w:snapToGrid w:val="0"/>
        <w:spacing w:line="360" w:lineRule="auto"/>
        <w:ind w:right="2" w:rightChars="1"/>
        <w:rPr>
          <w:rFonts w:hAnsi="宋体"/>
          <w:color w:val="000000"/>
          <w:sz w:val="22"/>
          <w:szCs w:val="22"/>
        </w:rPr>
      </w:pPr>
      <w:r>
        <w:rPr>
          <w:rFonts w:ascii="Times New Roman"/>
          <w:bCs/>
          <w:sz w:val="22"/>
          <w:szCs w:val="22"/>
        </w:rPr>
        <w:t>1.7.12</w:t>
      </w:r>
      <w:r>
        <w:rPr>
          <w:rFonts w:hint="eastAsia" w:hAnsi="宋体" w:cs="宋体"/>
          <w:color w:val="000000"/>
          <w:sz w:val="22"/>
          <w:szCs w:val="22"/>
        </w:rPr>
        <w:t>招标人对工程主要材料（设备）的要求</w:t>
      </w:r>
    </w:p>
    <w:p>
      <w:pPr>
        <w:spacing w:line="360" w:lineRule="auto"/>
        <w:ind w:firstLine="440" w:firstLineChars="200"/>
        <w:rPr>
          <w:rFonts w:ascii="宋体" w:hAnsi="宋体"/>
          <w:color w:val="000000"/>
          <w:sz w:val="22"/>
        </w:rPr>
      </w:pPr>
      <w:r>
        <w:rPr>
          <w:rFonts w:hint="eastAsia" w:ascii="宋体" w:hAnsi="宋体" w:cs="宋体"/>
          <w:color w:val="000000"/>
          <w:sz w:val="22"/>
        </w:rPr>
        <w:t>本工程部分材料设备，招标人推荐以下生产厂或品牌，投标人自选其一或自选“同档次及以上”生产厂或品牌，竞争报价，并在填报的主要材料（设备）品牌要求选择一览表中明确注明所选材料（设备）生产厂或品牌等；如选择“同档次及以上”生产厂或品牌的，应自行考虑是否能被评标委员会所接受的风险。</w:t>
      </w:r>
    </w:p>
    <w:p>
      <w:pPr>
        <w:spacing w:line="360" w:lineRule="auto"/>
        <w:ind w:firstLine="440" w:firstLineChars="200"/>
        <w:rPr>
          <w:rFonts w:ascii="宋体" w:hAnsi="宋体"/>
          <w:color w:val="000000"/>
          <w:sz w:val="22"/>
        </w:rPr>
      </w:pPr>
      <w:r>
        <w:rPr>
          <w:rFonts w:hint="eastAsia" w:ascii="宋体" w:hAnsi="宋体" w:cs="宋体"/>
          <w:color w:val="000000"/>
          <w:sz w:val="22"/>
        </w:rPr>
        <w:t>其中，承包人在施工时须按投标的品牌及厂家采购，采购前一个月内向发包人提供样品，并经发包人认可封样后方可采购；如遇投标人自身的原因而更换的，须经发包人同意方可更换，而更换的品牌及厂家须在招标时发包人推荐品牌中除“同档次及以上”外的范围内选定，材料（设备）价格不超过投标价。在施工过程中，材料（设备）色泽必须事先经发包人确认，无论材料色泽如何变化，价格均不予调整，请投标人在报价时考虑此因素。</w:t>
      </w:r>
    </w:p>
    <w:p>
      <w:pPr>
        <w:rPr>
          <w:color w:val="000000"/>
        </w:rPr>
      </w:pPr>
    </w:p>
    <w:p>
      <w:pPr>
        <w:overflowPunct w:val="0"/>
        <w:autoSpaceDE w:val="0"/>
        <w:autoSpaceDN w:val="0"/>
        <w:spacing w:line="440" w:lineRule="exact"/>
        <w:ind w:left="839" w:hanging="839"/>
        <w:jc w:val="center"/>
        <w:rPr>
          <w:rFonts w:ascii="宋体" w:cs="宋体"/>
          <w:b/>
          <w:sz w:val="32"/>
          <w:szCs w:val="32"/>
        </w:rPr>
      </w:pPr>
    </w:p>
    <w:p/>
    <w:p/>
    <w:sectPr>
      <w:footerReference r:id="rId9" w:type="first"/>
      <w:headerReference r:id="rId7" w:type="default"/>
      <w:footerReference r:id="rId8" w:type="default"/>
      <w:pgSz w:w="11906" w:h="16838"/>
      <w:pgMar w:top="1134" w:right="1247" w:bottom="1134"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华文仿宋"/>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PAGE   \* MERGEFORMAT</w:instrText>
    </w:r>
    <w:r>
      <w:fldChar w:fldCharType="separate"/>
    </w:r>
    <w:r>
      <w:rPr>
        <w:lang w:val="zh-CN"/>
      </w:rPr>
      <w:t>1</w:t>
    </w:r>
    <w:r>
      <w:fldChar w:fldCharType="end"/>
    </w:r>
  </w:p>
  <w:p>
    <w:pPr>
      <w:pStyle w:val="1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Fonts w:ascii="Calibri" w:hAnsi="Calibri"/>
      </w:rPr>
      <w:instrText xml:space="preserve">PAGE  </w:instrTex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PAGE   \* MERGEFORMAT</w:instrText>
    </w:r>
    <w:r>
      <w:fldChar w:fldCharType="separate"/>
    </w:r>
    <w:r>
      <w:rPr>
        <w:lang w:val="zh-CN"/>
      </w:rPr>
      <w:t>122</w:t>
    </w:r>
    <w:r>
      <w:fldChar w:fldCharType="end"/>
    </w:r>
  </w:p>
  <w:p>
    <w:pPr>
      <w:pStyle w:val="10"/>
      <w:ind w:right="360"/>
      <w:rPr>
        <w:rFonts w:ascii="宋体"/>
        <w: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Fonts w:ascii="Calibri" w:hAnsi="Calibri"/>
      </w:rPr>
      <w:instrText xml:space="preserve">PAGE  </w:instrText>
    </w:r>
    <w:r>
      <w:fldChar w:fldCharType="separate"/>
    </w:r>
    <w:r>
      <w:rPr>
        <w:rStyle w:val="17"/>
        <w:rFonts w:ascii="Calibri" w:hAnsi="Calibri"/>
      </w:rPr>
      <w:t>40</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single" w:color="auto" w:sz="4" w:space="1"/>
        <w:right w:val="none" w:color="auto" w:sz="0" w:space="0"/>
      </w:pBdr>
      <w:jc w:val="center"/>
      <w:rPr>
        <w:rFonts w:ascii="宋体" w:hAnsi="宋体"/>
        <w:color w:val="000000"/>
        <w:szCs w:val="18"/>
      </w:rPr>
    </w:pPr>
    <w:r>
      <w:rPr>
        <w:rFonts w:hint="eastAsia" w:ascii="宋体" w:hAnsi="宋体"/>
        <w:color w:val="000000"/>
        <w:szCs w:val="18"/>
      </w:rPr>
      <w:t>杭州萧山国际机场场区高空监控工程招标文件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i/>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A9252D"/>
    <w:multiLevelType w:val="singleLevel"/>
    <w:tmpl w:val="EEA9252D"/>
    <w:lvl w:ilvl="0" w:tentative="0">
      <w:start w:val="5"/>
      <w:numFmt w:val="chineseCounting"/>
      <w:suff w:val="space"/>
      <w:lvlText w:val="第%1章"/>
      <w:lvlJc w:val="left"/>
      <w:rPr>
        <w:rFonts w:hint="eastAsia"/>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abstractNum w:abstractNumId="2">
    <w:nsid w:val="004509D0"/>
    <w:multiLevelType w:val="multilevel"/>
    <w:tmpl w:val="004509D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cs="Times New Roman"/>
      </w:rPr>
    </w:lvl>
    <w:lvl w:ilvl="1" w:tentative="0">
      <w:start w:val="1"/>
      <w:numFmt w:val="decimalEnclosedCircle"/>
      <w:lvlText w:val="%2"/>
      <w:lvlJc w:val="left"/>
      <w:pPr>
        <w:tabs>
          <w:tab w:val="left" w:pos="1335"/>
        </w:tabs>
        <w:ind w:left="1335" w:hanging="360"/>
      </w:pPr>
      <w:rPr>
        <w:rFonts w:hint="eastAsia" w:hAnsi="宋体" w:cs="Times New Roman"/>
      </w:rPr>
    </w:lvl>
    <w:lvl w:ilvl="2" w:tentative="0">
      <w:start w:val="1"/>
      <w:numFmt w:val="lowerRoman"/>
      <w:lvlText w:val="%3."/>
      <w:lvlJc w:val="right"/>
      <w:pPr>
        <w:tabs>
          <w:tab w:val="left" w:pos="420"/>
        </w:tabs>
        <w:ind w:left="420" w:hanging="420"/>
      </w:pPr>
      <w:rPr>
        <w:rFonts w:cs="Times New Roman"/>
      </w:rPr>
    </w:lvl>
    <w:lvl w:ilvl="3" w:tentative="0">
      <w:start w:val="1"/>
      <w:numFmt w:val="decimal"/>
      <w:lvlText w:val="%4."/>
      <w:lvlJc w:val="left"/>
      <w:pPr>
        <w:tabs>
          <w:tab w:val="left" w:pos="2235"/>
        </w:tabs>
        <w:ind w:left="2235" w:hanging="420"/>
      </w:pPr>
      <w:rPr>
        <w:rFonts w:cs="Times New Roman"/>
      </w:rPr>
    </w:lvl>
    <w:lvl w:ilvl="4" w:tentative="0">
      <w:start w:val="1"/>
      <w:numFmt w:val="lowerLetter"/>
      <w:lvlText w:val="%5)"/>
      <w:lvlJc w:val="left"/>
      <w:pPr>
        <w:tabs>
          <w:tab w:val="left" w:pos="2655"/>
        </w:tabs>
        <w:ind w:left="2655" w:hanging="420"/>
      </w:pPr>
      <w:rPr>
        <w:rFonts w:cs="Times New Roman"/>
      </w:rPr>
    </w:lvl>
    <w:lvl w:ilvl="5" w:tentative="0">
      <w:start w:val="1"/>
      <w:numFmt w:val="lowerRoman"/>
      <w:lvlText w:val="%6."/>
      <w:lvlJc w:val="right"/>
      <w:pPr>
        <w:tabs>
          <w:tab w:val="left" w:pos="3075"/>
        </w:tabs>
        <w:ind w:left="3075" w:hanging="420"/>
      </w:pPr>
      <w:rPr>
        <w:rFonts w:cs="Times New Roman"/>
      </w:rPr>
    </w:lvl>
    <w:lvl w:ilvl="6" w:tentative="0">
      <w:start w:val="1"/>
      <w:numFmt w:val="decimal"/>
      <w:lvlText w:val="%7."/>
      <w:lvlJc w:val="left"/>
      <w:pPr>
        <w:tabs>
          <w:tab w:val="left" w:pos="3495"/>
        </w:tabs>
        <w:ind w:left="3495" w:hanging="420"/>
      </w:pPr>
      <w:rPr>
        <w:rFonts w:cs="Times New Roman"/>
      </w:rPr>
    </w:lvl>
    <w:lvl w:ilvl="7" w:tentative="0">
      <w:start w:val="1"/>
      <w:numFmt w:val="lowerLetter"/>
      <w:lvlText w:val="%8)"/>
      <w:lvlJc w:val="left"/>
      <w:pPr>
        <w:tabs>
          <w:tab w:val="left" w:pos="3915"/>
        </w:tabs>
        <w:ind w:left="3915" w:hanging="420"/>
      </w:pPr>
      <w:rPr>
        <w:rFonts w:cs="Times New Roman"/>
      </w:rPr>
    </w:lvl>
    <w:lvl w:ilvl="8" w:tentative="0">
      <w:start w:val="1"/>
      <w:numFmt w:val="lowerRoman"/>
      <w:lvlText w:val="%9."/>
      <w:lvlJc w:val="right"/>
      <w:pPr>
        <w:tabs>
          <w:tab w:val="left" w:pos="4335"/>
        </w:tabs>
        <w:ind w:left="4335" w:hanging="420"/>
      </w:pPr>
      <w:rPr>
        <w:rFonts w:cs="Times New Roman"/>
      </w:rPr>
    </w:lvl>
  </w:abstractNum>
  <w:abstractNum w:abstractNumId="4">
    <w:nsid w:val="580EB212"/>
    <w:multiLevelType w:val="singleLevel"/>
    <w:tmpl w:val="580EB212"/>
    <w:lvl w:ilvl="0" w:tentative="0">
      <w:start w:val="1"/>
      <w:numFmt w:val="lowerLetter"/>
      <w:suff w:val="space"/>
      <w:lvlText w:val="%1、"/>
      <w:lvlJc w:val="left"/>
      <w:rPr>
        <w:rFonts w:cs="Times New Roman"/>
      </w:rPr>
    </w:lvl>
  </w:abstractNum>
  <w:abstractNum w:abstractNumId="5">
    <w:nsid w:val="580ED017"/>
    <w:multiLevelType w:val="multilevel"/>
    <w:tmpl w:val="580ED01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580ED022"/>
    <w:multiLevelType w:val="multilevel"/>
    <w:tmpl w:val="580ED022"/>
    <w:lvl w:ilvl="0" w:tentative="0">
      <w:start w:val="1"/>
      <w:numFmt w:val="decimal"/>
      <w:lvlText w:val="%1)"/>
      <w:lvlJc w:val="left"/>
      <w:pPr>
        <w:tabs>
          <w:tab w:val="left" w:pos="1140"/>
        </w:tabs>
        <w:ind w:left="1140" w:hanging="420"/>
      </w:pPr>
      <w:rPr>
        <w:rFonts w:cs="Times New Roman"/>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840"/>
        </w:tabs>
        <w:ind w:left="840" w:hanging="420"/>
      </w:pPr>
      <w:rPr>
        <w:rFonts w:hint="default" w:ascii="Wingdings" w:hAnsi="Wingdings"/>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bullet"/>
      <w:lvlText w:val=""/>
      <w:lvlJc w:val="left"/>
      <w:pPr>
        <w:tabs>
          <w:tab w:val="left" w:pos="1680"/>
        </w:tabs>
        <w:ind w:left="1680" w:hanging="420"/>
      </w:pPr>
      <w:rPr>
        <w:rFonts w:hint="default" w:ascii="Wingdings" w:hAnsi="Wingdings"/>
      </w:rPr>
    </w:lvl>
    <w:lvl w:ilvl="5" w:tentative="0">
      <w:start w:val="1"/>
      <w:numFmt w:val="bullet"/>
      <w:lvlText w:val=""/>
      <w:lvlJc w:val="left"/>
      <w:pPr>
        <w:tabs>
          <w:tab w:val="left" w:pos="2100"/>
        </w:tabs>
        <w:ind w:left="2100" w:hanging="420"/>
      </w:pPr>
      <w:rPr>
        <w:rFonts w:hint="default" w:ascii="Wingdings" w:hAnsi="Wingdings"/>
      </w:rPr>
    </w:lvl>
    <w:lvl w:ilvl="6" w:tentative="0">
      <w:start w:val="1"/>
      <w:numFmt w:val="bullet"/>
      <w:lvlText w:val=""/>
      <w:lvlJc w:val="left"/>
      <w:pPr>
        <w:tabs>
          <w:tab w:val="left" w:pos="2520"/>
        </w:tabs>
        <w:ind w:left="2520" w:hanging="420"/>
      </w:pPr>
      <w:rPr>
        <w:rFonts w:hint="default" w:ascii="Wingdings" w:hAnsi="Wingdings"/>
      </w:rPr>
    </w:lvl>
    <w:lvl w:ilvl="7" w:tentative="0">
      <w:start w:val="1"/>
      <w:numFmt w:val="bullet"/>
      <w:lvlText w:val=""/>
      <w:lvlJc w:val="left"/>
      <w:pPr>
        <w:tabs>
          <w:tab w:val="left" w:pos="2940"/>
        </w:tabs>
        <w:ind w:left="2940" w:hanging="420"/>
      </w:pPr>
      <w:rPr>
        <w:rFonts w:hint="default" w:ascii="Wingdings" w:hAnsi="Wingdings"/>
      </w:rPr>
    </w:lvl>
    <w:lvl w:ilvl="8" w:tentative="0">
      <w:start w:val="1"/>
      <w:numFmt w:val="bullet"/>
      <w:lvlText w:val=""/>
      <w:lvlJc w:val="left"/>
      <w:pPr>
        <w:tabs>
          <w:tab w:val="left" w:pos="3360"/>
        </w:tabs>
        <w:ind w:left="3360" w:hanging="420"/>
      </w:pPr>
      <w:rPr>
        <w:rFonts w:hint="default" w:ascii="Wingdings" w:hAnsi="Wingdings"/>
      </w:rPr>
    </w:lvl>
  </w:abstractNum>
  <w:num w:numId="1">
    <w:abstractNumId w:val="3"/>
  </w:num>
  <w:num w:numId="2">
    <w:abstractNumId w:val="4"/>
  </w:num>
  <w:num w:numId="3">
    <w:abstractNumId w:val="0"/>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FA7CD5"/>
    <w:rsid w:val="6EE359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3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paragraph" w:styleId="2">
    <w:name w:val="heading 1"/>
    <w:next w:val="1"/>
    <w:qFormat/>
    <w:uiPriority w:val="0"/>
    <w:pPr>
      <w:keepNext/>
      <w:keepLines/>
      <w:widowControl w:val="0"/>
      <w:spacing w:before="340" w:after="330" w:line="360" w:lineRule="auto"/>
      <w:jc w:val="center"/>
      <w:outlineLvl w:val="0"/>
    </w:pPr>
    <w:rPr>
      <w:rFonts w:ascii="Times New Roman" w:hAnsi="Times New Roman" w:eastAsia="宋体" w:cs="Times New Roman"/>
      <w:b/>
      <w:bCs/>
      <w:kern w:val="44"/>
      <w:sz w:val="30"/>
      <w:szCs w:val="44"/>
      <w:lang w:val="en-US" w:eastAsia="zh-CN" w:bidi="ar-SA"/>
    </w:rPr>
  </w:style>
  <w:style w:type="paragraph" w:styleId="3">
    <w:name w:val="heading 2"/>
    <w:next w:val="1"/>
    <w:qFormat/>
    <w:uiPriority w:val="0"/>
    <w:pPr>
      <w:keepNext/>
      <w:keepLines/>
      <w:widowControl w:val="0"/>
      <w:spacing w:before="260" w:after="260" w:line="360" w:lineRule="auto"/>
      <w:jc w:val="center"/>
      <w:outlineLvl w:val="1"/>
    </w:pPr>
    <w:rPr>
      <w:rFonts w:ascii="Arial" w:hAnsi="Arial" w:eastAsia="宋体" w:cs="Times New Roman"/>
      <w:b/>
      <w:bCs/>
      <w:sz w:val="28"/>
      <w:szCs w:val="32"/>
      <w:lang w:val="en-US" w:eastAsia="zh-CN" w:bidi="ar-SA"/>
    </w:rPr>
  </w:style>
  <w:style w:type="paragraph" w:styleId="4">
    <w:name w:val="heading 3"/>
    <w:next w:val="1"/>
    <w:qFormat/>
    <w:uiPriority w:val="0"/>
    <w:pPr>
      <w:keepNext/>
      <w:widowControl w:val="0"/>
      <w:numPr>
        <w:ilvl w:val="0"/>
        <w:numId w:val="1"/>
      </w:numPr>
      <w:spacing w:line="216" w:lineRule="auto"/>
      <w:jc w:val="both"/>
      <w:outlineLvl w:val="2"/>
    </w:pPr>
    <w:rPr>
      <w:rFonts w:ascii="宋体" w:hAnsi="Times New Roman" w:eastAsia="宋体" w:cs="Times New Roman"/>
      <w:b/>
      <w:sz w:val="28"/>
      <w:lang w:val="en-US" w:eastAsia="zh-CN" w:bidi="ar-SA"/>
    </w:rPr>
  </w:style>
  <w:style w:type="paragraph" w:styleId="5">
    <w:name w:val="heading 4"/>
    <w:next w:val="1"/>
    <w:qFormat/>
    <w:uiPriority w:val="0"/>
    <w:pPr>
      <w:keepNext/>
      <w:keepLines/>
      <w:widowControl w:val="0"/>
      <w:spacing w:before="280" w:after="290" w:line="376" w:lineRule="auto"/>
      <w:jc w:val="both"/>
      <w:outlineLvl w:val="3"/>
    </w:pPr>
    <w:rPr>
      <w:rFonts w:ascii="Arial" w:hAnsi="Arial" w:eastAsia="黑体" w:cs="Times New Roman"/>
      <w:b/>
      <w:bCs/>
      <w:sz w:val="28"/>
      <w:szCs w:val="28"/>
      <w:lang w:val="en-US" w:eastAsia="zh-CN" w:bidi="ar-SA"/>
    </w:rPr>
  </w:style>
  <w:style w:type="paragraph" w:styleId="6">
    <w:name w:val="heading 5"/>
    <w:basedOn w:val="1"/>
    <w:next w:val="1"/>
    <w:qFormat/>
    <w:uiPriority w:val="0"/>
    <w:pPr>
      <w:keepNext/>
      <w:keepLines/>
      <w:spacing w:before="280" w:after="290" w:line="376" w:lineRule="auto"/>
      <w:outlineLvl w:val="4"/>
    </w:pPr>
    <w:rPr>
      <w:rFonts w:ascii="Times New Roman" w:hAnsi="Times New Roman"/>
      <w:b/>
      <w:bCs/>
      <w:sz w:val="28"/>
      <w:szCs w:val="28"/>
    </w:rPr>
  </w:style>
  <w:style w:type="character" w:default="1" w:styleId="16">
    <w:name w:val="Default Paragraph Font"/>
    <w:unhideWhenUsed/>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7">
    <w:name w:val="Plain Text"/>
    <w:qFormat/>
    <w:uiPriority w:val="0"/>
    <w:pPr>
      <w:widowControl w:val="0"/>
      <w:jc w:val="both"/>
    </w:pPr>
    <w:rPr>
      <w:rFonts w:ascii="宋体" w:hAnsi="Courier New" w:eastAsia="宋体" w:cs="Times New Roman"/>
      <w:szCs w:val="21"/>
      <w:lang w:val="en-US" w:eastAsia="zh-CN" w:bidi="ar-SA"/>
    </w:rPr>
  </w:style>
  <w:style w:type="paragraph" w:styleId="8">
    <w:name w:val="Body Text Indent 2"/>
    <w:qFormat/>
    <w:uiPriority w:val="0"/>
    <w:pPr>
      <w:widowControl w:val="0"/>
      <w:spacing w:after="120" w:line="480" w:lineRule="auto"/>
      <w:ind w:left="420" w:leftChars="200"/>
      <w:jc w:val="both"/>
    </w:pPr>
    <w:rPr>
      <w:rFonts w:ascii="Times New Roman" w:hAnsi="Times New Roman" w:eastAsia="宋体" w:cs="Times New Roman"/>
      <w:lang w:val="en-US" w:eastAsia="zh-CN" w:bidi="ar-SA"/>
    </w:rPr>
  </w:style>
  <w:style w:type="paragraph" w:styleId="9">
    <w:name w:val="Balloon Text"/>
    <w:basedOn w:val="1"/>
    <w:link w:val="34"/>
    <w:uiPriority w:val="0"/>
    <w:rPr>
      <w:sz w:val="18"/>
      <w:szCs w:val="18"/>
    </w:rPr>
  </w:style>
  <w:style w:type="paragraph" w:styleId="10">
    <w:name w:val="footer"/>
    <w:qFormat/>
    <w:uiPriority w:val="0"/>
    <w:pPr>
      <w:widowControl w:val="0"/>
      <w:tabs>
        <w:tab w:val="center" w:pos="4153"/>
        <w:tab w:val="right" w:pos="8306"/>
      </w:tabs>
      <w:snapToGrid w:val="0"/>
    </w:pPr>
    <w:rPr>
      <w:rFonts w:ascii="Times New Roman" w:hAnsi="Times New Roman" w:eastAsia="宋体" w:cs="Times New Roman"/>
      <w:sz w:val="18"/>
      <w:lang w:val="en-US" w:eastAsia="zh-CN" w:bidi="ar-SA"/>
    </w:rPr>
  </w:style>
  <w:style w:type="paragraph" w:styleId="11">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eastAsia="宋体" w:cs="Times New Roman"/>
      <w:sz w:val="18"/>
      <w:lang w:val="en-US" w:eastAsia="zh-CN" w:bidi="ar-SA"/>
    </w:rPr>
  </w:style>
  <w:style w:type="paragraph" w:styleId="12">
    <w:name w:val="toc 1"/>
    <w:next w:val="1"/>
    <w:qFormat/>
    <w:uiPriority w:val="0"/>
    <w:pPr>
      <w:widowControl w:val="0"/>
      <w:adjustRightInd w:val="0"/>
      <w:snapToGrid w:val="0"/>
      <w:jc w:val="both"/>
    </w:pPr>
    <w:rPr>
      <w:rFonts w:ascii="Times New Roman" w:hAnsi="Times New Roman" w:eastAsia="仿宋" w:cs="Times New Roman"/>
      <w:kern w:val="2"/>
      <w:sz w:val="21"/>
      <w:szCs w:val="24"/>
      <w:lang w:val="en-US" w:eastAsia="zh-CN" w:bidi="ar-SA"/>
    </w:rPr>
  </w:style>
  <w:style w:type="paragraph" w:styleId="13">
    <w:name w:val="Normal (Web)"/>
    <w:qFormat/>
    <w:uiPriority w:val="0"/>
    <w:pPr>
      <w:spacing w:before="100" w:beforeAutospacing="1" w:after="100" w:afterAutospacing="1"/>
    </w:pPr>
    <w:rPr>
      <w:rFonts w:ascii="Times New Roman" w:hAnsi="Times New Roman" w:eastAsia="Arial Unicode MS" w:cs="Arial Unicode MS"/>
      <w:color w:val="000000"/>
      <w:sz w:val="18"/>
      <w:szCs w:val="18"/>
      <w:lang w:val="en-US" w:eastAsia="zh-CN" w:bidi="ar-SA"/>
    </w:rPr>
  </w:style>
  <w:style w:type="paragraph" w:styleId="14">
    <w:name w:val="index 1"/>
    <w:next w:val="1"/>
    <w:qFormat/>
    <w:uiPriority w:val="0"/>
    <w:pPr>
      <w:widowControl w:val="0"/>
      <w:adjustRightInd w:val="0"/>
      <w:snapToGrid w:val="0"/>
      <w:jc w:val="center"/>
    </w:pPr>
    <w:rPr>
      <w:rFonts w:ascii="Times New Roman" w:hAnsi="Times New Roman" w:eastAsia="宋体" w:cs="Times New Roman"/>
      <w:kern w:val="2"/>
      <w:sz w:val="21"/>
      <w:lang w:val="en-US" w:eastAsia="zh-CN" w:bidi="ar-SA"/>
    </w:rPr>
  </w:style>
  <w:style w:type="paragraph" w:styleId="15">
    <w:name w:val="Title"/>
    <w:next w:val="1"/>
    <w:qFormat/>
    <w:uiPriority w:val="0"/>
    <w:pPr>
      <w:widowControl w:val="0"/>
      <w:spacing w:before="60" w:after="60"/>
      <w:jc w:val="center"/>
      <w:outlineLvl w:val="0"/>
    </w:pPr>
    <w:rPr>
      <w:rFonts w:ascii="Calibri" w:hAnsi="Calibri" w:eastAsia="黑体" w:cs="Times New Roman"/>
      <w:b/>
      <w:bCs/>
      <w:sz w:val="32"/>
      <w:szCs w:val="32"/>
      <w:lang w:val="en-US" w:eastAsia="zh-CN" w:bidi="ar-SA"/>
    </w:rPr>
  </w:style>
  <w:style w:type="character" w:styleId="17">
    <w:name w:val="page number"/>
    <w:qFormat/>
    <w:uiPriority w:val="0"/>
    <w:rPr>
      <w:rFonts w:ascii="Calibri" w:hAnsi="Calibri" w:eastAsia="宋体" w:cs="Times New Roman"/>
      <w:lang w:val="en-US" w:eastAsia="zh-CN" w:bidi="ar-SA"/>
    </w:rPr>
  </w:style>
  <w:style w:type="character" w:styleId="18">
    <w:name w:val="Hyperlink"/>
    <w:basedOn w:val="16"/>
    <w:qFormat/>
    <w:uiPriority w:val="0"/>
    <w:rPr>
      <w:rFonts w:ascii="Calibri" w:hAnsi="Calibri" w:eastAsia="宋体" w:cs="Times New Roman"/>
      <w:color w:val="0000FF"/>
      <w:u w:val="single"/>
      <w:lang w:val="en-US" w:eastAsia="zh-CN" w:bidi="ar-SA"/>
    </w:rPr>
  </w:style>
  <w:style w:type="table" w:styleId="20">
    <w:name w:val="Table Grid"/>
    <w:basedOn w:val="1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1">
    <w:name w:val="样式"/>
    <w:next w:val="22"/>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22">
    <w:name w:val="列出段落1"/>
    <w:qFormat/>
    <w:uiPriority w:val="0"/>
    <w:pPr>
      <w:widowControl w:val="0"/>
      <w:ind w:firstLine="420" w:firstLineChars="200"/>
      <w:jc w:val="both"/>
    </w:pPr>
    <w:rPr>
      <w:rFonts w:ascii="Calibri" w:hAnsi="Calibri" w:eastAsia="宋体" w:cs="Times New Roman"/>
      <w:kern w:val="2"/>
      <w:sz w:val="24"/>
      <w:szCs w:val="24"/>
      <w:lang w:val="en-US" w:eastAsia="zh-CN" w:bidi="ar-SA"/>
    </w:rPr>
  </w:style>
  <w:style w:type="character" w:customStyle="1" w:styleId="23">
    <w:name w:val="zbggmain style9"/>
    <w:qFormat/>
    <w:uiPriority w:val="0"/>
    <w:rPr>
      <w:rFonts w:ascii="Calibri" w:hAnsi="Calibri" w:eastAsia="宋体" w:cs="Times New Roman"/>
      <w:lang w:val="en-US" w:eastAsia="zh-CN" w:bidi="ar-SA"/>
    </w:rPr>
  </w:style>
  <w:style w:type="paragraph" w:customStyle="1" w:styleId="2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样式 正文文本"/>
    <w:qFormat/>
    <w:uiPriority w:val="0"/>
    <w:pPr>
      <w:widowControl w:val="0"/>
      <w:adjustRightInd w:val="0"/>
      <w:snapToGrid w:val="0"/>
      <w:spacing w:line="400" w:lineRule="exact"/>
      <w:ind w:firstLine="200" w:firstLineChars="200"/>
      <w:jc w:val="both"/>
    </w:pPr>
    <w:rPr>
      <w:rFonts w:ascii="Arial" w:hAnsi="Arial" w:eastAsia="宋体" w:cs="Times New Roman"/>
      <w:color w:val="000000"/>
      <w:kern w:val="2"/>
      <w:sz w:val="21"/>
      <w:lang w:val="en-US" w:eastAsia="zh-CN" w:bidi="ar-SA"/>
    </w:rPr>
  </w:style>
  <w:style w:type="paragraph" w:customStyle="1" w:styleId="26">
    <w:name w:val="样式 标题 3 + (中文) 黑体 小四 非加粗 段前: 7.8 磅 段后: 0 磅 行距: 固定值 20 磅"/>
    <w:qFormat/>
    <w:uiPriority w:val="0"/>
    <w:pPr>
      <w:keepNext/>
      <w:keepLines/>
      <w:widowControl w:val="0"/>
      <w:spacing w:line="400" w:lineRule="exact"/>
      <w:jc w:val="both"/>
      <w:outlineLvl w:val="2"/>
    </w:pPr>
    <w:rPr>
      <w:rFonts w:ascii="Times New Roman" w:hAnsi="Times New Roman" w:eastAsia="黑体" w:cs="宋体"/>
      <w:kern w:val="2"/>
      <w:sz w:val="24"/>
      <w:lang w:val="en-US" w:eastAsia="zh-CN" w:bidi="ar-SA"/>
    </w:rPr>
  </w:style>
  <w:style w:type="paragraph" w:customStyle="1" w:styleId="27">
    <w:name w:val="列出段落3"/>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28">
    <w:name w:val="List Paragraph1"/>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 w:type="character" w:customStyle="1" w:styleId="29">
    <w:name w:val="font41"/>
    <w:basedOn w:val="16"/>
    <w:qFormat/>
    <w:uiPriority w:val="0"/>
    <w:rPr>
      <w:rFonts w:ascii="Calibri" w:hAnsi="Calibri" w:eastAsia="宋体" w:cs="Calibri"/>
      <w:color w:val="000000"/>
      <w:sz w:val="21"/>
      <w:szCs w:val="21"/>
      <w:u w:val="none"/>
      <w:lang w:val="en-US" w:eastAsia="zh-CN" w:bidi="ar-SA"/>
    </w:rPr>
  </w:style>
  <w:style w:type="character" w:customStyle="1" w:styleId="30">
    <w:name w:val="font11"/>
    <w:basedOn w:val="16"/>
    <w:qFormat/>
    <w:uiPriority w:val="0"/>
    <w:rPr>
      <w:rFonts w:hint="eastAsia" w:ascii="宋体" w:hAnsi="宋体" w:eastAsia="宋体" w:cs="宋体"/>
      <w:color w:val="000000"/>
      <w:sz w:val="21"/>
      <w:szCs w:val="21"/>
      <w:u w:val="none"/>
      <w:lang w:val="en-US" w:eastAsia="zh-CN" w:bidi="ar-SA"/>
    </w:rPr>
  </w:style>
  <w:style w:type="character" w:customStyle="1" w:styleId="31">
    <w:name w:val="font01"/>
    <w:basedOn w:val="16"/>
    <w:qFormat/>
    <w:uiPriority w:val="0"/>
    <w:rPr>
      <w:rFonts w:hint="default" w:ascii="Calibri" w:hAnsi="Calibri" w:eastAsia="宋体" w:cs="Calibri"/>
      <w:color w:val="000000"/>
      <w:sz w:val="21"/>
      <w:szCs w:val="21"/>
      <w:u w:val="none"/>
      <w:lang w:val="en-US" w:eastAsia="zh-CN" w:bidi="ar-SA"/>
    </w:rPr>
  </w:style>
  <w:style w:type="character" w:customStyle="1" w:styleId="32">
    <w:name w:val="font31"/>
    <w:basedOn w:val="16"/>
    <w:qFormat/>
    <w:uiPriority w:val="0"/>
    <w:rPr>
      <w:rFonts w:hint="eastAsia" w:ascii="宋体" w:hAnsi="宋体" w:eastAsia="宋体" w:cs="宋体"/>
      <w:color w:val="000000"/>
      <w:sz w:val="21"/>
      <w:szCs w:val="21"/>
      <w:u w:val="none"/>
      <w:lang w:val="en-US" w:eastAsia="zh-CN" w:bidi="ar-SA"/>
    </w:rPr>
  </w:style>
  <w:style w:type="character" w:customStyle="1" w:styleId="33">
    <w:name w:val="font21"/>
    <w:basedOn w:val="16"/>
    <w:qFormat/>
    <w:uiPriority w:val="0"/>
    <w:rPr>
      <w:rFonts w:hint="eastAsia" w:ascii="宋体" w:hAnsi="宋体" w:eastAsia="宋体" w:cs="宋体"/>
      <w:color w:val="000000"/>
      <w:sz w:val="21"/>
      <w:szCs w:val="21"/>
      <w:u w:val="none"/>
      <w:lang w:val="en-US" w:eastAsia="zh-CN" w:bidi="ar-SA"/>
    </w:rPr>
  </w:style>
  <w:style w:type="character" w:customStyle="1" w:styleId="34">
    <w:name w:val="批注框文本 字符"/>
    <w:basedOn w:val="16"/>
    <w:link w:val="9"/>
    <w:qFormat/>
    <w:uiPriority w:val="0"/>
    <w:rPr>
      <w:rFonts w:ascii="Calibri" w:hAnsi="Calibri"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123</Pages>
  <Words>14888</Words>
  <Characters>84864</Characters>
  <Lines>707</Lines>
  <Paragraphs>199</Paragraphs>
  <TotalTime>0</TotalTime>
  <ScaleCrop>false</ScaleCrop>
  <LinksUpToDate>false</LinksUpToDate>
  <CharactersWithSpaces>99553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2019-08-22T05:39:00Z</dcterms:created>
  <dc:creator>Administrator</dc:creator>
  <cp:lastModifiedBy>zbzx-jsx</cp:lastModifiedBy>
  <dcterms:modified xsi:type="dcterms:W3CDTF">2019-09-10T01:47:52Z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