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ascii="黑体" w:hAnsi="黑体" w:eastAsia="黑体"/>
          <w:b/>
          <w:sz w:val="44"/>
          <w:szCs w:val="44"/>
        </w:rPr>
      </w:pPr>
      <w:r>
        <w:rPr>
          <w:rFonts w:hint="eastAsia" w:eastAsia="黑体" w:cs="Calibri"/>
          <w:b/>
          <w:sz w:val="44"/>
          <w:szCs w:val="44"/>
          <w:u w:val="single"/>
        </w:rPr>
        <w:t>飞行区标志线更新维护</w:t>
      </w:r>
      <w:r>
        <w:rPr>
          <w:rFonts w:hint="eastAsia" w:eastAsia="黑体" w:cs="Calibri"/>
          <w:b/>
          <w:sz w:val="44"/>
          <w:szCs w:val="44"/>
        </w:rPr>
        <w:t>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一九年九</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p>
    <w:p>
      <w:pPr>
        <w:spacing w:line="560" w:lineRule="exact"/>
        <w:jc w:val="center"/>
        <w:rPr>
          <w:b/>
          <w:bCs/>
          <w:sz w:val="44"/>
          <w:szCs w:val="44"/>
        </w:rPr>
      </w:pPr>
    </w:p>
    <w:p>
      <w:pPr>
        <w:spacing w:line="560" w:lineRule="exact"/>
        <w:jc w:val="center"/>
        <w:rPr>
          <w:b/>
          <w:bCs/>
          <w:sz w:val="44"/>
          <w:szCs w:val="44"/>
        </w:rPr>
      </w:pP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rPr>
          <w:rFonts w:asciiTheme="minorHAnsi" w:hAnsiTheme="minorHAnsi" w:eastAsiaTheme="minorEastAsia" w:cstheme="minorBidi"/>
          <w:sz w:val="28"/>
          <w:szCs w:val="28"/>
        </w:rPr>
      </w:pPr>
      <w:r>
        <w:rPr>
          <w:rFonts w:hint="eastAsia" w:asciiTheme="minorEastAsia" w:hAnsiTheme="minorEastAsia" w:eastAsiaTheme="minorEastAsia"/>
          <w:b/>
          <w:sz w:val="22"/>
          <w:szCs w:val="22"/>
        </w:rPr>
        <w:fldChar w:fldCharType="begin"/>
      </w:r>
      <w:r>
        <w:rPr>
          <w:rFonts w:hint="eastAsia" w:asciiTheme="minorEastAsia" w:hAnsiTheme="minorEastAsia" w:eastAsiaTheme="minorEastAsia"/>
          <w:b/>
          <w:sz w:val="22"/>
          <w:szCs w:val="22"/>
        </w:rPr>
        <w:instrText xml:space="preserve"> TOC \o "1-1" \h \z \u </w:instrText>
      </w:r>
      <w:r>
        <w:rPr>
          <w:rFonts w:hint="eastAsia" w:asciiTheme="minorEastAsia" w:hAnsiTheme="minorEastAsia" w:eastAsiaTheme="minorEastAsia"/>
          <w:b/>
          <w:sz w:val="22"/>
          <w:szCs w:val="22"/>
        </w:rPr>
        <w:fldChar w:fldCharType="separate"/>
      </w:r>
      <w:r>
        <w:fldChar w:fldCharType="begin"/>
      </w:r>
      <w:r>
        <w:instrText xml:space="preserve"> HYPERLINK \l "_Toc511375150" </w:instrText>
      </w:r>
      <w:r>
        <w:fldChar w:fldCharType="separate"/>
      </w:r>
      <w:r>
        <w:rPr>
          <w:rStyle w:val="56"/>
          <w:rFonts w:hint="eastAsia"/>
          <w:sz w:val="28"/>
          <w:szCs w:val="28"/>
        </w:rPr>
        <w:t>第一章</w:t>
      </w:r>
      <w:r>
        <w:rPr>
          <w:rStyle w:val="56"/>
          <w:sz w:val="28"/>
          <w:szCs w:val="28"/>
        </w:rPr>
        <w:t xml:space="preserve"> </w:t>
      </w:r>
      <w:r>
        <w:rPr>
          <w:rStyle w:val="56"/>
          <w:rFonts w:hint="eastAsia"/>
          <w:sz w:val="28"/>
          <w:szCs w:val="28"/>
        </w:rPr>
        <w:t xml:space="preserve"> 招标公告</w:t>
      </w:r>
      <w:r>
        <w:rPr>
          <w:sz w:val="28"/>
          <w:szCs w:val="28"/>
        </w:rPr>
        <w:tab/>
      </w:r>
      <w:r>
        <w:rPr>
          <w:sz w:val="28"/>
          <w:szCs w:val="28"/>
        </w:rPr>
        <w:fldChar w:fldCharType="begin"/>
      </w:r>
      <w:r>
        <w:rPr>
          <w:sz w:val="28"/>
          <w:szCs w:val="28"/>
        </w:rPr>
        <w:instrText xml:space="preserve"> PAGEREF _Toc511375150 \h </w:instrText>
      </w:r>
      <w:r>
        <w:rPr>
          <w:sz w:val="28"/>
          <w:szCs w:val="28"/>
        </w:rPr>
        <w:fldChar w:fldCharType="separate"/>
      </w:r>
      <w:r>
        <w:rPr>
          <w:sz w:val="28"/>
          <w:szCs w:val="28"/>
        </w:rPr>
        <w:t>- 2 -</w:t>
      </w:r>
      <w:r>
        <w:rPr>
          <w:sz w:val="28"/>
          <w:szCs w:val="28"/>
        </w:rPr>
        <w:fldChar w:fldCharType="end"/>
      </w:r>
      <w:r>
        <w:rPr>
          <w:sz w:val="28"/>
          <w:szCs w:val="28"/>
        </w:rPr>
        <w:fldChar w:fldCharType="end"/>
      </w:r>
    </w:p>
    <w:p>
      <w:pPr>
        <w:pStyle w:val="39"/>
        <w:tabs>
          <w:tab w:val="right" w:leader="dot" w:pos="8290"/>
        </w:tabs>
        <w:rPr>
          <w:rFonts w:asciiTheme="minorHAnsi" w:hAnsiTheme="minorHAnsi" w:eastAsiaTheme="minorEastAsia" w:cstheme="minorBidi"/>
          <w:sz w:val="28"/>
          <w:szCs w:val="28"/>
        </w:rPr>
      </w:pPr>
      <w:r>
        <w:fldChar w:fldCharType="begin"/>
      </w:r>
      <w:r>
        <w:instrText xml:space="preserve"> HYPERLINK \l "_Toc511375151" </w:instrText>
      </w:r>
      <w:r>
        <w:fldChar w:fldCharType="separate"/>
      </w:r>
      <w:r>
        <w:rPr>
          <w:rStyle w:val="56"/>
          <w:rFonts w:hint="eastAsia"/>
          <w:sz w:val="28"/>
          <w:szCs w:val="28"/>
        </w:rPr>
        <w:t>第二章</w:t>
      </w:r>
      <w:r>
        <w:rPr>
          <w:rStyle w:val="56"/>
          <w:sz w:val="28"/>
          <w:szCs w:val="28"/>
        </w:rPr>
        <w:t xml:space="preserve">  </w:t>
      </w:r>
      <w:r>
        <w:rPr>
          <w:rStyle w:val="56"/>
          <w:rFonts w:hint="eastAsia"/>
          <w:sz w:val="28"/>
          <w:szCs w:val="28"/>
        </w:rPr>
        <w:t>投标人须知</w:t>
      </w:r>
      <w:r>
        <w:rPr>
          <w:sz w:val="28"/>
          <w:szCs w:val="28"/>
        </w:rPr>
        <w:tab/>
      </w:r>
      <w:r>
        <w:rPr>
          <w:sz w:val="28"/>
          <w:szCs w:val="28"/>
        </w:rPr>
        <w:fldChar w:fldCharType="begin"/>
      </w:r>
      <w:r>
        <w:rPr>
          <w:sz w:val="28"/>
          <w:szCs w:val="28"/>
        </w:rPr>
        <w:instrText xml:space="preserve"> PAGEREF _Toc511375151 \h </w:instrText>
      </w:r>
      <w:r>
        <w:rPr>
          <w:sz w:val="28"/>
          <w:szCs w:val="28"/>
        </w:rPr>
        <w:fldChar w:fldCharType="separate"/>
      </w:r>
      <w:r>
        <w:rPr>
          <w:sz w:val="28"/>
          <w:szCs w:val="28"/>
        </w:rPr>
        <w:t>- 3 -</w:t>
      </w:r>
      <w:r>
        <w:rPr>
          <w:sz w:val="28"/>
          <w:szCs w:val="28"/>
        </w:rPr>
        <w:fldChar w:fldCharType="end"/>
      </w:r>
      <w:r>
        <w:rPr>
          <w:sz w:val="28"/>
          <w:szCs w:val="28"/>
        </w:rPr>
        <w:fldChar w:fldCharType="end"/>
      </w:r>
    </w:p>
    <w:p>
      <w:pPr>
        <w:pStyle w:val="39"/>
        <w:tabs>
          <w:tab w:val="right" w:leader="dot" w:pos="8290"/>
        </w:tabs>
        <w:rPr>
          <w:rFonts w:asciiTheme="minorHAnsi" w:hAnsiTheme="minorHAnsi" w:eastAsiaTheme="minorEastAsia" w:cstheme="minorBidi"/>
          <w:sz w:val="28"/>
          <w:szCs w:val="28"/>
        </w:rPr>
      </w:pPr>
      <w:r>
        <w:fldChar w:fldCharType="begin"/>
      </w:r>
      <w:r>
        <w:instrText xml:space="preserve"> HYPERLINK \l "_Toc511375152" </w:instrText>
      </w:r>
      <w:r>
        <w:fldChar w:fldCharType="separate"/>
      </w:r>
      <w:r>
        <w:rPr>
          <w:rStyle w:val="56"/>
          <w:rFonts w:hint="eastAsia"/>
          <w:sz w:val="28"/>
          <w:szCs w:val="28"/>
        </w:rPr>
        <w:t>第三章</w:t>
      </w:r>
      <w:r>
        <w:rPr>
          <w:rStyle w:val="56"/>
          <w:sz w:val="28"/>
          <w:szCs w:val="28"/>
        </w:rPr>
        <w:t xml:space="preserve">  </w:t>
      </w:r>
      <w:r>
        <w:rPr>
          <w:rStyle w:val="56"/>
          <w:rFonts w:hint="eastAsia"/>
          <w:sz w:val="28"/>
          <w:szCs w:val="28"/>
        </w:rPr>
        <w:t>技术要求及须知</w:t>
      </w:r>
      <w:r>
        <w:rPr>
          <w:sz w:val="28"/>
          <w:szCs w:val="28"/>
        </w:rPr>
        <w:tab/>
      </w:r>
      <w:r>
        <w:rPr>
          <w:sz w:val="28"/>
          <w:szCs w:val="28"/>
        </w:rPr>
        <w:fldChar w:fldCharType="begin"/>
      </w:r>
      <w:r>
        <w:rPr>
          <w:sz w:val="28"/>
          <w:szCs w:val="28"/>
        </w:rPr>
        <w:instrText xml:space="preserve"> PAGEREF _Toc511375152 \h </w:instrText>
      </w:r>
      <w:r>
        <w:rPr>
          <w:sz w:val="28"/>
          <w:szCs w:val="28"/>
        </w:rPr>
        <w:fldChar w:fldCharType="separate"/>
      </w:r>
      <w:r>
        <w:rPr>
          <w:sz w:val="28"/>
          <w:szCs w:val="28"/>
        </w:rPr>
        <w:t>- 12 -</w:t>
      </w:r>
      <w:r>
        <w:rPr>
          <w:sz w:val="28"/>
          <w:szCs w:val="28"/>
        </w:rPr>
        <w:fldChar w:fldCharType="end"/>
      </w:r>
      <w:r>
        <w:rPr>
          <w:sz w:val="28"/>
          <w:szCs w:val="28"/>
        </w:rPr>
        <w:fldChar w:fldCharType="end"/>
      </w:r>
    </w:p>
    <w:p>
      <w:pPr>
        <w:pStyle w:val="39"/>
        <w:tabs>
          <w:tab w:val="right" w:leader="dot" w:pos="8290"/>
        </w:tabs>
        <w:rPr>
          <w:rFonts w:asciiTheme="minorHAnsi" w:hAnsiTheme="minorHAnsi" w:eastAsiaTheme="minorEastAsia" w:cstheme="minorBidi"/>
          <w:sz w:val="28"/>
          <w:szCs w:val="28"/>
        </w:rPr>
      </w:pPr>
      <w:r>
        <w:fldChar w:fldCharType="begin"/>
      </w:r>
      <w:r>
        <w:instrText xml:space="preserve"> HYPERLINK \l "_Toc511375153" </w:instrText>
      </w:r>
      <w:r>
        <w:fldChar w:fldCharType="separate"/>
      </w:r>
      <w:r>
        <w:rPr>
          <w:rStyle w:val="56"/>
          <w:rFonts w:hint="eastAsia"/>
          <w:sz w:val="28"/>
          <w:szCs w:val="28"/>
        </w:rPr>
        <w:t>第四章</w:t>
      </w:r>
      <w:r>
        <w:rPr>
          <w:rStyle w:val="56"/>
          <w:sz w:val="28"/>
          <w:szCs w:val="28"/>
        </w:rPr>
        <w:t xml:space="preserve">  </w:t>
      </w:r>
      <w:r>
        <w:rPr>
          <w:rStyle w:val="56"/>
          <w:rFonts w:hint="eastAsia"/>
          <w:sz w:val="28"/>
          <w:szCs w:val="28"/>
        </w:rPr>
        <w:t>合同条款及格式</w:t>
      </w:r>
      <w:r>
        <w:rPr>
          <w:sz w:val="28"/>
          <w:szCs w:val="28"/>
        </w:rPr>
        <w:tab/>
      </w:r>
      <w:r>
        <w:rPr>
          <w:sz w:val="28"/>
          <w:szCs w:val="28"/>
        </w:rPr>
        <w:fldChar w:fldCharType="begin"/>
      </w:r>
      <w:r>
        <w:rPr>
          <w:sz w:val="28"/>
          <w:szCs w:val="28"/>
        </w:rPr>
        <w:instrText xml:space="preserve"> PAGEREF _Toc511375153 \h </w:instrText>
      </w:r>
      <w:r>
        <w:rPr>
          <w:sz w:val="28"/>
          <w:szCs w:val="28"/>
        </w:rPr>
        <w:fldChar w:fldCharType="separate"/>
      </w:r>
      <w:r>
        <w:rPr>
          <w:sz w:val="28"/>
          <w:szCs w:val="28"/>
        </w:rPr>
        <w:t>- 14 -</w:t>
      </w:r>
      <w:r>
        <w:rPr>
          <w:sz w:val="28"/>
          <w:szCs w:val="28"/>
        </w:rPr>
        <w:fldChar w:fldCharType="end"/>
      </w:r>
      <w:r>
        <w:rPr>
          <w:sz w:val="28"/>
          <w:szCs w:val="28"/>
        </w:rPr>
        <w:fldChar w:fldCharType="end"/>
      </w:r>
    </w:p>
    <w:p>
      <w:pPr>
        <w:pStyle w:val="39"/>
        <w:tabs>
          <w:tab w:val="right" w:leader="dot" w:pos="8290"/>
        </w:tabs>
        <w:rPr>
          <w:rFonts w:asciiTheme="minorHAnsi" w:hAnsiTheme="minorHAnsi" w:eastAsiaTheme="minorEastAsia" w:cstheme="minorBidi"/>
          <w:sz w:val="28"/>
          <w:szCs w:val="28"/>
        </w:rPr>
      </w:pPr>
      <w:r>
        <w:fldChar w:fldCharType="begin"/>
      </w:r>
      <w:r>
        <w:instrText xml:space="preserve"> HYPERLINK \l "_Toc511375156" </w:instrText>
      </w:r>
      <w:r>
        <w:fldChar w:fldCharType="separate"/>
      </w:r>
      <w:r>
        <w:rPr>
          <w:rStyle w:val="56"/>
          <w:rFonts w:hint="eastAsia"/>
          <w:sz w:val="28"/>
          <w:szCs w:val="28"/>
        </w:rPr>
        <w:t>第五章</w:t>
      </w:r>
      <w:r>
        <w:rPr>
          <w:rStyle w:val="56"/>
          <w:sz w:val="28"/>
          <w:szCs w:val="28"/>
        </w:rPr>
        <w:t xml:space="preserve">  </w:t>
      </w:r>
      <w:r>
        <w:rPr>
          <w:rStyle w:val="56"/>
          <w:rFonts w:hint="eastAsia"/>
          <w:sz w:val="28"/>
          <w:szCs w:val="28"/>
        </w:rPr>
        <w:t>工程量清单</w:t>
      </w:r>
      <w:r>
        <w:rPr>
          <w:sz w:val="28"/>
          <w:szCs w:val="28"/>
        </w:rPr>
        <w:tab/>
      </w:r>
      <w:r>
        <w:rPr>
          <w:sz w:val="28"/>
          <w:szCs w:val="28"/>
        </w:rPr>
        <w:fldChar w:fldCharType="begin"/>
      </w:r>
      <w:r>
        <w:rPr>
          <w:sz w:val="28"/>
          <w:szCs w:val="28"/>
        </w:rPr>
        <w:instrText xml:space="preserve"> PAGEREF _Toc511375156 \h </w:instrText>
      </w:r>
      <w:r>
        <w:rPr>
          <w:sz w:val="28"/>
          <w:szCs w:val="28"/>
        </w:rPr>
        <w:fldChar w:fldCharType="separate"/>
      </w:r>
      <w:r>
        <w:rPr>
          <w:sz w:val="28"/>
          <w:szCs w:val="28"/>
        </w:rPr>
        <w:t>- 36 -</w:t>
      </w:r>
      <w:r>
        <w:rPr>
          <w:sz w:val="28"/>
          <w:szCs w:val="28"/>
        </w:rPr>
        <w:fldChar w:fldCharType="end"/>
      </w:r>
      <w:r>
        <w:rPr>
          <w:sz w:val="28"/>
          <w:szCs w:val="28"/>
        </w:rPr>
        <w:fldChar w:fldCharType="end"/>
      </w:r>
    </w:p>
    <w:p>
      <w:pPr>
        <w:pStyle w:val="39"/>
        <w:tabs>
          <w:tab w:val="right" w:leader="dot" w:pos="8290"/>
        </w:tabs>
        <w:rPr>
          <w:rFonts w:asciiTheme="minorHAnsi" w:hAnsiTheme="minorHAnsi" w:eastAsiaTheme="minorEastAsia" w:cstheme="minorBidi"/>
          <w:sz w:val="28"/>
          <w:szCs w:val="28"/>
        </w:rPr>
      </w:pPr>
      <w:r>
        <w:fldChar w:fldCharType="begin"/>
      </w:r>
      <w:r>
        <w:instrText xml:space="preserve"> HYPERLINK \l "_Toc511375157" </w:instrText>
      </w:r>
      <w:r>
        <w:fldChar w:fldCharType="separate"/>
      </w:r>
      <w:r>
        <w:rPr>
          <w:rStyle w:val="56"/>
          <w:rFonts w:hint="eastAsia"/>
          <w:sz w:val="28"/>
          <w:szCs w:val="28"/>
        </w:rPr>
        <w:t>第六章</w:t>
      </w:r>
      <w:r>
        <w:rPr>
          <w:rStyle w:val="56"/>
          <w:sz w:val="28"/>
          <w:szCs w:val="28"/>
        </w:rPr>
        <w:t xml:space="preserve">  </w:t>
      </w:r>
      <w:r>
        <w:rPr>
          <w:rStyle w:val="56"/>
          <w:rFonts w:hint="eastAsia"/>
          <w:sz w:val="28"/>
          <w:szCs w:val="28"/>
        </w:rPr>
        <w:t>评标办法及标准</w:t>
      </w:r>
      <w:r>
        <w:rPr>
          <w:sz w:val="28"/>
          <w:szCs w:val="28"/>
        </w:rPr>
        <w:tab/>
      </w:r>
      <w:r>
        <w:rPr>
          <w:sz w:val="28"/>
          <w:szCs w:val="28"/>
        </w:rPr>
        <w:fldChar w:fldCharType="begin"/>
      </w:r>
      <w:r>
        <w:rPr>
          <w:sz w:val="28"/>
          <w:szCs w:val="28"/>
        </w:rPr>
        <w:instrText xml:space="preserve"> PAGEREF _Toc511375157 \h </w:instrText>
      </w:r>
      <w:r>
        <w:rPr>
          <w:sz w:val="28"/>
          <w:szCs w:val="28"/>
        </w:rPr>
        <w:fldChar w:fldCharType="separate"/>
      </w:r>
      <w:r>
        <w:rPr>
          <w:sz w:val="28"/>
          <w:szCs w:val="28"/>
        </w:rPr>
        <w:t>- 37 -</w:t>
      </w:r>
      <w:r>
        <w:rPr>
          <w:sz w:val="28"/>
          <w:szCs w:val="28"/>
        </w:rPr>
        <w:fldChar w:fldCharType="end"/>
      </w:r>
      <w:r>
        <w:rPr>
          <w:sz w:val="28"/>
          <w:szCs w:val="28"/>
        </w:rPr>
        <w:fldChar w:fldCharType="end"/>
      </w:r>
    </w:p>
    <w:p>
      <w:pPr>
        <w:pStyle w:val="39"/>
        <w:tabs>
          <w:tab w:val="right" w:leader="dot" w:pos="8290"/>
        </w:tabs>
        <w:rPr>
          <w:rFonts w:asciiTheme="minorHAnsi" w:hAnsiTheme="minorHAnsi" w:eastAsiaTheme="minorEastAsia" w:cstheme="minorBidi"/>
          <w:sz w:val="28"/>
          <w:szCs w:val="28"/>
        </w:rPr>
      </w:pPr>
      <w:r>
        <w:fldChar w:fldCharType="begin"/>
      </w:r>
      <w:r>
        <w:instrText xml:space="preserve"> HYPERLINK \l "_Toc511375158" </w:instrText>
      </w:r>
      <w:r>
        <w:fldChar w:fldCharType="separate"/>
      </w:r>
      <w:r>
        <w:rPr>
          <w:rStyle w:val="56"/>
          <w:rFonts w:hint="eastAsia"/>
          <w:sz w:val="28"/>
          <w:szCs w:val="28"/>
        </w:rPr>
        <w:t>第七章</w:t>
      </w:r>
      <w:r>
        <w:rPr>
          <w:rStyle w:val="56"/>
          <w:sz w:val="28"/>
          <w:szCs w:val="28"/>
        </w:rPr>
        <w:t xml:space="preserve">  </w:t>
      </w:r>
      <w:r>
        <w:rPr>
          <w:rStyle w:val="56"/>
          <w:rFonts w:hint="eastAsia"/>
          <w:sz w:val="28"/>
          <w:szCs w:val="28"/>
        </w:rPr>
        <w:t>投标文件格式</w:t>
      </w:r>
      <w:r>
        <w:rPr>
          <w:sz w:val="28"/>
          <w:szCs w:val="28"/>
        </w:rPr>
        <w:tab/>
      </w:r>
      <w:r>
        <w:rPr>
          <w:sz w:val="28"/>
          <w:szCs w:val="28"/>
        </w:rPr>
        <w:fldChar w:fldCharType="begin"/>
      </w:r>
      <w:r>
        <w:rPr>
          <w:sz w:val="28"/>
          <w:szCs w:val="28"/>
        </w:rPr>
        <w:instrText xml:space="preserve"> PAGEREF _Toc511375158 \h </w:instrText>
      </w:r>
      <w:r>
        <w:rPr>
          <w:sz w:val="28"/>
          <w:szCs w:val="28"/>
        </w:rPr>
        <w:fldChar w:fldCharType="separate"/>
      </w:r>
      <w:r>
        <w:rPr>
          <w:sz w:val="28"/>
          <w:szCs w:val="28"/>
        </w:rPr>
        <w:t>- 40 -</w:t>
      </w:r>
      <w:r>
        <w:rPr>
          <w:sz w:val="28"/>
          <w:szCs w:val="28"/>
        </w:rPr>
        <w:fldChar w:fldCharType="end"/>
      </w:r>
      <w:r>
        <w:rPr>
          <w:sz w:val="28"/>
          <w:szCs w:val="28"/>
        </w:rPr>
        <w:fldChar w:fldCharType="end"/>
      </w:r>
    </w:p>
    <w:p>
      <w:pPr>
        <w:tabs>
          <w:tab w:val="right" w:leader="dot" w:pos="8364"/>
        </w:tabs>
        <w:spacing w:line="360" w:lineRule="auto"/>
        <w:rPr>
          <w:b/>
        </w:rPr>
      </w:pPr>
      <w:r>
        <w:rPr>
          <w:rFonts w:hint="eastAsia" w:asciiTheme="minorEastAsia" w:hAnsiTheme="minorEastAsia"/>
          <w:b/>
          <w:sz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511375150"/>
      <w:r>
        <w:rPr>
          <w:rFonts w:hint="eastAsia"/>
        </w:rPr>
        <w:t>第一章 招标公告</w:t>
      </w:r>
      <w:bookmarkEnd w:id="0"/>
    </w:p>
    <w:p>
      <w:pPr>
        <w:widowControl/>
        <w:snapToGrid w:val="0"/>
        <w:spacing w:line="360" w:lineRule="exact"/>
        <w:jc w:val="left"/>
        <w:rPr>
          <w:rFonts w:cs="Arial" w:asciiTheme="minorEastAsia" w:hAnsiTheme="minorEastAsia"/>
          <w:b/>
          <w:bCs/>
          <w:kern w:val="0"/>
          <w:sz w:val="22"/>
        </w:rPr>
      </w:pPr>
    </w:p>
    <w:p>
      <w:pPr>
        <w:pStyle w:val="151"/>
        <w:widowControl/>
        <w:numPr>
          <w:numId w:val="0"/>
        </w:numPr>
        <w:snapToGrid w:val="0"/>
        <w:spacing w:line="360" w:lineRule="exact"/>
        <w:ind w:leftChars="0"/>
        <w:jc w:val="left"/>
        <w:rPr>
          <w:rFonts w:cs="Arial" w:asciiTheme="minorEastAsia" w:hAnsiTheme="minorEastAsia"/>
          <w:b/>
          <w:bCs/>
          <w:kern w:val="0"/>
          <w:sz w:val="22"/>
          <w:szCs w:val="22"/>
        </w:rPr>
      </w:pPr>
      <w:bookmarkStart w:id="187" w:name="_GoBack"/>
      <w:r>
        <w:rPr>
          <w:rFonts w:hint="eastAsia" w:cs="Arial" w:asciiTheme="minorEastAsia" w:hAnsiTheme="minorEastAsia"/>
          <w:b/>
          <w:bCs/>
          <w:kern w:val="0"/>
          <w:sz w:val="22"/>
          <w:szCs w:val="22"/>
          <w:lang w:eastAsia="zh-CN"/>
        </w:rPr>
        <w:t>一、</w:t>
      </w:r>
      <w:r>
        <w:rPr>
          <w:rFonts w:hint="eastAsia" w:cs="Arial" w:asciiTheme="minorEastAsia" w:hAnsiTheme="minorEastAsia"/>
          <w:b/>
          <w:bCs/>
          <w:kern w:val="0"/>
          <w:sz w:val="22"/>
          <w:szCs w:val="22"/>
        </w:rPr>
        <w:t>招标内容</w:t>
      </w:r>
    </w:p>
    <w:p>
      <w:pPr>
        <w:widowControl/>
        <w:adjustRightInd w:val="0"/>
        <w:snapToGrid w:val="0"/>
        <w:spacing w:line="340" w:lineRule="exact"/>
        <w:ind w:firstLine="440" w:firstLineChars="200"/>
        <w:rPr>
          <w:rFonts w:ascii="宋体" w:hAnsi="宋体" w:cs="Arial"/>
          <w:kern w:val="0"/>
          <w:sz w:val="22"/>
        </w:rPr>
      </w:pPr>
      <w:r>
        <w:rPr>
          <w:rFonts w:hint="eastAsia" w:cs="Arial" w:asciiTheme="minorEastAsia" w:hAnsiTheme="minorEastAsia"/>
          <w:kern w:val="0"/>
          <w:sz w:val="22"/>
        </w:rPr>
        <w:t>（1）</w:t>
      </w:r>
      <w:r>
        <w:rPr>
          <w:rFonts w:hint="eastAsia" w:ascii="宋体" w:hAnsi="宋体" w:cs="Arial"/>
          <w:kern w:val="0"/>
          <w:sz w:val="22"/>
          <w:u w:val="single"/>
        </w:rPr>
        <w:t>杭州萧山国际机场飞行区标志线更新维护项目</w:t>
      </w:r>
      <w:r>
        <w:rPr>
          <w:rFonts w:hint="eastAsia" w:ascii="宋体" w:hAnsi="宋体" w:cs="Arial"/>
          <w:kern w:val="0"/>
          <w:sz w:val="22"/>
        </w:rPr>
        <w:t>已批准建设，项目业主为杭州萧山国际机场有限公司，建设资金来源为自筹。项目已具备招标条件，现对本项目进行公开招标。</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（2）项目概况：</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项目名称：杭州萧山国际机场飞行区标志线更新维护项目</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施工地点：杭州萧山国际机场飞行区内</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主要内容：飞行区范围内地面标志线更新维护，包括跑道、滑行道、机坪、行车道及各类设施标线更新、施划、清除等，本项目为机场场道维护项目。具体施工区域及标志线类型由招标人指定。</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lang w:eastAsia="zh-CN"/>
        </w:rPr>
        <w:t>（</w:t>
      </w:r>
      <w:r>
        <w:rPr>
          <w:rFonts w:hint="eastAsia" w:ascii="宋体" w:hAnsi="宋体" w:cs="Arial"/>
          <w:kern w:val="0"/>
          <w:sz w:val="22"/>
          <w:lang w:val="en-US" w:eastAsia="zh-CN"/>
        </w:rPr>
        <w:t>3</w:t>
      </w:r>
      <w:r>
        <w:rPr>
          <w:rFonts w:hint="eastAsia" w:ascii="宋体" w:hAnsi="宋体" w:cs="Arial"/>
          <w:kern w:val="0"/>
          <w:sz w:val="22"/>
          <w:lang w:eastAsia="zh-CN"/>
        </w:rPr>
        <w:t>）</w:t>
      </w:r>
      <w:r>
        <w:rPr>
          <w:rFonts w:hint="eastAsia" w:ascii="宋体" w:hAnsi="宋体" w:cs="Arial"/>
          <w:kern w:val="0"/>
          <w:sz w:val="22"/>
        </w:rPr>
        <w:t>招标内容：</w:t>
      </w:r>
    </w:p>
    <w:p>
      <w:pPr>
        <w:spacing w:line="340" w:lineRule="exact"/>
        <w:ind w:firstLine="442" w:firstLineChars="200"/>
        <w:rPr>
          <w:rFonts w:eastAsia="宋体" w:cs="Arial" w:asciiTheme="minorEastAsia" w:hAnsiTheme="minorEastAsia"/>
          <w:kern w:val="0"/>
          <w:sz w:val="22"/>
        </w:rPr>
      </w:pPr>
      <w:r>
        <w:rPr>
          <w:rFonts w:hint="eastAsia" w:ascii="宋体" w:hAnsi="宋体" w:cs="Arial"/>
          <w:b/>
          <w:kern w:val="0"/>
          <w:sz w:val="22"/>
        </w:rPr>
        <w:t>本工程招标工程量为预估工程量，以招标人现场开具的任务单</w:t>
      </w:r>
      <w:r>
        <w:rPr>
          <w:rFonts w:hint="eastAsia" w:ascii="宋体" w:hAnsi="宋体" w:eastAsia="宋体" w:cs="Arial"/>
          <w:b/>
          <w:kern w:val="0"/>
          <w:sz w:val="22"/>
        </w:rPr>
        <w:t>及签证单</w:t>
      </w:r>
      <w:r>
        <w:rPr>
          <w:rFonts w:hint="eastAsia" w:ascii="宋体" w:hAnsi="宋体" w:cs="Arial"/>
          <w:b/>
          <w:kern w:val="0"/>
          <w:sz w:val="22"/>
        </w:rPr>
        <w:t>为依据按实结算。</w:t>
      </w:r>
    </w:p>
    <w:p>
      <w:pPr>
        <w:widowControl/>
        <w:adjustRightInd w:val="0"/>
        <w:snapToGrid w:val="0"/>
        <w:spacing w:line="340" w:lineRule="exact"/>
        <w:ind w:firstLine="440"/>
        <w:rPr>
          <w:rFonts w:ascii="宋体" w:hAnsi="宋体" w:cs="Arial"/>
          <w:kern w:val="0"/>
          <w:sz w:val="22"/>
        </w:rPr>
      </w:pPr>
      <w:r>
        <w:rPr>
          <w:rFonts w:hint="eastAsia" w:ascii="宋体" w:hAnsi="宋体" w:cs="Arial"/>
          <w:kern w:val="0"/>
          <w:sz w:val="22"/>
        </w:rPr>
        <w:t>具体招标内容及预估工程量见《第四章工程量清单》，投标人须分别对各项施工形式进行报价，报价方式见《第七章投标文件格式》。</w:t>
      </w:r>
    </w:p>
    <w:p>
      <w:pPr>
        <w:widowControl/>
        <w:adjustRightInd w:val="0"/>
        <w:snapToGrid w:val="0"/>
        <w:spacing w:line="340" w:lineRule="exact"/>
        <w:ind w:firstLine="440"/>
        <w:rPr>
          <w:rFonts w:cs="Arial" w:asciiTheme="minorEastAsia" w:hAnsiTheme="minorEastAsia"/>
          <w:kern w:val="0"/>
          <w:sz w:val="22"/>
        </w:rPr>
      </w:pPr>
      <w:r>
        <w:rPr>
          <w:rFonts w:hint="eastAsia" w:eastAsia="宋体" w:cs="Arial" w:asciiTheme="minorEastAsia" w:hAnsiTheme="minorEastAsia"/>
          <w:kern w:val="0"/>
          <w:sz w:val="22"/>
        </w:rPr>
        <w:t>具体</w:t>
      </w:r>
      <w:r>
        <w:rPr>
          <w:rFonts w:hint="eastAsia" w:ascii="宋体" w:hAnsi="宋体" w:cs="Arial"/>
          <w:kern w:val="0"/>
          <w:sz w:val="22"/>
        </w:rPr>
        <w:t>技术</w:t>
      </w:r>
      <w:r>
        <w:rPr>
          <w:rFonts w:hint="eastAsia" w:eastAsia="宋体" w:cs="Arial" w:asciiTheme="minorEastAsia" w:hAnsiTheme="minorEastAsia"/>
          <w:kern w:val="0"/>
          <w:sz w:val="22"/>
        </w:rPr>
        <w:t>要求</w:t>
      </w:r>
      <w:r>
        <w:rPr>
          <w:rFonts w:ascii="宋体" w:hAnsi="宋体" w:cs="Calibri"/>
          <w:kern w:val="0"/>
          <w:sz w:val="22"/>
        </w:rPr>
        <w:t>详见</w:t>
      </w:r>
      <w:r>
        <w:rPr>
          <w:rFonts w:hint="eastAsia" w:ascii="宋体" w:hAnsi="宋体" w:eastAsia="宋体" w:cs="Calibri"/>
          <w:kern w:val="0"/>
          <w:sz w:val="22"/>
        </w:rPr>
        <w:t>《</w:t>
      </w:r>
      <w:r>
        <w:rPr>
          <w:rFonts w:ascii="宋体" w:hAnsi="宋体" w:cs="Calibri"/>
          <w:kern w:val="0"/>
          <w:sz w:val="22"/>
        </w:rPr>
        <w:t>第</w:t>
      </w:r>
      <w:r>
        <w:rPr>
          <w:rFonts w:hint="eastAsia" w:ascii="宋体" w:hAnsi="宋体" w:cs="Calibri"/>
          <w:kern w:val="0"/>
          <w:sz w:val="22"/>
        </w:rPr>
        <w:t>五</w:t>
      </w:r>
      <w:r>
        <w:rPr>
          <w:rFonts w:ascii="宋体" w:hAnsi="宋体" w:cs="Calibri"/>
          <w:kern w:val="0"/>
          <w:sz w:val="22"/>
        </w:rPr>
        <w:t>章</w:t>
      </w:r>
      <w:r>
        <w:rPr>
          <w:rFonts w:hint="eastAsia" w:ascii="宋体" w:hAnsi="宋体" w:cs="Calibri"/>
          <w:kern w:val="0"/>
          <w:sz w:val="22"/>
        </w:rPr>
        <w:t>技术标准及要求</w:t>
      </w:r>
      <w:r>
        <w:rPr>
          <w:rFonts w:hint="eastAsia" w:ascii="宋体" w:hAnsi="宋体" w:eastAsia="宋体" w:cs="Calibri"/>
          <w:kern w:val="0"/>
          <w:sz w:val="22"/>
        </w:rPr>
        <w:t>》</w:t>
      </w:r>
      <w:r>
        <w:rPr>
          <w:rFonts w:hint="eastAsia" w:cs="Arial" w:asciiTheme="minorEastAsia" w:hAnsiTheme="minorEastAsia"/>
          <w:kern w:val="0"/>
          <w:sz w:val="22"/>
        </w:rPr>
        <w:t>。</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（4）本项目</w:t>
      </w:r>
      <w:r>
        <w:rPr>
          <w:rFonts w:hint="eastAsia" w:ascii="宋体" w:hAnsi="宋体" w:cs="Arial"/>
          <w:kern w:val="0"/>
          <w:sz w:val="22"/>
        </w:rPr>
        <w:t>服务</w:t>
      </w:r>
      <w:r>
        <w:rPr>
          <w:rFonts w:hint="eastAsia" w:ascii="宋体" w:hAnsi="宋体" w:cs="Calibri"/>
          <w:kern w:val="0"/>
          <w:sz w:val="22"/>
        </w:rPr>
        <w:t>期限采取“1+3”模式，即合同签订日起第一年为考核期，考核合格后，本合同自动顺延3年。</w:t>
      </w:r>
    </w:p>
    <w:p>
      <w:pPr>
        <w:widowControl/>
        <w:adjustRightInd w:val="0"/>
        <w:snapToGrid w:val="0"/>
        <w:spacing w:line="340" w:lineRule="exact"/>
        <w:ind w:firstLine="442" w:firstLineChars="200"/>
        <w:rPr>
          <w:rFonts w:cs="Arial" w:asciiTheme="minorEastAsia" w:hAnsiTheme="minorEastAsia"/>
          <w:b/>
          <w:bCs/>
          <w:kern w:val="0"/>
          <w:sz w:val="22"/>
        </w:rPr>
      </w:pPr>
      <w:r>
        <w:rPr>
          <w:rFonts w:hint="eastAsia" w:cs="Arial" w:asciiTheme="minorEastAsia" w:hAnsiTheme="minorEastAsia"/>
          <w:b/>
          <w:bCs/>
          <w:kern w:val="0"/>
          <w:sz w:val="22"/>
        </w:rPr>
        <w:t>二、投标人资格要求</w:t>
      </w:r>
      <w:r>
        <w:rPr>
          <w:rFonts w:cs="Arial" w:asciiTheme="minorEastAsia" w:hAnsiTheme="minorEastAsia"/>
          <w:b/>
          <w:bCs/>
          <w:kern w:val="0"/>
          <w:sz w:val="22"/>
        </w:rPr>
        <w:t> </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（1）</w:t>
      </w:r>
      <w:r>
        <w:rPr>
          <w:rFonts w:hint="eastAsia" w:ascii="宋体" w:hAnsi="宋体" w:cs="宋体"/>
          <w:sz w:val="22"/>
        </w:rPr>
        <w:t>投标人具备</w:t>
      </w:r>
      <w:r>
        <w:rPr>
          <w:rFonts w:hint="eastAsia" w:ascii="宋体" w:hAnsi="宋体" w:cs="宋体"/>
          <w:sz w:val="22"/>
          <w:u w:val="single"/>
        </w:rPr>
        <w:t>公路工程施工总承包三级及以上资质或公路交通工程（公路安全设施分项）专业承包二级及以上资质或机场场道工程专业承包二级及以上资质。</w:t>
      </w:r>
    </w:p>
    <w:p>
      <w:pPr>
        <w:widowControl/>
        <w:adjustRightInd w:val="0"/>
        <w:snapToGrid w:val="0"/>
        <w:spacing w:line="340" w:lineRule="exact"/>
        <w:ind w:firstLine="440" w:firstLineChars="200"/>
        <w:rPr>
          <w:rFonts w:ascii="宋体" w:hAnsi="宋体" w:cs="宋体"/>
          <w:b/>
          <w:sz w:val="22"/>
        </w:rPr>
      </w:pPr>
      <w:r>
        <w:rPr>
          <w:rFonts w:hint="eastAsia" w:cs="Arial" w:asciiTheme="minorEastAsia" w:hAnsiTheme="minorEastAsia"/>
          <w:kern w:val="0"/>
          <w:sz w:val="22"/>
        </w:rPr>
        <w:t>（2）</w:t>
      </w:r>
      <w:r>
        <w:rPr>
          <w:rFonts w:hint="eastAsia" w:ascii="宋体" w:hAnsi="宋体" w:cs="宋体"/>
          <w:sz w:val="22"/>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w:t>
      </w:r>
      <w:r>
        <w:rPr>
          <w:rFonts w:hint="eastAsia" w:ascii="宋体" w:hAnsi="宋体" w:cs="宋体"/>
          <w:b/>
          <w:sz w:val="22"/>
        </w:rPr>
        <w:t>企业法定代表人、企业经理、企业技术负责人及企业分管安全的副经理须提供相应任职文件。</w:t>
      </w:r>
    </w:p>
    <w:p>
      <w:pPr>
        <w:widowControl/>
        <w:adjustRightInd w:val="0"/>
        <w:snapToGrid w:val="0"/>
        <w:spacing w:line="340" w:lineRule="exact"/>
        <w:ind w:firstLine="440" w:firstLineChars="200"/>
        <w:rPr>
          <w:rFonts w:ascii="宋体" w:hAnsi="宋体" w:cs="宋体"/>
          <w:sz w:val="22"/>
        </w:rPr>
      </w:pPr>
      <w:r>
        <w:rPr>
          <w:rFonts w:hint="eastAsia" w:ascii="宋体" w:hAnsi="宋体" w:cs="宋体"/>
          <w:sz w:val="22"/>
        </w:rPr>
        <w:t>（3）项目经理资格要求：</w:t>
      </w:r>
      <w:r>
        <w:rPr>
          <w:rFonts w:hint="eastAsia" w:ascii="宋体" w:hAnsi="宋体" w:eastAsia="宋体" w:cs="宋体"/>
          <w:sz w:val="22"/>
        </w:rPr>
        <w:t>具有</w:t>
      </w:r>
      <w:r>
        <w:fldChar w:fldCharType="begin"/>
      </w:r>
      <w:r>
        <w:instrText xml:space="preserve"> HYPERLINK "https://baike.so.com/doc/6232398-6445739.html" \t "https://baike.so.com/doc/_blank" </w:instrText>
      </w:r>
      <w:r>
        <w:fldChar w:fldCharType="separate"/>
      </w:r>
      <w:r>
        <w:rPr>
          <w:rFonts w:hint="eastAsia" w:ascii="宋体" w:hAnsi="宋体" w:eastAsia="宋体" w:cs="宋体"/>
          <w:sz w:val="22"/>
        </w:rPr>
        <w:t>公路工程</w:t>
      </w:r>
      <w:r>
        <w:rPr>
          <w:rFonts w:hint="eastAsia" w:ascii="宋体" w:hAnsi="宋体" w:eastAsia="宋体" w:cs="宋体"/>
          <w:sz w:val="22"/>
        </w:rPr>
        <w:fldChar w:fldCharType="end"/>
      </w:r>
      <w:r>
        <w:rPr>
          <w:rFonts w:hint="eastAsia" w:ascii="宋体" w:hAnsi="宋体" w:eastAsia="宋体" w:cs="宋体"/>
          <w:sz w:val="22"/>
        </w:rPr>
        <w:t>专业</w:t>
      </w:r>
      <w:bookmarkStart w:id="1" w:name="EBac41b1e6b9d14727a7963a7a077c8ed9"/>
      <w:r>
        <w:rPr>
          <w:rFonts w:hint="eastAsia" w:ascii="宋体" w:hAnsi="宋体" w:eastAsia="宋体" w:cs="宋体"/>
          <w:sz w:val="22"/>
        </w:rPr>
        <w:t>或机场场道工程专业二级</w:t>
      </w:r>
      <w:bookmarkEnd w:id="1"/>
      <w:r>
        <w:rPr>
          <w:rFonts w:hint="eastAsia" w:ascii="宋体" w:hAnsi="宋体" w:eastAsia="宋体" w:cs="宋体"/>
          <w:sz w:val="22"/>
        </w:rPr>
        <w:t>及以上注册建造师执业证书资格</w:t>
      </w:r>
      <w:r>
        <w:rPr>
          <w:rFonts w:hint="eastAsia" w:ascii="宋体" w:hAnsi="宋体" w:cs="宋体"/>
          <w:sz w:val="22"/>
        </w:rPr>
        <w:t>，并具有交通工程师职称。</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w:t>
      </w:r>
      <w:r>
        <w:rPr>
          <w:rFonts w:cs="Arial" w:asciiTheme="minorEastAsia" w:hAnsiTheme="minorEastAsia"/>
          <w:kern w:val="0"/>
          <w:sz w:val="22"/>
        </w:rPr>
        <w:t>4</w:t>
      </w:r>
      <w:r>
        <w:rPr>
          <w:rFonts w:hint="eastAsia" w:cs="Arial" w:asciiTheme="minorEastAsia" w:hAnsiTheme="minorEastAsia"/>
          <w:kern w:val="0"/>
          <w:sz w:val="22"/>
        </w:rPr>
        <w:t>）投标人近3年内（2016年1月1日至</w:t>
      </w:r>
      <w:r>
        <w:rPr>
          <w:rFonts w:hint="eastAsia" w:ascii="宋体" w:hAnsi="宋体"/>
          <w:sz w:val="22"/>
        </w:rPr>
        <w:t>投标截止日</w:t>
      </w:r>
      <w:r>
        <w:rPr>
          <w:rFonts w:hint="eastAsia" w:cs="Arial" w:asciiTheme="minorEastAsia" w:hAnsiTheme="minorEastAsia"/>
          <w:kern w:val="0"/>
          <w:sz w:val="22"/>
        </w:rPr>
        <w:t>）承接过标志线维护业绩，且单项业绩金额不得低于100万元。证明材料：合同</w:t>
      </w:r>
      <w:r>
        <w:rPr>
          <w:rFonts w:cs="Arial" w:asciiTheme="minorEastAsia" w:hAnsiTheme="minorEastAsia"/>
          <w:kern w:val="0"/>
          <w:sz w:val="22"/>
        </w:rPr>
        <w:t>证明文件或</w:t>
      </w:r>
      <w:r>
        <w:rPr>
          <w:rFonts w:hint="eastAsia" w:cs="Arial" w:asciiTheme="minorEastAsia" w:hAnsiTheme="minorEastAsia"/>
          <w:kern w:val="0"/>
          <w:sz w:val="22"/>
        </w:rPr>
        <w:t>中标通知书或竣工验收证书或业主证明等能证明投标人业绩金额等证明材料，须提供复印件并加盖投标人公章，原件备查。</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w:t>
      </w:r>
      <w:r>
        <w:rPr>
          <w:rFonts w:cs="Arial" w:asciiTheme="minorEastAsia" w:hAnsiTheme="minorEastAsia"/>
          <w:kern w:val="0"/>
          <w:sz w:val="22"/>
        </w:rPr>
        <w:t>5</w:t>
      </w:r>
      <w:r>
        <w:rPr>
          <w:rFonts w:hint="eastAsia" w:cs="Arial" w:asciiTheme="minorEastAsia" w:hAnsiTheme="minorEastAsia"/>
          <w:kern w:val="0"/>
          <w:sz w:val="22"/>
        </w:rPr>
        <w:t>）</w:t>
      </w:r>
      <w:r>
        <w:rPr>
          <w:rFonts w:cs="Arial" w:asciiTheme="minorEastAsia" w:hAnsiTheme="minorEastAsia"/>
          <w:kern w:val="0"/>
          <w:sz w:val="22"/>
        </w:rPr>
        <w:t>本项目不接受联合</w:t>
      </w:r>
      <w:r>
        <w:rPr>
          <w:rFonts w:hint="eastAsia" w:cs="Arial" w:asciiTheme="minorEastAsia" w:hAnsiTheme="minorEastAsia"/>
          <w:kern w:val="0"/>
          <w:sz w:val="22"/>
        </w:rPr>
        <w:t>体</w:t>
      </w:r>
      <w:r>
        <w:rPr>
          <w:rFonts w:cs="Arial" w:asciiTheme="minorEastAsia" w:hAnsiTheme="minorEastAsia"/>
          <w:kern w:val="0"/>
          <w:sz w:val="22"/>
        </w:rPr>
        <w:t>投标</w:t>
      </w:r>
      <w:r>
        <w:rPr>
          <w:rFonts w:hint="eastAsia" w:cs="Arial" w:asciiTheme="minorEastAsia" w:hAnsiTheme="minorEastAsia"/>
          <w:kern w:val="0"/>
          <w:sz w:val="22"/>
        </w:rPr>
        <w:t>。</w:t>
      </w:r>
    </w:p>
    <w:p>
      <w:pPr>
        <w:widowControl/>
        <w:adjustRightInd w:val="0"/>
        <w:snapToGrid w:val="0"/>
        <w:spacing w:line="340" w:lineRule="exact"/>
        <w:ind w:firstLine="442" w:firstLineChars="200"/>
        <w:rPr>
          <w:rFonts w:cs="Arial" w:asciiTheme="minorEastAsia" w:hAnsiTheme="minorEastAsia"/>
          <w:b/>
          <w:bCs/>
          <w:kern w:val="0"/>
          <w:sz w:val="22"/>
        </w:rPr>
      </w:pPr>
      <w:r>
        <w:rPr>
          <w:rFonts w:hint="eastAsia" w:cs="Arial" w:asciiTheme="minorEastAsia" w:hAnsiTheme="minorEastAsia"/>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招标文件下载</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四、投标文件的递交</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（1）投标文件递交截止时间：2019年</w:t>
      </w:r>
      <w:r>
        <w:rPr>
          <w:rFonts w:hint="eastAsia" w:cs="Arial" w:asciiTheme="minorEastAsia" w:hAnsiTheme="minorEastAsia"/>
          <w:kern w:val="0"/>
          <w:sz w:val="22"/>
          <w:lang w:val="en-US" w:eastAsia="zh-CN"/>
        </w:rPr>
        <w:t>9</w:t>
      </w:r>
      <w:r>
        <w:rPr>
          <w:rFonts w:hint="eastAsia" w:cs="Arial" w:asciiTheme="minorEastAsia" w:hAnsiTheme="minorEastAsia"/>
          <w:kern w:val="0"/>
          <w:sz w:val="22"/>
        </w:rPr>
        <w:t>月</w:t>
      </w:r>
      <w:r>
        <w:rPr>
          <w:rFonts w:hint="eastAsia" w:cs="Arial" w:asciiTheme="minorEastAsia" w:hAnsiTheme="minorEastAsia"/>
          <w:kern w:val="0"/>
          <w:sz w:val="22"/>
          <w:lang w:val="en-US" w:eastAsia="zh-CN"/>
        </w:rPr>
        <w:t>30</w:t>
      </w:r>
      <w:r>
        <w:rPr>
          <w:rFonts w:hint="eastAsia" w:cs="Arial" w:asciiTheme="minorEastAsia" w:hAnsiTheme="minorEastAsia"/>
          <w:kern w:val="0"/>
          <w:sz w:val="22"/>
        </w:rPr>
        <w:t>日上午9时</w:t>
      </w:r>
      <w:r>
        <w:rPr>
          <w:rFonts w:hint="eastAsia" w:cs="Arial" w:asciiTheme="minorEastAsia" w:hAnsiTheme="minorEastAsia"/>
          <w:kern w:val="0"/>
          <w:sz w:val="22"/>
          <w:lang w:val="en-US" w:eastAsia="zh-CN"/>
        </w:rPr>
        <w:t>00</w:t>
      </w:r>
      <w:r>
        <w:rPr>
          <w:rFonts w:hint="eastAsia" w:cs="Arial" w:asciiTheme="minorEastAsia" w:hAnsiTheme="minorEastAsia"/>
          <w:kern w:val="0"/>
          <w:sz w:val="22"/>
        </w:rPr>
        <w:t>分（北京时间）。投标文件在封口处加盖公章，并派专人于</w:t>
      </w:r>
      <w:r>
        <w:rPr>
          <w:rFonts w:hint="eastAsia" w:cs="Arial" w:asciiTheme="minorEastAsia" w:hAnsiTheme="minorEastAsia"/>
          <w:kern w:val="0"/>
          <w:sz w:val="22"/>
        </w:rPr>
        <w:t>2019年</w:t>
      </w:r>
      <w:r>
        <w:rPr>
          <w:rFonts w:hint="eastAsia" w:cs="Arial" w:asciiTheme="minorEastAsia" w:hAnsiTheme="minorEastAsia"/>
          <w:kern w:val="0"/>
          <w:sz w:val="22"/>
          <w:lang w:val="en-US" w:eastAsia="zh-CN"/>
        </w:rPr>
        <w:t>9</w:t>
      </w:r>
      <w:r>
        <w:rPr>
          <w:rFonts w:hint="eastAsia" w:cs="Arial" w:asciiTheme="minorEastAsia" w:hAnsiTheme="minorEastAsia"/>
          <w:kern w:val="0"/>
          <w:sz w:val="22"/>
        </w:rPr>
        <w:t>月</w:t>
      </w:r>
      <w:r>
        <w:rPr>
          <w:rFonts w:hint="eastAsia" w:cs="Arial" w:asciiTheme="minorEastAsia" w:hAnsiTheme="minorEastAsia"/>
          <w:kern w:val="0"/>
          <w:sz w:val="22"/>
          <w:lang w:val="en-US" w:eastAsia="zh-CN"/>
        </w:rPr>
        <w:t>30</w:t>
      </w:r>
      <w:r>
        <w:rPr>
          <w:rFonts w:hint="eastAsia" w:cs="Arial" w:asciiTheme="minorEastAsia" w:hAnsiTheme="minorEastAsia"/>
          <w:kern w:val="0"/>
          <w:sz w:val="22"/>
        </w:rPr>
        <w:t>日上午9时</w:t>
      </w:r>
      <w:r>
        <w:rPr>
          <w:rFonts w:hint="eastAsia" w:cs="Arial" w:asciiTheme="minorEastAsia" w:hAnsiTheme="minorEastAsia"/>
          <w:kern w:val="0"/>
          <w:sz w:val="22"/>
          <w:lang w:val="en-US" w:eastAsia="zh-CN"/>
        </w:rPr>
        <w:t>00</w:t>
      </w:r>
      <w:r>
        <w:rPr>
          <w:rFonts w:hint="eastAsia" w:cs="Arial" w:asciiTheme="minorEastAsia" w:hAnsiTheme="minorEastAsia"/>
          <w:kern w:val="0"/>
          <w:sz w:val="22"/>
        </w:rPr>
        <w:t>分（北京时间）</w:t>
      </w:r>
      <w:r>
        <w:rPr>
          <w:rFonts w:hint="eastAsia" w:cs="Arial" w:asciiTheme="minorEastAsia" w:hAnsiTheme="minorEastAsia"/>
          <w:kern w:val="0"/>
          <w:sz w:val="22"/>
        </w:rPr>
        <w:t>前送至杭州萧山国际机场翔越路综合服务楼园区招标中心，逾期无效；若采用投递（邮寄）方式的，</w:t>
      </w:r>
      <w:r>
        <w:rPr>
          <w:rFonts w:hint="eastAsia" w:cs="Arial" w:asciiTheme="minorEastAsia" w:hAnsiTheme="minorEastAsia"/>
          <w:kern w:val="0"/>
          <w:sz w:val="22"/>
        </w:rPr>
        <w:t>2019年</w:t>
      </w:r>
      <w:r>
        <w:rPr>
          <w:rFonts w:hint="eastAsia" w:cs="Arial" w:asciiTheme="minorEastAsia" w:hAnsiTheme="minorEastAsia"/>
          <w:kern w:val="0"/>
          <w:sz w:val="22"/>
          <w:lang w:val="en-US" w:eastAsia="zh-CN"/>
        </w:rPr>
        <w:t>9</w:t>
      </w:r>
      <w:r>
        <w:rPr>
          <w:rFonts w:hint="eastAsia" w:cs="Arial" w:asciiTheme="minorEastAsia" w:hAnsiTheme="minorEastAsia"/>
          <w:kern w:val="0"/>
          <w:sz w:val="22"/>
        </w:rPr>
        <w:t>月</w:t>
      </w:r>
      <w:r>
        <w:rPr>
          <w:rFonts w:hint="eastAsia" w:cs="Arial" w:asciiTheme="minorEastAsia" w:hAnsiTheme="minorEastAsia"/>
          <w:kern w:val="0"/>
          <w:sz w:val="22"/>
          <w:lang w:val="en-US" w:eastAsia="zh-CN"/>
        </w:rPr>
        <w:t>30</w:t>
      </w:r>
      <w:r>
        <w:rPr>
          <w:rFonts w:hint="eastAsia" w:cs="Arial" w:asciiTheme="minorEastAsia" w:hAnsiTheme="minorEastAsia"/>
          <w:kern w:val="0"/>
          <w:sz w:val="22"/>
        </w:rPr>
        <w:t>日上午9时</w:t>
      </w:r>
      <w:r>
        <w:rPr>
          <w:rFonts w:hint="eastAsia" w:cs="Arial" w:asciiTheme="minorEastAsia" w:hAnsiTheme="minorEastAsia"/>
          <w:kern w:val="0"/>
          <w:sz w:val="22"/>
          <w:lang w:val="en-US" w:eastAsia="zh-CN"/>
        </w:rPr>
        <w:t>00</w:t>
      </w:r>
      <w:r>
        <w:rPr>
          <w:rFonts w:hint="eastAsia" w:cs="Arial" w:asciiTheme="minorEastAsia" w:hAnsiTheme="minorEastAsia"/>
          <w:kern w:val="0"/>
          <w:sz w:val="22"/>
        </w:rPr>
        <w:t>分（北京时间）</w:t>
      </w:r>
      <w:r>
        <w:rPr>
          <w:rFonts w:hint="eastAsia" w:cs="Arial" w:asciiTheme="minorEastAsia" w:hAnsiTheme="minorEastAsia"/>
          <w:kern w:val="0"/>
          <w:sz w:val="22"/>
        </w:rPr>
        <w:t>前投递至杭州萧山国际机场翔越路综合服务楼园区招标中心，逾期无效。</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（2）</w:t>
      </w:r>
      <w:r>
        <w:rPr>
          <w:rFonts w:hint="eastAsia" w:asciiTheme="minorEastAsia" w:hAnsiTheme="minorEastAsia"/>
          <w:sz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投标联系人：贾思勰        联系电话：</w:t>
      </w:r>
      <w:r>
        <w:rPr>
          <w:rFonts w:ascii="宋体" w:hAnsi="宋体"/>
          <w:sz w:val="22"/>
        </w:rPr>
        <w:t>0571-83837612</w:t>
      </w:r>
    </w:p>
    <w:p>
      <w:pPr>
        <w:widowControl/>
        <w:adjustRightInd w:val="0"/>
        <w:snapToGrid w:val="0"/>
        <w:spacing w:line="340" w:lineRule="exact"/>
        <w:ind w:firstLine="440" w:firstLineChars="200"/>
        <w:rPr>
          <w:rFonts w:ascii="宋体" w:hAnsi="宋体"/>
          <w:sz w:val="22"/>
        </w:rPr>
      </w:pPr>
      <w:r>
        <w:rPr>
          <w:rFonts w:hint="eastAsia" w:ascii="宋体" w:hAnsi="宋体"/>
          <w:sz w:val="22"/>
        </w:rPr>
        <w:t>招标监督人：阮周长</w:t>
      </w:r>
      <w:r>
        <w:rPr>
          <w:rFonts w:ascii="宋体" w:hAnsi="宋体"/>
          <w:sz w:val="22"/>
        </w:rPr>
        <w:t xml:space="preserve">         联系电话：0571-86662133</w:t>
      </w:r>
    </w:p>
    <w:bookmarkEnd w:id="187"/>
    <w:p>
      <w:pPr>
        <w:pStyle w:val="51"/>
      </w:pPr>
      <w:r>
        <w:rPr>
          <w:rFonts w:hint="eastAsia" w:asciiTheme="minorEastAsia" w:hAnsiTheme="minorEastAsia"/>
          <w:bCs w:val="0"/>
          <w:sz w:val="22"/>
          <w:szCs w:val="22"/>
        </w:rPr>
        <w:t xml:space="preserve"> </w:t>
      </w:r>
      <w:r>
        <w:rPr>
          <w:rFonts w:asciiTheme="minorEastAsia" w:hAnsiTheme="minorEastAsia"/>
          <w:bCs w:val="0"/>
          <w:sz w:val="22"/>
          <w:szCs w:val="22"/>
        </w:rPr>
        <w:br w:type="page"/>
      </w:r>
      <w:bookmarkStart w:id="2" w:name="_Toc450630557"/>
      <w:bookmarkStart w:id="3" w:name="_Toc511375151"/>
      <w:r>
        <w:t>第</w:t>
      </w:r>
      <w:r>
        <w:rPr>
          <w:rFonts w:hint="eastAsia"/>
        </w:rPr>
        <w:t>二</w:t>
      </w:r>
      <w:r>
        <w:t>章  投标</w:t>
      </w:r>
      <w:r>
        <w:rPr>
          <w:rFonts w:hint="eastAsia"/>
        </w:rPr>
        <w:t>人须知</w:t>
      </w:r>
      <w:bookmarkEnd w:id="2"/>
      <w:bookmarkEnd w:id="3"/>
    </w:p>
    <w:p>
      <w:pPr>
        <w:pStyle w:val="34"/>
        <w:spacing w:line="240" w:lineRule="auto"/>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杭州萧山国际机场飞行区标志线更新维护项目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84"/>
                <w:rFonts w:hint="eastAsia"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widowControl/>
              <w:adjustRightInd w:val="0"/>
              <w:snapToGrid w:val="0"/>
              <w:spacing w:line="340" w:lineRule="exact"/>
              <w:rPr>
                <w:rFonts w:ascii="宋体" w:hAnsi="宋体" w:cs="Calibri"/>
                <w:kern w:val="0"/>
                <w:sz w:val="22"/>
              </w:rPr>
            </w:pPr>
            <w:r>
              <w:rPr>
                <w:rFonts w:cs="Calibri" w:asciiTheme="minorEastAsia" w:hAnsiTheme="minorEastAsia"/>
                <w:kern w:val="0"/>
                <w:sz w:val="22"/>
              </w:rPr>
              <w:t>详见招标公告</w:t>
            </w:r>
            <w:r>
              <w:rPr>
                <w:rFonts w:hint="eastAsia" w:eastAsia="宋体" w:cs="Calibri" w:asciiTheme="minorEastAsia" w:hAnsiTheme="minorEastAsia"/>
                <w:kern w:val="0"/>
                <w:sz w:val="22"/>
              </w:rPr>
              <w:t>，</w:t>
            </w:r>
            <w:r>
              <w:rPr>
                <w:rFonts w:hint="eastAsia" w:eastAsia="宋体" w:cs="Arial" w:asciiTheme="minorEastAsia" w:hAnsiTheme="minorEastAsia"/>
                <w:kern w:val="0"/>
                <w:sz w:val="22"/>
              </w:rPr>
              <w:t>具体</w:t>
            </w:r>
            <w:r>
              <w:rPr>
                <w:rFonts w:hint="eastAsia" w:ascii="宋体" w:hAnsi="宋体" w:cs="Arial"/>
                <w:kern w:val="0"/>
                <w:sz w:val="22"/>
              </w:rPr>
              <w:t>技术</w:t>
            </w:r>
            <w:r>
              <w:rPr>
                <w:rFonts w:hint="eastAsia" w:eastAsia="宋体" w:cs="Arial" w:asciiTheme="minorEastAsia" w:hAnsiTheme="minorEastAsia"/>
                <w:kern w:val="0"/>
                <w:sz w:val="22"/>
              </w:rPr>
              <w:t>要求</w:t>
            </w:r>
            <w:r>
              <w:rPr>
                <w:rFonts w:ascii="宋体" w:hAnsi="宋体" w:cs="Calibri"/>
                <w:kern w:val="0"/>
                <w:sz w:val="22"/>
              </w:rPr>
              <w:t>详见</w:t>
            </w:r>
            <w:r>
              <w:rPr>
                <w:rFonts w:hint="eastAsia" w:ascii="宋体" w:hAnsi="宋体" w:eastAsia="宋体" w:cs="Calibri"/>
                <w:kern w:val="0"/>
                <w:sz w:val="22"/>
              </w:rPr>
              <w:t>《</w:t>
            </w:r>
            <w:r>
              <w:rPr>
                <w:rFonts w:ascii="宋体" w:hAnsi="宋体" w:cs="Calibri"/>
                <w:kern w:val="0"/>
                <w:sz w:val="22"/>
              </w:rPr>
              <w:t>第</w:t>
            </w:r>
            <w:r>
              <w:rPr>
                <w:rFonts w:hint="eastAsia" w:ascii="宋体" w:hAnsi="宋体" w:cs="Calibri"/>
                <w:kern w:val="0"/>
                <w:sz w:val="22"/>
              </w:rPr>
              <w:t>五</w:t>
            </w:r>
            <w:r>
              <w:rPr>
                <w:rFonts w:ascii="宋体" w:hAnsi="宋体" w:cs="Calibri"/>
                <w:kern w:val="0"/>
                <w:sz w:val="22"/>
              </w:rPr>
              <w:t>章</w:t>
            </w:r>
            <w:r>
              <w:rPr>
                <w:rFonts w:hint="eastAsia" w:ascii="宋体" w:hAnsi="宋体" w:cs="Calibri"/>
                <w:kern w:val="0"/>
                <w:sz w:val="22"/>
              </w:rPr>
              <w:t>技术标准及要求</w:t>
            </w:r>
            <w:r>
              <w:rPr>
                <w:rFonts w:hint="eastAsia" w:ascii="宋体" w:hAnsi="宋体" w:eastAsia="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本项目服务期限采取“1+3”模式，即合同签订日起第一年为考核期，考核合格</w:t>
            </w:r>
            <w:r>
              <w:rPr>
                <w:rStyle w:val="57"/>
                <w:rFonts w:hint="eastAsia"/>
              </w:rPr>
              <w:t>(根据</w:t>
            </w:r>
            <w:r>
              <w:rPr>
                <w:rFonts w:hint="eastAsia"/>
              </w:rPr>
              <w:t>《飞行区标志线维护项目监管考核方法》,详见</w:t>
            </w:r>
            <w:r>
              <w:t>第</w:t>
            </w:r>
            <w:r>
              <w:rPr>
                <w:rFonts w:hint="eastAsia"/>
              </w:rPr>
              <w:t>三</w:t>
            </w:r>
            <w:r>
              <w:t xml:space="preserve">章  </w:t>
            </w:r>
            <w:r>
              <w:rPr>
                <w:rFonts w:hint="eastAsia"/>
              </w:rPr>
              <w:t>合同条款及格式附件四</w:t>
            </w:r>
            <w:r>
              <w:rPr>
                <w:rFonts w:hint="eastAsia" w:ascii="宋体" w:hAnsi="宋体" w:cs="宋体"/>
                <w:b/>
                <w:sz w:val="22"/>
              </w:rPr>
              <w:t>)</w:t>
            </w:r>
            <w:r>
              <w:rPr>
                <w:rFonts w:hint="eastAsia" w:ascii="宋体" w:hAnsi="宋体" w:cs="Calibri"/>
                <w:kern w:val="0"/>
                <w:sz w:val="22"/>
              </w:rPr>
              <w:t>后，本合同自动顺延3年。如考核结果不合格，则发包人有权终止合同，并有权要求本项目的中标人赔偿后三年因更换承包商所产生的高于原合同费用的差价。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autoSpaceDE w:val="0"/>
              <w:autoSpaceDN w:val="0"/>
              <w:adjustRightInd w:val="0"/>
              <w:snapToGrid w:val="0"/>
              <w:rPr>
                <w:rFonts w:asciiTheme="minorEastAsia" w:hAnsiTheme="minorEastAsia"/>
                <w:color w:val="000000"/>
                <w:sz w:val="22"/>
              </w:rPr>
            </w:pPr>
            <w:r>
              <w:rPr>
                <w:rFonts w:hint="eastAsia" w:hAnsi="宋体" w:cs="宋体"/>
                <w:sz w:val="22"/>
              </w:rPr>
              <w:t>符合合同要求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组织，踏勘时间：</w:t>
            </w:r>
            <w:r>
              <w:rPr>
                <w:rFonts w:hint="eastAsia" w:cs="Calibri" w:asciiTheme="minorEastAsia" w:hAnsiTheme="minorEastAsia"/>
                <w:kern w:val="0"/>
                <w:sz w:val="22"/>
              </w:rPr>
              <w:t>201</w:t>
            </w:r>
            <w:r>
              <w:rPr>
                <w:rFonts w:hint="eastAsia" w:eastAsia="宋体" w:cs="Calibri" w:asciiTheme="minorEastAsia" w:hAnsiTheme="minorEastAsia"/>
                <w:kern w:val="0"/>
                <w:sz w:val="22"/>
              </w:rPr>
              <w:t>9</w:t>
            </w:r>
            <w:r>
              <w:rPr>
                <w:rFonts w:hint="eastAsia" w:cs="Calibri" w:asciiTheme="minorEastAsia" w:hAnsiTheme="minorEastAsia"/>
                <w:kern w:val="0"/>
                <w:sz w:val="22"/>
              </w:rPr>
              <w:t>年</w:t>
            </w:r>
            <w:r>
              <w:rPr>
                <w:rFonts w:hint="eastAsia" w:eastAsia="宋体" w:cs="Calibri" w:asciiTheme="minorEastAsia" w:hAnsiTheme="minorEastAsia"/>
                <w:kern w:val="0"/>
                <w:sz w:val="22"/>
                <w:lang w:val="en-US" w:eastAsia="zh-CN"/>
              </w:rPr>
              <w:t>9</w:t>
            </w:r>
            <w:r>
              <w:rPr>
                <w:rFonts w:hint="eastAsia" w:cs="Calibri" w:asciiTheme="minorEastAsia" w:hAnsiTheme="minorEastAsia"/>
                <w:kern w:val="0"/>
                <w:sz w:val="22"/>
              </w:rPr>
              <w:t>月</w:t>
            </w:r>
            <w:r>
              <w:rPr>
                <w:rFonts w:hint="eastAsia" w:eastAsia="宋体" w:cs="Calibri" w:asciiTheme="minorEastAsia" w:hAnsiTheme="minorEastAsia"/>
                <w:kern w:val="0"/>
                <w:sz w:val="22"/>
                <w:lang w:val="en-US" w:eastAsia="zh-CN"/>
              </w:rPr>
              <w:t>20</w:t>
            </w:r>
            <w:r>
              <w:rPr>
                <w:rFonts w:hint="eastAsia" w:cs="Calibri" w:asciiTheme="minorEastAsia" w:hAnsiTheme="minorEastAsia"/>
                <w:kern w:val="0"/>
                <w:sz w:val="22"/>
              </w:rPr>
              <w:t>日上午1</w:t>
            </w:r>
            <w:r>
              <w:rPr>
                <w:rFonts w:cs="Calibri" w:asciiTheme="minorEastAsia" w:hAnsiTheme="minorEastAsia"/>
                <w:kern w:val="0"/>
                <w:sz w:val="22"/>
              </w:rPr>
              <w:t>0</w:t>
            </w:r>
            <w:r>
              <w:rPr>
                <w:rFonts w:hint="eastAsia" w:cs="Calibri" w:asciiTheme="minorEastAsia" w:hAnsiTheme="minorEastAsia"/>
                <w:kern w:val="0"/>
                <w:sz w:val="22"/>
              </w:rPr>
              <w:t>:</w:t>
            </w:r>
            <w:r>
              <w:rPr>
                <w:rFonts w:cs="Calibri" w:asciiTheme="minorEastAsia" w:hAnsiTheme="minorEastAsia"/>
                <w:kern w:val="0"/>
                <w:sz w:val="22"/>
              </w:rPr>
              <w:t>00</w:t>
            </w:r>
          </w:p>
          <w:p>
            <w:pPr>
              <w:autoSpaceDE w:val="0"/>
              <w:autoSpaceDN w:val="0"/>
              <w:adjustRightInd w:val="0"/>
              <w:snapToGrid w:val="0"/>
              <w:rPr>
                <w:rFonts w:cs="Calibri" w:asciiTheme="minorEastAsia" w:hAnsiTheme="minorEastAsia"/>
                <w:kern w:val="0"/>
                <w:sz w:val="22"/>
              </w:rPr>
            </w:pPr>
            <w:r>
              <w:rPr>
                <w:rFonts w:hint="eastAsia" w:cs="Calibri" w:asciiTheme="minorEastAsia" w:hAnsiTheme="minorEastAsia"/>
                <w:kern w:val="0"/>
                <w:sz w:val="22"/>
              </w:rPr>
              <w:t>踏勘集中地点：杭州萧山国际机场翔越路综合服务楼园区招标中心</w:t>
            </w:r>
          </w:p>
          <w:p>
            <w:pPr>
              <w:autoSpaceDE w:val="0"/>
              <w:autoSpaceDN w:val="0"/>
              <w:adjustRightInd w:val="0"/>
              <w:snapToGrid w:val="0"/>
              <w:rPr>
                <w:rFonts w:cs="Calibri" w:asciiTheme="minorEastAsia" w:hAnsiTheme="minorEastAsia"/>
                <w:kern w:val="0"/>
                <w:sz w:val="22"/>
              </w:rPr>
            </w:pPr>
            <w:r>
              <w:rPr>
                <w:rFonts w:hint="eastAsia" w:cs="Calibri" w:asciiTheme="minorEastAsia" w:hAnsiTheme="minorEastAsia"/>
                <w:kern w:val="0"/>
                <w:sz w:val="22"/>
              </w:rPr>
              <w:t>每家投标人限两人参与踏勘。如需要办理相关证件应提前三个工作日向招标人提供踏勘人员的姓名、单位、手机号码及身份证明复印件，踏勘时携带身份证明原件。证件费用由投标人自行承担（</w:t>
            </w:r>
            <w:r>
              <w:rPr>
                <w:rFonts w:cs="Calibri" w:asciiTheme="minorEastAsia" w:hAnsiTheme="minorEastAsia"/>
                <w:kern w:val="0"/>
                <w:sz w:val="22"/>
              </w:rPr>
              <w:t>20元/人）。</w:t>
            </w:r>
          </w:p>
          <w:p>
            <w:pPr>
              <w:autoSpaceDE w:val="0"/>
              <w:autoSpaceDN w:val="0"/>
              <w:adjustRightInd w:val="0"/>
              <w:snapToGrid w:val="0"/>
              <w:rPr>
                <w:rFonts w:cs="Calibri" w:asciiTheme="minorEastAsia" w:hAnsiTheme="minorEastAsia"/>
                <w:kern w:val="0"/>
                <w:sz w:val="22"/>
              </w:rPr>
            </w:pPr>
            <w:r>
              <w:rPr>
                <w:rFonts w:hint="eastAsia" w:cs="Calibri" w:asciiTheme="minorEastAsia" w:hAnsiTheme="minorEastAsia"/>
                <w:kern w:val="0"/>
                <w:sz w:val="22"/>
              </w:rPr>
              <w:t>（由于未参加现场踏勘引起的报价失误等责任由投标人自负）</w:t>
            </w:r>
            <w:r>
              <w:rPr>
                <w:rFonts w:cs="Calibri" w:asciiTheme="minorEastAsia" w:hAnsiTheme="minorEastAsia"/>
                <w:kern w:val="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ascii="Times New Roman" w:hAnsi="Times New Roman"/>
                <w:kern w:val="0"/>
                <w:sz w:val="22"/>
              </w:rPr>
              <w:t>201</w:t>
            </w:r>
            <w:r>
              <w:rPr>
                <w:rFonts w:hint="eastAsia" w:ascii="Times New Roman" w:hAnsi="Times New Roman" w:eastAsia="宋体"/>
                <w:kern w:val="0"/>
                <w:sz w:val="22"/>
              </w:rPr>
              <w:t>9</w:t>
            </w:r>
            <w:r>
              <w:rPr>
                <w:rFonts w:hint="eastAsia" w:ascii="Times New Roman" w:hAnsi="Times New Roman"/>
                <w:kern w:val="0"/>
                <w:sz w:val="22"/>
              </w:rPr>
              <w:t>年</w:t>
            </w:r>
            <w:r>
              <w:rPr>
                <w:rFonts w:hint="eastAsia" w:ascii="Times New Roman" w:hAnsi="Times New Roman" w:eastAsia="宋体"/>
                <w:kern w:val="0"/>
                <w:sz w:val="22"/>
                <w:lang w:val="en-US" w:eastAsia="zh-CN"/>
              </w:rPr>
              <w:t>9</w:t>
            </w:r>
            <w:r>
              <w:rPr>
                <w:rFonts w:hint="eastAsia" w:ascii="Times New Roman" w:hAnsi="Times New Roman"/>
                <w:kern w:val="0"/>
                <w:sz w:val="22"/>
              </w:rPr>
              <w:t>月</w:t>
            </w:r>
            <w:r>
              <w:rPr>
                <w:rFonts w:hint="eastAsia" w:ascii="Times New Roman" w:hAnsi="Times New Roman"/>
                <w:kern w:val="0"/>
                <w:sz w:val="22"/>
                <w:lang w:val="en-US" w:eastAsia="zh-CN"/>
              </w:rPr>
              <w:t>20</w:t>
            </w:r>
            <w:r>
              <w:rPr>
                <w:rFonts w:hint="eastAsia" w:ascii="Times New Roman" w:hAnsi="Times New Roman"/>
                <w:kern w:val="0"/>
                <w:sz w:val="22"/>
              </w:rPr>
              <w:t>日</w:t>
            </w:r>
            <w:r>
              <w:rPr>
                <w:rFonts w:ascii="Times New Roman" w:hAnsi="Times New Roman"/>
                <w:kern w:val="0"/>
                <w:sz w:val="22"/>
              </w:rPr>
              <w:t>11</w:t>
            </w:r>
            <w:r>
              <w:rPr>
                <w:rFonts w:hint="eastAsia" w:ascii="Times New Roman" w:hAnsi="Times New Roman"/>
                <w:kern w:val="0"/>
                <w:sz w:val="22"/>
              </w:rPr>
              <w:t>：</w:t>
            </w:r>
            <w:r>
              <w:rPr>
                <w:rFonts w:ascii="Times New Roman" w:hAnsi="Times New Roman"/>
                <w:kern w:val="0"/>
                <w:sz w:val="22"/>
              </w:rPr>
              <w:t>30</w:t>
            </w:r>
            <w:r>
              <w:rPr>
                <w:rFonts w:hint="eastAsia" w:ascii="Times New Roman" w:hAnsi="Times New Roman"/>
                <w:kern w:val="0"/>
                <w:sz w:val="22"/>
              </w:rPr>
              <w:t>前，以书面加盖公章的形式通过</w:t>
            </w:r>
            <w:r>
              <w:rPr>
                <w:rFonts w:ascii="Times New Roman" w:hAnsi="Times New Roman"/>
                <w:kern w:val="0"/>
                <w:sz w:val="22"/>
              </w:rPr>
              <w:t>E-mail</w:t>
            </w:r>
            <w:r>
              <w:rPr>
                <w:rFonts w:hint="eastAsia" w:ascii="Times New Roman" w:hAnsi="Times New Roman"/>
                <w:kern w:val="0"/>
                <w:sz w:val="22"/>
              </w:rPr>
              <w:t>或传真提交给招标人（投标联系人</w:t>
            </w:r>
            <w:r>
              <w:rPr>
                <w:rFonts w:ascii="Times New Roman" w:hAnsi="Times New Roman"/>
                <w:kern w:val="0"/>
                <w:sz w:val="22"/>
              </w:rPr>
              <w:t>:</w:t>
            </w:r>
            <w:r>
              <w:rPr>
                <w:rFonts w:hint="eastAsia" w:ascii="Times New Roman" w:hAnsi="Times New Roman"/>
                <w:kern w:val="0"/>
                <w:sz w:val="22"/>
              </w:rPr>
              <w:t>贾思勰，电话</w:t>
            </w:r>
            <w:r>
              <w:rPr>
                <w:rFonts w:ascii="Times New Roman" w:hAnsi="Times New Roman"/>
                <w:kern w:val="0"/>
                <w:sz w:val="22"/>
              </w:rPr>
              <w:t>0571-83837612</w:t>
            </w:r>
            <w:r>
              <w:rPr>
                <w:rFonts w:hint="eastAsia" w:ascii="Times New Roman" w:hAnsi="Times New Roman"/>
                <w:kern w:val="0"/>
                <w:sz w:val="22"/>
              </w:rPr>
              <w:t>；传真：</w:t>
            </w:r>
            <w:r>
              <w:rPr>
                <w:rFonts w:ascii="Times New Roman" w:hAnsi="Times New Roman"/>
                <w:kern w:val="0"/>
                <w:sz w:val="22"/>
              </w:rPr>
              <w:t>0571-83837612</w:t>
            </w:r>
            <w:r>
              <w:rPr>
                <w:rFonts w:hint="eastAsia" w:ascii="Times New Roman" w:hAnsi="Times New Roman"/>
                <w:kern w:val="0"/>
                <w:sz w:val="22"/>
              </w:rPr>
              <w:t>；电子邮箱：</w:t>
            </w:r>
            <w:r>
              <w:rPr>
                <w:rFonts w:ascii="Times New Roman" w:hAnsi="Times New Roman"/>
                <w:kern w:val="0"/>
                <w:sz w:val="22"/>
              </w:rPr>
              <w:t>zbzx@hzairport.com</w:t>
            </w:r>
            <w:r>
              <w:rPr>
                <w:rFonts w:hint="eastAsia" w:ascii="Times New Roman" w:hAnsi="Times New Roman"/>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rPr>
              <w:t>2019年</w:t>
            </w:r>
            <w:r>
              <w:rPr>
                <w:rFonts w:hint="eastAsia" w:cs="Calibri" w:asciiTheme="minorEastAsia" w:hAnsiTheme="minorEastAsia"/>
                <w:b/>
                <w:kern w:val="0"/>
                <w:sz w:val="22"/>
                <w:lang w:val="en-US" w:eastAsia="zh-CN"/>
              </w:rPr>
              <w:t>9</w:t>
            </w:r>
            <w:r>
              <w:rPr>
                <w:rFonts w:hint="eastAsia" w:cs="Calibri" w:asciiTheme="minorEastAsia" w:hAnsiTheme="minorEastAsia"/>
                <w:b/>
                <w:kern w:val="0"/>
                <w:sz w:val="22"/>
              </w:rPr>
              <w:t>月</w:t>
            </w:r>
            <w:r>
              <w:rPr>
                <w:rFonts w:hint="eastAsia" w:cs="Calibri" w:asciiTheme="minorEastAsia" w:hAnsiTheme="minorEastAsia"/>
                <w:b/>
                <w:kern w:val="0"/>
                <w:sz w:val="22"/>
                <w:lang w:val="en-US" w:eastAsia="zh-CN"/>
              </w:rPr>
              <w:t>30</w:t>
            </w:r>
            <w:r>
              <w:rPr>
                <w:rFonts w:hint="eastAsia" w:cs="Calibri" w:asciiTheme="minorEastAsia" w:hAnsiTheme="minorEastAsia"/>
                <w:b/>
                <w:kern w:val="0"/>
                <w:sz w:val="22"/>
              </w:rPr>
              <w:t>日上午9时</w:t>
            </w:r>
            <w:r>
              <w:rPr>
                <w:rFonts w:hint="eastAsia" w:cs="Calibri" w:asciiTheme="minorEastAsia" w:hAnsiTheme="minorEastAsia"/>
                <w:b/>
                <w:kern w:val="0"/>
                <w:sz w:val="22"/>
                <w:lang w:val="en-US" w:eastAsia="zh-CN"/>
              </w:rPr>
              <w:t>0</w:t>
            </w:r>
            <w:r>
              <w:rPr>
                <w:rFonts w:cs="Calibri" w:asciiTheme="minorEastAsia" w:hAnsiTheme="minorEastAsia"/>
                <w:b/>
                <w:kern w:val="0"/>
                <w:sz w:val="22"/>
              </w:rPr>
              <w:t>0</w:t>
            </w:r>
            <w:r>
              <w:rPr>
                <w:rFonts w:hint="eastAsia" w:cs="Calibri" w:asciiTheme="minorEastAsia" w:hAnsiTheme="minorEastAsia"/>
                <w:b/>
                <w:kern w:val="0"/>
                <w:sz w:val="22"/>
              </w:rPr>
              <w:t>分</w:t>
            </w:r>
            <w:r>
              <w:rPr>
                <w:rFonts w:cs="Calibri" w:asciiTheme="minorEastAsia" w:hAnsiTheme="minorEastAsia"/>
                <w:b/>
                <w:kern w:val="0"/>
                <w:sz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4" w:name="_Toc236586447"/>
            <w:bookmarkStart w:id="5"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4"/>
            <w:bookmarkEnd w:id="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widowControl/>
              <w:jc w:val="left"/>
              <w:rPr>
                <w:rFonts w:ascii="宋体" w:hAnsi="宋体" w:eastAsia="宋体" w:cs="Times New Roman"/>
                <w:sz w:val="22"/>
              </w:rPr>
            </w:pPr>
            <w:r>
              <w:rPr>
                <w:rFonts w:ascii="宋体" w:hAnsi="宋体" w:eastAsia="宋体" w:cs="Times New Roman"/>
                <w:sz w:val="22"/>
              </w:rPr>
              <w:t>投标保证金的形式：以</w:t>
            </w:r>
            <w:r>
              <w:rPr>
                <w:rFonts w:hint="eastAsia" w:ascii="宋体" w:hAnsi="宋体" w:eastAsia="宋体" w:cs="Times New Roman"/>
                <w:sz w:val="22"/>
              </w:rPr>
              <w:t>银行</w:t>
            </w:r>
            <w:r>
              <w:rPr>
                <w:rFonts w:ascii="宋体" w:hAnsi="宋体" w:eastAsia="宋体" w:cs="Times New Roman"/>
                <w:sz w:val="22"/>
              </w:rPr>
              <w:t>转账形式，从投标人基本帐户缴纳，应在投标截止时间前向指定的帐户递交：</w:t>
            </w:r>
          </w:p>
          <w:p>
            <w:pPr>
              <w:snapToGrid w:val="0"/>
              <w:rPr>
                <w:rFonts w:ascii="宋体" w:hAnsi="宋体" w:eastAsia="宋体" w:cs="Times New Roman"/>
                <w:sz w:val="22"/>
              </w:rPr>
            </w:pPr>
            <w:r>
              <w:rPr>
                <w:rFonts w:hint="eastAsia" w:ascii="宋体" w:hAnsi="宋体" w:eastAsia="宋体" w:cs="Times New Roman"/>
                <w:sz w:val="22"/>
              </w:rPr>
              <w:t>投标保证金的金额：人民币</w:t>
            </w:r>
            <w:r>
              <w:rPr>
                <w:rFonts w:hint="eastAsia" w:ascii="宋体" w:hAnsi="宋体" w:eastAsia="宋体"/>
                <w:sz w:val="22"/>
              </w:rPr>
              <w:t>伍</w:t>
            </w:r>
            <w:r>
              <w:rPr>
                <w:rFonts w:hint="eastAsia" w:ascii="宋体" w:hAnsi="宋体"/>
                <w:sz w:val="22"/>
              </w:rPr>
              <w:t>万</w:t>
            </w:r>
            <w:r>
              <w:rPr>
                <w:rFonts w:hint="eastAsia" w:ascii="宋体" w:hAnsi="宋体" w:eastAsia="宋体" w:cs="Times New Roman"/>
                <w:sz w:val="22"/>
              </w:rPr>
              <w:t>元整</w:t>
            </w:r>
          </w:p>
          <w:p>
            <w:pPr>
              <w:snapToGrid w:val="0"/>
              <w:rPr>
                <w:rFonts w:ascii="宋体" w:hAnsi="宋体" w:eastAsia="宋体" w:cs="Times New Roman"/>
                <w:sz w:val="22"/>
              </w:rPr>
            </w:pPr>
            <w:r>
              <w:rPr>
                <w:rFonts w:hint="eastAsia" w:ascii="宋体" w:hAnsi="宋体" w:eastAsia="宋体" w:cs="Times New Roman"/>
                <w:sz w:val="22"/>
              </w:rPr>
              <w:t>投标保证金应在投标截止时间前汇入以下帐户：</w:t>
            </w:r>
          </w:p>
          <w:p>
            <w:pPr>
              <w:snapToGrid w:val="0"/>
              <w:rPr>
                <w:rFonts w:ascii="宋体" w:hAnsi="宋体" w:eastAsia="宋体" w:cs="Times New Roman"/>
                <w:sz w:val="22"/>
              </w:rPr>
            </w:pPr>
            <w:r>
              <w:rPr>
                <w:rFonts w:hint="eastAsia" w:ascii="宋体" w:hAnsi="宋体" w:eastAsia="宋体" w:cs="Times New Roman"/>
                <w:sz w:val="22"/>
              </w:rPr>
              <w:t>开户名：杭州萧山国际机场有限公司</w:t>
            </w:r>
          </w:p>
          <w:p>
            <w:pPr>
              <w:snapToGrid w:val="0"/>
              <w:rPr>
                <w:rFonts w:ascii="宋体" w:hAnsi="宋体" w:eastAsia="宋体" w:cs="Times New Roman"/>
                <w:sz w:val="22"/>
              </w:rPr>
            </w:pPr>
            <w:r>
              <w:rPr>
                <w:rFonts w:hint="eastAsia" w:ascii="宋体" w:hAnsi="宋体" w:eastAsia="宋体" w:cs="Times New Roman"/>
                <w:sz w:val="22"/>
              </w:rPr>
              <w:t xml:space="preserve">开户银行：工行杭州市空港城支行 </w:t>
            </w:r>
          </w:p>
          <w:p>
            <w:pPr>
              <w:snapToGrid w:val="0"/>
              <w:rPr>
                <w:rFonts w:ascii="宋体" w:hAnsi="宋体" w:eastAsia="宋体" w:cs="Times New Roman"/>
                <w:sz w:val="22"/>
                <w:lang w:val="zh-CN"/>
              </w:rPr>
            </w:pPr>
            <w:r>
              <w:rPr>
                <w:rFonts w:hint="eastAsia" w:ascii="宋体" w:hAnsi="宋体" w:eastAsia="宋体" w:cs="Times New Roman"/>
                <w:sz w:val="22"/>
              </w:rPr>
              <w:t>帐号：</w:t>
            </w:r>
            <w:r>
              <w:rPr>
                <w:rFonts w:hint="eastAsia" w:ascii="宋体" w:hAnsi="宋体" w:eastAsia="宋体" w:cs="Times New Roman"/>
                <w:sz w:val="22"/>
                <w:lang w:val="zh-CN"/>
              </w:rPr>
              <w:t>1202050209904601740</w:t>
            </w:r>
          </w:p>
          <w:p>
            <w:pPr>
              <w:snapToGrid w:val="0"/>
              <w:rPr>
                <w:rFonts w:ascii="宋体" w:hAnsi="宋体"/>
                <w:b/>
                <w:sz w:val="22"/>
              </w:rPr>
            </w:pPr>
            <w:r>
              <w:rPr>
                <w:rFonts w:hint="eastAsia" w:ascii="宋体" w:hAnsi="宋体"/>
                <w:b/>
                <w:sz w:val="22"/>
              </w:rPr>
              <w:t>投标人提交投标保证金时需注明“飞行区标志线更新维护项目投标保证金”。</w:t>
            </w:r>
          </w:p>
          <w:p>
            <w:pPr>
              <w:snapToGrid w:val="0"/>
              <w:rPr>
                <w:rFonts w:ascii="宋体" w:hAnsi="宋体"/>
                <w:sz w:val="22"/>
              </w:rPr>
            </w:pPr>
            <w:r>
              <w:rPr>
                <w:rFonts w:hint="eastAsia" w:ascii="宋体" w:hAnsi="宋体"/>
                <w:b/>
                <w:sz w:val="22"/>
              </w:rPr>
              <w:t>基本账户开户许可证和银行回单复印件等应注明投标人户名、开户行、账号等信息装订于投标文件内，且须额外单独封装一份随投标文件一同送达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cs="Calibri" w:asciiTheme="minorEastAsia" w:hAnsiTheme="minorEastAsia"/>
                <w:kern w:val="0"/>
                <w:sz w:val="22"/>
                <w:u w:val="single"/>
              </w:rPr>
              <w:t>杭州萧山国际机场飞行区标志线更新维护项目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cs="Calibri" w:asciiTheme="minorEastAsia" w:hAnsiTheme="minorEastAsia"/>
                <w:kern w:val="0"/>
                <w:sz w:val="22"/>
                <w:u w:val="single"/>
              </w:rPr>
              <w:t>201</w:t>
            </w:r>
            <w:r>
              <w:rPr>
                <w:rFonts w:hint="eastAsia" w:eastAsia="宋体" w:cs="Calibri" w:asciiTheme="minorEastAsia" w:hAnsiTheme="minorEastAsia"/>
                <w:kern w:val="0"/>
                <w:sz w:val="22"/>
                <w:u w:val="single"/>
              </w:rPr>
              <w:t>9</w:t>
            </w:r>
            <w:r>
              <w:rPr>
                <w:rFonts w:cs="Calibri" w:asciiTheme="minorEastAsia" w:hAnsiTheme="minorEastAsia"/>
                <w:kern w:val="0"/>
                <w:sz w:val="22"/>
              </w:rPr>
              <w:t>年</w:t>
            </w:r>
            <w:r>
              <w:rPr>
                <w:rFonts w:hint="eastAsia" w:eastAsia="宋体" w:cs="Calibri" w:asciiTheme="minorEastAsia" w:hAnsiTheme="minorEastAsia"/>
                <w:kern w:val="0"/>
                <w:sz w:val="22"/>
                <w:lang w:val="en-US" w:eastAsia="zh-CN"/>
              </w:rPr>
              <w:t>9</w:t>
            </w:r>
            <w:r>
              <w:rPr>
                <w:rFonts w:cs="Calibri" w:asciiTheme="minorEastAsia" w:hAnsiTheme="minorEastAsia"/>
                <w:kern w:val="0"/>
                <w:sz w:val="22"/>
              </w:rPr>
              <w:t>月</w:t>
            </w:r>
            <w:r>
              <w:rPr>
                <w:rFonts w:hint="eastAsia" w:eastAsia="宋体" w:cs="Calibri" w:asciiTheme="minorEastAsia" w:hAnsiTheme="minorEastAsia"/>
                <w:kern w:val="0"/>
                <w:sz w:val="22"/>
                <w:lang w:val="en-US" w:eastAsia="zh-CN"/>
              </w:rPr>
              <w:t>30</w:t>
            </w:r>
            <w:r>
              <w:rPr>
                <w:rFonts w:cs="Calibri" w:asciiTheme="minorEastAsia" w:hAnsiTheme="minorEastAsia"/>
                <w:kern w:val="0"/>
                <w:sz w:val="22"/>
              </w:rPr>
              <w:t>日</w:t>
            </w:r>
            <w:r>
              <w:rPr>
                <w:rFonts w:hint="eastAsia" w:cs="Calibri" w:asciiTheme="minorEastAsia" w:hAnsiTheme="minorEastAsia"/>
                <w:kern w:val="0"/>
                <w:sz w:val="22"/>
                <w:lang w:val="en-US" w:eastAsia="zh-CN"/>
              </w:rPr>
              <w:t>9</w:t>
            </w:r>
            <w:r>
              <w:rPr>
                <w:rFonts w:cs="Calibri" w:asciiTheme="minorEastAsia" w:hAnsiTheme="minorEastAsia"/>
                <w:kern w:val="0"/>
                <w:sz w:val="22"/>
              </w:rPr>
              <w:t>时</w:t>
            </w:r>
            <w:r>
              <w:rPr>
                <w:rFonts w:cs="Calibri" w:asciiTheme="minorEastAsia" w:hAnsiTheme="minorEastAsia"/>
                <w:kern w:val="0"/>
                <w:sz w:val="22"/>
                <w:u w:val="single"/>
              </w:rPr>
              <w:t>00</w:t>
            </w:r>
            <w:r>
              <w:rPr>
                <w:rFonts w:cs="Calibri" w:asciiTheme="minorEastAsia" w:hAnsiTheme="minorEastAsia"/>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cs="Arial" w:asciiTheme="minorEastAsia" w:hAnsiTheme="minorEastAsia"/>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2</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eastAsia="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贰拾万元整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10.4</w:t>
            </w:r>
          </w:p>
        </w:tc>
        <w:tc>
          <w:tcPr>
            <w:tcW w:w="2004" w:type="dxa"/>
            <w:shd w:val="clear" w:color="auto" w:fill="auto"/>
            <w:vAlign w:val="center"/>
          </w:tcPr>
          <w:p>
            <w:pPr>
              <w:pStyle w:val="50"/>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hint="eastAsia" w:cs="Calibri" w:asciiTheme="minorEastAsia" w:hAnsiTheme="minorEastAsia"/>
                <w:snapToGrid w:val="0"/>
                <w:kern w:val="0"/>
                <w:sz w:val="22"/>
              </w:rPr>
              <w:t>本项目在机场控制区内进行施工，施工人员须办理隔离区证件，相应费用（施工证每人次20元，有效期1个月；每车次30元，有效期1个月）应在报价中进行综合考虑。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10.5</w:t>
            </w:r>
          </w:p>
        </w:tc>
        <w:tc>
          <w:tcPr>
            <w:tcW w:w="2004" w:type="dxa"/>
            <w:shd w:val="clear" w:color="auto" w:fill="auto"/>
            <w:vAlign w:val="center"/>
          </w:tcPr>
          <w:p>
            <w:pPr>
              <w:pStyle w:val="50"/>
            </w:pPr>
            <w:r>
              <w:rPr>
                <w:rFonts w:cs="Calibri" w:asciiTheme="minorEastAsia" w:hAnsiTheme="minorEastAsia" w:eastAsiaTheme="minorEastAsia"/>
                <w:sz w:val="22"/>
                <w:szCs w:val="22"/>
              </w:rPr>
              <w:t>其他</w:t>
            </w:r>
          </w:p>
        </w:tc>
        <w:tc>
          <w:tcPr>
            <w:tcW w:w="6487" w:type="dxa"/>
            <w:shd w:val="clear" w:color="auto" w:fill="FFFFFF"/>
            <w:vAlign w:val="center"/>
          </w:tcPr>
          <w:p>
            <w:pPr>
              <w:spacing w:line="320" w:lineRule="exact"/>
              <w:rPr>
                <w:rFonts w:cs="Calibri" w:asciiTheme="minorEastAsia" w:hAnsiTheme="minorEastAsia"/>
                <w:snapToGrid w:val="0"/>
                <w:kern w:val="0"/>
                <w:sz w:val="22"/>
              </w:rPr>
            </w:pPr>
            <w:r>
              <w:rPr>
                <w:rFonts w:hint="eastAsia" w:cs="Calibri" w:asciiTheme="minorEastAsia" w:hAnsiTheme="minorEastAsia"/>
                <w:snapToGrid w:val="0"/>
                <w:kern w:val="0"/>
                <w:sz w:val="22"/>
              </w:rPr>
              <w:t>跑道、滑行道道面作业时间通常为夜间2时以后，单次作业时间一般为4小时；</w:t>
            </w:r>
          </w:p>
          <w:p>
            <w:pPr>
              <w:spacing w:line="320" w:lineRule="exact"/>
              <w:rPr>
                <w:rFonts w:cs="Calibri" w:asciiTheme="minorEastAsia" w:hAnsiTheme="minorEastAsia"/>
                <w:snapToGrid w:val="0"/>
                <w:kern w:val="0"/>
                <w:sz w:val="22"/>
              </w:rPr>
            </w:pPr>
            <w:r>
              <w:rPr>
                <w:rFonts w:hint="eastAsia" w:cs="Calibri" w:asciiTheme="minorEastAsia" w:hAnsiTheme="minorEastAsia"/>
                <w:snapToGrid w:val="0"/>
                <w:kern w:val="0"/>
                <w:sz w:val="22"/>
              </w:rPr>
              <w:t>机坪区域作业可在白天进行，单日作业时间一般为8小时；</w:t>
            </w:r>
          </w:p>
          <w:p>
            <w:pPr>
              <w:adjustRightInd w:val="0"/>
              <w:snapToGrid w:val="0"/>
              <w:rPr>
                <w:rFonts w:cs="Calibri" w:asciiTheme="minorEastAsia" w:hAnsiTheme="minorEastAsia"/>
                <w:snapToGrid w:val="0"/>
                <w:kern w:val="0"/>
                <w:sz w:val="22"/>
              </w:rPr>
            </w:pPr>
            <w:r>
              <w:rPr>
                <w:rFonts w:hint="eastAsia" w:cs="Calibri" w:asciiTheme="minorEastAsia" w:hAnsiTheme="minorEastAsia"/>
                <w:snapToGrid w:val="0"/>
                <w:kern w:val="0"/>
                <w:sz w:val="22"/>
              </w:rPr>
              <w:t>具体作业时间、地点以招标人安排为准。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10.6</w:t>
            </w:r>
          </w:p>
        </w:tc>
        <w:tc>
          <w:tcPr>
            <w:tcW w:w="2004" w:type="dxa"/>
            <w:shd w:val="clear" w:color="auto" w:fill="auto"/>
            <w:vAlign w:val="center"/>
          </w:tcPr>
          <w:p>
            <w:pPr>
              <w:pStyle w:val="50"/>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hint="eastAsia" w:cs="Calibri" w:asciiTheme="minorEastAsia" w:hAnsiTheme="minorEastAsia"/>
                <w:snapToGrid w:val="0"/>
                <w:kern w:val="0"/>
                <w:sz w:val="22"/>
              </w:rPr>
              <w:t xml:space="preserve">甲方不提供居住场地，乙方需自行解决食宿、交通存放工具、换衣、休息、办公场所及水电供应。水电气、通信费用按机场公司收费标准自付。 </w:t>
            </w:r>
          </w:p>
        </w:tc>
      </w:tr>
    </w:tbl>
    <w:p>
      <w:pPr>
        <w:autoSpaceDE w:val="0"/>
        <w:autoSpaceDN w:val="0"/>
        <w:adjustRightInd w:val="0"/>
        <w:snapToGrid w:val="0"/>
        <w:spacing w:line="400" w:lineRule="exact"/>
        <w:rPr>
          <w:b/>
        </w:rPr>
      </w:pPr>
      <w:bookmarkStart w:id="6"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6"/>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1.1.2项目建设地点见投标人须知前附表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7"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8"/>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9"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0"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2"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工期</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13"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1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4"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5"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5"/>
    </w:p>
    <w:p>
      <w:pPr>
        <w:adjustRightInd w:val="0"/>
        <w:snapToGrid w:val="0"/>
        <w:spacing w:line="360" w:lineRule="exact"/>
        <w:ind w:firstLine="440"/>
        <w:rPr>
          <w:rFonts w:ascii="宋体" w:hAnsi="宋体" w:cs="Calibri"/>
          <w:color w:val="000000"/>
          <w:sz w:val="22"/>
        </w:rPr>
      </w:pPr>
      <w:r>
        <w:rPr>
          <w:rFonts w:ascii="宋体" w:hAnsi="宋体" w:cs="Calibri"/>
          <w:color w:val="000000"/>
          <w:sz w:val="22"/>
          <w:highlight w:val="yellow"/>
        </w:rPr>
        <w:t>本项目</w:t>
      </w:r>
      <w:r>
        <w:rPr>
          <w:rFonts w:hint="eastAsia" w:ascii="宋体" w:hAnsi="宋体" w:cs="Calibri"/>
          <w:color w:val="000000"/>
          <w:sz w:val="22"/>
          <w:highlight w:val="yellow"/>
        </w:rPr>
        <w:t>不</w:t>
      </w:r>
      <w:r>
        <w:rPr>
          <w:rFonts w:ascii="宋体" w:hAnsi="宋体" w:cs="Calibri"/>
          <w:color w:val="000000"/>
          <w:sz w:val="22"/>
          <w:highlight w:val="yellow"/>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16"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7" w:name="_Toc15241"/>
      <w:bookmarkStart w:id="18" w:name="_Toc143421657"/>
      <w:r>
        <w:rPr>
          <w:rFonts w:cs="Calibri" w:asciiTheme="minorEastAsia" w:hAnsiTheme="minorEastAsia"/>
          <w:b/>
          <w:bCs/>
          <w:kern w:val="0"/>
          <w:sz w:val="22"/>
        </w:rPr>
        <w:t>2.招标文件</w:t>
      </w:r>
      <w:bookmarkEnd w:id="17"/>
      <w:bookmarkEnd w:id="18"/>
    </w:p>
    <w:p>
      <w:pPr>
        <w:autoSpaceDE w:val="0"/>
        <w:autoSpaceDN w:val="0"/>
        <w:adjustRightInd w:val="0"/>
        <w:snapToGrid w:val="0"/>
        <w:spacing w:line="360" w:lineRule="exact"/>
        <w:rPr>
          <w:rFonts w:cs="Calibri" w:asciiTheme="minorEastAsia" w:hAnsiTheme="minorEastAsia"/>
          <w:b/>
          <w:bCs/>
          <w:kern w:val="0"/>
          <w:sz w:val="22"/>
        </w:rPr>
      </w:pPr>
      <w:bookmarkStart w:id="19" w:name="_Toc1426"/>
      <w:r>
        <w:rPr>
          <w:rFonts w:cs="Calibri" w:asciiTheme="minorEastAsia" w:hAnsiTheme="minorEastAsia"/>
          <w:b/>
          <w:bCs/>
          <w:kern w:val="0"/>
          <w:sz w:val="22"/>
        </w:rPr>
        <w:t>2.1 招标文件的组成</w:t>
      </w:r>
      <w:bookmarkEnd w:id="19"/>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5</w:t>
      </w:r>
      <w:r>
        <w:rPr>
          <w:rFonts w:ascii="宋体" w:hAnsi="宋体" w:cs="Calibri"/>
          <w:kern w:val="0"/>
          <w:sz w:val="22"/>
        </w:rPr>
        <w:t>）投标文件格式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20" w:name="_Toc18230"/>
      <w:r>
        <w:rPr>
          <w:rFonts w:cs="Calibri" w:asciiTheme="minorEastAsia" w:hAnsiTheme="minorEastAsia"/>
          <w:b/>
          <w:bCs/>
          <w:kern w:val="0"/>
          <w:sz w:val="22"/>
        </w:rPr>
        <w:t>2.2 招标文件的澄清</w:t>
      </w:r>
      <w:bookmarkEnd w:id="2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21" w:name="_Toc18303"/>
      <w:r>
        <w:rPr>
          <w:rFonts w:cs="Calibri" w:asciiTheme="minorEastAsia" w:hAnsiTheme="minorEastAsia"/>
          <w:b/>
          <w:bCs/>
          <w:kern w:val="0"/>
          <w:sz w:val="22"/>
        </w:rPr>
        <w:t>2.3 招标文件的修改</w:t>
      </w:r>
      <w:bookmarkEnd w:id="2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22" w:name="_Toc18870"/>
      <w:bookmarkStart w:id="23" w:name="_Toc143421658"/>
      <w:r>
        <w:rPr>
          <w:rFonts w:ascii="宋体" w:hAnsi="宋体" w:cs="Calibri"/>
          <w:b/>
          <w:bCs/>
          <w:kern w:val="0"/>
          <w:sz w:val="22"/>
        </w:rPr>
        <w:t>3.投标文件</w:t>
      </w:r>
      <w:bookmarkEnd w:id="22"/>
      <w:bookmarkEnd w:id="23"/>
    </w:p>
    <w:p>
      <w:pPr>
        <w:autoSpaceDE w:val="0"/>
        <w:autoSpaceDN w:val="0"/>
        <w:adjustRightInd w:val="0"/>
        <w:snapToGrid w:val="0"/>
        <w:spacing w:line="360" w:lineRule="exact"/>
        <w:rPr>
          <w:rFonts w:ascii="宋体" w:hAnsi="宋体" w:cs="Calibri"/>
          <w:b/>
          <w:bCs/>
          <w:kern w:val="0"/>
          <w:sz w:val="22"/>
        </w:rPr>
      </w:pPr>
      <w:bookmarkStart w:id="24" w:name="_Toc461"/>
      <w:r>
        <w:rPr>
          <w:rFonts w:ascii="宋体" w:hAnsi="宋体" w:cs="Calibri"/>
          <w:b/>
          <w:bCs/>
          <w:kern w:val="0"/>
          <w:sz w:val="22"/>
        </w:rPr>
        <w:t>3.1 投标文件的语言和计量单位</w:t>
      </w:r>
      <w:bookmarkEnd w:id="24"/>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5" w:name="_Toc1411"/>
      <w:r>
        <w:rPr>
          <w:rFonts w:ascii="宋体" w:hAnsi="宋体" w:cs="Calibri"/>
          <w:b/>
          <w:bCs/>
          <w:kern w:val="0"/>
          <w:sz w:val="22"/>
        </w:rPr>
        <w:t>3.2 投标文件的组成</w:t>
      </w:r>
      <w:bookmarkEnd w:id="25"/>
    </w:p>
    <w:p>
      <w:pPr>
        <w:adjustRightInd w:val="0"/>
        <w:snapToGrid w:val="0"/>
        <w:spacing w:line="360" w:lineRule="exact"/>
        <w:ind w:firstLine="440"/>
        <w:rPr>
          <w:rFonts w:ascii="宋体" w:hAnsi="宋体" w:cs="Calibri"/>
          <w:sz w:val="22"/>
        </w:rPr>
      </w:pPr>
      <w:bookmarkStart w:id="26" w:name="_Toc32225"/>
      <w:r>
        <w:rPr>
          <w:rFonts w:ascii="宋体" w:hAnsi="宋体" w:cs="Calibri"/>
          <w:sz w:val="22"/>
        </w:rPr>
        <w:t>3.2.1投标函；</w:t>
      </w:r>
    </w:p>
    <w:p>
      <w:pPr>
        <w:adjustRightInd w:val="0"/>
        <w:snapToGrid w:val="0"/>
        <w:spacing w:line="360" w:lineRule="exact"/>
        <w:ind w:firstLine="440"/>
        <w:rPr>
          <w:rFonts w:ascii="宋体" w:hAnsi="宋体" w:cs="Calibri"/>
          <w:sz w:val="22"/>
        </w:rPr>
      </w:pPr>
      <w:r>
        <w:rPr>
          <w:rFonts w:ascii="宋体" w:hAnsi="宋体" w:cs="Calibri"/>
          <w:sz w:val="22"/>
        </w:rPr>
        <w:t>3.2.</w:t>
      </w:r>
      <w:r>
        <w:rPr>
          <w:rFonts w:hint="eastAsia" w:ascii="宋体" w:hAnsi="宋体" w:cs="Calibri"/>
          <w:sz w:val="22"/>
        </w:rPr>
        <w:t>2</w:t>
      </w:r>
      <w:r>
        <w:rPr>
          <w:rFonts w:ascii="宋体" w:hAnsi="宋体" w:cs="Calibri"/>
          <w:sz w:val="22"/>
        </w:rPr>
        <w:t>法定代表人资格证明书；</w:t>
      </w:r>
    </w:p>
    <w:p>
      <w:pPr>
        <w:adjustRightInd w:val="0"/>
        <w:snapToGrid w:val="0"/>
        <w:spacing w:line="360" w:lineRule="exact"/>
        <w:ind w:firstLine="440"/>
        <w:rPr>
          <w:rFonts w:ascii="宋体" w:hAnsi="宋体" w:cs="Calibri"/>
          <w:sz w:val="22"/>
        </w:rPr>
      </w:pPr>
      <w:r>
        <w:rPr>
          <w:rFonts w:ascii="宋体" w:hAnsi="宋体" w:cs="Calibri"/>
          <w:sz w:val="22"/>
        </w:rPr>
        <w:t>3.2.</w:t>
      </w:r>
      <w:r>
        <w:rPr>
          <w:rFonts w:hint="eastAsia" w:ascii="宋体" w:hAnsi="宋体" w:cs="Calibri"/>
          <w:sz w:val="22"/>
        </w:rPr>
        <w:t>3</w:t>
      </w:r>
      <w:r>
        <w:rPr>
          <w:rFonts w:ascii="宋体" w:hAnsi="宋体" w:cs="Calibri"/>
          <w:sz w:val="22"/>
        </w:rPr>
        <w:t>授权委托书；</w:t>
      </w:r>
    </w:p>
    <w:p>
      <w:pPr>
        <w:adjustRightInd w:val="0"/>
        <w:snapToGrid w:val="0"/>
        <w:spacing w:line="360" w:lineRule="exact"/>
        <w:ind w:firstLine="440"/>
        <w:rPr>
          <w:rFonts w:ascii="宋体" w:hAnsi="宋体" w:cs="Calibri"/>
          <w:sz w:val="22"/>
        </w:rPr>
      </w:pPr>
      <w:r>
        <w:rPr>
          <w:rFonts w:ascii="宋体" w:hAnsi="宋体" w:cs="Calibri"/>
          <w:sz w:val="22"/>
        </w:rPr>
        <w:t>3.2.</w:t>
      </w:r>
      <w:r>
        <w:rPr>
          <w:rFonts w:hint="eastAsia" w:ascii="宋体" w:hAnsi="宋体" w:cs="Calibri"/>
          <w:sz w:val="22"/>
        </w:rPr>
        <w:t>4已标价工程量清单</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3.2.5</w:t>
      </w:r>
      <w:r>
        <w:rPr>
          <w:rFonts w:hint="eastAsia" w:ascii="宋体" w:hAnsi="宋体" w:cs="Calibri"/>
          <w:sz w:val="22"/>
        </w:rPr>
        <w:t>施工组织设计；</w:t>
      </w:r>
    </w:p>
    <w:p>
      <w:pPr>
        <w:adjustRightInd w:val="0"/>
        <w:snapToGrid w:val="0"/>
        <w:spacing w:line="360" w:lineRule="exact"/>
        <w:ind w:firstLine="440"/>
        <w:rPr>
          <w:rFonts w:ascii="宋体" w:hAnsi="宋体" w:cs="Calibri"/>
          <w:sz w:val="22"/>
        </w:rPr>
      </w:pPr>
      <w:r>
        <w:rPr>
          <w:rFonts w:hint="eastAsia" w:ascii="宋体" w:hAnsi="宋体" w:cs="Calibri"/>
          <w:sz w:val="22"/>
        </w:rPr>
        <w:t>3.2.6 项目管理机构</w:t>
      </w:r>
    </w:p>
    <w:p>
      <w:pPr>
        <w:adjustRightInd w:val="0"/>
        <w:snapToGrid w:val="0"/>
        <w:spacing w:line="360" w:lineRule="exact"/>
        <w:ind w:firstLine="440"/>
        <w:rPr>
          <w:rFonts w:cs="Calibri" w:asciiTheme="minorEastAsia" w:hAnsiTheme="minorEastAsia"/>
          <w:color w:val="000000"/>
          <w:sz w:val="22"/>
        </w:rPr>
      </w:pPr>
      <w:r>
        <w:rPr>
          <w:rFonts w:hint="eastAsia" w:ascii="宋体" w:hAnsi="宋体" w:cs="Calibri"/>
          <w:sz w:val="22"/>
        </w:rPr>
        <w:t xml:space="preserve">3.2.7 </w:t>
      </w:r>
      <w:r>
        <w:rPr>
          <w:rFonts w:hint="eastAsia" w:cs="Calibri" w:asciiTheme="minorEastAsia" w:hAnsiTheme="minorEastAsia"/>
          <w:color w:val="000000"/>
          <w:sz w:val="22"/>
        </w:rPr>
        <w:t>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6"/>
    </w:p>
    <w:p>
      <w:pPr>
        <w:adjustRightInd w:val="0"/>
        <w:snapToGrid w:val="0"/>
        <w:spacing w:line="360" w:lineRule="exact"/>
        <w:ind w:firstLine="440"/>
        <w:rPr>
          <w:rFonts w:ascii="宋体" w:hAnsi="宋体" w:cs="Calibri"/>
          <w:sz w:val="22"/>
        </w:rPr>
      </w:pPr>
      <w:bookmarkStart w:id="27" w:name="_Toc13307"/>
      <w:r>
        <w:rPr>
          <w:rFonts w:ascii="宋体" w:hAnsi="宋体" w:cs="Calibri"/>
          <w:sz w:val="22"/>
        </w:rPr>
        <w:t>3.3.1</w:t>
      </w:r>
      <w:r>
        <w:rPr>
          <w:rFonts w:hint="eastAsia" w:ascii="宋体" w:hAnsi="宋体" w:cs="Calibri"/>
          <w:sz w:val="22"/>
        </w:rPr>
        <w:t>投标人应按第七章“投标文件格式”的要求填写相应表格并报价。</w:t>
      </w:r>
    </w:p>
    <w:p>
      <w:pPr>
        <w:adjustRightInd w:val="0"/>
        <w:snapToGrid w:val="0"/>
        <w:spacing w:line="360" w:lineRule="exact"/>
        <w:ind w:firstLine="440"/>
        <w:rPr>
          <w:rFonts w:ascii="宋体" w:hAnsi="宋体" w:cs="Calibri"/>
          <w:b/>
          <w:bCs/>
          <w:sz w:val="22"/>
        </w:rPr>
      </w:pPr>
      <w:r>
        <w:rPr>
          <w:rFonts w:ascii="宋体" w:hAnsi="宋体" w:cs="Calibri"/>
          <w:b/>
          <w:bCs/>
          <w:sz w:val="22"/>
        </w:rPr>
        <w:t xml:space="preserve">3.3.2 </w:t>
      </w:r>
      <w:r>
        <w:rPr>
          <w:rFonts w:hint="eastAsia" w:ascii="宋体" w:hAnsi="宋体" w:cs="Calibri"/>
          <w:b/>
          <w:bCs/>
          <w:sz w:val="22"/>
        </w:rPr>
        <w:t>本工程各项取费标准及相关调整系数，根据《浙江省建设工程施工取费定额》（</w:t>
      </w:r>
      <w:r>
        <w:rPr>
          <w:rFonts w:ascii="宋体" w:hAnsi="宋体" w:cs="Calibri"/>
          <w:b/>
          <w:bCs/>
          <w:sz w:val="22"/>
        </w:rPr>
        <w:t>2010版）及浙江省现行的相关文件规定，请投标人在投标报价中，按照上述文件精神执行。</w:t>
      </w:r>
    </w:p>
    <w:p>
      <w:pPr>
        <w:adjustRightInd w:val="0"/>
        <w:snapToGrid w:val="0"/>
        <w:spacing w:line="360" w:lineRule="exact"/>
        <w:ind w:firstLine="440"/>
        <w:rPr>
          <w:rFonts w:ascii="宋体" w:hAnsi="宋体" w:cs="Calibri"/>
          <w:sz w:val="22"/>
        </w:rPr>
      </w:pPr>
      <w:r>
        <w:rPr>
          <w:rFonts w:hint="eastAsia" w:ascii="宋体" w:hAnsi="宋体" w:cs="Calibri"/>
          <w:sz w:val="22"/>
        </w:rPr>
        <w:t>3.3.3 招标文件提供的工程量清单为参考清单，投标人根据招标文件要求和参考清单自行编制投标报价。</w:t>
      </w:r>
    </w:p>
    <w:p>
      <w:pPr>
        <w:adjustRightInd w:val="0"/>
        <w:snapToGrid w:val="0"/>
        <w:spacing w:line="360" w:lineRule="exact"/>
        <w:ind w:firstLine="440"/>
        <w:rPr>
          <w:rFonts w:ascii="宋体" w:hAnsi="宋体" w:cs="Calibri"/>
          <w:sz w:val="22"/>
        </w:rPr>
      </w:pPr>
      <w:r>
        <w:rPr>
          <w:rFonts w:hint="eastAsia" w:ascii="宋体" w:hAnsi="宋体" w:cs="Calibri"/>
          <w:sz w:val="22"/>
        </w:rPr>
        <w:t xml:space="preserve">3.3.4 </w:t>
      </w:r>
      <w:r>
        <w:rPr>
          <w:rFonts w:hint="eastAsia" w:ascii="宋体" w:hAnsi="宋体" w:cs="Calibri"/>
          <w:b/>
          <w:bCs/>
          <w:sz w:val="22"/>
        </w:rPr>
        <w:t>本工程为固定单价合同。</w:t>
      </w:r>
      <w:r>
        <w:rPr>
          <w:rFonts w:hint="eastAsia" w:ascii="宋体" w:hAnsi="宋体" w:cs="Calibri"/>
          <w:sz w:val="22"/>
        </w:rPr>
        <w:t>本项目投标人应充分考虑施工现场的实际情况、市场风险及自身承受能力进行报价。投标人根据本工程特点及施工技术规范、施工工艺要求、现场实测，组织并测算为完成本项目所必须采取的工艺及措施，并进行报价。</w:t>
      </w:r>
    </w:p>
    <w:p>
      <w:pPr>
        <w:adjustRightInd w:val="0"/>
        <w:snapToGrid w:val="0"/>
        <w:spacing w:line="360" w:lineRule="exact"/>
        <w:ind w:firstLine="440"/>
        <w:rPr>
          <w:rFonts w:ascii="宋体" w:hAnsi="宋体" w:cs="Calibri"/>
          <w:sz w:val="22"/>
        </w:rPr>
      </w:pPr>
      <w:r>
        <w:rPr>
          <w:rFonts w:hint="eastAsia" w:ascii="宋体" w:hAnsi="宋体" w:cs="Calibri"/>
          <w:sz w:val="22"/>
        </w:rPr>
        <w:t>3.3.</w:t>
      </w:r>
      <w:r>
        <w:rPr>
          <w:rFonts w:hint="eastAsia" w:ascii="宋体" w:hAnsi="宋体" w:eastAsia="宋体" w:cs="Calibri"/>
          <w:sz w:val="22"/>
        </w:rPr>
        <w:t>5</w:t>
      </w:r>
      <w:r>
        <w:rPr>
          <w:rFonts w:hint="eastAsia" w:ascii="宋体" w:hAnsi="宋体" w:cs="Calibri"/>
          <w:sz w:val="22"/>
        </w:rPr>
        <w:t>投标报价中应包含国家有关部门和地方政府规定交纳的规费和税金。</w:t>
      </w:r>
    </w:p>
    <w:p>
      <w:pPr>
        <w:adjustRightInd w:val="0"/>
        <w:snapToGrid w:val="0"/>
        <w:spacing w:line="360" w:lineRule="exact"/>
        <w:ind w:firstLine="440"/>
        <w:rPr>
          <w:rFonts w:ascii="宋体" w:hAnsi="宋体" w:cs="宋体"/>
          <w:b/>
          <w:sz w:val="22"/>
        </w:rPr>
      </w:pPr>
      <w:r>
        <w:rPr>
          <w:rFonts w:ascii="宋体" w:hAnsi="宋体" w:cs="宋体"/>
          <w:sz w:val="22"/>
        </w:rPr>
        <w:t>3.3.</w:t>
      </w:r>
      <w:r>
        <w:rPr>
          <w:rFonts w:hint="eastAsia" w:ascii="宋体" w:hAnsi="宋体" w:cs="宋体"/>
          <w:sz w:val="22"/>
        </w:rPr>
        <w:t>6</w:t>
      </w:r>
      <w:r>
        <w:rPr>
          <w:rFonts w:hint="eastAsia" w:ascii="宋体" w:hAnsi="宋体" w:cs="宋体"/>
          <w:b/>
          <w:sz w:val="22"/>
        </w:rPr>
        <w:t>施工组织和技术措施费（含安全文明施工费、水电接入）、其他费用由投标人充分考虑，自行报价，不报视作优惠，中标后不再调整。</w:t>
      </w:r>
    </w:p>
    <w:p>
      <w:pPr>
        <w:adjustRightInd w:val="0"/>
        <w:snapToGrid w:val="0"/>
        <w:spacing w:line="360" w:lineRule="exact"/>
        <w:ind w:firstLine="440"/>
        <w:rPr>
          <w:rFonts w:ascii="宋体" w:hAnsi="宋体" w:cs="宋体"/>
          <w:sz w:val="22"/>
        </w:rPr>
      </w:pPr>
      <w:r>
        <w:rPr>
          <w:rFonts w:ascii="宋体" w:hAnsi="宋体" w:cs="宋体"/>
          <w:sz w:val="22"/>
        </w:rPr>
        <w:t>3.3.</w:t>
      </w:r>
      <w:r>
        <w:rPr>
          <w:rFonts w:hint="eastAsia" w:ascii="宋体" w:hAnsi="宋体" w:cs="宋体"/>
          <w:sz w:val="22"/>
        </w:rPr>
        <w:t>7</w:t>
      </w:r>
      <w:r>
        <w:rPr>
          <w:rFonts w:ascii="宋体" w:hAnsi="宋体" w:cs="宋体"/>
          <w:sz w:val="22"/>
        </w:rPr>
        <w:t>投标人应充分考虑以下各项风险因素可能导致发生或增加的费用，并计入投标报价中，不报视作优惠：</w:t>
      </w:r>
    </w:p>
    <w:p>
      <w:pPr>
        <w:adjustRightInd w:val="0"/>
        <w:snapToGrid w:val="0"/>
        <w:spacing w:line="360" w:lineRule="exact"/>
        <w:ind w:firstLine="440"/>
        <w:rPr>
          <w:rFonts w:ascii="宋体" w:hAnsi="宋体" w:cs="宋体"/>
          <w:sz w:val="22"/>
        </w:rPr>
      </w:pPr>
      <w:r>
        <w:rPr>
          <w:rFonts w:ascii="宋体" w:hAnsi="宋体" w:cs="宋体"/>
          <w:sz w:val="22"/>
        </w:rPr>
        <w:t>a</w:t>
      </w:r>
      <w:r>
        <w:rPr>
          <w:rFonts w:hint="eastAsia" w:ascii="宋体" w:hAnsi="宋体" w:cs="宋体"/>
          <w:sz w:val="22"/>
        </w:rPr>
        <w:t>、</w:t>
      </w:r>
      <w:r>
        <w:rPr>
          <w:rFonts w:hint="eastAsia" w:ascii="宋体" w:hAnsi="宋体" w:cs="宋体"/>
          <w:sz w:val="22"/>
          <w:u w:val="single"/>
        </w:rPr>
        <w:t>连续降雨造成窝工</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ascii="宋体" w:hAnsi="宋体" w:cs="宋体"/>
          <w:sz w:val="22"/>
        </w:rPr>
        <w:t>b</w:t>
      </w:r>
      <w:r>
        <w:rPr>
          <w:rFonts w:hint="eastAsia" w:ascii="宋体" w:hAnsi="宋体" w:cs="宋体"/>
          <w:sz w:val="22"/>
        </w:rPr>
        <w:t>、</w:t>
      </w:r>
      <w:r>
        <w:rPr>
          <w:rFonts w:hint="eastAsia" w:ascii="宋体" w:hAnsi="宋体" w:cs="宋体"/>
          <w:sz w:val="22"/>
          <w:u w:val="single"/>
        </w:rPr>
        <w:t>机场运行需要导致施工时间不足造成窝工或降效</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ascii="宋体" w:hAnsi="宋体" w:cs="宋体"/>
          <w:sz w:val="22"/>
        </w:rPr>
        <w:t>c</w:t>
      </w:r>
      <w:r>
        <w:rPr>
          <w:rFonts w:hint="eastAsia" w:ascii="宋体" w:hAnsi="宋体" w:cs="宋体"/>
          <w:sz w:val="22"/>
        </w:rPr>
        <w:t>、</w:t>
      </w:r>
      <w:r>
        <w:rPr>
          <w:rFonts w:hint="eastAsia" w:ascii="宋体" w:hAnsi="宋体" w:cs="宋体"/>
          <w:sz w:val="22"/>
          <w:u w:val="single"/>
        </w:rPr>
        <w:t>原材料、人工等价格增长</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ascii="宋体" w:hAnsi="宋体" w:cs="宋体"/>
          <w:sz w:val="22"/>
        </w:rPr>
        <w:t>3.3.</w:t>
      </w:r>
      <w:r>
        <w:rPr>
          <w:rFonts w:hint="eastAsia" w:ascii="宋体" w:hAnsi="宋体" w:cs="宋体"/>
          <w:sz w:val="22"/>
        </w:rPr>
        <w:t>8本次报价均应以人民币元为单位，最终以人民币办理结算。</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7"/>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8" w:name="_Toc30464"/>
      <w:r>
        <w:rPr>
          <w:rFonts w:ascii="宋体" w:hAnsi="宋体" w:cs="Calibri"/>
          <w:b/>
          <w:bCs/>
          <w:kern w:val="0"/>
          <w:sz w:val="22"/>
        </w:rPr>
        <w:t>3.5 投标保证金</w:t>
      </w:r>
      <w:bookmarkEnd w:id="28"/>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七</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日内无息退还（以银行转账方式）；未中标的投标保证金，将在中标公示结束后15个工作日后无息退还（以银行转账形式）。</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9" w:name="_Toc29989"/>
      <w:r>
        <w:rPr>
          <w:rFonts w:ascii="宋体" w:hAnsi="宋体" w:cs="Calibri"/>
          <w:b/>
          <w:bCs/>
          <w:kern w:val="0"/>
          <w:sz w:val="22"/>
        </w:rPr>
        <w:t>3.6 投标文件的编制</w:t>
      </w:r>
      <w:bookmarkEnd w:id="29"/>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七</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30" w:name="_Toc143421659"/>
    </w:p>
    <w:p>
      <w:pPr>
        <w:autoSpaceDE w:val="0"/>
        <w:autoSpaceDN w:val="0"/>
        <w:adjustRightInd w:val="0"/>
        <w:snapToGrid w:val="0"/>
        <w:spacing w:line="360" w:lineRule="exact"/>
        <w:rPr>
          <w:rFonts w:ascii="宋体" w:hAnsi="宋体" w:cs="Calibri"/>
          <w:b/>
          <w:bCs/>
          <w:kern w:val="0"/>
          <w:sz w:val="22"/>
        </w:rPr>
      </w:pPr>
      <w:bookmarkStart w:id="31" w:name="_Toc32652"/>
      <w:r>
        <w:rPr>
          <w:rFonts w:ascii="宋体" w:hAnsi="宋体" w:cs="Calibri"/>
          <w:b/>
          <w:bCs/>
          <w:kern w:val="0"/>
          <w:sz w:val="22"/>
        </w:rPr>
        <w:t>4.投标</w:t>
      </w:r>
      <w:bookmarkEnd w:id="30"/>
      <w:bookmarkEnd w:id="31"/>
    </w:p>
    <w:p>
      <w:pPr>
        <w:autoSpaceDE w:val="0"/>
        <w:autoSpaceDN w:val="0"/>
        <w:adjustRightInd w:val="0"/>
        <w:snapToGrid w:val="0"/>
        <w:spacing w:line="360" w:lineRule="exact"/>
        <w:rPr>
          <w:rFonts w:ascii="宋体" w:hAnsi="宋体" w:cs="Calibri"/>
          <w:b/>
          <w:bCs/>
          <w:kern w:val="0"/>
          <w:sz w:val="22"/>
        </w:rPr>
      </w:pPr>
      <w:bookmarkStart w:id="32" w:name="_Toc649"/>
      <w:r>
        <w:rPr>
          <w:rFonts w:ascii="宋体" w:hAnsi="宋体" w:cs="Calibri"/>
          <w:b/>
          <w:bCs/>
          <w:kern w:val="0"/>
          <w:sz w:val="22"/>
        </w:rPr>
        <w:t>4.1 投标文件的密封和标识</w:t>
      </w:r>
      <w:bookmarkEnd w:id="32"/>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3" w:name="_Toc16616"/>
      <w:r>
        <w:rPr>
          <w:rFonts w:ascii="宋体" w:hAnsi="宋体" w:cs="Calibri"/>
          <w:b/>
          <w:bCs/>
          <w:kern w:val="0"/>
          <w:sz w:val="22"/>
        </w:rPr>
        <w:t xml:space="preserve">4.2 投标文件的递交 </w:t>
      </w:r>
      <w:bookmarkEnd w:id="33"/>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4" w:name="_Toc26099"/>
      <w:r>
        <w:rPr>
          <w:rFonts w:ascii="宋体" w:hAnsi="宋体" w:cs="Calibri"/>
          <w:b/>
          <w:bCs/>
          <w:kern w:val="0"/>
          <w:sz w:val="22"/>
        </w:rPr>
        <w:t>4.3 投标文件的修改和撤回</w:t>
      </w:r>
      <w:bookmarkEnd w:id="34"/>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5" w:name="_Toc29641"/>
      <w:r>
        <w:rPr>
          <w:rFonts w:ascii="宋体" w:hAnsi="宋体" w:cs="Calibri"/>
          <w:b/>
          <w:bCs/>
          <w:kern w:val="0"/>
          <w:sz w:val="22"/>
        </w:rPr>
        <w:t>5.开标</w:t>
      </w:r>
      <w:bookmarkEnd w:id="35"/>
    </w:p>
    <w:p>
      <w:pPr>
        <w:autoSpaceDE w:val="0"/>
        <w:autoSpaceDN w:val="0"/>
        <w:adjustRightInd w:val="0"/>
        <w:snapToGrid w:val="0"/>
        <w:spacing w:line="360" w:lineRule="exact"/>
        <w:rPr>
          <w:rFonts w:ascii="宋体" w:hAnsi="宋体" w:cs="Calibri"/>
          <w:b/>
          <w:bCs/>
          <w:kern w:val="0"/>
          <w:sz w:val="22"/>
        </w:rPr>
      </w:pPr>
      <w:bookmarkStart w:id="36" w:name="_Toc15123"/>
      <w:r>
        <w:rPr>
          <w:rFonts w:ascii="宋体" w:hAnsi="宋体" w:cs="Calibri"/>
          <w:b/>
          <w:bCs/>
          <w:kern w:val="0"/>
          <w:sz w:val="22"/>
        </w:rPr>
        <w:t>5.1 开标时间和地点</w:t>
      </w:r>
      <w:bookmarkEnd w:id="36"/>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7" w:name="_Toc7101"/>
      <w:r>
        <w:rPr>
          <w:rFonts w:ascii="宋体" w:hAnsi="宋体" w:cs="Calibri"/>
          <w:b/>
          <w:bCs/>
          <w:kern w:val="0"/>
          <w:sz w:val="22"/>
        </w:rPr>
        <w:t>5.2 开标程序</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8" w:name="_Toc31578"/>
      <w:r>
        <w:rPr>
          <w:rFonts w:ascii="宋体" w:hAnsi="宋体" w:cs="Calibri"/>
          <w:b/>
          <w:bCs/>
          <w:kern w:val="0"/>
          <w:sz w:val="22"/>
        </w:rPr>
        <w:t>6.评标</w:t>
      </w:r>
      <w:bookmarkEnd w:id="38"/>
    </w:p>
    <w:p>
      <w:pPr>
        <w:autoSpaceDE w:val="0"/>
        <w:autoSpaceDN w:val="0"/>
        <w:adjustRightInd w:val="0"/>
        <w:snapToGrid w:val="0"/>
        <w:spacing w:line="360" w:lineRule="exact"/>
        <w:rPr>
          <w:rFonts w:ascii="宋体" w:hAnsi="宋体" w:cs="Calibri"/>
          <w:b/>
          <w:bCs/>
          <w:kern w:val="0"/>
          <w:sz w:val="22"/>
        </w:rPr>
      </w:pPr>
      <w:bookmarkStart w:id="39" w:name="_Toc10279"/>
      <w:r>
        <w:rPr>
          <w:rFonts w:ascii="宋体" w:hAnsi="宋体" w:cs="Calibri"/>
          <w:b/>
          <w:bCs/>
          <w:kern w:val="0"/>
          <w:sz w:val="22"/>
        </w:rPr>
        <w:t>6.1 评标委员会</w:t>
      </w:r>
      <w:bookmarkEnd w:id="39"/>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40" w:name="_Toc3460"/>
      <w:r>
        <w:rPr>
          <w:rFonts w:ascii="宋体" w:hAnsi="宋体" w:cs="Calibri"/>
          <w:b/>
          <w:bCs/>
          <w:kern w:val="0"/>
          <w:sz w:val="22"/>
        </w:rPr>
        <w:t>6.2 评标原则</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41" w:name="_Toc28178"/>
      <w:r>
        <w:rPr>
          <w:rFonts w:ascii="宋体" w:hAnsi="宋体" w:cs="Calibri"/>
          <w:b/>
          <w:bCs/>
          <w:kern w:val="0"/>
          <w:sz w:val="22"/>
        </w:rPr>
        <w:t>6.3 评标</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六</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六</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42" w:name="_Toc24237"/>
      <w:r>
        <w:rPr>
          <w:rFonts w:ascii="宋体" w:hAnsi="宋体" w:cs="Calibri"/>
          <w:b/>
          <w:bCs/>
          <w:kern w:val="0"/>
          <w:sz w:val="22"/>
        </w:rPr>
        <w:t>7.合同授予</w:t>
      </w:r>
      <w:bookmarkEnd w:id="42"/>
    </w:p>
    <w:p>
      <w:pPr>
        <w:autoSpaceDE w:val="0"/>
        <w:autoSpaceDN w:val="0"/>
        <w:adjustRightInd w:val="0"/>
        <w:snapToGrid w:val="0"/>
        <w:spacing w:line="360" w:lineRule="exact"/>
        <w:rPr>
          <w:rFonts w:ascii="宋体" w:hAnsi="宋体" w:cs="Calibri"/>
          <w:b/>
          <w:bCs/>
          <w:kern w:val="0"/>
          <w:sz w:val="22"/>
        </w:rPr>
      </w:pPr>
      <w:bookmarkStart w:id="43" w:name="_Toc18809"/>
      <w:r>
        <w:rPr>
          <w:rFonts w:ascii="宋体" w:hAnsi="宋体" w:cs="Calibri"/>
          <w:b/>
          <w:bCs/>
          <w:kern w:val="0"/>
          <w:sz w:val="22"/>
        </w:rPr>
        <w:t>7.1 定标方式</w:t>
      </w:r>
      <w:bookmarkEnd w:id="43"/>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4" w:name="_Toc14573"/>
      <w:r>
        <w:rPr>
          <w:rFonts w:ascii="宋体" w:hAnsi="宋体" w:cs="Calibri"/>
          <w:b/>
          <w:bCs/>
          <w:kern w:val="0"/>
          <w:sz w:val="22"/>
        </w:rPr>
        <w:t>7.2 中标通知</w:t>
      </w:r>
      <w:bookmarkEnd w:id="44"/>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5" w:name="_Toc27132"/>
      <w:r>
        <w:rPr>
          <w:rFonts w:ascii="宋体" w:hAnsi="宋体" w:cs="Calibri"/>
          <w:b/>
          <w:bCs/>
          <w:kern w:val="0"/>
          <w:sz w:val="22"/>
        </w:rPr>
        <w:t>7.3 履约</w:t>
      </w:r>
      <w:r>
        <w:rPr>
          <w:rFonts w:hint="eastAsia" w:ascii="宋体" w:hAnsi="宋体" w:cs="Calibri"/>
          <w:b/>
          <w:bCs/>
          <w:kern w:val="0"/>
          <w:sz w:val="22"/>
        </w:rPr>
        <w:t>保证金</w:t>
      </w:r>
      <w:bookmarkEnd w:id="45"/>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6" w:name="_Toc27581"/>
      <w:r>
        <w:rPr>
          <w:rFonts w:ascii="宋体" w:hAnsi="宋体" w:cs="Calibri"/>
          <w:b/>
          <w:bCs/>
          <w:kern w:val="0"/>
          <w:sz w:val="22"/>
        </w:rPr>
        <w:t>7.4 签订合同</w:t>
      </w:r>
      <w:bookmarkEnd w:id="46"/>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7" w:name="_Toc220123241"/>
      <w:bookmarkStart w:id="48" w:name="_Toc219809801"/>
      <w:bookmarkStart w:id="49" w:name="_Toc11806"/>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7.4.3</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7"/>
      <w:bookmarkEnd w:id="48"/>
      <w:bookmarkEnd w:id="49"/>
    </w:p>
    <w:p>
      <w:pPr>
        <w:autoSpaceDE w:val="0"/>
        <w:autoSpaceDN w:val="0"/>
        <w:adjustRightInd w:val="0"/>
        <w:snapToGrid w:val="0"/>
        <w:spacing w:line="360" w:lineRule="exact"/>
        <w:rPr>
          <w:rFonts w:ascii="宋体" w:hAnsi="宋体" w:cs="Calibri"/>
          <w:b/>
          <w:bCs/>
          <w:kern w:val="0"/>
          <w:sz w:val="22"/>
        </w:rPr>
      </w:pPr>
      <w:bookmarkStart w:id="50" w:name="_Toc219809802"/>
      <w:bookmarkStart w:id="51" w:name="_Toc15553"/>
      <w:bookmarkStart w:id="52" w:name="_Toc220123242"/>
      <w:r>
        <w:rPr>
          <w:rFonts w:ascii="宋体" w:hAnsi="宋体" w:cs="Calibri"/>
          <w:b/>
          <w:bCs/>
          <w:kern w:val="0"/>
          <w:sz w:val="22"/>
        </w:rPr>
        <w:t>8.1 重新招标</w:t>
      </w:r>
      <w:bookmarkEnd w:id="50"/>
      <w:bookmarkEnd w:id="51"/>
      <w:bookmarkEnd w:id="52"/>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3" w:name="_Toc219809803"/>
      <w:bookmarkStart w:id="54" w:name="_Toc18806"/>
      <w:bookmarkStart w:id="55" w:name="_Toc220123243"/>
      <w:r>
        <w:rPr>
          <w:rFonts w:ascii="宋体" w:hAnsi="宋体" w:cs="Calibri"/>
          <w:b/>
          <w:bCs/>
          <w:kern w:val="0"/>
          <w:sz w:val="22"/>
        </w:rPr>
        <w:t>8.2 不再招标</w:t>
      </w:r>
      <w:bookmarkEnd w:id="53"/>
      <w:bookmarkEnd w:id="54"/>
      <w:bookmarkEnd w:id="55"/>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6" w:name="_Toc2986"/>
      <w:bookmarkStart w:id="57" w:name="_Toc219809804"/>
      <w:bookmarkStart w:id="58" w:name="_Toc215941254"/>
      <w:bookmarkStart w:id="59" w:name="_Toc220123244"/>
      <w:r>
        <w:rPr>
          <w:rFonts w:ascii="宋体" w:hAnsi="宋体" w:cs="Calibri"/>
          <w:b/>
          <w:bCs/>
          <w:kern w:val="0"/>
          <w:sz w:val="22"/>
        </w:rPr>
        <w:t>9.纪律和监督</w:t>
      </w:r>
      <w:bookmarkEnd w:id="56"/>
      <w:bookmarkEnd w:id="57"/>
      <w:bookmarkEnd w:id="58"/>
      <w:bookmarkEnd w:id="59"/>
    </w:p>
    <w:p>
      <w:pPr>
        <w:autoSpaceDE w:val="0"/>
        <w:autoSpaceDN w:val="0"/>
        <w:adjustRightInd w:val="0"/>
        <w:snapToGrid w:val="0"/>
        <w:spacing w:line="360" w:lineRule="exact"/>
        <w:rPr>
          <w:rFonts w:ascii="宋体" w:hAnsi="宋体" w:cs="Calibri"/>
          <w:b/>
          <w:bCs/>
          <w:kern w:val="0"/>
          <w:sz w:val="22"/>
        </w:rPr>
      </w:pPr>
      <w:bookmarkStart w:id="60" w:name="_Toc220123245"/>
      <w:bookmarkStart w:id="61" w:name="_Toc5509"/>
      <w:bookmarkStart w:id="62" w:name="_Toc219809805"/>
      <w:r>
        <w:rPr>
          <w:rFonts w:ascii="宋体" w:hAnsi="宋体" w:cs="Calibri"/>
          <w:b/>
          <w:bCs/>
          <w:kern w:val="0"/>
          <w:sz w:val="22"/>
        </w:rPr>
        <w:t>9.1 对招标人的纪律要求</w:t>
      </w:r>
      <w:bookmarkEnd w:id="60"/>
      <w:bookmarkEnd w:id="61"/>
      <w:bookmarkEnd w:id="6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3" w:name="_Toc219809806"/>
      <w:bookmarkStart w:id="64" w:name="_Toc10820"/>
      <w:bookmarkStart w:id="65" w:name="_Toc220123246"/>
      <w:r>
        <w:rPr>
          <w:rFonts w:ascii="宋体" w:hAnsi="宋体" w:cs="Calibri"/>
          <w:b/>
          <w:bCs/>
          <w:kern w:val="0"/>
          <w:sz w:val="22"/>
        </w:rPr>
        <w:t>9.2 对投标人的纪律要求</w:t>
      </w:r>
      <w:bookmarkEnd w:id="63"/>
      <w:bookmarkEnd w:id="64"/>
      <w:bookmarkEnd w:id="6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6" w:name="_Toc219809807"/>
      <w:bookmarkStart w:id="67" w:name="_Toc220123247"/>
      <w:bookmarkStart w:id="68" w:name="_Toc10756"/>
      <w:r>
        <w:rPr>
          <w:rFonts w:ascii="宋体" w:hAnsi="宋体" w:cs="Calibri"/>
          <w:b/>
          <w:bCs/>
          <w:kern w:val="0"/>
          <w:sz w:val="22"/>
        </w:rPr>
        <w:t>9.3 对评标委员会成员的纪律要求</w:t>
      </w:r>
      <w:bookmarkEnd w:id="66"/>
      <w:bookmarkEnd w:id="67"/>
      <w:bookmarkEnd w:id="6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六</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9" w:name="_Toc220123248"/>
      <w:bookmarkStart w:id="70" w:name="_Toc12792"/>
      <w:bookmarkStart w:id="71" w:name="_Toc219809808"/>
      <w:r>
        <w:rPr>
          <w:rFonts w:ascii="宋体" w:hAnsi="宋体" w:cs="Calibri"/>
          <w:b/>
          <w:bCs/>
          <w:kern w:val="0"/>
          <w:sz w:val="22"/>
        </w:rPr>
        <w:t>9.4 对评标活动有关的工作人员的纪律要求</w:t>
      </w:r>
      <w:bookmarkEnd w:id="69"/>
      <w:bookmarkEnd w:id="70"/>
      <w:bookmarkEnd w:id="7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72" w:name="_Toc219809809"/>
      <w:bookmarkStart w:id="73" w:name="_Toc220123249"/>
      <w:bookmarkStart w:id="74" w:name="_Toc239"/>
      <w:r>
        <w:rPr>
          <w:rFonts w:ascii="宋体" w:hAnsi="宋体" w:cs="Calibri"/>
          <w:b/>
          <w:bCs/>
          <w:kern w:val="0"/>
          <w:sz w:val="22"/>
        </w:rPr>
        <w:t>9.5 投诉</w:t>
      </w:r>
      <w:bookmarkEnd w:id="72"/>
      <w:bookmarkEnd w:id="73"/>
      <w:bookmarkEnd w:id="7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5" w:name="_Toc10817"/>
      <w:r>
        <w:rPr>
          <w:rFonts w:ascii="宋体" w:hAnsi="宋体" w:cs="Calibri"/>
          <w:b/>
          <w:bCs/>
          <w:kern w:val="0"/>
          <w:sz w:val="22"/>
        </w:rPr>
        <w:t>10. 需要补充的其他内容</w:t>
      </w:r>
      <w:bookmarkEnd w:id="75"/>
    </w:p>
    <w:p>
      <w:pPr>
        <w:autoSpaceDE w:val="0"/>
        <w:autoSpaceDN w:val="0"/>
        <w:adjustRightInd w:val="0"/>
        <w:snapToGrid w:val="0"/>
        <w:spacing w:line="360" w:lineRule="exact"/>
        <w:ind w:firstLine="44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snapToGrid w:val="0"/>
        <w:spacing w:line="560" w:lineRule="exact"/>
      </w:pPr>
    </w:p>
    <w:p>
      <w:pPr>
        <w:snapToGrid w:val="0"/>
        <w:spacing w:line="560" w:lineRule="exact"/>
      </w:pPr>
    </w:p>
    <w:p>
      <w:pPr>
        <w:spacing w:line="500" w:lineRule="exact"/>
      </w:pPr>
    </w:p>
    <w:p>
      <w:pPr>
        <w:pStyle w:val="51"/>
      </w:pPr>
      <w:r>
        <w:rPr>
          <w:sz w:val="24"/>
        </w:rPr>
        <w:br w:type="page"/>
      </w:r>
      <w:bookmarkStart w:id="76" w:name="_Toc511375153"/>
      <w:r>
        <w:t>第</w:t>
      </w:r>
      <w:r>
        <w:rPr>
          <w:rFonts w:hint="eastAsia"/>
        </w:rPr>
        <w:t>三</w:t>
      </w:r>
      <w:r>
        <w:t xml:space="preserve">章  </w:t>
      </w:r>
      <w:r>
        <w:rPr>
          <w:rFonts w:hint="eastAsia"/>
        </w:rPr>
        <w:t>合同条款及格式</w:t>
      </w:r>
      <w:bookmarkEnd w:id="76"/>
    </w:p>
    <w:p>
      <w:pPr>
        <w:keepNext/>
        <w:keepLines/>
        <w:spacing w:before="120" w:after="120" w:line="400" w:lineRule="exact"/>
        <w:ind w:right="-16"/>
        <w:jc w:val="center"/>
        <w:outlineLvl w:val="0"/>
        <w:rPr>
          <w:rFonts w:ascii="宋体" w:hAnsi="宋体" w:cs="宋体"/>
          <w:b/>
          <w:sz w:val="28"/>
          <w:szCs w:val="20"/>
        </w:rPr>
      </w:pPr>
      <w:bookmarkStart w:id="77" w:name="_Toc448097405"/>
      <w:bookmarkStart w:id="78" w:name="_Toc450630560"/>
      <w:bookmarkStart w:id="79" w:name="_Toc511375154"/>
      <w:r>
        <w:rPr>
          <w:rFonts w:hint="eastAsia" w:ascii="宋体" w:hAnsi="宋体" w:cs="宋体"/>
          <w:b/>
          <w:sz w:val="28"/>
          <w:szCs w:val="20"/>
        </w:rPr>
        <w:t>第一部分  合同协议书</w:t>
      </w:r>
      <w:bookmarkEnd w:id="77"/>
      <w:bookmarkEnd w:id="78"/>
      <w:bookmarkEnd w:id="79"/>
    </w:p>
    <w:p>
      <w:pPr>
        <w:spacing w:line="400" w:lineRule="exact"/>
        <w:ind w:firstLine="440" w:firstLineChars="200"/>
        <w:rPr>
          <w:rFonts w:asciiTheme="minorEastAsia" w:hAnsiTheme="minorEastAsia"/>
          <w:sz w:val="22"/>
        </w:rPr>
      </w:pPr>
      <w:r>
        <w:rPr>
          <w:rFonts w:hint="eastAsia" w:asciiTheme="minorEastAsia" w:hAnsiTheme="minorEastAsia"/>
          <w:sz w:val="22"/>
        </w:rPr>
        <w:t>杭州萧山国际机场</w:t>
      </w:r>
      <w:r>
        <w:rPr>
          <w:rFonts w:asciiTheme="minorEastAsia" w:hAnsiTheme="minorEastAsia"/>
          <w:sz w:val="22"/>
        </w:rPr>
        <w:t>有限公司</w:t>
      </w:r>
      <w:r>
        <w:rPr>
          <w:rFonts w:hint="eastAsia" w:asciiTheme="minorEastAsia" w:hAnsiTheme="minorEastAsia"/>
          <w:sz w:val="22"/>
        </w:rPr>
        <w:t>（以下简称“发包人”）为实施</w:t>
      </w:r>
      <w:r>
        <w:rPr>
          <w:rFonts w:hint="eastAsia" w:asciiTheme="minorEastAsia" w:hAnsiTheme="minorEastAsia"/>
          <w:sz w:val="22"/>
          <w:u w:val="single"/>
        </w:rPr>
        <w:t>杭州萧山国际机场飞行区标志线更新维护项目</w:t>
      </w:r>
      <w:r>
        <w:rPr>
          <w:rFonts w:hint="eastAsia" w:asciiTheme="minorEastAsia" w:hAnsiTheme="minorEastAsia"/>
          <w:sz w:val="22"/>
        </w:rPr>
        <w:t>，已接受（【    】以下简称“承包人”）对该项目施工的投标。发包人和承包人共同达成如下协议。</w:t>
      </w:r>
    </w:p>
    <w:p>
      <w:pPr>
        <w:spacing w:line="400" w:lineRule="exact"/>
        <w:ind w:firstLine="440" w:firstLineChars="200"/>
        <w:rPr>
          <w:rFonts w:asciiTheme="minorEastAsia" w:hAnsiTheme="minorEastAsia"/>
          <w:sz w:val="22"/>
        </w:rPr>
      </w:pPr>
      <w:bookmarkStart w:id="80" w:name="_Toc144974828"/>
      <w:bookmarkStart w:id="81" w:name="_Toc152042548"/>
      <w:r>
        <w:rPr>
          <w:rFonts w:hint="eastAsia" w:asciiTheme="minorEastAsia" w:hAnsiTheme="minorEastAsia"/>
          <w:sz w:val="22"/>
        </w:rPr>
        <w:t>1. 本协议书与下列文件一起构成合同文件：</w:t>
      </w:r>
      <w:bookmarkEnd w:id="80"/>
      <w:bookmarkEnd w:id="81"/>
    </w:p>
    <w:p>
      <w:pPr>
        <w:spacing w:line="400" w:lineRule="exact"/>
        <w:ind w:firstLine="440" w:firstLineChars="200"/>
        <w:rPr>
          <w:rFonts w:asciiTheme="minorEastAsia" w:hAnsiTheme="minorEastAsia"/>
          <w:sz w:val="22"/>
        </w:rPr>
      </w:pPr>
      <w:r>
        <w:rPr>
          <w:rFonts w:hint="eastAsia" w:asciiTheme="minorEastAsia" w:hAnsiTheme="minorEastAsia"/>
          <w:sz w:val="22"/>
        </w:rPr>
        <w:t>(1)本合同书面（补充）协议以及合同履行中，双方有关工程的洽谈、变更等书面协议或文件；</w:t>
      </w:r>
    </w:p>
    <w:p>
      <w:pPr>
        <w:spacing w:line="400" w:lineRule="exact"/>
        <w:ind w:firstLine="440" w:firstLineChars="200"/>
        <w:rPr>
          <w:rFonts w:asciiTheme="minorEastAsia" w:hAnsiTheme="minorEastAsia"/>
          <w:sz w:val="22"/>
        </w:rPr>
      </w:pPr>
      <w:r>
        <w:rPr>
          <w:rFonts w:hint="eastAsia" w:asciiTheme="minorEastAsia" w:hAnsiTheme="minorEastAsia"/>
          <w:sz w:val="22"/>
        </w:rPr>
        <w:t>（2）本合同协议书（含合同谈判纪要）；</w:t>
      </w:r>
    </w:p>
    <w:p>
      <w:pPr>
        <w:spacing w:line="400" w:lineRule="exact"/>
        <w:ind w:firstLine="440" w:firstLineChars="200"/>
        <w:rPr>
          <w:rFonts w:asciiTheme="minorEastAsia" w:hAnsiTheme="minorEastAsia"/>
          <w:sz w:val="22"/>
        </w:rPr>
      </w:pPr>
      <w:r>
        <w:rPr>
          <w:rFonts w:hint="eastAsia" w:asciiTheme="minorEastAsia" w:hAnsiTheme="minorEastAsia"/>
          <w:sz w:val="22"/>
        </w:rPr>
        <w:t>（3）中标通知书；</w:t>
      </w:r>
    </w:p>
    <w:p>
      <w:pPr>
        <w:spacing w:line="400" w:lineRule="exact"/>
        <w:ind w:firstLine="440" w:firstLineChars="200"/>
        <w:rPr>
          <w:rFonts w:asciiTheme="minorEastAsia" w:hAnsiTheme="minorEastAsia"/>
          <w:sz w:val="22"/>
        </w:rPr>
      </w:pPr>
      <w:r>
        <w:rPr>
          <w:rFonts w:hint="eastAsia" w:asciiTheme="minorEastAsia" w:hAnsiTheme="minorEastAsia"/>
          <w:sz w:val="22"/>
        </w:rPr>
        <w:t>（4）本合同专用条款；</w:t>
      </w:r>
    </w:p>
    <w:p>
      <w:pPr>
        <w:spacing w:line="400" w:lineRule="exact"/>
        <w:ind w:firstLine="440" w:firstLineChars="200"/>
        <w:rPr>
          <w:rFonts w:asciiTheme="minorEastAsia" w:hAnsiTheme="minorEastAsia"/>
          <w:sz w:val="22"/>
        </w:rPr>
      </w:pPr>
      <w:r>
        <w:rPr>
          <w:rFonts w:hint="eastAsia" w:asciiTheme="minorEastAsia" w:hAnsiTheme="minorEastAsia"/>
          <w:sz w:val="22"/>
        </w:rPr>
        <w:t>（5）招标文件及其补充文件（包括询标记录）；</w:t>
      </w:r>
    </w:p>
    <w:p>
      <w:pPr>
        <w:spacing w:line="400" w:lineRule="exact"/>
        <w:ind w:firstLine="440" w:firstLineChars="200"/>
        <w:rPr>
          <w:rFonts w:asciiTheme="minorEastAsia" w:hAnsiTheme="minorEastAsia"/>
          <w:sz w:val="22"/>
        </w:rPr>
      </w:pPr>
      <w:r>
        <w:rPr>
          <w:rFonts w:hint="eastAsia" w:asciiTheme="minorEastAsia" w:hAnsiTheme="minorEastAsia"/>
          <w:sz w:val="22"/>
        </w:rPr>
        <w:t>（6）投标文件及其附件；</w:t>
      </w:r>
    </w:p>
    <w:p>
      <w:pPr>
        <w:spacing w:line="400" w:lineRule="exact"/>
        <w:ind w:firstLine="440" w:firstLineChars="200"/>
        <w:rPr>
          <w:rFonts w:asciiTheme="minorEastAsia" w:hAnsiTheme="minorEastAsia"/>
          <w:sz w:val="22"/>
        </w:rPr>
      </w:pPr>
      <w:r>
        <w:rPr>
          <w:rFonts w:hint="eastAsia" w:asciiTheme="minorEastAsia" w:hAnsiTheme="minorEastAsia"/>
          <w:sz w:val="22"/>
        </w:rPr>
        <w:t>（7）本合同通用条款；</w:t>
      </w:r>
    </w:p>
    <w:p>
      <w:pPr>
        <w:spacing w:line="400" w:lineRule="exact"/>
        <w:ind w:firstLine="440" w:firstLineChars="200"/>
        <w:rPr>
          <w:rFonts w:asciiTheme="minorEastAsia" w:hAnsiTheme="minorEastAsia"/>
          <w:sz w:val="22"/>
        </w:rPr>
      </w:pPr>
      <w:r>
        <w:rPr>
          <w:rFonts w:hint="eastAsia" w:asciiTheme="minorEastAsia" w:hAnsiTheme="minorEastAsia"/>
          <w:sz w:val="22"/>
        </w:rPr>
        <w:t>（8）标准、规范及有关技术文件；</w:t>
      </w:r>
    </w:p>
    <w:p>
      <w:pPr>
        <w:spacing w:line="400" w:lineRule="exact"/>
        <w:ind w:firstLine="440" w:firstLineChars="200"/>
        <w:rPr>
          <w:rFonts w:asciiTheme="minorEastAsia" w:hAnsiTheme="minorEastAsia"/>
          <w:sz w:val="22"/>
        </w:rPr>
      </w:pPr>
      <w:r>
        <w:rPr>
          <w:rFonts w:hint="eastAsia" w:asciiTheme="minorEastAsia" w:hAnsiTheme="minorEastAsia"/>
          <w:sz w:val="22"/>
        </w:rPr>
        <w:t>（9）图纸；</w:t>
      </w:r>
    </w:p>
    <w:p>
      <w:pPr>
        <w:spacing w:line="400" w:lineRule="exact"/>
        <w:ind w:firstLine="440" w:firstLineChars="200"/>
        <w:rPr>
          <w:rFonts w:asciiTheme="minorEastAsia" w:hAnsiTheme="minorEastAsia"/>
          <w:sz w:val="22"/>
        </w:rPr>
      </w:pPr>
      <w:r>
        <w:rPr>
          <w:rFonts w:hint="eastAsia" w:asciiTheme="minorEastAsia" w:hAnsiTheme="minorEastAsia"/>
          <w:sz w:val="22"/>
        </w:rPr>
        <w:t>（10）工程量清单；</w:t>
      </w:r>
    </w:p>
    <w:p>
      <w:pPr>
        <w:spacing w:line="400" w:lineRule="exact"/>
        <w:ind w:firstLine="440" w:firstLineChars="200"/>
        <w:rPr>
          <w:rFonts w:asciiTheme="minorEastAsia" w:hAnsiTheme="minorEastAsia"/>
          <w:sz w:val="22"/>
        </w:rPr>
      </w:pPr>
      <w:r>
        <w:rPr>
          <w:rFonts w:hint="eastAsia" w:asciiTheme="minorEastAsia" w:hAnsiTheme="minorEastAsia"/>
          <w:sz w:val="22"/>
        </w:rPr>
        <w:t>（11）工程报价书。 </w:t>
      </w:r>
    </w:p>
    <w:p>
      <w:pPr>
        <w:spacing w:line="400" w:lineRule="exact"/>
        <w:ind w:firstLine="440" w:firstLineChars="200"/>
        <w:rPr>
          <w:rFonts w:asciiTheme="minorEastAsia" w:hAnsiTheme="minorEastAsia"/>
          <w:sz w:val="22"/>
        </w:rPr>
      </w:pPr>
      <w:bookmarkStart w:id="82" w:name="_Toc144974829"/>
      <w:bookmarkStart w:id="83" w:name="_Toc152042549"/>
      <w:r>
        <w:rPr>
          <w:rFonts w:hint="eastAsia" w:asciiTheme="minorEastAsia" w:hAnsiTheme="minorEastAsia"/>
          <w:sz w:val="22"/>
        </w:rPr>
        <w:t>2. 上述文件互相补充和解释，如有不明确或不一致之处，以合同约定次序在先者为准。</w:t>
      </w:r>
      <w:bookmarkEnd w:id="82"/>
      <w:bookmarkEnd w:id="83"/>
    </w:p>
    <w:p>
      <w:pPr>
        <w:spacing w:line="400" w:lineRule="exact"/>
        <w:ind w:firstLine="440" w:firstLineChars="200"/>
        <w:rPr>
          <w:rFonts w:asciiTheme="minorEastAsia" w:hAnsiTheme="minorEastAsia"/>
          <w:sz w:val="22"/>
        </w:rPr>
      </w:pPr>
      <w:r>
        <w:rPr>
          <w:rFonts w:hint="eastAsia" w:asciiTheme="minorEastAsia" w:hAnsiTheme="minorEastAsia"/>
          <w:sz w:val="22"/>
        </w:rPr>
        <w:t>3. 签约合同价：</w:t>
      </w:r>
    </w:p>
    <w:p>
      <w:pPr>
        <w:snapToGrid w:val="0"/>
        <w:spacing w:line="360" w:lineRule="exact"/>
        <w:ind w:firstLine="440" w:firstLineChars="200"/>
        <w:rPr>
          <w:rFonts w:ascii="宋体" w:hAnsi="宋体"/>
          <w:sz w:val="22"/>
        </w:rPr>
      </w:pPr>
      <w:r>
        <w:rPr>
          <w:rFonts w:hint="eastAsia" w:ascii="宋体" w:hAnsi="宋体"/>
          <w:sz w:val="22"/>
        </w:rPr>
        <w:t>本合同单价详见下表（工程量</w:t>
      </w:r>
      <w:r>
        <w:rPr>
          <w:rFonts w:hint="eastAsia" w:ascii="宋体" w:hAnsi="宋体" w:cs="Calibri"/>
          <w:color w:val="000000"/>
          <w:sz w:val="22"/>
        </w:rPr>
        <w:t>以实际发生为准，此处仅供参考</w:t>
      </w:r>
      <w:r>
        <w:rPr>
          <w:rFonts w:hint="eastAsia" w:ascii="宋体" w:hAnsi="宋体"/>
          <w:sz w:val="22"/>
        </w:rPr>
        <w:t>）：</w:t>
      </w:r>
    </w:p>
    <w:tbl>
      <w:tblPr>
        <w:tblStyle w:val="58"/>
        <w:tblW w:w="9448"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266"/>
        <w:gridCol w:w="2185"/>
        <w:gridCol w:w="1001"/>
        <w:gridCol w:w="1001"/>
        <w:gridCol w:w="1184"/>
        <w:gridCol w:w="1184"/>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3" w:type="dxa"/>
            <w:vAlign w:val="center"/>
          </w:tcPr>
          <w:p>
            <w:pPr>
              <w:spacing w:line="400" w:lineRule="exact"/>
              <w:jc w:val="center"/>
              <w:rPr>
                <w:rFonts w:ascii="宋体" w:hAnsi="宋体"/>
                <w:b/>
                <w:sz w:val="22"/>
              </w:rPr>
            </w:pPr>
            <w:r>
              <w:rPr>
                <w:rFonts w:hint="eastAsia" w:ascii="宋体" w:hAnsi="宋体"/>
                <w:b/>
                <w:sz w:val="22"/>
              </w:rPr>
              <w:t>序号</w:t>
            </w:r>
          </w:p>
        </w:tc>
        <w:tc>
          <w:tcPr>
            <w:tcW w:w="1266" w:type="dxa"/>
            <w:vAlign w:val="center"/>
          </w:tcPr>
          <w:p>
            <w:pPr>
              <w:spacing w:line="400" w:lineRule="exact"/>
              <w:jc w:val="center"/>
              <w:rPr>
                <w:rFonts w:ascii="宋体" w:hAnsi="宋体"/>
                <w:b/>
                <w:sz w:val="22"/>
              </w:rPr>
            </w:pPr>
            <w:r>
              <w:rPr>
                <w:rFonts w:hint="eastAsia" w:ascii="宋体" w:hAnsi="宋体"/>
                <w:b/>
                <w:sz w:val="22"/>
              </w:rPr>
              <w:t>项目</w:t>
            </w:r>
          </w:p>
        </w:tc>
        <w:tc>
          <w:tcPr>
            <w:tcW w:w="2185" w:type="dxa"/>
            <w:vAlign w:val="center"/>
          </w:tcPr>
          <w:p>
            <w:pPr>
              <w:spacing w:line="400" w:lineRule="exact"/>
              <w:jc w:val="center"/>
              <w:rPr>
                <w:rFonts w:ascii="宋体" w:hAnsi="宋体"/>
                <w:b/>
                <w:sz w:val="22"/>
              </w:rPr>
            </w:pPr>
            <w:r>
              <w:rPr>
                <w:rFonts w:hint="eastAsia" w:ascii="宋体" w:hAnsi="宋体"/>
                <w:b/>
                <w:sz w:val="22"/>
              </w:rPr>
              <w:t>特征描述</w:t>
            </w:r>
          </w:p>
        </w:tc>
        <w:tc>
          <w:tcPr>
            <w:tcW w:w="1001" w:type="dxa"/>
            <w:vAlign w:val="center"/>
          </w:tcPr>
          <w:p>
            <w:pPr>
              <w:spacing w:line="400" w:lineRule="exact"/>
              <w:jc w:val="center"/>
              <w:rPr>
                <w:rFonts w:ascii="宋体" w:hAnsi="宋体"/>
                <w:b/>
                <w:sz w:val="22"/>
              </w:rPr>
            </w:pPr>
            <w:r>
              <w:rPr>
                <w:rFonts w:hint="eastAsia" w:ascii="宋体" w:hAnsi="宋体"/>
                <w:b/>
                <w:sz w:val="22"/>
              </w:rPr>
              <w:t>漆料品牌型号</w:t>
            </w:r>
          </w:p>
        </w:tc>
        <w:tc>
          <w:tcPr>
            <w:tcW w:w="1001" w:type="dxa"/>
            <w:vAlign w:val="center"/>
          </w:tcPr>
          <w:p>
            <w:pPr>
              <w:spacing w:line="400" w:lineRule="exact"/>
              <w:jc w:val="center"/>
              <w:rPr>
                <w:rFonts w:ascii="宋体" w:hAnsi="宋体"/>
                <w:b/>
                <w:sz w:val="22"/>
              </w:rPr>
            </w:pPr>
            <w:r>
              <w:rPr>
                <w:rFonts w:hint="eastAsia" w:ascii="宋体" w:hAnsi="宋体"/>
                <w:b/>
                <w:sz w:val="22"/>
              </w:rPr>
              <w:t>单位</w:t>
            </w:r>
          </w:p>
        </w:tc>
        <w:tc>
          <w:tcPr>
            <w:tcW w:w="1184" w:type="dxa"/>
            <w:vAlign w:val="center"/>
          </w:tcPr>
          <w:p>
            <w:pPr>
              <w:spacing w:line="400" w:lineRule="exact"/>
              <w:jc w:val="center"/>
              <w:rPr>
                <w:rFonts w:ascii="宋体" w:hAnsi="宋体"/>
                <w:b/>
                <w:sz w:val="22"/>
              </w:rPr>
            </w:pPr>
            <w:r>
              <w:rPr>
                <w:rFonts w:hint="eastAsia" w:ascii="宋体" w:hAnsi="宋体"/>
                <w:b/>
                <w:sz w:val="22"/>
              </w:rPr>
              <w:t>价格（不含税）</w:t>
            </w:r>
          </w:p>
        </w:tc>
        <w:tc>
          <w:tcPr>
            <w:tcW w:w="1184" w:type="dxa"/>
            <w:vAlign w:val="center"/>
          </w:tcPr>
          <w:p>
            <w:pPr>
              <w:spacing w:line="400" w:lineRule="exact"/>
              <w:jc w:val="center"/>
              <w:rPr>
                <w:rFonts w:ascii="宋体" w:hAnsi="宋体"/>
                <w:b/>
                <w:sz w:val="22"/>
              </w:rPr>
            </w:pPr>
            <w:r>
              <w:rPr>
                <w:rFonts w:hint="eastAsia" w:ascii="宋体" w:hAnsi="宋体"/>
                <w:b/>
                <w:sz w:val="22"/>
              </w:rPr>
              <w:t>税额</w:t>
            </w:r>
          </w:p>
        </w:tc>
        <w:tc>
          <w:tcPr>
            <w:tcW w:w="1184" w:type="dxa"/>
            <w:vAlign w:val="center"/>
          </w:tcPr>
          <w:p>
            <w:pPr>
              <w:spacing w:line="400" w:lineRule="exact"/>
              <w:jc w:val="center"/>
              <w:rPr>
                <w:rFonts w:ascii="宋体" w:hAnsi="宋体"/>
                <w:b/>
                <w:sz w:val="22"/>
              </w:rPr>
            </w:pPr>
            <w:r>
              <w:rPr>
                <w:rFonts w:hint="eastAsia" w:ascii="宋体" w:hAnsi="宋体"/>
                <w:b/>
                <w:sz w:val="2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3" w:type="dxa"/>
            <w:vAlign w:val="center"/>
          </w:tcPr>
          <w:p>
            <w:pPr>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266" w:type="dxa"/>
            <w:vAlign w:val="center"/>
          </w:tcPr>
          <w:p>
            <w:pPr>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溶剂型标线划线</w:t>
            </w:r>
          </w:p>
        </w:tc>
        <w:tc>
          <w:tcPr>
            <w:tcW w:w="2185" w:type="dxa"/>
          </w:tcPr>
          <w:p>
            <w:pPr>
              <w:numPr>
                <w:ilvl w:val="255"/>
                <w:numId w:val="0"/>
              </w:num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 xml:space="preserve">1.漆料名称：丙烯酸溶剂型漆料             </w:t>
            </w:r>
          </w:p>
          <w:p>
            <w:p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2.施工位置：跑道、滑行道、机坪以及外围巡场道                                                   3.工作内容：标志线更新施划</w:t>
            </w:r>
          </w:p>
          <w:p>
            <w:p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 xml:space="preserve">4.价格包含材料运输、装卸、漆画模板加工及使用、废旧油漆桶回收等与施工有关的全部费用  </w:t>
            </w:r>
          </w:p>
        </w:tc>
        <w:tc>
          <w:tcPr>
            <w:tcW w:w="1001" w:type="dxa"/>
            <w:vAlign w:val="center"/>
          </w:tcPr>
          <w:p>
            <w:pPr>
              <w:spacing w:line="400" w:lineRule="exact"/>
              <w:jc w:val="center"/>
              <w:rPr>
                <w:rFonts w:ascii="宋体" w:hAnsi="宋体" w:cs="宋体"/>
                <w:color w:val="000000"/>
                <w:kern w:val="0"/>
                <w:sz w:val="18"/>
                <w:szCs w:val="18"/>
              </w:rPr>
            </w:pPr>
          </w:p>
        </w:tc>
        <w:tc>
          <w:tcPr>
            <w:tcW w:w="1001" w:type="dxa"/>
            <w:vAlign w:val="center"/>
          </w:tcPr>
          <w:p>
            <w:pPr>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平方米</w:t>
            </w:r>
          </w:p>
        </w:tc>
        <w:tc>
          <w:tcPr>
            <w:tcW w:w="1184" w:type="dxa"/>
            <w:vAlign w:val="center"/>
          </w:tcPr>
          <w:p>
            <w:pPr>
              <w:spacing w:line="400" w:lineRule="exact"/>
              <w:jc w:val="center"/>
              <w:rPr>
                <w:rFonts w:ascii="宋体" w:hAnsi="宋体"/>
                <w:sz w:val="22"/>
              </w:rPr>
            </w:pPr>
          </w:p>
        </w:tc>
        <w:tc>
          <w:tcPr>
            <w:tcW w:w="1184" w:type="dxa"/>
            <w:vAlign w:val="center"/>
          </w:tcPr>
          <w:p>
            <w:pPr>
              <w:spacing w:line="400" w:lineRule="exact"/>
              <w:jc w:val="center"/>
              <w:rPr>
                <w:rFonts w:ascii="宋体" w:hAnsi="宋体"/>
                <w:sz w:val="22"/>
              </w:rPr>
            </w:pPr>
          </w:p>
        </w:tc>
        <w:tc>
          <w:tcPr>
            <w:tcW w:w="1184" w:type="dxa"/>
            <w:vAlign w:val="center"/>
          </w:tcPr>
          <w:p>
            <w:pPr>
              <w:spacing w:line="40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3" w:type="dxa"/>
            <w:vAlign w:val="center"/>
          </w:tcPr>
          <w:p>
            <w:p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2</w:t>
            </w:r>
          </w:p>
        </w:tc>
        <w:tc>
          <w:tcPr>
            <w:tcW w:w="1266" w:type="dxa"/>
            <w:vAlign w:val="center"/>
          </w:tcPr>
          <w:p>
            <w:p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跑道中心线清除</w:t>
            </w:r>
          </w:p>
        </w:tc>
        <w:tc>
          <w:tcPr>
            <w:tcW w:w="2185" w:type="dxa"/>
            <w:vAlign w:val="center"/>
          </w:tcPr>
          <w:p>
            <w:pPr>
              <w:numPr>
                <w:ilvl w:val="255"/>
                <w:numId w:val="0"/>
              </w:num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1.溶剂型标志线清除</w:t>
            </w:r>
          </w:p>
          <w:p>
            <w:pPr>
              <w:numPr>
                <w:ilvl w:val="255"/>
                <w:numId w:val="0"/>
              </w:num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2.施工位置：跑道</w:t>
            </w:r>
          </w:p>
          <w:p>
            <w:pPr>
              <w:numPr>
                <w:ilvl w:val="255"/>
                <w:numId w:val="0"/>
              </w:num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3.工作内容：跑道中心线清除，标志线厚度5mm-10mm，建议采用高温软化、人工清除方式。</w:t>
            </w:r>
          </w:p>
          <w:p>
            <w:pPr>
              <w:numPr>
                <w:ilvl w:val="255"/>
                <w:numId w:val="0"/>
              </w:num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 xml:space="preserve">4.价格包含施工、清扫、回收、运输、废料处理等与施工有关的全部费用  </w:t>
            </w:r>
          </w:p>
        </w:tc>
        <w:tc>
          <w:tcPr>
            <w:tcW w:w="1001" w:type="dxa"/>
            <w:vAlign w:val="center"/>
          </w:tcPr>
          <w:p>
            <w:pPr>
              <w:spacing w:line="400" w:lineRule="exact"/>
              <w:jc w:val="center"/>
              <w:rPr>
                <w:rFonts w:ascii="宋体" w:hAnsi="宋体" w:cs="宋体"/>
                <w:color w:val="000000"/>
                <w:kern w:val="0"/>
                <w:sz w:val="18"/>
                <w:szCs w:val="18"/>
              </w:rPr>
            </w:pPr>
          </w:p>
        </w:tc>
        <w:tc>
          <w:tcPr>
            <w:tcW w:w="1001" w:type="dxa"/>
            <w:vAlign w:val="center"/>
          </w:tcPr>
          <w:p>
            <w:pPr>
              <w:spacing w:line="400" w:lineRule="exact"/>
              <w:jc w:val="center"/>
              <w:rPr>
                <w:rFonts w:ascii="宋体" w:hAnsi="宋体" w:cs="宋体"/>
                <w:color w:val="000000"/>
                <w:kern w:val="0"/>
                <w:sz w:val="18"/>
                <w:szCs w:val="18"/>
              </w:rPr>
            </w:pPr>
          </w:p>
          <w:p>
            <w:pPr>
              <w:spacing w:line="400" w:lineRule="exact"/>
              <w:jc w:val="center"/>
              <w:rPr>
                <w:rFonts w:ascii="宋体" w:hAnsi="宋体" w:cs="宋体"/>
                <w:color w:val="000000"/>
                <w:kern w:val="0"/>
                <w:sz w:val="18"/>
                <w:szCs w:val="18"/>
              </w:rPr>
            </w:pPr>
          </w:p>
          <w:p>
            <w:pPr>
              <w:spacing w:line="400" w:lineRule="exact"/>
              <w:jc w:val="center"/>
              <w:rPr>
                <w:rFonts w:ascii="宋体" w:hAnsi="宋体" w:cs="宋体"/>
                <w:color w:val="000000"/>
                <w:kern w:val="0"/>
                <w:sz w:val="18"/>
                <w:szCs w:val="18"/>
              </w:rPr>
            </w:pPr>
          </w:p>
          <w:p>
            <w:pPr>
              <w:spacing w:line="400" w:lineRule="exact"/>
              <w:jc w:val="center"/>
              <w:rPr>
                <w:rFonts w:ascii="宋体" w:hAnsi="宋体" w:cs="宋体"/>
                <w:color w:val="000000"/>
                <w:kern w:val="0"/>
                <w:sz w:val="18"/>
                <w:szCs w:val="18"/>
              </w:rPr>
            </w:pPr>
          </w:p>
          <w:p>
            <w:pPr>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平方米</w:t>
            </w:r>
          </w:p>
        </w:tc>
        <w:tc>
          <w:tcPr>
            <w:tcW w:w="1184" w:type="dxa"/>
            <w:vAlign w:val="center"/>
          </w:tcPr>
          <w:p>
            <w:pPr>
              <w:spacing w:line="400" w:lineRule="exact"/>
              <w:jc w:val="center"/>
              <w:rPr>
                <w:rFonts w:ascii="宋体" w:hAnsi="宋体"/>
                <w:sz w:val="22"/>
              </w:rPr>
            </w:pPr>
          </w:p>
        </w:tc>
        <w:tc>
          <w:tcPr>
            <w:tcW w:w="1184" w:type="dxa"/>
            <w:vAlign w:val="center"/>
          </w:tcPr>
          <w:p>
            <w:pPr>
              <w:spacing w:line="400" w:lineRule="exact"/>
              <w:jc w:val="center"/>
              <w:rPr>
                <w:rFonts w:ascii="宋体" w:hAnsi="宋体"/>
                <w:sz w:val="22"/>
              </w:rPr>
            </w:pPr>
          </w:p>
        </w:tc>
        <w:tc>
          <w:tcPr>
            <w:tcW w:w="1184" w:type="dxa"/>
            <w:vAlign w:val="center"/>
          </w:tcPr>
          <w:p>
            <w:pPr>
              <w:spacing w:line="40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3" w:type="dxa"/>
            <w:vAlign w:val="center"/>
          </w:tcPr>
          <w:p>
            <w:p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1266" w:type="dxa"/>
            <w:vAlign w:val="center"/>
          </w:tcPr>
          <w:p>
            <w:p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其他标志线清除</w:t>
            </w:r>
          </w:p>
        </w:tc>
        <w:tc>
          <w:tcPr>
            <w:tcW w:w="2185" w:type="dxa"/>
            <w:vAlign w:val="center"/>
          </w:tcPr>
          <w:p>
            <w:pPr>
              <w:numPr>
                <w:ilvl w:val="255"/>
                <w:numId w:val="0"/>
              </w:num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1.溶剂型、水性、双组份型标志线清除</w:t>
            </w:r>
          </w:p>
          <w:p>
            <w:pPr>
              <w:numPr>
                <w:ilvl w:val="255"/>
                <w:numId w:val="0"/>
              </w:num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 xml:space="preserve">2.施工位置：跑道、滑行道、机坪以及外围巡场道  </w:t>
            </w:r>
          </w:p>
          <w:p>
            <w:p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3.承包人提供除线设备，设备带有废料自回收功能</w:t>
            </w:r>
          </w:p>
          <w:p>
            <w:p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 xml:space="preserve">4.价格包含施工、清扫、回收、运输、废料处理等与施工有关的全部费用 </w:t>
            </w:r>
          </w:p>
        </w:tc>
        <w:tc>
          <w:tcPr>
            <w:tcW w:w="1001" w:type="dxa"/>
            <w:vAlign w:val="center"/>
          </w:tcPr>
          <w:p>
            <w:pPr>
              <w:spacing w:line="400" w:lineRule="exact"/>
              <w:jc w:val="center"/>
              <w:rPr>
                <w:rFonts w:ascii="宋体" w:hAnsi="宋体" w:cs="宋体"/>
                <w:color w:val="000000"/>
                <w:kern w:val="0"/>
                <w:sz w:val="18"/>
                <w:szCs w:val="18"/>
              </w:rPr>
            </w:pPr>
          </w:p>
        </w:tc>
        <w:tc>
          <w:tcPr>
            <w:tcW w:w="1001" w:type="dxa"/>
            <w:vAlign w:val="center"/>
          </w:tcPr>
          <w:p>
            <w:pPr>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平方米</w:t>
            </w:r>
          </w:p>
        </w:tc>
        <w:tc>
          <w:tcPr>
            <w:tcW w:w="1184" w:type="dxa"/>
            <w:vAlign w:val="center"/>
          </w:tcPr>
          <w:p>
            <w:pPr>
              <w:spacing w:line="400" w:lineRule="exact"/>
              <w:jc w:val="center"/>
              <w:rPr>
                <w:rFonts w:ascii="宋体" w:hAnsi="宋体"/>
                <w:sz w:val="22"/>
              </w:rPr>
            </w:pPr>
          </w:p>
        </w:tc>
        <w:tc>
          <w:tcPr>
            <w:tcW w:w="1184" w:type="dxa"/>
            <w:vAlign w:val="center"/>
          </w:tcPr>
          <w:p>
            <w:pPr>
              <w:spacing w:line="400" w:lineRule="exact"/>
              <w:jc w:val="center"/>
              <w:rPr>
                <w:rFonts w:ascii="宋体" w:hAnsi="宋体"/>
                <w:sz w:val="22"/>
              </w:rPr>
            </w:pPr>
          </w:p>
        </w:tc>
        <w:tc>
          <w:tcPr>
            <w:tcW w:w="1184" w:type="dxa"/>
            <w:vAlign w:val="center"/>
          </w:tcPr>
          <w:p>
            <w:pPr>
              <w:spacing w:line="400" w:lineRule="exact"/>
              <w:jc w:val="center"/>
              <w:rPr>
                <w:rFonts w:ascii="宋体" w:hAnsi="宋体"/>
                <w:sz w:val="22"/>
              </w:rPr>
            </w:pPr>
          </w:p>
        </w:tc>
      </w:tr>
    </w:tbl>
    <w:p>
      <w:pPr>
        <w:spacing w:line="400" w:lineRule="exact"/>
        <w:ind w:firstLine="440" w:firstLineChars="200"/>
        <w:rPr>
          <w:rFonts w:ascii="宋体" w:hAnsi="宋体"/>
          <w:sz w:val="22"/>
        </w:rPr>
      </w:pPr>
      <w:r>
        <w:rPr>
          <w:rFonts w:hint="eastAsia" w:ascii="宋体" w:hAnsi="宋体"/>
          <w:sz w:val="22"/>
        </w:rPr>
        <w:t>本合同单价为为综合单价，含材料、人工、机具、保险费、税费等所有费用， 并已考虑</w:t>
      </w:r>
      <w:r>
        <w:rPr>
          <w:rFonts w:hint="eastAsia" w:ascii="宋体" w:hAnsi="宋体" w:cs="Arial"/>
          <w:kern w:val="0"/>
          <w:sz w:val="22"/>
        </w:rPr>
        <w:t>人员材料机具进出场、降效、窝工等一些飞行区施工不可避免的措施费投入，</w:t>
      </w:r>
      <w:r>
        <w:rPr>
          <w:rFonts w:hint="eastAsia" w:ascii="宋体" w:hAnsi="宋体"/>
          <w:sz w:val="22"/>
        </w:rPr>
        <w:t>发包人不再承担其他任何费用。</w:t>
      </w:r>
    </w:p>
    <w:p>
      <w:pPr>
        <w:spacing w:line="400" w:lineRule="exact"/>
        <w:ind w:right="315" w:rightChars="150" w:firstLine="440" w:firstLineChars="200"/>
        <w:rPr>
          <w:rFonts w:ascii="宋体" w:hAnsi="宋体"/>
          <w:sz w:val="22"/>
        </w:rPr>
      </w:pPr>
      <w:r>
        <w:rPr>
          <w:rFonts w:hint="eastAsia" w:ascii="宋体" w:hAnsi="宋体" w:cs="Arial"/>
          <w:kern w:val="0"/>
          <w:sz w:val="22"/>
        </w:rPr>
        <w:t>在合同有效期限内，若因国家税收政策调整而引起的增值税税率变化的，应按照国家税收政策调整，合同总金额变更为原合同不含增值税服务价格与调整后税率计算税额的合计金额。</w:t>
      </w:r>
    </w:p>
    <w:p>
      <w:pPr>
        <w:spacing w:line="400" w:lineRule="exact"/>
        <w:ind w:firstLine="440" w:firstLineChars="200"/>
        <w:rPr>
          <w:rFonts w:asciiTheme="minorEastAsia" w:hAnsiTheme="minorEastAsia"/>
          <w:sz w:val="22"/>
        </w:rPr>
      </w:pPr>
      <w:r>
        <w:rPr>
          <w:rFonts w:hint="eastAsia" w:asciiTheme="minorEastAsia" w:hAnsiTheme="minorEastAsia"/>
          <w:sz w:val="22"/>
        </w:rPr>
        <w:t>4. 承包人项目经理：     ，身份证号      。</w:t>
      </w:r>
    </w:p>
    <w:p>
      <w:pPr>
        <w:spacing w:line="400" w:lineRule="exact"/>
        <w:ind w:firstLine="440" w:firstLineChars="200"/>
        <w:rPr>
          <w:rFonts w:asciiTheme="minorEastAsia" w:hAnsiTheme="minorEastAsia"/>
          <w:sz w:val="22"/>
        </w:rPr>
      </w:pPr>
      <w:r>
        <w:rPr>
          <w:rFonts w:hint="eastAsia" w:asciiTheme="minorEastAsia" w:hAnsiTheme="minorEastAsia"/>
          <w:sz w:val="22"/>
        </w:rPr>
        <w:t>5. 工程质量符合</w:t>
      </w:r>
      <w:r>
        <w:rPr>
          <w:rFonts w:hint="eastAsia" w:asciiTheme="minorEastAsia" w:hAnsiTheme="minorEastAsia"/>
          <w:sz w:val="22"/>
          <w:u w:val="single"/>
        </w:rPr>
        <w:t xml:space="preserve">  合同约定且达到合格  </w:t>
      </w:r>
      <w:r>
        <w:rPr>
          <w:rFonts w:hint="eastAsia" w:asciiTheme="minorEastAsia" w:hAnsiTheme="minorEastAsia"/>
          <w:sz w:val="22"/>
        </w:rPr>
        <w:t>标准。</w:t>
      </w:r>
    </w:p>
    <w:p>
      <w:pPr>
        <w:spacing w:line="400" w:lineRule="exact"/>
        <w:ind w:firstLine="440" w:firstLineChars="200"/>
        <w:rPr>
          <w:rFonts w:asciiTheme="minorEastAsia" w:hAnsiTheme="minorEastAsia"/>
          <w:sz w:val="22"/>
        </w:rPr>
      </w:pPr>
      <w:r>
        <w:rPr>
          <w:rFonts w:hint="eastAsia" w:asciiTheme="minorEastAsia" w:hAnsiTheme="minorEastAsia"/>
          <w:sz w:val="22"/>
        </w:rPr>
        <w:t>6. 承包人承诺按合同约定承担工程的实施、完成及缺陷修复。</w:t>
      </w:r>
    </w:p>
    <w:p>
      <w:pPr>
        <w:spacing w:line="400" w:lineRule="exact"/>
        <w:ind w:firstLine="440" w:firstLineChars="200"/>
        <w:rPr>
          <w:rFonts w:asciiTheme="minorEastAsia" w:hAnsiTheme="minorEastAsia"/>
          <w:sz w:val="22"/>
        </w:rPr>
      </w:pPr>
      <w:r>
        <w:rPr>
          <w:rFonts w:hint="eastAsia" w:asciiTheme="minorEastAsia" w:hAnsiTheme="minorEastAsia"/>
          <w:sz w:val="22"/>
        </w:rPr>
        <w:t>7. 发包人承诺按合同约定的条件、时间和方式向承包人支付合同价款。</w:t>
      </w:r>
    </w:p>
    <w:p>
      <w:pPr>
        <w:spacing w:line="400" w:lineRule="exact"/>
        <w:ind w:firstLine="440" w:firstLineChars="200"/>
        <w:rPr>
          <w:rFonts w:ascii="宋体" w:hAnsi="宋体" w:cs="Arial"/>
          <w:kern w:val="0"/>
          <w:sz w:val="22"/>
        </w:rPr>
      </w:pPr>
      <w:r>
        <w:rPr>
          <w:rFonts w:hint="eastAsia" w:asciiTheme="minorEastAsia" w:hAnsiTheme="minorEastAsia"/>
          <w:sz w:val="22"/>
        </w:rPr>
        <w:t xml:space="preserve">8. </w:t>
      </w:r>
      <w:r>
        <w:rPr>
          <w:rFonts w:hint="eastAsia" w:ascii="宋体" w:hAnsi="宋体" w:cs="Arial"/>
          <w:kern w:val="0"/>
          <w:sz w:val="22"/>
        </w:rPr>
        <w:t>本合同为施工单价合同，合同期内发包人按照综合单价与承包人进行结算。本项目服务</w:t>
      </w:r>
      <w:r>
        <w:rPr>
          <w:rFonts w:hint="eastAsia" w:ascii="宋体" w:hAnsi="宋体" w:cs="Calibri"/>
          <w:kern w:val="0"/>
          <w:sz w:val="22"/>
        </w:rPr>
        <w:t>采取“1+3”模式，即第一年（2019年  月  日至2020年  月  日）为考核期，如考核结果不合格，则本合同有效期限至【】年【】月【】日终止，全额没收乙方的履约保证金，并有权要求承包人赔偿后三年因更换承包商所产生的高于原合同费用的差价。考核合格后，本合同自动顺延至2023年  月  日。</w:t>
      </w:r>
    </w:p>
    <w:p>
      <w:pPr>
        <w:spacing w:line="400" w:lineRule="exact"/>
        <w:ind w:firstLine="440" w:firstLineChars="200"/>
        <w:rPr>
          <w:rFonts w:asciiTheme="minorEastAsia" w:hAnsiTheme="minorEastAsia"/>
          <w:sz w:val="22"/>
        </w:rPr>
      </w:pPr>
      <w:r>
        <w:rPr>
          <w:rFonts w:hint="eastAsia" w:asciiTheme="minorEastAsia" w:hAnsiTheme="minorEastAsia"/>
          <w:sz w:val="22"/>
        </w:rPr>
        <w:t>9. 本协议书一式陆份，发包人执肆份，承包人执贰份，具有同等法律效力。</w:t>
      </w:r>
    </w:p>
    <w:p>
      <w:pPr>
        <w:spacing w:line="400" w:lineRule="exact"/>
        <w:ind w:firstLine="440" w:firstLineChars="200"/>
        <w:rPr>
          <w:rFonts w:asciiTheme="minorEastAsia" w:hAnsiTheme="minorEastAsia"/>
          <w:sz w:val="22"/>
        </w:rPr>
      </w:pPr>
      <w:bookmarkStart w:id="84" w:name="_Toc152042550"/>
      <w:bookmarkStart w:id="85" w:name="_Toc144974830"/>
      <w:r>
        <w:rPr>
          <w:rFonts w:hint="eastAsia" w:asciiTheme="minorEastAsia" w:hAnsiTheme="minorEastAsia"/>
          <w:sz w:val="22"/>
        </w:rPr>
        <w:t>10. 合同未尽事宜，双方另行签订补充协议。补充协议是合同的组成部分。</w:t>
      </w:r>
      <w:bookmarkEnd w:id="84"/>
      <w:bookmarkEnd w:id="85"/>
    </w:p>
    <w:p>
      <w:pPr>
        <w:spacing w:line="400" w:lineRule="exact"/>
        <w:ind w:firstLine="440" w:firstLineChars="200"/>
        <w:rPr>
          <w:rFonts w:asciiTheme="minorEastAsia" w:hAnsiTheme="minorEastAsia"/>
          <w:sz w:val="22"/>
        </w:rPr>
      </w:pPr>
      <w:r>
        <w:rPr>
          <w:rFonts w:hint="eastAsia" w:asciiTheme="minorEastAsia" w:hAnsiTheme="minorEastAsia"/>
          <w:sz w:val="22"/>
        </w:rPr>
        <w:t>11.合同生效：本合同自双方法定代表人或委托代理人签字盖章之日起生效。</w:t>
      </w:r>
    </w:p>
    <w:p>
      <w:pPr>
        <w:spacing w:line="400" w:lineRule="exact"/>
        <w:ind w:firstLine="440" w:firstLineChars="200"/>
        <w:rPr>
          <w:rFonts w:asciiTheme="minorEastAsia" w:hAnsiTheme="minorEastAsia"/>
          <w:sz w:val="22"/>
        </w:rPr>
      </w:pPr>
    </w:p>
    <w:p>
      <w:pPr>
        <w:spacing w:line="400" w:lineRule="exact"/>
        <w:ind w:firstLine="440" w:firstLineChars="200"/>
        <w:rPr>
          <w:rFonts w:asciiTheme="minorEastAsia" w:hAnsiTheme="minorEastAsia"/>
          <w:sz w:val="22"/>
        </w:rPr>
      </w:pPr>
    </w:p>
    <w:p>
      <w:pPr>
        <w:spacing w:line="400" w:lineRule="exact"/>
        <w:ind w:firstLine="440" w:firstLineChars="200"/>
        <w:rPr>
          <w:rFonts w:asciiTheme="minorEastAsia" w:hAnsiTheme="minorEastAsia"/>
          <w:sz w:val="22"/>
        </w:rPr>
      </w:pPr>
      <w:r>
        <w:rPr>
          <w:rFonts w:hint="eastAsia" w:asciiTheme="minorEastAsia" w:hAnsiTheme="minorEastAsia"/>
          <w:sz w:val="22"/>
        </w:rPr>
        <w:t>发包人：                （盖单位章）    承包人：                  （盖单位章）</w:t>
      </w:r>
    </w:p>
    <w:p>
      <w:pPr>
        <w:spacing w:line="400" w:lineRule="exact"/>
        <w:ind w:firstLine="440" w:firstLineChars="200"/>
        <w:rPr>
          <w:rFonts w:asciiTheme="minorEastAsia" w:hAnsiTheme="minorEastAsia"/>
          <w:sz w:val="22"/>
        </w:rPr>
      </w:pPr>
    </w:p>
    <w:p>
      <w:pPr>
        <w:spacing w:line="400" w:lineRule="exact"/>
        <w:ind w:firstLine="440" w:firstLineChars="200"/>
        <w:rPr>
          <w:szCs w:val="21"/>
        </w:rPr>
      </w:pPr>
      <w:r>
        <w:rPr>
          <w:rFonts w:hint="eastAsia" w:asciiTheme="minorEastAsia" w:hAnsiTheme="minorEastAsia"/>
          <w:sz w:val="22"/>
        </w:rPr>
        <w:t xml:space="preserve">法定代表人或其委托代理人：              法定代表人或其委托代理人：        </w:t>
      </w:r>
      <w:r>
        <w:rPr>
          <w:szCs w:val="21"/>
        </w:rPr>
        <w:br w:type="page"/>
      </w:r>
    </w:p>
    <w:p>
      <w:pPr>
        <w:keepNext/>
        <w:keepLines/>
        <w:spacing w:before="120" w:after="120" w:line="400" w:lineRule="exact"/>
        <w:ind w:right="-16"/>
        <w:jc w:val="center"/>
        <w:outlineLvl w:val="0"/>
        <w:rPr>
          <w:rFonts w:ascii="宋体" w:hAnsi="宋体" w:cs="宋体"/>
          <w:b/>
          <w:sz w:val="28"/>
          <w:szCs w:val="20"/>
        </w:rPr>
      </w:pPr>
      <w:bookmarkStart w:id="86" w:name="_Toc450630561"/>
      <w:bookmarkStart w:id="87" w:name="_Toc511375155"/>
      <w:bookmarkStart w:id="88" w:name="_Toc448097406"/>
      <w:bookmarkStart w:id="89" w:name="_Toc246392119"/>
      <w:bookmarkStart w:id="90" w:name="_Toc375636693"/>
      <w:bookmarkStart w:id="91" w:name="_Toc375636694"/>
      <w:bookmarkStart w:id="92" w:name="_Toc152042545"/>
      <w:bookmarkStart w:id="93" w:name="_Toc152045766"/>
      <w:bookmarkStart w:id="94" w:name="_Toc144974736"/>
      <w:r>
        <w:rPr>
          <w:rFonts w:hint="eastAsia" w:ascii="宋体" w:hAnsi="宋体" w:cs="宋体"/>
          <w:b/>
          <w:sz w:val="28"/>
          <w:szCs w:val="20"/>
        </w:rPr>
        <w:t>第二部分  通用合同条款</w:t>
      </w:r>
      <w:bookmarkEnd w:id="86"/>
      <w:bookmarkEnd w:id="87"/>
      <w:bookmarkEnd w:id="88"/>
      <w:bookmarkEnd w:id="89"/>
      <w:bookmarkEnd w:id="90"/>
    </w:p>
    <w:p>
      <w:pPr>
        <w:pStyle w:val="153"/>
        <w:jc w:val="center"/>
        <w:rPr>
          <w:rFonts w:ascii="宋体" w:hAnsi="宋体" w:eastAsia="宋体"/>
          <w:b/>
        </w:rPr>
      </w:pPr>
      <w:r>
        <w:rPr>
          <w:rFonts w:hint="eastAsia" w:ascii="宋体" w:hAnsi="宋体" w:eastAsia="宋体"/>
          <w:b/>
        </w:rPr>
        <w:t>（略）</w:t>
      </w:r>
      <w:r>
        <w:rPr>
          <w:rFonts w:ascii="宋体" w:hAnsi="宋体" w:eastAsia="宋体"/>
          <w:b/>
        </w:rPr>
        <w:br w:type="page"/>
      </w:r>
      <w:r>
        <w:rPr>
          <w:rFonts w:hint="eastAsia" w:ascii="宋体" w:hAnsi="宋体" w:eastAsia="宋体"/>
          <w:b/>
        </w:rPr>
        <w:t>第三部分  专用合同条款</w:t>
      </w:r>
      <w:bookmarkEnd w:id="91"/>
    </w:p>
    <w:bookmarkEnd w:id="92"/>
    <w:bookmarkEnd w:id="93"/>
    <w:bookmarkEnd w:id="94"/>
    <w:p>
      <w:pPr>
        <w:snapToGrid w:val="0"/>
        <w:spacing w:line="360" w:lineRule="exact"/>
        <w:rPr>
          <w:rFonts w:ascii="宋体" w:hAnsi="宋体" w:cs="宋体"/>
          <w:sz w:val="22"/>
        </w:rPr>
      </w:pPr>
      <w:r>
        <w:rPr>
          <w:rFonts w:hint="eastAsia" w:ascii="宋体" w:hAnsi="宋体" w:cs="宋体"/>
          <w:sz w:val="22"/>
        </w:rPr>
        <w:t>1．一般约定</w:t>
      </w:r>
    </w:p>
    <w:p>
      <w:pPr>
        <w:snapToGrid w:val="0"/>
        <w:spacing w:line="360" w:lineRule="exact"/>
        <w:rPr>
          <w:rFonts w:ascii="宋体" w:hAnsi="宋体" w:cs="宋体"/>
          <w:sz w:val="22"/>
        </w:rPr>
      </w:pPr>
      <w:r>
        <w:rPr>
          <w:rFonts w:hint="eastAsia" w:ascii="宋体" w:hAnsi="宋体" w:cs="宋体"/>
          <w:sz w:val="22"/>
        </w:rPr>
        <w:t>1.1 词语定义</w:t>
      </w:r>
    </w:p>
    <w:p>
      <w:pPr>
        <w:snapToGrid w:val="0"/>
        <w:spacing w:line="360" w:lineRule="exact"/>
        <w:ind w:firstLine="440" w:firstLineChars="200"/>
        <w:rPr>
          <w:rFonts w:ascii="宋体" w:hAnsi="宋体" w:cs="宋体"/>
          <w:sz w:val="22"/>
        </w:rPr>
      </w:pPr>
      <w:r>
        <w:rPr>
          <w:rFonts w:hint="eastAsia" w:ascii="宋体" w:hAnsi="宋体" w:cs="宋体"/>
          <w:sz w:val="22"/>
        </w:rPr>
        <w:t>1.1.2 合同当事人和人员</w:t>
      </w:r>
    </w:p>
    <w:p>
      <w:pPr>
        <w:snapToGrid w:val="0"/>
        <w:spacing w:line="360" w:lineRule="exact"/>
        <w:ind w:firstLine="440" w:firstLineChars="200"/>
        <w:rPr>
          <w:rFonts w:ascii="宋体" w:hAnsi="宋体" w:cs="宋体"/>
          <w:sz w:val="22"/>
        </w:rPr>
      </w:pPr>
      <w:r>
        <w:rPr>
          <w:rFonts w:hint="eastAsia" w:ascii="宋体" w:hAnsi="宋体" w:cs="宋体"/>
          <w:sz w:val="22"/>
        </w:rPr>
        <w:t>1.1.2.2 发包人：杭州萧山国际机场有限公司</w:t>
      </w:r>
    </w:p>
    <w:p>
      <w:pPr>
        <w:snapToGrid w:val="0"/>
        <w:spacing w:line="360" w:lineRule="exact"/>
        <w:ind w:firstLine="440" w:firstLineChars="200"/>
        <w:rPr>
          <w:rFonts w:ascii="宋体" w:hAnsi="宋体" w:cs="宋体"/>
          <w:sz w:val="22"/>
        </w:rPr>
      </w:pPr>
      <w:r>
        <w:rPr>
          <w:rFonts w:hint="eastAsia" w:ascii="宋体" w:hAnsi="宋体" w:cs="宋体"/>
          <w:sz w:val="22"/>
        </w:rPr>
        <w:t xml:space="preserve">1.1.2.3 承包人： </w:t>
      </w:r>
    </w:p>
    <w:p>
      <w:pPr>
        <w:snapToGrid w:val="0"/>
        <w:spacing w:line="360" w:lineRule="exact"/>
        <w:ind w:firstLine="440" w:firstLineChars="200"/>
        <w:rPr>
          <w:rFonts w:ascii="宋体" w:hAnsi="宋体" w:cs="宋体"/>
          <w:sz w:val="22"/>
        </w:rPr>
      </w:pPr>
      <w:r>
        <w:rPr>
          <w:rFonts w:hint="eastAsia" w:ascii="宋体" w:hAnsi="宋体" w:cs="宋体"/>
          <w:sz w:val="22"/>
        </w:rPr>
        <w:t>1.1.2.4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1.1.2.5分包：</w:t>
      </w:r>
    </w:p>
    <w:p>
      <w:pPr>
        <w:snapToGrid w:val="0"/>
        <w:spacing w:line="360" w:lineRule="exact"/>
        <w:ind w:firstLine="440" w:firstLineChars="200"/>
        <w:rPr>
          <w:rFonts w:ascii="宋体" w:hAnsi="宋体" w:cs="宋体"/>
          <w:sz w:val="22"/>
        </w:rPr>
      </w:pPr>
      <w:r>
        <w:rPr>
          <w:rFonts w:hint="eastAsia" w:ascii="宋体" w:hAnsi="宋体" w:cs="宋体"/>
          <w:sz w:val="22"/>
        </w:rPr>
        <w:t>1.1.3 工程和设备</w:t>
      </w:r>
    </w:p>
    <w:p>
      <w:pPr>
        <w:snapToGrid w:val="0"/>
        <w:spacing w:line="360" w:lineRule="exact"/>
        <w:ind w:firstLine="440" w:firstLineChars="200"/>
        <w:rPr>
          <w:rFonts w:ascii="宋体" w:hAnsi="宋体" w:cs="宋体"/>
          <w:sz w:val="22"/>
        </w:rPr>
      </w:pPr>
      <w:r>
        <w:rPr>
          <w:rFonts w:hint="eastAsia" w:ascii="宋体" w:hAnsi="宋体" w:cs="宋体"/>
          <w:sz w:val="22"/>
        </w:rPr>
        <w:t>1.1.3.4 工程名称：</w:t>
      </w:r>
    </w:p>
    <w:p>
      <w:pPr>
        <w:snapToGrid w:val="0"/>
        <w:spacing w:line="360" w:lineRule="exact"/>
        <w:ind w:firstLine="440" w:firstLineChars="200"/>
        <w:rPr>
          <w:rFonts w:ascii="宋体" w:hAnsi="宋体" w:cs="宋体"/>
          <w:sz w:val="22"/>
        </w:rPr>
      </w:pPr>
      <w:r>
        <w:rPr>
          <w:rFonts w:hint="eastAsia" w:ascii="宋体" w:hAnsi="宋体" w:cs="宋体"/>
          <w:sz w:val="22"/>
        </w:rPr>
        <w:t>1.1.3.10 永久占地：本工程建筑红线范围内占用的土地。</w:t>
      </w:r>
    </w:p>
    <w:p>
      <w:pPr>
        <w:snapToGrid w:val="0"/>
        <w:spacing w:line="360" w:lineRule="exact"/>
        <w:ind w:firstLine="440" w:firstLineChars="200"/>
        <w:rPr>
          <w:rFonts w:ascii="宋体" w:hAnsi="宋体" w:cs="宋体"/>
          <w:sz w:val="22"/>
        </w:rPr>
      </w:pPr>
      <w:r>
        <w:rPr>
          <w:rFonts w:hint="eastAsia" w:ascii="宋体" w:hAnsi="宋体" w:cs="宋体"/>
          <w:sz w:val="22"/>
        </w:rPr>
        <w:t>1.1.3.11 临时占地：除永久占地外，经发包人确认的施工总平面图内的土地。</w:t>
      </w:r>
    </w:p>
    <w:p>
      <w:pPr>
        <w:snapToGrid w:val="0"/>
        <w:spacing w:line="360" w:lineRule="exact"/>
        <w:ind w:firstLine="440" w:firstLineChars="200"/>
        <w:rPr>
          <w:rFonts w:ascii="宋体" w:hAnsi="宋体" w:cs="宋体"/>
          <w:sz w:val="22"/>
        </w:rPr>
      </w:pPr>
      <w:r>
        <w:rPr>
          <w:rFonts w:hint="eastAsia" w:ascii="宋体" w:hAnsi="宋体" w:cs="宋体"/>
          <w:sz w:val="22"/>
        </w:rPr>
        <w:t>1.1.4 日期：</w:t>
      </w:r>
    </w:p>
    <w:p>
      <w:pPr>
        <w:snapToGrid w:val="0"/>
        <w:spacing w:line="360" w:lineRule="exact"/>
        <w:rPr>
          <w:rFonts w:ascii="宋体" w:hAnsi="宋体" w:cs="宋体"/>
          <w:sz w:val="22"/>
        </w:rPr>
      </w:pPr>
      <w:r>
        <w:rPr>
          <w:rFonts w:hint="eastAsia" w:ascii="宋体" w:hAnsi="宋体" w:cs="宋体"/>
          <w:sz w:val="22"/>
        </w:rPr>
        <w:t>1.4 合同文件的优先顺序</w:t>
      </w:r>
    </w:p>
    <w:p>
      <w:pPr>
        <w:snapToGrid w:val="0"/>
        <w:spacing w:line="360" w:lineRule="exact"/>
        <w:ind w:firstLine="440" w:firstLineChars="200"/>
        <w:rPr>
          <w:rFonts w:ascii="宋体" w:hAnsi="宋体" w:cs="宋体"/>
          <w:sz w:val="22"/>
        </w:rPr>
      </w:pPr>
      <w:r>
        <w:rPr>
          <w:rFonts w:hint="eastAsia" w:ascii="宋体" w:hAnsi="宋体" w:cs="宋体"/>
          <w:sz w:val="22"/>
        </w:rPr>
        <w:t>合同文件组成及解释顺序：</w:t>
      </w:r>
    </w:p>
    <w:p>
      <w:pPr>
        <w:snapToGrid w:val="0"/>
        <w:spacing w:line="360" w:lineRule="exact"/>
        <w:ind w:firstLine="440" w:firstLineChars="200"/>
        <w:rPr>
          <w:rFonts w:ascii="宋体" w:hAnsi="宋体" w:cs="宋体"/>
          <w:sz w:val="22"/>
        </w:rPr>
      </w:pPr>
      <w:r>
        <w:rPr>
          <w:rFonts w:hint="eastAsia" w:ascii="宋体" w:hAnsi="宋体" w:cs="宋体"/>
          <w:sz w:val="22"/>
        </w:rPr>
        <w:t xml:space="preserve"> (1)本合同书面（补充）协议以及合同履行中，双方有关工程的洽谈、变更等书面协议或文件；（2）本合同协议书（含合同谈判纪要）；（3）中标通知书；（4）本合同专用条款；（5）招标文件及其补充文件（包括询标记录）（6）投标文件及其附件；（7）本合同通用条款；（8）标准、规范及有关技术文件；（9）图纸；（10）工程量清单；（11）工程报价书。 </w:t>
      </w:r>
    </w:p>
    <w:p>
      <w:pPr>
        <w:snapToGrid w:val="0"/>
        <w:spacing w:line="360" w:lineRule="exact"/>
        <w:rPr>
          <w:rFonts w:ascii="宋体" w:hAnsi="宋体" w:cs="宋体"/>
          <w:sz w:val="22"/>
        </w:rPr>
      </w:pPr>
      <w:r>
        <w:rPr>
          <w:rFonts w:hint="eastAsia" w:ascii="宋体" w:hAnsi="宋体" w:cs="宋体"/>
          <w:sz w:val="22"/>
        </w:rPr>
        <w:t>1.6 图纸和承包人文件</w:t>
      </w:r>
    </w:p>
    <w:p>
      <w:pPr>
        <w:snapToGrid w:val="0"/>
        <w:spacing w:line="360" w:lineRule="exact"/>
        <w:ind w:firstLine="440" w:firstLineChars="200"/>
        <w:rPr>
          <w:rFonts w:ascii="宋体" w:hAnsi="宋体" w:cs="宋体"/>
          <w:sz w:val="22"/>
        </w:rPr>
      </w:pPr>
      <w:r>
        <w:rPr>
          <w:rFonts w:hint="eastAsia" w:ascii="宋体" w:hAnsi="宋体" w:cs="宋体"/>
          <w:sz w:val="22"/>
        </w:rPr>
        <w:t>1.6.1发包人向承包人提供图纸日期和套数：开工前7天内提供施工图3套，不足部分承包人可向发包人提请加晒，费用由承包人自负。标准图集由承包人自备。</w:t>
      </w:r>
    </w:p>
    <w:p>
      <w:pPr>
        <w:snapToGrid w:val="0"/>
        <w:spacing w:line="360" w:lineRule="exact"/>
        <w:ind w:firstLine="440" w:firstLineChars="200"/>
        <w:rPr>
          <w:rFonts w:ascii="宋体" w:hAnsi="宋体" w:cs="宋体"/>
          <w:sz w:val="22"/>
        </w:rPr>
      </w:pPr>
      <w:r>
        <w:rPr>
          <w:rFonts w:hint="eastAsia" w:ascii="宋体" w:hAnsi="宋体" w:cs="宋体"/>
          <w:sz w:val="22"/>
        </w:rPr>
        <w:t>1.6.3 图纸修改图具体签发期限：在该工程或工程相应部位施工前的3天内。</w:t>
      </w:r>
    </w:p>
    <w:p>
      <w:pPr>
        <w:snapToGrid w:val="0"/>
        <w:spacing w:line="360" w:lineRule="exact"/>
        <w:rPr>
          <w:rFonts w:ascii="宋体" w:hAnsi="宋体" w:cs="宋体"/>
          <w:sz w:val="22"/>
        </w:rPr>
      </w:pPr>
      <w:r>
        <w:rPr>
          <w:rFonts w:hint="eastAsia" w:ascii="宋体" w:hAnsi="宋体" w:cs="宋体"/>
          <w:sz w:val="22"/>
        </w:rPr>
        <w:t>1.7联络</w:t>
      </w:r>
    </w:p>
    <w:p>
      <w:pPr>
        <w:snapToGrid w:val="0"/>
        <w:spacing w:line="360" w:lineRule="exact"/>
        <w:ind w:firstLine="440" w:firstLineChars="200"/>
        <w:rPr>
          <w:rFonts w:ascii="宋体" w:hAnsi="宋体" w:cs="宋体"/>
          <w:sz w:val="22"/>
        </w:rPr>
      </w:pPr>
      <w:r>
        <w:rPr>
          <w:rFonts w:hint="eastAsia" w:ascii="宋体" w:hAnsi="宋体" w:cs="宋体"/>
          <w:sz w:val="22"/>
        </w:rPr>
        <w:t>1.7.3 承包人的地址：                              邮编：</w:t>
      </w:r>
    </w:p>
    <w:p>
      <w:pPr>
        <w:snapToGrid w:val="0"/>
        <w:spacing w:line="360" w:lineRule="exact"/>
        <w:ind w:firstLine="440" w:firstLineChars="200"/>
        <w:rPr>
          <w:rFonts w:ascii="宋体" w:hAnsi="宋体" w:cs="宋体"/>
          <w:sz w:val="22"/>
        </w:rPr>
      </w:pPr>
      <w:r>
        <w:rPr>
          <w:rFonts w:hint="eastAsia" w:ascii="宋体" w:hAnsi="宋体" w:cs="宋体"/>
          <w:sz w:val="22"/>
        </w:rPr>
        <w:t>1.7.4 发包人的地址：</w:t>
      </w:r>
      <w:r>
        <w:rPr>
          <w:rFonts w:hint="eastAsia" w:ascii="宋体" w:hAnsi="宋体" w:cs="宋体"/>
          <w:sz w:val="22"/>
          <w:u w:val="single"/>
        </w:rPr>
        <w:t>杭州萧山国际机场内</w:t>
      </w:r>
      <w:r>
        <w:rPr>
          <w:rFonts w:hint="eastAsia" w:ascii="宋体" w:hAnsi="宋体" w:cs="宋体"/>
          <w:sz w:val="22"/>
        </w:rPr>
        <w:t xml:space="preserve">            邮编：</w:t>
      </w:r>
      <w:r>
        <w:rPr>
          <w:rFonts w:hint="eastAsia" w:ascii="宋体" w:hAnsi="宋体" w:cs="宋体"/>
          <w:sz w:val="22"/>
          <w:u w:val="single"/>
        </w:rPr>
        <w:t>311207</w:t>
      </w:r>
    </w:p>
    <w:p>
      <w:pPr>
        <w:snapToGrid w:val="0"/>
        <w:spacing w:line="360" w:lineRule="exact"/>
        <w:ind w:firstLine="440" w:firstLineChars="200"/>
        <w:rPr>
          <w:rFonts w:ascii="宋体" w:hAnsi="宋体" w:cs="宋体"/>
          <w:sz w:val="22"/>
        </w:rPr>
      </w:pPr>
      <w:r>
        <w:rPr>
          <w:rFonts w:hint="eastAsia" w:ascii="宋体" w:hAnsi="宋体" w:cs="宋体"/>
          <w:sz w:val="22"/>
        </w:rPr>
        <w:t>1.7.5 如一方拒绝签收另一方通知，另一方以</w:t>
      </w:r>
      <w:r>
        <w:rPr>
          <w:rFonts w:hint="eastAsia" w:ascii="宋体" w:hAnsi="宋体" w:cs="宋体"/>
          <w:sz w:val="22"/>
          <w:u w:val="single"/>
        </w:rPr>
        <w:t xml:space="preserve"> 邮递快件 </w:t>
      </w:r>
      <w:r>
        <w:rPr>
          <w:rFonts w:hint="eastAsia" w:ascii="宋体" w:hAnsi="宋体" w:cs="宋体"/>
          <w:sz w:val="22"/>
        </w:rPr>
        <w:t>方式将通知送至专用条款中指定的地址，视为送达。</w:t>
      </w:r>
    </w:p>
    <w:p>
      <w:pPr>
        <w:snapToGrid w:val="0"/>
        <w:spacing w:line="360" w:lineRule="exact"/>
        <w:rPr>
          <w:rFonts w:ascii="宋体" w:hAnsi="宋体" w:cs="宋体"/>
          <w:sz w:val="22"/>
        </w:rPr>
      </w:pPr>
      <w:r>
        <w:rPr>
          <w:rFonts w:hint="eastAsia" w:ascii="宋体" w:hAnsi="宋体" w:cs="宋体"/>
          <w:sz w:val="22"/>
        </w:rPr>
        <w:t>2．发包人义务</w:t>
      </w:r>
    </w:p>
    <w:p>
      <w:pPr>
        <w:snapToGrid w:val="0"/>
        <w:spacing w:line="360" w:lineRule="exact"/>
        <w:rPr>
          <w:rFonts w:ascii="宋体" w:hAnsi="宋体" w:cs="宋体"/>
          <w:sz w:val="22"/>
        </w:rPr>
      </w:pPr>
      <w:r>
        <w:rPr>
          <w:rFonts w:hint="eastAsia" w:ascii="宋体" w:hAnsi="宋体" w:cs="宋体"/>
          <w:sz w:val="22"/>
        </w:rPr>
        <w:t>2.3 提供施工场地</w:t>
      </w:r>
    </w:p>
    <w:p>
      <w:pPr>
        <w:snapToGrid w:val="0"/>
        <w:spacing w:line="360" w:lineRule="exact"/>
        <w:ind w:firstLine="440" w:firstLineChars="200"/>
        <w:rPr>
          <w:rFonts w:ascii="宋体" w:hAnsi="宋体" w:cs="宋体"/>
          <w:sz w:val="22"/>
        </w:rPr>
      </w:pPr>
      <w:r>
        <w:rPr>
          <w:rFonts w:hint="eastAsia" w:ascii="宋体" w:hAnsi="宋体" w:cs="宋体"/>
          <w:sz w:val="22"/>
        </w:rPr>
        <w:t>施工场地具备施工条件的要求及完成的时间：为开工日期前不少于3天。</w:t>
      </w:r>
    </w:p>
    <w:p>
      <w:pPr>
        <w:snapToGrid w:val="0"/>
        <w:spacing w:line="360" w:lineRule="exact"/>
        <w:ind w:firstLine="440" w:firstLineChars="200"/>
        <w:rPr>
          <w:rFonts w:ascii="宋体" w:hAnsi="宋体" w:cs="宋体"/>
          <w:sz w:val="22"/>
        </w:rPr>
      </w:pPr>
      <w:r>
        <w:rPr>
          <w:rFonts w:hint="eastAsia" w:ascii="宋体" w:hAnsi="宋体" w:cs="宋体"/>
          <w:sz w:val="22"/>
        </w:rPr>
        <w:t>施工场地内地下管线和地下设施等有关资料的提供时间：为开工日期前不少于3天。</w:t>
      </w:r>
    </w:p>
    <w:p>
      <w:pPr>
        <w:snapToGrid w:val="0"/>
        <w:spacing w:line="360" w:lineRule="exact"/>
        <w:rPr>
          <w:rFonts w:ascii="宋体" w:hAnsi="宋体" w:cs="宋体"/>
          <w:sz w:val="22"/>
        </w:rPr>
      </w:pPr>
      <w:r>
        <w:rPr>
          <w:rFonts w:hint="eastAsia" w:ascii="宋体" w:hAnsi="宋体" w:cs="宋体"/>
          <w:sz w:val="22"/>
        </w:rPr>
        <w:t>4．承包人</w:t>
      </w:r>
    </w:p>
    <w:p>
      <w:pPr>
        <w:snapToGrid w:val="0"/>
        <w:spacing w:line="360" w:lineRule="exact"/>
        <w:rPr>
          <w:rFonts w:ascii="宋体" w:hAnsi="宋体" w:cs="宋体"/>
          <w:sz w:val="22"/>
        </w:rPr>
      </w:pPr>
      <w:r>
        <w:rPr>
          <w:rFonts w:hint="eastAsia" w:ascii="宋体" w:hAnsi="宋体" w:cs="宋体"/>
          <w:sz w:val="22"/>
        </w:rPr>
        <w:t>4.1 承包人的一般义务</w:t>
      </w:r>
    </w:p>
    <w:p>
      <w:pPr>
        <w:snapToGrid w:val="0"/>
        <w:spacing w:line="360" w:lineRule="exact"/>
        <w:ind w:firstLine="440" w:firstLineChars="200"/>
        <w:rPr>
          <w:rFonts w:ascii="宋体" w:hAnsi="宋体" w:cs="宋体"/>
          <w:b/>
          <w:sz w:val="22"/>
        </w:rPr>
      </w:pPr>
      <w:r>
        <w:rPr>
          <w:rFonts w:hint="eastAsia" w:ascii="宋体" w:hAnsi="宋体" w:cs="宋体"/>
          <w:sz w:val="22"/>
        </w:rPr>
        <w:t>4.1.10 承包人应无条件执行国家以及建筑业、法规、规章、规范和技术标准，服从机场当局管理，诚信履行投标承诺和本合同，</w:t>
      </w:r>
      <w:r>
        <w:rPr>
          <w:rFonts w:hint="eastAsia" w:ascii="宋体" w:hAnsi="宋体" w:cs="宋体"/>
          <w:b/>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承包人与供应商签订合同时，必须经发包人认可并备案，否则，发包人有权拒付相应费用。</w:t>
      </w:r>
    </w:p>
    <w:p>
      <w:pPr>
        <w:snapToGrid w:val="0"/>
        <w:spacing w:line="360" w:lineRule="exact"/>
        <w:ind w:firstLine="440" w:firstLineChars="200"/>
        <w:rPr>
          <w:rFonts w:ascii="宋体" w:hAnsi="宋体" w:cs="宋体"/>
          <w:sz w:val="22"/>
        </w:rPr>
      </w:pPr>
      <w:r>
        <w:rPr>
          <w:rFonts w:hint="eastAsia" w:ascii="宋体" w:hAnsi="宋体" w:cs="宋体"/>
          <w:sz w:val="22"/>
        </w:rPr>
        <w:t>4.1.11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罚款，并必须立即清除；对于在机场场区内随意弃运垃圾的，每发现一次处以10000元罚款，并必须立即清运出场外。</w:t>
      </w:r>
    </w:p>
    <w:p>
      <w:pPr>
        <w:snapToGrid w:val="0"/>
        <w:spacing w:line="360" w:lineRule="exact"/>
        <w:ind w:firstLine="440" w:firstLineChars="200"/>
        <w:rPr>
          <w:rFonts w:ascii="宋体" w:hAnsi="宋体" w:cs="宋体"/>
          <w:sz w:val="22"/>
        </w:rPr>
      </w:pPr>
      <w:r>
        <w:rPr>
          <w:rFonts w:hint="eastAsia" w:ascii="宋体" w:hAnsi="宋体" w:cs="宋体"/>
          <w:sz w:val="22"/>
        </w:rPr>
        <w:t>4.1.12 项目必须按要求在规定时间内完成施工作业，不得影响机场的正常运行。</w:t>
      </w:r>
    </w:p>
    <w:p>
      <w:pPr>
        <w:snapToGrid w:val="0"/>
        <w:spacing w:line="360" w:lineRule="exact"/>
        <w:ind w:firstLine="440" w:firstLineChars="200"/>
        <w:rPr>
          <w:rFonts w:ascii="宋体" w:hAnsi="宋体" w:cs="宋体"/>
          <w:sz w:val="22"/>
        </w:rPr>
      </w:pPr>
      <w:r>
        <w:rPr>
          <w:rFonts w:hint="eastAsia" w:ascii="宋体" w:hAnsi="宋体" w:cs="宋体"/>
          <w:sz w:val="22"/>
        </w:rPr>
        <w:t>4.1.13 工程质量等级要求：合格。完工开放后的道面必须满足航空器、车辆正常通行的要求。</w:t>
      </w:r>
    </w:p>
    <w:p>
      <w:pPr>
        <w:snapToGrid w:val="0"/>
        <w:spacing w:line="360" w:lineRule="exact"/>
        <w:ind w:firstLine="440" w:firstLineChars="200"/>
        <w:rPr>
          <w:rFonts w:cs="Calibri" w:asciiTheme="minorEastAsia" w:hAnsiTheme="minorEastAsia"/>
          <w:snapToGrid w:val="0"/>
          <w:kern w:val="0"/>
          <w:sz w:val="22"/>
        </w:rPr>
      </w:pPr>
      <w:r>
        <w:rPr>
          <w:rFonts w:hint="eastAsia" w:ascii="宋体" w:hAnsi="宋体" w:cs="宋体"/>
          <w:sz w:val="22"/>
        </w:rPr>
        <w:t>4.1.14 承包人食宿须自行解决，过程中产生的费用由承包人承担。</w:t>
      </w:r>
      <w:r>
        <w:rPr>
          <w:rFonts w:hint="eastAsia" w:cs="Calibri" w:asciiTheme="minorEastAsia" w:hAnsiTheme="minorEastAsia"/>
          <w:snapToGrid w:val="0"/>
          <w:kern w:val="0"/>
          <w:sz w:val="22"/>
        </w:rPr>
        <w:t xml:space="preserve">发包人不提供居住场地，承包人需自行解决食宿、交通、存放工具、换衣、休息、办公场所和水电供应，水电气及通信费用按机场公司收费标准自付。 </w:t>
      </w:r>
    </w:p>
    <w:p>
      <w:pPr>
        <w:snapToGrid w:val="0"/>
        <w:spacing w:line="360" w:lineRule="exact"/>
        <w:ind w:firstLine="440" w:firstLineChars="200"/>
        <w:rPr>
          <w:rFonts w:ascii="宋体" w:hAnsi="宋体" w:cs="宋体"/>
          <w:sz w:val="22"/>
        </w:rPr>
      </w:pPr>
      <w:r>
        <w:rPr>
          <w:rFonts w:hint="eastAsia" w:ascii="宋体" w:hAnsi="宋体" w:cs="宋体"/>
          <w:sz w:val="22"/>
        </w:rPr>
        <w:t>4.1.15</w:t>
      </w:r>
      <w:r>
        <w:rPr>
          <w:rFonts w:ascii="宋体" w:hAnsi="宋体" w:cs="宋体"/>
          <w:sz w:val="22"/>
        </w:rPr>
        <w:t xml:space="preserve"> </w:t>
      </w:r>
      <w:r>
        <w:rPr>
          <w:rFonts w:hint="eastAsia" w:ascii="宋体" w:hAnsi="宋体" w:cs="宋体"/>
          <w:sz w:val="22"/>
        </w:rPr>
        <w:t>承包</w:t>
      </w:r>
      <w:r>
        <w:rPr>
          <w:rFonts w:ascii="宋体" w:hAnsi="宋体" w:cs="宋体"/>
          <w:sz w:val="22"/>
        </w:rPr>
        <w:t>人</w:t>
      </w:r>
      <w:r>
        <w:rPr>
          <w:rFonts w:hint="eastAsia" w:ascii="宋体" w:hAnsi="宋体" w:cs="宋体"/>
          <w:sz w:val="22"/>
        </w:rPr>
        <w:t>须配备</w:t>
      </w:r>
      <w:r>
        <w:rPr>
          <w:rFonts w:ascii="宋体" w:hAnsi="宋体" w:cs="宋体"/>
          <w:sz w:val="22"/>
        </w:rPr>
        <w:t>固定载客汽车运送人员，固定厢式货车运送工具设备及施工用料。</w:t>
      </w:r>
    </w:p>
    <w:p>
      <w:pPr>
        <w:adjustRightInd w:val="0"/>
        <w:snapToGrid w:val="0"/>
        <w:spacing w:after="72" w:line="360" w:lineRule="exact"/>
        <w:ind w:firstLine="440"/>
        <w:rPr>
          <w:rFonts w:ascii="宋体" w:hAnsi="宋体" w:cs="宋体"/>
          <w:sz w:val="22"/>
        </w:rPr>
      </w:pPr>
      <w:r>
        <w:rPr>
          <w:rFonts w:hint="eastAsia" w:ascii="宋体" w:hAnsi="宋体" w:cs="宋体"/>
          <w:sz w:val="22"/>
        </w:rPr>
        <w:t xml:space="preserve">4.1.16 </w:t>
      </w:r>
      <w:r>
        <w:rPr>
          <w:rFonts w:hint="eastAsia" w:ascii="宋体" w:hAnsi="宋体" w:cs="宋体"/>
          <w:b/>
          <w:bCs/>
          <w:sz w:val="22"/>
        </w:rPr>
        <w:t>承包人</w:t>
      </w:r>
      <w:r>
        <w:rPr>
          <w:rFonts w:hint="eastAsia" w:cs="Calibri" w:asciiTheme="minorEastAsia" w:hAnsiTheme="minorEastAsia"/>
          <w:b/>
          <w:bCs/>
          <w:color w:val="000000"/>
          <w:sz w:val="22"/>
        </w:rPr>
        <w:t>施工人员不得少于</w:t>
      </w:r>
      <w:r>
        <w:rPr>
          <w:rFonts w:cs="Calibri" w:asciiTheme="minorEastAsia" w:hAnsiTheme="minorEastAsia"/>
          <w:b/>
          <w:bCs/>
          <w:color w:val="000000"/>
          <w:sz w:val="22"/>
        </w:rPr>
        <w:t>6人</w:t>
      </w:r>
      <w:r>
        <w:rPr>
          <w:rFonts w:hint="eastAsia" w:cs="Calibri" w:asciiTheme="minorEastAsia" w:hAnsiTheme="minorEastAsia"/>
          <w:b/>
          <w:bCs/>
          <w:color w:val="000000"/>
          <w:sz w:val="22"/>
        </w:rPr>
        <w:t>。</w:t>
      </w:r>
      <w:r>
        <w:rPr>
          <w:rFonts w:hint="eastAsia" w:ascii="宋体" w:hAnsi="宋体" w:cs="宋体"/>
          <w:b/>
          <w:bCs/>
          <w:sz w:val="22"/>
        </w:rPr>
        <w:t>须提供24小时响应服务，在接到发包人施工指令通知后1小时内集结到位。</w:t>
      </w:r>
    </w:p>
    <w:p>
      <w:pPr>
        <w:snapToGrid w:val="0"/>
        <w:spacing w:line="360" w:lineRule="exact"/>
        <w:ind w:firstLine="440" w:firstLineChars="200"/>
        <w:rPr>
          <w:rFonts w:ascii="宋体" w:hAnsi="宋体" w:cs="宋体"/>
          <w:sz w:val="22"/>
        </w:rPr>
      </w:pPr>
      <w:r>
        <w:rPr>
          <w:rFonts w:hint="eastAsia" w:ascii="宋体" w:hAnsi="宋体" w:cs="宋体"/>
          <w:sz w:val="22"/>
        </w:rPr>
        <w:t>4.1.17 发包人不提供施工机具，标志线维护机具包括划线机、除线设备、运输车辆等，全部由承包人自行提供。</w:t>
      </w:r>
    </w:p>
    <w:p>
      <w:pPr>
        <w:snapToGrid w:val="0"/>
        <w:spacing w:line="360" w:lineRule="exact"/>
        <w:ind w:firstLine="440" w:firstLineChars="200"/>
        <w:rPr>
          <w:rFonts w:ascii="宋体" w:hAnsi="宋体" w:cs="宋体"/>
          <w:sz w:val="22"/>
        </w:rPr>
      </w:pPr>
      <w:r>
        <w:rPr>
          <w:rFonts w:hint="eastAsia" w:ascii="宋体" w:hAnsi="宋体" w:cs="宋体"/>
          <w:sz w:val="22"/>
        </w:rPr>
        <w:t>4.1.18 承包人须为员工提供必要的劳动防护措施，包括服装、定期更换的口罩、护目镜等，同时购买工伤意外保险，并每年组织体检，以满足标志线维护职业健康要求。</w:t>
      </w:r>
    </w:p>
    <w:p>
      <w:pPr>
        <w:snapToGrid w:val="0"/>
        <w:spacing w:line="360" w:lineRule="exact"/>
        <w:ind w:firstLine="440" w:firstLineChars="200"/>
        <w:rPr>
          <w:rFonts w:ascii="宋体" w:hAnsi="宋体" w:cs="宋体"/>
          <w:sz w:val="22"/>
        </w:rPr>
      </w:pPr>
      <w:r>
        <w:rPr>
          <w:rFonts w:hint="eastAsia" w:ascii="宋体" w:hAnsi="宋体" w:cs="宋体"/>
          <w:sz w:val="22"/>
        </w:rPr>
        <w:t>4.1.19 承包人负责将垃圾、废料需外运至机场以外地区，地点由承包人自行考虑，废旧油漆桶处理需委托有相应资质的处理单位，实际施工如有变化相关费用不做调整；</w:t>
      </w:r>
    </w:p>
    <w:p>
      <w:pPr>
        <w:snapToGrid w:val="0"/>
        <w:spacing w:line="360" w:lineRule="exact"/>
        <w:ind w:firstLine="440" w:firstLineChars="200"/>
        <w:rPr>
          <w:rFonts w:ascii="宋体" w:hAnsi="宋体" w:cs="宋体"/>
          <w:sz w:val="22"/>
        </w:rPr>
      </w:pPr>
      <w:r>
        <w:rPr>
          <w:rFonts w:hint="eastAsia" w:ascii="宋体" w:hAnsi="宋体" w:cs="宋体"/>
          <w:sz w:val="22"/>
        </w:rPr>
        <w:t>4.1.20施工地点位于机场控制区内，进入施工地点人员、车辆须办理隔离区通行证，同时须发包人引领，施工时间须由发包人决定。</w:t>
      </w:r>
    </w:p>
    <w:p>
      <w:pPr>
        <w:snapToGrid w:val="0"/>
        <w:spacing w:line="360" w:lineRule="exact"/>
        <w:ind w:firstLine="440" w:firstLineChars="200"/>
        <w:rPr>
          <w:rFonts w:ascii="宋体" w:hAnsi="宋体" w:cs="宋体"/>
          <w:sz w:val="22"/>
        </w:rPr>
      </w:pPr>
      <w:r>
        <w:rPr>
          <w:rFonts w:hint="eastAsia" w:ascii="宋体" w:hAnsi="宋体" w:cs="宋体"/>
          <w:sz w:val="22"/>
        </w:rPr>
        <w:t>4.1.21</w:t>
      </w:r>
      <w:r>
        <w:rPr>
          <w:rFonts w:ascii="宋体" w:hAnsi="宋体" w:cs="宋体"/>
          <w:sz w:val="22"/>
        </w:rPr>
        <w:t>机场为重要的公共服务类功能区，必须严格按要求落实各项文明施工措施，避免因施工作业影响机场的运行秩序及环境卫生</w:t>
      </w:r>
      <w:r>
        <w:rPr>
          <w:rFonts w:hint="eastAsia" w:ascii="宋体" w:hAnsi="宋体" w:cs="宋体"/>
          <w:sz w:val="22"/>
        </w:rPr>
        <w:t>。承包人必须按服从并落实发包人的各项管理要求，做好安全文明施工，不得影响机场的正常运行。施工期间以及结束后，施工场地及周边必须满足临近航空器、车辆正常通行的要求。</w:t>
      </w:r>
    </w:p>
    <w:p>
      <w:pPr>
        <w:snapToGrid w:val="0"/>
        <w:spacing w:line="360" w:lineRule="exact"/>
        <w:ind w:firstLine="440" w:firstLineChars="200"/>
        <w:rPr>
          <w:rFonts w:ascii="宋体" w:hAnsi="宋体" w:cs="宋体"/>
          <w:sz w:val="22"/>
        </w:rPr>
      </w:pPr>
      <w:r>
        <w:rPr>
          <w:rFonts w:hint="eastAsia" w:ascii="宋体" w:hAnsi="宋体" w:cs="宋体"/>
          <w:sz w:val="22"/>
        </w:rPr>
        <w:t>4.1.22施工期间，承包人须根据施工安排配备固定的1-3名专职安全员，负责飞行区内现场的安全管理，以及与发包人现场管理的联络，专职安全员须通过发包人组织的考试。每日施工期间，专职安全员必须有1人在岗，并切实履行管理责任。如专职安全员不到位，发包人有权停止当天的施工作业，延误的工期及产生的其他后果由承包人负责，同时</w:t>
      </w:r>
      <w:r>
        <w:rPr>
          <w:rFonts w:ascii="宋体" w:hAnsi="宋体"/>
          <w:b/>
          <w:sz w:val="22"/>
        </w:rPr>
        <w:t>承包人应向</w:t>
      </w:r>
      <w:r>
        <w:rPr>
          <w:rFonts w:hint="eastAsia" w:ascii="宋体" w:hAnsi="宋体"/>
          <w:b/>
          <w:sz w:val="22"/>
        </w:rPr>
        <w:t>发包人</w:t>
      </w:r>
      <w:r>
        <w:rPr>
          <w:rFonts w:ascii="宋体" w:hAnsi="宋体"/>
          <w:b/>
          <w:sz w:val="22"/>
        </w:rPr>
        <w:t>支付违约金</w:t>
      </w:r>
      <w:r>
        <w:rPr>
          <w:rFonts w:hint="eastAsia" w:ascii="宋体" w:hAnsi="宋体"/>
          <w:b/>
          <w:sz w:val="22"/>
        </w:rPr>
        <w:t>1</w:t>
      </w:r>
      <w:r>
        <w:rPr>
          <w:rFonts w:ascii="宋体" w:hAnsi="宋体"/>
          <w:b/>
          <w:sz w:val="22"/>
        </w:rPr>
        <w:t>000元/</w:t>
      </w:r>
      <w:r>
        <w:rPr>
          <w:rFonts w:hint="eastAsia" w:ascii="宋体" w:hAnsi="宋体"/>
          <w:b/>
          <w:sz w:val="22"/>
        </w:rPr>
        <w:t>天。</w:t>
      </w:r>
    </w:p>
    <w:p>
      <w:pPr>
        <w:adjustRightInd w:val="0"/>
        <w:snapToGrid w:val="0"/>
        <w:spacing w:line="360" w:lineRule="exact"/>
        <w:ind w:firstLine="440"/>
        <w:rPr>
          <w:rFonts w:ascii="宋体" w:hAnsi="宋体" w:cs="宋体"/>
          <w:sz w:val="22"/>
        </w:rPr>
      </w:pPr>
      <w:r>
        <w:rPr>
          <w:rFonts w:hint="eastAsia" w:ascii="宋体" w:hAnsi="宋体" w:cs="宋体"/>
          <w:sz w:val="22"/>
        </w:rPr>
        <w:t>4.1.23施工过程中承包人应对现有设施采取有效的保护措施，如有破坏必须无条件修复至原状；</w:t>
      </w:r>
    </w:p>
    <w:p>
      <w:pPr>
        <w:snapToGrid w:val="0"/>
        <w:spacing w:line="360" w:lineRule="exact"/>
        <w:ind w:firstLine="440" w:firstLineChars="200"/>
        <w:rPr>
          <w:rFonts w:ascii="宋体" w:hAnsi="宋体" w:cs="宋体"/>
          <w:sz w:val="22"/>
        </w:rPr>
      </w:pPr>
      <w:r>
        <w:rPr>
          <w:rFonts w:hint="eastAsia" w:ascii="宋体" w:hAnsi="宋体" w:cs="宋体"/>
          <w:sz w:val="22"/>
        </w:rPr>
        <w:t>4.1.24</w:t>
      </w:r>
      <w:r>
        <w:rPr>
          <w:rFonts w:ascii="宋体" w:hAnsi="宋体" w:cs="宋体"/>
          <w:sz w:val="22"/>
        </w:rPr>
        <w:t>遇有机场重要保障任务需临时停工时，</w:t>
      </w:r>
      <w:r>
        <w:rPr>
          <w:rFonts w:hint="eastAsia" w:ascii="宋体" w:hAnsi="宋体" w:cs="宋体"/>
          <w:sz w:val="22"/>
        </w:rPr>
        <w:t>承包人</w:t>
      </w:r>
      <w:r>
        <w:rPr>
          <w:rFonts w:ascii="宋体" w:hAnsi="宋体" w:cs="宋体"/>
          <w:sz w:val="22"/>
        </w:rPr>
        <w:t>必须无条件服从</w:t>
      </w:r>
      <w:r>
        <w:rPr>
          <w:rFonts w:hint="eastAsia" w:ascii="宋体" w:hAnsi="宋体" w:cs="宋体"/>
          <w:sz w:val="22"/>
        </w:rPr>
        <w:t>发包人</w:t>
      </w:r>
      <w:r>
        <w:rPr>
          <w:rFonts w:ascii="宋体" w:hAnsi="宋体" w:cs="宋体"/>
          <w:sz w:val="22"/>
        </w:rPr>
        <w:t>指令</w:t>
      </w:r>
      <w:r>
        <w:rPr>
          <w:rFonts w:hint="eastAsia" w:ascii="宋体" w:hAnsi="宋体" w:cs="宋体"/>
          <w:sz w:val="22"/>
        </w:rPr>
        <w:t xml:space="preserve">。  </w:t>
      </w:r>
    </w:p>
    <w:p>
      <w:pPr>
        <w:snapToGrid w:val="0"/>
        <w:spacing w:line="360" w:lineRule="exact"/>
        <w:ind w:firstLine="440" w:firstLineChars="200"/>
        <w:rPr>
          <w:rFonts w:ascii="宋体" w:hAnsi="宋体" w:cs="Arial"/>
          <w:bCs/>
          <w:kern w:val="0"/>
          <w:sz w:val="22"/>
        </w:rPr>
      </w:pPr>
      <w:r>
        <w:rPr>
          <w:rFonts w:hint="eastAsia" w:ascii="宋体" w:hAnsi="宋体" w:cs="Arial"/>
          <w:bCs/>
          <w:kern w:val="0"/>
          <w:sz w:val="22"/>
        </w:rPr>
        <w:t>4.1.25</w:t>
      </w:r>
      <w:r>
        <w:rPr>
          <w:rFonts w:hint="eastAsia" w:ascii="宋体" w:hAnsi="宋体" w:cs="宋体"/>
          <w:sz w:val="22"/>
        </w:rPr>
        <w:t>承包人施工所用漆料等原材料统一存放于发包人指定库房，并根据发包人要求进行严格管理，过程中产生的费用及库房的消防安全责任由承包人承担。</w:t>
      </w:r>
      <w:r>
        <w:rPr>
          <w:rFonts w:hint="eastAsia" w:ascii="宋体" w:hAnsi="宋体" w:cs="Arial"/>
          <w:bCs/>
          <w:kern w:val="0"/>
          <w:sz w:val="22"/>
        </w:rPr>
        <w:t>每次施工所用的材料，须于发包人确认后至指定库房取用，每次材料入库前须同时提供生产厂家供货单、合格证书及发票。如不提供上述材料或生产厂家、品牌、型号与合同不一致，不得用于施工。</w:t>
      </w:r>
    </w:p>
    <w:p>
      <w:pPr>
        <w:adjustRightInd w:val="0"/>
        <w:snapToGrid w:val="0"/>
        <w:spacing w:after="72" w:line="360" w:lineRule="exact"/>
        <w:ind w:firstLine="440"/>
        <w:rPr>
          <w:rFonts w:ascii="宋体" w:hAnsi="宋体" w:cs="Arial"/>
          <w:bCs/>
          <w:kern w:val="0"/>
          <w:sz w:val="22"/>
        </w:rPr>
      </w:pPr>
      <w:r>
        <w:rPr>
          <w:rFonts w:hint="eastAsia" w:ascii="宋体" w:hAnsi="宋体" w:cs="Arial"/>
          <w:bCs/>
          <w:kern w:val="0"/>
          <w:sz w:val="22"/>
        </w:rPr>
        <w:t>4.1.26发包人</w:t>
      </w:r>
      <w:r>
        <w:rPr>
          <w:rFonts w:hint="eastAsia" w:cs="Calibri" w:asciiTheme="minorEastAsia" w:hAnsiTheme="minorEastAsia"/>
          <w:color w:val="000000"/>
          <w:sz w:val="22"/>
        </w:rPr>
        <w:t>提供的设备只能用于本项目的各类工作，承包人根据自身情况可选用提供的设备，承包人保证选用设备的完好性，并负责选用设备的维护保养、零配件购置更换及燃油费用等，设备不满足最低配备标准的部分由承包人自行补充配置。</w:t>
      </w:r>
    </w:p>
    <w:p>
      <w:pPr>
        <w:snapToGrid w:val="0"/>
        <w:spacing w:line="360" w:lineRule="exact"/>
        <w:rPr>
          <w:rFonts w:ascii="宋体" w:hAnsi="宋体" w:cs="宋体"/>
          <w:sz w:val="22"/>
        </w:rPr>
      </w:pPr>
      <w:r>
        <w:rPr>
          <w:rFonts w:hint="eastAsia" w:ascii="宋体" w:hAnsi="宋体" w:cs="宋体"/>
          <w:sz w:val="22"/>
        </w:rPr>
        <w:t>4.2 履约担保</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4.2.1承包人向发包人提供履约担保，担保方式为：银行转账，担保额度：</w:t>
      </w:r>
      <w:r>
        <w:rPr>
          <w:rFonts w:hint="eastAsia" w:ascii="宋体" w:hAnsi="宋体"/>
          <w:sz w:val="22"/>
        </w:rPr>
        <w:t>贰拾万元整</w:t>
      </w:r>
      <w:r>
        <w:rPr>
          <w:rFonts w:hint="eastAsia" w:ascii="宋体" w:hAnsi="宋体" w:cs="宋体"/>
          <w:sz w:val="22"/>
        </w:rPr>
        <w:t>。 履约担保包括以下类别：工期担保为履约担保金的25%，质量担保为履约担保金的35%，人员及设备到位率担保为履约担保金的20%，安全文明施工、治安、交通及机场空防安全担保为履约担保金的20%。如承包人不能按投标承诺和合同要求履约，发包人将有权罚没部分或全部相应类别甚至其他类别的全部履约保证金。履约担保自本项目竣工验收合格后28日内无息退还。</w:t>
      </w:r>
    </w:p>
    <w:p>
      <w:pPr>
        <w:snapToGrid w:val="0"/>
        <w:spacing w:line="360" w:lineRule="exact"/>
        <w:ind w:firstLine="440" w:firstLineChars="200"/>
        <w:rPr>
          <w:rFonts w:ascii="宋体" w:hAnsi="宋体" w:cs="宋体"/>
          <w:sz w:val="22"/>
        </w:rPr>
      </w:pPr>
      <w:r>
        <w:rPr>
          <w:rFonts w:hint="eastAsia" w:ascii="宋体" w:hAnsi="宋体" w:cs="宋体"/>
          <w:sz w:val="22"/>
        </w:rPr>
        <w:t>4.2.2承包人违约情形以发包人代表出具的书面意见为准，发包人有权直接以此为索赔依据，要求承包人承担违约责任。</w:t>
      </w:r>
    </w:p>
    <w:p>
      <w:pPr>
        <w:snapToGrid w:val="0"/>
        <w:spacing w:line="360" w:lineRule="exact"/>
        <w:rPr>
          <w:rFonts w:ascii="宋体" w:hAnsi="宋体" w:cs="宋体"/>
          <w:sz w:val="22"/>
        </w:rPr>
      </w:pPr>
      <w:r>
        <w:rPr>
          <w:rFonts w:hint="eastAsia" w:ascii="宋体" w:hAnsi="宋体" w:cs="宋体"/>
          <w:sz w:val="22"/>
        </w:rPr>
        <w:t>4.12 承包人其他义务</w:t>
      </w:r>
    </w:p>
    <w:p>
      <w:pPr>
        <w:snapToGrid w:val="0"/>
        <w:spacing w:line="360" w:lineRule="exact"/>
        <w:ind w:firstLine="440" w:firstLineChars="200"/>
        <w:rPr>
          <w:rFonts w:ascii="宋体" w:hAnsi="宋体" w:cs="宋体"/>
          <w:sz w:val="22"/>
        </w:rPr>
      </w:pPr>
      <w:r>
        <w:rPr>
          <w:rFonts w:hint="eastAsia" w:ascii="宋体" w:hAnsi="宋体" w:cs="宋体"/>
          <w:sz w:val="22"/>
        </w:rPr>
        <w:t xml:space="preserve">4.12.1承包人提供施工组织设计和工程进度计划的时间和要求：签订施工合同后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pPr>
        <w:snapToGrid w:val="0"/>
        <w:spacing w:line="360" w:lineRule="exact"/>
        <w:ind w:firstLine="440" w:firstLineChars="200"/>
        <w:rPr>
          <w:rFonts w:ascii="宋体" w:hAnsi="宋体" w:cs="宋体"/>
          <w:sz w:val="22"/>
        </w:rPr>
      </w:pPr>
      <w:r>
        <w:rPr>
          <w:rFonts w:hint="eastAsia" w:ascii="宋体" w:hAnsi="宋体" w:cs="宋体"/>
          <w:sz w:val="22"/>
        </w:rPr>
        <w:t xml:space="preserve">发包人确认的时间：发包人收到承包人提交的施工组织设计和工程进度计划后7天内，予以确认或提出修改意见。  </w:t>
      </w:r>
    </w:p>
    <w:p>
      <w:pPr>
        <w:snapToGrid w:val="0"/>
        <w:spacing w:line="360" w:lineRule="exact"/>
        <w:ind w:firstLine="440" w:firstLineChars="200"/>
        <w:rPr>
          <w:rFonts w:ascii="宋体" w:hAnsi="宋体" w:cs="宋体"/>
          <w:sz w:val="22"/>
        </w:rPr>
      </w:pPr>
      <w:r>
        <w:rPr>
          <w:rFonts w:hint="eastAsia" w:ascii="宋体" w:hAnsi="宋体" w:cs="宋体"/>
          <w:sz w:val="22"/>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pPr>
        <w:snapToGrid w:val="0"/>
        <w:spacing w:line="360" w:lineRule="exact"/>
        <w:ind w:firstLine="440" w:firstLineChars="200"/>
        <w:rPr>
          <w:rFonts w:ascii="宋体" w:hAnsi="宋体" w:cs="宋体"/>
          <w:sz w:val="22"/>
        </w:rPr>
      </w:pPr>
      <w:r>
        <w:rPr>
          <w:rFonts w:hint="eastAsia" w:ascii="宋体" w:hAnsi="宋体" w:cs="宋体"/>
          <w:sz w:val="22"/>
        </w:rPr>
        <w:t>4.12.2 已完工程成品保护的特殊要求：已完工程成品在未竣工验收移交给发包人前，均应由承包人妥善保管， 承包人对其防盗、防损、防潮等负责。竣工验收合格后，须完整移交给发包人，并办理相关移交手续。</w:t>
      </w:r>
    </w:p>
    <w:p>
      <w:pPr>
        <w:snapToGrid w:val="0"/>
        <w:spacing w:line="360" w:lineRule="exact"/>
        <w:ind w:firstLine="440" w:firstLineChars="200"/>
        <w:rPr>
          <w:rFonts w:ascii="宋体" w:hAnsi="宋体" w:cs="宋体"/>
          <w:sz w:val="22"/>
        </w:rPr>
      </w:pPr>
      <w:r>
        <w:rPr>
          <w:rFonts w:hint="eastAsia" w:ascii="宋体" w:hAnsi="宋体" w:cs="宋体"/>
          <w:sz w:val="22"/>
        </w:rPr>
        <w:t>施工场地地下管线和邻近建筑物、构筑物(包括文物保护建筑)、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snapToGrid w:val="0"/>
        <w:spacing w:line="360" w:lineRule="exact"/>
        <w:ind w:firstLine="440" w:firstLineChars="200"/>
        <w:rPr>
          <w:rFonts w:ascii="宋体" w:hAnsi="宋体" w:cs="宋体"/>
          <w:sz w:val="22"/>
        </w:rPr>
      </w:pPr>
      <w:r>
        <w:rPr>
          <w:rFonts w:hint="eastAsia" w:ascii="宋体" w:hAnsi="宋体" w:cs="宋体"/>
          <w:sz w:val="22"/>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pPr>
        <w:snapToGrid w:val="0"/>
        <w:spacing w:line="360" w:lineRule="exact"/>
        <w:ind w:firstLine="440" w:firstLineChars="200"/>
        <w:rPr>
          <w:rFonts w:ascii="宋体" w:hAnsi="宋体" w:cs="宋体"/>
          <w:sz w:val="22"/>
        </w:rPr>
      </w:pPr>
      <w:r>
        <w:rPr>
          <w:rFonts w:hint="eastAsia" w:ascii="宋体" w:hAnsi="宋体" w:cs="宋体"/>
          <w:sz w:val="22"/>
        </w:rPr>
        <w:t>4.12.3约定承包人应做的其他工作及费用承担：</w:t>
      </w:r>
    </w:p>
    <w:p>
      <w:pPr>
        <w:snapToGrid w:val="0"/>
        <w:spacing w:line="360" w:lineRule="exact"/>
        <w:ind w:firstLine="440" w:firstLineChars="200"/>
        <w:rPr>
          <w:rFonts w:ascii="宋体" w:hAnsi="宋体" w:cs="宋体"/>
          <w:sz w:val="22"/>
        </w:rPr>
      </w:pPr>
      <w:r>
        <w:rPr>
          <w:rFonts w:hint="eastAsia" w:ascii="宋体" w:hAnsi="宋体" w:cs="宋体"/>
          <w:sz w:val="22"/>
        </w:rPr>
        <w:t>（1）承包人须自发、积极地负责对图纸及技术要求作出全面检查（图纸尺寸应以图纸上标明的为准，不能用比例尺量度），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pPr>
        <w:snapToGrid w:val="0"/>
        <w:spacing w:line="360" w:lineRule="exact"/>
        <w:ind w:firstLine="440" w:firstLineChars="200"/>
        <w:rPr>
          <w:rFonts w:ascii="宋体" w:hAnsi="宋体" w:cs="宋体"/>
          <w:sz w:val="22"/>
        </w:rPr>
      </w:pPr>
      <w:r>
        <w:rPr>
          <w:rFonts w:hint="eastAsia" w:ascii="宋体" w:hAnsi="宋体" w:cs="宋体"/>
          <w:sz w:val="22"/>
        </w:rPr>
        <w:t>（2）发包人对合同图纸或标准、规范和技术要求内的矛盾、不一致的地方发出指示作出澄清不被视为工程变更指示，而承包人也不会因此获得工期延长及费用补偿。</w:t>
      </w:r>
    </w:p>
    <w:p>
      <w:pPr>
        <w:snapToGrid w:val="0"/>
        <w:spacing w:line="360" w:lineRule="exact"/>
        <w:rPr>
          <w:rFonts w:ascii="宋体" w:hAnsi="宋体" w:cs="宋体"/>
          <w:sz w:val="22"/>
        </w:rPr>
      </w:pPr>
      <w:r>
        <w:rPr>
          <w:rFonts w:hint="eastAsia" w:ascii="宋体" w:hAnsi="宋体" w:cs="宋体"/>
          <w:sz w:val="22"/>
        </w:rPr>
        <w:t>5．材料和工程设备</w:t>
      </w:r>
    </w:p>
    <w:p>
      <w:pPr>
        <w:snapToGrid w:val="0"/>
        <w:spacing w:line="360" w:lineRule="exact"/>
        <w:rPr>
          <w:rFonts w:ascii="宋体" w:hAnsi="宋体" w:cs="宋体"/>
          <w:sz w:val="22"/>
        </w:rPr>
      </w:pPr>
      <w:r>
        <w:rPr>
          <w:rFonts w:hint="eastAsia" w:ascii="宋体" w:hAnsi="宋体" w:cs="宋体"/>
          <w:sz w:val="22"/>
        </w:rPr>
        <w:t>5.1 承包人提供的材料和工程设备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5.1.4本工程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pPr>
        <w:snapToGrid w:val="0"/>
        <w:spacing w:line="360" w:lineRule="exact"/>
        <w:rPr>
          <w:rFonts w:ascii="宋体" w:hAnsi="宋体" w:cs="宋体"/>
          <w:sz w:val="22"/>
        </w:rPr>
      </w:pPr>
      <w:r>
        <w:rPr>
          <w:rFonts w:hint="eastAsia" w:ascii="宋体" w:hAnsi="宋体" w:cs="宋体"/>
          <w:sz w:val="22"/>
        </w:rPr>
        <w:t>5.2 发包人提供的材料和工程设备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5.2.7因工程需要，如发生发包人供应材料设备的情况，其计算方法为：发包人单独与材料设备供应商结算。承包人不得向发包人和材料设备供应商收取其它费用。甲供设备、材料由发包人负责提供，承包人必须配合做好验收，并负责卸车、保管、搬运，产品保护等工作；如发生丢失、损坏等情况，承包人负责修复或赔偿并承担相应费用。</w:t>
      </w:r>
    </w:p>
    <w:p>
      <w:pPr>
        <w:snapToGrid w:val="0"/>
        <w:spacing w:line="360" w:lineRule="exact"/>
        <w:rPr>
          <w:rFonts w:ascii="宋体" w:hAnsi="宋体" w:cs="宋体"/>
          <w:sz w:val="22"/>
        </w:rPr>
      </w:pPr>
      <w:r>
        <w:rPr>
          <w:rFonts w:hint="eastAsia" w:ascii="宋体" w:hAnsi="宋体" w:cs="宋体"/>
          <w:sz w:val="22"/>
        </w:rPr>
        <w:t>7．交通运输</w:t>
      </w:r>
    </w:p>
    <w:p>
      <w:pPr>
        <w:snapToGrid w:val="0"/>
        <w:spacing w:line="360" w:lineRule="exact"/>
        <w:rPr>
          <w:rFonts w:ascii="宋体" w:hAnsi="宋体" w:cs="宋体"/>
          <w:sz w:val="22"/>
        </w:rPr>
      </w:pPr>
      <w:r>
        <w:rPr>
          <w:rFonts w:hint="eastAsia" w:ascii="宋体" w:hAnsi="宋体" w:cs="宋体"/>
          <w:sz w:val="22"/>
        </w:rPr>
        <w:t>7.1 道路通行权和场外设施</w:t>
      </w:r>
    </w:p>
    <w:p>
      <w:pPr>
        <w:snapToGrid w:val="0"/>
        <w:spacing w:line="360" w:lineRule="exact"/>
        <w:ind w:firstLine="440" w:firstLineChars="200"/>
        <w:rPr>
          <w:rFonts w:ascii="宋体" w:hAnsi="宋体" w:cs="宋体"/>
          <w:sz w:val="22"/>
        </w:rPr>
      </w:pPr>
      <w:r>
        <w:rPr>
          <w:rFonts w:hint="eastAsia" w:ascii="宋体" w:hAnsi="宋体" w:cs="宋体"/>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snapToGrid w:val="0"/>
        <w:spacing w:line="360" w:lineRule="exact"/>
        <w:ind w:firstLine="440" w:firstLineChars="200"/>
        <w:rPr>
          <w:rFonts w:ascii="宋体" w:hAnsi="宋体" w:cs="宋体"/>
          <w:sz w:val="22"/>
        </w:rPr>
      </w:pPr>
      <w:r>
        <w:rPr>
          <w:rFonts w:hint="eastAsia" w:ascii="宋体" w:hAnsi="宋体" w:cs="宋体"/>
          <w:sz w:val="22"/>
        </w:rPr>
        <w:t>对于承包人因施工导致机场现有道路、管线或设备设施等财产损坏，未影响机场正常运行的，则承包人应按发包人的要求向发包人赔偿1～5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5～30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snapToGrid w:val="0"/>
        <w:spacing w:line="360" w:lineRule="exact"/>
        <w:rPr>
          <w:rFonts w:ascii="宋体" w:hAnsi="宋体" w:cs="宋体"/>
          <w:sz w:val="22"/>
        </w:rPr>
      </w:pPr>
      <w:r>
        <w:rPr>
          <w:rFonts w:hint="eastAsia" w:ascii="宋体" w:hAnsi="宋体" w:cs="宋体"/>
          <w:sz w:val="22"/>
        </w:rPr>
        <w:t>9．施工安全、治安保卫和环境保护</w:t>
      </w:r>
    </w:p>
    <w:p>
      <w:pPr>
        <w:snapToGrid w:val="0"/>
        <w:spacing w:line="360" w:lineRule="exact"/>
        <w:rPr>
          <w:rFonts w:ascii="宋体" w:hAnsi="宋体" w:cs="宋体"/>
          <w:sz w:val="22"/>
        </w:rPr>
      </w:pPr>
      <w:r>
        <w:rPr>
          <w:rFonts w:hint="eastAsia" w:ascii="宋体" w:hAnsi="宋体" w:cs="宋体"/>
          <w:sz w:val="22"/>
        </w:rPr>
        <w:t>9.2 承包人的施工安全责任</w:t>
      </w:r>
    </w:p>
    <w:p>
      <w:pPr>
        <w:snapToGrid w:val="0"/>
        <w:spacing w:line="360" w:lineRule="exact"/>
        <w:ind w:firstLine="440" w:firstLineChars="200"/>
        <w:rPr>
          <w:rFonts w:ascii="宋体" w:hAnsi="宋体" w:cs="宋体"/>
          <w:sz w:val="22"/>
        </w:rPr>
      </w:pPr>
      <w:r>
        <w:rPr>
          <w:rFonts w:hint="eastAsia" w:ascii="宋体" w:hAnsi="宋体" w:cs="宋体"/>
          <w:sz w:val="22"/>
        </w:rPr>
        <w:t>9.2.1 承包人将施工安全措施计划报发包人审批。时间：于本合同生效后15天内。</w:t>
      </w:r>
    </w:p>
    <w:p>
      <w:pPr>
        <w:snapToGrid w:val="0"/>
        <w:spacing w:line="360" w:lineRule="exact"/>
        <w:ind w:firstLine="440" w:firstLineChars="200"/>
        <w:rPr>
          <w:rFonts w:ascii="宋体" w:hAnsi="宋体" w:cs="宋体"/>
          <w:sz w:val="22"/>
        </w:rPr>
      </w:pPr>
      <w:r>
        <w:rPr>
          <w:rFonts w:hint="eastAsia" w:ascii="宋体" w:hAnsi="宋体" w:cs="宋体"/>
          <w:sz w:val="22"/>
        </w:rPr>
        <w:t>9.2.2 承包人须安排安全员负责施工现场的安全管理工作，包括：隔离区通行证的统一管理、施工安全教育、施工现场的各项安全措施的落实等。</w:t>
      </w:r>
    </w:p>
    <w:p>
      <w:pPr>
        <w:snapToGrid w:val="0"/>
        <w:spacing w:line="360" w:lineRule="exact"/>
        <w:ind w:firstLine="440" w:firstLineChars="200"/>
        <w:rPr>
          <w:rFonts w:ascii="宋体" w:hAnsi="宋体" w:cs="宋体"/>
          <w:sz w:val="22"/>
        </w:rPr>
      </w:pPr>
      <w:r>
        <w:rPr>
          <w:rFonts w:hint="eastAsia" w:ascii="宋体" w:hAnsi="宋体" w:cs="宋体"/>
          <w:sz w:val="22"/>
        </w:rPr>
        <w:t>9.2.8为确保用电平稳，功率较大的电机式负荷需要承包人设置相应的降压启动设施。</w:t>
      </w:r>
    </w:p>
    <w:p>
      <w:pPr>
        <w:snapToGrid w:val="0"/>
        <w:spacing w:line="360" w:lineRule="exact"/>
        <w:rPr>
          <w:rFonts w:ascii="宋体" w:hAnsi="宋体" w:cs="宋体"/>
          <w:sz w:val="22"/>
        </w:rPr>
      </w:pPr>
      <w:r>
        <w:rPr>
          <w:rFonts w:hint="eastAsia" w:ascii="宋体" w:hAnsi="宋体" w:cs="宋体"/>
          <w:sz w:val="22"/>
        </w:rPr>
        <w:t>10．进度计划</w:t>
      </w:r>
    </w:p>
    <w:p>
      <w:pPr>
        <w:snapToGrid w:val="0"/>
        <w:spacing w:line="360" w:lineRule="exact"/>
        <w:rPr>
          <w:rFonts w:ascii="宋体" w:hAnsi="宋体" w:cs="宋体"/>
          <w:sz w:val="22"/>
        </w:rPr>
      </w:pPr>
      <w:r>
        <w:rPr>
          <w:rFonts w:hint="eastAsia" w:ascii="宋体" w:hAnsi="宋体" w:cs="宋体"/>
          <w:sz w:val="22"/>
        </w:rPr>
        <w:t>10.1 合同进度计划</w:t>
      </w:r>
    </w:p>
    <w:p>
      <w:pPr>
        <w:snapToGrid w:val="0"/>
        <w:spacing w:line="360" w:lineRule="exact"/>
        <w:ind w:firstLine="440" w:firstLineChars="200"/>
        <w:rPr>
          <w:rFonts w:ascii="宋体" w:hAnsi="宋体" w:cs="宋体"/>
          <w:sz w:val="22"/>
        </w:rPr>
      </w:pPr>
      <w:r>
        <w:rPr>
          <w:rFonts w:hint="eastAsia" w:ascii="宋体" w:hAnsi="宋体" w:cs="宋体"/>
          <w:sz w:val="22"/>
        </w:rPr>
        <w:t>承包人提供详细的施工进度计划和施工方案说明的时间：合同签订后3天内提供。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发包人确认的时间：于承包人提交后3天内。</w:t>
      </w:r>
    </w:p>
    <w:p>
      <w:pPr>
        <w:snapToGrid w:val="0"/>
        <w:spacing w:line="360" w:lineRule="exact"/>
        <w:ind w:firstLine="442" w:firstLineChars="200"/>
        <w:rPr>
          <w:rFonts w:ascii="宋体" w:hAnsi="宋体" w:cs="宋体"/>
          <w:b/>
          <w:sz w:val="22"/>
        </w:rPr>
      </w:pPr>
      <w:r>
        <w:rPr>
          <w:rFonts w:hint="eastAsia" w:ascii="宋体" w:hAnsi="宋体" w:cs="宋体"/>
          <w:b/>
          <w:sz w:val="22"/>
        </w:rPr>
        <w:t>因承包人原因导致施工节点进度比合同节点进度计划延误达15日及以上时，发包人有权终止合同，有权没收履约保证金，并保留对承包人追溯赔偿其他一切损失的权利。</w:t>
      </w:r>
    </w:p>
    <w:p>
      <w:pPr>
        <w:snapToGrid w:val="0"/>
        <w:spacing w:line="360" w:lineRule="exact"/>
        <w:rPr>
          <w:rFonts w:ascii="宋体" w:hAnsi="宋体" w:cs="宋体"/>
          <w:sz w:val="22"/>
        </w:rPr>
      </w:pPr>
      <w:r>
        <w:rPr>
          <w:rFonts w:hint="eastAsia" w:ascii="宋体" w:hAnsi="宋体" w:cs="宋体"/>
          <w:sz w:val="22"/>
        </w:rPr>
        <w:t>10.2 合同进度计划的修订</w:t>
      </w:r>
    </w:p>
    <w:p>
      <w:pPr>
        <w:snapToGrid w:val="0"/>
        <w:spacing w:line="360" w:lineRule="exact"/>
        <w:ind w:firstLine="440" w:firstLineChars="200"/>
        <w:rPr>
          <w:rFonts w:ascii="宋体" w:hAnsi="宋体" w:cs="宋体"/>
          <w:sz w:val="22"/>
        </w:rPr>
      </w:pPr>
      <w:r>
        <w:rPr>
          <w:rFonts w:hint="eastAsia" w:ascii="宋体" w:hAnsi="宋体" w:cs="宋体"/>
          <w:sz w:val="22"/>
        </w:rPr>
        <w:t>承包人提交修订合同进度计划的申请报告的时间：于发现工程的实际进度与第10.1款的合同进度计划不符后3天内提供。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发包人批复的时间：于承包人提交后7天内。</w:t>
      </w:r>
    </w:p>
    <w:p>
      <w:pPr>
        <w:snapToGrid w:val="0"/>
        <w:spacing w:line="360" w:lineRule="exact"/>
        <w:ind w:firstLine="440" w:firstLineChars="200"/>
        <w:rPr>
          <w:rFonts w:ascii="宋体" w:hAnsi="宋体" w:cs="宋体"/>
          <w:sz w:val="22"/>
        </w:rPr>
      </w:pPr>
      <w:r>
        <w:rPr>
          <w:rFonts w:hint="eastAsia" w:ascii="宋体" w:hAnsi="宋体" w:cs="宋体"/>
          <w:sz w:val="22"/>
        </w:rPr>
        <w:t>因承包人的原因导致实际进度与合同计划进度不符，承包人无权就改进措施提出追加合同价款或工期索赔。</w:t>
      </w:r>
    </w:p>
    <w:p>
      <w:pPr>
        <w:snapToGrid w:val="0"/>
        <w:spacing w:line="360" w:lineRule="exact"/>
        <w:rPr>
          <w:rFonts w:ascii="宋体" w:hAnsi="宋体" w:cs="宋体"/>
          <w:sz w:val="22"/>
        </w:rPr>
      </w:pPr>
      <w:r>
        <w:rPr>
          <w:rFonts w:hint="eastAsia" w:ascii="宋体" w:hAnsi="宋体" w:cs="宋体"/>
          <w:sz w:val="22"/>
        </w:rPr>
        <w:t>11．开工和竣工</w:t>
      </w:r>
    </w:p>
    <w:p>
      <w:pPr>
        <w:snapToGrid w:val="0"/>
        <w:spacing w:line="360" w:lineRule="exact"/>
        <w:rPr>
          <w:rFonts w:ascii="宋体" w:hAnsi="宋体" w:cs="宋体"/>
          <w:sz w:val="22"/>
        </w:rPr>
      </w:pPr>
      <w:r>
        <w:rPr>
          <w:rFonts w:hint="eastAsia" w:ascii="宋体" w:hAnsi="宋体" w:cs="宋体"/>
          <w:sz w:val="22"/>
        </w:rPr>
        <w:t>11.5 承包人的工期延误</w:t>
      </w:r>
    </w:p>
    <w:p>
      <w:pPr>
        <w:snapToGrid w:val="0"/>
        <w:spacing w:line="360" w:lineRule="exact"/>
        <w:ind w:firstLine="440" w:firstLineChars="200"/>
        <w:rPr>
          <w:rFonts w:ascii="宋体" w:hAnsi="宋体" w:cs="宋体"/>
          <w:sz w:val="22"/>
        </w:rPr>
      </w:pPr>
      <w:r>
        <w:rPr>
          <w:rFonts w:hint="eastAsia" w:ascii="宋体" w:hAnsi="宋体" w:cs="宋体"/>
          <w:sz w:val="22"/>
        </w:rPr>
        <w:t>逾期竣工违约金依发包人主张，可包括以下各项的单独或合并运用：</w:t>
      </w:r>
    </w:p>
    <w:p>
      <w:pPr>
        <w:snapToGrid w:val="0"/>
        <w:spacing w:line="360" w:lineRule="exact"/>
        <w:ind w:firstLine="440" w:firstLineChars="200"/>
        <w:rPr>
          <w:rFonts w:ascii="宋体" w:hAnsi="宋体" w:cs="宋体"/>
          <w:sz w:val="22"/>
        </w:rPr>
      </w:pPr>
      <w:r>
        <w:rPr>
          <w:rFonts w:hint="eastAsia" w:ascii="宋体" w:hAnsi="宋体" w:cs="宋体"/>
          <w:sz w:val="22"/>
        </w:rPr>
        <w:t>（1）没收履约担保金中相应的工期部分或全部履约保证金；</w:t>
      </w:r>
    </w:p>
    <w:p>
      <w:pPr>
        <w:snapToGrid w:val="0"/>
        <w:spacing w:line="360" w:lineRule="exact"/>
        <w:ind w:firstLine="440" w:firstLineChars="200"/>
        <w:rPr>
          <w:rFonts w:ascii="宋体" w:hAnsi="宋体" w:cs="宋体"/>
          <w:b/>
          <w:sz w:val="22"/>
        </w:rPr>
      </w:pPr>
      <w:r>
        <w:rPr>
          <w:rFonts w:hint="eastAsia" w:ascii="宋体" w:hAnsi="宋体" w:cs="宋体"/>
          <w:sz w:val="22"/>
        </w:rPr>
        <w:t>（2）按合同总工期每延误一天承包人应支付违约金人民币1000元；</w:t>
      </w:r>
    </w:p>
    <w:p>
      <w:pPr>
        <w:snapToGrid w:val="0"/>
        <w:spacing w:line="360" w:lineRule="exact"/>
        <w:ind w:firstLine="440" w:firstLineChars="200"/>
        <w:rPr>
          <w:rFonts w:ascii="宋体" w:hAnsi="宋体" w:cs="宋体"/>
          <w:sz w:val="22"/>
        </w:rPr>
      </w:pPr>
      <w:r>
        <w:rPr>
          <w:rFonts w:hint="eastAsia" w:ascii="宋体" w:hAnsi="宋体" w:cs="宋体"/>
          <w:sz w:val="22"/>
        </w:rPr>
        <w:t>（3）根据本合同的其他约定支付违约金，并视给发包人造成的实际损失给予赔偿；</w:t>
      </w:r>
    </w:p>
    <w:p>
      <w:pPr>
        <w:snapToGrid w:val="0"/>
        <w:spacing w:line="360" w:lineRule="exact"/>
        <w:rPr>
          <w:rFonts w:ascii="宋体" w:hAnsi="宋体" w:cs="宋体"/>
          <w:sz w:val="22"/>
        </w:rPr>
      </w:pPr>
      <w:r>
        <w:rPr>
          <w:rFonts w:hint="eastAsia" w:ascii="宋体" w:hAnsi="宋体" w:cs="宋体"/>
          <w:sz w:val="22"/>
        </w:rPr>
        <w:t>12．暂停施工</w:t>
      </w:r>
    </w:p>
    <w:p>
      <w:pPr>
        <w:snapToGrid w:val="0"/>
        <w:spacing w:line="360" w:lineRule="exact"/>
        <w:rPr>
          <w:rFonts w:ascii="宋体" w:hAnsi="宋体" w:cs="宋体"/>
          <w:sz w:val="22"/>
        </w:rPr>
      </w:pPr>
      <w:r>
        <w:rPr>
          <w:rFonts w:hint="eastAsia" w:ascii="宋体" w:hAnsi="宋体" w:cs="宋体"/>
          <w:sz w:val="22"/>
        </w:rPr>
        <w:t>12.1 承包人暂停施工的责任</w:t>
      </w:r>
    </w:p>
    <w:p>
      <w:pPr>
        <w:snapToGrid w:val="0"/>
        <w:spacing w:line="360" w:lineRule="exact"/>
        <w:ind w:firstLine="440" w:firstLineChars="200"/>
        <w:rPr>
          <w:rFonts w:ascii="宋体" w:hAnsi="宋体" w:cs="宋体"/>
          <w:sz w:val="22"/>
        </w:rPr>
      </w:pPr>
      <w:r>
        <w:rPr>
          <w:rFonts w:hint="eastAsia" w:ascii="宋体" w:hAnsi="宋体" w:cs="宋体"/>
          <w:sz w:val="22"/>
        </w:rPr>
        <w:t>（6）因联系单变更或现场签证单未确认引起的暂停施工。</w:t>
      </w:r>
    </w:p>
    <w:p>
      <w:pPr>
        <w:snapToGrid w:val="0"/>
        <w:spacing w:line="360" w:lineRule="exact"/>
        <w:rPr>
          <w:rFonts w:ascii="宋体" w:hAnsi="宋体" w:cs="宋体"/>
          <w:sz w:val="22"/>
        </w:rPr>
      </w:pPr>
      <w:r>
        <w:rPr>
          <w:rFonts w:hint="eastAsia" w:ascii="宋体" w:hAnsi="宋体" w:cs="宋体"/>
          <w:sz w:val="22"/>
        </w:rPr>
        <w:t>13．工程质量</w:t>
      </w:r>
    </w:p>
    <w:p>
      <w:pPr>
        <w:snapToGrid w:val="0"/>
        <w:spacing w:line="360" w:lineRule="exact"/>
        <w:rPr>
          <w:rFonts w:ascii="宋体" w:hAnsi="宋体" w:cs="宋体"/>
          <w:sz w:val="22"/>
        </w:rPr>
      </w:pPr>
      <w:r>
        <w:rPr>
          <w:rFonts w:hint="eastAsia" w:ascii="宋体" w:hAnsi="宋体" w:cs="宋体"/>
          <w:sz w:val="22"/>
        </w:rPr>
        <w:t>13.7 承包人施工质量不达标的责任</w:t>
      </w:r>
    </w:p>
    <w:p>
      <w:pPr>
        <w:snapToGrid w:val="0"/>
        <w:spacing w:line="360" w:lineRule="exact"/>
        <w:ind w:firstLine="440" w:firstLineChars="200"/>
        <w:rPr>
          <w:rFonts w:ascii="宋体" w:hAnsi="宋体" w:cs="宋体"/>
          <w:sz w:val="22"/>
        </w:rPr>
      </w:pPr>
      <w:r>
        <w:rPr>
          <w:rFonts w:hint="eastAsia" w:ascii="宋体" w:hAnsi="宋体" w:cs="宋体"/>
          <w:sz w:val="22"/>
        </w:rPr>
        <w:t xml:space="preserve"> 承包人必须按《中华人民共和国建筑法》、《建设工程质量管理条例》、《房屋建筑工程质量保修办法》及合同约定的质量标准完成本工程施工。</w:t>
      </w:r>
    </w:p>
    <w:p>
      <w:pPr>
        <w:snapToGrid w:val="0"/>
        <w:spacing w:line="360" w:lineRule="exact"/>
        <w:ind w:firstLine="442" w:firstLineChars="200"/>
        <w:rPr>
          <w:rFonts w:ascii="宋体" w:hAnsi="宋体" w:cs="宋体"/>
          <w:b/>
          <w:sz w:val="22"/>
        </w:rPr>
      </w:pPr>
      <w:r>
        <w:rPr>
          <w:rFonts w:hint="eastAsia" w:ascii="宋体" w:hAnsi="宋体" w:cs="宋体"/>
          <w:b/>
          <w:sz w:val="22"/>
        </w:rPr>
        <w:t>发包人实时跟踪检查承包人维护工作完成质量，检查发现因承包人责任导致维护工作不满足质量标准要求的，限期内完成整改工作，将不符合质量标准的部分进行重建直至符合标准，费用由承包人承担；如整改工作仍不满足质量标准要求的，或超出整改期限未完成整改，处罚1000元/天，从合同价款中直接扣除。如超出整改期限7天仍未完成整改或第二次整改仍不满足质量标准要求的，发包人有权终止合同另选承包人，并有权要求本项目的中标人赔偿因更换承包人所产生的一切费用对应于原承包合同报价的差价。</w:t>
      </w:r>
    </w:p>
    <w:p>
      <w:pPr>
        <w:snapToGrid w:val="0"/>
        <w:spacing w:line="360" w:lineRule="exact"/>
        <w:ind w:firstLine="442" w:firstLineChars="200"/>
        <w:rPr>
          <w:rFonts w:ascii="宋体" w:hAnsi="宋体" w:cs="宋体"/>
          <w:sz w:val="22"/>
        </w:rPr>
      </w:pPr>
      <w:r>
        <w:rPr>
          <w:rFonts w:hint="eastAsia" w:ascii="宋体" w:hAnsi="宋体" w:cs="宋体"/>
          <w:b/>
          <w:sz w:val="22"/>
        </w:rPr>
        <w:t>如维护工作不满足质量标准要求，产生机场飞行区安防风险隐患或其他安全隐患的，承包人须立即整改，将不符合质量标准的部分进行重建直至符合标准，费用由承包人承担，同时承包人应向发包人支付1000元-10000元的损失赔偿，该约定的损失赔偿金额不能弥补实际损失的，承包人应补充赔偿不足部分。同时，第二次验收不合格的，发包人有权另行委托他人重建或修复，重建或修复费用由承包人承担，同时，承包人应再次向发包人支付1000元-10000元的损失赔偿，该约定的损失赔偿金额不能弥补实际损失的，承包人应补充赔偿不足部分，同时发包人有权没收全部履约保证金，终止合同另选承包人，并有权要求本项目的中标人赔偿因更换承包人所产生的一切费用对应于原承包合同报价的差价。</w:t>
      </w:r>
    </w:p>
    <w:p>
      <w:pPr>
        <w:snapToGrid w:val="0"/>
        <w:spacing w:line="360" w:lineRule="exact"/>
        <w:rPr>
          <w:rFonts w:ascii="宋体" w:hAnsi="宋体" w:cs="宋体"/>
          <w:sz w:val="22"/>
        </w:rPr>
      </w:pPr>
      <w:r>
        <w:rPr>
          <w:rFonts w:hint="eastAsia" w:ascii="宋体" w:hAnsi="宋体" w:cs="宋体"/>
          <w:sz w:val="22"/>
        </w:rPr>
        <w:t>14．试验和检验</w:t>
      </w:r>
    </w:p>
    <w:p>
      <w:pPr>
        <w:snapToGrid w:val="0"/>
        <w:spacing w:line="360" w:lineRule="exact"/>
        <w:rPr>
          <w:rFonts w:ascii="宋体" w:hAnsi="宋体" w:cs="宋体"/>
          <w:sz w:val="22"/>
        </w:rPr>
      </w:pPr>
      <w:r>
        <w:rPr>
          <w:rFonts w:hint="eastAsia" w:ascii="宋体" w:hAnsi="宋体" w:cs="宋体"/>
          <w:sz w:val="22"/>
        </w:rPr>
        <w:t>14.4 检验费用的约定</w:t>
      </w:r>
    </w:p>
    <w:p>
      <w:pPr>
        <w:snapToGrid w:val="0"/>
        <w:spacing w:line="360" w:lineRule="exact"/>
        <w:ind w:firstLine="440" w:firstLineChars="200"/>
        <w:rPr>
          <w:rFonts w:ascii="宋体" w:hAnsi="宋体" w:cs="宋体"/>
          <w:sz w:val="22"/>
        </w:rPr>
      </w:pPr>
      <w:r>
        <w:rPr>
          <w:rFonts w:hint="eastAsia" w:ascii="宋体" w:hAnsi="宋体" w:cs="宋体"/>
          <w:sz w:val="22"/>
        </w:rPr>
        <w:t>14.4.1.承包人承担检验费用的材料、设备： 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pPr>
        <w:snapToGrid w:val="0"/>
        <w:spacing w:line="360" w:lineRule="exact"/>
        <w:ind w:firstLine="440" w:firstLineChars="200"/>
        <w:rPr>
          <w:rFonts w:ascii="宋体" w:hAnsi="宋体" w:cs="宋体"/>
          <w:sz w:val="22"/>
        </w:rPr>
      </w:pPr>
      <w:r>
        <w:rPr>
          <w:rFonts w:hint="eastAsia" w:ascii="宋体" w:hAnsi="宋体" w:cs="宋体"/>
          <w:sz w:val="22"/>
        </w:rPr>
        <w:t>14.4.2发包人承担检验费用的材料、设备： 若发包人对承包人提供的材料、设备的质量提出异议，要求重新检验，送国家有关权威检测部门检验，若检验合格，则检验费用由发包人承担。若检验不合格，则检验费用由承包人承担。</w:t>
      </w:r>
    </w:p>
    <w:p>
      <w:pPr>
        <w:spacing w:line="360" w:lineRule="exact"/>
        <w:rPr>
          <w:rFonts w:ascii="宋体" w:hAnsi="宋体" w:cs="宋体"/>
          <w:sz w:val="22"/>
        </w:rPr>
      </w:pPr>
      <w:r>
        <w:rPr>
          <w:rFonts w:ascii="宋体" w:hAnsi="宋体" w:cs="宋体"/>
          <w:sz w:val="22"/>
        </w:rPr>
        <w:t>15．变更</w:t>
      </w:r>
      <w:r>
        <w:rPr>
          <w:rFonts w:hint="eastAsia" w:ascii="宋体" w:hAnsi="宋体" w:cs="宋体"/>
          <w:sz w:val="22"/>
        </w:rPr>
        <w:t>（本项目不存在变更）</w:t>
      </w:r>
    </w:p>
    <w:p>
      <w:pPr>
        <w:spacing w:line="360" w:lineRule="exact"/>
        <w:rPr>
          <w:rFonts w:cs="宋体" w:asciiTheme="minorEastAsia" w:hAnsiTheme="minorEastAsia"/>
          <w:sz w:val="22"/>
        </w:rPr>
      </w:pPr>
      <w:r>
        <w:rPr>
          <w:rFonts w:cs="宋体" w:asciiTheme="minorEastAsia" w:hAnsiTheme="minorEastAsia"/>
          <w:sz w:val="22"/>
        </w:rPr>
        <w:t>16．价格调整</w:t>
      </w:r>
    </w:p>
    <w:p>
      <w:pPr>
        <w:spacing w:line="360" w:lineRule="exact"/>
        <w:rPr>
          <w:rFonts w:cs="宋体" w:asciiTheme="minorEastAsia" w:hAnsiTheme="minorEastAsia"/>
          <w:sz w:val="22"/>
        </w:rPr>
      </w:pPr>
      <w:r>
        <w:rPr>
          <w:rFonts w:cs="宋体" w:asciiTheme="minorEastAsia" w:hAnsiTheme="minorEastAsia"/>
          <w:sz w:val="22"/>
        </w:rPr>
        <w:t>16.1物价波动引起的价格调整</w:t>
      </w:r>
    </w:p>
    <w:p>
      <w:pPr>
        <w:spacing w:line="360" w:lineRule="exact"/>
        <w:ind w:firstLine="440" w:firstLineChars="200"/>
        <w:rPr>
          <w:rFonts w:cs="宋体" w:asciiTheme="minorEastAsia" w:hAnsiTheme="minorEastAsia"/>
          <w:sz w:val="22"/>
        </w:rPr>
      </w:pPr>
      <w:r>
        <w:rPr>
          <w:rFonts w:cs="宋体" w:asciiTheme="minorEastAsia" w:hAnsiTheme="minorEastAsia"/>
          <w:sz w:val="22"/>
        </w:rPr>
        <w:t>16.1.1价格调整按下列规定执行：</w:t>
      </w:r>
    </w:p>
    <w:p>
      <w:pPr>
        <w:spacing w:line="360" w:lineRule="exact"/>
        <w:ind w:firstLine="440" w:firstLineChars="200"/>
        <w:rPr>
          <w:rFonts w:cs="宋体" w:asciiTheme="minorEastAsia" w:hAnsiTheme="minorEastAsia"/>
          <w:sz w:val="22"/>
        </w:rPr>
      </w:pPr>
      <w:r>
        <w:rPr>
          <w:rFonts w:hint="eastAsia" w:cs="宋体" w:asciiTheme="minorEastAsia" w:hAnsiTheme="minorEastAsia"/>
          <w:sz w:val="22"/>
        </w:rPr>
        <w:t>（</w:t>
      </w:r>
      <w:r>
        <w:rPr>
          <w:rFonts w:cs="宋体" w:asciiTheme="minorEastAsia" w:hAnsiTheme="minorEastAsia"/>
          <w:sz w:val="22"/>
        </w:rPr>
        <w:t>1）双方约定的因物价波动引起的价格调整范围为：无。</w:t>
      </w:r>
    </w:p>
    <w:p>
      <w:pPr>
        <w:spacing w:line="360" w:lineRule="exact"/>
        <w:ind w:firstLine="440" w:firstLineChars="200"/>
        <w:rPr>
          <w:rFonts w:cs="宋体" w:asciiTheme="minorEastAsia" w:hAnsiTheme="minorEastAsia"/>
          <w:sz w:val="22"/>
        </w:rPr>
      </w:pPr>
      <w:r>
        <w:rPr>
          <w:rFonts w:hint="eastAsia" w:cs="宋体" w:asciiTheme="minorEastAsia" w:hAnsiTheme="minorEastAsia"/>
          <w:sz w:val="22"/>
        </w:rPr>
        <w:t>（</w:t>
      </w:r>
      <w:r>
        <w:rPr>
          <w:rFonts w:cs="宋体" w:asciiTheme="minorEastAsia" w:hAnsiTheme="minorEastAsia"/>
          <w:sz w:val="22"/>
        </w:rPr>
        <w:t>2）计日外的其他所有人工、材料一律不做价格调整。</w:t>
      </w:r>
    </w:p>
    <w:p>
      <w:pPr>
        <w:spacing w:line="360" w:lineRule="exact"/>
        <w:rPr>
          <w:rFonts w:cs="宋体" w:asciiTheme="minorEastAsia" w:hAnsiTheme="minorEastAsia"/>
          <w:sz w:val="22"/>
        </w:rPr>
      </w:pPr>
      <w:r>
        <w:rPr>
          <w:rFonts w:cs="宋体" w:asciiTheme="minorEastAsia" w:hAnsiTheme="minorEastAsia"/>
          <w:sz w:val="22"/>
        </w:rPr>
        <w:t>16.3风险范围以外合同价款调整方法：</w:t>
      </w:r>
    </w:p>
    <w:p>
      <w:pPr>
        <w:spacing w:line="360" w:lineRule="exact"/>
        <w:ind w:firstLine="440" w:firstLineChars="200"/>
        <w:rPr>
          <w:rFonts w:cs="宋体" w:asciiTheme="minorEastAsia" w:hAnsiTheme="minorEastAsia"/>
          <w:sz w:val="22"/>
        </w:rPr>
      </w:pPr>
      <w:r>
        <w:rPr>
          <w:rFonts w:hint="eastAsia" w:cs="宋体" w:asciiTheme="minorEastAsia" w:hAnsiTheme="minorEastAsia"/>
          <w:sz w:val="22"/>
        </w:rPr>
        <w:t>16.3.1本合同价款采用固定单价合同方式确定。</w:t>
      </w:r>
    </w:p>
    <w:p>
      <w:pPr>
        <w:spacing w:line="360" w:lineRule="exact"/>
        <w:ind w:firstLine="440" w:firstLineChars="200"/>
        <w:rPr>
          <w:rFonts w:cs="宋体" w:asciiTheme="minorEastAsia" w:hAnsiTheme="minorEastAsia"/>
          <w:sz w:val="22"/>
        </w:rPr>
      </w:pPr>
      <w:r>
        <w:rPr>
          <w:rFonts w:hint="eastAsia" w:cs="宋体" w:asciiTheme="minorEastAsia" w:hAnsiTheme="minorEastAsia"/>
          <w:sz w:val="22"/>
        </w:rPr>
        <w:t>合同价款中包括的风险范围：</w:t>
      </w:r>
      <w:r>
        <w:rPr>
          <w:rFonts w:hint="eastAsia" w:eastAsia="宋体" w:cs="宋体" w:asciiTheme="minorEastAsia" w:hAnsiTheme="minorEastAsia"/>
          <w:sz w:val="22"/>
        </w:rPr>
        <w:t>a</w:t>
      </w:r>
      <w:r>
        <w:rPr>
          <w:rFonts w:hint="eastAsia" w:cs="宋体" w:asciiTheme="minorEastAsia" w:hAnsiTheme="minorEastAsia"/>
          <w:sz w:val="22"/>
        </w:rPr>
        <w:t>、发包范围内招标图纸包含的工程内容；b、合同执行期内，投标材料的市场变化；c、合同执行期内，施工临时停电、停水或因机场运营需要造成的连续8小时内的停工；d、合同执行期内，因承包人原因造成停工、窝工；e、合同执行期内可能发生的其他费用，包括市政、市容、环保、治安等。</w:t>
      </w:r>
    </w:p>
    <w:p>
      <w:pPr>
        <w:spacing w:line="360" w:lineRule="exact"/>
        <w:ind w:firstLine="440" w:firstLineChars="200"/>
        <w:rPr>
          <w:rFonts w:cs="宋体" w:asciiTheme="minorEastAsia" w:hAnsiTheme="minorEastAsia"/>
          <w:sz w:val="22"/>
        </w:rPr>
      </w:pPr>
      <w:r>
        <w:rPr>
          <w:rFonts w:hint="eastAsia" w:cs="宋体" w:asciiTheme="minorEastAsia" w:hAnsiTheme="minorEastAsia"/>
          <w:sz w:val="22"/>
        </w:rPr>
        <w:t>风险费用的计算方法：承包人在投标报价时综合考虑，不再另行计取。</w:t>
      </w:r>
    </w:p>
    <w:p>
      <w:pPr>
        <w:snapToGrid w:val="0"/>
        <w:spacing w:line="360" w:lineRule="exact"/>
        <w:rPr>
          <w:rFonts w:ascii="宋体" w:hAnsi="宋体" w:cs="宋体"/>
          <w:sz w:val="22"/>
        </w:rPr>
      </w:pPr>
      <w:r>
        <w:rPr>
          <w:rFonts w:hint="eastAsia" w:ascii="宋体" w:hAnsi="宋体" w:cs="宋体"/>
          <w:sz w:val="22"/>
        </w:rPr>
        <w:t>17．计量与支付</w:t>
      </w:r>
    </w:p>
    <w:p>
      <w:pPr>
        <w:snapToGrid w:val="0"/>
        <w:spacing w:line="360" w:lineRule="exact"/>
        <w:rPr>
          <w:rFonts w:ascii="宋体" w:hAnsi="宋体" w:cs="宋体"/>
          <w:sz w:val="22"/>
        </w:rPr>
      </w:pPr>
      <w:r>
        <w:rPr>
          <w:rFonts w:hint="eastAsia" w:ascii="宋体" w:hAnsi="宋体" w:cs="宋体"/>
          <w:sz w:val="22"/>
        </w:rPr>
        <w:t>17.2 预付款</w:t>
      </w:r>
    </w:p>
    <w:p>
      <w:pPr>
        <w:snapToGrid w:val="0"/>
        <w:spacing w:line="360" w:lineRule="exact"/>
        <w:ind w:firstLine="440" w:firstLineChars="200"/>
        <w:rPr>
          <w:rFonts w:ascii="宋体" w:hAnsi="宋体" w:cs="宋体"/>
          <w:sz w:val="22"/>
        </w:rPr>
      </w:pPr>
      <w:r>
        <w:rPr>
          <w:rFonts w:hint="eastAsia" w:ascii="宋体" w:hAnsi="宋体" w:cs="宋体"/>
          <w:sz w:val="22"/>
        </w:rPr>
        <w:t>17.2.1 预付款</w:t>
      </w:r>
    </w:p>
    <w:p>
      <w:pPr>
        <w:snapToGrid w:val="0"/>
        <w:spacing w:line="360" w:lineRule="exact"/>
        <w:ind w:firstLine="440" w:firstLineChars="200"/>
        <w:rPr>
          <w:rFonts w:ascii="宋体" w:hAnsi="宋体" w:cs="宋体"/>
          <w:sz w:val="22"/>
        </w:rPr>
      </w:pPr>
      <w:r>
        <w:rPr>
          <w:rFonts w:hint="eastAsia" w:ascii="宋体" w:hAnsi="宋体" w:cs="宋体"/>
          <w:sz w:val="22"/>
        </w:rPr>
        <w:t>发包人向承包人预付工程款的额度和预付办法：无。</w:t>
      </w:r>
    </w:p>
    <w:p>
      <w:pPr>
        <w:snapToGrid w:val="0"/>
        <w:spacing w:line="360" w:lineRule="exact"/>
        <w:ind w:firstLine="440" w:firstLineChars="200"/>
        <w:rPr>
          <w:rFonts w:ascii="宋体" w:hAnsi="宋体" w:cs="宋体"/>
          <w:sz w:val="22"/>
        </w:rPr>
      </w:pPr>
      <w:r>
        <w:rPr>
          <w:rFonts w:hint="eastAsia" w:ascii="宋体" w:hAnsi="宋体" w:cs="宋体"/>
          <w:sz w:val="22"/>
        </w:rPr>
        <w:t>17.2.3预付款扣回：/。</w:t>
      </w:r>
    </w:p>
    <w:p>
      <w:pPr>
        <w:snapToGrid w:val="0"/>
        <w:spacing w:line="360" w:lineRule="exact"/>
        <w:rPr>
          <w:rFonts w:ascii="宋体" w:hAnsi="宋体" w:cs="宋体"/>
          <w:sz w:val="22"/>
        </w:rPr>
      </w:pPr>
      <w:r>
        <w:rPr>
          <w:rFonts w:hint="eastAsia" w:ascii="宋体" w:hAnsi="宋体" w:cs="宋体"/>
          <w:sz w:val="22"/>
        </w:rPr>
        <w:t>17.3 工程进度付款</w:t>
      </w:r>
    </w:p>
    <w:p>
      <w:pPr>
        <w:autoSpaceDE w:val="0"/>
        <w:autoSpaceDN w:val="0"/>
        <w:adjustRightInd w:val="0"/>
        <w:snapToGrid w:val="0"/>
        <w:spacing w:line="360" w:lineRule="exact"/>
        <w:ind w:firstLine="442" w:firstLineChars="200"/>
        <w:jc w:val="left"/>
        <w:rPr>
          <w:rFonts w:ascii="宋体" w:hAnsi="宋体" w:cs="宋体"/>
          <w:b/>
          <w:sz w:val="22"/>
        </w:rPr>
      </w:pPr>
      <w:r>
        <w:rPr>
          <w:rFonts w:hint="eastAsia" w:ascii="宋体" w:hAnsi="宋体" w:cs="宋体"/>
          <w:b/>
          <w:sz w:val="22"/>
        </w:rPr>
        <w:t>分期支付，从合同签订之日起，工期每满一个月，承包人须上报工程结算单，经发包人审核后按实际发生工程量与合同单价计算金额，同时根据《飞行区标志线维护项目监管考核方法》（详见附件四）进行考核，以考核结果支付工程进度款。本合同期内最后一期支付工程进度款时无息退还承包人履约保证金。</w:t>
      </w:r>
    </w:p>
    <w:p>
      <w:pPr>
        <w:autoSpaceDE w:val="0"/>
        <w:autoSpaceDN w:val="0"/>
        <w:adjustRightInd w:val="0"/>
        <w:snapToGrid w:val="0"/>
        <w:spacing w:line="360" w:lineRule="exact"/>
        <w:ind w:firstLine="442" w:firstLineChars="200"/>
        <w:jc w:val="left"/>
        <w:rPr>
          <w:rFonts w:ascii="宋体" w:hAnsi="宋体" w:cs="宋体"/>
          <w:b/>
          <w:sz w:val="22"/>
        </w:rPr>
      </w:pPr>
      <w:r>
        <w:rPr>
          <w:rFonts w:hint="eastAsia" w:ascii="宋体" w:hAnsi="宋体" w:cs="宋体"/>
          <w:b/>
          <w:sz w:val="22"/>
        </w:rPr>
        <w:t>第一次支付工程款时，扣除10万元质量保证金，待合同履行完毕及缺陷责任期满后7日内无利息返还。乙方须提供增值税专用发票。</w:t>
      </w:r>
    </w:p>
    <w:p>
      <w:pPr>
        <w:snapToGrid w:val="0"/>
        <w:spacing w:line="360" w:lineRule="exact"/>
        <w:rPr>
          <w:rFonts w:ascii="宋体" w:hAnsi="宋体" w:cs="宋体"/>
          <w:sz w:val="22"/>
        </w:rPr>
      </w:pPr>
      <w:r>
        <w:rPr>
          <w:rFonts w:hint="eastAsia" w:ascii="宋体" w:hAnsi="宋体" w:cs="宋体"/>
          <w:sz w:val="22"/>
        </w:rPr>
        <w:t>17.4 质量保证金</w:t>
      </w:r>
    </w:p>
    <w:p>
      <w:pPr>
        <w:snapToGrid w:val="0"/>
        <w:spacing w:line="360" w:lineRule="exact"/>
        <w:ind w:firstLine="440" w:firstLineChars="200"/>
        <w:rPr>
          <w:rFonts w:ascii="宋体" w:hAnsi="宋体" w:cs="宋体"/>
          <w:sz w:val="22"/>
        </w:rPr>
      </w:pPr>
      <w:r>
        <w:rPr>
          <w:rFonts w:hint="eastAsia" w:ascii="宋体" w:hAnsi="宋体" w:cs="宋体"/>
          <w:sz w:val="22"/>
        </w:rPr>
        <w:t>修改以下内容：</w:t>
      </w:r>
    </w:p>
    <w:p>
      <w:pPr>
        <w:snapToGrid w:val="0"/>
        <w:spacing w:line="360" w:lineRule="exact"/>
        <w:ind w:firstLine="440" w:firstLineChars="200"/>
        <w:rPr>
          <w:rFonts w:ascii="宋体" w:hAnsi="宋体" w:cs="宋体"/>
          <w:sz w:val="22"/>
        </w:rPr>
      </w:pPr>
      <w:r>
        <w:rPr>
          <w:rFonts w:hint="eastAsia" w:ascii="宋体" w:hAnsi="宋体" w:cs="宋体"/>
          <w:sz w:val="22"/>
        </w:rPr>
        <w:t>17.4.1 双方约定按第17.3款的规定扣留质量保证金。</w:t>
      </w:r>
    </w:p>
    <w:p>
      <w:pPr>
        <w:snapToGrid w:val="0"/>
        <w:spacing w:line="360" w:lineRule="exact"/>
        <w:rPr>
          <w:rFonts w:ascii="宋体" w:hAnsi="宋体" w:cs="宋体"/>
          <w:sz w:val="22"/>
        </w:rPr>
      </w:pPr>
      <w:r>
        <w:rPr>
          <w:rFonts w:hint="eastAsia" w:ascii="宋体" w:hAnsi="宋体" w:cs="宋体"/>
          <w:sz w:val="22"/>
        </w:rPr>
        <w:t>18．验收</w:t>
      </w:r>
    </w:p>
    <w:p>
      <w:pPr>
        <w:snapToGrid w:val="0"/>
        <w:spacing w:line="360" w:lineRule="exact"/>
        <w:ind w:firstLine="440" w:firstLineChars="200"/>
        <w:rPr>
          <w:rFonts w:ascii="宋体" w:hAnsi="宋体" w:cs="宋体"/>
          <w:sz w:val="22"/>
        </w:rPr>
      </w:pPr>
      <w:r>
        <w:rPr>
          <w:rFonts w:hint="eastAsia" w:ascii="宋体" w:hAnsi="宋体" w:cs="宋体"/>
          <w:sz w:val="22"/>
        </w:rPr>
        <w:t>每次付款前，发包人组织相关单位组成验收组，对完成项目进行验收，并对其进行质量等级评定。</w:t>
      </w:r>
    </w:p>
    <w:p>
      <w:pPr>
        <w:snapToGrid w:val="0"/>
        <w:spacing w:line="360" w:lineRule="exact"/>
        <w:rPr>
          <w:rFonts w:ascii="宋体" w:hAnsi="宋体" w:cs="宋体"/>
          <w:sz w:val="22"/>
        </w:rPr>
      </w:pPr>
      <w:r>
        <w:rPr>
          <w:rFonts w:hint="eastAsia" w:ascii="宋体" w:hAnsi="宋体" w:cs="宋体"/>
          <w:sz w:val="22"/>
        </w:rPr>
        <w:t>19．缺陷责任与保修责任</w:t>
      </w:r>
    </w:p>
    <w:p>
      <w:pPr>
        <w:snapToGrid w:val="0"/>
        <w:spacing w:line="360" w:lineRule="exact"/>
        <w:rPr>
          <w:rFonts w:ascii="宋体" w:hAnsi="宋体" w:cs="宋体"/>
          <w:sz w:val="22"/>
        </w:rPr>
      </w:pPr>
      <w:r>
        <w:rPr>
          <w:rFonts w:hint="eastAsia" w:ascii="宋体" w:hAnsi="宋体" w:cs="宋体"/>
          <w:sz w:val="22"/>
        </w:rPr>
        <w:t>19.7 保修责任</w:t>
      </w:r>
    </w:p>
    <w:p>
      <w:pPr>
        <w:snapToGrid w:val="0"/>
        <w:spacing w:line="360" w:lineRule="exact"/>
        <w:ind w:firstLine="440" w:firstLineChars="200"/>
        <w:rPr>
          <w:rFonts w:ascii="宋体" w:hAnsi="宋体" w:cs="宋体"/>
          <w:sz w:val="22"/>
        </w:rPr>
      </w:pPr>
      <w:r>
        <w:rPr>
          <w:rFonts w:hint="eastAsia" w:ascii="宋体" w:hAnsi="宋体" w:cs="宋体"/>
          <w:sz w:val="22"/>
        </w:rPr>
        <w:t>双方约定工程质量保修范围、期限和责任：见“附件一：工程质量保修书”。</w:t>
      </w:r>
    </w:p>
    <w:p>
      <w:pPr>
        <w:snapToGrid w:val="0"/>
        <w:spacing w:line="360" w:lineRule="exact"/>
        <w:rPr>
          <w:rFonts w:ascii="宋体" w:hAnsi="宋体" w:cs="宋体"/>
          <w:sz w:val="22"/>
        </w:rPr>
      </w:pPr>
      <w:r>
        <w:rPr>
          <w:rFonts w:hint="eastAsia" w:ascii="宋体" w:hAnsi="宋体" w:cs="宋体"/>
          <w:sz w:val="22"/>
        </w:rPr>
        <w:t>20．保险</w:t>
      </w:r>
    </w:p>
    <w:p>
      <w:pPr>
        <w:snapToGrid w:val="0"/>
        <w:spacing w:line="360" w:lineRule="exact"/>
        <w:rPr>
          <w:rFonts w:ascii="宋体" w:hAnsi="宋体" w:cs="宋体"/>
          <w:sz w:val="22"/>
        </w:rPr>
      </w:pPr>
      <w:r>
        <w:rPr>
          <w:rFonts w:hint="eastAsia" w:ascii="宋体" w:hAnsi="宋体" w:cs="宋体"/>
          <w:sz w:val="22"/>
        </w:rPr>
        <w:t>20.1 工程保险</w:t>
      </w:r>
    </w:p>
    <w:p>
      <w:pPr>
        <w:snapToGrid w:val="0"/>
        <w:spacing w:line="360" w:lineRule="exact"/>
        <w:ind w:firstLine="440" w:firstLineChars="200"/>
        <w:rPr>
          <w:rFonts w:ascii="宋体" w:hAnsi="宋体" w:cs="宋体"/>
          <w:sz w:val="22"/>
        </w:rPr>
      </w:pPr>
      <w:r>
        <w:rPr>
          <w:rFonts w:hint="eastAsia" w:ascii="宋体" w:hAnsi="宋体" w:cs="宋体"/>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snapToGrid w:val="0"/>
        <w:spacing w:line="360" w:lineRule="exact"/>
        <w:ind w:firstLine="440" w:firstLineChars="200"/>
        <w:rPr>
          <w:rFonts w:ascii="宋体" w:hAnsi="宋体" w:cs="宋体"/>
          <w:sz w:val="22"/>
        </w:rPr>
      </w:pPr>
      <w:r>
        <w:rPr>
          <w:rFonts w:hint="eastAsia" w:ascii="宋体" w:hAnsi="宋体" w:cs="宋体"/>
          <w:sz w:val="22"/>
        </w:rPr>
        <w:t>双方约定的投保内容、保险金额、保险费率、保险期限等有关内容：建筑工程一切险和安装工程一切险由承包人办理，其他按国家、省、市有关规定由承包人办理的按有关规定执行，其中，涉及发包人保险利益的，应将发包人列为被保险人。如发生保险事故的保险赔偿金少于实际损失的情况，差额部分由承包人承担。</w:t>
      </w:r>
    </w:p>
    <w:p>
      <w:pPr>
        <w:snapToGrid w:val="0"/>
        <w:spacing w:line="360" w:lineRule="exact"/>
        <w:ind w:firstLine="440" w:firstLineChars="200"/>
        <w:rPr>
          <w:rFonts w:ascii="宋体" w:hAnsi="宋体" w:cs="宋体"/>
          <w:sz w:val="22"/>
        </w:rPr>
      </w:pPr>
      <w:r>
        <w:rPr>
          <w:rFonts w:hint="eastAsia" w:ascii="宋体" w:hAnsi="宋体" w:cs="宋体"/>
          <w:sz w:val="22"/>
        </w:rPr>
        <w:t>承包人须在签订本合同之日起30日内（如在此期间发生保险事故，由承包人承担风险），按照本合同的约定办理办结保险事宜，否则视为承包人违约，承包人除须按本合同总价2%支付违约金外，还应承担未投保或未及时投保而引起的一切赔偿责任。</w:t>
      </w:r>
    </w:p>
    <w:p>
      <w:pPr>
        <w:snapToGrid w:val="0"/>
        <w:spacing w:line="360" w:lineRule="exact"/>
        <w:rPr>
          <w:rFonts w:ascii="宋体" w:hAnsi="宋体" w:cs="宋体"/>
          <w:sz w:val="22"/>
        </w:rPr>
      </w:pPr>
      <w:r>
        <w:rPr>
          <w:rFonts w:hint="eastAsia" w:ascii="宋体" w:hAnsi="宋体" w:cs="宋体"/>
          <w:sz w:val="22"/>
        </w:rPr>
        <w:t>21．不可抗力</w:t>
      </w:r>
    </w:p>
    <w:p>
      <w:pPr>
        <w:snapToGrid w:val="0"/>
        <w:spacing w:line="360" w:lineRule="exact"/>
        <w:rPr>
          <w:rFonts w:ascii="宋体" w:hAnsi="宋体" w:cs="宋体"/>
          <w:sz w:val="22"/>
        </w:rPr>
      </w:pPr>
      <w:r>
        <w:rPr>
          <w:rFonts w:hint="eastAsia" w:ascii="宋体" w:hAnsi="宋体" w:cs="宋体"/>
          <w:sz w:val="22"/>
        </w:rPr>
        <w:t>21.1 不可抗力的确认</w:t>
      </w:r>
    </w:p>
    <w:p>
      <w:pPr>
        <w:snapToGrid w:val="0"/>
        <w:spacing w:line="360" w:lineRule="exact"/>
        <w:ind w:firstLine="440" w:firstLineChars="200"/>
        <w:rPr>
          <w:rFonts w:ascii="宋体" w:hAnsi="宋体" w:cs="宋体"/>
          <w:sz w:val="22"/>
        </w:rPr>
      </w:pPr>
      <w:r>
        <w:rPr>
          <w:rFonts w:hint="eastAsia" w:ascii="宋体" w:hAnsi="宋体" w:cs="宋体"/>
          <w:sz w:val="22"/>
        </w:rPr>
        <w:t>21.1.1双方关于不可抗力的约定：经相关行政主管部门认定，直接造成本工程损失的六级以上地震、山洪暴发、战争。</w:t>
      </w:r>
    </w:p>
    <w:p>
      <w:pPr>
        <w:snapToGrid w:val="0"/>
        <w:spacing w:line="360" w:lineRule="exact"/>
        <w:rPr>
          <w:rFonts w:ascii="宋体" w:hAnsi="宋体" w:cs="宋体"/>
          <w:sz w:val="22"/>
        </w:rPr>
      </w:pPr>
      <w:r>
        <w:rPr>
          <w:rFonts w:hint="eastAsia" w:ascii="宋体" w:hAnsi="宋体" w:cs="宋体"/>
          <w:sz w:val="22"/>
        </w:rPr>
        <w:t>22．违约</w:t>
      </w:r>
    </w:p>
    <w:p>
      <w:pPr>
        <w:snapToGrid w:val="0"/>
        <w:spacing w:line="360" w:lineRule="exact"/>
        <w:rPr>
          <w:rFonts w:ascii="宋体" w:hAnsi="宋体" w:cs="宋体"/>
          <w:sz w:val="22"/>
        </w:rPr>
      </w:pPr>
      <w:r>
        <w:rPr>
          <w:rFonts w:hint="eastAsia" w:ascii="宋体" w:hAnsi="宋体" w:cs="宋体"/>
          <w:sz w:val="22"/>
        </w:rPr>
        <w:t>22.1 承包人违约</w:t>
      </w:r>
    </w:p>
    <w:p>
      <w:pPr>
        <w:snapToGrid w:val="0"/>
        <w:spacing w:line="360" w:lineRule="exact"/>
        <w:ind w:firstLine="440" w:firstLineChars="200"/>
        <w:rPr>
          <w:rFonts w:ascii="宋体" w:hAnsi="宋体" w:cs="宋体"/>
          <w:sz w:val="22"/>
        </w:rPr>
      </w:pPr>
      <w:r>
        <w:rPr>
          <w:rFonts w:hint="eastAsia" w:ascii="宋体" w:hAnsi="宋体" w:cs="宋体"/>
          <w:sz w:val="22"/>
        </w:rPr>
        <w:t>22.1.1除通用条款中约定的情形外，承包人违约情形还包括：</w:t>
      </w:r>
    </w:p>
    <w:p>
      <w:pPr>
        <w:snapToGrid w:val="0"/>
        <w:spacing w:line="360" w:lineRule="exact"/>
        <w:ind w:firstLine="440" w:firstLineChars="200"/>
        <w:rPr>
          <w:rFonts w:ascii="宋体" w:hAnsi="宋体" w:cs="宋体"/>
          <w:sz w:val="22"/>
        </w:rPr>
      </w:pPr>
      <w:r>
        <w:rPr>
          <w:rFonts w:hint="eastAsia" w:ascii="宋体" w:hAnsi="宋体" w:cs="宋体"/>
          <w:sz w:val="22"/>
        </w:rPr>
        <w:t>（1）投标文件记载的主要管理、技术人员不到位或未经发包人同意擅自更换的；</w:t>
      </w:r>
    </w:p>
    <w:p>
      <w:pPr>
        <w:snapToGrid w:val="0"/>
        <w:spacing w:line="360" w:lineRule="exact"/>
        <w:ind w:firstLine="440" w:firstLineChars="200"/>
        <w:rPr>
          <w:rFonts w:ascii="宋体" w:hAnsi="宋体" w:cs="宋体"/>
          <w:sz w:val="22"/>
        </w:rPr>
      </w:pPr>
      <w:r>
        <w:rPr>
          <w:rFonts w:hint="eastAsia" w:ascii="宋体" w:hAnsi="宋体" w:cs="宋体"/>
          <w:sz w:val="22"/>
        </w:rPr>
        <w:t>（2）无法定和约定的理由拒绝或懈怠履行合同的。</w:t>
      </w:r>
    </w:p>
    <w:p>
      <w:pPr>
        <w:snapToGrid w:val="0"/>
        <w:spacing w:line="360" w:lineRule="exact"/>
        <w:ind w:firstLine="442" w:firstLineChars="200"/>
        <w:rPr>
          <w:rFonts w:ascii="宋体" w:hAnsi="宋体" w:cs="宋体"/>
          <w:b/>
          <w:sz w:val="22"/>
        </w:rPr>
      </w:pPr>
      <w:r>
        <w:rPr>
          <w:rFonts w:hint="eastAsia" w:ascii="宋体" w:hAnsi="宋体" w:cs="宋体"/>
          <w:b/>
          <w:sz w:val="22"/>
        </w:rPr>
        <w:t>（3）不符合本合同第7.1条、10.1 条、20.1条规定及要求的。</w:t>
      </w:r>
    </w:p>
    <w:p>
      <w:pPr>
        <w:snapToGrid w:val="0"/>
        <w:spacing w:line="360" w:lineRule="exact"/>
        <w:ind w:firstLine="440" w:firstLineChars="200"/>
        <w:rPr>
          <w:rFonts w:ascii="宋体" w:hAnsi="宋体" w:cs="宋体"/>
          <w:sz w:val="22"/>
        </w:rPr>
      </w:pPr>
      <w:r>
        <w:rPr>
          <w:rFonts w:hint="eastAsia" w:ascii="宋体" w:hAnsi="宋体" w:cs="宋体"/>
          <w:sz w:val="22"/>
        </w:rPr>
        <w:t>22.1.2对承包人违约的处理：</w:t>
      </w:r>
    </w:p>
    <w:p>
      <w:pPr>
        <w:snapToGrid w:val="0"/>
        <w:spacing w:line="360" w:lineRule="exact"/>
        <w:ind w:firstLine="440" w:firstLineChars="200"/>
        <w:rPr>
          <w:rFonts w:ascii="宋体" w:hAnsi="宋体" w:cs="宋体"/>
          <w:sz w:val="22"/>
        </w:rPr>
      </w:pPr>
      <w:r>
        <w:rPr>
          <w:rFonts w:hint="eastAsia" w:ascii="宋体" w:hAnsi="宋体" w:cs="宋体"/>
          <w:sz w:val="22"/>
        </w:rPr>
        <w:t>承包人发生22.1.1或以下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根据承包人的违约情形，发包人可主张承包人承担如下部分或全部的赔偿责任：</w:t>
      </w:r>
    </w:p>
    <w:p>
      <w:pPr>
        <w:snapToGrid w:val="0"/>
        <w:spacing w:line="360" w:lineRule="exact"/>
        <w:ind w:firstLine="440" w:firstLineChars="200"/>
        <w:rPr>
          <w:rFonts w:ascii="宋体" w:hAnsi="宋体" w:cs="宋体"/>
          <w:sz w:val="22"/>
        </w:rPr>
      </w:pPr>
      <w:r>
        <w:rPr>
          <w:rFonts w:hint="eastAsia" w:ascii="宋体" w:hAnsi="宋体" w:cs="宋体"/>
          <w:sz w:val="22"/>
        </w:rPr>
        <w:t>（1）没收承包人履约保证金；</w:t>
      </w:r>
    </w:p>
    <w:p>
      <w:pPr>
        <w:snapToGrid w:val="0"/>
        <w:spacing w:line="360" w:lineRule="exact"/>
        <w:ind w:firstLine="440" w:firstLineChars="200"/>
        <w:rPr>
          <w:rFonts w:ascii="宋体" w:hAnsi="宋体" w:cs="宋体"/>
          <w:sz w:val="22"/>
        </w:rPr>
      </w:pPr>
      <w:r>
        <w:rPr>
          <w:rFonts w:hint="eastAsia" w:ascii="宋体" w:hAnsi="宋体" w:cs="宋体"/>
          <w:sz w:val="22"/>
        </w:rPr>
        <w:t>（2）及时整改及承担费用的责任；</w:t>
      </w:r>
    </w:p>
    <w:p>
      <w:pPr>
        <w:snapToGrid w:val="0"/>
        <w:spacing w:line="360" w:lineRule="exact"/>
        <w:ind w:firstLine="440" w:firstLineChars="200"/>
        <w:rPr>
          <w:rFonts w:ascii="宋体" w:hAnsi="宋体" w:cs="宋体"/>
          <w:sz w:val="22"/>
        </w:rPr>
      </w:pPr>
      <w:r>
        <w:rPr>
          <w:rFonts w:hint="eastAsia" w:ascii="宋体" w:hAnsi="宋体" w:cs="宋体"/>
          <w:sz w:val="22"/>
        </w:rPr>
        <w:t>（3）导致发包人解除合同并重新委托第三方修复、重建或继续未完施工的，承包人须向发包人赔偿因此导致的发包人额外支出；</w:t>
      </w:r>
    </w:p>
    <w:p>
      <w:pPr>
        <w:snapToGrid w:val="0"/>
        <w:spacing w:line="360" w:lineRule="exact"/>
        <w:ind w:firstLine="440" w:firstLineChars="200"/>
        <w:rPr>
          <w:rFonts w:ascii="宋体" w:hAnsi="宋体" w:cs="宋体"/>
          <w:sz w:val="22"/>
        </w:rPr>
      </w:pPr>
      <w:r>
        <w:rPr>
          <w:rFonts w:hint="eastAsia" w:ascii="宋体" w:hAnsi="宋体" w:cs="宋体"/>
          <w:sz w:val="22"/>
        </w:rPr>
        <w:t>（4）发包人为解除合同而与承包人发生争议，且争议经合同约定的争议解决机构或裁决机构生效裁决确定发包人有权解除合同的，则为处理争议所发生的一切实际费用须由承包人承担；</w:t>
      </w:r>
    </w:p>
    <w:p>
      <w:pPr>
        <w:snapToGrid w:val="0"/>
        <w:spacing w:line="360" w:lineRule="exact"/>
        <w:ind w:firstLine="440" w:firstLineChars="200"/>
        <w:rPr>
          <w:rFonts w:ascii="宋体" w:hAnsi="宋体" w:cs="宋体"/>
          <w:sz w:val="22"/>
        </w:rPr>
      </w:pPr>
      <w:r>
        <w:rPr>
          <w:rFonts w:hint="eastAsia" w:ascii="宋体" w:hAnsi="宋体" w:cs="宋体"/>
          <w:sz w:val="22"/>
        </w:rPr>
        <w:t>（5）承包人须承担因其违约导致发包人所遭受的第三人索赔；</w:t>
      </w:r>
    </w:p>
    <w:p>
      <w:pPr>
        <w:snapToGrid w:val="0"/>
        <w:spacing w:line="360" w:lineRule="exact"/>
        <w:ind w:firstLine="440" w:firstLineChars="200"/>
        <w:rPr>
          <w:rFonts w:ascii="宋体" w:hAnsi="宋体" w:cs="宋体"/>
          <w:sz w:val="22"/>
        </w:rPr>
      </w:pPr>
      <w:r>
        <w:rPr>
          <w:rFonts w:hint="eastAsia" w:ascii="宋体" w:hAnsi="宋体" w:cs="宋体"/>
          <w:sz w:val="22"/>
        </w:rPr>
        <w:t>（6）承包人须承担其违约行为导致发包人所遭受其他实际损害的赔偿责任；</w:t>
      </w:r>
    </w:p>
    <w:p>
      <w:pPr>
        <w:snapToGrid w:val="0"/>
        <w:spacing w:line="360" w:lineRule="exact"/>
        <w:ind w:firstLine="440" w:firstLineChars="200"/>
        <w:rPr>
          <w:rFonts w:ascii="宋体" w:hAnsi="宋体" w:cs="宋体"/>
          <w:sz w:val="22"/>
        </w:rPr>
      </w:pPr>
      <w:r>
        <w:rPr>
          <w:rFonts w:hint="eastAsia" w:ascii="宋体" w:hAnsi="宋体" w:cs="宋体"/>
          <w:sz w:val="22"/>
        </w:rPr>
        <w:t>（7）本专用合同其他条款约定的违约金。</w:t>
      </w:r>
    </w:p>
    <w:p>
      <w:pPr>
        <w:snapToGrid w:val="0"/>
        <w:spacing w:line="360" w:lineRule="exact"/>
        <w:ind w:firstLine="440" w:firstLineChars="200"/>
        <w:rPr>
          <w:rFonts w:ascii="宋体" w:hAnsi="宋体" w:cs="宋体"/>
          <w:sz w:val="22"/>
        </w:rPr>
      </w:pPr>
      <w:r>
        <w:rPr>
          <w:rFonts w:hint="eastAsia" w:ascii="宋体" w:hAnsi="宋体" w:cs="宋体"/>
          <w:sz w:val="22"/>
        </w:rPr>
        <w:t>22.1.8发包人根据法律规定或合同约定解除本合同的，发包人无须向承包人作任何赔偿或补偿。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22.1.9  因承包人弄虚作假骗取订立本合同或在本合同的履行中违约等情形而由发包人按法律规定或本合同的约定依法解除本合同的，则承包人应当向发包人承担如下义务或违约责任：</w:t>
      </w:r>
    </w:p>
    <w:p>
      <w:pPr>
        <w:snapToGrid w:val="0"/>
        <w:spacing w:line="360" w:lineRule="exact"/>
        <w:ind w:firstLine="440" w:firstLineChars="200"/>
        <w:rPr>
          <w:rFonts w:ascii="宋体" w:hAnsi="宋体" w:cs="宋体"/>
          <w:sz w:val="22"/>
        </w:rPr>
      </w:pPr>
      <w:r>
        <w:rPr>
          <w:rFonts w:hint="eastAsia" w:ascii="宋体" w:hAnsi="宋体" w:cs="宋体"/>
          <w:sz w:val="22"/>
        </w:rPr>
        <w:t>（1）向发包人支付不低于本合同约定的合同总价的10%作为违约金；</w:t>
      </w:r>
    </w:p>
    <w:p>
      <w:pPr>
        <w:snapToGrid w:val="0"/>
        <w:spacing w:line="360" w:lineRule="exact"/>
        <w:ind w:firstLine="440" w:firstLineChars="200"/>
        <w:rPr>
          <w:rFonts w:ascii="宋体" w:hAnsi="宋体" w:cs="宋体"/>
          <w:sz w:val="22"/>
        </w:rPr>
      </w:pPr>
      <w:r>
        <w:rPr>
          <w:rFonts w:hint="eastAsia" w:ascii="宋体" w:hAnsi="宋体" w:cs="宋体"/>
          <w:sz w:val="22"/>
        </w:rPr>
        <w:t>（2）承担发包人就本协议项下未完施工内容另行招标或其他方式订约所开支的费用；</w:t>
      </w:r>
    </w:p>
    <w:p>
      <w:pPr>
        <w:snapToGrid w:val="0"/>
        <w:spacing w:line="360" w:lineRule="exact"/>
        <w:ind w:firstLine="440" w:firstLineChars="200"/>
        <w:rPr>
          <w:rFonts w:ascii="宋体" w:hAnsi="宋体" w:cs="宋体"/>
          <w:sz w:val="22"/>
        </w:rPr>
      </w:pPr>
      <w:r>
        <w:rPr>
          <w:rFonts w:hint="eastAsia" w:ascii="宋体" w:hAnsi="宋体" w:cs="宋体"/>
          <w:sz w:val="22"/>
        </w:rPr>
        <w:t>（3）因解除本合同后发包人委托其他承包人提供本合同项下的施工服务的，则其他承包人相应施工内容的合同价款高于与本合同相应价款的差额，本合同承包人应向发包人赔偿；</w:t>
      </w:r>
    </w:p>
    <w:p>
      <w:pPr>
        <w:snapToGrid w:val="0"/>
        <w:spacing w:line="360" w:lineRule="exact"/>
        <w:ind w:firstLine="440" w:firstLineChars="200"/>
        <w:rPr>
          <w:rFonts w:ascii="宋体" w:hAnsi="宋体" w:cs="宋体"/>
          <w:sz w:val="22"/>
        </w:rPr>
      </w:pPr>
      <w:r>
        <w:rPr>
          <w:rFonts w:hint="eastAsia" w:ascii="宋体" w:hAnsi="宋体" w:cs="宋体"/>
          <w:sz w:val="22"/>
        </w:rPr>
        <w:t>（4）赔偿发包人遭受的其他实际损失；</w:t>
      </w:r>
    </w:p>
    <w:p>
      <w:pPr>
        <w:snapToGrid w:val="0"/>
        <w:spacing w:line="360" w:lineRule="exact"/>
        <w:ind w:firstLine="440" w:firstLineChars="200"/>
        <w:rPr>
          <w:rFonts w:ascii="宋体" w:hAnsi="宋体" w:cs="宋体"/>
          <w:sz w:val="22"/>
        </w:rPr>
      </w:pPr>
      <w:r>
        <w:rPr>
          <w:rFonts w:hint="eastAsia" w:ascii="宋体" w:hAnsi="宋体" w:cs="宋体"/>
          <w:sz w:val="22"/>
        </w:rPr>
        <w:t>（5）在发包人指定期限内，无条件的向发包人所确定的其他承包人妥善移交本合同解除前形成的施工工作内容及一切相关文件资料，逾期移交的应向发包人支付本合同总价千分之一每一延误日的违约金。</w:t>
      </w:r>
    </w:p>
    <w:p>
      <w:pPr>
        <w:snapToGrid w:val="0"/>
        <w:spacing w:line="360" w:lineRule="exact"/>
        <w:ind w:firstLine="440" w:firstLineChars="200"/>
        <w:rPr>
          <w:rFonts w:ascii="宋体" w:hAnsi="宋体" w:cs="宋体"/>
          <w:sz w:val="22"/>
        </w:rPr>
      </w:pPr>
      <w:r>
        <w:rPr>
          <w:rFonts w:hint="eastAsia" w:ascii="宋体" w:hAnsi="宋体" w:cs="宋体"/>
          <w:sz w:val="22"/>
        </w:rPr>
        <w:t>22.1.10 本合同履行中，因承包人违约，发包人扣除全部或部分履约金的，则自发包人书面通知之日起5日内，承包人应以银行转账方式向发包人补足该履约保证金；逾期补足的，承包人应向发包人按未补足金额的千分之一每日计付违约金。</w:t>
      </w:r>
    </w:p>
    <w:p>
      <w:pPr>
        <w:snapToGrid w:val="0"/>
        <w:spacing w:line="360" w:lineRule="exact"/>
        <w:ind w:firstLine="440" w:firstLineChars="200"/>
        <w:rPr>
          <w:rFonts w:ascii="宋体" w:hAnsi="宋体" w:cs="宋体"/>
          <w:sz w:val="22"/>
        </w:rPr>
      </w:pPr>
      <w:r>
        <w:rPr>
          <w:rFonts w:hint="eastAsia" w:ascii="宋体" w:hAnsi="宋体" w:cs="宋体"/>
          <w:sz w:val="22"/>
        </w:rPr>
        <w:t>22.1.11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pPr>
        <w:snapToGrid w:val="0"/>
        <w:spacing w:line="360" w:lineRule="exact"/>
        <w:rPr>
          <w:rFonts w:ascii="宋体" w:hAnsi="宋体" w:cs="宋体"/>
          <w:sz w:val="22"/>
        </w:rPr>
      </w:pPr>
      <w:r>
        <w:rPr>
          <w:rFonts w:hint="eastAsia" w:ascii="宋体" w:hAnsi="宋体" w:cs="宋体"/>
          <w:sz w:val="22"/>
        </w:rPr>
        <w:t>24．争议的解决</w:t>
      </w:r>
    </w:p>
    <w:p>
      <w:pPr>
        <w:snapToGrid w:val="0"/>
        <w:spacing w:line="360" w:lineRule="exact"/>
        <w:rPr>
          <w:rFonts w:ascii="宋体" w:hAnsi="宋体" w:cs="宋体"/>
          <w:sz w:val="22"/>
        </w:rPr>
      </w:pPr>
      <w:r>
        <w:rPr>
          <w:rFonts w:hint="eastAsia" w:ascii="宋体" w:hAnsi="宋体" w:cs="宋体"/>
          <w:sz w:val="22"/>
        </w:rPr>
        <w:t>24.1 争议的解决方式</w:t>
      </w:r>
    </w:p>
    <w:p>
      <w:pPr>
        <w:snapToGrid w:val="0"/>
        <w:spacing w:line="360" w:lineRule="exact"/>
        <w:ind w:firstLine="440" w:firstLineChars="200"/>
        <w:rPr>
          <w:rFonts w:ascii="宋体" w:hAnsi="宋体" w:cs="宋体"/>
          <w:sz w:val="22"/>
        </w:rPr>
      </w:pPr>
      <w:r>
        <w:rPr>
          <w:rFonts w:hint="eastAsia" w:ascii="宋体" w:hAnsi="宋体" w:cs="宋体"/>
          <w:sz w:val="22"/>
        </w:rPr>
        <w:t>双方约定，在履行合同过程中产生的争议时，可请工程所在地建设行政主管部门调解，协商不成的：向工程所在地的人民法院起诉，工程所在地为杭州萧山国际机场内。</w:t>
      </w:r>
    </w:p>
    <w:p>
      <w:pPr>
        <w:snapToGrid w:val="0"/>
        <w:spacing w:line="360" w:lineRule="exact"/>
        <w:rPr>
          <w:rFonts w:ascii="宋体" w:hAnsi="宋体" w:cs="宋体"/>
          <w:sz w:val="22"/>
        </w:rPr>
      </w:pPr>
      <w:r>
        <w:rPr>
          <w:rFonts w:hint="eastAsia" w:ascii="宋体" w:hAnsi="宋体" w:cs="宋体"/>
          <w:sz w:val="22"/>
        </w:rPr>
        <w:t>25．其他补充条款</w:t>
      </w:r>
    </w:p>
    <w:p>
      <w:pPr>
        <w:snapToGrid w:val="0"/>
        <w:spacing w:line="360" w:lineRule="exact"/>
        <w:rPr>
          <w:rFonts w:ascii="宋体" w:hAnsi="宋体" w:cs="宋体"/>
          <w:sz w:val="22"/>
        </w:rPr>
      </w:pPr>
      <w:r>
        <w:rPr>
          <w:rFonts w:hint="eastAsia" w:ascii="宋体" w:hAnsi="宋体" w:cs="宋体"/>
          <w:sz w:val="22"/>
        </w:rPr>
        <w:t>25.1 投标文件的充分性</w:t>
      </w:r>
    </w:p>
    <w:p>
      <w:pPr>
        <w:snapToGrid w:val="0"/>
        <w:spacing w:line="360" w:lineRule="exact"/>
        <w:ind w:firstLine="440" w:firstLineChars="200"/>
        <w:rPr>
          <w:rFonts w:ascii="宋体" w:hAnsi="宋体" w:cs="宋体"/>
          <w:sz w:val="22"/>
        </w:rPr>
      </w:pPr>
      <w:r>
        <w:rPr>
          <w:rFonts w:hint="eastAsia" w:ascii="宋体" w:hAnsi="宋体" w:cs="宋体"/>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snapToGrid w:val="0"/>
        <w:spacing w:line="360" w:lineRule="exact"/>
        <w:rPr>
          <w:rFonts w:ascii="宋体" w:hAnsi="宋体" w:cs="宋体"/>
          <w:sz w:val="22"/>
        </w:rPr>
      </w:pPr>
      <w:r>
        <w:rPr>
          <w:rFonts w:hint="eastAsia" w:ascii="宋体" w:hAnsi="宋体" w:cs="宋体"/>
          <w:sz w:val="22"/>
        </w:rPr>
        <w:t>25.2 承包人确认其提交的投标文件以及工程量清单中开列的各项价格的正确性和充分性。除非合同另有约定，承包人提交的投标文件以及工程量清单中开列的各项价格已经全面、充分地体现和覆盖了：</w:t>
      </w:r>
    </w:p>
    <w:p>
      <w:pPr>
        <w:snapToGrid w:val="0"/>
        <w:spacing w:line="360" w:lineRule="exact"/>
        <w:ind w:firstLine="440" w:firstLineChars="200"/>
        <w:rPr>
          <w:rFonts w:ascii="宋体" w:hAnsi="宋体" w:cs="宋体"/>
          <w:sz w:val="22"/>
        </w:rPr>
      </w:pPr>
      <w:r>
        <w:rPr>
          <w:rFonts w:hint="eastAsia" w:ascii="宋体" w:hAnsi="宋体" w:cs="宋体"/>
          <w:sz w:val="22"/>
        </w:rPr>
        <w:t>（1） 承包人根据合同应承担的全部义务；</w:t>
      </w:r>
    </w:p>
    <w:p>
      <w:pPr>
        <w:snapToGrid w:val="0"/>
        <w:spacing w:line="360" w:lineRule="exact"/>
        <w:ind w:firstLine="440" w:firstLineChars="200"/>
        <w:rPr>
          <w:rFonts w:ascii="宋体" w:hAnsi="宋体" w:cs="宋体"/>
          <w:sz w:val="22"/>
        </w:rPr>
      </w:pPr>
      <w:r>
        <w:rPr>
          <w:rFonts w:hint="eastAsia" w:ascii="宋体" w:hAnsi="宋体" w:cs="宋体"/>
          <w:sz w:val="22"/>
        </w:rPr>
        <w:t>（2） 为该工程的正确实施、竣工后修补由于承包人原因造成的缺陷所必须发生的一切开支。</w:t>
      </w:r>
    </w:p>
    <w:p>
      <w:pPr>
        <w:snapToGrid w:val="0"/>
        <w:spacing w:line="360" w:lineRule="exact"/>
        <w:rPr>
          <w:rFonts w:ascii="宋体" w:hAnsi="宋体" w:cs="宋体"/>
          <w:sz w:val="22"/>
        </w:rPr>
      </w:pPr>
      <w:r>
        <w:rPr>
          <w:rFonts w:hint="eastAsia" w:ascii="宋体" w:hAnsi="宋体" w:cs="宋体"/>
          <w:sz w:val="22"/>
        </w:rPr>
        <w:t>25.3 本工程联系单签证均以发包人公章为准，未加盖发包人公章的均为无效签证。</w:t>
      </w:r>
    </w:p>
    <w:p>
      <w:pPr>
        <w:snapToGrid w:val="0"/>
        <w:spacing w:line="360" w:lineRule="exact"/>
        <w:rPr>
          <w:rFonts w:ascii="宋体" w:hAnsi="宋体" w:cs="宋体"/>
          <w:sz w:val="22"/>
        </w:rPr>
      </w:pPr>
      <w:r>
        <w:rPr>
          <w:rFonts w:hint="eastAsia" w:ascii="宋体" w:hAnsi="宋体" w:cs="宋体"/>
          <w:sz w:val="22"/>
        </w:rPr>
        <w:t>25.4 凡涉及设计变更需设计院出具联系单或施工图的，承包人必须经发包人授权方可与设计院联系，承包人不得与设计院单向联系，否则该设计签证无效。</w:t>
      </w:r>
    </w:p>
    <w:p>
      <w:pPr>
        <w:snapToGrid w:val="0"/>
        <w:spacing w:line="360" w:lineRule="exact"/>
        <w:rPr>
          <w:rFonts w:ascii="宋体" w:hAnsi="宋体" w:cs="宋体"/>
          <w:sz w:val="22"/>
        </w:rPr>
      </w:pPr>
      <w:r>
        <w:rPr>
          <w:rFonts w:hint="eastAsia" w:ascii="宋体" w:hAnsi="宋体" w:cs="宋体"/>
          <w:sz w:val="22"/>
        </w:rPr>
        <w:t>25.5本工程须注意以下事项：</w:t>
      </w:r>
    </w:p>
    <w:p>
      <w:pPr>
        <w:snapToGrid w:val="0"/>
        <w:spacing w:line="360" w:lineRule="exact"/>
        <w:ind w:firstLine="440" w:firstLineChars="200"/>
        <w:rPr>
          <w:rFonts w:ascii="宋体" w:hAnsi="宋体" w:cs="宋体"/>
          <w:sz w:val="22"/>
        </w:rPr>
      </w:pPr>
      <w:r>
        <w:rPr>
          <w:rFonts w:hint="eastAsia" w:ascii="宋体" w:hAnsi="宋体" w:cs="宋体"/>
          <w:sz w:val="22"/>
        </w:rPr>
        <w:t>（1）与承包人签订《杭州萧山国际机场安全文明施工协议书》；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（2）承包人应严格按“杭州市文明标化工地”的要求组织施工；</w:t>
      </w:r>
    </w:p>
    <w:p>
      <w:pPr>
        <w:snapToGrid w:val="0"/>
        <w:spacing w:line="360" w:lineRule="exact"/>
        <w:ind w:firstLine="440" w:firstLineChars="200"/>
        <w:rPr>
          <w:rFonts w:ascii="宋体" w:hAnsi="宋体" w:cs="宋体"/>
          <w:sz w:val="22"/>
        </w:rPr>
      </w:pPr>
      <w:r>
        <w:rPr>
          <w:rFonts w:hint="eastAsia" w:ascii="宋体" w:hAnsi="宋体" w:cs="宋体"/>
          <w:sz w:val="22"/>
        </w:rPr>
        <w:t>（3）工程质量目标须无条件满足招标人的总体质量目标；</w:t>
      </w:r>
    </w:p>
    <w:p>
      <w:pPr>
        <w:snapToGrid w:val="0"/>
        <w:spacing w:line="360" w:lineRule="exact"/>
        <w:ind w:firstLine="440" w:firstLineChars="200"/>
        <w:rPr>
          <w:rFonts w:ascii="宋体" w:hAnsi="宋体" w:cs="宋体"/>
          <w:sz w:val="22"/>
        </w:rPr>
      </w:pPr>
      <w:r>
        <w:rPr>
          <w:rFonts w:hint="eastAsia" w:ascii="宋体" w:hAnsi="宋体" w:cs="宋体"/>
          <w:sz w:val="22"/>
        </w:rPr>
        <w:t>（4）按工程总进度计划安排施工；</w:t>
      </w:r>
    </w:p>
    <w:p>
      <w:pPr>
        <w:snapToGrid w:val="0"/>
        <w:spacing w:line="360" w:lineRule="exact"/>
        <w:ind w:firstLine="440" w:firstLineChars="200"/>
        <w:rPr>
          <w:rFonts w:ascii="宋体" w:hAnsi="宋体" w:cs="宋体"/>
          <w:sz w:val="22"/>
        </w:rPr>
      </w:pPr>
      <w:r>
        <w:rPr>
          <w:rFonts w:hint="eastAsia" w:ascii="宋体" w:hAnsi="宋体" w:cs="宋体"/>
          <w:sz w:val="22"/>
        </w:rPr>
        <w:t>（5）承包人如需在场内搭建临设，必须征得发包人同意，并在发包人指定地点搭建；</w:t>
      </w:r>
    </w:p>
    <w:p>
      <w:pPr>
        <w:snapToGrid w:val="0"/>
        <w:spacing w:line="360" w:lineRule="exact"/>
        <w:ind w:firstLine="440" w:firstLineChars="200"/>
        <w:rPr>
          <w:rFonts w:ascii="宋体" w:hAnsi="宋体" w:cs="宋体"/>
          <w:sz w:val="22"/>
        </w:rPr>
      </w:pPr>
      <w:r>
        <w:rPr>
          <w:rFonts w:hint="eastAsia" w:ascii="宋体" w:hAnsi="宋体" w:cs="宋体"/>
          <w:sz w:val="22"/>
        </w:rPr>
        <w:t>（6）发包人负责提供水、电源接入点，水电费用由承包人承担；</w:t>
      </w:r>
    </w:p>
    <w:p>
      <w:pPr>
        <w:snapToGrid w:val="0"/>
        <w:spacing w:line="360" w:lineRule="exact"/>
        <w:rPr>
          <w:rFonts w:ascii="宋体" w:hAnsi="宋体" w:cs="宋体"/>
          <w:sz w:val="22"/>
        </w:rPr>
      </w:pPr>
      <w:r>
        <w:rPr>
          <w:rFonts w:hint="eastAsia" w:ascii="宋体" w:hAnsi="宋体" w:cs="宋体"/>
          <w:sz w:val="22"/>
        </w:rPr>
        <w:t>25.6工程、设计变更及现场签证管理按有关文件执行。</w:t>
      </w:r>
    </w:p>
    <w:p>
      <w:pPr>
        <w:snapToGrid w:val="0"/>
        <w:spacing w:line="360" w:lineRule="exact"/>
        <w:rPr>
          <w:rFonts w:ascii="宋体" w:hAnsi="宋体" w:cs="宋体"/>
          <w:sz w:val="22"/>
        </w:rPr>
      </w:pPr>
      <w:r>
        <w:rPr>
          <w:rFonts w:hint="eastAsia" w:ascii="宋体" w:hAnsi="宋体" w:cs="宋体"/>
          <w:sz w:val="22"/>
        </w:rPr>
        <w:t>25.7双方同意，若对本工程质量有争议，则由发包人指定的鉴定机构鉴定，鉴定费用由造成质量瑕疵的责任方承担。</w:t>
      </w:r>
    </w:p>
    <w:p>
      <w:pPr>
        <w:snapToGrid w:val="0"/>
        <w:spacing w:line="360" w:lineRule="exact"/>
        <w:rPr>
          <w:rFonts w:ascii="宋体" w:hAnsi="宋体" w:cs="宋体"/>
          <w:sz w:val="22"/>
        </w:rPr>
      </w:pPr>
      <w:r>
        <w:rPr>
          <w:rFonts w:hint="eastAsia" w:ascii="宋体" w:hAnsi="宋体" w:cs="宋体"/>
          <w:sz w:val="22"/>
        </w:rPr>
        <w:t>25.8本合同于签订后，发现存在以下情形之一的，发包人有权解除本合同：</w:t>
      </w:r>
    </w:p>
    <w:p>
      <w:pPr>
        <w:snapToGrid w:val="0"/>
        <w:spacing w:line="360" w:lineRule="exact"/>
        <w:ind w:firstLine="440" w:firstLineChars="200"/>
        <w:rPr>
          <w:rFonts w:ascii="宋体" w:hAnsi="宋体" w:cs="宋体"/>
          <w:sz w:val="22"/>
        </w:rPr>
      </w:pPr>
      <w:r>
        <w:rPr>
          <w:rFonts w:hint="eastAsia" w:ascii="宋体" w:hAnsi="宋体" w:cs="宋体"/>
          <w:sz w:val="22"/>
        </w:rPr>
        <w:t>（1）本合同签订前的招标投标过程中未发现的错误，可能导致承包人潜在获利，而承包人在接到发包人对本合同的相应修正要求后，在发包人指定的期限内拒绝按要求予以修正的；</w:t>
      </w:r>
    </w:p>
    <w:p>
      <w:pPr>
        <w:snapToGrid w:val="0"/>
        <w:spacing w:line="360" w:lineRule="exact"/>
        <w:ind w:firstLine="440" w:firstLineChars="200"/>
        <w:rPr>
          <w:rFonts w:ascii="宋体" w:hAnsi="宋体" w:cs="宋体"/>
          <w:sz w:val="22"/>
        </w:rPr>
      </w:pPr>
      <w:r>
        <w:rPr>
          <w:rFonts w:hint="eastAsia" w:ascii="宋体" w:hAnsi="宋体" w:cs="宋体"/>
          <w:sz w:val="22"/>
        </w:rPr>
        <w:t>（2）承包人实施出借或借用他人资质；在投标中实施虚假承诺、隐瞒或虚构事实等弄虚作假行为；有串通投标；向招标人或评标委员会成员行贿等不正当行为；</w:t>
      </w:r>
    </w:p>
    <w:p>
      <w:pPr>
        <w:snapToGrid w:val="0"/>
        <w:spacing w:line="360" w:lineRule="exact"/>
        <w:ind w:firstLine="440" w:firstLineChars="200"/>
        <w:rPr>
          <w:rFonts w:ascii="宋体" w:hAnsi="宋体" w:cs="宋体"/>
          <w:sz w:val="22"/>
        </w:rPr>
      </w:pPr>
      <w:r>
        <w:rPr>
          <w:rFonts w:hint="eastAsia" w:ascii="宋体" w:hAnsi="宋体" w:cs="宋体"/>
          <w:sz w:val="22"/>
        </w:rPr>
        <w:t>（3）承包人在2009年1月1日后承建的施工工程中存在较大生产安全事故的（较大生产安全事故的认定以国务院493号令为准）；</w:t>
      </w:r>
    </w:p>
    <w:p>
      <w:pPr>
        <w:snapToGrid w:val="0"/>
        <w:spacing w:line="360" w:lineRule="exact"/>
        <w:ind w:firstLine="440" w:firstLineChars="200"/>
        <w:rPr>
          <w:rFonts w:ascii="宋体" w:hAnsi="宋体" w:cs="宋体"/>
          <w:sz w:val="22"/>
        </w:rPr>
      </w:pPr>
      <w:r>
        <w:rPr>
          <w:rFonts w:hint="eastAsia" w:ascii="宋体" w:hAnsi="宋体" w:cs="宋体"/>
          <w:sz w:val="22"/>
        </w:rPr>
        <w:t>（4）承包人存在集体性（10人以上）的内部劳动人事纠纷、股东（产权人）或资产纠纷、偿债危机等经营变故，且发包人认为该等情形对承包人是否能全面履行投标承诺存在重大不确定性的；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（5）承包人正处于或将面临重大诉讼、仲裁，且发包人认为该等情形对承包人是否能全面履行投标承诺存在重大不确定性的；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（6）承包人与本工程相关的应有资格、资质、认证或其他行政许可已被终止、中止或暂扣的；</w:t>
      </w:r>
    </w:p>
    <w:p>
      <w:pPr>
        <w:snapToGrid w:val="0"/>
        <w:spacing w:line="360" w:lineRule="exact"/>
        <w:ind w:firstLine="440" w:firstLineChars="200"/>
        <w:rPr>
          <w:rFonts w:ascii="宋体" w:hAnsi="宋体" w:cs="宋体"/>
          <w:sz w:val="22"/>
        </w:rPr>
      </w:pPr>
      <w:r>
        <w:rPr>
          <w:rFonts w:hint="eastAsia" w:ascii="宋体" w:hAnsi="宋体" w:cs="宋体"/>
          <w:sz w:val="22"/>
        </w:rPr>
        <w:t>（7）中标项目经理或项目技术负责人在任其他在建工程且未在发包人限定的时间内办妥退出其他在建工程任职手续的。</w:t>
      </w:r>
    </w:p>
    <w:p>
      <w:pPr>
        <w:snapToGrid w:val="0"/>
        <w:spacing w:line="360" w:lineRule="exact"/>
        <w:ind w:firstLine="440" w:firstLineChars="200"/>
        <w:rPr>
          <w:rFonts w:ascii="宋体" w:hAnsi="宋体" w:cs="宋体"/>
          <w:sz w:val="22"/>
        </w:rPr>
      </w:pPr>
      <w:r>
        <w:rPr>
          <w:rFonts w:hint="eastAsia" w:ascii="宋体" w:hAnsi="宋体" w:cs="宋体"/>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pPr>
        <w:snapToGrid w:val="0"/>
        <w:spacing w:line="360" w:lineRule="exact"/>
        <w:ind w:firstLine="440" w:firstLineChars="200"/>
        <w:rPr>
          <w:rFonts w:ascii="宋体" w:hAnsi="宋体" w:cs="宋体"/>
          <w:sz w:val="22"/>
        </w:rPr>
      </w:pPr>
      <w:r>
        <w:rPr>
          <w:rFonts w:hint="eastAsia" w:ascii="宋体" w:hAnsi="宋体" w:cs="宋体"/>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snapToGrid w:val="0"/>
        <w:spacing w:line="360" w:lineRule="exact"/>
        <w:rPr>
          <w:rFonts w:ascii="宋体" w:hAnsi="宋体" w:cs="宋体"/>
          <w:sz w:val="22"/>
        </w:rPr>
      </w:pPr>
      <w:r>
        <w:rPr>
          <w:rFonts w:hint="eastAsia" w:ascii="宋体" w:hAnsi="宋体" w:cs="宋体"/>
          <w:sz w:val="22"/>
        </w:rPr>
        <w:t>25.9承包人及其人员在签订和履行本合同中所知悉的发包人商业秘密，应予严格保密。</w:t>
      </w:r>
    </w:p>
    <w:p>
      <w:pPr>
        <w:snapToGrid w:val="0"/>
        <w:spacing w:line="360" w:lineRule="exact"/>
        <w:rPr>
          <w:rFonts w:ascii="宋体" w:hAnsi="宋体" w:cs="宋体"/>
          <w:sz w:val="22"/>
        </w:rPr>
      </w:pPr>
      <w:r>
        <w:rPr>
          <w:rFonts w:hint="eastAsia" w:ascii="宋体" w:hAnsi="宋体" w:cs="宋体"/>
          <w:sz w:val="22"/>
        </w:rPr>
        <w:t>25.10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pPr>
        <w:snapToGrid w:val="0"/>
        <w:spacing w:line="360" w:lineRule="exact"/>
        <w:rPr>
          <w:rFonts w:ascii="宋体" w:hAnsi="宋体" w:cs="宋体"/>
          <w:sz w:val="22"/>
        </w:rPr>
      </w:pPr>
      <w:r>
        <w:rPr>
          <w:rFonts w:hint="eastAsia" w:ascii="宋体" w:hAnsi="宋体" w:cs="宋体"/>
          <w:sz w:val="22"/>
        </w:rPr>
        <w:t>25.11双方确认，通用条款第23.4款关于发包人提出索赔的期限要求不被被合同所采纳与适用，发包人的索赔权利不受该等时限的限制。</w:t>
      </w:r>
    </w:p>
    <w:p>
      <w:pPr>
        <w:snapToGrid w:val="0"/>
        <w:spacing w:line="360" w:lineRule="exact"/>
        <w:rPr>
          <w:rFonts w:ascii="宋体" w:hAnsi="宋体" w:cs="宋体"/>
          <w:sz w:val="22"/>
        </w:rPr>
      </w:pPr>
      <w:r>
        <w:rPr>
          <w:rFonts w:hint="eastAsia" w:ascii="宋体" w:hAnsi="宋体" w:cs="宋体"/>
          <w:sz w:val="22"/>
        </w:rPr>
        <w:t>25.12承包人进场后应服从发包人的监督和管理。</w:t>
      </w:r>
    </w:p>
    <w:p>
      <w:pPr>
        <w:snapToGrid w:val="0"/>
        <w:spacing w:line="360" w:lineRule="exact"/>
        <w:rPr>
          <w:rFonts w:ascii="宋体" w:hAnsi="宋体" w:cs="宋体"/>
          <w:sz w:val="22"/>
        </w:rPr>
      </w:pPr>
      <w:r>
        <w:rPr>
          <w:rFonts w:hint="eastAsia" w:ascii="宋体" w:hAnsi="宋体" w:cs="宋体"/>
          <w:sz w:val="22"/>
        </w:rPr>
        <w:t>25.13承包人进场后应签订《工程质量保修书》（附件一）、和《安全文明施工协议书》（附件二），服从发包人的监督和管理。</w:t>
      </w:r>
    </w:p>
    <w:p>
      <w:pPr>
        <w:snapToGrid w:val="0"/>
        <w:spacing w:line="360" w:lineRule="exact"/>
        <w:rPr>
          <w:rFonts w:ascii="宋体" w:hAnsi="宋体" w:eastAsia="宋体" w:cs="宋体"/>
          <w:sz w:val="22"/>
        </w:rPr>
      </w:pPr>
      <w:r>
        <w:rPr>
          <w:rFonts w:ascii="宋体" w:hAnsi="宋体" w:eastAsia="宋体" w:cs="宋体"/>
          <w:sz w:val="22"/>
        </w:rPr>
        <w:t>25.14施工及生活用水：由发包人提供用水接口，场内接管、安装水表由承包人自行解决，承包人施工前需向机场水电管理部门提出申请并通过。水费以水务集团水价4.4元/吨为基础单价，并在基础单价上加收30%的水费转供设施维护费(加收部分主要是损耗、运行维护、维修费等)。如自来水公司水价调整，水费单价也作相应的调整，收取的30%</w:t>
      </w:r>
      <w:r>
        <w:rPr>
          <w:rFonts w:hint="eastAsia" w:ascii="宋体" w:hAnsi="宋体" w:eastAsia="宋体" w:cs="宋体"/>
          <w:sz w:val="22"/>
        </w:rPr>
        <w:t>费率不变，收费单价保留小数点后两位，四舍五入，用水计量以发包人计量为准。</w:t>
      </w:r>
    </w:p>
    <w:p>
      <w:pPr>
        <w:snapToGrid w:val="0"/>
        <w:spacing w:line="360" w:lineRule="exact"/>
        <w:rPr>
          <w:rFonts w:ascii="宋体" w:hAnsi="宋体" w:eastAsia="宋体" w:cs="宋体"/>
          <w:sz w:val="22"/>
        </w:rPr>
      </w:pPr>
      <w:r>
        <w:rPr>
          <w:rFonts w:ascii="宋体" w:hAnsi="宋体" w:eastAsia="宋体" w:cs="宋体"/>
          <w:sz w:val="22"/>
        </w:rPr>
        <w:t>25.15施工用电：由发包人提供用电接口，场内接管、安装电表由承包人自行解决，承包人施工前需向机场水电管理部门提出申请并通过。电费以供电局电价0.8149元/度为基础单价，并在基础单价上加收20%的电费转供设施维护费(加收部分主要是损耗、运行维护、维修费等)。如供电局电价调整，电费单价也作相应的调整，收取的20%费率不变，收费单价保留小数点后两位，四舍五入，用电计量以发包人计量为准。</w:t>
      </w:r>
    </w:p>
    <w:p>
      <w:pPr>
        <w:snapToGrid w:val="0"/>
        <w:spacing w:line="360" w:lineRule="exact"/>
        <w:rPr>
          <w:rFonts w:ascii="宋体" w:hAnsi="宋体" w:cs="宋体"/>
          <w:sz w:val="22"/>
        </w:rPr>
      </w:pPr>
      <w:r>
        <w:rPr>
          <w:rFonts w:hint="eastAsia" w:ascii="宋体" w:hAnsi="宋体" w:cs="宋体"/>
          <w:sz w:val="22"/>
        </w:rPr>
        <w:t>25.16合同份数：一式陆份，发包人执肆份，承包人执贰份，同等有效。</w:t>
      </w:r>
    </w:p>
    <w:p>
      <w:pPr>
        <w:snapToGrid w:val="0"/>
        <w:spacing w:line="360" w:lineRule="exact"/>
        <w:rPr>
          <w:rFonts w:ascii="宋体" w:hAnsi="宋体" w:cs="宋体"/>
          <w:sz w:val="22"/>
        </w:rPr>
      </w:pPr>
      <w:r>
        <w:rPr>
          <w:rFonts w:hint="eastAsia" w:ascii="宋体" w:hAnsi="宋体" w:cs="宋体"/>
          <w:sz w:val="22"/>
        </w:rPr>
        <w:t>25.17附件：</w:t>
      </w:r>
    </w:p>
    <w:p>
      <w:pPr>
        <w:snapToGrid w:val="0"/>
        <w:spacing w:line="360" w:lineRule="exact"/>
        <w:ind w:firstLine="440" w:firstLineChars="200"/>
        <w:rPr>
          <w:rFonts w:ascii="宋体" w:hAnsi="宋体" w:cs="宋体"/>
          <w:sz w:val="22"/>
        </w:rPr>
      </w:pPr>
      <w:r>
        <w:rPr>
          <w:rFonts w:hint="eastAsia" w:ascii="宋体" w:hAnsi="宋体" w:cs="宋体"/>
          <w:sz w:val="22"/>
        </w:rPr>
        <w:t xml:space="preserve">附件一：工程质量保修书 </w:t>
      </w:r>
    </w:p>
    <w:p>
      <w:pPr>
        <w:snapToGrid w:val="0"/>
        <w:spacing w:line="360" w:lineRule="exact"/>
        <w:ind w:firstLine="440" w:firstLineChars="200"/>
        <w:rPr>
          <w:rFonts w:ascii="宋体" w:hAnsi="宋体" w:cs="宋体"/>
          <w:sz w:val="22"/>
        </w:rPr>
      </w:pPr>
      <w:r>
        <w:rPr>
          <w:rFonts w:hint="eastAsia" w:ascii="宋体" w:hAnsi="宋体" w:cs="宋体"/>
          <w:sz w:val="22"/>
        </w:rPr>
        <w:t>附件二：安全文明施工协议书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附件三：廉洁自律承诺书</w:t>
      </w:r>
    </w:p>
    <w:p>
      <w:pPr>
        <w:snapToGrid w:val="0"/>
        <w:spacing w:line="360" w:lineRule="exact"/>
        <w:ind w:firstLine="440" w:firstLineChars="200"/>
        <w:rPr>
          <w:rFonts w:ascii="宋体" w:hAnsi="宋体" w:cs="宋体"/>
          <w:sz w:val="22"/>
        </w:rPr>
      </w:pPr>
      <w:r>
        <w:rPr>
          <w:rFonts w:hint="eastAsia" w:ascii="宋体" w:hAnsi="宋体" w:cs="宋体"/>
          <w:sz w:val="22"/>
        </w:rPr>
        <w:t>附件四：杭州萧山国际机场</w:t>
      </w:r>
      <w:r>
        <w:rPr>
          <w:rFonts w:hint="eastAsia" w:ascii="宋体" w:hAnsi="宋体" w:cs="Arial"/>
          <w:kern w:val="0"/>
          <w:sz w:val="22"/>
        </w:rPr>
        <w:t>飞行区标志线更新维护项目</w:t>
      </w:r>
      <w:r>
        <w:rPr>
          <w:rFonts w:hint="eastAsia" w:ascii="宋体" w:hAnsi="宋体" w:cs="宋体"/>
          <w:sz w:val="22"/>
        </w:rPr>
        <w:t>考核期考核标准</w:t>
      </w:r>
    </w:p>
    <w:p>
      <w:pPr>
        <w:snapToGrid w:val="0"/>
        <w:spacing w:line="360" w:lineRule="exact"/>
        <w:ind w:firstLine="440" w:firstLineChars="200"/>
        <w:rPr>
          <w:rFonts w:ascii="宋体" w:hAnsi="宋体" w:cs="宋体"/>
          <w:sz w:val="22"/>
        </w:rPr>
      </w:pPr>
    </w:p>
    <w:p>
      <w:pPr>
        <w:tabs>
          <w:tab w:val="left" w:pos="540"/>
        </w:tabs>
        <w:topLinePunct/>
        <w:rPr>
          <w:rFonts w:ascii="宋体" w:hAnsi="宋体" w:cs="宋体"/>
        </w:rPr>
      </w:pPr>
      <w:r>
        <w:rPr>
          <w:rFonts w:hint="eastAsia" w:ascii="宋体" w:hAnsi="宋体" w:cs="宋体"/>
        </w:rPr>
        <w:br w:type="page"/>
      </w:r>
      <w:r>
        <w:rPr>
          <w:rFonts w:hint="eastAsia" w:ascii="宋体" w:hAnsi="宋体" w:cs="宋体"/>
        </w:rPr>
        <w:t>附件一</w:t>
      </w:r>
    </w:p>
    <w:p>
      <w:pPr>
        <w:tabs>
          <w:tab w:val="left" w:pos="540"/>
        </w:tabs>
        <w:topLinePunct/>
        <w:ind w:firstLine="723"/>
        <w:jc w:val="center"/>
        <w:rPr>
          <w:rFonts w:ascii="宋体" w:hAnsi="宋体" w:cs="宋体"/>
          <w:b/>
          <w:sz w:val="36"/>
        </w:rPr>
      </w:pPr>
      <w:r>
        <w:rPr>
          <w:rFonts w:hint="eastAsia" w:ascii="宋体" w:hAnsi="宋体" w:cs="宋体"/>
          <w:b/>
          <w:sz w:val="36"/>
        </w:rPr>
        <w:t>工程质量保修书</w:t>
      </w:r>
    </w:p>
    <w:p>
      <w:pPr>
        <w:spacing w:line="340" w:lineRule="exact"/>
        <w:rPr>
          <w:rFonts w:ascii="宋体" w:hAnsi="宋体" w:cs="宋体"/>
          <w:sz w:val="22"/>
        </w:rPr>
      </w:pPr>
      <w:r>
        <w:rPr>
          <w:rFonts w:hint="eastAsia" w:ascii="宋体" w:hAnsi="宋体" w:cs="宋体"/>
          <w:sz w:val="22"/>
        </w:rPr>
        <w:t xml:space="preserve">发包人（全称）：杭州萧山国际机场有限公司                                </w:t>
      </w:r>
    </w:p>
    <w:p>
      <w:pPr>
        <w:spacing w:line="340" w:lineRule="exact"/>
        <w:rPr>
          <w:rFonts w:ascii="宋体" w:hAnsi="宋体" w:cs="宋体"/>
          <w:sz w:val="22"/>
        </w:rPr>
      </w:pPr>
      <w:r>
        <w:rPr>
          <w:rFonts w:hint="eastAsia" w:ascii="宋体" w:hAnsi="宋体" w:cs="宋体"/>
          <w:sz w:val="22"/>
        </w:rPr>
        <w:t xml:space="preserve">承包人（全称）：                                 </w:t>
      </w:r>
    </w:p>
    <w:p>
      <w:pPr>
        <w:spacing w:line="340" w:lineRule="exact"/>
        <w:rPr>
          <w:rFonts w:ascii="宋体" w:hAnsi="宋体" w:cs="宋体"/>
          <w:sz w:val="22"/>
        </w:rPr>
      </w:pPr>
      <w:r>
        <w:rPr>
          <w:rFonts w:hint="eastAsia" w:ascii="宋体" w:hAnsi="宋体" w:cs="宋体"/>
          <w:sz w:val="22"/>
        </w:rPr>
        <w:t xml:space="preserve">    发包人和承包人根据《中华人民共和国建筑法》和《建设工程质量管理条例》，经协商一致就</w:t>
      </w:r>
      <w:r>
        <w:rPr>
          <w:rFonts w:hint="eastAsia" w:ascii="宋体" w:hAnsi="宋体" w:cs="宋体"/>
          <w:b/>
          <w:sz w:val="22"/>
          <w:u w:val="single"/>
        </w:rPr>
        <w:t>杭州萧山国际机场飞行区标志线更新维护项目</w:t>
      </w:r>
      <w:r>
        <w:rPr>
          <w:rFonts w:hint="eastAsia" w:ascii="宋体" w:hAnsi="宋体" w:cs="宋体"/>
          <w:sz w:val="22"/>
        </w:rPr>
        <w:t>（工程全称）签订工程质量保修书。</w:t>
      </w:r>
    </w:p>
    <w:p>
      <w:pPr>
        <w:spacing w:line="340" w:lineRule="exact"/>
        <w:rPr>
          <w:rFonts w:ascii="宋体" w:hAnsi="宋体" w:cs="宋体"/>
          <w:sz w:val="22"/>
        </w:rPr>
      </w:pPr>
      <w:r>
        <w:rPr>
          <w:rFonts w:hint="eastAsia" w:ascii="宋体" w:hAnsi="宋体" w:cs="宋体"/>
          <w:sz w:val="22"/>
        </w:rPr>
        <w:t>　　一、工程质量保修范围和内容</w:t>
      </w:r>
    </w:p>
    <w:p>
      <w:pPr>
        <w:spacing w:line="340" w:lineRule="exact"/>
        <w:rPr>
          <w:rFonts w:ascii="宋体" w:hAnsi="宋体" w:cs="宋体"/>
          <w:sz w:val="22"/>
        </w:rPr>
      </w:pPr>
      <w:r>
        <w:rPr>
          <w:rFonts w:hint="eastAsia" w:ascii="宋体" w:hAnsi="宋体" w:cs="宋体"/>
          <w:sz w:val="22"/>
        </w:rPr>
        <w:t>　　承包人在缺陷责任期内，按照有关法律规定和合同约定，承担工程质量保修责任。</w:t>
      </w:r>
    </w:p>
    <w:p>
      <w:pPr>
        <w:spacing w:line="340" w:lineRule="exact"/>
        <w:ind w:firstLine="420"/>
        <w:rPr>
          <w:rFonts w:ascii="宋体" w:hAnsi="宋体" w:cs="宋体"/>
          <w:sz w:val="22"/>
        </w:rPr>
      </w:pPr>
      <w:r>
        <w:rPr>
          <w:rFonts w:hint="eastAsia" w:ascii="宋体" w:hAnsi="宋体" w:cs="宋体"/>
          <w:sz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为</w:t>
      </w:r>
      <w:r>
        <w:rPr>
          <w:rFonts w:hint="eastAsia" w:ascii="宋体" w:hAnsi="宋体" w:cs="宋体"/>
          <w:b/>
          <w:sz w:val="22"/>
          <w:u w:val="single"/>
        </w:rPr>
        <w:t>杭州萧山国际机场飞行区标志线更新维护项目</w:t>
      </w:r>
      <w:r>
        <w:rPr>
          <w:rFonts w:hint="eastAsia" w:ascii="宋体" w:hAnsi="宋体" w:cs="宋体"/>
          <w:sz w:val="22"/>
        </w:rPr>
        <w:t>整体承包范围。</w:t>
      </w:r>
    </w:p>
    <w:p>
      <w:pPr>
        <w:spacing w:line="340" w:lineRule="exact"/>
        <w:rPr>
          <w:rFonts w:ascii="宋体" w:hAnsi="宋体" w:cs="宋体"/>
          <w:sz w:val="22"/>
        </w:rPr>
      </w:pPr>
      <w:r>
        <w:rPr>
          <w:rFonts w:hint="eastAsia" w:ascii="宋体" w:hAnsi="宋体" w:cs="宋体"/>
          <w:b/>
          <w:sz w:val="22"/>
        </w:rPr>
        <w:t>　　</w:t>
      </w:r>
      <w:r>
        <w:rPr>
          <w:rFonts w:hint="eastAsia" w:ascii="宋体" w:hAnsi="宋体" w:cs="宋体"/>
          <w:sz w:val="22"/>
        </w:rPr>
        <w:t>二、质量保修期</w:t>
      </w:r>
    </w:p>
    <w:p>
      <w:pPr>
        <w:spacing w:line="340" w:lineRule="exact"/>
        <w:ind w:firstLine="440" w:firstLineChars="200"/>
        <w:rPr>
          <w:rFonts w:ascii="宋体" w:hAnsi="宋体" w:cs="宋体"/>
          <w:sz w:val="22"/>
        </w:rPr>
      </w:pPr>
      <w:r>
        <w:rPr>
          <w:rFonts w:hint="eastAsia" w:ascii="宋体" w:hAnsi="宋体" w:cs="宋体"/>
          <w:sz w:val="22"/>
        </w:rPr>
        <w:t>根据《建设工程质量管理条例》及有关规定，工程的质量保修期如下：按国家有关规定。</w:t>
      </w:r>
    </w:p>
    <w:p>
      <w:pPr>
        <w:spacing w:line="340" w:lineRule="exact"/>
        <w:rPr>
          <w:rFonts w:ascii="宋体" w:hAnsi="宋体" w:cs="宋体"/>
          <w:sz w:val="22"/>
        </w:rPr>
      </w:pPr>
      <w:r>
        <w:rPr>
          <w:rFonts w:hint="eastAsia" w:ascii="宋体" w:hAnsi="宋体" w:cs="宋体"/>
          <w:sz w:val="22"/>
        </w:rPr>
        <w:t>　　质量保修期自工程竣工验收合格之日起计算。</w:t>
      </w:r>
    </w:p>
    <w:p>
      <w:pPr>
        <w:spacing w:line="340" w:lineRule="exact"/>
        <w:ind w:firstLine="440" w:firstLineChars="200"/>
        <w:rPr>
          <w:rFonts w:ascii="宋体" w:hAnsi="宋体" w:cs="宋体"/>
          <w:sz w:val="22"/>
          <w:shd w:val="clear" w:color="auto" w:fill="FFFF00"/>
        </w:rPr>
      </w:pPr>
      <w:r>
        <w:rPr>
          <w:rFonts w:hint="eastAsia" w:ascii="宋体" w:hAnsi="宋体" w:cs="宋体"/>
          <w:sz w:val="22"/>
          <w:shd w:val="clear" w:color="auto" w:fill="FFFF00"/>
        </w:rPr>
        <w:t>三、缺陷责任期</w:t>
      </w:r>
    </w:p>
    <w:p>
      <w:pPr>
        <w:spacing w:line="340" w:lineRule="exact"/>
        <w:ind w:firstLine="440" w:firstLineChars="200"/>
        <w:rPr>
          <w:rFonts w:ascii="宋体" w:hAnsi="宋体" w:cs="宋体"/>
          <w:sz w:val="22"/>
          <w:shd w:val="clear" w:color="auto" w:fill="FFFF00"/>
        </w:rPr>
      </w:pPr>
      <w:r>
        <w:rPr>
          <w:rFonts w:hint="eastAsia" w:ascii="宋体" w:hAnsi="宋体" w:cs="宋体"/>
          <w:sz w:val="22"/>
          <w:shd w:val="clear" w:color="auto" w:fill="FFFF00"/>
        </w:rPr>
        <w:t>工程缺陷责任期为</w:t>
      </w:r>
      <w:r>
        <w:rPr>
          <w:rFonts w:ascii="宋体" w:hAnsi="宋体" w:cs="宋体"/>
          <w:sz w:val="22"/>
          <w:u w:val="single"/>
          <w:shd w:val="clear" w:color="auto" w:fill="FFFF00"/>
        </w:rPr>
        <w:t xml:space="preserve"> 12 </w:t>
      </w:r>
      <w:r>
        <w:rPr>
          <w:rFonts w:hint="eastAsia" w:ascii="宋体" w:hAnsi="宋体" w:cs="宋体"/>
          <w:sz w:val="22"/>
          <w:shd w:val="clear" w:color="auto" w:fill="FFFF00"/>
        </w:rPr>
        <w:t>个月，缺陷责任期自工程竣工验收合格之日起计算。单位工程先于全部工程进行验收，单位工程缺陷责任期自单位工程验收合格之日起算。</w:t>
      </w:r>
    </w:p>
    <w:p>
      <w:pPr>
        <w:spacing w:line="340" w:lineRule="exact"/>
        <w:ind w:firstLine="440" w:firstLineChars="200"/>
        <w:rPr>
          <w:rFonts w:ascii="宋体" w:hAnsi="宋体" w:cs="宋体"/>
          <w:sz w:val="22"/>
          <w:shd w:val="clear" w:color="auto" w:fill="FFFF00"/>
        </w:rPr>
      </w:pPr>
      <w:r>
        <w:rPr>
          <w:rFonts w:hint="eastAsia" w:ascii="宋体" w:hAnsi="宋体" w:cs="宋体"/>
          <w:sz w:val="22"/>
          <w:shd w:val="clear" w:color="auto" w:fill="FFFF00"/>
        </w:rPr>
        <w:t>缺陷责任期终止后，发包人应退还剩余的质量保证金。</w:t>
      </w:r>
    </w:p>
    <w:p>
      <w:pPr>
        <w:spacing w:line="340" w:lineRule="exact"/>
        <w:rPr>
          <w:rFonts w:ascii="宋体" w:hAnsi="宋体" w:cs="宋体"/>
          <w:sz w:val="22"/>
        </w:rPr>
      </w:pPr>
      <w:r>
        <w:rPr>
          <w:rFonts w:hint="eastAsia" w:ascii="宋体" w:hAnsi="宋体" w:cs="宋体"/>
          <w:sz w:val="22"/>
        </w:rPr>
        <w:t xml:space="preserve">    四、质量保修责任</w:t>
      </w:r>
    </w:p>
    <w:p>
      <w:pPr>
        <w:spacing w:line="340" w:lineRule="exact"/>
        <w:ind w:firstLine="440" w:firstLineChars="200"/>
        <w:rPr>
          <w:rFonts w:ascii="宋体" w:hAnsi="宋体" w:cs="宋体"/>
          <w:sz w:val="22"/>
        </w:rPr>
      </w:pPr>
      <w:r>
        <w:rPr>
          <w:rFonts w:hint="eastAsia" w:ascii="宋体" w:hAnsi="宋体" w:cs="宋体"/>
          <w:sz w:val="22"/>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40" w:lineRule="exact"/>
        <w:ind w:firstLine="440" w:firstLineChars="200"/>
        <w:rPr>
          <w:rFonts w:ascii="宋体" w:hAnsi="宋体" w:cs="宋体"/>
          <w:sz w:val="22"/>
        </w:rPr>
      </w:pPr>
      <w:r>
        <w:rPr>
          <w:rFonts w:hint="eastAsia" w:ascii="宋体" w:hAnsi="宋体" w:cs="宋体"/>
          <w:sz w:val="22"/>
        </w:rPr>
        <w:t>2．发生紧急事故需抢修的，承包人在接到事故通知后，应当立即到达事故现场进行持续抢修直至修复。</w:t>
      </w:r>
    </w:p>
    <w:p>
      <w:pPr>
        <w:spacing w:line="340" w:lineRule="exact"/>
        <w:ind w:firstLine="440" w:firstLineChars="200"/>
        <w:rPr>
          <w:rFonts w:ascii="宋体" w:hAnsi="宋体" w:cs="宋体"/>
          <w:sz w:val="22"/>
        </w:rPr>
      </w:pPr>
      <w:r>
        <w:rPr>
          <w:rFonts w:hint="eastAsia" w:ascii="宋体" w:hAnsi="宋体" w:cs="宋体"/>
          <w:sz w:val="22"/>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40" w:lineRule="exact"/>
        <w:ind w:firstLine="440" w:firstLineChars="200"/>
        <w:rPr>
          <w:rFonts w:ascii="宋体" w:hAnsi="宋体" w:cs="宋体"/>
          <w:sz w:val="22"/>
        </w:rPr>
      </w:pPr>
      <w:r>
        <w:rPr>
          <w:rFonts w:hint="eastAsia" w:ascii="宋体" w:hAnsi="宋体" w:cs="宋体"/>
          <w:sz w:val="22"/>
        </w:rPr>
        <w:t>4．质量保修完成后，由发包人组织验收。验收不合格的，发包人有权自行委托第三方修理，全部费用由承包人承担，由发包人与第三方确认后直接从质保金中扣除。</w:t>
      </w:r>
    </w:p>
    <w:p>
      <w:pPr>
        <w:spacing w:line="340" w:lineRule="exact"/>
        <w:rPr>
          <w:rFonts w:ascii="宋体" w:hAnsi="宋体" w:cs="宋体"/>
          <w:sz w:val="22"/>
        </w:rPr>
      </w:pPr>
      <w:r>
        <w:rPr>
          <w:rFonts w:hint="eastAsia" w:ascii="宋体" w:hAnsi="宋体" w:cs="宋体"/>
          <w:sz w:val="22"/>
        </w:rPr>
        <w:t>　　五、保修费用</w:t>
      </w:r>
    </w:p>
    <w:p>
      <w:pPr>
        <w:spacing w:line="340" w:lineRule="exact"/>
        <w:rPr>
          <w:rFonts w:ascii="宋体" w:hAnsi="宋体" w:cs="宋体"/>
          <w:sz w:val="22"/>
        </w:rPr>
      </w:pPr>
      <w:r>
        <w:rPr>
          <w:rFonts w:hint="eastAsia" w:ascii="宋体" w:hAnsi="宋体" w:cs="宋体"/>
          <w:sz w:val="22"/>
        </w:rPr>
        <w:t>　　保修费用由造成质量缺陷的责任方承担；对责任方的确定产生疑问或争议的，依发包人委托的鉴定机构所出具的独立报告来确定。</w:t>
      </w:r>
    </w:p>
    <w:p>
      <w:pPr>
        <w:spacing w:line="340" w:lineRule="exact"/>
        <w:ind w:firstLine="440" w:firstLineChars="200"/>
        <w:rPr>
          <w:rFonts w:ascii="宋体" w:hAnsi="宋体" w:cs="宋体"/>
          <w:sz w:val="22"/>
        </w:rPr>
      </w:pPr>
      <w:r>
        <w:rPr>
          <w:rFonts w:hint="eastAsia" w:ascii="宋体" w:hAnsi="宋体" w:cs="宋体"/>
          <w:sz w:val="22"/>
        </w:rPr>
        <w:t xml:space="preserve">六、双方约定的其他工程质量保修事项： </w:t>
      </w:r>
    </w:p>
    <w:p>
      <w:pPr>
        <w:spacing w:line="340" w:lineRule="exact"/>
        <w:ind w:firstLine="440" w:firstLineChars="200"/>
        <w:rPr>
          <w:rFonts w:ascii="宋体" w:hAnsi="宋体" w:cs="宋体"/>
          <w:sz w:val="22"/>
          <w:shd w:val="clear" w:color="auto" w:fill="FFFF00"/>
        </w:rPr>
      </w:pPr>
      <w:r>
        <w:rPr>
          <w:rFonts w:ascii="宋体" w:hAnsi="宋体" w:cs="宋体"/>
          <w:sz w:val="22"/>
          <w:shd w:val="clear" w:color="auto" w:fill="FFFF00"/>
        </w:rPr>
        <w:t>6.1质量保证金的返还：支付款项时扣除应由承包人承担的保修费用后，在缺陷责任期满后的56天内归还（不计利息）。</w:t>
      </w:r>
    </w:p>
    <w:p>
      <w:pPr>
        <w:spacing w:line="340" w:lineRule="exact"/>
        <w:ind w:firstLine="440" w:firstLineChars="200"/>
        <w:rPr>
          <w:rFonts w:ascii="宋体" w:hAnsi="宋体" w:cs="宋体"/>
          <w:sz w:val="22"/>
        </w:rPr>
      </w:pPr>
      <w:r>
        <w:rPr>
          <w:rFonts w:hint="eastAsia" w:ascii="宋体" w:hAnsi="宋体" w:cs="宋体"/>
          <w:sz w:val="22"/>
        </w:rPr>
        <w:t>6.2本工程质量保修书，由施工合同发包人、承包人双方在本合同签订时共同盖章后生效，作为施工合同附件，其有效期限至保修期满。</w:t>
      </w:r>
    </w:p>
    <w:p>
      <w:pPr>
        <w:spacing w:line="340" w:lineRule="exact"/>
        <w:ind w:firstLine="440" w:firstLineChars="200"/>
        <w:rPr>
          <w:rFonts w:ascii="宋体" w:hAnsi="宋体" w:cs="宋体"/>
          <w:sz w:val="22"/>
        </w:rPr>
      </w:pPr>
    </w:p>
    <w:p>
      <w:pPr>
        <w:spacing w:line="340" w:lineRule="exact"/>
        <w:ind w:firstLine="420"/>
        <w:rPr>
          <w:rFonts w:ascii="宋体" w:hAnsi="宋体" w:cs="宋体"/>
          <w:sz w:val="22"/>
        </w:rPr>
      </w:pPr>
      <w:r>
        <w:rPr>
          <w:rFonts w:hint="eastAsia" w:ascii="宋体" w:hAnsi="宋体" w:cs="宋体"/>
          <w:sz w:val="22"/>
        </w:rPr>
        <w:t xml:space="preserve">发    包    人（公章）：             </w:t>
      </w:r>
      <w:r>
        <w:rPr>
          <w:rFonts w:hint="eastAsia" w:ascii="宋体" w:hAnsi="宋体" w:cs="宋体"/>
          <w:sz w:val="22"/>
        </w:rPr>
        <w:tab/>
      </w:r>
      <w:r>
        <w:rPr>
          <w:rFonts w:hint="eastAsia" w:ascii="宋体" w:hAnsi="宋体" w:cs="宋体"/>
          <w:sz w:val="22"/>
        </w:rPr>
        <w:t>承    包    人（公章）：</w:t>
      </w:r>
    </w:p>
    <w:p>
      <w:pPr>
        <w:spacing w:line="340" w:lineRule="exact"/>
        <w:rPr>
          <w:rFonts w:ascii="宋体" w:hAnsi="宋体" w:cs="宋体"/>
        </w:rPr>
      </w:pPr>
      <w:r>
        <w:rPr>
          <w:rFonts w:hint="eastAsia" w:ascii="宋体" w:hAnsi="宋体" w:cs="宋体"/>
        </w:rPr>
        <w:br w:type="page"/>
      </w:r>
      <w:r>
        <w:rPr>
          <w:rFonts w:hint="eastAsia" w:ascii="宋体" w:hAnsi="宋体" w:cs="宋体"/>
        </w:rPr>
        <w:t>附件二：</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Theme="minorEastAsia" w:hAnsiTheme="minorEastAsia"/>
          <w:b/>
          <w:sz w:val="22"/>
        </w:rPr>
      </w:pPr>
      <w:r>
        <w:rPr>
          <w:rFonts w:hint="eastAsia" w:asciiTheme="minorEastAsia" w:hAnsiTheme="minorEastAsia"/>
          <w:b/>
          <w:sz w:val="22"/>
        </w:rPr>
        <w:t>发包人（甲方）：</w:t>
      </w:r>
      <w:r>
        <w:rPr>
          <w:rFonts w:hint="eastAsia" w:asciiTheme="minorEastAsia" w:hAnsiTheme="minorEastAsia"/>
          <w:b/>
          <w:sz w:val="22"/>
          <w:u w:val="single"/>
        </w:rPr>
        <w:t>杭州萧山国际机场有限公司</w:t>
      </w:r>
    </w:p>
    <w:p>
      <w:pPr>
        <w:spacing w:line="360" w:lineRule="exact"/>
        <w:rPr>
          <w:rFonts w:asciiTheme="minorEastAsia" w:hAnsiTheme="minorEastAsia"/>
          <w:b/>
          <w:sz w:val="22"/>
          <w:u w:val="single"/>
        </w:rPr>
      </w:pPr>
      <w:r>
        <w:rPr>
          <w:rFonts w:hint="eastAsia" w:asciiTheme="minorEastAsia" w:hAnsiTheme="minorEastAsia"/>
          <w:b/>
          <w:sz w:val="22"/>
        </w:rPr>
        <w:t>承包人（乙方）：</w:t>
      </w:r>
    </w:p>
    <w:p>
      <w:pPr>
        <w:spacing w:line="360" w:lineRule="exact"/>
        <w:ind w:firstLine="440" w:firstLineChars="200"/>
        <w:rPr>
          <w:rFonts w:asciiTheme="minorEastAsia" w:hAnsiTheme="minorEastAsia"/>
          <w:sz w:val="22"/>
        </w:rPr>
      </w:pPr>
      <w:r>
        <w:rPr>
          <w:rFonts w:asciiTheme="minorEastAsia" w:hAnsiTheme="minorEastAsia"/>
          <w:sz w:val="22"/>
        </w:rPr>
        <w:t>为确保</w:t>
      </w:r>
      <w:r>
        <w:rPr>
          <w:rFonts w:hint="eastAsia" w:asciiTheme="minorEastAsia" w:hAnsiTheme="minorEastAsia"/>
          <w:b/>
          <w:sz w:val="22"/>
        </w:rPr>
        <w:t>杭州萧山国际机场飞行区标志线更新维护项目</w:t>
      </w:r>
      <w:r>
        <w:rPr>
          <w:rFonts w:asciiTheme="minorEastAsia" w:hAnsiTheme="minorEastAsia"/>
          <w:sz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Theme="minorEastAsia" w:hAnsiTheme="minorEastAsia"/>
          <w:bCs/>
          <w:sz w:val="22"/>
        </w:rPr>
      </w:pPr>
      <w:r>
        <w:rPr>
          <w:rFonts w:asciiTheme="minorEastAsia" w:hAnsiTheme="minorEastAsia"/>
          <w:b/>
          <w:sz w:val="22"/>
        </w:rPr>
        <w:t>一、甲方对乙方实行安全目标管理，安全目标的具体内容是</w:t>
      </w:r>
      <w:r>
        <w:rPr>
          <w:rFonts w:asciiTheme="minorEastAsia" w:hAnsiTheme="minorEastAsia"/>
          <w:sz w:val="22"/>
        </w:rPr>
        <w:t>：</w:t>
      </w:r>
    </w:p>
    <w:p>
      <w:pPr>
        <w:spacing w:line="360" w:lineRule="exact"/>
        <w:ind w:firstLine="440" w:firstLineChars="200"/>
        <w:rPr>
          <w:rFonts w:asciiTheme="minorEastAsia" w:hAnsiTheme="minorEastAsia"/>
          <w:sz w:val="22"/>
        </w:rPr>
      </w:pPr>
      <w:r>
        <w:rPr>
          <w:rFonts w:asciiTheme="minorEastAsia" w:hAnsiTheme="minorEastAsia"/>
          <w:sz w:val="22"/>
        </w:rPr>
        <w:t>1、无死亡事故和重大伤害事故(含道路交通事故)。</w:t>
      </w:r>
    </w:p>
    <w:p>
      <w:pPr>
        <w:spacing w:line="360" w:lineRule="exact"/>
        <w:ind w:firstLine="440" w:firstLineChars="200"/>
        <w:rPr>
          <w:rFonts w:asciiTheme="minorEastAsia" w:hAnsiTheme="minorEastAsia"/>
          <w:sz w:val="22"/>
        </w:rPr>
      </w:pPr>
      <w:r>
        <w:rPr>
          <w:rFonts w:asciiTheme="minorEastAsia" w:hAnsiTheme="minorEastAsia"/>
          <w:sz w:val="22"/>
        </w:rPr>
        <w:t>2、无重大责任事故。</w:t>
      </w:r>
    </w:p>
    <w:p>
      <w:pPr>
        <w:spacing w:line="360" w:lineRule="exact"/>
        <w:ind w:firstLine="440" w:firstLineChars="200"/>
        <w:rPr>
          <w:rFonts w:asciiTheme="minorEastAsia" w:hAnsiTheme="minorEastAsia"/>
          <w:sz w:val="22"/>
        </w:rPr>
      </w:pPr>
      <w:r>
        <w:rPr>
          <w:rFonts w:asciiTheme="minorEastAsia" w:hAnsiTheme="minorEastAsia"/>
          <w:sz w:val="22"/>
        </w:rPr>
        <w:t>3、无空防安全事故。</w:t>
      </w:r>
    </w:p>
    <w:p>
      <w:pPr>
        <w:spacing w:line="360" w:lineRule="exact"/>
        <w:ind w:firstLine="440" w:firstLineChars="200"/>
        <w:rPr>
          <w:rFonts w:asciiTheme="minorEastAsia" w:hAnsiTheme="minorEastAsia"/>
          <w:sz w:val="22"/>
        </w:rPr>
      </w:pPr>
      <w:r>
        <w:rPr>
          <w:rFonts w:asciiTheme="minorEastAsia" w:hAnsiTheme="minorEastAsia"/>
          <w:sz w:val="22"/>
        </w:rPr>
        <w:t>4、无七类重大刑事案件(杀人、绑架、强奸、放火、爆炸、劫持、故意伤害致死)及其它严重、恶性案件。</w:t>
      </w:r>
    </w:p>
    <w:p>
      <w:pPr>
        <w:spacing w:line="360" w:lineRule="exact"/>
        <w:ind w:firstLine="440" w:firstLineChars="200"/>
        <w:rPr>
          <w:rFonts w:asciiTheme="minorEastAsia" w:hAnsiTheme="minorEastAsia"/>
          <w:sz w:val="22"/>
        </w:rPr>
      </w:pPr>
      <w:r>
        <w:rPr>
          <w:rFonts w:asciiTheme="minorEastAsia" w:hAnsiTheme="minorEastAsia"/>
          <w:sz w:val="22"/>
        </w:rPr>
        <w:t>上述情况的认定按国家和行业的有关规定和标准执行。</w:t>
      </w:r>
    </w:p>
    <w:p>
      <w:pPr>
        <w:spacing w:line="360" w:lineRule="exact"/>
        <w:ind w:firstLine="442" w:firstLineChars="200"/>
        <w:rPr>
          <w:rFonts w:asciiTheme="minorEastAsia" w:hAnsiTheme="minorEastAsia"/>
          <w:b/>
          <w:sz w:val="22"/>
        </w:rPr>
      </w:pPr>
      <w:r>
        <w:rPr>
          <w:rFonts w:asciiTheme="minorEastAsia" w:hAnsiTheme="minorEastAsia"/>
          <w:b/>
          <w:sz w:val="22"/>
        </w:rPr>
        <w:t>二、甲方的协助责任和权利</w:t>
      </w:r>
    </w:p>
    <w:p>
      <w:pPr>
        <w:spacing w:line="360" w:lineRule="exact"/>
        <w:ind w:firstLine="440" w:firstLineChars="200"/>
        <w:rPr>
          <w:rFonts w:asciiTheme="minorEastAsia" w:hAnsiTheme="minorEastAsia"/>
          <w:sz w:val="22"/>
        </w:rPr>
      </w:pPr>
      <w:r>
        <w:rPr>
          <w:rFonts w:asciiTheme="minorEastAsia" w:hAnsiTheme="minorEastAsia"/>
          <w:sz w:val="22"/>
        </w:rPr>
        <w:t xml:space="preserve">5、不得对乙方提出违反国家法律、法规和强制性标准规定的要求。 </w:t>
      </w:r>
    </w:p>
    <w:p>
      <w:pPr>
        <w:spacing w:line="360" w:lineRule="exact"/>
        <w:ind w:firstLine="440" w:firstLineChars="200"/>
        <w:rPr>
          <w:rFonts w:asciiTheme="minorEastAsia" w:hAnsiTheme="minorEastAsia"/>
          <w:sz w:val="22"/>
        </w:rPr>
      </w:pPr>
      <w:r>
        <w:rPr>
          <w:rFonts w:asciiTheme="minorEastAsia" w:hAnsiTheme="minorEastAsia"/>
          <w:sz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Theme="minorEastAsia" w:hAnsiTheme="minorEastAsia"/>
          <w:sz w:val="22"/>
        </w:rPr>
      </w:pPr>
      <w:r>
        <w:rPr>
          <w:rFonts w:asciiTheme="minorEastAsia" w:hAnsiTheme="minorEastAsia"/>
          <w:sz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Theme="minorEastAsia" w:hAnsiTheme="minorEastAsia"/>
          <w:sz w:val="22"/>
        </w:rPr>
      </w:pPr>
      <w:r>
        <w:rPr>
          <w:rFonts w:asciiTheme="minorEastAsia" w:hAnsiTheme="minorEastAsia"/>
          <w:sz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Theme="minorEastAsia" w:hAnsiTheme="minorEastAsia"/>
          <w:sz w:val="22"/>
        </w:rPr>
      </w:pPr>
      <w:r>
        <w:rPr>
          <w:rFonts w:asciiTheme="minorEastAsia" w:hAnsiTheme="minorEastAsia"/>
          <w:sz w:val="22"/>
        </w:rPr>
        <w:t>9、利用施工例会定期分析和掌握施工单位的治安情况，通报当前治安形势，交流工作经验，协助处理相关问题。</w:t>
      </w:r>
    </w:p>
    <w:p>
      <w:pPr>
        <w:spacing w:line="360" w:lineRule="exact"/>
        <w:ind w:firstLine="440" w:firstLineChars="200"/>
        <w:rPr>
          <w:rFonts w:asciiTheme="minorEastAsia" w:hAnsiTheme="minorEastAsia"/>
          <w:sz w:val="22"/>
        </w:rPr>
      </w:pPr>
      <w:r>
        <w:rPr>
          <w:rFonts w:asciiTheme="minorEastAsia" w:hAnsiTheme="minorEastAsia"/>
          <w:sz w:val="22"/>
        </w:rPr>
        <w:t>10、乙方拒不按照本协议条款规定组织安全文明施工的，甲方有权责令乙方停工整改直至终止合同。</w:t>
      </w:r>
    </w:p>
    <w:p>
      <w:pPr>
        <w:spacing w:line="360" w:lineRule="exact"/>
        <w:ind w:firstLine="440" w:firstLineChars="200"/>
        <w:rPr>
          <w:rFonts w:asciiTheme="minorEastAsia" w:hAnsiTheme="minorEastAsia"/>
          <w:sz w:val="22"/>
        </w:rPr>
      </w:pPr>
      <w:r>
        <w:rPr>
          <w:rFonts w:asciiTheme="minorEastAsia" w:hAnsiTheme="minorEastAsia"/>
          <w:sz w:val="22"/>
        </w:rPr>
        <w:t>11、甲方有权对乙方各项安全工作进行监督、检查。</w:t>
      </w:r>
    </w:p>
    <w:p>
      <w:pPr>
        <w:spacing w:line="360" w:lineRule="exact"/>
        <w:ind w:firstLine="440" w:firstLineChars="200"/>
        <w:rPr>
          <w:rFonts w:asciiTheme="minorEastAsia" w:hAnsiTheme="minorEastAsia"/>
          <w:sz w:val="22"/>
        </w:rPr>
      </w:pPr>
      <w:r>
        <w:rPr>
          <w:rFonts w:asciiTheme="minorEastAsia" w:hAnsiTheme="minorEastAsia"/>
          <w:sz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Theme="minorEastAsia" w:hAnsiTheme="minorEastAsia"/>
          <w:b/>
          <w:sz w:val="22"/>
        </w:rPr>
      </w:pPr>
      <w:r>
        <w:rPr>
          <w:rFonts w:asciiTheme="minorEastAsia" w:hAnsiTheme="minorEastAsia"/>
          <w:b/>
          <w:sz w:val="22"/>
        </w:rPr>
        <w:t>三、乙方的安全责任和权利</w:t>
      </w:r>
    </w:p>
    <w:p>
      <w:pPr>
        <w:spacing w:line="360" w:lineRule="exact"/>
        <w:ind w:firstLine="440" w:firstLineChars="200"/>
        <w:rPr>
          <w:rFonts w:asciiTheme="minorEastAsia" w:hAnsiTheme="minorEastAsia"/>
          <w:sz w:val="22"/>
        </w:rPr>
      </w:pPr>
      <w:r>
        <w:rPr>
          <w:rFonts w:asciiTheme="minorEastAsia" w:hAnsiTheme="minorEastAsia"/>
          <w:sz w:val="22"/>
        </w:rPr>
        <w:t>（一）乙方应从事的施工安全管理</w:t>
      </w:r>
    </w:p>
    <w:p>
      <w:pPr>
        <w:spacing w:line="360" w:lineRule="exact"/>
        <w:ind w:firstLine="440" w:firstLineChars="200"/>
        <w:rPr>
          <w:rFonts w:asciiTheme="minorEastAsia" w:hAnsiTheme="minorEastAsia"/>
          <w:sz w:val="22"/>
        </w:rPr>
      </w:pPr>
      <w:r>
        <w:rPr>
          <w:rFonts w:asciiTheme="minorEastAsia" w:hAnsiTheme="minorEastAsia"/>
          <w:sz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Theme="minorEastAsia" w:hAnsiTheme="minorEastAsia"/>
          <w:sz w:val="22"/>
        </w:rPr>
      </w:pPr>
      <w:r>
        <w:rPr>
          <w:rFonts w:asciiTheme="minorEastAsia" w:hAnsiTheme="minorEastAsia"/>
          <w:sz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Theme="minorEastAsia" w:hAnsiTheme="minorEastAsia"/>
          <w:sz w:val="22"/>
        </w:rPr>
      </w:pPr>
      <w:r>
        <w:rPr>
          <w:rFonts w:asciiTheme="minorEastAsia" w:hAnsiTheme="minorEastAsia"/>
          <w:sz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Theme="minorEastAsia" w:hAnsiTheme="minorEastAsia"/>
          <w:sz w:val="22"/>
        </w:rPr>
      </w:pPr>
      <w:r>
        <w:rPr>
          <w:rFonts w:asciiTheme="minorEastAsia" w:hAnsiTheme="minorEastAsia"/>
          <w:sz w:val="22"/>
        </w:rPr>
        <w:t xml:space="preserve">16、对安全作业环境建设及安全施工措施制定、实行所需的费用，应当列入建设工程预算，专款专用，不得挪作他用。 </w:t>
      </w:r>
    </w:p>
    <w:p>
      <w:pPr>
        <w:spacing w:line="360" w:lineRule="exact"/>
        <w:ind w:firstLine="440" w:firstLineChars="200"/>
        <w:rPr>
          <w:rFonts w:asciiTheme="minorEastAsia" w:hAnsiTheme="minorEastAsia"/>
          <w:sz w:val="22"/>
        </w:rPr>
      </w:pPr>
      <w:r>
        <w:rPr>
          <w:rFonts w:asciiTheme="minorEastAsia" w:hAnsiTheme="minorEastAsia"/>
          <w:sz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Theme="minorEastAsia" w:hAnsiTheme="minorEastAsia"/>
          <w:sz w:val="22"/>
        </w:rPr>
      </w:pPr>
      <w:r>
        <w:rPr>
          <w:rFonts w:asciiTheme="minorEastAsia" w:hAnsiTheme="minorEastAsia"/>
          <w:sz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Theme="minorEastAsia" w:hAnsiTheme="minorEastAsia"/>
          <w:sz w:val="22"/>
        </w:rPr>
      </w:pPr>
      <w:r>
        <w:rPr>
          <w:rFonts w:asciiTheme="minorEastAsia" w:hAnsiTheme="minorEastAsia"/>
          <w:sz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Theme="minorEastAsia" w:hAnsiTheme="minorEastAsia"/>
          <w:sz w:val="22"/>
        </w:rPr>
      </w:pPr>
      <w:r>
        <w:rPr>
          <w:rFonts w:asciiTheme="minorEastAsia" w:hAnsiTheme="minorEastAsia"/>
          <w:sz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Theme="minorEastAsia" w:hAnsiTheme="minorEastAsia"/>
          <w:sz w:val="22"/>
        </w:rPr>
      </w:pPr>
      <w:r>
        <w:rPr>
          <w:rFonts w:asciiTheme="minorEastAsia" w:hAnsiTheme="minorEastAsia"/>
          <w:sz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Theme="minorEastAsia" w:hAnsiTheme="minorEastAsia"/>
          <w:sz w:val="22"/>
        </w:rPr>
      </w:pPr>
      <w:r>
        <w:rPr>
          <w:rFonts w:asciiTheme="minorEastAsia" w:hAnsiTheme="minorEastAsia"/>
          <w:sz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Theme="minorEastAsia" w:hAnsiTheme="minorEastAsia"/>
          <w:sz w:val="22"/>
        </w:rPr>
      </w:pPr>
      <w:r>
        <w:rPr>
          <w:rFonts w:asciiTheme="minorEastAsia" w:hAnsiTheme="minorEastAsia"/>
          <w:sz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Theme="minorEastAsia" w:hAnsiTheme="minorEastAsia"/>
          <w:sz w:val="22"/>
        </w:rPr>
      </w:pPr>
      <w:r>
        <w:rPr>
          <w:rFonts w:asciiTheme="minorEastAsia" w:hAnsiTheme="minorEastAsia"/>
          <w:sz w:val="22"/>
        </w:rPr>
        <w:t xml:space="preserve">24、在采用新技术、新工艺、新设备、新材料时，应当对作业人员进行相应的安全生产教育培训。 </w:t>
      </w:r>
    </w:p>
    <w:p>
      <w:pPr>
        <w:spacing w:line="360" w:lineRule="exact"/>
        <w:ind w:firstLine="440" w:firstLineChars="200"/>
        <w:rPr>
          <w:rFonts w:asciiTheme="minorEastAsia" w:hAnsiTheme="minorEastAsia"/>
          <w:sz w:val="22"/>
        </w:rPr>
      </w:pPr>
      <w:r>
        <w:rPr>
          <w:rFonts w:asciiTheme="minorEastAsia" w:hAnsiTheme="minorEastAsia"/>
          <w:sz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Theme="minorEastAsia" w:hAnsiTheme="minorEastAsia"/>
          <w:sz w:val="22"/>
        </w:rPr>
      </w:pPr>
      <w:r>
        <w:rPr>
          <w:rFonts w:asciiTheme="minorEastAsia" w:hAnsiTheme="minorEastAsia"/>
          <w:sz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Theme="minorEastAsia" w:hAnsiTheme="minorEastAsia"/>
          <w:sz w:val="22"/>
        </w:rPr>
      </w:pPr>
      <w:r>
        <w:rPr>
          <w:rFonts w:asciiTheme="minorEastAsia" w:hAnsiTheme="minorEastAsia"/>
          <w:sz w:val="22"/>
        </w:rPr>
        <w:t>（二）乙方应从事的空防安全管理</w:t>
      </w:r>
    </w:p>
    <w:p>
      <w:pPr>
        <w:spacing w:line="360" w:lineRule="exact"/>
        <w:ind w:firstLine="440" w:firstLineChars="200"/>
        <w:rPr>
          <w:rFonts w:asciiTheme="minorEastAsia" w:hAnsiTheme="minorEastAsia"/>
          <w:sz w:val="22"/>
        </w:rPr>
      </w:pPr>
      <w:r>
        <w:rPr>
          <w:rFonts w:asciiTheme="minorEastAsia" w:hAnsiTheme="minorEastAsia"/>
          <w:sz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Theme="minorEastAsia" w:hAnsiTheme="minorEastAsia"/>
          <w:sz w:val="22"/>
        </w:rPr>
      </w:pPr>
      <w:r>
        <w:rPr>
          <w:rFonts w:asciiTheme="minorEastAsia" w:hAnsiTheme="minorEastAsia"/>
          <w:sz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Theme="minorEastAsia" w:hAnsiTheme="minorEastAsia"/>
          <w:sz w:val="22"/>
        </w:rPr>
      </w:pPr>
      <w:r>
        <w:rPr>
          <w:rFonts w:asciiTheme="minorEastAsia" w:hAnsiTheme="minorEastAsia"/>
          <w:sz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Theme="minorEastAsia" w:hAnsiTheme="minorEastAsia"/>
          <w:sz w:val="22"/>
        </w:rPr>
      </w:pPr>
      <w:r>
        <w:rPr>
          <w:rFonts w:asciiTheme="minorEastAsia" w:hAnsiTheme="minorEastAsia"/>
          <w:sz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Theme="minorEastAsia" w:hAnsiTheme="minorEastAsia"/>
          <w:sz w:val="22"/>
        </w:rPr>
      </w:pPr>
      <w:r>
        <w:rPr>
          <w:rFonts w:asciiTheme="minorEastAsia" w:hAnsiTheme="minorEastAsia"/>
          <w:sz w:val="22"/>
        </w:rPr>
        <w:t>（三）乙方应从事的不停航施工项目安全管理</w:t>
      </w:r>
    </w:p>
    <w:p>
      <w:pPr>
        <w:spacing w:line="360" w:lineRule="exact"/>
        <w:ind w:firstLine="440" w:firstLineChars="200"/>
        <w:rPr>
          <w:rFonts w:asciiTheme="minorEastAsia" w:hAnsiTheme="minorEastAsia"/>
          <w:sz w:val="22"/>
        </w:rPr>
      </w:pPr>
      <w:r>
        <w:rPr>
          <w:rFonts w:asciiTheme="minorEastAsia" w:hAnsiTheme="minorEastAsia"/>
          <w:sz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Theme="minorEastAsia" w:hAnsiTheme="minorEastAsia"/>
          <w:sz w:val="22"/>
        </w:rPr>
      </w:pPr>
      <w:r>
        <w:rPr>
          <w:rFonts w:asciiTheme="minorEastAsia" w:hAnsiTheme="minorEastAsia"/>
          <w:sz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Theme="minorEastAsia" w:hAnsiTheme="minorEastAsia"/>
          <w:sz w:val="22"/>
        </w:rPr>
      </w:pPr>
      <w:r>
        <w:rPr>
          <w:rFonts w:asciiTheme="minorEastAsia" w:hAnsiTheme="minorEastAsia"/>
          <w:sz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Theme="minorEastAsia" w:hAnsiTheme="minorEastAsia"/>
          <w:sz w:val="22"/>
        </w:rPr>
      </w:pPr>
      <w:r>
        <w:rPr>
          <w:rFonts w:asciiTheme="minorEastAsia" w:hAnsiTheme="minorEastAsia"/>
          <w:sz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Theme="minorEastAsia" w:hAnsiTheme="minorEastAsia"/>
          <w:sz w:val="22"/>
        </w:rPr>
      </w:pPr>
      <w:r>
        <w:rPr>
          <w:rFonts w:asciiTheme="minorEastAsia" w:hAnsiTheme="minorEastAsia"/>
          <w:sz w:val="22"/>
        </w:rPr>
        <w:t xml:space="preserve">（四）乙方的文明施工责任 </w:t>
      </w:r>
    </w:p>
    <w:p>
      <w:pPr>
        <w:spacing w:line="360" w:lineRule="exact"/>
        <w:ind w:firstLine="440" w:firstLineChars="200"/>
        <w:rPr>
          <w:rFonts w:asciiTheme="minorEastAsia" w:hAnsiTheme="minorEastAsia"/>
          <w:sz w:val="22"/>
        </w:rPr>
      </w:pPr>
      <w:r>
        <w:rPr>
          <w:rFonts w:asciiTheme="minorEastAsia" w:hAnsiTheme="minorEastAsia"/>
          <w:sz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Theme="minorEastAsia" w:hAnsiTheme="minorEastAsia"/>
          <w:sz w:val="22"/>
        </w:rPr>
      </w:pPr>
      <w:r>
        <w:rPr>
          <w:rFonts w:asciiTheme="minorEastAsia" w:hAnsiTheme="minorEastAsia"/>
          <w:sz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Theme="minorEastAsia" w:hAnsiTheme="minorEastAsia"/>
          <w:sz w:val="22"/>
        </w:rPr>
      </w:pPr>
      <w:r>
        <w:rPr>
          <w:rFonts w:asciiTheme="minorEastAsia" w:hAnsiTheme="minorEastAsia"/>
          <w:sz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Theme="minorEastAsia" w:hAnsiTheme="minorEastAsia"/>
          <w:sz w:val="22"/>
        </w:rPr>
      </w:pPr>
      <w:r>
        <w:rPr>
          <w:rFonts w:asciiTheme="minorEastAsia" w:hAnsiTheme="minorEastAsia"/>
          <w:sz w:val="22"/>
        </w:rPr>
        <w:t>（五）乙方应从事的社会治安综合治理</w:t>
      </w:r>
    </w:p>
    <w:p>
      <w:pPr>
        <w:spacing w:line="360" w:lineRule="exact"/>
        <w:ind w:firstLine="440" w:firstLineChars="200"/>
        <w:rPr>
          <w:rFonts w:asciiTheme="minorEastAsia" w:hAnsiTheme="minorEastAsia"/>
          <w:sz w:val="22"/>
        </w:rPr>
      </w:pPr>
      <w:r>
        <w:rPr>
          <w:rFonts w:asciiTheme="minorEastAsia" w:hAnsiTheme="minorEastAsia"/>
          <w:sz w:val="22"/>
        </w:rPr>
        <w:t>38、做好内部的治安防范工作，对重要部位和物资，要落实人防、物防和技防的措施，积极配合公安机关组织的治安联防活动。</w:t>
      </w:r>
    </w:p>
    <w:p>
      <w:pPr>
        <w:spacing w:line="360" w:lineRule="exact"/>
        <w:ind w:firstLine="440" w:firstLineChars="200"/>
        <w:rPr>
          <w:rFonts w:asciiTheme="minorEastAsia" w:hAnsiTheme="minorEastAsia"/>
          <w:sz w:val="22"/>
        </w:rPr>
      </w:pPr>
      <w:r>
        <w:rPr>
          <w:rFonts w:asciiTheme="minorEastAsia" w:hAnsiTheme="minorEastAsia"/>
          <w:sz w:val="22"/>
        </w:rPr>
        <w:t>39、认真排查、调处各类矛盾，及时消除隐患，杜绝各类社会矛盾引发的群体性事件的发生。</w:t>
      </w:r>
    </w:p>
    <w:p>
      <w:pPr>
        <w:spacing w:line="360" w:lineRule="exact"/>
        <w:ind w:firstLine="440" w:firstLineChars="200"/>
        <w:rPr>
          <w:rFonts w:asciiTheme="minorEastAsia" w:hAnsiTheme="minorEastAsia"/>
          <w:sz w:val="22"/>
        </w:rPr>
      </w:pPr>
      <w:r>
        <w:rPr>
          <w:rFonts w:asciiTheme="minorEastAsia" w:hAnsiTheme="minorEastAsia"/>
          <w:sz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Theme="minorEastAsia" w:hAnsiTheme="minorEastAsia"/>
          <w:sz w:val="22"/>
        </w:rPr>
      </w:pPr>
      <w:r>
        <w:rPr>
          <w:rFonts w:asciiTheme="minorEastAsia" w:hAnsiTheme="minorEastAsia"/>
          <w:sz w:val="22"/>
        </w:rPr>
        <w:t>（六）乙方应从事的消防安全管理</w:t>
      </w:r>
    </w:p>
    <w:p>
      <w:pPr>
        <w:spacing w:line="360" w:lineRule="exact"/>
        <w:ind w:firstLine="440" w:firstLineChars="200"/>
        <w:rPr>
          <w:rFonts w:asciiTheme="minorEastAsia" w:hAnsiTheme="minorEastAsia"/>
          <w:sz w:val="22"/>
        </w:rPr>
      </w:pPr>
      <w:r>
        <w:rPr>
          <w:rFonts w:asciiTheme="minorEastAsia" w:hAnsiTheme="minorEastAsia"/>
          <w:sz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Theme="minorEastAsia" w:hAnsiTheme="minorEastAsia"/>
          <w:sz w:val="22"/>
        </w:rPr>
      </w:pPr>
      <w:r>
        <w:rPr>
          <w:rFonts w:asciiTheme="minorEastAsia" w:hAnsiTheme="minorEastAsia"/>
          <w:sz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Theme="minorEastAsia" w:hAnsiTheme="minorEastAsia"/>
          <w:sz w:val="22"/>
        </w:rPr>
      </w:pPr>
      <w:r>
        <w:rPr>
          <w:rFonts w:asciiTheme="minorEastAsia" w:hAnsiTheme="minorEastAsia"/>
          <w:sz w:val="22"/>
        </w:rPr>
        <w:t>43、施工中使用明火，使用电、气进行焊接和切割作业，须经机场公安消防管理部门审查批准，未经批准一律不得使用。</w:t>
      </w:r>
    </w:p>
    <w:p>
      <w:pPr>
        <w:spacing w:line="360" w:lineRule="exact"/>
        <w:ind w:firstLine="440" w:firstLineChars="200"/>
        <w:rPr>
          <w:rFonts w:asciiTheme="minorEastAsia" w:hAnsiTheme="minorEastAsia"/>
          <w:sz w:val="22"/>
        </w:rPr>
      </w:pPr>
      <w:r>
        <w:rPr>
          <w:rFonts w:asciiTheme="minorEastAsia" w:hAnsiTheme="minorEastAsia"/>
          <w:sz w:val="22"/>
        </w:rPr>
        <w:t>44、加强对施工人员进行消防安全教育，使其熟悉本岗位防火措施、遇险报警、初期扑救及自救逃生的知识和技能。</w:t>
      </w:r>
    </w:p>
    <w:p>
      <w:pPr>
        <w:spacing w:line="360" w:lineRule="exact"/>
        <w:ind w:firstLine="440" w:firstLineChars="200"/>
        <w:rPr>
          <w:rFonts w:asciiTheme="minorEastAsia" w:hAnsiTheme="minorEastAsia"/>
          <w:sz w:val="22"/>
        </w:rPr>
      </w:pPr>
      <w:r>
        <w:rPr>
          <w:rFonts w:asciiTheme="minorEastAsia" w:hAnsiTheme="minorEastAsia"/>
          <w:sz w:val="22"/>
        </w:rPr>
        <w:t>（七）乙方应从事的交通安全管理</w:t>
      </w:r>
    </w:p>
    <w:p>
      <w:pPr>
        <w:spacing w:line="360" w:lineRule="exact"/>
        <w:ind w:firstLine="440" w:firstLineChars="200"/>
        <w:rPr>
          <w:rFonts w:asciiTheme="minorEastAsia" w:hAnsiTheme="minorEastAsia"/>
          <w:sz w:val="22"/>
        </w:rPr>
      </w:pPr>
      <w:r>
        <w:rPr>
          <w:rFonts w:asciiTheme="minorEastAsia" w:hAnsiTheme="minorEastAsia"/>
          <w:sz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Theme="minorEastAsia" w:hAnsiTheme="minorEastAsia"/>
          <w:sz w:val="22"/>
        </w:rPr>
      </w:pPr>
      <w:r>
        <w:rPr>
          <w:rFonts w:asciiTheme="minorEastAsia" w:hAnsiTheme="minorEastAsia"/>
          <w:sz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Theme="minorEastAsia" w:hAnsiTheme="minorEastAsia"/>
          <w:sz w:val="22"/>
        </w:rPr>
      </w:pPr>
      <w:r>
        <w:rPr>
          <w:rFonts w:asciiTheme="minorEastAsia" w:hAnsiTheme="minorEastAsia"/>
          <w:sz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Theme="minorEastAsia" w:hAnsiTheme="minorEastAsia"/>
          <w:sz w:val="22"/>
        </w:rPr>
      </w:pPr>
      <w:r>
        <w:rPr>
          <w:rFonts w:asciiTheme="minorEastAsia" w:hAnsiTheme="minorEastAsia"/>
          <w:sz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Theme="minorEastAsia" w:hAnsiTheme="minorEastAsia"/>
          <w:sz w:val="22"/>
        </w:rPr>
      </w:pPr>
      <w:r>
        <w:rPr>
          <w:rFonts w:asciiTheme="minorEastAsia" w:hAnsiTheme="minorEastAsia"/>
          <w:sz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Theme="minorEastAsia" w:hAnsiTheme="minorEastAsia"/>
          <w:b/>
          <w:sz w:val="22"/>
        </w:rPr>
      </w:pPr>
      <w:r>
        <w:rPr>
          <w:rFonts w:asciiTheme="minorEastAsia" w:hAnsiTheme="minorEastAsia"/>
          <w:b/>
          <w:sz w:val="22"/>
        </w:rPr>
        <w:t>四、违约责任</w:t>
      </w:r>
    </w:p>
    <w:p>
      <w:pPr>
        <w:spacing w:line="360" w:lineRule="exact"/>
        <w:ind w:firstLine="440" w:firstLineChars="200"/>
        <w:rPr>
          <w:rFonts w:asciiTheme="minorEastAsia" w:hAnsiTheme="minorEastAsia"/>
          <w:sz w:val="22"/>
        </w:rPr>
      </w:pPr>
      <w:r>
        <w:rPr>
          <w:rFonts w:asciiTheme="minorEastAsia" w:hAnsiTheme="minorEastAsia"/>
          <w:sz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Theme="minorEastAsia" w:hAnsiTheme="minorEastAsia"/>
          <w:sz w:val="22"/>
        </w:rPr>
      </w:pPr>
      <w:r>
        <w:rPr>
          <w:rFonts w:asciiTheme="minorEastAsia" w:hAnsiTheme="minorEastAsia"/>
          <w:sz w:val="22"/>
        </w:rPr>
        <w:t>51、严禁因乙方行为导致发生飞行事故征侯，违者扣合同总款的20%，如发生飞行事故扣合同年度总款50％，并追究法律责任。</w:t>
      </w:r>
    </w:p>
    <w:p>
      <w:pPr>
        <w:spacing w:line="360" w:lineRule="exact"/>
        <w:ind w:firstLine="440" w:firstLineChars="200"/>
        <w:rPr>
          <w:rFonts w:asciiTheme="minorEastAsia" w:hAnsiTheme="minorEastAsia"/>
          <w:sz w:val="22"/>
        </w:rPr>
      </w:pPr>
      <w:r>
        <w:rPr>
          <w:rFonts w:asciiTheme="minorEastAsia" w:hAnsiTheme="minorEastAsia"/>
          <w:sz w:val="22"/>
        </w:rPr>
        <w:t>五、本协议书附于《施工合同》正副本后，签字盖章后生效。</w:t>
      </w:r>
    </w:p>
    <w:p>
      <w:pPr>
        <w:adjustRightInd w:val="0"/>
        <w:snapToGrid w:val="0"/>
        <w:spacing w:line="360" w:lineRule="exact"/>
        <w:rPr>
          <w:rFonts w:asciiTheme="minorEastAsia" w:hAnsiTheme="minorEastAsia"/>
          <w:b/>
          <w:bCs/>
          <w:sz w:val="22"/>
        </w:rPr>
      </w:pPr>
      <w:r>
        <w:rPr>
          <w:rFonts w:asciiTheme="minorEastAsia" w:hAnsiTheme="minorEastAsia"/>
          <w:b/>
          <w:bCs/>
          <w:sz w:val="22"/>
        </w:rPr>
        <w:t>五、附则：</w:t>
      </w:r>
    </w:p>
    <w:p>
      <w:pPr>
        <w:adjustRightInd w:val="0"/>
        <w:snapToGrid w:val="0"/>
        <w:spacing w:line="360" w:lineRule="exact"/>
        <w:rPr>
          <w:rFonts w:asciiTheme="minorEastAsia" w:hAnsiTheme="minorEastAsia"/>
          <w:sz w:val="22"/>
        </w:rPr>
      </w:pPr>
      <w:r>
        <w:rPr>
          <w:rFonts w:asciiTheme="minorEastAsia" w:hAnsiTheme="minorEastAsia"/>
          <w:sz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Theme="minorEastAsia" w:hAnsiTheme="minorEastAsia"/>
          <w:sz w:val="22"/>
        </w:rPr>
      </w:pPr>
      <w:r>
        <w:rPr>
          <w:rFonts w:asciiTheme="minorEastAsia" w:hAnsiTheme="minorEastAsia"/>
          <w:sz w:val="22"/>
        </w:rPr>
        <w:t>（二）本责任书解释权归甲方。</w:t>
      </w:r>
    </w:p>
    <w:p>
      <w:pPr>
        <w:adjustRightInd w:val="0"/>
        <w:snapToGrid w:val="0"/>
        <w:spacing w:line="360" w:lineRule="exact"/>
        <w:rPr>
          <w:rFonts w:asciiTheme="minorEastAsia" w:hAnsiTheme="minorEastAsia"/>
          <w:sz w:val="22"/>
        </w:rPr>
      </w:pPr>
      <w:r>
        <w:rPr>
          <w:rFonts w:asciiTheme="minorEastAsia" w:hAnsiTheme="minorEastAsia"/>
          <w:sz w:val="22"/>
        </w:rPr>
        <w:t>（三）本责任书由甲乙双方共同签字盖章后生效。</w:t>
      </w:r>
    </w:p>
    <w:p>
      <w:pPr>
        <w:adjustRightInd w:val="0"/>
        <w:snapToGrid w:val="0"/>
        <w:spacing w:line="360" w:lineRule="exact"/>
        <w:rPr>
          <w:rFonts w:asciiTheme="minorEastAsia" w:hAnsiTheme="minorEastAsia"/>
          <w:sz w:val="22"/>
        </w:rPr>
      </w:pPr>
    </w:p>
    <w:p>
      <w:pPr>
        <w:adjustRightInd w:val="0"/>
        <w:snapToGrid w:val="0"/>
        <w:spacing w:line="360" w:lineRule="exact"/>
        <w:ind w:left="5632" w:hanging="5632" w:hangingChars="2550"/>
        <w:rPr>
          <w:rFonts w:asciiTheme="minorEastAsia" w:hAnsiTheme="minorEastAsia"/>
          <w:b/>
          <w:color w:val="000000"/>
          <w:sz w:val="22"/>
        </w:rPr>
      </w:pPr>
      <w:r>
        <w:rPr>
          <w:rFonts w:hint="eastAsia" w:asciiTheme="minorEastAsia" w:hAnsiTheme="minorEastAsia"/>
          <w:b/>
          <w:color w:val="000000"/>
          <w:sz w:val="22"/>
        </w:rPr>
        <w:t>发包人：杭州萧山国际机场有限公司         承包人：</w:t>
      </w:r>
    </w:p>
    <w:p>
      <w:pPr>
        <w:adjustRightInd w:val="0"/>
        <w:snapToGrid w:val="0"/>
        <w:spacing w:line="360" w:lineRule="exact"/>
        <w:rPr>
          <w:rFonts w:asciiTheme="minorEastAsia" w:hAnsiTheme="minorEastAsia"/>
          <w:b/>
          <w:color w:val="000000"/>
          <w:sz w:val="22"/>
        </w:rPr>
      </w:pPr>
      <w:r>
        <w:rPr>
          <w:rFonts w:hint="eastAsia" w:asciiTheme="minorEastAsia" w:hAnsiTheme="minorEastAsia"/>
          <w:b/>
          <w:color w:val="000000"/>
          <w:sz w:val="22"/>
        </w:rPr>
        <w:t>法定代表人：                             法定代表人</w:t>
      </w:r>
    </w:p>
    <w:p>
      <w:pPr>
        <w:adjustRightInd w:val="0"/>
        <w:snapToGrid w:val="0"/>
        <w:spacing w:line="360" w:lineRule="exact"/>
        <w:rPr>
          <w:rFonts w:asciiTheme="minorEastAsia" w:hAnsiTheme="minorEastAsia"/>
          <w:b/>
          <w:color w:val="000000"/>
          <w:sz w:val="22"/>
        </w:rPr>
      </w:pPr>
    </w:p>
    <w:p>
      <w:pPr>
        <w:adjustRightInd w:val="0"/>
        <w:snapToGrid w:val="0"/>
        <w:spacing w:line="360" w:lineRule="exact"/>
        <w:rPr>
          <w:rFonts w:asciiTheme="minorEastAsia" w:hAnsiTheme="minorEastAsia"/>
          <w:b/>
          <w:color w:val="000000"/>
          <w:sz w:val="22"/>
        </w:rPr>
      </w:pPr>
      <w:r>
        <w:rPr>
          <w:rFonts w:hint="eastAsia" w:asciiTheme="minorEastAsia" w:hAnsiTheme="minorEastAsia"/>
          <w:b/>
          <w:color w:val="000000"/>
          <w:sz w:val="22"/>
        </w:rPr>
        <w:t>委托代理人：                             委托代理人：</w:t>
      </w:r>
    </w:p>
    <w:p>
      <w:pPr>
        <w:spacing w:line="360" w:lineRule="exact"/>
        <w:rPr>
          <w:rFonts w:asciiTheme="minorEastAsia" w:hAnsiTheme="minorEastAsia"/>
          <w:sz w:val="22"/>
        </w:rPr>
      </w:pPr>
    </w:p>
    <w:p>
      <w:pPr>
        <w:adjustRightInd w:val="0"/>
        <w:snapToGrid w:val="0"/>
        <w:spacing w:line="360" w:lineRule="exact"/>
        <w:rPr>
          <w:rFonts w:asciiTheme="minorEastAsia" w:hAnsiTheme="minorEastAsia"/>
          <w:sz w:val="22"/>
        </w:rPr>
      </w:pPr>
      <w:r>
        <w:rPr>
          <w:rFonts w:hint="eastAsia" w:asciiTheme="minorEastAsia" w:hAnsiTheme="minorEastAsia"/>
          <w:b/>
          <w:color w:val="000000"/>
          <w:sz w:val="22"/>
        </w:rPr>
        <w:t xml:space="preserve"> 年   月   日                               年   月   日</w:t>
      </w:r>
    </w:p>
    <w:p>
      <w:pPr>
        <w:rPr>
          <w:rFonts w:cs="宋体" w:asciiTheme="minorEastAsia" w:hAnsiTheme="minorEastAsia"/>
          <w:bCs/>
          <w:sz w:val="22"/>
        </w:rPr>
      </w:pPr>
    </w:p>
    <w:p>
      <w:pPr>
        <w:pStyle w:val="135"/>
        <w:ind w:firstLine="0" w:firstLineChars="0"/>
        <w:rPr>
          <w:rFonts w:ascii="宋体" w:hAnsi="宋体"/>
          <w:color w:val="auto"/>
        </w:rPr>
      </w:pPr>
      <w:r>
        <w:rPr>
          <w:rFonts w:hint="eastAsia" w:ascii="宋体" w:hAnsi="宋体"/>
          <w:color w:val="auto"/>
        </w:rPr>
        <w:br w:type="page"/>
      </w:r>
      <w:r>
        <w:rPr>
          <w:rFonts w:hint="eastAsia" w:ascii="宋体" w:hAnsi="宋体"/>
          <w:color w:val="auto"/>
        </w:rPr>
        <w:t>附件三</w:t>
      </w:r>
    </w:p>
    <w:p>
      <w:pPr>
        <w:pStyle w:val="135"/>
        <w:ind w:firstLine="0" w:firstLineChars="0"/>
        <w:jc w:val="center"/>
        <w:rPr>
          <w:rFonts w:ascii="宋体" w:hAnsi="宋体"/>
          <w:b/>
          <w:color w:val="auto"/>
          <w:sz w:val="36"/>
        </w:rPr>
      </w:pPr>
      <w:r>
        <w:rPr>
          <w:rFonts w:hint="eastAsia" w:ascii="宋体" w:hAnsi="宋体"/>
          <w:b/>
          <w:color w:val="auto"/>
          <w:sz w:val="36"/>
        </w:rPr>
        <w:t>廉洁自律承诺书</w:t>
      </w:r>
    </w:p>
    <w:p>
      <w:pPr>
        <w:pStyle w:val="135"/>
        <w:ind w:firstLine="0" w:firstLineChars="0"/>
        <w:rPr>
          <w:rFonts w:ascii="宋体" w:hAnsi="宋体"/>
          <w:color w:val="auto"/>
        </w:rPr>
      </w:pPr>
    </w:p>
    <w:p>
      <w:pPr>
        <w:adjustRightInd w:val="0"/>
        <w:snapToGrid w:val="0"/>
        <w:spacing w:line="400" w:lineRule="exact"/>
        <w:rPr>
          <w:rFonts w:ascii="宋体" w:hAnsi="宋体" w:eastAsia="宋体" w:cs="Times New Roman"/>
        </w:rPr>
      </w:pPr>
      <w:r>
        <w:rPr>
          <w:rFonts w:hint="eastAsia" w:ascii="宋体" w:hAnsi="宋体" w:eastAsia="宋体" w:cs="Times New Roman"/>
        </w:rPr>
        <w:t>杭州萧山国际机场有限公司：</w:t>
      </w:r>
    </w:p>
    <w:p>
      <w:pPr>
        <w:adjustRightInd w:val="0"/>
        <w:snapToGrid w:val="0"/>
        <w:spacing w:line="400" w:lineRule="exact"/>
        <w:ind w:firstLine="420" w:firstLineChars="200"/>
        <w:rPr>
          <w:rFonts w:ascii="宋体" w:hAnsi="宋体" w:eastAsia="宋体" w:cs="Times New Roman"/>
        </w:rPr>
      </w:pPr>
      <w:r>
        <w:rPr>
          <w:rFonts w:hint="eastAsia" w:ascii="宋体" w:hAnsi="宋体" w:eastAsia="宋体" w:cs="Times New Roman"/>
        </w:rPr>
        <w:t>我方响应贵公司</w:t>
      </w:r>
      <w:r>
        <w:rPr>
          <w:rFonts w:hint="eastAsia" w:ascii="宋体" w:hAnsi="宋体" w:eastAsia="宋体" w:cs="Times New Roman"/>
          <w:u w:val="single"/>
        </w:rPr>
        <w:t xml:space="preserve"> </w:t>
      </w:r>
      <w:r>
        <w:rPr>
          <w:rFonts w:ascii="宋体" w:hAnsi="宋体" w:eastAsia="宋体" w:cs="Times New Roman"/>
          <w:u w:val="single"/>
        </w:rPr>
        <w:t xml:space="preserve">               </w:t>
      </w:r>
      <w:r>
        <w:rPr>
          <w:rFonts w:hint="eastAsia" w:ascii="宋体" w:hAnsi="宋体" w:eastAsia="宋体" w:cs="Times New Roman"/>
        </w:rPr>
        <w:t>项目招标要求，参加</w:t>
      </w:r>
      <w:r>
        <w:rPr>
          <w:rFonts w:hint="eastAsia" w:ascii="宋体" w:hAnsi="宋体" w:eastAsia="宋体" w:cs="Times New Roman"/>
          <w:u w:val="single"/>
        </w:rPr>
        <w:t xml:space="preserve"> </w:t>
      </w:r>
      <w:r>
        <w:rPr>
          <w:rFonts w:ascii="宋体" w:hAnsi="宋体" w:eastAsia="宋体" w:cs="Times New Roman"/>
          <w:u w:val="single"/>
        </w:rPr>
        <w:t xml:space="preserve">                </w:t>
      </w:r>
      <w:r>
        <w:rPr>
          <w:rFonts w:hint="eastAsia" w:ascii="宋体" w:hAnsi="宋体" w:eastAsia="宋体" w:cs="Times New Roman"/>
        </w:rPr>
        <w:t>项目投标。在投标过程中及中标后，我们将严格遵守国家法律法规和贵司招标文件要求，并郑重作出如下承诺和保证：</w:t>
      </w:r>
    </w:p>
    <w:p>
      <w:pPr>
        <w:adjustRightInd w:val="0"/>
        <w:snapToGrid w:val="0"/>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一、不以任何形式，无论是主动或是被动的，向贵公司有关人员或贵公司聘请的包括但不限于项目设计、监理、招标代理、造价咨询、审计、图审、检测、评估、评标专家、顾问等中介机构、第三方人员赠送无论有价或无价的礼金、礼物、酬金、或其它代币券、回扣、中介费、咨询费、好处费等利益、收益或条件；或就上述内容作出任何暗示、许诺、允诺；</w:t>
      </w:r>
    </w:p>
    <w:p>
      <w:pPr>
        <w:adjustRightInd w:val="0"/>
        <w:snapToGrid w:val="0"/>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二、不以任何名义为贵公司有关人员或项目第三方人员报销应由贵公司或个人支付的费用；</w:t>
      </w:r>
    </w:p>
    <w:p>
      <w:pPr>
        <w:adjustRightInd w:val="0"/>
        <w:snapToGrid w:val="0"/>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三、不向贵公司有关人员或项目第三方人员提供宴请、旅游、和健身娱乐等活动；</w:t>
      </w:r>
    </w:p>
    <w:p>
      <w:pPr>
        <w:adjustRightInd w:val="0"/>
        <w:snapToGrid w:val="0"/>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四、不为贵公司有关人员或项目第三方人员出国（境）、旅游等提供方便；</w:t>
      </w:r>
    </w:p>
    <w:p>
      <w:pPr>
        <w:adjustRightInd w:val="0"/>
        <w:snapToGrid w:val="0"/>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五、不为贵公司有关人员或项目第三方人员个人装修住房、婚丧嫁娶、配偶子女工作安排等提供好处或便利条件；</w:t>
      </w:r>
    </w:p>
    <w:p>
      <w:pPr>
        <w:adjustRightInd w:val="0"/>
        <w:snapToGrid w:val="0"/>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六、严格遵守国家招标投标法、合同法等法律规定，诚实守信，合法经营，坚决杜绝各种违法违纪行为。</w:t>
      </w:r>
    </w:p>
    <w:p>
      <w:pPr>
        <w:adjustRightInd w:val="0"/>
        <w:snapToGrid w:val="0"/>
        <w:spacing w:line="400" w:lineRule="exact"/>
        <w:ind w:firstLine="420" w:firstLineChars="200"/>
        <w:rPr>
          <w:rFonts w:ascii="宋体" w:hAnsi="宋体" w:eastAsia="宋体" w:cs="Times New Roman"/>
          <w:szCs w:val="21"/>
        </w:rPr>
      </w:pPr>
      <w:r>
        <w:rPr>
          <w:rFonts w:ascii="宋体" w:hAnsi="宋体" w:eastAsia="宋体" w:cs="Times New Roman"/>
          <w:szCs w:val="21"/>
        </w:rPr>
        <w:t>七</w:t>
      </w:r>
      <w:r>
        <w:rPr>
          <w:rFonts w:hint="eastAsia" w:ascii="宋体" w:hAnsi="宋体" w:eastAsia="宋体" w:cs="Times New Roman"/>
          <w:szCs w:val="21"/>
        </w:rPr>
        <w:t>、若发现贵公司有关人员或项目第三方人员有故意设置障碍或推诿刁难我方人员参与正常投标项目建设活动以索要好处等行为，我单位将及时向贵公司纪检监察部门举报，举报电话：0571－86661113、86665823。</w:t>
      </w:r>
    </w:p>
    <w:p>
      <w:pPr>
        <w:snapToGrid w:val="0"/>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八、如违反上述廉洁自律承诺，贵公司有权：</w:t>
      </w:r>
    </w:p>
    <w:p>
      <w:pPr>
        <w:adjustRightInd w:val="0"/>
        <w:snapToGrid w:val="0"/>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1）立即取消我单位投标、中标或在建项目的实施资格；</w:t>
      </w:r>
    </w:p>
    <w:p>
      <w:pPr>
        <w:adjustRightInd w:val="0"/>
        <w:snapToGrid w:val="0"/>
        <w:spacing w:line="400" w:lineRule="exact"/>
        <w:ind w:firstLine="420" w:firstLineChars="200"/>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）扣除我方向贵公司缴纳的履约保证金的1</w:t>
      </w:r>
      <w:r>
        <w:rPr>
          <w:rFonts w:ascii="宋体" w:hAnsi="宋体" w:eastAsia="宋体" w:cs="Times New Roman"/>
          <w:szCs w:val="21"/>
        </w:rPr>
        <w:t>0</w:t>
      </w:r>
      <w:r>
        <w:rPr>
          <w:rFonts w:hint="eastAsia" w:ascii="宋体" w:hAnsi="宋体" w:eastAsia="宋体" w:cs="Times New Roman"/>
          <w:szCs w:val="21"/>
        </w:rPr>
        <w:t>%作为违反廉洁自律承诺的违约金。如该违约金不足以弥补贵公司损失的，我单位仍将承担实际损失赔偿责任；</w:t>
      </w:r>
    </w:p>
    <w:p>
      <w:pPr>
        <w:adjustRightInd w:val="0"/>
        <w:snapToGrid w:val="0"/>
        <w:spacing w:line="400" w:lineRule="exact"/>
        <w:ind w:firstLine="420" w:firstLineChars="200"/>
        <w:rPr>
          <w:rFonts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）拒绝我单位在一定时期内进入贵公司进行项目建设或其它经营活动；</w:t>
      </w:r>
    </w:p>
    <w:p>
      <w:pPr>
        <w:adjustRightInd w:val="0"/>
        <w:snapToGrid w:val="0"/>
        <w:spacing w:line="400" w:lineRule="exact"/>
        <w:ind w:firstLine="420" w:firstLineChars="200"/>
        <w:rPr>
          <w:rFonts w:ascii="宋体" w:hAnsi="宋体" w:eastAsia="宋体" w:cs="Times New Roman"/>
          <w:szCs w:val="21"/>
        </w:rPr>
      </w:pPr>
      <w:r>
        <w:rPr>
          <w:rFonts w:ascii="宋体" w:hAnsi="宋体" w:eastAsia="宋体" w:cs="Times New Roman"/>
          <w:szCs w:val="24"/>
        </w:rPr>
        <w:t>4</w:t>
      </w:r>
      <w:r>
        <w:rPr>
          <w:rFonts w:hint="eastAsia" w:ascii="宋体" w:hAnsi="宋体" w:eastAsia="宋体" w:cs="Times New Roman"/>
          <w:szCs w:val="24"/>
        </w:rPr>
        <w:t>）由此引起的相应损失均由我单位承担。</w:t>
      </w:r>
    </w:p>
    <w:p>
      <w:pPr>
        <w:adjustRightInd w:val="0"/>
        <w:snapToGrid w:val="0"/>
        <w:spacing w:line="400" w:lineRule="exact"/>
        <w:ind w:firstLine="420" w:firstLineChars="200"/>
        <w:rPr>
          <w:rFonts w:ascii="宋体" w:hAnsi="宋体" w:eastAsia="宋体" w:cs="Times New Roman"/>
          <w:szCs w:val="21"/>
        </w:rPr>
      </w:pPr>
    </w:p>
    <w:p>
      <w:pPr>
        <w:adjustRightInd w:val="0"/>
        <w:snapToGrid w:val="0"/>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承诺人单位名称（盖章）：            </w:t>
      </w:r>
    </w:p>
    <w:p>
      <w:pPr>
        <w:adjustRightInd w:val="0"/>
        <w:snapToGrid w:val="0"/>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法定代表人</w:t>
      </w:r>
      <w:r>
        <w:rPr>
          <w:rFonts w:ascii="宋体" w:hAnsi="宋体" w:eastAsia="宋体" w:cs="Times New Roman"/>
          <w:szCs w:val="21"/>
        </w:rPr>
        <w:t xml:space="preserve"> ：                    </w:t>
      </w:r>
    </w:p>
    <w:p>
      <w:pPr>
        <w:adjustRightInd w:val="0"/>
        <w:snapToGrid w:val="0"/>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或</w:t>
      </w:r>
      <w:r>
        <w:rPr>
          <w:rFonts w:ascii="宋体" w:hAnsi="宋体" w:eastAsia="宋体" w:cs="Times New Roman"/>
          <w:szCs w:val="21"/>
        </w:rPr>
        <w:t xml:space="preserve">                            </w:t>
      </w:r>
    </w:p>
    <w:p>
      <w:pPr>
        <w:adjustRightInd w:val="0"/>
        <w:snapToGrid w:val="0"/>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委托代理人：</w:t>
      </w:r>
      <w:r>
        <w:rPr>
          <w:rFonts w:ascii="宋体" w:hAnsi="宋体" w:eastAsia="宋体" w:cs="Times New Roman"/>
          <w:szCs w:val="21"/>
        </w:rPr>
        <w:t xml:space="preserve">                   </w:t>
      </w:r>
    </w:p>
    <w:p>
      <w:pPr>
        <w:adjustRightInd w:val="0"/>
        <w:snapToGrid w:val="0"/>
        <w:spacing w:line="360" w:lineRule="exact"/>
        <w:ind w:firstLine="602" w:firstLineChars="200"/>
        <w:jc w:val="left"/>
        <w:rPr>
          <w:rFonts w:ascii="宋体" w:hAnsi="宋体" w:eastAsia="宋体" w:cs="Times New Roman"/>
          <w:b/>
          <w:sz w:val="30"/>
          <w:szCs w:val="20"/>
        </w:rPr>
      </w:pPr>
    </w:p>
    <w:p>
      <w:pPr>
        <w:widowControl/>
        <w:jc w:val="left"/>
        <w:rPr>
          <w:rFonts w:ascii="宋体" w:hAnsi="宋体" w:eastAsia="宋体"/>
          <w:b/>
          <w:bCs/>
          <w:kern w:val="0"/>
          <w:sz w:val="32"/>
          <w:szCs w:val="32"/>
        </w:rPr>
      </w:pPr>
      <w:r>
        <w:rPr>
          <w:rFonts w:ascii="宋体" w:hAnsi="宋体" w:cs="Times New Roman"/>
          <w:b/>
          <w:sz w:val="30"/>
        </w:rPr>
        <w:t xml:space="preserve">   </w:t>
      </w:r>
      <w:r>
        <w:rPr>
          <w:rFonts w:ascii="宋体" w:hAnsi="宋体" w:cs="Times New Roman"/>
        </w:rPr>
        <w:t xml:space="preserve">                                     年     月     日</w:t>
      </w:r>
    </w:p>
    <w:p>
      <w:pPr>
        <w:widowControl/>
        <w:jc w:val="left"/>
      </w:pPr>
      <w:r>
        <w:rPr>
          <w:rFonts w:ascii="宋体"/>
          <w:sz w:val="22"/>
        </w:rPr>
        <w:br w:type="page"/>
      </w:r>
    </w:p>
    <w:p>
      <w:pPr>
        <w:spacing w:line="360" w:lineRule="auto"/>
        <w:rPr>
          <w:rFonts w:ascii="宋体" w:hAnsi="宋体"/>
          <w:b/>
          <w:sz w:val="30"/>
          <w:szCs w:val="30"/>
        </w:rPr>
      </w:pPr>
      <w:r>
        <w:rPr>
          <w:rFonts w:hint="eastAsia" w:ascii="宋体" w:hAnsi="宋体"/>
          <w:color w:val="000000"/>
          <w:szCs w:val="20"/>
        </w:rPr>
        <w:t>附件四</w:t>
      </w:r>
    </w:p>
    <w:p>
      <w:pPr>
        <w:spacing w:line="560" w:lineRule="exact"/>
        <w:jc w:val="center"/>
        <w:rPr>
          <w:rFonts w:ascii="仿宋_GB2312" w:eastAsia="仿宋_GB2312"/>
          <w:sz w:val="32"/>
          <w:szCs w:val="32"/>
        </w:rPr>
      </w:pPr>
      <w:r>
        <w:rPr>
          <w:rFonts w:hint="eastAsia" w:ascii="仿宋_GB2312" w:eastAsia="仿宋_GB2312"/>
          <w:b/>
          <w:sz w:val="32"/>
          <w:szCs w:val="32"/>
        </w:rPr>
        <w:t>飞行区标志线维护项目监管考核方法</w:t>
      </w:r>
    </w:p>
    <w:p>
      <w:pPr>
        <w:spacing w:line="560" w:lineRule="exact"/>
        <w:ind w:firstLine="560" w:firstLineChars="200"/>
        <w:rPr>
          <w:rFonts w:ascii="仿宋_GB2312" w:eastAsia="仿宋_GB2312"/>
          <w:sz w:val="28"/>
          <w:szCs w:val="32"/>
        </w:rPr>
      </w:pPr>
      <w:r>
        <w:rPr>
          <w:rFonts w:hint="eastAsia" w:ascii="仿宋_GB2312" w:eastAsia="仿宋_GB2312"/>
          <w:sz w:val="28"/>
          <w:szCs w:val="32"/>
        </w:rPr>
        <w:t>一、日常考核。飞行区中心场务室每日按照日常检查表对相应岗位工作情况、服务质量进行监督检查及考核，发现问题，及时进行记录，并由承包人现场人员确认，同时发放</w:t>
      </w:r>
      <w:r>
        <w:rPr>
          <w:rFonts w:ascii="仿宋_GB2312" w:eastAsia="仿宋_GB2312"/>
          <w:sz w:val="28"/>
          <w:szCs w:val="32"/>
        </w:rPr>
        <w:t>整改单</w:t>
      </w:r>
      <w:r>
        <w:rPr>
          <w:rFonts w:hint="eastAsia" w:ascii="仿宋_GB2312" w:eastAsia="仿宋_GB2312"/>
          <w:sz w:val="28"/>
          <w:szCs w:val="32"/>
        </w:rPr>
        <w:t>告知承包人进行纠正和整改。</w:t>
      </w:r>
    </w:p>
    <w:p>
      <w:pPr>
        <w:spacing w:line="560" w:lineRule="exact"/>
        <w:ind w:firstLine="560" w:firstLineChars="200"/>
        <w:rPr>
          <w:rFonts w:ascii="仿宋_GB2312" w:eastAsia="仿宋_GB2312"/>
          <w:sz w:val="28"/>
          <w:szCs w:val="32"/>
        </w:rPr>
      </w:pPr>
      <w:r>
        <w:rPr>
          <w:rFonts w:hint="eastAsia" w:ascii="仿宋_GB2312" w:eastAsia="仿宋_GB2312"/>
          <w:sz w:val="28"/>
          <w:szCs w:val="32"/>
        </w:rPr>
        <w:t>承包人在收到整改通知书之日起10日内完成相关整改工作，并将整改情况反馈飞行区中心场务室。</w:t>
      </w:r>
    </w:p>
    <w:p>
      <w:pPr>
        <w:spacing w:line="560" w:lineRule="exact"/>
        <w:ind w:firstLine="560" w:firstLineChars="200"/>
        <w:rPr>
          <w:rFonts w:ascii="仿宋_GB2312" w:eastAsia="仿宋_GB2312"/>
          <w:sz w:val="28"/>
          <w:szCs w:val="32"/>
        </w:rPr>
      </w:pPr>
      <w:r>
        <w:rPr>
          <w:rFonts w:hint="eastAsia" w:ascii="仿宋_GB2312" w:eastAsia="仿宋_GB2312"/>
          <w:sz w:val="28"/>
          <w:szCs w:val="32"/>
        </w:rPr>
        <w:t>二、月（季</w:t>
      </w:r>
      <w:r>
        <w:rPr>
          <w:rFonts w:ascii="仿宋_GB2312" w:eastAsia="仿宋_GB2312"/>
          <w:sz w:val="28"/>
          <w:szCs w:val="32"/>
        </w:rPr>
        <w:t>）</w:t>
      </w:r>
      <w:r>
        <w:rPr>
          <w:rFonts w:hint="eastAsia" w:ascii="仿宋_GB2312" w:eastAsia="仿宋_GB2312"/>
          <w:sz w:val="28"/>
          <w:szCs w:val="32"/>
        </w:rPr>
        <w:t>度考核。飞行区中心场务室根据当月每日考核得分情况得出月度考核得分，满分100分</w:t>
      </w:r>
      <w:r>
        <w:rPr>
          <w:rFonts w:ascii="仿宋_GB2312" w:eastAsia="仿宋_GB2312"/>
          <w:sz w:val="28"/>
          <w:szCs w:val="32"/>
        </w:rPr>
        <w:t>，</w:t>
      </w:r>
      <w:r>
        <w:rPr>
          <w:rFonts w:hint="eastAsia" w:ascii="仿宋_GB2312" w:eastAsia="仿宋_GB2312"/>
          <w:sz w:val="28"/>
          <w:szCs w:val="32"/>
        </w:rPr>
        <w:t>单项考核分</w:t>
      </w:r>
      <w:r>
        <w:rPr>
          <w:rFonts w:ascii="仿宋_GB2312" w:eastAsia="仿宋_GB2312"/>
          <w:sz w:val="28"/>
          <w:szCs w:val="32"/>
        </w:rPr>
        <w:t>不设上限，</w:t>
      </w:r>
      <w:r>
        <w:rPr>
          <w:rFonts w:hint="eastAsia" w:ascii="仿宋_GB2312" w:eastAsia="仿宋_GB2312"/>
          <w:sz w:val="28"/>
          <w:szCs w:val="32"/>
        </w:rPr>
        <w:t>当月每日考核的最低得分为月度考核得分。</w:t>
      </w:r>
    </w:p>
    <w:p>
      <w:pPr>
        <w:spacing w:line="560" w:lineRule="exact"/>
        <w:ind w:firstLine="560" w:firstLineChars="200"/>
        <w:rPr>
          <w:rFonts w:ascii="仿宋_GB2312" w:eastAsia="仿宋_GB2312"/>
          <w:sz w:val="28"/>
          <w:szCs w:val="32"/>
        </w:rPr>
      </w:pPr>
      <w:r>
        <w:rPr>
          <w:rFonts w:ascii="仿宋_GB2312" w:eastAsia="仿宋_GB2312"/>
          <w:sz w:val="28"/>
          <w:szCs w:val="32"/>
        </w:rPr>
        <w:t>1</w:t>
      </w:r>
      <w:r>
        <w:rPr>
          <w:rFonts w:hint="eastAsia" w:ascii="仿宋_GB2312" w:eastAsia="仿宋_GB2312"/>
          <w:sz w:val="28"/>
          <w:szCs w:val="32"/>
        </w:rPr>
        <w:t>．每月考核得分达到95分以上（含95分），视为考核合格；如考核得分95分以下，视为考核不合格。</w:t>
      </w:r>
    </w:p>
    <w:p>
      <w:pPr>
        <w:spacing w:line="560" w:lineRule="exact"/>
        <w:ind w:firstLine="560" w:firstLineChars="200"/>
        <w:rPr>
          <w:rFonts w:ascii="仿宋_GB2312" w:eastAsia="仿宋_GB2312"/>
          <w:sz w:val="28"/>
          <w:szCs w:val="32"/>
        </w:rPr>
      </w:pPr>
      <w:r>
        <w:rPr>
          <w:rFonts w:ascii="仿宋_GB2312" w:eastAsia="仿宋_GB2312"/>
          <w:sz w:val="28"/>
          <w:szCs w:val="32"/>
        </w:rPr>
        <w:t>2</w:t>
      </w:r>
      <w:r>
        <w:rPr>
          <w:rFonts w:hint="eastAsia" w:ascii="仿宋_GB2312" w:eastAsia="仿宋_GB2312"/>
          <w:sz w:val="28"/>
          <w:szCs w:val="32"/>
        </w:rPr>
        <w:t>．</w:t>
      </w:r>
      <w:r>
        <w:rPr>
          <w:rFonts w:ascii="仿宋_GB2312" w:eastAsia="仿宋_GB2312"/>
          <w:sz w:val="28"/>
          <w:szCs w:val="32"/>
        </w:rPr>
        <w:t>月</w:t>
      </w:r>
      <w:r>
        <w:rPr>
          <w:rFonts w:hint="eastAsia" w:ascii="仿宋_GB2312" w:eastAsia="仿宋_GB2312"/>
          <w:sz w:val="28"/>
          <w:szCs w:val="32"/>
        </w:rPr>
        <w:t>度考核得分达到95分以上（含95分），视为考核合格，发包人按合同约定向承包人支付费用；如月度考核得分95分以下，视为考核不合格，每减少1分，扣除当月费用的1%。年度</w:t>
      </w:r>
      <w:r>
        <w:rPr>
          <w:rFonts w:ascii="仿宋_GB2312" w:eastAsia="仿宋_GB2312"/>
          <w:sz w:val="28"/>
          <w:szCs w:val="32"/>
        </w:rPr>
        <w:t>考核成绩可按</w:t>
      </w:r>
      <w:r>
        <w:rPr>
          <w:rFonts w:hint="eastAsia" w:ascii="仿宋_GB2312" w:eastAsia="仿宋_GB2312"/>
          <w:sz w:val="28"/>
          <w:szCs w:val="32"/>
        </w:rPr>
        <w:t>季</w:t>
      </w:r>
      <w:r>
        <w:rPr>
          <w:rFonts w:ascii="仿宋_GB2312" w:eastAsia="仿宋_GB2312"/>
          <w:sz w:val="28"/>
          <w:szCs w:val="32"/>
        </w:rPr>
        <w:t>度平均值进行核算。</w:t>
      </w:r>
    </w:p>
    <w:p>
      <w:pPr>
        <w:spacing w:line="560" w:lineRule="exact"/>
        <w:ind w:firstLine="560" w:firstLineChars="200"/>
        <w:rPr>
          <w:rFonts w:ascii="仿宋_GB2312" w:eastAsia="仿宋_GB2312"/>
          <w:sz w:val="28"/>
          <w:szCs w:val="32"/>
        </w:rPr>
      </w:pPr>
      <w:r>
        <w:rPr>
          <w:rFonts w:hint="eastAsia" w:ascii="仿宋_GB2312" w:eastAsia="仿宋_GB2312"/>
          <w:sz w:val="28"/>
          <w:szCs w:val="32"/>
        </w:rPr>
        <w:t>三、本合同第一年为考核期，如考核结果不合格，即年度考核成绩在95分以下（年度</w:t>
      </w:r>
      <w:r>
        <w:rPr>
          <w:rFonts w:ascii="仿宋_GB2312" w:eastAsia="仿宋_GB2312"/>
          <w:sz w:val="28"/>
          <w:szCs w:val="32"/>
        </w:rPr>
        <w:t>考核成绩可按</w:t>
      </w:r>
      <w:r>
        <w:rPr>
          <w:rFonts w:hint="eastAsia" w:ascii="仿宋_GB2312" w:eastAsia="仿宋_GB2312"/>
          <w:sz w:val="28"/>
          <w:szCs w:val="32"/>
        </w:rPr>
        <w:t>季</w:t>
      </w:r>
      <w:r>
        <w:rPr>
          <w:rFonts w:ascii="仿宋_GB2312" w:eastAsia="仿宋_GB2312"/>
          <w:sz w:val="28"/>
          <w:szCs w:val="32"/>
        </w:rPr>
        <w:t>度平均值进行核算</w:t>
      </w:r>
      <w:r>
        <w:rPr>
          <w:rFonts w:hint="eastAsia" w:ascii="仿宋_GB2312" w:eastAsia="仿宋_GB2312"/>
          <w:sz w:val="28"/>
          <w:szCs w:val="32"/>
        </w:rPr>
        <w:t>），则本合同有效期限至第一年合同期满后终止，全额没收乙方的履约保证金，并有权要求承包人赔偿后三年因更换承包商所产生的高于原合同费用的差价。</w:t>
      </w:r>
    </w:p>
    <w:p>
      <w:pPr>
        <w:spacing w:line="560" w:lineRule="exact"/>
        <w:rPr>
          <w:rFonts w:ascii="仿宋_GB2312" w:eastAsia="仿宋_GB2312"/>
          <w:sz w:val="32"/>
          <w:szCs w:val="32"/>
        </w:rPr>
      </w:pPr>
      <w:r>
        <w:rPr>
          <w:rFonts w:hint="eastAsia" w:ascii="仿宋_GB2312" w:eastAsia="仿宋_GB2312"/>
          <w:sz w:val="28"/>
          <w:szCs w:val="32"/>
        </w:rPr>
        <w:t xml:space="preserve">    四、在本合同有效期限内如连续两个月度考核得分低于85分（包含85分）或在一个自然外包年度内共计有三个月度考核得分低于85分（包含85分），发包人有权终止本合同，并要求承包人承担由此给发包人造成的实际损失。</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jc w:val="center"/>
        <w:rPr>
          <w:rFonts w:ascii="微软雅黑" w:hAnsi="微软雅黑"/>
          <w:b/>
          <w:sz w:val="36"/>
          <w:szCs w:val="36"/>
        </w:rPr>
      </w:pPr>
      <w:r>
        <w:rPr>
          <w:rFonts w:hint="eastAsia" w:ascii="微软雅黑" w:hAnsi="微软雅黑"/>
          <w:b/>
          <w:sz w:val="36"/>
          <w:szCs w:val="36"/>
        </w:rPr>
        <w:t>飞行区标志线维护日考核标准</w:t>
      </w:r>
    </w:p>
    <w:tbl>
      <w:tblPr>
        <w:tblStyle w:val="58"/>
        <w:tblW w:w="9234" w:type="dxa"/>
        <w:tblInd w:w="88" w:type="dxa"/>
        <w:tblLayout w:type="fixed"/>
        <w:tblCellMar>
          <w:top w:w="0" w:type="dxa"/>
          <w:left w:w="108" w:type="dxa"/>
          <w:bottom w:w="0" w:type="dxa"/>
          <w:right w:w="108" w:type="dxa"/>
        </w:tblCellMar>
      </w:tblPr>
      <w:tblGrid>
        <w:gridCol w:w="780"/>
        <w:gridCol w:w="580"/>
        <w:gridCol w:w="6173"/>
        <w:gridCol w:w="851"/>
        <w:gridCol w:w="850"/>
      </w:tblGrid>
      <w:tr>
        <w:tblPrEx>
          <w:tblLayout w:type="fixed"/>
          <w:tblCellMar>
            <w:top w:w="0" w:type="dxa"/>
            <w:left w:w="108" w:type="dxa"/>
            <w:bottom w:w="0" w:type="dxa"/>
            <w:right w:w="108" w:type="dxa"/>
          </w:tblCellMar>
        </w:tblPrEx>
        <w:trPr>
          <w:trHeight w:val="420"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宋体" w:hAnsi="宋体" w:cs="宋体"/>
              </w:rPr>
            </w:pPr>
            <w:r>
              <w:rPr>
                <w:rFonts w:hint="eastAsia" w:ascii="宋体" w:hAnsi="宋体" w:cs="宋体"/>
              </w:rPr>
              <w:t>分类</w:t>
            </w:r>
          </w:p>
        </w:tc>
        <w:tc>
          <w:tcPr>
            <w:tcW w:w="580" w:type="dxa"/>
            <w:tcBorders>
              <w:top w:val="single" w:color="auto" w:sz="4" w:space="0"/>
              <w:left w:val="nil"/>
              <w:bottom w:val="single" w:color="auto" w:sz="4" w:space="0"/>
              <w:right w:val="single" w:color="auto" w:sz="4" w:space="0"/>
            </w:tcBorders>
            <w:shd w:val="clear" w:color="auto" w:fill="auto"/>
            <w:vAlign w:val="center"/>
          </w:tcPr>
          <w:p>
            <w:pPr>
              <w:spacing w:line="560" w:lineRule="exact"/>
              <w:jc w:val="center"/>
              <w:rPr>
                <w:rFonts w:ascii="宋体" w:hAnsi="宋体" w:cs="宋体"/>
              </w:rPr>
            </w:pPr>
            <w:r>
              <w:rPr>
                <w:rFonts w:hint="eastAsia" w:ascii="宋体" w:hAnsi="宋体" w:cs="宋体"/>
              </w:rPr>
              <w:t>序号</w:t>
            </w:r>
          </w:p>
        </w:tc>
        <w:tc>
          <w:tcPr>
            <w:tcW w:w="6173" w:type="dxa"/>
            <w:tcBorders>
              <w:top w:val="single" w:color="auto" w:sz="4" w:space="0"/>
              <w:left w:val="nil"/>
              <w:bottom w:val="single" w:color="auto" w:sz="4" w:space="0"/>
              <w:right w:val="nil"/>
            </w:tcBorders>
            <w:shd w:val="clear" w:color="auto" w:fill="auto"/>
            <w:vAlign w:val="center"/>
          </w:tcPr>
          <w:p>
            <w:pPr>
              <w:spacing w:line="560" w:lineRule="exact"/>
              <w:jc w:val="center"/>
              <w:rPr>
                <w:rFonts w:ascii="宋体" w:hAnsi="宋体" w:cs="宋体"/>
              </w:rPr>
            </w:pPr>
            <w:r>
              <w:rPr>
                <w:rFonts w:hint="eastAsia" w:ascii="宋体" w:hAnsi="宋体" w:cs="宋体"/>
              </w:rPr>
              <w:t>单项考核内容</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宋体" w:hAnsi="宋体" w:cs="宋体"/>
              </w:rPr>
            </w:pPr>
            <w:r>
              <w:rPr>
                <w:rFonts w:hint="eastAsia" w:ascii="宋体" w:hAnsi="宋体" w:cs="宋体"/>
              </w:rPr>
              <w:t>扣分</w:t>
            </w:r>
          </w:p>
          <w:p>
            <w:pPr>
              <w:spacing w:line="560" w:lineRule="exact"/>
              <w:jc w:val="center"/>
              <w:rPr>
                <w:rFonts w:ascii="宋体" w:hAnsi="宋体" w:cs="宋体"/>
              </w:rPr>
            </w:pPr>
            <w:r>
              <w:rPr>
                <w:rFonts w:hint="eastAsia" w:ascii="宋体" w:hAnsi="宋体" w:cs="宋体"/>
              </w:rPr>
              <w:t>标准</w:t>
            </w:r>
          </w:p>
        </w:tc>
        <w:tc>
          <w:tcPr>
            <w:tcW w:w="850" w:type="dxa"/>
            <w:tcBorders>
              <w:top w:val="single" w:color="auto" w:sz="4" w:space="0"/>
              <w:left w:val="nil"/>
              <w:bottom w:val="single" w:color="auto" w:sz="4" w:space="0"/>
              <w:right w:val="single" w:color="auto" w:sz="4" w:space="0"/>
            </w:tcBorders>
            <w:shd w:val="clear" w:color="auto" w:fill="auto"/>
            <w:vAlign w:val="center"/>
          </w:tcPr>
          <w:p>
            <w:pPr>
              <w:spacing w:line="560" w:lineRule="exact"/>
              <w:jc w:val="center"/>
              <w:rPr>
                <w:rFonts w:ascii="宋体" w:hAnsi="宋体" w:cs="宋体"/>
              </w:rPr>
            </w:pPr>
            <w:r>
              <w:rPr>
                <w:rFonts w:hint="eastAsia" w:ascii="宋体" w:hAnsi="宋体" w:cs="宋体"/>
              </w:rPr>
              <w:t>实际</w:t>
            </w:r>
          </w:p>
          <w:p>
            <w:pPr>
              <w:spacing w:line="560" w:lineRule="exact"/>
              <w:jc w:val="center"/>
              <w:rPr>
                <w:rFonts w:ascii="宋体" w:hAnsi="宋体" w:cs="宋体"/>
              </w:rPr>
            </w:pPr>
            <w:r>
              <w:rPr>
                <w:rFonts w:hint="eastAsia" w:ascii="宋体" w:hAnsi="宋体" w:cs="宋体"/>
              </w:rPr>
              <w:t>扣分</w:t>
            </w:r>
          </w:p>
        </w:tc>
      </w:tr>
      <w:tr>
        <w:tblPrEx>
          <w:tblLayout w:type="fixed"/>
          <w:tblCellMar>
            <w:top w:w="0" w:type="dxa"/>
            <w:left w:w="108" w:type="dxa"/>
            <w:bottom w:w="0" w:type="dxa"/>
            <w:right w:w="108" w:type="dxa"/>
          </w:tblCellMar>
        </w:tblPrEx>
        <w:trPr>
          <w:trHeight w:val="285" w:hRule="atLeast"/>
        </w:trPr>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宋体" w:hAnsi="宋体" w:cs="宋体"/>
                <w:b/>
                <w:bCs/>
                <w:sz w:val="30"/>
                <w:szCs w:val="30"/>
              </w:rPr>
            </w:pPr>
            <w:r>
              <w:rPr>
                <w:rFonts w:hint="eastAsia" w:ascii="宋体" w:hAnsi="宋体" w:cs="宋体"/>
                <w:b/>
                <w:bCs/>
                <w:sz w:val="30"/>
                <w:szCs w:val="30"/>
              </w:rPr>
              <w:t>安全管理</w:t>
            </w:r>
          </w:p>
        </w:tc>
        <w:tc>
          <w:tcPr>
            <w:tcW w:w="580" w:type="dxa"/>
            <w:tcBorders>
              <w:top w:val="nil"/>
              <w:left w:val="nil"/>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1</w:t>
            </w:r>
          </w:p>
        </w:tc>
        <w:tc>
          <w:tcPr>
            <w:tcW w:w="6173" w:type="dxa"/>
            <w:tcBorders>
              <w:top w:val="single" w:color="auto" w:sz="4" w:space="0"/>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不得使用、冒用他人通行证、身份证进入控制区进行工作。</w:t>
            </w:r>
          </w:p>
        </w:tc>
        <w:tc>
          <w:tcPr>
            <w:tcW w:w="851" w:type="dxa"/>
            <w:tcBorders>
              <w:top w:val="nil"/>
              <w:left w:val="single" w:color="auto" w:sz="4" w:space="0"/>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5</w:t>
            </w:r>
          </w:p>
        </w:tc>
        <w:tc>
          <w:tcPr>
            <w:tcW w:w="850" w:type="dxa"/>
            <w:tcBorders>
              <w:top w:val="nil"/>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trHeight w:val="285"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spacing w:line="560" w:lineRule="exact"/>
              <w:rPr>
                <w:rFonts w:ascii="宋体" w:hAnsi="宋体" w:cs="宋体"/>
                <w:b/>
                <w:bCs/>
                <w:sz w:val="30"/>
                <w:szCs w:val="30"/>
              </w:rPr>
            </w:pPr>
          </w:p>
        </w:tc>
        <w:tc>
          <w:tcPr>
            <w:tcW w:w="580" w:type="dxa"/>
            <w:tcBorders>
              <w:top w:val="nil"/>
              <w:left w:val="nil"/>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2</w:t>
            </w:r>
          </w:p>
        </w:tc>
        <w:tc>
          <w:tcPr>
            <w:tcW w:w="6173" w:type="dxa"/>
            <w:tcBorders>
              <w:top w:val="single" w:color="auto" w:sz="4" w:space="0"/>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进入飞行区的施工人员必须着有反光标识的服装；进入飞行区的施工车辆必须配备有效的黄色警灯和灭火器材。</w:t>
            </w:r>
          </w:p>
        </w:tc>
        <w:tc>
          <w:tcPr>
            <w:tcW w:w="851" w:type="dxa"/>
            <w:tcBorders>
              <w:top w:val="nil"/>
              <w:left w:val="single" w:color="auto" w:sz="4" w:space="0"/>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5</w:t>
            </w:r>
          </w:p>
        </w:tc>
        <w:tc>
          <w:tcPr>
            <w:tcW w:w="850" w:type="dxa"/>
            <w:tcBorders>
              <w:top w:val="nil"/>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trHeight w:val="285"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spacing w:line="560" w:lineRule="exact"/>
              <w:rPr>
                <w:rFonts w:ascii="宋体" w:hAnsi="宋体" w:cs="宋体"/>
                <w:b/>
                <w:bCs/>
                <w:sz w:val="30"/>
                <w:szCs w:val="30"/>
              </w:rPr>
            </w:pPr>
          </w:p>
        </w:tc>
        <w:tc>
          <w:tcPr>
            <w:tcW w:w="580" w:type="dxa"/>
            <w:tcBorders>
              <w:top w:val="nil"/>
              <w:left w:val="nil"/>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3</w:t>
            </w:r>
          </w:p>
        </w:tc>
        <w:tc>
          <w:tcPr>
            <w:tcW w:w="6173" w:type="dxa"/>
            <w:tcBorders>
              <w:top w:val="single" w:color="auto" w:sz="4" w:space="0"/>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按甲方要求在施工区域设置施工护栏和红色闪光灯。</w:t>
            </w:r>
          </w:p>
        </w:tc>
        <w:tc>
          <w:tcPr>
            <w:tcW w:w="851" w:type="dxa"/>
            <w:tcBorders>
              <w:top w:val="nil"/>
              <w:left w:val="single" w:color="auto" w:sz="4" w:space="0"/>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10</w:t>
            </w:r>
          </w:p>
        </w:tc>
        <w:tc>
          <w:tcPr>
            <w:tcW w:w="850" w:type="dxa"/>
            <w:tcBorders>
              <w:top w:val="nil"/>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trHeight w:val="285"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spacing w:line="560" w:lineRule="exact"/>
              <w:rPr>
                <w:rFonts w:ascii="宋体" w:hAnsi="宋体" w:cs="宋体"/>
                <w:b/>
                <w:bCs/>
                <w:sz w:val="30"/>
                <w:szCs w:val="30"/>
              </w:rPr>
            </w:pPr>
          </w:p>
        </w:tc>
        <w:tc>
          <w:tcPr>
            <w:tcW w:w="580" w:type="dxa"/>
            <w:tcBorders>
              <w:top w:val="nil"/>
              <w:left w:val="nil"/>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4</w:t>
            </w:r>
          </w:p>
        </w:tc>
        <w:tc>
          <w:tcPr>
            <w:tcW w:w="6173" w:type="dxa"/>
            <w:tcBorders>
              <w:top w:val="single" w:color="auto" w:sz="4" w:space="0"/>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人员、车辆按规定路线（至少距离飞机10米外）到达施工点，车辆限速50公里/小时，服务车道区域35公里/小时。</w:t>
            </w:r>
          </w:p>
        </w:tc>
        <w:tc>
          <w:tcPr>
            <w:tcW w:w="851" w:type="dxa"/>
            <w:tcBorders>
              <w:top w:val="nil"/>
              <w:left w:val="single" w:color="auto" w:sz="4" w:space="0"/>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5</w:t>
            </w:r>
          </w:p>
        </w:tc>
        <w:tc>
          <w:tcPr>
            <w:tcW w:w="850" w:type="dxa"/>
            <w:tcBorders>
              <w:top w:val="nil"/>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trHeight w:val="570"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spacing w:line="560" w:lineRule="exact"/>
              <w:rPr>
                <w:rFonts w:ascii="宋体" w:hAnsi="宋体" w:cs="宋体"/>
                <w:b/>
                <w:bCs/>
                <w:sz w:val="30"/>
                <w:szCs w:val="30"/>
              </w:rPr>
            </w:pPr>
          </w:p>
        </w:tc>
        <w:tc>
          <w:tcPr>
            <w:tcW w:w="580" w:type="dxa"/>
            <w:tcBorders>
              <w:top w:val="nil"/>
              <w:left w:val="nil"/>
              <w:bottom w:val="single" w:color="auto" w:sz="4" w:space="0"/>
              <w:right w:val="single" w:color="auto" w:sz="4" w:space="0"/>
            </w:tcBorders>
            <w:shd w:val="clear" w:color="auto" w:fill="auto"/>
            <w:vAlign w:val="center"/>
          </w:tcPr>
          <w:p>
            <w:pPr>
              <w:spacing w:line="560" w:lineRule="exact"/>
              <w:jc w:val="center"/>
              <w:rPr>
                <w:rFonts w:ascii="宋体" w:hAnsi="宋体" w:cs="宋体"/>
              </w:rPr>
            </w:pPr>
            <w:r>
              <w:rPr>
                <w:rFonts w:hint="eastAsia" w:ascii="宋体" w:hAnsi="宋体" w:cs="宋体"/>
              </w:rPr>
              <w:t>5</w:t>
            </w:r>
          </w:p>
        </w:tc>
        <w:tc>
          <w:tcPr>
            <w:tcW w:w="6173" w:type="dxa"/>
            <w:tcBorders>
              <w:top w:val="single" w:color="auto" w:sz="4" w:space="0"/>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施工前应仔细了解地下管网（线）和隐蔽工程情况，施工过程中不得损坏飞行区内的有关设施及地下管网（线），必须提前做好防护工作，遇突发情况及时上报。</w:t>
            </w:r>
          </w:p>
        </w:tc>
        <w:tc>
          <w:tcPr>
            <w:tcW w:w="851" w:type="dxa"/>
            <w:tcBorders>
              <w:top w:val="nil"/>
              <w:left w:val="single" w:color="auto" w:sz="4" w:space="0"/>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5</w:t>
            </w:r>
          </w:p>
        </w:tc>
        <w:tc>
          <w:tcPr>
            <w:tcW w:w="850" w:type="dxa"/>
            <w:tcBorders>
              <w:top w:val="nil"/>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trHeight w:val="285"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spacing w:line="560" w:lineRule="exact"/>
              <w:rPr>
                <w:rFonts w:ascii="宋体" w:hAnsi="宋体" w:cs="宋体"/>
                <w:b/>
                <w:bCs/>
                <w:sz w:val="30"/>
                <w:szCs w:val="30"/>
              </w:rPr>
            </w:pPr>
          </w:p>
        </w:tc>
        <w:tc>
          <w:tcPr>
            <w:tcW w:w="580" w:type="dxa"/>
            <w:tcBorders>
              <w:top w:val="nil"/>
              <w:left w:val="nil"/>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6</w:t>
            </w:r>
          </w:p>
        </w:tc>
        <w:tc>
          <w:tcPr>
            <w:tcW w:w="6173" w:type="dxa"/>
            <w:tcBorders>
              <w:top w:val="single" w:color="auto" w:sz="4" w:space="0"/>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施工人员、车辆、设备等不得接近航空器。</w:t>
            </w:r>
          </w:p>
        </w:tc>
        <w:tc>
          <w:tcPr>
            <w:tcW w:w="851" w:type="dxa"/>
            <w:tcBorders>
              <w:top w:val="nil"/>
              <w:left w:val="single" w:color="auto" w:sz="4" w:space="0"/>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5</w:t>
            </w:r>
          </w:p>
        </w:tc>
        <w:tc>
          <w:tcPr>
            <w:tcW w:w="850" w:type="dxa"/>
            <w:tcBorders>
              <w:top w:val="nil"/>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trHeight w:val="285"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spacing w:line="560" w:lineRule="exact"/>
              <w:rPr>
                <w:rFonts w:ascii="宋体" w:hAnsi="宋体" w:cs="宋体"/>
                <w:b/>
                <w:bCs/>
                <w:sz w:val="30"/>
                <w:szCs w:val="30"/>
              </w:rPr>
            </w:pPr>
          </w:p>
        </w:tc>
        <w:tc>
          <w:tcPr>
            <w:tcW w:w="580" w:type="dxa"/>
            <w:tcBorders>
              <w:top w:val="nil"/>
              <w:left w:val="nil"/>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7</w:t>
            </w:r>
          </w:p>
        </w:tc>
        <w:tc>
          <w:tcPr>
            <w:tcW w:w="6173" w:type="dxa"/>
            <w:tcBorders>
              <w:top w:val="single" w:color="auto" w:sz="4" w:space="0"/>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进入机场控制区的施工设备、车辆必须保持整洁，防止施工耗材、渣土等沿途洒落。</w:t>
            </w:r>
          </w:p>
        </w:tc>
        <w:tc>
          <w:tcPr>
            <w:tcW w:w="851" w:type="dxa"/>
            <w:tcBorders>
              <w:top w:val="nil"/>
              <w:left w:val="single" w:color="auto" w:sz="4" w:space="0"/>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5</w:t>
            </w:r>
          </w:p>
        </w:tc>
        <w:tc>
          <w:tcPr>
            <w:tcW w:w="850" w:type="dxa"/>
            <w:tcBorders>
              <w:top w:val="nil"/>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trHeight w:val="285"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spacing w:line="560" w:lineRule="exact"/>
              <w:rPr>
                <w:rFonts w:ascii="宋体" w:hAnsi="宋体" w:cs="宋体"/>
                <w:b/>
                <w:bCs/>
                <w:sz w:val="30"/>
                <w:szCs w:val="30"/>
              </w:rPr>
            </w:pPr>
          </w:p>
        </w:tc>
        <w:tc>
          <w:tcPr>
            <w:tcW w:w="580" w:type="dxa"/>
            <w:tcBorders>
              <w:top w:val="nil"/>
              <w:left w:val="nil"/>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8</w:t>
            </w:r>
          </w:p>
        </w:tc>
        <w:tc>
          <w:tcPr>
            <w:tcW w:w="6173" w:type="dxa"/>
            <w:tcBorders>
              <w:top w:val="single" w:color="auto" w:sz="4" w:space="0"/>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飞行区内不得吸烟、斗殴，酒后不得进入飞行区作业。</w:t>
            </w:r>
          </w:p>
        </w:tc>
        <w:tc>
          <w:tcPr>
            <w:tcW w:w="851" w:type="dxa"/>
            <w:tcBorders>
              <w:top w:val="nil"/>
              <w:left w:val="single" w:color="auto" w:sz="4" w:space="0"/>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10</w:t>
            </w:r>
          </w:p>
        </w:tc>
        <w:tc>
          <w:tcPr>
            <w:tcW w:w="850" w:type="dxa"/>
            <w:tcBorders>
              <w:top w:val="nil"/>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trHeight w:val="285"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spacing w:line="560" w:lineRule="exact"/>
              <w:rPr>
                <w:rFonts w:ascii="宋体" w:hAnsi="宋体" w:cs="宋体"/>
                <w:b/>
                <w:bCs/>
                <w:sz w:val="30"/>
                <w:szCs w:val="30"/>
              </w:rPr>
            </w:pPr>
          </w:p>
        </w:tc>
        <w:tc>
          <w:tcPr>
            <w:tcW w:w="580" w:type="dxa"/>
            <w:tcBorders>
              <w:top w:val="nil"/>
              <w:left w:val="nil"/>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9</w:t>
            </w:r>
          </w:p>
        </w:tc>
        <w:tc>
          <w:tcPr>
            <w:tcW w:w="6173" w:type="dxa"/>
            <w:tcBorders>
              <w:top w:val="single" w:color="auto" w:sz="4" w:space="0"/>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施工作业人员不得离开施工作业区，必须严格服从机场现场监管人员的指挥。</w:t>
            </w:r>
          </w:p>
        </w:tc>
        <w:tc>
          <w:tcPr>
            <w:tcW w:w="851" w:type="dxa"/>
            <w:tcBorders>
              <w:top w:val="nil"/>
              <w:left w:val="single" w:color="auto" w:sz="4" w:space="0"/>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10</w:t>
            </w:r>
          </w:p>
        </w:tc>
        <w:tc>
          <w:tcPr>
            <w:tcW w:w="850" w:type="dxa"/>
            <w:tcBorders>
              <w:top w:val="nil"/>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trHeight w:val="285"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spacing w:line="560" w:lineRule="exact"/>
              <w:rPr>
                <w:rFonts w:ascii="宋体" w:hAnsi="宋体" w:cs="宋体"/>
                <w:b/>
                <w:bCs/>
                <w:sz w:val="30"/>
                <w:szCs w:val="30"/>
              </w:rPr>
            </w:pPr>
          </w:p>
        </w:tc>
        <w:tc>
          <w:tcPr>
            <w:tcW w:w="580" w:type="dxa"/>
            <w:tcBorders>
              <w:top w:val="nil"/>
              <w:left w:val="nil"/>
              <w:bottom w:val="single" w:color="auto" w:sz="4" w:space="0"/>
              <w:right w:val="single" w:color="auto" w:sz="4" w:space="0"/>
            </w:tcBorders>
            <w:shd w:val="clear" w:color="auto" w:fill="auto"/>
            <w:vAlign w:val="center"/>
          </w:tcPr>
          <w:p>
            <w:pPr>
              <w:spacing w:line="560" w:lineRule="exact"/>
              <w:jc w:val="center"/>
              <w:rPr>
                <w:rFonts w:ascii="宋体" w:hAnsi="宋体" w:cs="宋体"/>
              </w:rPr>
            </w:pPr>
            <w:r>
              <w:rPr>
                <w:rFonts w:hint="eastAsia" w:ascii="宋体" w:hAnsi="宋体" w:cs="宋体"/>
              </w:rPr>
              <w:t>10</w:t>
            </w:r>
          </w:p>
        </w:tc>
        <w:tc>
          <w:tcPr>
            <w:tcW w:w="6173" w:type="dxa"/>
            <w:tcBorders>
              <w:top w:val="single" w:color="auto" w:sz="4" w:space="0"/>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在跑道有飞行活动期间，禁止在跑道端外300米内、跑道中心线两侧75米以内的区域进行任何施工作业。</w:t>
            </w:r>
          </w:p>
        </w:tc>
        <w:tc>
          <w:tcPr>
            <w:tcW w:w="851" w:type="dxa"/>
            <w:tcBorders>
              <w:top w:val="nil"/>
              <w:left w:val="single" w:color="auto" w:sz="4" w:space="0"/>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10</w:t>
            </w:r>
          </w:p>
        </w:tc>
        <w:tc>
          <w:tcPr>
            <w:tcW w:w="850" w:type="dxa"/>
            <w:tcBorders>
              <w:top w:val="nil"/>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trHeight w:val="570"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spacing w:line="560" w:lineRule="exact"/>
              <w:rPr>
                <w:rFonts w:ascii="宋体" w:hAnsi="宋体" w:cs="宋体"/>
                <w:b/>
                <w:bCs/>
                <w:sz w:val="30"/>
                <w:szCs w:val="30"/>
              </w:rPr>
            </w:pPr>
          </w:p>
        </w:tc>
        <w:tc>
          <w:tcPr>
            <w:tcW w:w="580" w:type="dxa"/>
            <w:tcBorders>
              <w:top w:val="nil"/>
              <w:left w:val="nil"/>
              <w:bottom w:val="single" w:color="auto" w:sz="4" w:space="0"/>
              <w:right w:val="single" w:color="auto" w:sz="4" w:space="0"/>
            </w:tcBorders>
            <w:shd w:val="clear" w:color="auto" w:fill="auto"/>
            <w:vAlign w:val="center"/>
          </w:tcPr>
          <w:p>
            <w:pPr>
              <w:spacing w:line="560" w:lineRule="exact"/>
              <w:jc w:val="center"/>
              <w:rPr>
                <w:rFonts w:ascii="宋体" w:hAnsi="宋体" w:cs="宋体"/>
              </w:rPr>
            </w:pPr>
            <w:r>
              <w:rPr>
                <w:rFonts w:hint="eastAsia" w:ascii="宋体" w:hAnsi="宋体" w:cs="宋体"/>
              </w:rPr>
              <w:t>11</w:t>
            </w:r>
          </w:p>
        </w:tc>
        <w:tc>
          <w:tcPr>
            <w:tcW w:w="6173" w:type="dxa"/>
            <w:tcBorders>
              <w:top w:val="single" w:color="auto" w:sz="4" w:space="0"/>
              <w:left w:val="nil"/>
              <w:bottom w:val="single" w:color="auto" w:sz="4" w:space="0"/>
              <w:right w:val="single" w:color="auto" w:sz="4" w:space="0"/>
            </w:tcBorders>
            <w:shd w:val="clear" w:color="auto" w:fill="auto"/>
            <w:vAlign w:val="center"/>
          </w:tcPr>
          <w:p>
            <w:pPr>
              <w:spacing w:line="560" w:lineRule="exact"/>
              <w:rPr>
                <w:rFonts w:ascii="宋体" w:hAnsi="宋体" w:cs="宋体"/>
              </w:rPr>
            </w:pPr>
            <w:r>
              <w:rPr>
                <w:rFonts w:hint="eastAsia" w:ascii="宋体" w:hAnsi="宋体" w:cs="宋体"/>
              </w:rPr>
              <w:t>施工结束后，必须清点施工设备与工具，不得将任何工具滞留施工现场，撤离后立即对该区域进行清扫，确保该区域清洁无杂物。</w:t>
            </w:r>
          </w:p>
        </w:tc>
        <w:tc>
          <w:tcPr>
            <w:tcW w:w="851" w:type="dxa"/>
            <w:tcBorders>
              <w:top w:val="nil"/>
              <w:left w:val="single" w:color="auto" w:sz="4" w:space="0"/>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5</w:t>
            </w:r>
          </w:p>
        </w:tc>
        <w:tc>
          <w:tcPr>
            <w:tcW w:w="850" w:type="dxa"/>
            <w:tcBorders>
              <w:top w:val="nil"/>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trHeight w:val="285"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spacing w:line="560" w:lineRule="exact"/>
              <w:rPr>
                <w:rFonts w:ascii="宋体" w:hAnsi="宋体" w:cs="宋体"/>
                <w:b/>
                <w:bCs/>
                <w:sz w:val="30"/>
                <w:szCs w:val="30"/>
              </w:rPr>
            </w:pPr>
          </w:p>
        </w:tc>
        <w:tc>
          <w:tcPr>
            <w:tcW w:w="580" w:type="dxa"/>
            <w:tcBorders>
              <w:top w:val="nil"/>
              <w:left w:val="nil"/>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12</w:t>
            </w:r>
          </w:p>
        </w:tc>
        <w:tc>
          <w:tcPr>
            <w:tcW w:w="6173" w:type="dxa"/>
            <w:tcBorders>
              <w:top w:val="single" w:color="auto" w:sz="4" w:space="0"/>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凡从事2米以上高空施工作业，施工人员均需佩带安全帽、安全带。</w:t>
            </w:r>
          </w:p>
        </w:tc>
        <w:tc>
          <w:tcPr>
            <w:tcW w:w="851" w:type="dxa"/>
            <w:tcBorders>
              <w:top w:val="nil"/>
              <w:left w:val="single" w:color="auto" w:sz="4" w:space="0"/>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5</w:t>
            </w:r>
          </w:p>
        </w:tc>
        <w:tc>
          <w:tcPr>
            <w:tcW w:w="850" w:type="dxa"/>
            <w:tcBorders>
              <w:top w:val="nil"/>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trHeight w:val="285"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spacing w:line="560" w:lineRule="exact"/>
              <w:rPr>
                <w:rFonts w:ascii="宋体" w:hAnsi="宋体" w:cs="宋体"/>
                <w:b/>
                <w:bCs/>
                <w:sz w:val="30"/>
                <w:szCs w:val="30"/>
              </w:rPr>
            </w:pPr>
          </w:p>
        </w:tc>
        <w:tc>
          <w:tcPr>
            <w:tcW w:w="580" w:type="dxa"/>
            <w:tcBorders>
              <w:top w:val="nil"/>
              <w:left w:val="nil"/>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13</w:t>
            </w:r>
          </w:p>
        </w:tc>
        <w:tc>
          <w:tcPr>
            <w:tcW w:w="6173" w:type="dxa"/>
            <w:tcBorders>
              <w:top w:val="single" w:color="auto" w:sz="4" w:space="0"/>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凡从事特种施工作业，施工人员需持有有效的特种作业操作证，并遵守国家相关的特种作业管理规定。</w:t>
            </w:r>
          </w:p>
        </w:tc>
        <w:tc>
          <w:tcPr>
            <w:tcW w:w="851" w:type="dxa"/>
            <w:tcBorders>
              <w:top w:val="nil"/>
              <w:left w:val="single" w:color="auto" w:sz="4" w:space="0"/>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5</w:t>
            </w:r>
          </w:p>
        </w:tc>
        <w:tc>
          <w:tcPr>
            <w:tcW w:w="850" w:type="dxa"/>
            <w:tcBorders>
              <w:top w:val="nil"/>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trHeight w:val="570"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spacing w:line="560" w:lineRule="exact"/>
              <w:rPr>
                <w:rFonts w:ascii="宋体" w:hAnsi="宋体" w:cs="宋体"/>
                <w:b/>
                <w:bCs/>
                <w:sz w:val="30"/>
                <w:szCs w:val="30"/>
              </w:rPr>
            </w:pPr>
          </w:p>
        </w:tc>
        <w:tc>
          <w:tcPr>
            <w:tcW w:w="580" w:type="dxa"/>
            <w:tcBorders>
              <w:top w:val="nil"/>
              <w:left w:val="nil"/>
              <w:bottom w:val="single" w:color="auto" w:sz="4" w:space="0"/>
              <w:right w:val="single" w:color="auto" w:sz="4" w:space="0"/>
            </w:tcBorders>
            <w:shd w:val="clear" w:color="auto" w:fill="auto"/>
            <w:vAlign w:val="center"/>
          </w:tcPr>
          <w:p>
            <w:pPr>
              <w:spacing w:line="560" w:lineRule="exact"/>
              <w:jc w:val="center"/>
              <w:rPr>
                <w:rFonts w:ascii="宋体" w:hAnsi="宋体" w:cs="宋体"/>
              </w:rPr>
            </w:pPr>
            <w:r>
              <w:rPr>
                <w:rFonts w:hint="eastAsia" w:ascii="宋体" w:hAnsi="宋体" w:cs="宋体"/>
              </w:rPr>
              <w:t>14</w:t>
            </w:r>
          </w:p>
        </w:tc>
        <w:tc>
          <w:tcPr>
            <w:tcW w:w="6173" w:type="dxa"/>
            <w:tcBorders>
              <w:top w:val="single" w:color="auto" w:sz="4" w:space="0"/>
              <w:left w:val="nil"/>
              <w:bottom w:val="single" w:color="auto" w:sz="4" w:space="0"/>
              <w:right w:val="single" w:color="auto" w:sz="4" w:space="0"/>
            </w:tcBorders>
            <w:shd w:val="clear" w:color="auto" w:fill="auto"/>
            <w:vAlign w:val="center"/>
          </w:tcPr>
          <w:p>
            <w:pPr>
              <w:spacing w:line="560" w:lineRule="exact"/>
              <w:rPr>
                <w:rFonts w:ascii="宋体" w:hAnsi="宋体" w:cs="宋体"/>
              </w:rPr>
            </w:pPr>
            <w:r>
              <w:rPr>
                <w:rFonts w:hint="eastAsia" w:ascii="宋体" w:hAnsi="宋体" w:cs="宋体"/>
              </w:rPr>
              <w:t>不得擅自使用明火，在从事机场委托项目的动火作业期间，必须严格执行机场的消防安全管理规定办理动火证，施工完毕后动火所需的种类易燃易爆物品必须立即撤离现场。</w:t>
            </w:r>
          </w:p>
        </w:tc>
        <w:tc>
          <w:tcPr>
            <w:tcW w:w="851" w:type="dxa"/>
            <w:tcBorders>
              <w:top w:val="nil"/>
              <w:left w:val="single" w:color="auto" w:sz="4" w:space="0"/>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10</w:t>
            </w:r>
          </w:p>
        </w:tc>
        <w:tc>
          <w:tcPr>
            <w:tcW w:w="850" w:type="dxa"/>
            <w:tcBorders>
              <w:top w:val="nil"/>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trHeight w:val="285"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spacing w:line="560" w:lineRule="exact"/>
              <w:rPr>
                <w:rFonts w:ascii="宋体" w:hAnsi="宋体" w:cs="宋体"/>
                <w:b/>
                <w:bCs/>
                <w:sz w:val="30"/>
                <w:szCs w:val="30"/>
              </w:rPr>
            </w:pPr>
          </w:p>
        </w:tc>
        <w:tc>
          <w:tcPr>
            <w:tcW w:w="580" w:type="dxa"/>
            <w:tcBorders>
              <w:top w:val="nil"/>
              <w:left w:val="nil"/>
              <w:bottom w:val="single" w:color="auto" w:sz="4" w:space="0"/>
              <w:right w:val="single" w:color="auto" w:sz="4" w:space="0"/>
            </w:tcBorders>
            <w:shd w:val="clear" w:color="auto" w:fill="auto"/>
            <w:vAlign w:val="center"/>
          </w:tcPr>
          <w:p>
            <w:pPr>
              <w:spacing w:line="560" w:lineRule="exact"/>
              <w:jc w:val="center"/>
              <w:rPr>
                <w:rFonts w:ascii="宋体" w:hAnsi="宋体" w:cs="宋体"/>
              </w:rPr>
            </w:pPr>
            <w:r>
              <w:rPr>
                <w:rFonts w:hint="eastAsia" w:ascii="宋体" w:hAnsi="宋体" w:cs="宋体"/>
              </w:rPr>
              <w:t>15</w:t>
            </w:r>
          </w:p>
        </w:tc>
        <w:tc>
          <w:tcPr>
            <w:tcW w:w="6173" w:type="dxa"/>
            <w:tcBorders>
              <w:top w:val="single" w:color="auto" w:sz="4" w:space="0"/>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每周自行组织安全教育并做好台帐记录。</w:t>
            </w:r>
          </w:p>
        </w:tc>
        <w:tc>
          <w:tcPr>
            <w:tcW w:w="851" w:type="dxa"/>
            <w:tcBorders>
              <w:top w:val="nil"/>
              <w:left w:val="single" w:color="auto" w:sz="4" w:space="0"/>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5</w:t>
            </w:r>
          </w:p>
        </w:tc>
        <w:tc>
          <w:tcPr>
            <w:tcW w:w="850" w:type="dxa"/>
            <w:tcBorders>
              <w:top w:val="nil"/>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trHeight w:val="285"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spacing w:line="560" w:lineRule="exact"/>
              <w:rPr>
                <w:rFonts w:ascii="宋体" w:hAnsi="宋体" w:cs="宋体"/>
                <w:b/>
                <w:bCs/>
                <w:sz w:val="30"/>
                <w:szCs w:val="30"/>
              </w:rPr>
            </w:pPr>
          </w:p>
        </w:tc>
        <w:tc>
          <w:tcPr>
            <w:tcW w:w="580" w:type="dxa"/>
            <w:tcBorders>
              <w:top w:val="nil"/>
              <w:left w:val="nil"/>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16</w:t>
            </w:r>
          </w:p>
        </w:tc>
        <w:tc>
          <w:tcPr>
            <w:tcW w:w="6173" w:type="dxa"/>
            <w:tcBorders>
              <w:top w:val="single" w:color="auto" w:sz="4" w:space="0"/>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不得私接水电，如确需使用应征得动力机电与能源保障部的同意。</w:t>
            </w:r>
          </w:p>
        </w:tc>
        <w:tc>
          <w:tcPr>
            <w:tcW w:w="851" w:type="dxa"/>
            <w:tcBorders>
              <w:top w:val="nil"/>
              <w:left w:val="single" w:color="auto" w:sz="4" w:space="0"/>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5</w:t>
            </w:r>
          </w:p>
        </w:tc>
        <w:tc>
          <w:tcPr>
            <w:tcW w:w="850" w:type="dxa"/>
            <w:tcBorders>
              <w:top w:val="nil"/>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trHeight w:val="285"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spacing w:line="560" w:lineRule="exact"/>
              <w:rPr>
                <w:rFonts w:ascii="宋体" w:hAnsi="宋体" w:cs="宋体"/>
                <w:b/>
                <w:bCs/>
                <w:sz w:val="30"/>
                <w:szCs w:val="30"/>
              </w:rPr>
            </w:pPr>
          </w:p>
        </w:tc>
        <w:tc>
          <w:tcPr>
            <w:tcW w:w="580" w:type="dxa"/>
            <w:tcBorders>
              <w:top w:val="nil"/>
              <w:left w:val="nil"/>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17</w:t>
            </w:r>
          </w:p>
        </w:tc>
        <w:tc>
          <w:tcPr>
            <w:tcW w:w="6173" w:type="dxa"/>
            <w:tcBorders>
              <w:top w:val="single" w:color="auto" w:sz="4" w:space="0"/>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服从监管人员安排，无条件接受甲方以任何形式下达的停工、紧急撤离、清扫等指令。</w:t>
            </w:r>
          </w:p>
        </w:tc>
        <w:tc>
          <w:tcPr>
            <w:tcW w:w="851" w:type="dxa"/>
            <w:tcBorders>
              <w:top w:val="nil"/>
              <w:left w:val="single" w:color="auto" w:sz="4" w:space="0"/>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10</w:t>
            </w:r>
          </w:p>
        </w:tc>
        <w:tc>
          <w:tcPr>
            <w:tcW w:w="850" w:type="dxa"/>
            <w:tcBorders>
              <w:top w:val="nil"/>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trHeight w:val="285"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spacing w:line="560" w:lineRule="exact"/>
              <w:rPr>
                <w:rFonts w:ascii="宋体" w:hAnsi="宋体" w:cs="宋体"/>
                <w:b/>
                <w:bCs/>
                <w:sz w:val="30"/>
                <w:szCs w:val="30"/>
              </w:rPr>
            </w:pPr>
          </w:p>
        </w:tc>
        <w:tc>
          <w:tcPr>
            <w:tcW w:w="580" w:type="dxa"/>
            <w:tcBorders>
              <w:top w:val="nil"/>
              <w:left w:val="nil"/>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18</w:t>
            </w:r>
          </w:p>
        </w:tc>
        <w:tc>
          <w:tcPr>
            <w:tcW w:w="6173" w:type="dxa"/>
            <w:tcBorders>
              <w:top w:val="single" w:color="auto" w:sz="4" w:space="0"/>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注意爱护机场设施，若发生损坏助航设施或其它影响飞行安全的情况，应及时上报。</w:t>
            </w:r>
          </w:p>
        </w:tc>
        <w:tc>
          <w:tcPr>
            <w:tcW w:w="851" w:type="dxa"/>
            <w:tcBorders>
              <w:top w:val="nil"/>
              <w:left w:val="single" w:color="auto" w:sz="4" w:space="0"/>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5</w:t>
            </w:r>
          </w:p>
        </w:tc>
        <w:tc>
          <w:tcPr>
            <w:tcW w:w="850" w:type="dxa"/>
            <w:tcBorders>
              <w:top w:val="nil"/>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trHeight w:val="285" w:hRule="atLeast"/>
        </w:trPr>
        <w:tc>
          <w:tcPr>
            <w:tcW w:w="780" w:type="dxa"/>
            <w:vMerge w:val="restart"/>
            <w:tcBorders>
              <w:top w:val="single" w:color="auto" w:sz="4" w:space="0"/>
              <w:left w:val="single" w:color="auto" w:sz="4" w:space="0"/>
              <w:right w:val="single" w:color="auto" w:sz="4" w:space="0"/>
            </w:tcBorders>
            <w:shd w:val="clear" w:color="auto" w:fill="auto"/>
            <w:vAlign w:val="center"/>
          </w:tcPr>
          <w:p>
            <w:pPr>
              <w:spacing w:line="560" w:lineRule="exact"/>
              <w:jc w:val="center"/>
              <w:rPr>
                <w:rFonts w:ascii="宋体" w:hAnsi="宋体" w:cs="宋体"/>
                <w:b/>
                <w:bCs/>
                <w:sz w:val="30"/>
                <w:szCs w:val="30"/>
              </w:rPr>
            </w:pPr>
            <w:r>
              <w:rPr>
                <w:rFonts w:hint="eastAsia" w:ascii="宋体" w:hAnsi="宋体" w:cs="宋体"/>
                <w:b/>
                <w:bCs/>
                <w:sz w:val="30"/>
                <w:szCs w:val="30"/>
              </w:rPr>
              <w:t>质量管理</w:t>
            </w:r>
          </w:p>
        </w:tc>
        <w:tc>
          <w:tcPr>
            <w:tcW w:w="6753" w:type="dxa"/>
            <w:gridSpan w:val="2"/>
            <w:tcBorders>
              <w:top w:val="single" w:color="auto" w:sz="4" w:space="0"/>
              <w:left w:val="nil"/>
              <w:bottom w:val="single" w:color="auto" w:sz="4" w:space="0"/>
              <w:right w:val="single" w:color="auto" w:sz="4" w:space="0"/>
            </w:tcBorders>
            <w:shd w:val="clear" w:color="auto" w:fill="auto"/>
            <w:vAlign w:val="bottom"/>
          </w:tcPr>
          <w:p>
            <w:pPr>
              <w:spacing w:line="560" w:lineRule="exact"/>
              <w:jc w:val="center"/>
              <w:rPr>
                <w:rFonts w:ascii="宋体" w:hAnsi="宋体" w:cs="宋体"/>
                <w:b/>
                <w:bCs/>
              </w:rPr>
            </w:pPr>
            <w:r>
              <w:rPr>
                <w:rFonts w:hint="eastAsia" w:ascii="宋体" w:hAnsi="宋体" w:cs="宋体"/>
                <w:b/>
                <w:bCs/>
              </w:rPr>
              <w:t>标志线油漆</w:t>
            </w:r>
          </w:p>
        </w:tc>
        <w:tc>
          <w:tcPr>
            <w:tcW w:w="851" w:type="dxa"/>
            <w:tcBorders>
              <w:top w:val="nil"/>
              <w:left w:val="single" w:color="auto" w:sz="4" w:space="0"/>
              <w:bottom w:val="single" w:color="auto" w:sz="4" w:space="0"/>
              <w:right w:val="single" w:color="auto" w:sz="4" w:space="0"/>
            </w:tcBorders>
            <w:shd w:val="clear" w:color="auto" w:fill="auto"/>
            <w:vAlign w:val="bottom"/>
          </w:tcPr>
          <w:p>
            <w:pPr>
              <w:spacing w:line="560" w:lineRule="exact"/>
              <w:jc w:val="center"/>
              <w:rPr>
                <w:rFonts w:ascii="宋体" w:hAnsi="宋体" w:cs="宋体"/>
              </w:rPr>
            </w:pPr>
          </w:p>
        </w:tc>
        <w:tc>
          <w:tcPr>
            <w:tcW w:w="850" w:type="dxa"/>
            <w:tcBorders>
              <w:top w:val="nil"/>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trHeight w:val="285" w:hRule="atLeast"/>
        </w:trPr>
        <w:tc>
          <w:tcPr>
            <w:tcW w:w="780" w:type="dxa"/>
            <w:vMerge w:val="continue"/>
            <w:tcBorders>
              <w:left w:val="single" w:color="auto" w:sz="4" w:space="0"/>
              <w:right w:val="single" w:color="auto" w:sz="4" w:space="0"/>
            </w:tcBorders>
            <w:shd w:val="clear" w:color="auto" w:fill="auto"/>
            <w:vAlign w:val="center"/>
          </w:tcPr>
          <w:p>
            <w:pPr>
              <w:spacing w:line="560" w:lineRule="exact"/>
              <w:rPr>
                <w:rFonts w:ascii="宋体" w:hAnsi="宋体" w:cs="宋体"/>
                <w:b/>
                <w:bCs/>
                <w:sz w:val="30"/>
                <w:szCs w:val="30"/>
              </w:rPr>
            </w:pPr>
          </w:p>
        </w:tc>
        <w:tc>
          <w:tcPr>
            <w:tcW w:w="580" w:type="dxa"/>
            <w:tcBorders>
              <w:top w:val="nil"/>
              <w:left w:val="nil"/>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19</w:t>
            </w:r>
          </w:p>
        </w:tc>
        <w:tc>
          <w:tcPr>
            <w:tcW w:w="6173" w:type="dxa"/>
            <w:tcBorders>
              <w:top w:val="single" w:color="auto" w:sz="4" w:space="0"/>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因乙方责任原因，造成施工区域道面摩擦系数明显下降</w:t>
            </w:r>
          </w:p>
        </w:tc>
        <w:tc>
          <w:tcPr>
            <w:tcW w:w="851" w:type="dxa"/>
            <w:tcBorders>
              <w:top w:val="nil"/>
              <w:left w:val="single" w:color="auto" w:sz="4" w:space="0"/>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5</w:t>
            </w:r>
          </w:p>
        </w:tc>
        <w:tc>
          <w:tcPr>
            <w:tcW w:w="850" w:type="dxa"/>
            <w:tcBorders>
              <w:top w:val="nil"/>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trHeight w:val="285" w:hRule="atLeast"/>
        </w:trPr>
        <w:tc>
          <w:tcPr>
            <w:tcW w:w="780" w:type="dxa"/>
            <w:vMerge w:val="continue"/>
            <w:tcBorders>
              <w:left w:val="single" w:color="auto" w:sz="4" w:space="0"/>
              <w:right w:val="single" w:color="auto" w:sz="4" w:space="0"/>
            </w:tcBorders>
            <w:shd w:val="clear" w:color="auto" w:fill="auto"/>
            <w:vAlign w:val="center"/>
          </w:tcPr>
          <w:p>
            <w:pPr>
              <w:spacing w:line="560" w:lineRule="exact"/>
              <w:rPr>
                <w:rFonts w:ascii="宋体" w:hAnsi="宋体" w:cs="宋体"/>
                <w:b/>
                <w:bCs/>
                <w:sz w:val="30"/>
                <w:szCs w:val="30"/>
              </w:rPr>
            </w:pPr>
          </w:p>
        </w:tc>
        <w:tc>
          <w:tcPr>
            <w:tcW w:w="580" w:type="dxa"/>
            <w:tcBorders>
              <w:top w:val="nil"/>
              <w:left w:val="nil"/>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20</w:t>
            </w:r>
          </w:p>
        </w:tc>
        <w:tc>
          <w:tcPr>
            <w:tcW w:w="6173" w:type="dxa"/>
            <w:tcBorders>
              <w:top w:val="single" w:color="auto" w:sz="4" w:space="0"/>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因乙方责任原因，未能在指定时间内完成施工</w:t>
            </w:r>
          </w:p>
        </w:tc>
        <w:tc>
          <w:tcPr>
            <w:tcW w:w="851" w:type="dxa"/>
            <w:tcBorders>
              <w:top w:val="nil"/>
              <w:left w:val="single" w:color="auto" w:sz="4" w:space="0"/>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5</w:t>
            </w:r>
          </w:p>
        </w:tc>
        <w:tc>
          <w:tcPr>
            <w:tcW w:w="850" w:type="dxa"/>
            <w:tcBorders>
              <w:top w:val="nil"/>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trHeight w:val="285" w:hRule="atLeast"/>
        </w:trPr>
        <w:tc>
          <w:tcPr>
            <w:tcW w:w="780" w:type="dxa"/>
            <w:vMerge w:val="continue"/>
            <w:tcBorders>
              <w:left w:val="single" w:color="auto" w:sz="4" w:space="0"/>
              <w:right w:val="single" w:color="auto" w:sz="4" w:space="0"/>
            </w:tcBorders>
            <w:shd w:val="clear" w:color="auto" w:fill="auto"/>
            <w:vAlign w:val="center"/>
          </w:tcPr>
          <w:p>
            <w:pPr>
              <w:spacing w:line="560" w:lineRule="exact"/>
              <w:rPr>
                <w:rFonts w:ascii="宋体" w:hAnsi="宋体" w:cs="宋体"/>
                <w:b/>
                <w:bCs/>
                <w:sz w:val="30"/>
                <w:szCs w:val="30"/>
              </w:rPr>
            </w:pPr>
          </w:p>
        </w:tc>
        <w:tc>
          <w:tcPr>
            <w:tcW w:w="580" w:type="dxa"/>
            <w:tcBorders>
              <w:top w:val="nil"/>
              <w:left w:val="nil"/>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21</w:t>
            </w:r>
          </w:p>
        </w:tc>
        <w:tc>
          <w:tcPr>
            <w:tcW w:w="6173" w:type="dxa"/>
            <w:tcBorders>
              <w:top w:val="single" w:color="auto" w:sz="4" w:space="0"/>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因乙方责任原因，造成施工区域未能及时开放使用</w:t>
            </w:r>
          </w:p>
        </w:tc>
        <w:tc>
          <w:tcPr>
            <w:tcW w:w="851" w:type="dxa"/>
            <w:tcBorders>
              <w:top w:val="nil"/>
              <w:left w:val="single" w:color="auto" w:sz="4" w:space="0"/>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5</w:t>
            </w:r>
          </w:p>
        </w:tc>
        <w:tc>
          <w:tcPr>
            <w:tcW w:w="850" w:type="dxa"/>
            <w:tcBorders>
              <w:top w:val="nil"/>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trHeight w:val="285" w:hRule="atLeast"/>
        </w:trPr>
        <w:tc>
          <w:tcPr>
            <w:tcW w:w="780" w:type="dxa"/>
            <w:vMerge w:val="continue"/>
            <w:tcBorders>
              <w:left w:val="single" w:color="auto" w:sz="4" w:space="0"/>
              <w:right w:val="single" w:color="auto" w:sz="4" w:space="0"/>
            </w:tcBorders>
            <w:shd w:val="clear" w:color="auto" w:fill="auto"/>
            <w:vAlign w:val="center"/>
          </w:tcPr>
          <w:p>
            <w:pPr>
              <w:spacing w:line="560" w:lineRule="exact"/>
              <w:rPr>
                <w:rFonts w:ascii="宋体" w:hAnsi="宋体" w:cs="宋体"/>
                <w:b/>
                <w:bCs/>
                <w:sz w:val="30"/>
                <w:szCs w:val="30"/>
              </w:rPr>
            </w:pPr>
          </w:p>
        </w:tc>
        <w:tc>
          <w:tcPr>
            <w:tcW w:w="580" w:type="dxa"/>
            <w:tcBorders>
              <w:top w:val="nil"/>
              <w:left w:val="nil"/>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22</w:t>
            </w:r>
          </w:p>
        </w:tc>
        <w:tc>
          <w:tcPr>
            <w:tcW w:w="6173" w:type="dxa"/>
            <w:tcBorders>
              <w:top w:val="single" w:color="auto" w:sz="4" w:space="0"/>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施工材料不满足环保要求，有刺鼻气味等问题</w:t>
            </w:r>
          </w:p>
        </w:tc>
        <w:tc>
          <w:tcPr>
            <w:tcW w:w="851" w:type="dxa"/>
            <w:tcBorders>
              <w:top w:val="nil"/>
              <w:left w:val="single" w:color="auto" w:sz="4" w:space="0"/>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5</w:t>
            </w:r>
          </w:p>
        </w:tc>
        <w:tc>
          <w:tcPr>
            <w:tcW w:w="850" w:type="dxa"/>
            <w:tcBorders>
              <w:top w:val="nil"/>
              <w:left w:val="nil"/>
              <w:bottom w:val="single" w:color="auto" w:sz="4" w:space="0"/>
              <w:right w:val="single" w:color="auto" w:sz="4" w:space="0"/>
            </w:tcBorders>
            <w:shd w:val="clear" w:color="auto" w:fill="auto"/>
            <w:vAlign w:val="bottom"/>
          </w:tcPr>
          <w:p>
            <w:pPr>
              <w:spacing w:line="560" w:lineRule="exact"/>
              <w:rPr>
                <w:rFonts w:ascii="宋体" w:hAnsi="宋体" w:cs="宋体"/>
              </w:rPr>
            </w:pPr>
          </w:p>
        </w:tc>
      </w:tr>
      <w:tr>
        <w:tblPrEx>
          <w:tblLayout w:type="fixed"/>
          <w:tblCellMar>
            <w:top w:w="0" w:type="dxa"/>
            <w:left w:w="108" w:type="dxa"/>
            <w:bottom w:w="0" w:type="dxa"/>
            <w:right w:w="108" w:type="dxa"/>
          </w:tblCellMar>
        </w:tblPrEx>
        <w:trPr>
          <w:trHeight w:val="285" w:hRule="atLeast"/>
        </w:trPr>
        <w:tc>
          <w:tcPr>
            <w:tcW w:w="780" w:type="dxa"/>
            <w:vMerge w:val="continue"/>
            <w:tcBorders>
              <w:left w:val="single" w:color="auto" w:sz="4" w:space="0"/>
              <w:right w:val="single" w:color="auto" w:sz="4" w:space="0"/>
            </w:tcBorders>
            <w:shd w:val="clear" w:color="auto" w:fill="auto"/>
            <w:vAlign w:val="center"/>
          </w:tcPr>
          <w:p>
            <w:pPr>
              <w:spacing w:line="560" w:lineRule="exact"/>
              <w:rPr>
                <w:rFonts w:ascii="宋体" w:hAnsi="宋体" w:cs="宋体"/>
                <w:b/>
                <w:bCs/>
                <w:sz w:val="30"/>
                <w:szCs w:val="30"/>
              </w:rPr>
            </w:pPr>
          </w:p>
        </w:tc>
        <w:tc>
          <w:tcPr>
            <w:tcW w:w="580" w:type="dxa"/>
            <w:tcBorders>
              <w:top w:val="nil"/>
              <w:left w:val="nil"/>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23</w:t>
            </w:r>
          </w:p>
        </w:tc>
        <w:tc>
          <w:tcPr>
            <w:tcW w:w="6173" w:type="dxa"/>
            <w:tcBorders>
              <w:top w:val="single" w:color="auto" w:sz="4" w:space="0"/>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施工过程中对环境造成污染</w:t>
            </w:r>
          </w:p>
        </w:tc>
        <w:tc>
          <w:tcPr>
            <w:tcW w:w="851" w:type="dxa"/>
            <w:tcBorders>
              <w:top w:val="nil"/>
              <w:left w:val="single" w:color="auto" w:sz="4" w:space="0"/>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5</w:t>
            </w:r>
          </w:p>
        </w:tc>
        <w:tc>
          <w:tcPr>
            <w:tcW w:w="850" w:type="dxa"/>
            <w:tcBorders>
              <w:top w:val="nil"/>
              <w:left w:val="nil"/>
              <w:bottom w:val="single" w:color="auto" w:sz="4" w:space="0"/>
              <w:right w:val="single" w:color="auto" w:sz="4" w:space="0"/>
            </w:tcBorders>
            <w:shd w:val="clear" w:color="auto" w:fill="auto"/>
            <w:vAlign w:val="bottom"/>
          </w:tcPr>
          <w:p>
            <w:pPr>
              <w:spacing w:line="560" w:lineRule="exact"/>
              <w:rPr>
                <w:rFonts w:ascii="宋体" w:hAnsi="宋体" w:cs="宋体"/>
              </w:rPr>
            </w:pPr>
          </w:p>
        </w:tc>
      </w:tr>
      <w:tr>
        <w:tblPrEx>
          <w:tblLayout w:type="fixed"/>
          <w:tblCellMar>
            <w:top w:w="0" w:type="dxa"/>
            <w:left w:w="108" w:type="dxa"/>
            <w:bottom w:w="0" w:type="dxa"/>
            <w:right w:w="108" w:type="dxa"/>
          </w:tblCellMar>
        </w:tblPrEx>
        <w:trPr>
          <w:trHeight w:val="285" w:hRule="atLeast"/>
        </w:trPr>
        <w:tc>
          <w:tcPr>
            <w:tcW w:w="780" w:type="dxa"/>
            <w:vMerge w:val="continue"/>
            <w:tcBorders>
              <w:left w:val="single" w:color="auto" w:sz="4" w:space="0"/>
              <w:bottom w:val="single" w:color="auto" w:sz="4" w:space="0"/>
              <w:right w:val="single" w:color="auto" w:sz="4" w:space="0"/>
            </w:tcBorders>
            <w:shd w:val="clear" w:color="auto" w:fill="auto"/>
            <w:vAlign w:val="center"/>
          </w:tcPr>
          <w:p>
            <w:pPr>
              <w:spacing w:line="560" w:lineRule="exact"/>
              <w:rPr>
                <w:rFonts w:ascii="宋体" w:hAnsi="宋体" w:cs="宋体"/>
                <w:b/>
                <w:bCs/>
                <w:sz w:val="30"/>
                <w:szCs w:val="30"/>
              </w:rPr>
            </w:pPr>
          </w:p>
        </w:tc>
        <w:tc>
          <w:tcPr>
            <w:tcW w:w="580" w:type="dxa"/>
            <w:tcBorders>
              <w:top w:val="nil"/>
              <w:left w:val="nil"/>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24</w:t>
            </w:r>
          </w:p>
        </w:tc>
        <w:tc>
          <w:tcPr>
            <w:tcW w:w="6173" w:type="dxa"/>
            <w:tcBorders>
              <w:top w:val="single" w:color="auto" w:sz="4" w:space="0"/>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施划的标志线在质保期内存在掉皮、脱色以及施工不规范等产生的质量问题</w:t>
            </w:r>
          </w:p>
        </w:tc>
        <w:tc>
          <w:tcPr>
            <w:tcW w:w="851" w:type="dxa"/>
            <w:tcBorders>
              <w:top w:val="nil"/>
              <w:left w:val="single" w:color="auto" w:sz="4" w:space="0"/>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5</w:t>
            </w:r>
          </w:p>
        </w:tc>
        <w:tc>
          <w:tcPr>
            <w:tcW w:w="850" w:type="dxa"/>
            <w:tcBorders>
              <w:top w:val="nil"/>
              <w:left w:val="nil"/>
              <w:bottom w:val="single" w:color="auto" w:sz="4" w:space="0"/>
              <w:right w:val="single" w:color="auto" w:sz="4" w:space="0"/>
            </w:tcBorders>
            <w:shd w:val="clear" w:color="auto" w:fill="auto"/>
            <w:vAlign w:val="bottom"/>
          </w:tcPr>
          <w:p>
            <w:pPr>
              <w:spacing w:line="560" w:lineRule="exact"/>
              <w:rPr>
                <w:rFonts w:ascii="宋体" w:hAnsi="宋体" w:cs="宋体"/>
              </w:rPr>
            </w:pPr>
          </w:p>
        </w:tc>
      </w:tr>
      <w:tr>
        <w:tblPrEx>
          <w:tblLayout w:type="fixed"/>
          <w:tblCellMar>
            <w:top w:w="0" w:type="dxa"/>
            <w:left w:w="108" w:type="dxa"/>
            <w:bottom w:w="0" w:type="dxa"/>
            <w:right w:w="108" w:type="dxa"/>
          </w:tblCellMar>
        </w:tblPrEx>
        <w:trPr>
          <w:trHeight w:val="270" w:hRule="atLeast"/>
        </w:trPr>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宋体" w:hAnsi="宋体" w:cs="宋体"/>
                <w:b/>
                <w:bCs/>
                <w:sz w:val="30"/>
                <w:szCs w:val="30"/>
              </w:rPr>
            </w:pPr>
            <w:r>
              <w:rPr>
                <w:rFonts w:hint="eastAsia" w:ascii="宋体" w:hAnsi="宋体" w:cs="宋体"/>
                <w:b/>
                <w:bCs/>
                <w:sz w:val="30"/>
                <w:szCs w:val="30"/>
              </w:rPr>
              <w:t>进度控制</w:t>
            </w:r>
          </w:p>
        </w:tc>
        <w:tc>
          <w:tcPr>
            <w:tcW w:w="580" w:type="dxa"/>
            <w:tcBorders>
              <w:top w:val="nil"/>
              <w:left w:val="nil"/>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25</w:t>
            </w:r>
          </w:p>
        </w:tc>
        <w:tc>
          <w:tcPr>
            <w:tcW w:w="6173" w:type="dxa"/>
            <w:tcBorders>
              <w:top w:val="single" w:color="auto" w:sz="4" w:space="0"/>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按时提交施工计划。</w:t>
            </w:r>
          </w:p>
        </w:tc>
        <w:tc>
          <w:tcPr>
            <w:tcW w:w="851" w:type="dxa"/>
            <w:tcBorders>
              <w:top w:val="nil"/>
              <w:left w:val="single" w:color="auto" w:sz="4" w:space="0"/>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5</w:t>
            </w:r>
          </w:p>
        </w:tc>
        <w:tc>
          <w:tcPr>
            <w:tcW w:w="850" w:type="dxa"/>
            <w:tcBorders>
              <w:top w:val="nil"/>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trHeight w:val="285"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spacing w:line="560" w:lineRule="exact"/>
              <w:rPr>
                <w:rFonts w:ascii="宋体" w:hAnsi="宋体" w:cs="宋体"/>
                <w:b/>
                <w:bCs/>
                <w:sz w:val="30"/>
                <w:szCs w:val="30"/>
              </w:rPr>
            </w:pPr>
          </w:p>
        </w:tc>
        <w:tc>
          <w:tcPr>
            <w:tcW w:w="580" w:type="dxa"/>
            <w:tcBorders>
              <w:top w:val="nil"/>
              <w:left w:val="nil"/>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26</w:t>
            </w:r>
          </w:p>
        </w:tc>
        <w:tc>
          <w:tcPr>
            <w:tcW w:w="6173" w:type="dxa"/>
            <w:tcBorders>
              <w:top w:val="single" w:color="auto" w:sz="4" w:space="0"/>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及时完成甲方布置的工作任务。</w:t>
            </w:r>
          </w:p>
        </w:tc>
        <w:tc>
          <w:tcPr>
            <w:tcW w:w="851" w:type="dxa"/>
            <w:tcBorders>
              <w:top w:val="nil"/>
              <w:left w:val="single" w:color="auto" w:sz="4" w:space="0"/>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10</w:t>
            </w:r>
          </w:p>
        </w:tc>
        <w:tc>
          <w:tcPr>
            <w:tcW w:w="850" w:type="dxa"/>
            <w:tcBorders>
              <w:top w:val="nil"/>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trHeight w:val="323" w:hRule="atLeast"/>
        </w:trPr>
        <w:tc>
          <w:tcPr>
            <w:tcW w:w="780" w:type="dxa"/>
            <w:vMerge w:val="continue"/>
            <w:tcBorders>
              <w:top w:val="nil"/>
              <w:left w:val="single" w:color="auto" w:sz="4" w:space="0"/>
              <w:bottom w:val="single" w:color="auto" w:sz="4" w:space="0"/>
              <w:right w:val="single" w:color="auto" w:sz="4" w:space="0"/>
            </w:tcBorders>
            <w:shd w:val="clear" w:color="auto" w:fill="auto"/>
            <w:vAlign w:val="center"/>
          </w:tcPr>
          <w:p>
            <w:pPr>
              <w:spacing w:line="560" w:lineRule="exact"/>
              <w:rPr>
                <w:rFonts w:ascii="宋体" w:hAnsi="宋体" w:cs="宋体"/>
                <w:b/>
                <w:bCs/>
                <w:sz w:val="30"/>
                <w:szCs w:val="30"/>
              </w:rPr>
            </w:pPr>
          </w:p>
        </w:tc>
        <w:tc>
          <w:tcPr>
            <w:tcW w:w="580" w:type="dxa"/>
            <w:tcBorders>
              <w:top w:val="nil"/>
              <w:left w:val="nil"/>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2</w:t>
            </w:r>
            <w:r>
              <w:rPr>
                <w:rFonts w:ascii="宋体" w:hAnsi="宋体" w:cs="宋体"/>
                <w:shd w:val="clear" w:color="auto" w:fill="FFFFFF" w:themeFill="background1"/>
              </w:rPr>
              <w:t>7</w:t>
            </w:r>
          </w:p>
        </w:tc>
        <w:tc>
          <w:tcPr>
            <w:tcW w:w="6173" w:type="dxa"/>
            <w:tcBorders>
              <w:top w:val="single" w:color="auto" w:sz="4" w:space="0"/>
              <w:left w:val="nil"/>
              <w:bottom w:val="single" w:color="auto" w:sz="4" w:space="0"/>
              <w:right w:val="single" w:color="000000" w:sz="4" w:space="0"/>
            </w:tcBorders>
            <w:shd w:val="clear" w:color="auto" w:fill="auto"/>
            <w:vAlign w:val="bottom"/>
          </w:tcPr>
          <w:p>
            <w:pPr>
              <w:spacing w:line="560" w:lineRule="exact"/>
              <w:rPr>
                <w:rFonts w:ascii="宋体" w:hAnsi="宋体" w:cs="宋体"/>
              </w:rPr>
            </w:pPr>
            <w:r>
              <w:rPr>
                <w:rFonts w:hint="eastAsia" w:ascii="宋体" w:hAnsi="宋体" w:cs="宋体"/>
              </w:rPr>
              <w:t>严格根据甲方安排进场施工，遇不可抗力除外。</w:t>
            </w:r>
          </w:p>
        </w:tc>
        <w:tc>
          <w:tcPr>
            <w:tcW w:w="851" w:type="dxa"/>
            <w:tcBorders>
              <w:top w:val="nil"/>
              <w:left w:val="nil"/>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5</w:t>
            </w:r>
          </w:p>
        </w:tc>
        <w:tc>
          <w:tcPr>
            <w:tcW w:w="850" w:type="dxa"/>
            <w:tcBorders>
              <w:top w:val="nil"/>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trHeight w:val="285" w:hRule="atLeast"/>
        </w:trPr>
        <w:tc>
          <w:tcPr>
            <w:tcW w:w="7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宋体" w:hAnsi="宋体" w:cs="宋体"/>
                <w:b/>
                <w:bCs/>
                <w:sz w:val="30"/>
                <w:szCs w:val="30"/>
              </w:rPr>
            </w:pPr>
            <w:r>
              <w:rPr>
                <w:rFonts w:hint="eastAsia" w:ascii="宋体" w:hAnsi="宋体" w:cs="宋体"/>
                <w:b/>
                <w:bCs/>
                <w:sz w:val="30"/>
                <w:szCs w:val="30"/>
              </w:rPr>
              <w:t>其它</w:t>
            </w:r>
          </w:p>
        </w:tc>
        <w:tc>
          <w:tcPr>
            <w:tcW w:w="580" w:type="dxa"/>
            <w:tcBorders>
              <w:top w:val="nil"/>
              <w:left w:val="nil"/>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28</w:t>
            </w:r>
          </w:p>
        </w:tc>
        <w:tc>
          <w:tcPr>
            <w:tcW w:w="6173" w:type="dxa"/>
            <w:tcBorders>
              <w:top w:val="single" w:color="auto" w:sz="4" w:space="0"/>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未将材料提前存放至甲方指定地点</w:t>
            </w:r>
          </w:p>
        </w:tc>
        <w:tc>
          <w:tcPr>
            <w:tcW w:w="851" w:type="dxa"/>
            <w:tcBorders>
              <w:top w:val="nil"/>
              <w:left w:val="single" w:color="auto" w:sz="4" w:space="0"/>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5</w:t>
            </w:r>
          </w:p>
        </w:tc>
        <w:tc>
          <w:tcPr>
            <w:tcW w:w="850" w:type="dxa"/>
            <w:tcBorders>
              <w:top w:val="nil"/>
              <w:left w:val="nil"/>
              <w:bottom w:val="single" w:color="auto" w:sz="4" w:space="0"/>
              <w:right w:val="single" w:color="auto" w:sz="4" w:space="0"/>
            </w:tcBorders>
            <w:shd w:val="clear" w:color="auto" w:fill="auto"/>
            <w:vAlign w:val="bottom"/>
          </w:tcPr>
          <w:p>
            <w:pPr>
              <w:spacing w:line="560" w:lineRule="exact"/>
              <w:rPr>
                <w:rFonts w:ascii="宋体" w:hAnsi="宋体" w:cs="宋体"/>
              </w:rPr>
            </w:pPr>
          </w:p>
        </w:tc>
      </w:tr>
      <w:tr>
        <w:tblPrEx>
          <w:tblLayout w:type="fixed"/>
          <w:tblCellMar>
            <w:top w:w="0" w:type="dxa"/>
            <w:left w:w="108" w:type="dxa"/>
            <w:bottom w:w="0" w:type="dxa"/>
            <w:right w:w="108" w:type="dxa"/>
          </w:tblCellMar>
        </w:tblPrEx>
        <w:trPr>
          <w:trHeight w:val="285" w:hRule="atLeast"/>
        </w:trPr>
        <w:tc>
          <w:tcPr>
            <w:tcW w:w="780" w:type="dxa"/>
            <w:vMerge w:val="continue"/>
            <w:tcBorders>
              <w:left w:val="single" w:color="auto" w:sz="4" w:space="0"/>
              <w:bottom w:val="single" w:color="auto" w:sz="4" w:space="0"/>
              <w:right w:val="single" w:color="auto" w:sz="4" w:space="0"/>
            </w:tcBorders>
            <w:shd w:val="clear" w:color="auto" w:fill="auto"/>
            <w:vAlign w:val="center"/>
          </w:tcPr>
          <w:p>
            <w:pPr>
              <w:spacing w:line="560" w:lineRule="exact"/>
              <w:jc w:val="center"/>
              <w:rPr>
                <w:rFonts w:ascii="宋体" w:hAnsi="宋体" w:cs="宋体"/>
                <w:b/>
                <w:bCs/>
                <w:sz w:val="30"/>
                <w:szCs w:val="30"/>
              </w:rPr>
            </w:pPr>
          </w:p>
        </w:tc>
        <w:tc>
          <w:tcPr>
            <w:tcW w:w="580" w:type="dxa"/>
            <w:tcBorders>
              <w:top w:val="nil"/>
              <w:left w:val="nil"/>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29</w:t>
            </w:r>
          </w:p>
        </w:tc>
        <w:tc>
          <w:tcPr>
            <w:tcW w:w="6173" w:type="dxa"/>
            <w:tcBorders>
              <w:top w:val="single" w:color="auto" w:sz="4" w:space="0"/>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提前提交通行证办理材料且材料齐全。</w:t>
            </w:r>
          </w:p>
        </w:tc>
        <w:tc>
          <w:tcPr>
            <w:tcW w:w="851" w:type="dxa"/>
            <w:tcBorders>
              <w:top w:val="nil"/>
              <w:left w:val="single" w:color="auto" w:sz="4" w:space="0"/>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5</w:t>
            </w:r>
          </w:p>
        </w:tc>
        <w:tc>
          <w:tcPr>
            <w:tcW w:w="850" w:type="dxa"/>
            <w:tcBorders>
              <w:top w:val="nil"/>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trHeight w:val="285" w:hRule="atLeast"/>
        </w:trPr>
        <w:tc>
          <w:tcPr>
            <w:tcW w:w="780" w:type="dxa"/>
            <w:vMerge w:val="continue"/>
            <w:tcBorders>
              <w:left w:val="single" w:color="auto" w:sz="4" w:space="0"/>
              <w:bottom w:val="single" w:color="auto" w:sz="4" w:space="0"/>
              <w:right w:val="single" w:color="auto" w:sz="4" w:space="0"/>
            </w:tcBorders>
            <w:shd w:val="clear" w:color="auto" w:fill="auto"/>
            <w:vAlign w:val="center"/>
          </w:tcPr>
          <w:p>
            <w:pPr>
              <w:spacing w:line="560" w:lineRule="exact"/>
              <w:rPr>
                <w:rFonts w:ascii="宋体" w:hAnsi="宋体" w:cs="宋体"/>
                <w:b/>
                <w:bCs/>
                <w:sz w:val="30"/>
                <w:szCs w:val="30"/>
              </w:rPr>
            </w:pPr>
          </w:p>
        </w:tc>
        <w:tc>
          <w:tcPr>
            <w:tcW w:w="580" w:type="dxa"/>
            <w:tcBorders>
              <w:top w:val="nil"/>
              <w:left w:val="nil"/>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30</w:t>
            </w:r>
          </w:p>
        </w:tc>
        <w:tc>
          <w:tcPr>
            <w:tcW w:w="6173" w:type="dxa"/>
            <w:tcBorders>
              <w:top w:val="single" w:color="auto" w:sz="4" w:space="0"/>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按要求及时提交施工方案、预算、决算。</w:t>
            </w:r>
          </w:p>
        </w:tc>
        <w:tc>
          <w:tcPr>
            <w:tcW w:w="851" w:type="dxa"/>
            <w:tcBorders>
              <w:top w:val="nil"/>
              <w:left w:val="single" w:color="auto" w:sz="4" w:space="0"/>
              <w:bottom w:val="single" w:color="auto" w:sz="4" w:space="0"/>
              <w:right w:val="single" w:color="auto" w:sz="4" w:space="0"/>
            </w:tcBorders>
            <w:shd w:val="clear" w:color="auto" w:fill="auto"/>
            <w:vAlign w:val="bottom"/>
          </w:tcPr>
          <w:p>
            <w:pPr>
              <w:spacing w:line="560" w:lineRule="exact"/>
              <w:jc w:val="center"/>
              <w:rPr>
                <w:rFonts w:ascii="宋体" w:hAnsi="宋体" w:cs="宋体"/>
              </w:rPr>
            </w:pPr>
            <w:r>
              <w:rPr>
                <w:rFonts w:hint="eastAsia" w:ascii="宋体" w:hAnsi="宋体" w:cs="宋体"/>
              </w:rPr>
              <w:t>5</w:t>
            </w:r>
          </w:p>
        </w:tc>
        <w:tc>
          <w:tcPr>
            <w:tcW w:w="850" w:type="dxa"/>
            <w:tcBorders>
              <w:top w:val="nil"/>
              <w:left w:val="nil"/>
              <w:bottom w:val="single" w:color="auto" w:sz="4" w:space="0"/>
              <w:right w:val="single" w:color="auto" w:sz="4" w:space="0"/>
            </w:tcBorders>
            <w:shd w:val="clear" w:color="auto" w:fill="auto"/>
            <w:vAlign w:val="bottom"/>
          </w:tcPr>
          <w:p>
            <w:pPr>
              <w:spacing w:line="560" w:lineRule="exact"/>
              <w:rPr>
                <w:rFonts w:ascii="宋体" w:hAnsi="宋体" w:cs="宋体"/>
              </w:rPr>
            </w:pPr>
            <w:r>
              <w:rPr>
                <w:rFonts w:hint="eastAsia" w:ascii="宋体" w:hAnsi="宋体" w:cs="宋体"/>
              </w:rPr>
              <w:t>　</w:t>
            </w:r>
          </w:p>
        </w:tc>
      </w:tr>
    </w:tbl>
    <w:p>
      <w:pPr>
        <w:pStyle w:val="155"/>
        <w:spacing w:line="560" w:lineRule="exact"/>
        <w:ind w:left="420" w:right="765" w:firstLine="0" w:firstLineChars="0"/>
        <w:jc w:val="center"/>
        <w:rPr>
          <w:rFonts w:ascii="微软雅黑" w:hAnsi="微软雅黑" w:eastAsia="微软雅黑"/>
          <w:b/>
          <w:sz w:val="36"/>
          <w:szCs w:val="36"/>
        </w:rPr>
      </w:pPr>
    </w:p>
    <w:p>
      <w:pPr>
        <w:pStyle w:val="155"/>
        <w:spacing w:line="560" w:lineRule="exact"/>
        <w:ind w:left="420" w:right="765" w:firstLine="0" w:firstLineChars="0"/>
        <w:jc w:val="center"/>
        <w:rPr>
          <w:rFonts w:ascii="微软雅黑" w:hAnsi="微软雅黑" w:eastAsia="微软雅黑"/>
          <w:b/>
          <w:sz w:val="36"/>
          <w:szCs w:val="36"/>
        </w:rPr>
      </w:pPr>
      <w:r>
        <w:rPr>
          <w:rFonts w:hint="eastAsia" w:ascii="微软雅黑" w:hAnsi="微软雅黑" w:eastAsia="微软雅黑"/>
          <w:b/>
          <w:sz w:val="36"/>
          <w:szCs w:val="36"/>
        </w:rPr>
        <w:t>飞行区标志线维护项目月度考核表</w:t>
      </w:r>
    </w:p>
    <w:tbl>
      <w:tblPr>
        <w:tblStyle w:val="58"/>
        <w:tblW w:w="9533"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1208"/>
        <w:gridCol w:w="2670"/>
        <w:gridCol w:w="1417"/>
        <w:gridCol w:w="927"/>
        <w:gridCol w:w="3281"/>
        <w:gridCol w:w="30"/>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1208" w:type="dxa"/>
            <w:shd w:val="clear" w:color="auto" w:fill="B4C6E7"/>
          </w:tcPr>
          <w:p>
            <w:pPr>
              <w:spacing w:line="560" w:lineRule="exact"/>
              <w:ind w:left="2"/>
              <w:jc w:val="center"/>
              <w:rPr>
                <w:rFonts w:ascii="宋体" w:hAnsi="宋体"/>
                <w:b/>
                <w:color w:val="000000"/>
              </w:rPr>
            </w:pPr>
            <w:r>
              <w:rPr>
                <w:rFonts w:hint="eastAsia" w:ascii="宋体" w:hAnsi="宋体"/>
                <w:b/>
                <w:color w:val="000000"/>
              </w:rPr>
              <w:t>章节</w:t>
            </w:r>
          </w:p>
        </w:tc>
        <w:tc>
          <w:tcPr>
            <w:tcW w:w="2670" w:type="dxa"/>
            <w:shd w:val="clear" w:color="auto" w:fill="B4C6E7"/>
          </w:tcPr>
          <w:p>
            <w:pPr>
              <w:spacing w:line="560" w:lineRule="exact"/>
              <w:jc w:val="center"/>
              <w:rPr>
                <w:rFonts w:ascii="宋体" w:hAnsi="宋体"/>
                <w:b/>
                <w:color w:val="000000"/>
              </w:rPr>
            </w:pPr>
            <w:r>
              <w:rPr>
                <w:rFonts w:hint="eastAsia" w:ascii="宋体" w:hAnsi="宋体" w:cs="微软雅黑"/>
                <w:b/>
                <w:color w:val="000000"/>
              </w:rPr>
              <w:t>性能方面</w:t>
            </w:r>
          </w:p>
        </w:tc>
        <w:tc>
          <w:tcPr>
            <w:tcW w:w="5655" w:type="dxa"/>
            <w:gridSpan w:val="4"/>
            <w:shd w:val="clear" w:color="auto" w:fill="B4C6E7"/>
          </w:tcPr>
          <w:p>
            <w:pPr>
              <w:spacing w:line="560" w:lineRule="exact"/>
              <w:ind w:right="45"/>
              <w:jc w:val="center"/>
              <w:rPr>
                <w:rFonts w:ascii="宋体" w:hAnsi="宋体" w:cs="微软雅黑"/>
                <w:b/>
                <w:color w:val="000000"/>
              </w:rPr>
            </w:pPr>
            <w:r>
              <w:rPr>
                <w:rFonts w:hint="eastAsia" w:ascii="宋体" w:hAnsi="宋体" w:cs="微软雅黑"/>
                <w:b/>
                <w:color w:val="000000"/>
              </w:rPr>
              <w:t>考核</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1208" w:type="dxa"/>
            <w:shd w:val="clear" w:color="auto" w:fill="D9E2F3"/>
          </w:tcPr>
          <w:p>
            <w:pPr>
              <w:spacing w:line="560" w:lineRule="exact"/>
              <w:jc w:val="center"/>
              <w:rPr>
                <w:rFonts w:ascii="宋体" w:hAnsi="宋体" w:cs="微软雅黑"/>
                <w:b/>
                <w:color w:val="000000"/>
              </w:rPr>
            </w:pPr>
            <w:r>
              <w:rPr>
                <w:rFonts w:hint="eastAsia" w:ascii="宋体" w:hAnsi="宋体" w:cs="微软雅黑"/>
                <w:b/>
                <w:color w:val="000000"/>
              </w:rPr>
              <w:t>第</w:t>
            </w:r>
            <w:r>
              <w:rPr>
                <w:rFonts w:ascii="宋体" w:hAnsi="宋体" w:cs="微软雅黑"/>
                <w:b/>
                <w:color w:val="000000"/>
              </w:rPr>
              <w:t>1</w:t>
            </w:r>
            <w:r>
              <w:rPr>
                <w:rFonts w:hint="eastAsia" w:ascii="宋体" w:hAnsi="宋体" w:cs="微软雅黑"/>
                <w:b/>
                <w:color w:val="000000"/>
              </w:rPr>
              <w:t>节</w:t>
            </w:r>
          </w:p>
        </w:tc>
        <w:tc>
          <w:tcPr>
            <w:tcW w:w="2670" w:type="dxa"/>
            <w:shd w:val="clear" w:color="auto" w:fill="D9E2F3"/>
          </w:tcPr>
          <w:p>
            <w:pPr>
              <w:spacing w:line="560" w:lineRule="exact"/>
              <w:ind w:right="30"/>
              <w:jc w:val="center"/>
              <w:rPr>
                <w:rFonts w:ascii="宋体" w:hAnsi="宋体" w:cs="微软雅黑"/>
                <w:b/>
                <w:color w:val="000000"/>
              </w:rPr>
            </w:pPr>
            <w:r>
              <w:rPr>
                <w:rFonts w:hint="eastAsia" w:ascii="宋体" w:hAnsi="宋体" w:cs="微软雅黑"/>
                <w:b/>
                <w:color w:val="000000"/>
              </w:rPr>
              <w:t>否定指标</w:t>
            </w:r>
          </w:p>
        </w:tc>
        <w:tc>
          <w:tcPr>
            <w:tcW w:w="2344" w:type="dxa"/>
            <w:gridSpan w:val="2"/>
            <w:shd w:val="clear" w:color="auto" w:fill="D9E2F3"/>
          </w:tcPr>
          <w:p>
            <w:pPr>
              <w:spacing w:line="560" w:lineRule="exact"/>
              <w:ind w:right="45"/>
              <w:rPr>
                <w:rFonts w:ascii="宋体" w:hAnsi="宋体" w:cs="微软雅黑"/>
                <w:b/>
                <w:color w:val="000000"/>
              </w:rPr>
            </w:pPr>
            <w:r>
              <w:rPr>
                <w:rFonts w:hint="eastAsia" w:ascii="宋体" w:hAnsi="宋体" w:cs="微软雅黑"/>
                <w:b/>
                <w:color w:val="000000"/>
              </w:rPr>
              <w:t>“有发生”打“√”</w:t>
            </w:r>
          </w:p>
        </w:tc>
        <w:tc>
          <w:tcPr>
            <w:tcW w:w="3311" w:type="dxa"/>
            <w:gridSpan w:val="2"/>
            <w:shd w:val="clear" w:color="auto" w:fill="D9E2F3"/>
          </w:tcPr>
          <w:p>
            <w:pPr>
              <w:spacing w:line="560" w:lineRule="exact"/>
              <w:ind w:right="45"/>
              <w:jc w:val="center"/>
              <w:rPr>
                <w:rFonts w:ascii="宋体" w:hAnsi="宋体" w:cs="微软雅黑"/>
                <w:b/>
                <w:color w:val="000000"/>
              </w:rPr>
            </w:pPr>
            <w:r>
              <w:rPr>
                <w:rFonts w:hint="eastAsia" w:ascii="宋体" w:hAnsi="宋体" w:cs="微软雅黑"/>
                <w:b/>
                <w:color w:val="000000"/>
              </w:rPr>
              <w:t>处理结果</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208" w:type="dxa"/>
            <w:tcBorders>
              <w:bottom w:val="single" w:color="auto" w:sz="4" w:space="0"/>
            </w:tcBorders>
            <w:shd w:val="clear" w:color="auto" w:fill="auto"/>
          </w:tcPr>
          <w:p>
            <w:pPr>
              <w:spacing w:after="1" w:line="560" w:lineRule="exact"/>
              <w:jc w:val="center"/>
              <w:rPr>
                <w:rFonts w:ascii="宋体" w:hAnsi="宋体"/>
                <w:color w:val="000000"/>
              </w:rPr>
            </w:pPr>
            <w:r>
              <w:rPr>
                <w:rFonts w:ascii="宋体" w:hAnsi="宋体"/>
                <w:color w:val="000000"/>
              </w:rPr>
              <w:t>1.1</w:t>
            </w:r>
          </w:p>
        </w:tc>
        <w:tc>
          <w:tcPr>
            <w:tcW w:w="2670" w:type="dxa"/>
            <w:shd w:val="clear" w:color="auto" w:fill="auto"/>
          </w:tcPr>
          <w:p>
            <w:pPr>
              <w:spacing w:line="560" w:lineRule="exact"/>
              <w:rPr>
                <w:rFonts w:ascii="宋体" w:hAnsi="宋体"/>
                <w:color w:val="000000"/>
              </w:rPr>
            </w:pPr>
            <w:r>
              <w:rPr>
                <w:rFonts w:hint="eastAsia" w:ascii="宋体" w:hAnsi="宋体"/>
                <w:color w:val="000000"/>
              </w:rPr>
              <w:t>责任原因造成的恐怖事件、生产安全事故、消防安全事故等重大事件，给甲方造成损失</w:t>
            </w:r>
          </w:p>
        </w:tc>
        <w:tc>
          <w:tcPr>
            <w:tcW w:w="2344" w:type="dxa"/>
            <w:gridSpan w:val="2"/>
            <w:shd w:val="clear" w:color="auto" w:fill="auto"/>
          </w:tcPr>
          <w:p>
            <w:pPr>
              <w:spacing w:line="560" w:lineRule="exact"/>
              <w:ind w:left="2"/>
              <w:rPr>
                <w:rFonts w:ascii="宋体" w:hAnsi="宋体"/>
                <w:color w:val="000000"/>
              </w:rPr>
            </w:pPr>
          </w:p>
        </w:tc>
        <w:tc>
          <w:tcPr>
            <w:tcW w:w="3311" w:type="dxa"/>
            <w:gridSpan w:val="2"/>
            <w:vMerge w:val="restart"/>
            <w:shd w:val="clear" w:color="auto" w:fill="auto"/>
          </w:tcPr>
          <w:p>
            <w:pPr>
              <w:spacing w:line="560" w:lineRule="exact"/>
              <w:ind w:left="2"/>
              <w:rPr>
                <w:rFonts w:ascii="宋体" w:hAnsi="宋体"/>
                <w:color w:val="000000"/>
              </w:rPr>
            </w:pPr>
          </w:p>
          <w:p>
            <w:pPr>
              <w:spacing w:line="560" w:lineRule="exact"/>
              <w:ind w:right="45"/>
              <w:jc w:val="center"/>
              <w:rPr>
                <w:rFonts w:ascii="宋体" w:hAnsi="宋体" w:cs="微软雅黑"/>
                <w:b/>
                <w:color w:val="000000"/>
              </w:rPr>
            </w:pPr>
            <w:r>
              <w:rPr>
                <w:rFonts w:hint="eastAsia" w:ascii="宋体" w:hAnsi="宋体" w:cs="微软雅黑"/>
                <w:b/>
                <w:color w:val="000000"/>
              </w:rPr>
              <w:t>否定指标，本月考核成绩为0，</w:t>
            </w:r>
          </w:p>
          <w:p>
            <w:pPr>
              <w:spacing w:line="560" w:lineRule="exact"/>
              <w:ind w:right="45"/>
              <w:jc w:val="center"/>
              <w:rPr>
                <w:rFonts w:ascii="宋体" w:hAnsi="宋体" w:cs="微软雅黑"/>
                <w:b/>
                <w:color w:val="000000"/>
              </w:rPr>
            </w:pPr>
            <w:r>
              <w:rPr>
                <w:rFonts w:hint="eastAsia" w:ascii="宋体" w:hAnsi="宋体" w:cs="微软雅黑"/>
                <w:b/>
                <w:color w:val="000000"/>
              </w:rPr>
              <w:t>若为重特大事件甲方有权解除合同</w:t>
            </w:r>
          </w:p>
          <w:p>
            <w:pPr>
              <w:spacing w:line="560" w:lineRule="exac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208" w:type="dxa"/>
            <w:tcBorders>
              <w:top w:val="single" w:color="auto" w:sz="4" w:space="0"/>
              <w:bottom w:val="single" w:color="auto" w:sz="4" w:space="0"/>
            </w:tcBorders>
            <w:shd w:val="clear" w:color="auto" w:fill="auto"/>
          </w:tcPr>
          <w:p>
            <w:pPr>
              <w:spacing w:after="1" w:line="560" w:lineRule="exact"/>
              <w:jc w:val="center"/>
              <w:rPr>
                <w:rFonts w:ascii="宋体" w:hAnsi="宋体"/>
                <w:color w:val="000000"/>
              </w:rPr>
            </w:pPr>
            <w:r>
              <w:rPr>
                <w:rFonts w:ascii="宋体" w:hAnsi="宋体"/>
                <w:color w:val="000000"/>
              </w:rPr>
              <w:t>1.2</w:t>
            </w:r>
          </w:p>
        </w:tc>
        <w:tc>
          <w:tcPr>
            <w:tcW w:w="2670" w:type="dxa"/>
            <w:shd w:val="clear" w:color="auto" w:fill="auto"/>
          </w:tcPr>
          <w:p>
            <w:pPr>
              <w:spacing w:line="560" w:lineRule="exact"/>
              <w:rPr>
                <w:rFonts w:ascii="宋体" w:hAnsi="宋体"/>
                <w:color w:val="000000"/>
              </w:rPr>
            </w:pPr>
            <w:r>
              <w:rPr>
                <w:rFonts w:hint="eastAsia" w:ascii="宋体" w:hAnsi="宋体"/>
                <w:color w:val="000000"/>
              </w:rPr>
              <w:t>责任原因造成各类不安全事件，事故症候等影响机场形象及造成甲方损失</w:t>
            </w:r>
          </w:p>
        </w:tc>
        <w:tc>
          <w:tcPr>
            <w:tcW w:w="2344" w:type="dxa"/>
            <w:gridSpan w:val="2"/>
            <w:shd w:val="clear" w:color="auto" w:fill="auto"/>
          </w:tcPr>
          <w:p>
            <w:pPr>
              <w:spacing w:line="560" w:lineRule="exact"/>
              <w:rPr>
                <w:rFonts w:ascii="宋体" w:hAnsi="宋体"/>
                <w:color w:val="000000"/>
              </w:rPr>
            </w:pPr>
          </w:p>
        </w:tc>
        <w:tc>
          <w:tcPr>
            <w:tcW w:w="3311" w:type="dxa"/>
            <w:gridSpan w:val="2"/>
            <w:vMerge w:val="continue"/>
            <w:shd w:val="clear" w:color="auto" w:fill="auto"/>
          </w:tcPr>
          <w:p>
            <w:pPr>
              <w:spacing w:line="560" w:lineRule="exac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1208" w:type="dxa"/>
            <w:tcBorders>
              <w:top w:val="single" w:color="auto" w:sz="4" w:space="0"/>
              <w:bottom w:val="single" w:color="auto" w:sz="4" w:space="0"/>
            </w:tcBorders>
            <w:shd w:val="clear" w:color="auto" w:fill="auto"/>
          </w:tcPr>
          <w:p>
            <w:pPr>
              <w:spacing w:after="1" w:line="560" w:lineRule="exact"/>
              <w:jc w:val="center"/>
              <w:rPr>
                <w:rFonts w:ascii="宋体" w:hAnsi="宋体"/>
                <w:color w:val="000000"/>
              </w:rPr>
            </w:pPr>
            <w:r>
              <w:rPr>
                <w:rFonts w:ascii="宋体" w:hAnsi="宋体"/>
                <w:color w:val="000000"/>
              </w:rPr>
              <w:t>1.3</w:t>
            </w:r>
          </w:p>
        </w:tc>
        <w:tc>
          <w:tcPr>
            <w:tcW w:w="2670" w:type="dxa"/>
            <w:shd w:val="clear" w:color="auto" w:fill="auto"/>
          </w:tcPr>
          <w:p>
            <w:pPr>
              <w:spacing w:line="560" w:lineRule="exact"/>
              <w:rPr>
                <w:rFonts w:ascii="宋体" w:hAnsi="宋体"/>
                <w:color w:val="000000"/>
              </w:rPr>
            </w:pPr>
            <w:r>
              <w:rPr>
                <w:rFonts w:hint="eastAsia" w:ascii="宋体" w:hAnsi="宋体"/>
                <w:color w:val="000000"/>
              </w:rPr>
              <w:t>恶劣事件</w:t>
            </w:r>
          </w:p>
        </w:tc>
        <w:tc>
          <w:tcPr>
            <w:tcW w:w="2344" w:type="dxa"/>
            <w:gridSpan w:val="2"/>
            <w:shd w:val="clear" w:color="auto" w:fill="auto"/>
          </w:tcPr>
          <w:p>
            <w:pPr>
              <w:spacing w:line="560" w:lineRule="exact"/>
              <w:rPr>
                <w:rFonts w:ascii="宋体" w:hAnsi="宋体"/>
                <w:color w:val="000000"/>
              </w:rPr>
            </w:pPr>
          </w:p>
        </w:tc>
        <w:tc>
          <w:tcPr>
            <w:tcW w:w="3311" w:type="dxa"/>
            <w:gridSpan w:val="2"/>
            <w:vMerge w:val="continue"/>
            <w:shd w:val="clear" w:color="auto" w:fill="auto"/>
          </w:tcPr>
          <w:p>
            <w:pPr>
              <w:spacing w:line="560" w:lineRule="exac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1208" w:type="dxa"/>
            <w:tcBorders>
              <w:top w:val="single" w:color="auto" w:sz="4" w:space="0"/>
            </w:tcBorders>
            <w:shd w:val="clear" w:color="auto" w:fill="auto"/>
          </w:tcPr>
          <w:p>
            <w:pPr>
              <w:spacing w:line="560" w:lineRule="exact"/>
              <w:ind w:left="970" w:hanging="970"/>
              <w:jc w:val="center"/>
              <w:rPr>
                <w:rFonts w:ascii="宋体" w:hAnsi="宋体"/>
                <w:color w:val="000000"/>
              </w:rPr>
            </w:pPr>
            <w:r>
              <w:rPr>
                <w:rFonts w:ascii="宋体" w:hAnsi="宋体"/>
                <w:color w:val="000000"/>
              </w:rPr>
              <w:t>1.4</w:t>
            </w:r>
          </w:p>
        </w:tc>
        <w:tc>
          <w:tcPr>
            <w:tcW w:w="2670" w:type="dxa"/>
            <w:shd w:val="clear" w:color="auto" w:fill="auto"/>
          </w:tcPr>
          <w:p>
            <w:pPr>
              <w:spacing w:line="560" w:lineRule="exact"/>
              <w:rPr>
                <w:rFonts w:ascii="宋体" w:hAnsi="宋体"/>
                <w:color w:val="000000"/>
              </w:rPr>
            </w:pPr>
            <w:r>
              <w:rPr>
                <w:rFonts w:hint="eastAsia" w:ascii="宋体" w:hAnsi="宋体"/>
                <w:color w:val="000000"/>
              </w:rPr>
              <w:t>公司行为被查处的违法违纪事件</w:t>
            </w:r>
          </w:p>
        </w:tc>
        <w:tc>
          <w:tcPr>
            <w:tcW w:w="2344" w:type="dxa"/>
            <w:gridSpan w:val="2"/>
            <w:shd w:val="clear" w:color="auto" w:fill="auto"/>
          </w:tcPr>
          <w:p>
            <w:pPr>
              <w:spacing w:line="560" w:lineRule="exact"/>
              <w:rPr>
                <w:rFonts w:ascii="宋体" w:hAnsi="宋体"/>
                <w:color w:val="000000"/>
              </w:rPr>
            </w:pPr>
          </w:p>
        </w:tc>
        <w:tc>
          <w:tcPr>
            <w:tcW w:w="3311" w:type="dxa"/>
            <w:gridSpan w:val="2"/>
            <w:vMerge w:val="continue"/>
            <w:shd w:val="clear" w:color="auto" w:fill="auto"/>
          </w:tcPr>
          <w:p>
            <w:pPr>
              <w:spacing w:line="560" w:lineRule="exac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98" w:hRule="atLeast"/>
          <w:jc w:val="center"/>
        </w:trPr>
        <w:tc>
          <w:tcPr>
            <w:tcW w:w="9533" w:type="dxa"/>
            <w:gridSpan w:val="6"/>
            <w:shd w:val="clear" w:color="auto" w:fill="auto"/>
          </w:tcPr>
          <w:p>
            <w:pPr>
              <w:spacing w:line="560" w:lineRule="exact"/>
              <w:rPr>
                <w:rFonts w:ascii="宋体" w:hAnsi="宋体"/>
                <w:color w:val="000000"/>
              </w:rPr>
            </w:pPr>
            <w:r>
              <w:rPr>
                <w:rFonts w:hint="eastAsia" w:ascii="宋体" w:hAnsi="宋体" w:cs="微软雅黑"/>
                <w:b/>
                <w:color w:val="000000"/>
              </w:rPr>
              <w:t>结论：</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0" w:hRule="atLeast"/>
          <w:jc w:val="center"/>
        </w:trPr>
        <w:tc>
          <w:tcPr>
            <w:tcW w:w="1208" w:type="dxa"/>
            <w:shd w:val="clear" w:color="auto" w:fill="D9E2F3"/>
          </w:tcPr>
          <w:p>
            <w:pPr>
              <w:spacing w:line="560" w:lineRule="exact"/>
              <w:jc w:val="center"/>
              <w:rPr>
                <w:rFonts w:ascii="宋体" w:hAnsi="宋体" w:cs="微软雅黑"/>
                <w:b/>
                <w:color w:val="000000"/>
              </w:rPr>
            </w:pPr>
            <w:r>
              <w:rPr>
                <w:rFonts w:hint="eastAsia" w:ascii="宋体" w:hAnsi="宋体" w:cs="微软雅黑"/>
                <w:b/>
                <w:color w:val="000000"/>
              </w:rPr>
              <w:t>第2节</w:t>
            </w:r>
          </w:p>
        </w:tc>
        <w:tc>
          <w:tcPr>
            <w:tcW w:w="4087" w:type="dxa"/>
            <w:gridSpan w:val="2"/>
            <w:shd w:val="clear" w:color="auto" w:fill="D9E2F3"/>
          </w:tcPr>
          <w:p>
            <w:pPr>
              <w:spacing w:line="560" w:lineRule="exact"/>
              <w:jc w:val="center"/>
              <w:rPr>
                <w:rFonts w:ascii="宋体" w:hAnsi="宋体" w:cs="微软雅黑"/>
                <w:b/>
                <w:color w:val="000000"/>
              </w:rPr>
            </w:pPr>
            <w:r>
              <w:rPr>
                <w:rFonts w:hint="eastAsia" w:ascii="宋体" w:hAnsi="宋体" w:cs="微软雅黑"/>
                <w:b/>
                <w:color w:val="000000"/>
              </w:rPr>
              <w:t>人</w:t>
            </w:r>
            <w:r>
              <w:rPr>
                <w:rFonts w:hint="eastAsia" w:ascii="宋体" w:hAnsi="宋体" w:cs="微软雅黑"/>
                <w:color w:val="000000"/>
              </w:rPr>
              <w:t>（24）</w:t>
            </w:r>
          </w:p>
        </w:tc>
        <w:tc>
          <w:tcPr>
            <w:tcW w:w="927" w:type="dxa"/>
            <w:shd w:val="clear" w:color="auto" w:fill="D9E2F3"/>
          </w:tcPr>
          <w:p>
            <w:pPr>
              <w:spacing w:line="560" w:lineRule="exact"/>
              <w:ind w:right="45"/>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560" w:lineRule="exact"/>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39" w:hRule="atLeast"/>
          <w:jc w:val="center"/>
        </w:trPr>
        <w:tc>
          <w:tcPr>
            <w:tcW w:w="1208" w:type="dxa"/>
            <w:tcBorders>
              <w:bottom w:val="single" w:color="auto" w:sz="4" w:space="0"/>
            </w:tcBorders>
            <w:shd w:val="clear" w:color="auto" w:fill="auto"/>
          </w:tcPr>
          <w:p>
            <w:pPr>
              <w:spacing w:line="560" w:lineRule="exact"/>
              <w:jc w:val="center"/>
              <w:rPr>
                <w:rFonts w:ascii="宋体" w:hAnsi="宋体"/>
                <w:color w:val="000000"/>
              </w:rPr>
            </w:pPr>
            <w:r>
              <w:rPr>
                <w:rFonts w:hint="eastAsia" w:ascii="宋体" w:hAnsi="宋体"/>
                <w:color w:val="000000"/>
              </w:rPr>
              <w:t>2</w:t>
            </w:r>
            <w:r>
              <w:rPr>
                <w:rFonts w:ascii="宋体" w:hAnsi="宋体"/>
                <w:color w:val="000000"/>
              </w:rPr>
              <w:t>.1</w:t>
            </w:r>
          </w:p>
        </w:tc>
        <w:tc>
          <w:tcPr>
            <w:tcW w:w="4087" w:type="dxa"/>
            <w:gridSpan w:val="2"/>
            <w:shd w:val="clear" w:color="auto" w:fill="auto"/>
          </w:tcPr>
          <w:p>
            <w:pPr>
              <w:spacing w:line="560" w:lineRule="exact"/>
              <w:rPr>
                <w:rFonts w:ascii="宋体" w:hAnsi="宋体"/>
                <w:color w:val="000000"/>
              </w:rPr>
            </w:pPr>
            <w:r>
              <w:rPr>
                <w:rFonts w:hint="eastAsia" w:ascii="宋体" w:hAnsi="宋体"/>
                <w:color w:val="000000"/>
              </w:rPr>
              <w:t>技术能力与资质</w:t>
            </w:r>
            <w:r>
              <w:rPr>
                <w:rFonts w:hint="eastAsia" w:ascii="宋体" w:hAnsi="宋体" w:cs="微软雅黑"/>
                <w:color w:val="000000"/>
              </w:rPr>
              <w:t>（4）</w:t>
            </w:r>
          </w:p>
        </w:tc>
        <w:tc>
          <w:tcPr>
            <w:tcW w:w="927" w:type="dxa"/>
            <w:shd w:val="clear" w:color="auto" w:fill="auto"/>
          </w:tcPr>
          <w:p>
            <w:pPr>
              <w:spacing w:line="560" w:lineRule="exact"/>
              <w:ind w:left="2"/>
              <w:rPr>
                <w:rFonts w:ascii="宋体" w:hAnsi="宋体"/>
                <w:color w:val="000000"/>
              </w:rPr>
            </w:pPr>
          </w:p>
        </w:tc>
        <w:tc>
          <w:tcPr>
            <w:tcW w:w="3281" w:type="dxa"/>
            <w:shd w:val="clear" w:color="auto" w:fill="auto"/>
          </w:tcPr>
          <w:p>
            <w:pPr>
              <w:spacing w:line="560" w:lineRule="exact"/>
              <w:ind w:left="2"/>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68" w:hRule="atLeast"/>
          <w:jc w:val="center"/>
        </w:trPr>
        <w:tc>
          <w:tcPr>
            <w:tcW w:w="1208" w:type="dxa"/>
            <w:tcBorders>
              <w:top w:val="single" w:color="auto" w:sz="4" w:space="0"/>
              <w:bottom w:val="single" w:color="auto" w:sz="4" w:space="0"/>
            </w:tcBorders>
            <w:shd w:val="clear" w:color="auto" w:fill="auto"/>
            <w:vAlign w:val="center"/>
          </w:tcPr>
          <w:p>
            <w:pPr>
              <w:spacing w:line="560" w:lineRule="exact"/>
              <w:jc w:val="center"/>
              <w:rPr>
                <w:rFonts w:ascii="宋体" w:hAnsi="宋体"/>
                <w:color w:val="000000"/>
              </w:rPr>
            </w:pPr>
            <w:r>
              <w:rPr>
                <w:rFonts w:ascii="宋体" w:hAnsi="宋体"/>
                <w:color w:val="000000"/>
              </w:rPr>
              <w:t>2.2</w:t>
            </w:r>
          </w:p>
        </w:tc>
        <w:tc>
          <w:tcPr>
            <w:tcW w:w="4087" w:type="dxa"/>
            <w:gridSpan w:val="2"/>
            <w:shd w:val="clear" w:color="auto" w:fill="auto"/>
            <w:vAlign w:val="center"/>
          </w:tcPr>
          <w:p>
            <w:pPr>
              <w:spacing w:line="560" w:lineRule="exact"/>
              <w:rPr>
                <w:rFonts w:ascii="宋体" w:hAnsi="宋体"/>
                <w:color w:val="000000"/>
              </w:rPr>
            </w:pPr>
            <w:r>
              <w:rPr>
                <w:rFonts w:hint="eastAsia" w:ascii="宋体" w:hAnsi="宋体"/>
                <w:color w:val="000000"/>
              </w:rPr>
              <w:t>工作态度与形象</w:t>
            </w:r>
            <w:r>
              <w:rPr>
                <w:rFonts w:hint="eastAsia" w:ascii="宋体" w:hAnsi="宋体" w:cs="微软雅黑"/>
                <w:color w:val="000000"/>
              </w:rPr>
              <w:t>（4）</w:t>
            </w:r>
          </w:p>
        </w:tc>
        <w:tc>
          <w:tcPr>
            <w:tcW w:w="927" w:type="dxa"/>
            <w:shd w:val="clear" w:color="auto" w:fill="auto"/>
            <w:vAlign w:val="center"/>
          </w:tcPr>
          <w:p>
            <w:pPr>
              <w:spacing w:line="560" w:lineRule="exact"/>
              <w:rPr>
                <w:rFonts w:ascii="宋体" w:hAnsi="宋体"/>
                <w:color w:val="000000"/>
              </w:rPr>
            </w:pPr>
          </w:p>
        </w:tc>
        <w:tc>
          <w:tcPr>
            <w:tcW w:w="3281" w:type="dxa"/>
            <w:shd w:val="clear" w:color="auto" w:fill="auto"/>
            <w:vAlign w:val="center"/>
          </w:tcPr>
          <w:p>
            <w:pPr>
              <w:spacing w:line="560" w:lineRule="exac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53" w:hRule="atLeast"/>
          <w:jc w:val="center"/>
        </w:trPr>
        <w:tc>
          <w:tcPr>
            <w:tcW w:w="1208" w:type="dxa"/>
            <w:tcBorders>
              <w:top w:val="single" w:color="auto" w:sz="4" w:space="0"/>
              <w:bottom w:val="single" w:color="auto" w:sz="4" w:space="0"/>
            </w:tcBorders>
            <w:shd w:val="clear" w:color="auto" w:fill="auto"/>
          </w:tcPr>
          <w:p>
            <w:pPr>
              <w:spacing w:line="560" w:lineRule="exact"/>
              <w:jc w:val="center"/>
              <w:rPr>
                <w:rFonts w:ascii="宋体" w:hAnsi="宋体"/>
                <w:color w:val="000000"/>
              </w:rPr>
            </w:pPr>
            <w:r>
              <w:rPr>
                <w:rFonts w:ascii="宋体" w:hAnsi="宋体"/>
                <w:color w:val="000000"/>
              </w:rPr>
              <w:t>2.3</w:t>
            </w:r>
          </w:p>
        </w:tc>
        <w:tc>
          <w:tcPr>
            <w:tcW w:w="4087" w:type="dxa"/>
            <w:gridSpan w:val="2"/>
            <w:shd w:val="clear" w:color="auto" w:fill="auto"/>
          </w:tcPr>
          <w:p>
            <w:pPr>
              <w:spacing w:line="560" w:lineRule="exact"/>
              <w:rPr>
                <w:rFonts w:ascii="宋体" w:hAnsi="宋体"/>
                <w:color w:val="000000"/>
              </w:rPr>
            </w:pPr>
            <w:r>
              <w:rPr>
                <w:rFonts w:hint="eastAsia" w:ascii="宋体" w:hAnsi="宋体"/>
                <w:color w:val="000000"/>
              </w:rPr>
              <w:t>人员劳务关系</w:t>
            </w:r>
            <w:r>
              <w:rPr>
                <w:rFonts w:hint="eastAsia" w:ascii="宋体" w:hAnsi="宋体" w:cs="微软雅黑"/>
                <w:color w:val="000000"/>
              </w:rPr>
              <w:t>（4）</w:t>
            </w:r>
          </w:p>
        </w:tc>
        <w:tc>
          <w:tcPr>
            <w:tcW w:w="927" w:type="dxa"/>
            <w:shd w:val="clear" w:color="auto" w:fill="auto"/>
          </w:tcPr>
          <w:p>
            <w:pPr>
              <w:spacing w:line="560" w:lineRule="exact"/>
              <w:rPr>
                <w:rFonts w:ascii="宋体" w:hAnsi="宋体"/>
                <w:color w:val="000000"/>
              </w:rPr>
            </w:pPr>
          </w:p>
        </w:tc>
        <w:tc>
          <w:tcPr>
            <w:tcW w:w="3281" w:type="dxa"/>
            <w:shd w:val="clear" w:color="auto" w:fill="auto"/>
          </w:tcPr>
          <w:p>
            <w:pPr>
              <w:spacing w:line="560" w:lineRule="exac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shd w:val="clear" w:color="auto" w:fill="auto"/>
          </w:tcPr>
          <w:p>
            <w:pPr>
              <w:spacing w:line="560" w:lineRule="exact"/>
              <w:jc w:val="center"/>
              <w:rPr>
                <w:rFonts w:ascii="宋体" w:hAnsi="宋体"/>
                <w:color w:val="000000"/>
              </w:rPr>
            </w:pPr>
            <w:r>
              <w:rPr>
                <w:rFonts w:hint="eastAsia" w:ascii="宋体" w:hAnsi="宋体"/>
                <w:color w:val="000000"/>
              </w:rPr>
              <w:t>2.4</w:t>
            </w:r>
          </w:p>
        </w:tc>
        <w:tc>
          <w:tcPr>
            <w:tcW w:w="4087" w:type="dxa"/>
            <w:gridSpan w:val="2"/>
            <w:shd w:val="clear" w:color="auto" w:fill="auto"/>
          </w:tcPr>
          <w:p>
            <w:pPr>
              <w:spacing w:line="560" w:lineRule="exact"/>
              <w:rPr>
                <w:rFonts w:ascii="宋体" w:hAnsi="宋体"/>
                <w:color w:val="000000"/>
              </w:rPr>
            </w:pPr>
            <w:r>
              <w:rPr>
                <w:rFonts w:hint="eastAsia" w:ascii="宋体" w:hAnsi="宋体"/>
                <w:color w:val="000000"/>
              </w:rPr>
              <w:t>对于检查发现问题的整改效率及措施</w:t>
            </w:r>
            <w:r>
              <w:rPr>
                <w:rFonts w:hint="eastAsia" w:ascii="宋体" w:hAnsi="宋体" w:cs="微软雅黑"/>
                <w:color w:val="000000"/>
              </w:rPr>
              <w:t>（4）</w:t>
            </w:r>
          </w:p>
        </w:tc>
        <w:tc>
          <w:tcPr>
            <w:tcW w:w="927" w:type="dxa"/>
            <w:shd w:val="clear" w:color="auto" w:fill="auto"/>
          </w:tcPr>
          <w:p>
            <w:pPr>
              <w:spacing w:line="560" w:lineRule="exact"/>
              <w:rPr>
                <w:rFonts w:ascii="宋体" w:hAnsi="宋体"/>
                <w:color w:val="000000"/>
              </w:rPr>
            </w:pPr>
          </w:p>
        </w:tc>
        <w:tc>
          <w:tcPr>
            <w:tcW w:w="3281" w:type="dxa"/>
            <w:shd w:val="clear" w:color="auto" w:fill="auto"/>
          </w:tcPr>
          <w:p>
            <w:pPr>
              <w:spacing w:line="560" w:lineRule="exac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shd w:val="clear" w:color="auto" w:fill="auto"/>
          </w:tcPr>
          <w:p>
            <w:pPr>
              <w:spacing w:line="560" w:lineRule="exact"/>
              <w:jc w:val="center"/>
              <w:rPr>
                <w:rFonts w:ascii="宋体" w:hAnsi="宋体"/>
                <w:color w:val="000000"/>
              </w:rPr>
            </w:pPr>
            <w:r>
              <w:rPr>
                <w:rFonts w:hint="eastAsia" w:ascii="宋体" w:hAnsi="宋体"/>
                <w:color w:val="000000"/>
              </w:rPr>
              <w:t>2.5</w:t>
            </w:r>
          </w:p>
        </w:tc>
        <w:tc>
          <w:tcPr>
            <w:tcW w:w="4087" w:type="dxa"/>
            <w:gridSpan w:val="2"/>
            <w:shd w:val="clear" w:color="auto" w:fill="auto"/>
          </w:tcPr>
          <w:p>
            <w:pPr>
              <w:spacing w:line="560" w:lineRule="exact"/>
              <w:rPr>
                <w:rFonts w:ascii="宋体" w:hAnsi="宋体"/>
                <w:color w:val="000000"/>
              </w:rPr>
            </w:pPr>
            <w:r>
              <w:rPr>
                <w:rFonts w:hint="eastAsia" w:ascii="宋体" w:hAnsi="宋体"/>
                <w:color w:val="000000"/>
              </w:rPr>
              <w:t>员工的遵纪守法情况</w:t>
            </w:r>
            <w:r>
              <w:rPr>
                <w:rFonts w:hint="eastAsia" w:ascii="宋体" w:hAnsi="宋体" w:cs="微软雅黑"/>
                <w:color w:val="000000"/>
              </w:rPr>
              <w:t>（4）</w:t>
            </w:r>
          </w:p>
        </w:tc>
        <w:tc>
          <w:tcPr>
            <w:tcW w:w="927" w:type="dxa"/>
            <w:shd w:val="clear" w:color="auto" w:fill="auto"/>
          </w:tcPr>
          <w:p>
            <w:pPr>
              <w:spacing w:line="560" w:lineRule="exact"/>
              <w:rPr>
                <w:rFonts w:ascii="宋体" w:hAnsi="宋体"/>
                <w:color w:val="000000"/>
              </w:rPr>
            </w:pPr>
          </w:p>
        </w:tc>
        <w:tc>
          <w:tcPr>
            <w:tcW w:w="3281" w:type="dxa"/>
            <w:shd w:val="clear" w:color="auto" w:fill="auto"/>
          </w:tcPr>
          <w:p>
            <w:pPr>
              <w:spacing w:line="560" w:lineRule="exac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shd w:val="clear" w:color="auto" w:fill="auto"/>
          </w:tcPr>
          <w:p>
            <w:pPr>
              <w:spacing w:line="560" w:lineRule="exact"/>
              <w:jc w:val="center"/>
              <w:rPr>
                <w:rFonts w:ascii="宋体" w:hAnsi="宋体"/>
                <w:color w:val="000000"/>
              </w:rPr>
            </w:pPr>
            <w:r>
              <w:rPr>
                <w:rFonts w:hint="eastAsia" w:ascii="宋体" w:hAnsi="宋体"/>
                <w:color w:val="000000"/>
              </w:rPr>
              <w:t>2.6</w:t>
            </w:r>
          </w:p>
        </w:tc>
        <w:tc>
          <w:tcPr>
            <w:tcW w:w="4087" w:type="dxa"/>
            <w:gridSpan w:val="2"/>
            <w:shd w:val="clear" w:color="auto" w:fill="auto"/>
          </w:tcPr>
          <w:p>
            <w:pPr>
              <w:spacing w:line="560" w:lineRule="exact"/>
              <w:rPr>
                <w:rFonts w:ascii="宋体" w:hAnsi="宋体"/>
                <w:color w:val="000000"/>
              </w:rPr>
            </w:pPr>
            <w:r>
              <w:rPr>
                <w:rFonts w:hint="eastAsia" w:ascii="宋体" w:hAnsi="宋体"/>
                <w:color w:val="000000"/>
              </w:rPr>
              <w:t>企业文化认同及机场主人翁意识</w:t>
            </w:r>
            <w:r>
              <w:rPr>
                <w:rFonts w:hint="eastAsia" w:ascii="宋体" w:hAnsi="宋体" w:cs="微软雅黑"/>
                <w:color w:val="000000"/>
              </w:rPr>
              <w:t>（4）</w:t>
            </w:r>
          </w:p>
        </w:tc>
        <w:tc>
          <w:tcPr>
            <w:tcW w:w="927" w:type="dxa"/>
            <w:shd w:val="clear" w:color="auto" w:fill="auto"/>
          </w:tcPr>
          <w:p>
            <w:pPr>
              <w:spacing w:line="560" w:lineRule="exact"/>
              <w:rPr>
                <w:rFonts w:ascii="宋体" w:hAnsi="宋体"/>
                <w:color w:val="000000"/>
              </w:rPr>
            </w:pPr>
          </w:p>
        </w:tc>
        <w:tc>
          <w:tcPr>
            <w:tcW w:w="3281" w:type="dxa"/>
            <w:shd w:val="clear" w:color="auto" w:fill="auto"/>
          </w:tcPr>
          <w:p>
            <w:pPr>
              <w:spacing w:line="560" w:lineRule="exac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82" w:hRule="atLeast"/>
          <w:jc w:val="center"/>
        </w:trPr>
        <w:tc>
          <w:tcPr>
            <w:tcW w:w="9503" w:type="dxa"/>
            <w:gridSpan w:val="5"/>
            <w:shd w:val="clear" w:color="auto" w:fill="auto"/>
          </w:tcPr>
          <w:p>
            <w:pPr>
              <w:spacing w:line="560" w:lineRule="exact"/>
              <w:rPr>
                <w:rFonts w:ascii="宋体" w:hAnsi="宋体"/>
                <w:color w:val="000000"/>
              </w:rPr>
            </w:pPr>
            <w:r>
              <w:rPr>
                <w:rFonts w:hint="eastAsia" w:ascii="宋体" w:hAnsi="宋体" w:cs="微软雅黑"/>
                <w:b/>
                <w:color w:val="000000"/>
              </w:rPr>
              <w:t>分项分值：</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82" w:hRule="atLeast"/>
          <w:jc w:val="center"/>
        </w:trPr>
        <w:tc>
          <w:tcPr>
            <w:tcW w:w="1208" w:type="dxa"/>
            <w:shd w:val="clear" w:color="auto" w:fill="D9E2F3"/>
          </w:tcPr>
          <w:p>
            <w:pPr>
              <w:spacing w:line="560" w:lineRule="exact"/>
              <w:jc w:val="center"/>
              <w:rPr>
                <w:rFonts w:ascii="宋体" w:hAnsi="宋体" w:cs="微软雅黑"/>
                <w:b/>
                <w:color w:val="000000"/>
              </w:rPr>
            </w:pPr>
            <w:r>
              <w:rPr>
                <w:rFonts w:hint="eastAsia" w:ascii="宋体" w:hAnsi="宋体" w:cs="微软雅黑"/>
                <w:b/>
                <w:color w:val="000000"/>
              </w:rPr>
              <w:t>第3节</w:t>
            </w:r>
          </w:p>
        </w:tc>
        <w:tc>
          <w:tcPr>
            <w:tcW w:w="4087" w:type="dxa"/>
            <w:gridSpan w:val="2"/>
            <w:shd w:val="clear" w:color="auto" w:fill="D9E2F3"/>
          </w:tcPr>
          <w:p>
            <w:pPr>
              <w:spacing w:line="560" w:lineRule="exact"/>
              <w:jc w:val="center"/>
              <w:rPr>
                <w:rFonts w:ascii="宋体" w:hAnsi="宋体" w:cs="微软雅黑"/>
                <w:b/>
                <w:color w:val="000000"/>
              </w:rPr>
            </w:pPr>
            <w:r>
              <w:rPr>
                <w:rFonts w:hint="eastAsia" w:ascii="宋体" w:hAnsi="宋体" w:cs="微软雅黑"/>
                <w:b/>
                <w:color w:val="000000"/>
              </w:rPr>
              <w:t>质量</w:t>
            </w:r>
            <w:r>
              <w:rPr>
                <w:rFonts w:hint="eastAsia" w:ascii="宋体" w:hAnsi="宋体" w:cs="微软雅黑"/>
                <w:color w:val="000000"/>
              </w:rPr>
              <w:t>（30）</w:t>
            </w:r>
          </w:p>
        </w:tc>
        <w:tc>
          <w:tcPr>
            <w:tcW w:w="927" w:type="dxa"/>
            <w:shd w:val="clear" w:color="auto" w:fill="D9E2F3"/>
          </w:tcPr>
          <w:p>
            <w:pPr>
              <w:spacing w:after="84" w:line="560" w:lineRule="exact"/>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560" w:lineRule="exact"/>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bottom w:val="single" w:color="auto" w:sz="4" w:space="0"/>
            </w:tcBorders>
            <w:shd w:val="clear" w:color="auto" w:fill="auto"/>
          </w:tcPr>
          <w:p>
            <w:pPr>
              <w:spacing w:after="10" w:line="560" w:lineRule="exact"/>
              <w:jc w:val="center"/>
              <w:rPr>
                <w:rFonts w:ascii="宋体" w:hAnsi="宋体"/>
                <w:color w:val="000000"/>
              </w:rPr>
            </w:pPr>
            <w:r>
              <w:rPr>
                <w:rFonts w:ascii="宋体" w:hAnsi="宋体"/>
                <w:color w:val="000000"/>
              </w:rPr>
              <w:t>3.1</w:t>
            </w:r>
          </w:p>
        </w:tc>
        <w:tc>
          <w:tcPr>
            <w:tcW w:w="4087" w:type="dxa"/>
            <w:gridSpan w:val="2"/>
            <w:shd w:val="clear" w:color="auto" w:fill="auto"/>
          </w:tcPr>
          <w:p>
            <w:pPr>
              <w:spacing w:line="560" w:lineRule="exact"/>
              <w:rPr>
                <w:rFonts w:ascii="宋体" w:hAnsi="宋体"/>
                <w:color w:val="000000"/>
              </w:rPr>
            </w:pPr>
            <w:r>
              <w:rPr>
                <w:rFonts w:hint="eastAsia" w:ascii="宋体" w:hAnsi="宋体"/>
                <w:color w:val="000000"/>
              </w:rPr>
              <w:t>台账、资料管理质量</w:t>
            </w:r>
            <w:r>
              <w:rPr>
                <w:rFonts w:hint="eastAsia" w:ascii="宋体" w:hAnsi="宋体" w:cs="微软雅黑"/>
                <w:color w:val="000000"/>
              </w:rPr>
              <w:t>（5）</w:t>
            </w:r>
          </w:p>
        </w:tc>
        <w:tc>
          <w:tcPr>
            <w:tcW w:w="927" w:type="dxa"/>
            <w:shd w:val="clear" w:color="auto" w:fill="auto"/>
          </w:tcPr>
          <w:p>
            <w:pPr>
              <w:spacing w:line="560" w:lineRule="exact"/>
              <w:ind w:left="2"/>
              <w:rPr>
                <w:rFonts w:ascii="宋体" w:hAnsi="宋体"/>
                <w:color w:val="000000"/>
              </w:rPr>
            </w:pPr>
          </w:p>
        </w:tc>
        <w:tc>
          <w:tcPr>
            <w:tcW w:w="3281" w:type="dxa"/>
            <w:shd w:val="clear" w:color="auto" w:fill="auto"/>
          </w:tcPr>
          <w:p>
            <w:pPr>
              <w:spacing w:line="560" w:lineRule="exac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after="10" w:line="560" w:lineRule="exact"/>
              <w:jc w:val="center"/>
              <w:rPr>
                <w:rFonts w:ascii="宋体" w:hAnsi="宋体"/>
                <w:color w:val="000000"/>
              </w:rPr>
            </w:pPr>
            <w:r>
              <w:rPr>
                <w:rFonts w:ascii="宋体" w:hAnsi="宋体"/>
                <w:color w:val="000000"/>
              </w:rPr>
              <w:t>3.2</w:t>
            </w:r>
          </w:p>
        </w:tc>
        <w:tc>
          <w:tcPr>
            <w:tcW w:w="4087" w:type="dxa"/>
            <w:gridSpan w:val="2"/>
            <w:shd w:val="clear" w:color="auto" w:fill="auto"/>
          </w:tcPr>
          <w:p>
            <w:pPr>
              <w:spacing w:line="560" w:lineRule="exact"/>
              <w:rPr>
                <w:rFonts w:ascii="宋体" w:hAnsi="宋体"/>
                <w:color w:val="000000"/>
              </w:rPr>
            </w:pPr>
            <w:r>
              <w:rPr>
                <w:rFonts w:hint="eastAsia" w:ascii="宋体" w:hAnsi="宋体"/>
                <w:color w:val="000000"/>
              </w:rPr>
              <w:t>设备修复率</w:t>
            </w:r>
            <w:r>
              <w:rPr>
                <w:rFonts w:hint="eastAsia" w:ascii="宋体" w:hAnsi="宋体" w:cs="微软雅黑"/>
                <w:color w:val="000000"/>
              </w:rPr>
              <w:t>（5）</w:t>
            </w:r>
          </w:p>
        </w:tc>
        <w:tc>
          <w:tcPr>
            <w:tcW w:w="927" w:type="dxa"/>
            <w:shd w:val="clear" w:color="auto" w:fill="auto"/>
          </w:tcPr>
          <w:p>
            <w:pPr>
              <w:spacing w:line="560" w:lineRule="exact"/>
              <w:rPr>
                <w:rFonts w:ascii="宋体" w:hAnsi="宋体"/>
                <w:color w:val="000000"/>
              </w:rPr>
            </w:pPr>
          </w:p>
        </w:tc>
        <w:tc>
          <w:tcPr>
            <w:tcW w:w="3281" w:type="dxa"/>
            <w:shd w:val="clear" w:color="auto" w:fill="auto"/>
          </w:tcPr>
          <w:p>
            <w:pPr>
              <w:spacing w:line="560" w:lineRule="exac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after="10" w:line="560" w:lineRule="exact"/>
              <w:jc w:val="center"/>
              <w:rPr>
                <w:rFonts w:ascii="宋体" w:hAnsi="宋体"/>
                <w:color w:val="000000"/>
              </w:rPr>
            </w:pPr>
            <w:r>
              <w:rPr>
                <w:rFonts w:ascii="宋体" w:hAnsi="宋体"/>
                <w:color w:val="000000"/>
              </w:rPr>
              <w:t>3.3</w:t>
            </w:r>
          </w:p>
        </w:tc>
        <w:tc>
          <w:tcPr>
            <w:tcW w:w="4087" w:type="dxa"/>
            <w:gridSpan w:val="2"/>
            <w:shd w:val="clear" w:color="auto" w:fill="auto"/>
          </w:tcPr>
          <w:p>
            <w:pPr>
              <w:spacing w:line="560" w:lineRule="exact"/>
              <w:rPr>
                <w:rFonts w:ascii="宋体" w:hAnsi="宋体"/>
                <w:color w:val="000000"/>
              </w:rPr>
            </w:pPr>
            <w:r>
              <w:rPr>
                <w:rFonts w:hint="eastAsia" w:ascii="宋体" w:hAnsi="宋体"/>
                <w:color w:val="000000"/>
              </w:rPr>
              <w:t>现场工作质量</w:t>
            </w:r>
            <w:r>
              <w:rPr>
                <w:rFonts w:hint="eastAsia" w:ascii="宋体" w:hAnsi="宋体" w:cs="微软雅黑"/>
                <w:color w:val="000000"/>
              </w:rPr>
              <w:t>（5）</w:t>
            </w:r>
          </w:p>
        </w:tc>
        <w:tc>
          <w:tcPr>
            <w:tcW w:w="927" w:type="dxa"/>
            <w:shd w:val="clear" w:color="auto" w:fill="auto"/>
          </w:tcPr>
          <w:p>
            <w:pPr>
              <w:spacing w:line="560" w:lineRule="exact"/>
              <w:rPr>
                <w:rFonts w:ascii="宋体" w:hAnsi="宋体"/>
                <w:color w:val="000000"/>
              </w:rPr>
            </w:pPr>
          </w:p>
        </w:tc>
        <w:tc>
          <w:tcPr>
            <w:tcW w:w="3281" w:type="dxa"/>
            <w:shd w:val="clear" w:color="auto" w:fill="auto"/>
          </w:tcPr>
          <w:p>
            <w:pPr>
              <w:spacing w:line="560" w:lineRule="exac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after="10" w:line="560" w:lineRule="exact"/>
              <w:jc w:val="center"/>
              <w:rPr>
                <w:rFonts w:ascii="宋体" w:hAnsi="宋体"/>
                <w:color w:val="000000"/>
              </w:rPr>
            </w:pPr>
            <w:r>
              <w:rPr>
                <w:rFonts w:ascii="宋体" w:hAnsi="宋体"/>
                <w:color w:val="000000"/>
              </w:rPr>
              <w:t>3.4</w:t>
            </w:r>
          </w:p>
        </w:tc>
        <w:tc>
          <w:tcPr>
            <w:tcW w:w="4087" w:type="dxa"/>
            <w:gridSpan w:val="2"/>
            <w:shd w:val="clear" w:color="auto" w:fill="auto"/>
          </w:tcPr>
          <w:p>
            <w:pPr>
              <w:spacing w:line="560" w:lineRule="exact"/>
              <w:rPr>
                <w:rFonts w:ascii="宋体" w:hAnsi="宋体"/>
                <w:color w:val="000000"/>
              </w:rPr>
            </w:pPr>
            <w:r>
              <w:rPr>
                <w:rFonts w:hint="eastAsia" w:ascii="宋体" w:hAnsi="宋体" w:cs="微软雅黑"/>
                <w:color w:val="000000"/>
              </w:rPr>
              <w:t>设备故障率（5）</w:t>
            </w:r>
          </w:p>
        </w:tc>
        <w:tc>
          <w:tcPr>
            <w:tcW w:w="927" w:type="dxa"/>
            <w:shd w:val="clear" w:color="auto" w:fill="auto"/>
          </w:tcPr>
          <w:p>
            <w:pPr>
              <w:spacing w:line="560" w:lineRule="exact"/>
              <w:rPr>
                <w:rFonts w:ascii="宋体" w:hAnsi="宋体"/>
                <w:color w:val="000000"/>
              </w:rPr>
            </w:pPr>
          </w:p>
        </w:tc>
        <w:tc>
          <w:tcPr>
            <w:tcW w:w="3281" w:type="dxa"/>
            <w:shd w:val="clear" w:color="auto" w:fill="auto"/>
          </w:tcPr>
          <w:p>
            <w:pPr>
              <w:spacing w:line="560" w:lineRule="exac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18" w:hRule="atLeast"/>
          <w:jc w:val="center"/>
        </w:trPr>
        <w:tc>
          <w:tcPr>
            <w:tcW w:w="1208" w:type="dxa"/>
            <w:tcBorders>
              <w:top w:val="single" w:color="auto" w:sz="4" w:space="0"/>
              <w:bottom w:val="single" w:color="auto" w:sz="4" w:space="0"/>
            </w:tcBorders>
            <w:shd w:val="clear" w:color="auto" w:fill="auto"/>
          </w:tcPr>
          <w:p>
            <w:pPr>
              <w:spacing w:after="10" w:line="560" w:lineRule="exact"/>
              <w:jc w:val="center"/>
              <w:rPr>
                <w:rFonts w:ascii="宋体" w:hAnsi="宋体"/>
                <w:color w:val="000000"/>
              </w:rPr>
            </w:pPr>
            <w:r>
              <w:rPr>
                <w:rFonts w:ascii="宋体" w:hAnsi="宋体"/>
                <w:color w:val="000000"/>
              </w:rPr>
              <w:t>3.5</w:t>
            </w:r>
          </w:p>
        </w:tc>
        <w:tc>
          <w:tcPr>
            <w:tcW w:w="4087" w:type="dxa"/>
            <w:gridSpan w:val="2"/>
            <w:shd w:val="clear" w:color="auto" w:fill="auto"/>
          </w:tcPr>
          <w:p>
            <w:pPr>
              <w:spacing w:line="560" w:lineRule="exact"/>
              <w:rPr>
                <w:rFonts w:ascii="宋体" w:hAnsi="宋体"/>
                <w:color w:val="000000"/>
              </w:rPr>
            </w:pPr>
            <w:r>
              <w:rPr>
                <w:rFonts w:hint="eastAsia" w:ascii="宋体" w:hAnsi="宋体"/>
                <w:color w:val="000000"/>
              </w:rPr>
              <w:t>人员培训质量</w:t>
            </w:r>
            <w:r>
              <w:rPr>
                <w:rFonts w:hint="eastAsia" w:ascii="宋体" w:hAnsi="宋体" w:cs="微软雅黑"/>
                <w:color w:val="000000"/>
              </w:rPr>
              <w:t>（5）</w:t>
            </w:r>
          </w:p>
        </w:tc>
        <w:tc>
          <w:tcPr>
            <w:tcW w:w="927" w:type="dxa"/>
            <w:shd w:val="clear" w:color="auto" w:fill="auto"/>
          </w:tcPr>
          <w:p>
            <w:pPr>
              <w:spacing w:line="560" w:lineRule="exact"/>
              <w:ind w:right="45"/>
              <w:rPr>
                <w:rFonts w:ascii="宋体" w:hAnsi="宋体" w:cs="微软雅黑"/>
                <w:b/>
                <w:color w:val="000000"/>
              </w:rPr>
            </w:pPr>
          </w:p>
        </w:tc>
        <w:tc>
          <w:tcPr>
            <w:tcW w:w="3281" w:type="dxa"/>
            <w:shd w:val="clear" w:color="auto" w:fill="auto"/>
          </w:tcPr>
          <w:p>
            <w:pPr>
              <w:spacing w:line="560" w:lineRule="exact"/>
              <w:ind w:right="45"/>
              <w:rPr>
                <w:rFonts w:ascii="宋体" w:hAnsi="宋体" w:cs="微软雅黑"/>
                <w:b/>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20" w:hRule="atLeast"/>
          <w:jc w:val="center"/>
        </w:trPr>
        <w:tc>
          <w:tcPr>
            <w:tcW w:w="1208" w:type="dxa"/>
            <w:tcBorders>
              <w:top w:val="single" w:color="auto" w:sz="4" w:space="0"/>
            </w:tcBorders>
            <w:shd w:val="clear" w:color="auto" w:fill="auto"/>
          </w:tcPr>
          <w:p>
            <w:pPr>
              <w:spacing w:line="560" w:lineRule="exact"/>
              <w:ind w:right="44"/>
              <w:jc w:val="center"/>
              <w:rPr>
                <w:rFonts w:ascii="宋体" w:hAnsi="宋体"/>
                <w:color w:val="000000"/>
              </w:rPr>
            </w:pPr>
            <w:r>
              <w:rPr>
                <w:rFonts w:ascii="宋体" w:hAnsi="宋体"/>
                <w:color w:val="000000"/>
              </w:rPr>
              <w:t>3.6</w:t>
            </w:r>
          </w:p>
        </w:tc>
        <w:tc>
          <w:tcPr>
            <w:tcW w:w="4087" w:type="dxa"/>
            <w:gridSpan w:val="2"/>
            <w:shd w:val="clear" w:color="auto" w:fill="auto"/>
          </w:tcPr>
          <w:p>
            <w:pPr>
              <w:spacing w:line="560" w:lineRule="exact"/>
              <w:rPr>
                <w:rFonts w:ascii="宋体" w:hAnsi="宋体"/>
                <w:color w:val="000000"/>
              </w:rPr>
            </w:pPr>
            <w:r>
              <w:rPr>
                <w:rFonts w:hint="eastAsia" w:ascii="宋体" w:hAnsi="宋体"/>
                <w:color w:val="000000"/>
              </w:rPr>
              <w:t>应急事件处理质量</w:t>
            </w:r>
            <w:r>
              <w:rPr>
                <w:rFonts w:hint="eastAsia" w:ascii="宋体" w:hAnsi="宋体" w:cs="微软雅黑"/>
                <w:color w:val="000000"/>
              </w:rPr>
              <w:t>（5）</w:t>
            </w:r>
          </w:p>
        </w:tc>
        <w:tc>
          <w:tcPr>
            <w:tcW w:w="927" w:type="dxa"/>
            <w:shd w:val="clear" w:color="auto" w:fill="auto"/>
          </w:tcPr>
          <w:p>
            <w:pPr>
              <w:spacing w:line="560" w:lineRule="exact"/>
              <w:ind w:left="2"/>
              <w:rPr>
                <w:rFonts w:ascii="宋体" w:hAnsi="宋体"/>
                <w:color w:val="000000"/>
              </w:rPr>
            </w:pPr>
          </w:p>
        </w:tc>
        <w:tc>
          <w:tcPr>
            <w:tcW w:w="3281" w:type="dxa"/>
            <w:shd w:val="clear" w:color="auto" w:fill="auto"/>
          </w:tcPr>
          <w:p>
            <w:pPr>
              <w:spacing w:line="560" w:lineRule="exac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18" w:hRule="atLeast"/>
          <w:jc w:val="center"/>
        </w:trPr>
        <w:tc>
          <w:tcPr>
            <w:tcW w:w="9503" w:type="dxa"/>
            <w:gridSpan w:val="5"/>
            <w:shd w:val="clear" w:color="auto" w:fill="auto"/>
          </w:tcPr>
          <w:p>
            <w:pPr>
              <w:spacing w:line="560" w:lineRule="exact"/>
              <w:rPr>
                <w:rFonts w:ascii="宋体" w:hAnsi="宋体"/>
                <w:color w:val="000000"/>
              </w:rPr>
            </w:pPr>
            <w:r>
              <w:rPr>
                <w:rFonts w:hint="eastAsia" w:ascii="宋体" w:hAnsi="宋体" w:cs="微软雅黑"/>
                <w:b/>
                <w:color w:val="000000"/>
              </w:rPr>
              <w:t>分项分值：</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11" w:hRule="atLeast"/>
          <w:jc w:val="center"/>
        </w:trPr>
        <w:tc>
          <w:tcPr>
            <w:tcW w:w="1208" w:type="dxa"/>
            <w:tcBorders>
              <w:bottom w:val="single" w:color="auto" w:sz="4" w:space="0"/>
            </w:tcBorders>
            <w:shd w:val="clear" w:color="auto" w:fill="D9E2F3"/>
          </w:tcPr>
          <w:p>
            <w:pPr>
              <w:spacing w:line="560" w:lineRule="exact"/>
              <w:jc w:val="center"/>
              <w:rPr>
                <w:rFonts w:ascii="宋体" w:hAnsi="宋体" w:cs="微软雅黑"/>
                <w:b/>
                <w:color w:val="000000"/>
              </w:rPr>
            </w:pPr>
            <w:r>
              <w:rPr>
                <w:rFonts w:hint="eastAsia" w:ascii="宋体" w:hAnsi="宋体" w:cs="微软雅黑"/>
                <w:b/>
                <w:color w:val="000000"/>
              </w:rPr>
              <w:t>第4节</w:t>
            </w:r>
          </w:p>
        </w:tc>
        <w:tc>
          <w:tcPr>
            <w:tcW w:w="4087" w:type="dxa"/>
            <w:gridSpan w:val="2"/>
            <w:shd w:val="clear" w:color="auto" w:fill="D9E2F3"/>
          </w:tcPr>
          <w:p>
            <w:pPr>
              <w:spacing w:line="560" w:lineRule="exact"/>
              <w:jc w:val="center"/>
              <w:rPr>
                <w:rFonts w:ascii="宋体" w:hAnsi="宋体" w:cs="微软雅黑"/>
                <w:b/>
                <w:color w:val="000000"/>
              </w:rPr>
            </w:pPr>
            <w:r>
              <w:rPr>
                <w:rFonts w:hint="eastAsia" w:ascii="宋体" w:hAnsi="宋体" w:cs="微软雅黑"/>
                <w:b/>
                <w:color w:val="000000"/>
              </w:rPr>
              <w:t>安全</w:t>
            </w:r>
            <w:r>
              <w:rPr>
                <w:rFonts w:hint="eastAsia" w:ascii="宋体" w:hAnsi="宋体" w:cs="微软雅黑"/>
                <w:color w:val="000000"/>
              </w:rPr>
              <w:t>（12）</w:t>
            </w:r>
          </w:p>
        </w:tc>
        <w:tc>
          <w:tcPr>
            <w:tcW w:w="927" w:type="dxa"/>
            <w:shd w:val="clear" w:color="auto" w:fill="D9E2F3"/>
          </w:tcPr>
          <w:p>
            <w:pPr>
              <w:spacing w:after="84" w:line="560" w:lineRule="exact"/>
              <w:ind w:right="26"/>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560" w:lineRule="exact"/>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560" w:lineRule="exact"/>
              <w:jc w:val="center"/>
              <w:rPr>
                <w:rFonts w:ascii="宋体" w:hAnsi="宋体"/>
                <w:color w:val="000000"/>
              </w:rPr>
            </w:pPr>
            <w:r>
              <w:rPr>
                <w:rFonts w:ascii="宋体" w:hAnsi="宋体"/>
                <w:color w:val="000000"/>
              </w:rPr>
              <w:t>4.1</w:t>
            </w:r>
          </w:p>
        </w:tc>
        <w:tc>
          <w:tcPr>
            <w:tcW w:w="4087" w:type="dxa"/>
            <w:gridSpan w:val="2"/>
            <w:shd w:val="clear" w:color="auto" w:fill="auto"/>
          </w:tcPr>
          <w:p>
            <w:pPr>
              <w:spacing w:line="560" w:lineRule="exact"/>
              <w:rPr>
                <w:rFonts w:ascii="宋体" w:hAnsi="宋体"/>
                <w:color w:val="000000"/>
              </w:rPr>
            </w:pPr>
            <w:r>
              <w:rPr>
                <w:rFonts w:hint="eastAsia" w:ascii="宋体" w:hAnsi="宋体"/>
                <w:color w:val="000000"/>
              </w:rPr>
              <w:t>总体安全意识的表现</w:t>
            </w:r>
            <w:r>
              <w:rPr>
                <w:rFonts w:hint="eastAsia" w:ascii="宋体" w:hAnsi="宋体" w:cs="微软雅黑"/>
                <w:color w:val="000000"/>
              </w:rPr>
              <w:t>（4）</w:t>
            </w:r>
          </w:p>
        </w:tc>
        <w:tc>
          <w:tcPr>
            <w:tcW w:w="927" w:type="dxa"/>
            <w:shd w:val="clear" w:color="auto" w:fill="auto"/>
          </w:tcPr>
          <w:p>
            <w:pPr>
              <w:spacing w:line="560" w:lineRule="exact"/>
              <w:ind w:left="2"/>
              <w:jc w:val="center"/>
              <w:rPr>
                <w:rFonts w:ascii="宋体" w:hAnsi="宋体"/>
                <w:color w:val="000000"/>
              </w:rPr>
            </w:pPr>
          </w:p>
        </w:tc>
        <w:tc>
          <w:tcPr>
            <w:tcW w:w="3281" w:type="dxa"/>
            <w:shd w:val="clear" w:color="auto" w:fill="auto"/>
          </w:tcPr>
          <w:p>
            <w:pPr>
              <w:spacing w:line="560" w:lineRule="exac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560" w:lineRule="exact"/>
              <w:jc w:val="center"/>
              <w:rPr>
                <w:rFonts w:ascii="宋体" w:hAnsi="宋体"/>
                <w:color w:val="000000"/>
              </w:rPr>
            </w:pPr>
            <w:r>
              <w:rPr>
                <w:rFonts w:ascii="宋体" w:hAnsi="宋体"/>
                <w:color w:val="000000"/>
              </w:rPr>
              <w:t>4.2</w:t>
            </w:r>
          </w:p>
        </w:tc>
        <w:tc>
          <w:tcPr>
            <w:tcW w:w="4087" w:type="dxa"/>
            <w:gridSpan w:val="2"/>
            <w:shd w:val="clear" w:color="auto" w:fill="auto"/>
          </w:tcPr>
          <w:p>
            <w:pPr>
              <w:spacing w:line="560" w:lineRule="exact"/>
              <w:rPr>
                <w:rFonts w:ascii="宋体" w:hAnsi="宋体"/>
                <w:color w:val="000000"/>
              </w:rPr>
            </w:pPr>
            <w:r>
              <w:rPr>
                <w:rFonts w:hint="eastAsia" w:ascii="宋体" w:hAnsi="宋体"/>
                <w:color w:val="000000"/>
              </w:rPr>
              <w:t>提供和维护安全的工作环境</w:t>
            </w:r>
            <w:r>
              <w:rPr>
                <w:rFonts w:hint="eastAsia" w:ascii="宋体" w:hAnsi="宋体" w:cs="微软雅黑"/>
                <w:color w:val="000000"/>
              </w:rPr>
              <w:t>（4）</w:t>
            </w:r>
          </w:p>
        </w:tc>
        <w:tc>
          <w:tcPr>
            <w:tcW w:w="927" w:type="dxa"/>
            <w:shd w:val="clear" w:color="auto" w:fill="auto"/>
          </w:tcPr>
          <w:p>
            <w:pPr>
              <w:spacing w:line="560" w:lineRule="exact"/>
              <w:ind w:left="2"/>
              <w:jc w:val="center"/>
              <w:rPr>
                <w:rFonts w:ascii="宋体" w:hAnsi="宋体"/>
                <w:color w:val="000000"/>
              </w:rPr>
            </w:pPr>
          </w:p>
        </w:tc>
        <w:tc>
          <w:tcPr>
            <w:tcW w:w="3281" w:type="dxa"/>
            <w:shd w:val="clear" w:color="auto" w:fill="auto"/>
          </w:tcPr>
          <w:p>
            <w:pPr>
              <w:spacing w:line="560" w:lineRule="exac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13" w:hRule="atLeast"/>
          <w:jc w:val="center"/>
        </w:trPr>
        <w:tc>
          <w:tcPr>
            <w:tcW w:w="1208" w:type="dxa"/>
            <w:tcBorders>
              <w:top w:val="single" w:color="auto" w:sz="4" w:space="0"/>
            </w:tcBorders>
            <w:shd w:val="clear" w:color="auto" w:fill="auto"/>
          </w:tcPr>
          <w:p>
            <w:pPr>
              <w:spacing w:line="560" w:lineRule="exact"/>
              <w:jc w:val="center"/>
              <w:rPr>
                <w:rFonts w:ascii="宋体" w:hAnsi="宋体"/>
                <w:color w:val="000000"/>
              </w:rPr>
            </w:pPr>
            <w:r>
              <w:rPr>
                <w:rFonts w:ascii="宋体" w:hAnsi="宋体"/>
                <w:color w:val="000000"/>
              </w:rPr>
              <w:t>4.3</w:t>
            </w:r>
          </w:p>
        </w:tc>
        <w:tc>
          <w:tcPr>
            <w:tcW w:w="4087" w:type="dxa"/>
            <w:gridSpan w:val="2"/>
            <w:shd w:val="clear" w:color="auto" w:fill="auto"/>
          </w:tcPr>
          <w:p>
            <w:pPr>
              <w:spacing w:line="560" w:lineRule="exact"/>
              <w:rPr>
                <w:rFonts w:ascii="宋体" w:hAnsi="宋体"/>
                <w:color w:val="000000"/>
              </w:rPr>
            </w:pPr>
            <w:r>
              <w:rPr>
                <w:rFonts w:hint="eastAsia" w:ascii="宋体" w:hAnsi="宋体"/>
                <w:color w:val="000000"/>
              </w:rPr>
              <w:t>安全措施/制度/体系的实施或整改</w:t>
            </w:r>
            <w:r>
              <w:rPr>
                <w:rFonts w:hint="eastAsia" w:ascii="宋体" w:hAnsi="宋体" w:cs="微软雅黑"/>
                <w:color w:val="000000"/>
              </w:rPr>
              <w:t>（4）</w:t>
            </w:r>
          </w:p>
        </w:tc>
        <w:tc>
          <w:tcPr>
            <w:tcW w:w="927" w:type="dxa"/>
            <w:shd w:val="clear" w:color="auto" w:fill="auto"/>
          </w:tcPr>
          <w:p>
            <w:pPr>
              <w:spacing w:line="560" w:lineRule="exact"/>
              <w:ind w:left="2"/>
              <w:jc w:val="center"/>
              <w:rPr>
                <w:rFonts w:ascii="宋体" w:hAnsi="宋体"/>
                <w:color w:val="000000"/>
              </w:rPr>
            </w:pPr>
          </w:p>
        </w:tc>
        <w:tc>
          <w:tcPr>
            <w:tcW w:w="3281" w:type="dxa"/>
            <w:shd w:val="clear" w:color="auto" w:fill="auto"/>
          </w:tcPr>
          <w:p>
            <w:pPr>
              <w:spacing w:line="560" w:lineRule="exac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78" w:hRule="atLeast"/>
          <w:jc w:val="center"/>
        </w:trPr>
        <w:tc>
          <w:tcPr>
            <w:tcW w:w="9503" w:type="dxa"/>
            <w:gridSpan w:val="5"/>
            <w:shd w:val="clear" w:color="auto" w:fill="auto"/>
          </w:tcPr>
          <w:p>
            <w:pPr>
              <w:spacing w:line="560" w:lineRule="exact"/>
              <w:rPr>
                <w:rFonts w:ascii="宋体" w:hAnsi="宋体"/>
                <w:color w:val="000000"/>
              </w:rPr>
            </w:pPr>
            <w:r>
              <w:rPr>
                <w:rFonts w:hint="eastAsia" w:ascii="宋体" w:hAnsi="宋体" w:cs="微软雅黑"/>
                <w:b/>
                <w:color w:val="000000"/>
              </w:rPr>
              <w:t>分项分值：</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58" w:hRule="atLeast"/>
          <w:jc w:val="center"/>
        </w:trPr>
        <w:tc>
          <w:tcPr>
            <w:tcW w:w="1208" w:type="dxa"/>
            <w:shd w:val="clear" w:color="auto" w:fill="D9E2F3"/>
          </w:tcPr>
          <w:p>
            <w:pPr>
              <w:spacing w:line="560" w:lineRule="exact"/>
              <w:jc w:val="center"/>
              <w:rPr>
                <w:rFonts w:ascii="宋体" w:hAnsi="宋体" w:cs="微软雅黑"/>
                <w:b/>
                <w:color w:val="000000"/>
              </w:rPr>
            </w:pPr>
            <w:r>
              <w:rPr>
                <w:rFonts w:hint="eastAsia" w:ascii="宋体" w:hAnsi="宋体" w:cs="微软雅黑"/>
                <w:b/>
                <w:color w:val="000000"/>
              </w:rPr>
              <w:t>第5节</w:t>
            </w:r>
          </w:p>
        </w:tc>
        <w:tc>
          <w:tcPr>
            <w:tcW w:w="4087" w:type="dxa"/>
            <w:gridSpan w:val="2"/>
            <w:shd w:val="clear" w:color="auto" w:fill="D9E2F3"/>
          </w:tcPr>
          <w:p>
            <w:pPr>
              <w:spacing w:line="560" w:lineRule="exact"/>
              <w:jc w:val="center"/>
              <w:rPr>
                <w:rFonts w:ascii="宋体" w:hAnsi="宋体" w:cs="微软雅黑"/>
                <w:b/>
                <w:color w:val="000000"/>
              </w:rPr>
            </w:pPr>
            <w:r>
              <w:rPr>
                <w:rFonts w:hint="eastAsia" w:ascii="宋体" w:hAnsi="宋体" w:cs="微软雅黑"/>
                <w:b/>
                <w:color w:val="000000"/>
              </w:rPr>
              <w:t>过程</w:t>
            </w:r>
            <w:r>
              <w:rPr>
                <w:rFonts w:hint="eastAsia" w:ascii="宋体" w:hAnsi="宋体" w:cs="微软雅黑"/>
                <w:color w:val="000000"/>
              </w:rPr>
              <w:t>（16）</w:t>
            </w:r>
          </w:p>
        </w:tc>
        <w:tc>
          <w:tcPr>
            <w:tcW w:w="927" w:type="dxa"/>
            <w:shd w:val="clear" w:color="auto" w:fill="D9E2F3"/>
          </w:tcPr>
          <w:p>
            <w:pPr>
              <w:spacing w:after="84" w:line="560" w:lineRule="exact"/>
              <w:ind w:right="26"/>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560" w:lineRule="exact"/>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79" w:hRule="atLeast"/>
          <w:jc w:val="center"/>
        </w:trPr>
        <w:tc>
          <w:tcPr>
            <w:tcW w:w="1208" w:type="dxa"/>
            <w:tcBorders>
              <w:bottom w:val="single" w:color="auto" w:sz="4" w:space="0"/>
            </w:tcBorders>
            <w:shd w:val="clear" w:color="auto" w:fill="auto"/>
          </w:tcPr>
          <w:p>
            <w:pPr>
              <w:spacing w:line="560" w:lineRule="exact"/>
              <w:jc w:val="center"/>
              <w:rPr>
                <w:rFonts w:ascii="宋体" w:hAnsi="宋体"/>
                <w:color w:val="000000"/>
              </w:rPr>
            </w:pPr>
            <w:r>
              <w:rPr>
                <w:rFonts w:hint="eastAsia" w:ascii="宋体" w:hAnsi="宋体"/>
                <w:color w:val="000000"/>
              </w:rPr>
              <w:t>5.1</w:t>
            </w:r>
          </w:p>
        </w:tc>
        <w:tc>
          <w:tcPr>
            <w:tcW w:w="4087" w:type="dxa"/>
            <w:gridSpan w:val="2"/>
            <w:shd w:val="clear" w:color="auto" w:fill="auto"/>
          </w:tcPr>
          <w:p>
            <w:pPr>
              <w:spacing w:line="560" w:lineRule="exact"/>
              <w:rPr>
                <w:rFonts w:ascii="宋体" w:hAnsi="宋体" w:cs="微软雅黑"/>
                <w:color w:val="000000"/>
              </w:rPr>
            </w:pPr>
            <w:r>
              <w:rPr>
                <w:rFonts w:hint="eastAsia" w:ascii="宋体" w:hAnsi="宋体" w:cs="微软雅黑"/>
                <w:color w:val="000000"/>
              </w:rPr>
              <w:t>工作计划方案的充分性和质量（4）</w:t>
            </w:r>
          </w:p>
        </w:tc>
        <w:tc>
          <w:tcPr>
            <w:tcW w:w="927" w:type="dxa"/>
            <w:shd w:val="clear" w:color="auto" w:fill="auto"/>
          </w:tcPr>
          <w:p>
            <w:pPr>
              <w:spacing w:line="560" w:lineRule="exact"/>
              <w:ind w:left="2"/>
              <w:jc w:val="center"/>
              <w:rPr>
                <w:rFonts w:ascii="宋体" w:hAnsi="宋体"/>
                <w:color w:val="000000"/>
              </w:rPr>
            </w:pPr>
          </w:p>
        </w:tc>
        <w:tc>
          <w:tcPr>
            <w:tcW w:w="3281" w:type="dxa"/>
            <w:shd w:val="clear" w:color="auto" w:fill="auto"/>
          </w:tcPr>
          <w:p>
            <w:pPr>
              <w:spacing w:line="560" w:lineRule="exac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79" w:hRule="atLeast"/>
          <w:jc w:val="center"/>
        </w:trPr>
        <w:tc>
          <w:tcPr>
            <w:tcW w:w="1208" w:type="dxa"/>
            <w:tcBorders>
              <w:bottom w:val="single" w:color="auto" w:sz="4" w:space="0"/>
            </w:tcBorders>
            <w:shd w:val="clear" w:color="auto" w:fill="auto"/>
          </w:tcPr>
          <w:p>
            <w:pPr>
              <w:spacing w:line="560" w:lineRule="exact"/>
              <w:jc w:val="center"/>
              <w:rPr>
                <w:rFonts w:ascii="宋体" w:hAnsi="宋体"/>
                <w:color w:val="000000"/>
              </w:rPr>
            </w:pPr>
            <w:r>
              <w:rPr>
                <w:rFonts w:ascii="宋体" w:hAnsi="宋体"/>
                <w:color w:val="000000"/>
              </w:rPr>
              <w:t>5.</w:t>
            </w:r>
            <w:r>
              <w:rPr>
                <w:rFonts w:hint="eastAsia" w:ascii="宋体" w:hAnsi="宋体"/>
                <w:color w:val="000000"/>
              </w:rPr>
              <w:t>2</w:t>
            </w:r>
          </w:p>
        </w:tc>
        <w:tc>
          <w:tcPr>
            <w:tcW w:w="4087" w:type="dxa"/>
            <w:gridSpan w:val="2"/>
            <w:shd w:val="clear" w:color="auto" w:fill="auto"/>
          </w:tcPr>
          <w:p>
            <w:pPr>
              <w:spacing w:line="560" w:lineRule="exact"/>
              <w:rPr>
                <w:rFonts w:ascii="宋体" w:hAnsi="宋体"/>
                <w:color w:val="000000"/>
              </w:rPr>
            </w:pPr>
            <w:r>
              <w:rPr>
                <w:rFonts w:hint="eastAsia" w:ascii="宋体" w:hAnsi="宋体" w:cs="微软雅黑"/>
                <w:color w:val="000000"/>
              </w:rPr>
              <w:t>方案执行情况（4）</w:t>
            </w:r>
          </w:p>
        </w:tc>
        <w:tc>
          <w:tcPr>
            <w:tcW w:w="927" w:type="dxa"/>
            <w:shd w:val="clear" w:color="auto" w:fill="auto"/>
          </w:tcPr>
          <w:p>
            <w:pPr>
              <w:spacing w:line="560" w:lineRule="exact"/>
              <w:ind w:left="2"/>
              <w:jc w:val="center"/>
              <w:rPr>
                <w:rFonts w:ascii="宋体" w:hAnsi="宋体"/>
                <w:color w:val="000000"/>
              </w:rPr>
            </w:pPr>
          </w:p>
        </w:tc>
        <w:tc>
          <w:tcPr>
            <w:tcW w:w="3281" w:type="dxa"/>
            <w:shd w:val="clear" w:color="auto" w:fill="auto"/>
          </w:tcPr>
          <w:p>
            <w:pPr>
              <w:spacing w:line="560" w:lineRule="exac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tcBorders>
            <w:shd w:val="clear" w:color="auto" w:fill="auto"/>
          </w:tcPr>
          <w:p>
            <w:pPr>
              <w:spacing w:line="560" w:lineRule="exact"/>
              <w:jc w:val="center"/>
              <w:rPr>
                <w:rFonts w:ascii="宋体" w:hAnsi="宋体"/>
                <w:color w:val="000000"/>
              </w:rPr>
            </w:pPr>
            <w:r>
              <w:rPr>
                <w:rFonts w:ascii="宋体" w:hAnsi="宋体"/>
                <w:color w:val="000000"/>
              </w:rPr>
              <w:t>5.</w:t>
            </w:r>
            <w:r>
              <w:rPr>
                <w:rFonts w:hint="eastAsia" w:ascii="宋体" w:hAnsi="宋体"/>
                <w:color w:val="000000"/>
              </w:rPr>
              <w:t>3</w:t>
            </w:r>
          </w:p>
        </w:tc>
        <w:tc>
          <w:tcPr>
            <w:tcW w:w="4087" w:type="dxa"/>
            <w:gridSpan w:val="2"/>
            <w:shd w:val="clear" w:color="auto" w:fill="auto"/>
          </w:tcPr>
          <w:p>
            <w:pPr>
              <w:spacing w:line="560" w:lineRule="exact"/>
              <w:rPr>
                <w:rFonts w:ascii="宋体" w:hAnsi="宋体"/>
                <w:color w:val="000000"/>
              </w:rPr>
            </w:pPr>
            <w:r>
              <w:rPr>
                <w:rFonts w:hint="eastAsia" w:ascii="宋体" w:hAnsi="宋体" w:cs="微软雅黑"/>
                <w:color w:val="000000"/>
              </w:rPr>
              <w:t>工作进展及工作质量通报情况（4）</w:t>
            </w:r>
          </w:p>
        </w:tc>
        <w:tc>
          <w:tcPr>
            <w:tcW w:w="927" w:type="dxa"/>
            <w:shd w:val="clear" w:color="auto" w:fill="auto"/>
          </w:tcPr>
          <w:p>
            <w:pPr>
              <w:spacing w:line="560" w:lineRule="exact"/>
              <w:rPr>
                <w:rFonts w:ascii="宋体" w:hAnsi="宋体"/>
                <w:color w:val="000000"/>
              </w:rPr>
            </w:pPr>
          </w:p>
        </w:tc>
        <w:tc>
          <w:tcPr>
            <w:tcW w:w="3281" w:type="dxa"/>
            <w:shd w:val="clear" w:color="auto" w:fill="auto"/>
          </w:tcPr>
          <w:p>
            <w:pPr>
              <w:spacing w:line="560" w:lineRule="exac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tcBorders>
            <w:shd w:val="clear" w:color="auto" w:fill="auto"/>
          </w:tcPr>
          <w:p>
            <w:pPr>
              <w:spacing w:line="560" w:lineRule="exact"/>
              <w:jc w:val="center"/>
              <w:rPr>
                <w:rFonts w:ascii="宋体" w:hAnsi="宋体"/>
                <w:color w:val="000000"/>
              </w:rPr>
            </w:pPr>
            <w:r>
              <w:rPr>
                <w:rFonts w:hint="eastAsia" w:ascii="宋体" w:hAnsi="宋体"/>
                <w:color w:val="000000"/>
              </w:rPr>
              <w:t>5.4</w:t>
            </w:r>
          </w:p>
        </w:tc>
        <w:tc>
          <w:tcPr>
            <w:tcW w:w="4087" w:type="dxa"/>
            <w:gridSpan w:val="2"/>
            <w:shd w:val="clear" w:color="auto" w:fill="auto"/>
          </w:tcPr>
          <w:p>
            <w:pPr>
              <w:spacing w:line="560" w:lineRule="exact"/>
              <w:rPr>
                <w:rFonts w:ascii="宋体" w:hAnsi="宋体" w:cs="微软雅黑"/>
                <w:color w:val="000000"/>
              </w:rPr>
            </w:pPr>
            <w:r>
              <w:rPr>
                <w:rFonts w:hint="eastAsia" w:ascii="宋体" w:hAnsi="宋体" w:cs="微软雅黑"/>
                <w:color w:val="000000"/>
              </w:rPr>
              <w:t>是否及时对发现的问题进行现场处理（4）</w:t>
            </w:r>
          </w:p>
        </w:tc>
        <w:tc>
          <w:tcPr>
            <w:tcW w:w="927" w:type="dxa"/>
            <w:shd w:val="clear" w:color="auto" w:fill="auto"/>
          </w:tcPr>
          <w:p>
            <w:pPr>
              <w:spacing w:line="560" w:lineRule="exact"/>
              <w:rPr>
                <w:rFonts w:ascii="宋体" w:hAnsi="宋体"/>
                <w:color w:val="000000"/>
              </w:rPr>
            </w:pPr>
          </w:p>
        </w:tc>
        <w:tc>
          <w:tcPr>
            <w:tcW w:w="3281" w:type="dxa"/>
            <w:shd w:val="clear" w:color="auto" w:fill="auto"/>
          </w:tcPr>
          <w:p>
            <w:pPr>
              <w:spacing w:line="560" w:lineRule="exac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04" w:hRule="atLeast"/>
          <w:jc w:val="center"/>
        </w:trPr>
        <w:tc>
          <w:tcPr>
            <w:tcW w:w="9503" w:type="dxa"/>
            <w:gridSpan w:val="5"/>
            <w:shd w:val="clear" w:color="auto" w:fill="auto"/>
          </w:tcPr>
          <w:p>
            <w:pPr>
              <w:spacing w:line="560" w:lineRule="exact"/>
              <w:rPr>
                <w:rFonts w:ascii="宋体" w:hAnsi="宋体"/>
                <w:color w:val="000000"/>
              </w:rPr>
            </w:pPr>
            <w:r>
              <w:rPr>
                <w:rFonts w:hint="eastAsia" w:ascii="宋体" w:hAnsi="宋体" w:cs="微软雅黑"/>
                <w:b/>
                <w:color w:val="000000"/>
              </w:rPr>
              <w:t>分项分值：</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59" w:hRule="atLeast"/>
          <w:jc w:val="center"/>
        </w:trPr>
        <w:tc>
          <w:tcPr>
            <w:tcW w:w="1208" w:type="dxa"/>
            <w:shd w:val="clear" w:color="auto" w:fill="D9E2F3"/>
          </w:tcPr>
          <w:p>
            <w:pPr>
              <w:spacing w:line="560" w:lineRule="exact"/>
              <w:jc w:val="center"/>
              <w:rPr>
                <w:rFonts w:ascii="宋体" w:hAnsi="宋体" w:cs="微软雅黑"/>
                <w:b/>
                <w:color w:val="000000"/>
              </w:rPr>
            </w:pPr>
            <w:r>
              <w:rPr>
                <w:rFonts w:hint="eastAsia" w:ascii="宋体" w:hAnsi="宋体" w:cs="微软雅黑"/>
                <w:b/>
                <w:color w:val="000000"/>
              </w:rPr>
              <w:t>第6节</w:t>
            </w:r>
          </w:p>
        </w:tc>
        <w:tc>
          <w:tcPr>
            <w:tcW w:w="4087" w:type="dxa"/>
            <w:gridSpan w:val="2"/>
            <w:shd w:val="clear" w:color="auto" w:fill="D9E2F3"/>
          </w:tcPr>
          <w:p>
            <w:pPr>
              <w:spacing w:line="560" w:lineRule="exact"/>
              <w:jc w:val="center"/>
              <w:rPr>
                <w:rFonts w:ascii="宋体" w:hAnsi="宋体" w:cs="微软雅黑"/>
                <w:b/>
                <w:color w:val="000000"/>
              </w:rPr>
            </w:pPr>
            <w:r>
              <w:rPr>
                <w:rFonts w:hint="eastAsia" w:ascii="宋体" w:hAnsi="宋体" w:cs="微软雅黑"/>
                <w:b/>
                <w:color w:val="000000"/>
              </w:rPr>
              <w:t>资源</w:t>
            </w:r>
            <w:r>
              <w:rPr>
                <w:rFonts w:hint="eastAsia" w:ascii="宋体" w:hAnsi="宋体" w:cs="微软雅黑"/>
                <w:color w:val="000000"/>
              </w:rPr>
              <w:t>（12）</w:t>
            </w:r>
          </w:p>
        </w:tc>
        <w:tc>
          <w:tcPr>
            <w:tcW w:w="927" w:type="dxa"/>
            <w:shd w:val="clear" w:color="auto" w:fill="D9E2F3"/>
          </w:tcPr>
          <w:p>
            <w:pPr>
              <w:spacing w:line="560" w:lineRule="exact"/>
              <w:ind w:right="45"/>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560" w:lineRule="exact"/>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bottom w:val="single" w:color="auto" w:sz="4" w:space="0"/>
            </w:tcBorders>
            <w:shd w:val="clear" w:color="auto" w:fill="auto"/>
          </w:tcPr>
          <w:p>
            <w:pPr>
              <w:spacing w:line="560" w:lineRule="exact"/>
              <w:jc w:val="center"/>
              <w:rPr>
                <w:rFonts w:ascii="宋体" w:hAnsi="宋体"/>
                <w:color w:val="000000"/>
              </w:rPr>
            </w:pPr>
            <w:r>
              <w:rPr>
                <w:rFonts w:ascii="宋体" w:hAnsi="宋体"/>
                <w:color w:val="000000"/>
              </w:rPr>
              <w:t>6.1</w:t>
            </w:r>
          </w:p>
        </w:tc>
        <w:tc>
          <w:tcPr>
            <w:tcW w:w="4087" w:type="dxa"/>
            <w:gridSpan w:val="2"/>
            <w:shd w:val="clear" w:color="auto" w:fill="auto"/>
          </w:tcPr>
          <w:p>
            <w:pPr>
              <w:spacing w:line="560" w:lineRule="exact"/>
              <w:rPr>
                <w:rFonts w:ascii="宋体" w:hAnsi="宋体"/>
                <w:color w:val="000000"/>
              </w:rPr>
            </w:pPr>
            <w:r>
              <w:rPr>
                <w:rFonts w:hint="eastAsia" w:ascii="宋体" w:hAnsi="宋体" w:cs="微软雅黑"/>
                <w:color w:val="000000"/>
              </w:rPr>
              <w:t>根据投标承诺足额配备人员（4）</w:t>
            </w:r>
          </w:p>
        </w:tc>
        <w:tc>
          <w:tcPr>
            <w:tcW w:w="927" w:type="dxa"/>
            <w:shd w:val="clear" w:color="auto" w:fill="auto"/>
          </w:tcPr>
          <w:p>
            <w:pPr>
              <w:spacing w:line="560" w:lineRule="exact"/>
              <w:ind w:left="2"/>
              <w:jc w:val="center"/>
              <w:rPr>
                <w:rFonts w:ascii="宋体" w:hAnsi="宋体"/>
                <w:color w:val="000000"/>
              </w:rPr>
            </w:pPr>
          </w:p>
        </w:tc>
        <w:tc>
          <w:tcPr>
            <w:tcW w:w="3281" w:type="dxa"/>
            <w:shd w:val="clear" w:color="auto" w:fill="auto"/>
          </w:tcPr>
          <w:p>
            <w:pPr>
              <w:spacing w:line="560" w:lineRule="exac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560" w:lineRule="exact"/>
              <w:jc w:val="center"/>
              <w:rPr>
                <w:rFonts w:ascii="宋体" w:hAnsi="宋体"/>
                <w:color w:val="000000"/>
              </w:rPr>
            </w:pPr>
            <w:r>
              <w:rPr>
                <w:rFonts w:ascii="宋体" w:hAnsi="宋体"/>
                <w:color w:val="000000"/>
              </w:rPr>
              <w:t>6.2</w:t>
            </w:r>
          </w:p>
        </w:tc>
        <w:tc>
          <w:tcPr>
            <w:tcW w:w="4087" w:type="dxa"/>
            <w:gridSpan w:val="2"/>
            <w:shd w:val="clear" w:color="auto" w:fill="auto"/>
          </w:tcPr>
          <w:p>
            <w:pPr>
              <w:spacing w:line="560" w:lineRule="exact"/>
              <w:rPr>
                <w:rFonts w:ascii="宋体" w:hAnsi="宋体"/>
                <w:color w:val="000000"/>
              </w:rPr>
            </w:pPr>
            <w:r>
              <w:rPr>
                <w:rFonts w:hint="eastAsia" w:ascii="宋体" w:hAnsi="宋体" w:cs="微软雅黑"/>
                <w:color w:val="000000"/>
              </w:rPr>
              <w:t>根据投标承诺提供设备及耗材等（4）</w:t>
            </w:r>
          </w:p>
        </w:tc>
        <w:tc>
          <w:tcPr>
            <w:tcW w:w="927" w:type="dxa"/>
            <w:shd w:val="clear" w:color="auto" w:fill="auto"/>
          </w:tcPr>
          <w:p>
            <w:pPr>
              <w:spacing w:line="560" w:lineRule="exact"/>
              <w:ind w:left="2"/>
              <w:jc w:val="center"/>
              <w:rPr>
                <w:rFonts w:ascii="宋体" w:hAnsi="宋体"/>
                <w:color w:val="000000"/>
              </w:rPr>
            </w:pPr>
          </w:p>
        </w:tc>
        <w:tc>
          <w:tcPr>
            <w:tcW w:w="3281" w:type="dxa"/>
            <w:shd w:val="clear" w:color="auto" w:fill="auto"/>
          </w:tcPr>
          <w:p>
            <w:pPr>
              <w:spacing w:line="560" w:lineRule="exac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2" w:hRule="atLeast"/>
          <w:jc w:val="center"/>
        </w:trPr>
        <w:tc>
          <w:tcPr>
            <w:tcW w:w="1208" w:type="dxa"/>
            <w:tcBorders>
              <w:top w:val="single" w:color="auto" w:sz="4" w:space="0"/>
            </w:tcBorders>
            <w:shd w:val="clear" w:color="auto" w:fill="auto"/>
          </w:tcPr>
          <w:p>
            <w:pPr>
              <w:spacing w:line="560" w:lineRule="exact"/>
              <w:jc w:val="center"/>
              <w:rPr>
                <w:rFonts w:ascii="宋体" w:hAnsi="宋体"/>
                <w:color w:val="000000"/>
              </w:rPr>
            </w:pPr>
            <w:r>
              <w:rPr>
                <w:rFonts w:ascii="宋体" w:hAnsi="宋体"/>
                <w:color w:val="000000"/>
              </w:rPr>
              <w:t>6.3</w:t>
            </w:r>
          </w:p>
        </w:tc>
        <w:tc>
          <w:tcPr>
            <w:tcW w:w="4087" w:type="dxa"/>
            <w:gridSpan w:val="2"/>
            <w:shd w:val="clear" w:color="auto" w:fill="auto"/>
          </w:tcPr>
          <w:p>
            <w:pPr>
              <w:spacing w:line="560" w:lineRule="exact"/>
              <w:rPr>
                <w:rFonts w:ascii="宋体" w:hAnsi="宋体"/>
                <w:color w:val="000000"/>
              </w:rPr>
            </w:pPr>
            <w:r>
              <w:rPr>
                <w:rFonts w:hint="eastAsia" w:ascii="宋体" w:hAnsi="宋体" w:cs="微软雅黑"/>
                <w:color w:val="000000"/>
              </w:rPr>
              <w:t>耗材出入库管理和甲方托管设备维保（4）</w:t>
            </w:r>
          </w:p>
        </w:tc>
        <w:tc>
          <w:tcPr>
            <w:tcW w:w="927" w:type="dxa"/>
            <w:shd w:val="clear" w:color="auto" w:fill="auto"/>
          </w:tcPr>
          <w:p>
            <w:pPr>
              <w:spacing w:line="560" w:lineRule="exact"/>
              <w:ind w:left="2"/>
              <w:jc w:val="center"/>
              <w:rPr>
                <w:rFonts w:ascii="宋体" w:hAnsi="宋体"/>
                <w:color w:val="000000"/>
              </w:rPr>
            </w:pPr>
          </w:p>
        </w:tc>
        <w:tc>
          <w:tcPr>
            <w:tcW w:w="3281" w:type="dxa"/>
            <w:shd w:val="clear" w:color="auto" w:fill="auto"/>
          </w:tcPr>
          <w:p>
            <w:pPr>
              <w:spacing w:line="560" w:lineRule="exac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32" w:hRule="atLeast"/>
          <w:jc w:val="center"/>
        </w:trPr>
        <w:tc>
          <w:tcPr>
            <w:tcW w:w="9503" w:type="dxa"/>
            <w:gridSpan w:val="5"/>
            <w:shd w:val="clear" w:color="auto" w:fill="auto"/>
          </w:tcPr>
          <w:p>
            <w:pPr>
              <w:spacing w:line="560" w:lineRule="exact"/>
              <w:rPr>
                <w:rFonts w:ascii="宋体" w:hAnsi="宋体"/>
                <w:color w:val="000000"/>
              </w:rPr>
            </w:pPr>
            <w:r>
              <w:rPr>
                <w:rFonts w:hint="eastAsia" w:ascii="宋体" w:hAnsi="宋体" w:cs="微软雅黑"/>
                <w:b/>
                <w:color w:val="000000"/>
              </w:rPr>
              <w:t>分项分值：</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0" w:hRule="atLeast"/>
          <w:jc w:val="center"/>
        </w:trPr>
        <w:tc>
          <w:tcPr>
            <w:tcW w:w="1208" w:type="dxa"/>
            <w:shd w:val="clear" w:color="auto" w:fill="D9E2F3"/>
          </w:tcPr>
          <w:p>
            <w:pPr>
              <w:spacing w:line="560" w:lineRule="exact"/>
              <w:jc w:val="center"/>
              <w:rPr>
                <w:rFonts w:ascii="宋体" w:hAnsi="宋体" w:cs="微软雅黑"/>
                <w:b/>
                <w:color w:val="000000"/>
              </w:rPr>
            </w:pPr>
            <w:r>
              <w:rPr>
                <w:rFonts w:hint="eastAsia" w:ascii="宋体" w:hAnsi="宋体" w:cs="微软雅黑"/>
                <w:b/>
                <w:color w:val="000000"/>
              </w:rPr>
              <w:t>第7节</w:t>
            </w:r>
          </w:p>
        </w:tc>
        <w:tc>
          <w:tcPr>
            <w:tcW w:w="4087" w:type="dxa"/>
            <w:gridSpan w:val="2"/>
            <w:shd w:val="clear" w:color="auto" w:fill="D9E2F3"/>
          </w:tcPr>
          <w:p>
            <w:pPr>
              <w:spacing w:line="560" w:lineRule="exact"/>
              <w:jc w:val="center"/>
              <w:rPr>
                <w:rFonts w:ascii="宋体" w:hAnsi="宋体" w:cs="微软雅黑"/>
                <w:b/>
                <w:color w:val="000000"/>
              </w:rPr>
            </w:pPr>
            <w:r>
              <w:rPr>
                <w:rFonts w:hint="eastAsia" w:ascii="宋体" w:hAnsi="宋体" w:cs="微软雅黑"/>
                <w:b/>
                <w:color w:val="000000"/>
              </w:rPr>
              <w:t>其他</w:t>
            </w:r>
            <w:r>
              <w:rPr>
                <w:rFonts w:hint="eastAsia" w:ascii="宋体" w:hAnsi="宋体" w:cs="微软雅黑"/>
                <w:color w:val="000000"/>
              </w:rPr>
              <w:t>（6）</w:t>
            </w:r>
          </w:p>
        </w:tc>
        <w:tc>
          <w:tcPr>
            <w:tcW w:w="927" w:type="dxa"/>
            <w:shd w:val="clear" w:color="auto" w:fill="D9E2F3"/>
          </w:tcPr>
          <w:p>
            <w:pPr>
              <w:spacing w:line="560" w:lineRule="exact"/>
              <w:ind w:right="45"/>
              <w:jc w:val="center"/>
              <w:rPr>
                <w:rFonts w:ascii="宋体" w:hAnsi="宋体" w:cs="微软雅黑"/>
                <w:b/>
                <w:color w:val="000000"/>
              </w:rPr>
            </w:pPr>
            <w:r>
              <w:rPr>
                <w:rFonts w:hint="eastAsia" w:ascii="宋体" w:hAnsi="宋体" w:cs="微软雅黑"/>
                <w:b/>
                <w:color w:val="000000"/>
              </w:rPr>
              <w:t>加减分</w:t>
            </w:r>
          </w:p>
        </w:tc>
        <w:tc>
          <w:tcPr>
            <w:tcW w:w="3281" w:type="dxa"/>
            <w:shd w:val="clear" w:color="auto" w:fill="D9E2F3"/>
          </w:tcPr>
          <w:p>
            <w:pPr>
              <w:spacing w:line="560" w:lineRule="exact"/>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3" w:hRule="atLeast"/>
          <w:jc w:val="center"/>
        </w:trPr>
        <w:tc>
          <w:tcPr>
            <w:tcW w:w="1208" w:type="dxa"/>
            <w:tcBorders>
              <w:bottom w:val="single" w:color="auto" w:sz="4" w:space="0"/>
            </w:tcBorders>
            <w:shd w:val="clear" w:color="auto" w:fill="auto"/>
          </w:tcPr>
          <w:p>
            <w:pPr>
              <w:spacing w:line="560" w:lineRule="exact"/>
              <w:jc w:val="center"/>
              <w:rPr>
                <w:rFonts w:ascii="宋体" w:hAnsi="宋体"/>
                <w:color w:val="000000"/>
              </w:rPr>
            </w:pPr>
            <w:r>
              <w:rPr>
                <w:rFonts w:ascii="宋体" w:hAnsi="宋体"/>
                <w:color w:val="000000"/>
              </w:rPr>
              <w:t>7.1</w:t>
            </w:r>
          </w:p>
        </w:tc>
        <w:tc>
          <w:tcPr>
            <w:tcW w:w="4087" w:type="dxa"/>
            <w:gridSpan w:val="2"/>
            <w:shd w:val="clear" w:color="auto" w:fill="auto"/>
          </w:tcPr>
          <w:p>
            <w:pPr>
              <w:spacing w:line="560" w:lineRule="exact"/>
              <w:rPr>
                <w:rFonts w:ascii="宋体" w:hAnsi="宋体"/>
                <w:color w:val="000000"/>
              </w:rPr>
            </w:pPr>
            <w:r>
              <w:rPr>
                <w:rFonts w:hint="eastAsia" w:ascii="宋体" w:hAnsi="宋体"/>
                <w:color w:val="000000"/>
              </w:rPr>
              <w:t>用户满意度</w:t>
            </w:r>
            <w:r>
              <w:rPr>
                <w:rFonts w:hint="eastAsia" w:ascii="宋体" w:hAnsi="宋体" w:cs="微软雅黑"/>
                <w:color w:val="000000"/>
              </w:rPr>
              <w:t>（6）</w:t>
            </w:r>
          </w:p>
        </w:tc>
        <w:tc>
          <w:tcPr>
            <w:tcW w:w="927" w:type="dxa"/>
            <w:shd w:val="clear" w:color="auto" w:fill="auto"/>
          </w:tcPr>
          <w:p>
            <w:pPr>
              <w:spacing w:line="560" w:lineRule="exact"/>
              <w:ind w:left="2"/>
              <w:jc w:val="center"/>
              <w:rPr>
                <w:rFonts w:ascii="宋体" w:hAnsi="宋体"/>
                <w:color w:val="000000"/>
              </w:rPr>
            </w:pPr>
          </w:p>
        </w:tc>
        <w:tc>
          <w:tcPr>
            <w:tcW w:w="3281" w:type="dxa"/>
            <w:shd w:val="clear" w:color="auto" w:fill="auto"/>
          </w:tcPr>
          <w:p>
            <w:pPr>
              <w:spacing w:line="560" w:lineRule="exac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95" w:hRule="atLeast"/>
          <w:jc w:val="center"/>
        </w:trPr>
        <w:tc>
          <w:tcPr>
            <w:tcW w:w="1208" w:type="dxa"/>
            <w:shd w:val="clear" w:color="auto" w:fill="DEEAF6"/>
          </w:tcPr>
          <w:p>
            <w:pPr>
              <w:spacing w:line="560" w:lineRule="exact"/>
              <w:jc w:val="center"/>
              <w:rPr>
                <w:rFonts w:ascii="宋体" w:hAnsi="宋体" w:cs="微软雅黑"/>
                <w:b/>
                <w:color w:val="000000"/>
              </w:rPr>
            </w:pPr>
            <w:r>
              <w:rPr>
                <w:rFonts w:hint="eastAsia" w:ascii="宋体" w:hAnsi="宋体" w:cs="微软雅黑"/>
                <w:b/>
                <w:color w:val="000000"/>
              </w:rPr>
              <w:t>第8节</w:t>
            </w:r>
          </w:p>
        </w:tc>
        <w:tc>
          <w:tcPr>
            <w:tcW w:w="4087" w:type="dxa"/>
            <w:gridSpan w:val="2"/>
            <w:shd w:val="clear" w:color="auto" w:fill="DEEAF6"/>
          </w:tcPr>
          <w:p>
            <w:pPr>
              <w:spacing w:line="560" w:lineRule="exact"/>
              <w:jc w:val="center"/>
              <w:rPr>
                <w:rFonts w:ascii="宋体" w:hAnsi="宋体" w:cs="微软雅黑"/>
                <w:b/>
                <w:color w:val="000000"/>
              </w:rPr>
            </w:pPr>
            <w:r>
              <w:rPr>
                <w:rFonts w:hint="eastAsia" w:ascii="宋体" w:hAnsi="宋体" w:cs="微软雅黑"/>
                <w:b/>
                <w:color w:val="000000"/>
              </w:rPr>
              <w:t>加分项</w:t>
            </w:r>
            <w:r>
              <w:rPr>
                <w:rFonts w:hint="eastAsia" w:ascii="宋体" w:hAnsi="宋体" w:cs="微软雅黑"/>
                <w:color w:val="000000"/>
              </w:rPr>
              <w:t>（10）</w:t>
            </w:r>
          </w:p>
        </w:tc>
        <w:tc>
          <w:tcPr>
            <w:tcW w:w="927" w:type="dxa"/>
            <w:shd w:val="clear" w:color="auto" w:fill="DEEAF6"/>
          </w:tcPr>
          <w:p>
            <w:pPr>
              <w:spacing w:line="560" w:lineRule="exact"/>
              <w:jc w:val="center"/>
              <w:rPr>
                <w:rFonts w:ascii="宋体" w:hAnsi="宋体" w:cs="微软雅黑"/>
                <w:b/>
                <w:color w:val="000000"/>
              </w:rPr>
            </w:pPr>
            <w:r>
              <w:rPr>
                <w:rFonts w:hint="eastAsia" w:ascii="宋体" w:hAnsi="宋体" w:cs="微软雅黑"/>
                <w:b/>
                <w:color w:val="000000"/>
              </w:rPr>
              <w:t>分值</w:t>
            </w:r>
          </w:p>
        </w:tc>
        <w:tc>
          <w:tcPr>
            <w:tcW w:w="3281" w:type="dxa"/>
            <w:shd w:val="clear" w:color="auto" w:fill="DEEAF6"/>
          </w:tcPr>
          <w:p>
            <w:pPr>
              <w:spacing w:line="560" w:lineRule="exact"/>
              <w:ind w:right="3"/>
              <w:jc w:val="center"/>
              <w:rPr>
                <w:rFonts w:ascii="宋体" w:hAnsi="宋体" w:cs="微软雅黑"/>
                <w:b/>
                <w:color w:val="000000"/>
              </w:rPr>
            </w:pPr>
            <w:r>
              <w:rPr>
                <w:rFonts w:hint="eastAsia" w:ascii="宋体" w:hAnsi="宋体" w:cs="微软雅黑"/>
                <w:b/>
                <w:color w:val="000000"/>
              </w:rPr>
              <w:t>加分原因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57" w:hRule="atLeast"/>
          <w:jc w:val="center"/>
        </w:trPr>
        <w:tc>
          <w:tcPr>
            <w:tcW w:w="1208" w:type="dxa"/>
            <w:tcBorders>
              <w:bottom w:val="single" w:color="auto" w:sz="4" w:space="0"/>
            </w:tcBorders>
            <w:shd w:val="clear" w:color="auto" w:fill="auto"/>
          </w:tcPr>
          <w:p>
            <w:pPr>
              <w:spacing w:line="560" w:lineRule="exact"/>
              <w:jc w:val="center"/>
              <w:rPr>
                <w:rFonts w:ascii="宋体" w:hAnsi="宋体"/>
                <w:color w:val="000000"/>
              </w:rPr>
            </w:pPr>
            <w:r>
              <w:rPr>
                <w:rFonts w:hint="eastAsia" w:ascii="宋体" w:hAnsi="宋体"/>
                <w:color w:val="000000"/>
              </w:rPr>
              <w:t>8.1</w:t>
            </w:r>
          </w:p>
        </w:tc>
        <w:tc>
          <w:tcPr>
            <w:tcW w:w="4087" w:type="dxa"/>
            <w:gridSpan w:val="2"/>
            <w:tcBorders>
              <w:bottom w:val="single" w:color="auto" w:sz="4" w:space="0"/>
            </w:tcBorders>
            <w:shd w:val="clear" w:color="auto" w:fill="auto"/>
          </w:tcPr>
          <w:p>
            <w:pPr>
              <w:spacing w:line="560" w:lineRule="exact"/>
              <w:rPr>
                <w:rFonts w:ascii="宋体" w:hAnsi="宋体"/>
                <w:color w:val="000000"/>
              </w:rPr>
            </w:pPr>
            <w:r>
              <w:rPr>
                <w:rFonts w:hint="eastAsia" w:ascii="宋体" w:hAnsi="宋体"/>
                <w:color w:val="000000"/>
              </w:rPr>
              <w:t>好人好事及表扬</w:t>
            </w:r>
            <w:r>
              <w:rPr>
                <w:rFonts w:hint="eastAsia" w:ascii="宋体" w:hAnsi="宋体" w:cs="微软雅黑"/>
                <w:color w:val="000000"/>
              </w:rPr>
              <w:t>（4）</w:t>
            </w:r>
          </w:p>
        </w:tc>
        <w:tc>
          <w:tcPr>
            <w:tcW w:w="927" w:type="dxa"/>
            <w:shd w:val="clear" w:color="auto" w:fill="auto"/>
          </w:tcPr>
          <w:p>
            <w:pPr>
              <w:spacing w:line="560" w:lineRule="exact"/>
              <w:rPr>
                <w:rFonts w:ascii="宋体" w:hAnsi="宋体"/>
                <w:color w:val="000000"/>
              </w:rPr>
            </w:pPr>
          </w:p>
        </w:tc>
        <w:tc>
          <w:tcPr>
            <w:tcW w:w="3281" w:type="dxa"/>
            <w:shd w:val="clear" w:color="auto" w:fill="auto"/>
          </w:tcPr>
          <w:p>
            <w:pPr>
              <w:spacing w:line="560" w:lineRule="exact"/>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62" w:hRule="atLeast"/>
          <w:jc w:val="center"/>
        </w:trPr>
        <w:tc>
          <w:tcPr>
            <w:tcW w:w="1208" w:type="dxa"/>
            <w:tcBorders>
              <w:top w:val="single" w:color="auto" w:sz="4" w:space="0"/>
              <w:bottom w:val="single" w:color="auto" w:sz="4" w:space="0"/>
            </w:tcBorders>
            <w:shd w:val="clear" w:color="auto" w:fill="auto"/>
          </w:tcPr>
          <w:p>
            <w:pPr>
              <w:spacing w:line="560" w:lineRule="exact"/>
              <w:jc w:val="center"/>
              <w:rPr>
                <w:rFonts w:ascii="宋体" w:hAnsi="宋体"/>
                <w:color w:val="000000"/>
              </w:rPr>
            </w:pPr>
            <w:r>
              <w:rPr>
                <w:rFonts w:hint="eastAsia" w:ascii="宋体" w:hAnsi="宋体"/>
                <w:color w:val="000000"/>
              </w:rPr>
              <w:t>8.2</w:t>
            </w:r>
          </w:p>
        </w:tc>
        <w:tc>
          <w:tcPr>
            <w:tcW w:w="4087" w:type="dxa"/>
            <w:gridSpan w:val="2"/>
            <w:tcBorders>
              <w:top w:val="single" w:color="auto" w:sz="4" w:space="0"/>
            </w:tcBorders>
            <w:shd w:val="clear" w:color="auto" w:fill="auto"/>
          </w:tcPr>
          <w:p>
            <w:pPr>
              <w:spacing w:line="560" w:lineRule="exact"/>
              <w:rPr>
                <w:rFonts w:ascii="宋体" w:hAnsi="宋体"/>
                <w:color w:val="000000"/>
              </w:rPr>
            </w:pPr>
            <w:r>
              <w:rPr>
                <w:rFonts w:hint="eastAsia" w:ascii="宋体" w:hAnsi="宋体"/>
                <w:color w:val="000000"/>
              </w:rPr>
              <w:t>超额完成或提前发现整改的任务</w:t>
            </w:r>
            <w:r>
              <w:rPr>
                <w:rFonts w:hint="eastAsia" w:ascii="宋体" w:hAnsi="宋体" w:cs="微软雅黑"/>
                <w:color w:val="000000"/>
              </w:rPr>
              <w:t>（2）</w:t>
            </w:r>
          </w:p>
        </w:tc>
        <w:tc>
          <w:tcPr>
            <w:tcW w:w="927" w:type="dxa"/>
            <w:shd w:val="clear" w:color="auto" w:fill="auto"/>
          </w:tcPr>
          <w:p>
            <w:pPr>
              <w:spacing w:line="560" w:lineRule="exact"/>
              <w:rPr>
                <w:rFonts w:ascii="宋体" w:hAnsi="宋体"/>
                <w:color w:val="000000"/>
              </w:rPr>
            </w:pPr>
          </w:p>
        </w:tc>
        <w:tc>
          <w:tcPr>
            <w:tcW w:w="3281" w:type="dxa"/>
            <w:shd w:val="clear" w:color="auto" w:fill="auto"/>
          </w:tcPr>
          <w:p>
            <w:pPr>
              <w:spacing w:line="560" w:lineRule="exact"/>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28" w:hRule="atLeast"/>
          <w:jc w:val="center"/>
        </w:trPr>
        <w:tc>
          <w:tcPr>
            <w:tcW w:w="1208" w:type="dxa"/>
            <w:tcBorders>
              <w:top w:val="single" w:color="auto" w:sz="4" w:space="0"/>
            </w:tcBorders>
            <w:shd w:val="clear" w:color="auto" w:fill="auto"/>
          </w:tcPr>
          <w:p>
            <w:pPr>
              <w:spacing w:line="560" w:lineRule="exact"/>
              <w:jc w:val="center"/>
              <w:rPr>
                <w:rFonts w:ascii="宋体" w:hAnsi="宋体"/>
                <w:color w:val="000000"/>
              </w:rPr>
            </w:pPr>
            <w:r>
              <w:rPr>
                <w:rFonts w:hint="eastAsia" w:ascii="宋体" w:hAnsi="宋体"/>
                <w:color w:val="000000"/>
              </w:rPr>
              <w:t>8.3</w:t>
            </w:r>
          </w:p>
        </w:tc>
        <w:tc>
          <w:tcPr>
            <w:tcW w:w="4087" w:type="dxa"/>
            <w:gridSpan w:val="2"/>
            <w:shd w:val="clear" w:color="auto" w:fill="auto"/>
          </w:tcPr>
          <w:p>
            <w:pPr>
              <w:spacing w:line="560" w:lineRule="exact"/>
              <w:rPr>
                <w:rFonts w:ascii="宋体" w:hAnsi="宋体"/>
                <w:color w:val="000000"/>
              </w:rPr>
            </w:pPr>
            <w:r>
              <w:rPr>
                <w:rFonts w:hint="eastAsia" w:ascii="宋体" w:hAnsi="宋体"/>
                <w:color w:val="000000"/>
              </w:rPr>
              <w:t>可行性建议及发现的隐患</w:t>
            </w:r>
            <w:r>
              <w:rPr>
                <w:rFonts w:hint="eastAsia" w:ascii="宋体" w:hAnsi="宋体" w:cs="微软雅黑"/>
                <w:color w:val="000000"/>
              </w:rPr>
              <w:t>（4）</w:t>
            </w:r>
          </w:p>
        </w:tc>
        <w:tc>
          <w:tcPr>
            <w:tcW w:w="927" w:type="dxa"/>
            <w:shd w:val="clear" w:color="auto" w:fill="auto"/>
          </w:tcPr>
          <w:p>
            <w:pPr>
              <w:spacing w:line="560" w:lineRule="exact"/>
              <w:rPr>
                <w:rFonts w:ascii="宋体" w:hAnsi="宋体"/>
                <w:color w:val="000000"/>
              </w:rPr>
            </w:pPr>
          </w:p>
        </w:tc>
        <w:tc>
          <w:tcPr>
            <w:tcW w:w="3281" w:type="dxa"/>
            <w:shd w:val="clear" w:color="auto" w:fill="auto"/>
          </w:tcPr>
          <w:p>
            <w:pPr>
              <w:spacing w:line="560" w:lineRule="exact"/>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63" w:hRule="atLeast"/>
          <w:jc w:val="center"/>
        </w:trPr>
        <w:tc>
          <w:tcPr>
            <w:tcW w:w="9503" w:type="dxa"/>
            <w:gridSpan w:val="5"/>
            <w:shd w:val="clear" w:color="auto" w:fill="auto"/>
          </w:tcPr>
          <w:p>
            <w:pPr>
              <w:spacing w:line="560" w:lineRule="exact"/>
              <w:rPr>
                <w:rFonts w:ascii="宋体" w:hAnsi="宋体"/>
                <w:color w:val="000000"/>
              </w:rPr>
            </w:pPr>
            <w:r>
              <w:rPr>
                <w:rFonts w:hint="eastAsia" w:ascii="宋体" w:hAnsi="宋体" w:cs="微软雅黑"/>
                <w:b/>
                <w:color w:val="000000"/>
              </w:rPr>
              <w:t>分项分值：</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63" w:hRule="atLeast"/>
          <w:jc w:val="center"/>
        </w:trPr>
        <w:tc>
          <w:tcPr>
            <w:tcW w:w="9503" w:type="dxa"/>
            <w:gridSpan w:val="5"/>
            <w:shd w:val="clear" w:color="auto" w:fill="auto"/>
          </w:tcPr>
          <w:p>
            <w:pPr>
              <w:spacing w:line="560" w:lineRule="exact"/>
              <w:rPr>
                <w:rFonts w:ascii="宋体" w:hAnsi="宋体" w:cs="微软雅黑"/>
                <w:b/>
                <w:color w:val="000000"/>
              </w:rPr>
            </w:pPr>
            <w:r>
              <w:rPr>
                <w:rFonts w:hint="eastAsia" w:ascii="宋体" w:hAnsi="宋体" w:cs="微软雅黑"/>
                <w:b/>
                <w:color w:val="000000"/>
              </w:rPr>
              <w:t>加分分值：</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9" w:hRule="atLeast"/>
          <w:jc w:val="center"/>
        </w:trPr>
        <w:tc>
          <w:tcPr>
            <w:tcW w:w="9503" w:type="dxa"/>
            <w:gridSpan w:val="5"/>
            <w:shd w:val="clear" w:color="auto" w:fill="auto"/>
          </w:tcPr>
          <w:p>
            <w:pPr>
              <w:spacing w:line="560" w:lineRule="exact"/>
              <w:rPr>
                <w:rFonts w:ascii="宋体" w:hAnsi="宋体" w:cs="微软雅黑"/>
                <w:b/>
                <w:color w:val="000000"/>
              </w:rPr>
            </w:pPr>
            <w:r>
              <w:rPr>
                <w:rFonts w:hint="eastAsia" w:ascii="宋体" w:hAnsi="宋体" w:cs="微软雅黑"/>
                <w:b/>
                <w:color w:val="000000"/>
              </w:rPr>
              <w:t>最终分值：</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769" w:hRule="atLeast"/>
          <w:jc w:val="center"/>
        </w:trPr>
        <w:tc>
          <w:tcPr>
            <w:tcW w:w="9503" w:type="dxa"/>
            <w:gridSpan w:val="5"/>
            <w:shd w:val="clear" w:color="auto" w:fill="auto"/>
          </w:tcPr>
          <w:p>
            <w:pPr>
              <w:spacing w:line="560" w:lineRule="exact"/>
              <w:rPr>
                <w:rFonts w:ascii="宋体" w:hAnsi="宋体" w:cs="微软雅黑"/>
                <w:b/>
                <w:color w:val="000000"/>
              </w:rPr>
            </w:pPr>
            <w:r>
              <w:rPr>
                <w:rFonts w:hint="eastAsia" w:ascii="宋体" w:hAnsi="宋体" w:cs="微软雅黑"/>
                <w:b/>
                <w:color w:val="000000"/>
              </w:rPr>
              <w:t>具体检查情况描述：</w:t>
            </w:r>
          </w:p>
          <w:p>
            <w:pPr>
              <w:spacing w:line="560" w:lineRule="exact"/>
              <w:ind w:right="765"/>
              <w:rPr>
                <w:rFonts w:ascii="宋体" w:hAnsi="宋体" w:cs="微软雅黑"/>
                <w:b/>
                <w:color w:val="000000"/>
              </w:rPr>
            </w:pPr>
          </w:p>
          <w:p>
            <w:pPr>
              <w:spacing w:line="560" w:lineRule="exact"/>
              <w:ind w:right="765"/>
              <w:rPr>
                <w:rFonts w:ascii="宋体" w:hAnsi="宋体" w:cs="微软雅黑"/>
                <w:b/>
                <w:color w:val="000000"/>
              </w:rPr>
            </w:pPr>
          </w:p>
          <w:p>
            <w:pPr>
              <w:spacing w:line="560" w:lineRule="exact"/>
              <w:ind w:right="765"/>
              <w:rPr>
                <w:rFonts w:ascii="宋体" w:hAnsi="宋体" w:cs="微软雅黑"/>
                <w:b/>
                <w:color w:val="000000"/>
              </w:rPr>
            </w:pPr>
          </w:p>
          <w:p>
            <w:pPr>
              <w:spacing w:line="560" w:lineRule="exact"/>
              <w:ind w:right="765"/>
              <w:rPr>
                <w:rFonts w:ascii="宋体" w:hAnsi="宋体" w:cs="微软雅黑"/>
                <w:b/>
                <w:color w:val="000000"/>
              </w:rPr>
            </w:pPr>
          </w:p>
          <w:p>
            <w:pPr>
              <w:spacing w:line="560" w:lineRule="exact"/>
              <w:ind w:right="765"/>
              <w:rPr>
                <w:rFonts w:ascii="宋体" w:hAnsi="宋体" w:cs="微软雅黑"/>
                <w:b/>
                <w:color w:val="000000"/>
              </w:rPr>
            </w:pPr>
          </w:p>
          <w:p>
            <w:pPr>
              <w:spacing w:line="560" w:lineRule="exact"/>
              <w:ind w:right="765"/>
              <w:rPr>
                <w:rFonts w:ascii="宋体" w:hAnsi="宋体" w:cs="微软雅黑"/>
                <w:b/>
                <w:color w:val="000000"/>
              </w:rPr>
            </w:pPr>
          </w:p>
          <w:p>
            <w:pPr>
              <w:spacing w:line="560" w:lineRule="exact"/>
              <w:ind w:right="765"/>
              <w:rPr>
                <w:rFonts w:ascii="宋体" w:hAnsi="宋体" w:cs="微软雅黑"/>
                <w:b/>
                <w:color w:val="000000"/>
              </w:rPr>
            </w:pPr>
          </w:p>
          <w:p>
            <w:pPr>
              <w:spacing w:line="560" w:lineRule="exact"/>
              <w:ind w:right="765"/>
              <w:rPr>
                <w:rFonts w:ascii="宋体" w:hAnsi="宋体" w:cs="微软雅黑"/>
                <w:b/>
                <w:color w:val="000000"/>
              </w:rPr>
            </w:pPr>
          </w:p>
          <w:p>
            <w:pPr>
              <w:spacing w:line="560" w:lineRule="exact"/>
              <w:ind w:right="765"/>
              <w:rPr>
                <w:rFonts w:ascii="宋体" w:hAnsi="宋体" w:cs="微软雅黑"/>
                <w:b/>
                <w:color w:val="000000"/>
              </w:rPr>
            </w:pPr>
          </w:p>
          <w:p>
            <w:pPr>
              <w:spacing w:line="560" w:lineRule="exact"/>
              <w:ind w:right="765"/>
              <w:rPr>
                <w:rFonts w:ascii="宋体" w:hAnsi="宋体" w:cs="微软雅黑"/>
                <w:b/>
                <w:color w:val="000000"/>
              </w:rPr>
            </w:pPr>
          </w:p>
          <w:p>
            <w:pPr>
              <w:spacing w:line="560" w:lineRule="exact"/>
              <w:ind w:right="765"/>
              <w:rPr>
                <w:rFonts w:ascii="宋体" w:hAnsi="宋体" w:cs="微软雅黑"/>
                <w:b/>
                <w:color w:val="000000"/>
              </w:rPr>
            </w:pPr>
          </w:p>
          <w:p>
            <w:pPr>
              <w:spacing w:line="560" w:lineRule="exact"/>
              <w:ind w:right="765"/>
              <w:rPr>
                <w:rFonts w:ascii="宋体" w:hAnsi="宋体" w:cs="微软雅黑"/>
                <w:b/>
                <w:color w:val="000000"/>
              </w:rPr>
            </w:pPr>
            <w:r>
              <w:rPr>
                <w:rFonts w:hint="eastAsia" w:ascii="宋体" w:hAnsi="宋体" w:cs="微软雅黑"/>
                <w:b/>
                <w:color w:val="000000"/>
              </w:rPr>
              <w:t>乙方负责人签字：                                          监管人员签字：</w:t>
            </w:r>
          </w:p>
          <w:p>
            <w:pPr>
              <w:spacing w:line="560" w:lineRule="exact"/>
              <w:ind w:right="765"/>
              <w:rPr>
                <w:rFonts w:ascii="宋体" w:hAnsi="宋体" w:cs="微软雅黑"/>
                <w:b/>
                <w:color w:val="000000"/>
              </w:rPr>
            </w:pPr>
            <w:r>
              <w:rPr>
                <w:rFonts w:hint="eastAsia" w:ascii="宋体" w:hAnsi="宋体" w:cs="微软雅黑"/>
                <w:b/>
                <w:color w:val="000000"/>
              </w:rPr>
              <w:t>三级领导签字：</w:t>
            </w:r>
          </w:p>
        </w:tc>
      </w:tr>
    </w:tbl>
    <w:p>
      <w:pPr>
        <w:spacing w:line="560" w:lineRule="exact"/>
        <w:rPr>
          <w:rFonts w:ascii="宋体" w:hAnsi="宋体" w:cs="微软雅黑"/>
          <w:color w:val="000000"/>
        </w:rPr>
      </w:pPr>
      <w:r>
        <w:rPr>
          <w:rFonts w:hint="eastAsia" w:ascii="宋体" w:hAnsi="宋体" w:cs="微软雅黑"/>
          <w:color w:val="000000"/>
        </w:rPr>
        <w:t>备注：本表适用于劳务类项目，默认满分100分。最低满额付款得分为</w:t>
      </w:r>
      <w:r>
        <w:rPr>
          <w:rFonts w:hint="eastAsia" w:ascii="宋体" w:hAnsi="宋体" w:cs="微软雅黑"/>
          <w:color w:val="000000"/>
          <w:u w:val="single"/>
        </w:rPr>
        <w:t>95</w:t>
      </w:r>
      <w:r>
        <w:rPr>
          <w:rFonts w:hint="eastAsia" w:ascii="宋体" w:hAnsi="宋体" w:cs="微软雅黑"/>
          <w:color w:val="000000"/>
        </w:rPr>
        <w:t>。</w:t>
      </w:r>
    </w:p>
    <w:p>
      <w:pPr>
        <w:pStyle w:val="155"/>
        <w:spacing w:line="560" w:lineRule="exact"/>
        <w:ind w:left="420" w:right="765" w:firstLine="0" w:firstLineChars="0"/>
        <w:jc w:val="center"/>
        <w:rPr>
          <w:rFonts w:ascii="微软雅黑" w:hAnsi="微软雅黑" w:eastAsia="微软雅黑"/>
          <w:b/>
          <w:sz w:val="36"/>
          <w:szCs w:val="36"/>
        </w:rPr>
      </w:pPr>
      <w:r>
        <w:rPr>
          <w:rFonts w:ascii="Adobe 楷体 Std R" w:hAnsi="Adobe 楷体 Std R" w:eastAsia="Adobe 楷体 Std R"/>
          <w:szCs w:val="32"/>
        </w:rPr>
        <w:br w:type="page"/>
      </w:r>
      <w:r>
        <w:rPr>
          <w:rFonts w:hint="eastAsia" w:ascii="微软雅黑" w:hAnsi="微软雅黑"/>
          <w:b/>
          <w:sz w:val="36"/>
          <w:szCs w:val="36"/>
        </w:rPr>
        <w:t>飞行区标志线维护项目考核标准</w:t>
      </w:r>
    </w:p>
    <w:tbl>
      <w:tblPr>
        <w:tblStyle w:val="58"/>
        <w:tblW w:w="9061"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3249"/>
        <w:gridCol w:w="5812"/>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249" w:type="dxa"/>
            <w:shd w:val="clear" w:color="auto" w:fill="B4C6E7"/>
          </w:tcPr>
          <w:p>
            <w:pPr>
              <w:spacing w:line="560" w:lineRule="exact"/>
              <w:rPr>
                <w:rFonts w:ascii="宋体" w:hAnsi="宋体"/>
                <w:b/>
                <w:color w:val="000000"/>
              </w:rPr>
            </w:pPr>
            <w:r>
              <w:rPr>
                <w:rFonts w:hint="eastAsia" w:ascii="宋体" w:hAnsi="宋体"/>
                <w:b/>
                <w:color w:val="000000"/>
              </w:rPr>
              <w:t>考核内容</w:t>
            </w:r>
          </w:p>
        </w:tc>
        <w:tc>
          <w:tcPr>
            <w:tcW w:w="5812" w:type="dxa"/>
            <w:shd w:val="clear" w:color="auto" w:fill="B4C6E7"/>
          </w:tcPr>
          <w:p>
            <w:pPr>
              <w:spacing w:line="560" w:lineRule="exact"/>
              <w:ind w:right="45"/>
              <w:rPr>
                <w:rFonts w:ascii="宋体" w:hAnsi="宋体" w:cs="微软雅黑"/>
                <w:b/>
                <w:color w:val="000000"/>
              </w:rPr>
            </w:pPr>
            <w:r>
              <w:rPr>
                <w:rFonts w:hint="eastAsia" w:ascii="宋体" w:hAnsi="宋体" w:cs="微软雅黑"/>
                <w:b/>
                <w:color w:val="000000"/>
              </w:rPr>
              <w:t>扣分标准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249" w:type="dxa"/>
            <w:shd w:val="clear" w:color="auto" w:fill="D9E2F3"/>
          </w:tcPr>
          <w:p>
            <w:pPr>
              <w:spacing w:line="560" w:lineRule="exact"/>
              <w:ind w:right="30"/>
              <w:rPr>
                <w:rFonts w:ascii="宋体" w:hAnsi="宋体" w:cs="微软雅黑"/>
                <w:b/>
                <w:color w:val="000000"/>
              </w:rPr>
            </w:pPr>
            <w:r>
              <w:rPr>
                <w:rFonts w:hint="eastAsia" w:ascii="宋体" w:hAnsi="宋体" w:cs="微软雅黑"/>
                <w:b/>
                <w:color w:val="000000"/>
              </w:rPr>
              <w:t>否定指标</w:t>
            </w:r>
          </w:p>
        </w:tc>
        <w:tc>
          <w:tcPr>
            <w:tcW w:w="5812" w:type="dxa"/>
            <w:vMerge w:val="restart"/>
            <w:shd w:val="clear" w:color="auto" w:fill="auto"/>
          </w:tcPr>
          <w:p>
            <w:pPr>
              <w:spacing w:line="560" w:lineRule="exact"/>
              <w:rPr>
                <w:rFonts w:ascii="宋体" w:hAnsi="宋体"/>
                <w:color w:val="000000"/>
              </w:rPr>
            </w:pPr>
            <w:r>
              <w:rPr>
                <w:rFonts w:hint="eastAsia" w:ascii="宋体" w:hAnsi="宋体"/>
                <w:color w:val="000000"/>
              </w:rPr>
              <w:t>发生因乙方原因造成的破坏航空器和劫机、炸机等空防安全事故或发生重大消防事故，造成人员死亡、重伤或财产损失大于10万元。发生因维护保养原因造成的系统不正常事件，产生国际国内恶劣影响及触犯国家和地方制定的各种法律、法规。</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560" w:lineRule="exact"/>
              <w:rPr>
                <w:rFonts w:ascii="宋体" w:hAnsi="宋体"/>
                <w:color w:val="000000"/>
              </w:rPr>
            </w:pPr>
            <w:r>
              <w:rPr>
                <w:rFonts w:hint="eastAsia" w:ascii="宋体" w:hAnsi="宋体"/>
                <w:color w:val="000000"/>
              </w:rPr>
              <w:t>恐怖事件</w:t>
            </w:r>
          </w:p>
        </w:tc>
        <w:tc>
          <w:tcPr>
            <w:tcW w:w="5812" w:type="dxa"/>
            <w:vMerge w:val="continue"/>
            <w:shd w:val="clear" w:color="auto" w:fill="auto"/>
          </w:tcPr>
          <w:p>
            <w:pPr>
              <w:spacing w:line="560" w:lineRule="exac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560" w:lineRule="exact"/>
              <w:rPr>
                <w:rFonts w:ascii="宋体" w:hAnsi="宋体"/>
                <w:color w:val="000000"/>
              </w:rPr>
            </w:pPr>
            <w:r>
              <w:rPr>
                <w:rFonts w:hint="eastAsia" w:ascii="宋体" w:hAnsi="宋体"/>
                <w:color w:val="000000"/>
              </w:rPr>
              <w:t>特大事故、损失</w:t>
            </w:r>
          </w:p>
        </w:tc>
        <w:tc>
          <w:tcPr>
            <w:tcW w:w="5812" w:type="dxa"/>
            <w:vMerge w:val="continue"/>
            <w:shd w:val="clear" w:color="auto" w:fill="auto"/>
          </w:tcPr>
          <w:p>
            <w:pPr>
              <w:spacing w:line="560" w:lineRule="exac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shd w:val="clear" w:color="auto" w:fill="auto"/>
          </w:tcPr>
          <w:p>
            <w:pPr>
              <w:spacing w:line="560" w:lineRule="exact"/>
              <w:rPr>
                <w:rFonts w:ascii="宋体" w:hAnsi="宋体"/>
                <w:color w:val="000000"/>
              </w:rPr>
            </w:pPr>
            <w:r>
              <w:rPr>
                <w:rFonts w:hint="eastAsia" w:ascii="宋体" w:hAnsi="宋体"/>
                <w:color w:val="000000"/>
              </w:rPr>
              <w:t>恶劣事件</w:t>
            </w:r>
          </w:p>
        </w:tc>
        <w:tc>
          <w:tcPr>
            <w:tcW w:w="5812" w:type="dxa"/>
            <w:vMerge w:val="continue"/>
            <w:shd w:val="clear" w:color="auto" w:fill="auto"/>
          </w:tcPr>
          <w:p>
            <w:pPr>
              <w:spacing w:line="560" w:lineRule="exac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shd w:val="clear" w:color="auto" w:fill="auto"/>
          </w:tcPr>
          <w:p>
            <w:pPr>
              <w:spacing w:line="560" w:lineRule="exact"/>
              <w:rPr>
                <w:rFonts w:ascii="宋体" w:hAnsi="宋体"/>
                <w:color w:val="000000"/>
              </w:rPr>
            </w:pPr>
            <w:r>
              <w:rPr>
                <w:rFonts w:hint="eastAsia" w:ascii="宋体" w:hAnsi="宋体"/>
                <w:color w:val="000000"/>
              </w:rPr>
              <w:t>遵纪守法</w:t>
            </w:r>
          </w:p>
        </w:tc>
        <w:tc>
          <w:tcPr>
            <w:tcW w:w="5812" w:type="dxa"/>
            <w:vMerge w:val="continue"/>
            <w:shd w:val="clear" w:color="auto" w:fill="auto"/>
          </w:tcPr>
          <w:p>
            <w:pPr>
              <w:spacing w:line="560" w:lineRule="exac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1" w:type="dxa"/>
            <w:gridSpan w:val="2"/>
            <w:shd w:val="clear" w:color="auto" w:fill="D9E2F3"/>
          </w:tcPr>
          <w:p>
            <w:pPr>
              <w:spacing w:line="560" w:lineRule="exact"/>
              <w:ind w:right="45"/>
              <w:rPr>
                <w:rFonts w:ascii="宋体" w:hAnsi="宋体" w:cs="微软雅黑"/>
                <w:b/>
                <w:color w:val="000000"/>
              </w:rPr>
            </w:pPr>
            <w:r>
              <w:rPr>
                <w:rFonts w:hint="eastAsia" w:ascii="宋体" w:hAnsi="宋体" w:cs="微软雅黑"/>
                <w:b/>
                <w:color w:val="000000"/>
              </w:rPr>
              <w:t>人（24）</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560" w:lineRule="exact"/>
              <w:rPr>
                <w:rFonts w:ascii="宋体" w:hAnsi="宋体"/>
                <w:color w:val="000000"/>
              </w:rPr>
            </w:pPr>
            <w:r>
              <w:rPr>
                <w:rFonts w:hint="eastAsia" w:ascii="宋体" w:hAnsi="宋体" w:cs="微软雅黑"/>
                <w:color w:val="000000"/>
              </w:rPr>
              <w:t>技术能力与资质（4）</w:t>
            </w:r>
          </w:p>
        </w:tc>
        <w:tc>
          <w:tcPr>
            <w:tcW w:w="5812" w:type="dxa"/>
            <w:shd w:val="clear" w:color="auto" w:fill="auto"/>
          </w:tcPr>
          <w:p>
            <w:pPr>
              <w:spacing w:line="560" w:lineRule="exact"/>
              <w:ind w:left="2"/>
              <w:rPr>
                <w:rFonts w:ascii="宋体" w:hAnsi="宋体"/>
                <w:color w:val="000000"/>
              </w:rPr>
            </w:pPr>
            <w:r>
              <w:rPr>
                <w:rFonts w:hint="eastAsia" w:ascii="宋体" w:hAnsi="宋体"/>
                <w:color w:val="000000"/>
              </w:rPr>
              <w:t>经检查发现技术能力或资质（证书</w:t>
            </w:r>
            <w:r>
              <w:rPr>
                <w:rFonts w:ascii="宋体" w:hAnsi="宋体"/>
                <w:color w:val="000000"/>
              </w:rPr>
              <w:t>）</w:t>
            </w:r>
            <w:r>
              <w:rPr>
                <w:rFonts w:hint="eastAsia" w:ascii="宋体" w:hAnsi="宋体"/>
                <w:color w:val="000000"/>
              </w:rPr>
              <w:t>未达到要求或</w:t>
            </w:r>
            <w:r>
              <w:rPr>
                <w:rFonts w:ascii="宋体" w:hAnsi="宋体"/>
                <w:color w:val="000000"/>
              </w:rPr>
              <w:t>过期</w:t>
            </w:r>
            <w:r>
              <w:rPr>
                <w:rFonts w:hint="eastAsia" w:ascii="宋体" w:hAnsi="宋体"/>
                <w:color w:val="000000"/>
              </w:rPr>
              <w:t>，第一次发生扣2分，整改后仍未达到要求则得0分。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0" w:hRule="atLeast"/>
          <w:jc w:val="center"/>
        </w:trPr>
        <w:tc>
          <w:tcPr>
            <w:tcW w:w="3249" w:type="dxa"/>
            <w:shd w:val="clear" w:color="auto" w:fill="auto"/>
          </w:tcPr>
          <w:p>
            <w:pPr>
              <w:spacing w:line="560" w:lineRule="exact"/>
              <w:rPr>
                <w:rFonts w:ascii="宋体" w:hAnsi="宋体"/>
                <w:color w:val="000000"/>
              </w:rPr>
            </w:pPr>
            <w:r>
              <w:rPr>
                <w:rFonts w:hint="eastAsia" w:ascii="宋体" w:hAnsi="宋体"/>
                <w:color w:val="000000"/>
              </w:rPr>
              <w:t>工作态度与形象</w:t>
            </w:r>
            <w:r>
              <w:rPr>
                <w:rFonts w:hint="eastAsia" w:ascii="宋体" w:hAnsi="宋体" w:cs="微软雅黑"/>
                <w:color w:val="000000"/>
              </w:rPr>
              <w:t>（</w:t>
            </w:r>
            <w:r>
              <w:rPr>
                <w:rFonts w:ascii="宋体" w:hAnsi="宋体" w:cs="微软雅黑"/>
                <w:color w:val="000000"/>
              </w:rPr>
              <w:t>4）</w:t>
            </w:r>
          </w:p>
        </w:tc>
        <w:tc>
          <w:tcPr>
            <w:tcW w:w="5812" w:type="dxa"/>
            <w:shd w:val="clear" w:color="auto" w:fill="auto"/>
          </w:tcPr>
          <w:p>
            <w:pPr>
              <w:spacing w:line="560" w:lineRule="exact"/>
              <w:rPr>
                <w:rFonts w:ascii="宋体" w:hAnsi="宋体"/>
                <w:color w:val="000000"/>
              </w:rPr>
            </w:pPr>
            <w:r>
              <w:rPr>
                <w:rFonts w:hint="eastAsia" w:ascii="宋体" w:hAnsi="宋体"/>
                <w:color w:val="000000"/>
              </w:rPr>
              <w:t>工作态度要求积极乐观，按规定</w:t>
            </w:r>
            <w:r>
              <w:rPr>
                <w:rFonts w:ascii="宋体" w:hAnsi="宋体"/>
                <w:color w:val="000000"/>
              </w:rPr>
              <w:t>着</w:t>
            </w:r>
            <w:r>
              <w:rPr>
                <w:rFonts w:hint="eastAsia" w:ascii="宋体" w:hAnsi="宋体"/>
                <w:color w:val="000000"/>
              </w:rPr>
              <w:t>工作</w:t>
            </w:r>
            <w:r>
              <w:rPr>
                <w:rFonts w:ascii="宋体" w:hAnsi="宋体"/>
                <w:color w:val="000000"/>
              </w:rPr>
              <w:t>服装，</w:t>
            </w:r>
            <w:r>
              <w:rPr>
                <w:rFonts w:hint="eastAsia" w:ascii="宋体" w:hAnsi="宋体"/>
                <w:color w:val="000000"/>
              </w:rPr>
              <w:t>仪表</w:t>
            </w:r>
            <w:r>
              <w:rPr>
                <w:rFonts w:ascii="宋体" w:hAnsi="宋体"/>
                <w:color w:val="000000"/>
              </w:rPr>
              <w:t>得体</w:t>
            </w:r>
            <w:r>
              <w:rPr>
                <w:rFonts w:hint="eastAsia" w:ascii="宋体" w:hAnsi="宋体"/>
                <w:color w:val="000000"/>
              </w:rPr>
              <w:t>，与其他业务单位和睦相处的得4分，监管人员视实际情况扣分。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560" w:lineRule="exact"/>
              <w:rPr>
                <w:rFonts w:ascii="宋体" w:hAnsi="宋体"/>
                <w:color w:val="000000"/>
              </w:rPr>
            </w:pPr>
            <w:r>
              <w:rPr>
                <w:rFonts w:hint="eastAsia" w:ascii="宋体" w:hAnsi="宋体" w:cs="微软雅黑"/>
                <w:color w:val="000000"/>
              </w:rPr>
              <w:t>人员劳务关系(</w:t>
            </w:r>
            <w:r>
              <w:rPr>
                <w:rFonts w:ascii="宋体" w:hAnsi="宋体" w:cs="微软雅黑"/>
                <w:color w:val="000000"/>
              </w:rPr>
              <w:t>4)</w:t>
            </w:r>
          </w:p>
        </w:tc>
        <w:tc>
          <w:tcPr>
            <w:tcW w:w="5812" w:type="dxa"/>
            <w:shd w:val="clear" w:color="auto" w:fill="auto"/>
          </w:tcPr>
          <w:p>
            <w:pPr>
              <w:spacing w:line="560" w:lineRule="exact"/>
              <w:ind w:left="2"/>
              <w:rPr>
                <w:rFonts w:ascii="宋体" w:hAnsi="宋体"/>
                <w:color w:val="000000"/>
              </w:rPr>
            </w:pPr>
            <w:r>
              <w:rPr>
                <w:rFonts w:hint="eastAsia" w:ascii="宋体" w:hAnsi="宋体"/>
                <w:color w:val="000000"/>
              </w:rPr>
              <w:t>工作人员必须与外包商签订劳动合同，履行国家相关法律法规的义务，按投标</w:t>
            </w:r>
            <w:r>
              <w:rPr>
                <w:rFonts w:ascii="宋体" w:hAnsi="宋体"/>
                <w:color w:val="000000"/>
              </w:rPr>
              <w:t>承诺发放工资薪酬，</w:t>
            </w:r>
            <w:r>
              <w:rPr>
                <w:rFonts w:hint="eastAsia" w:ascii="宋体" w:hAnsi="宋体"/>
                <w:color w:val="000000"/>
              </w:rPr>
              <w:t>经检查发现不符合要求的扣4分，并要求乙方立即整改。</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shd w:val="clear" w:color="auto" w:fill="auto"/>
          </w:tcPr>
          <w:p>
            <w:pPr>
              <w:spacing w:line="560" w:lineRule="exact"/>
              <w:rPr>
                <w:rFonts w:ascii="宋体" w:hAnsi="宋体"/>
                <w:color w:val="000000"/>
              </w:rPr>
            </w:pPr>
            <w:r>
              <w:rPr>
                <w:rFonts w:hint="eastAsia" w:ascii="宋体" w:hAnsi="宋体"/>
                <w:color w:val="000000"/>
              </w:rPr>
              <w:t>协调，控制和监管的回应（4）</w:t>
            </w:r>
          </w:p>
        </w:tc>
        <w:tc>
          <w:tcPr>
            <w:tcW w:w="5812" w:type="dxa"/>
            <w:shd w:val="clear" w:color="auto" w:fill="auto"/>
          </w:tcPr>
          <w:p>
            <w:pPr>
              <w:spacing w:line="560" w:lineRule="exact"/>
              <w:rPr>
                <w:rFonts w:ascii="宋体" w:hAnsi="宋体"/>
                <w:color w:val="000000"/>
              </w:rPr>
            </w:pPr>
            <w:r>
              <w:rPr>
                <w:rFonts w:hint="eastAsia" w:ascii="宋体" w:hAnsi="宋体"/>
                <w:color w:val="000000"/>
              </w:rPr>
              <w:t>发生乙方不回应不配合甲方协调，控制和监管的事件扣2分，造成工作影响且不及时整改的扣4分，并要求乙方对相关人员进行处罚。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shd w:val="clear" w:color="auto" w:fill="auto"/>
          </w:tcPr>
          <w:p>
            <w:pPr>
              <w:spacing w:line="560" w:lineRule="exact"/>
              <w:rPr>
                <w:rFonts w:ascii="宋体" w:hAnsi="宋体"/>
                <w:color w:val="000000"/>
              </w:rPr>
            </w:pPr>
            <w:r>
              <w:rPr>
                <w:rFonts w:hint="eastAsia" w:ascii="宋体" w:hAnsi="宋体"/>
                <w:color w:val="000000"/>
              </w:rPr>
              <w:t>员工的伦理和纪律（4）</w:t>
            </w:r>
          </w:p>
        </w:tc>
        <w:tc>
          <w:tcPr>
            <w:tcW w:w="5812" w:type="dxa"/>
            <w:shd w:val="clear" w:color="auto" w:fill="auto"/>
          </w:tcPr>
          <w:p>
            <w:pPr>
              <w:spacing w:line="560" w:lineRule="exact"/>
              <w:rPr>
                <w:rFonts w:ascii="宋体" w:hAnsi="宋体"/>
                <w:color w:val="000000"/>
              </w:rPr>
            </w:pPr>
            <w:r>
              <w:rPr>
                <w:rFonts w:hint="eastAsia" w:ascii="宋体" w:hAnsi="宋体"/>
                <w:color w:val="000000"/>
              </w:rPr>
              <w:t>乙方工作人员应保持廉洁，遵守基本的道德准则，法律法规和机场相关规章制度，如发生违规行为，一次扣4分，并要求乙方对相关人员进行处罚。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shd w:val="clear" w:color="auto" w:fill="auto"/>
          </w:tcPr>
          <w:p>
            <w:pPr>
              <w:spacing w:line="560" w:lineRule="exact"/>
              <w:rPr>
                <w:rFonts w:ascii="宋体" w:hAnsi="宋体"/>
                <w:color w:val="000000"/>
              </w:rPr>
            </w:pPr>
            <w:r>
              <w:rPr>
                <w:rFonts w:hint="eastAsia" w:ascii="宋体" w:hAnsi="宋体"/>
                <w:color w:val="000000"/>
              </w:rPr>
              <w:t>企业文化和其他要求的认同（4）</w:t>
            </w:r>
          </w:p>
        </w:tc>
        <w:tc>
          <w:tcPr>
            <w:tcW w:w="5812" w:type="dxa"/>
            <w:shd w:val="clear" w:color="auto" w:fill="auto"/>
          </w:tcPr>
          <w:p>
            <w:pPr>
              <w:spacing w:line="560" w:lineRule="exact"/>
              <w:rPr>
                <w:rFonts w:ascii="宋体" w:hAnsi="宋体"/>
                <w:color w:val="000000"/>
              </w:rPr>
            </w:pPr>
            <w:r>
              <w:rPr>
                <w:rFonts w:hint="eastAsia" w:ascii="宋体" w:hAnsi="宋体"/>
                <w:color w:val="000000"/>
              </w:rPr>
              <w:t>要求乙方认同甲方的企业文化和其他公司相关要求得4分，监管人员视实际情况给分扣分。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507" w:hRule="atLeast"/>
          <w:jc w:val="center"/>
        </w:trPr>
        <w:tc>
          <w:tcPr>
            <w:tcW w:w="9061" w:type="dxa"/>
            <w:gridSpan w:val="2"/>
            <w:shd w:val="clear" w:color="auto" w:fill="D9E2F3"/>
          </w:tcPr>
          <w:p>
            <w:pPr>
              <w:spacing w:line="560" w:lineRule="exact"/>
              <w:rPr>
                <w:rFonts w:ascii="宋体" w:hAnsi="宋体" w:cs="微软雅黑"/>
                <w:b/>
                <w:color w:val="000000"/>
              </w:rPr>
            </w:pPr>
            <w:r>
              <w:rPr>
                <w:rFonts w:hint="eastAsia" w:ascii="宋体" w:hAnsi="宋体" w:cs="微软雅黑"/>
                <w:b/>
                <w:color w:val="000000"/>
              </w:rPr>
              <w:t>质量(30</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560" w:lineRule="exact"/>
              <w:rPr>
                <w:rFonts w:ascii="宋体" w:hAnsi="宋体"/>
                <w:color w:val="000000"/>
              </w:rPr>
            </w:pPr>
            <w:r>
              <w:rPr>
                <w:rFonts w:hint="eastAsia" w:ascii="宋体" w:hAnsi="宋体"/>
                <w:color w:val="000000"/>
              </w:rPr>
              <w:t>台账、资料管理质量(5</w:t>
            </w:r>
            <w:r>
              <w:rPr>
                <w:rFonts w:ascii="宋体" w:hAnsi="宋体"/>
                <w:color w:val="000000"/>
              </w:rPr>
              <w:t>)</w:t>
            </w:r>
          </w:p>
        </w:tc>
        <w:tc>
          <w:tcPr>
            <w:tcW w:w="5812" w:type="dxa"/>
            <w:shd w:val="clear" w:color="auto" w:fill="auto"/>
          </w:tcPr>
          <w:p>
            <w:pPr>
              <w:spacing w:line="560" w:lineRule="exact"/>
              <w:rPr>
                <w:rFonts w:ascii="宋体" w:hAnsi="宋体"/>
                <w:color w:val="000000"/>
              </w:rPr>
            </w:pPr>
            <w:r>
              <w:rPr>
                <w:rFonts w:hint="eastAsia" w:ascii="宋体" w:hAnsi="宋体"/>
                <w:color w:val="000000"/>
              </w:rPr>
              <w:t>经检查发现乙方未对台账、资料进行合理管理，第一次发生扣1分，第二次发生扣2分，第三次发生得0分。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560" w:lineRule="exact"/>
              <w:rPr>
                <w:rFonts w:ascii="宋体" w:hAnsi="宋体"/>
                <w:color w:val="000000"/>
              </w:rPr>
            </w:pPr>
            <w:r>
              <w:rPr>
                <w:rFonts w:hint="eastAsia" w:ascii="宋体" w:hAnsi="宋体"/>
                <w:color w:val="000000"/>
              </w:rPr>
              <w:t>设备修复率</w:t>
            </w:r>
            <w:r>
              <w:rPr>
                <w:rFonts w:hint="eastAsia" w:ascii="宋体" w:hAnsi="宋体" w:cs="微软雅黑"/>
                <w:color w:val="000000"/>
              </w:rPr>
              <w:t>（5）</w:t>
            </w:r>
          </w:p>
        </w:tc>
        <w:tc>
          <w:tcPr>
            <w:tcW w:w="5812" w:type="dxa"/>
            <w:shd w:val="clear" w:color="auto" w:fill="auto"/>
          </w:tcPr>
          <w:p>
            <w:pPr>
              <w:spacing w:line="560" w:lineRule="exact"/>
              <w:rPr>
                <w:rFonts w:ascii="宋体" w:hAnsi="宋体"/>
                <w:color w:val="000000"/>
              </w:rPr>
            </w:pPr>
            <w:r>
              <w:rPr>
                <w:rFonts w:hint="eastAsia" w:ascii="宋体" w:hAnsi="宋体"/>
                <w:color w:val="000000"/>
              </w:rPr>
              <w:t>在考核期间，设备的修复率要求100%，未达到要求的则得0分。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560" w:lineRule="exact"/>
              <w:rPr>
                <w:rFonts w:ascii="宋体" w:hAnsi="宋体"/>
                <w:color w:val="000000"/>
              </w:rPr>
            </w:pPr>
            <w:r>
              <w:rPr>
                <w:rFonts w:hint="eastAsia" w:ascii="宋体" w:hAnsi="宋体"/>
                <w:color w:val="000000"/>
              </w:rPr>
              <w:t>人员管理质量(5</w:t>
            </w:r>
            <w:r>
              <w:rPr>
                <w:rFonts w:ascii="宋体" w:hAnsi="宋体"/>
                <w:color w:val="000000"/>
              </w:rPr>
              <w:t>)</w:t>
            </w:r>
          </w:p>
        </w:tc>
        <w:tc>
          <w:tcPr>
            <w:tcW w:w="5812" w:type="dxa"/>
            <w:shd w:val="clear" w:color="auto" w:fill="auto"/>
          </w:tcPr>
          <w:p>
            <w:pPr>
              <w:spacing w:line="560" w:lineRule="exact"/>
              <w:rPr>
                <w:rFonts w:ascii="宋体" w:hAnsi="宋体"/>
                <w:color w:val="000000"/>
              </w:rPr>
            </w:pPr>
            <w:r>
              <w:rPr>
                <w:rFonts w:hint="eastAsia" w:ascii="宋体" w:hAnsi="宋体"/>
                <w:color w:val="000000"/>
              </w:rPr>
              <w:t>经检查发现乙方驻场管理人员未对员工进行有效的工作安排、日常监督，第一次发生扣1分，第二次发生扣2分，第三次发生则得0分。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560" w:lineRule="exact"/>
              <w:rPr>
                <w:rFonts w:ascii="宋体" w:hAnsi="宋体"/>
                <w:color w:val="000000"/>
              </w:rPr>
            </w:pPr>
            <w:r>
              <w:rPr>
                <w:rFonts w:hint="eastAsia" w:ascii="宋体" w:hAnsi="宋体" w:cs="微软雅黑"/>
                <w:color w:val="000000"/>
              </w:rPr>
              <w:t>设备故障率（5）</w:t>
            </w:r>
          </w:p>
        </w:tc>
        <w:tc>
          <w:tcPr>
            <w:tcW w:w="5812" w:type="dxa"/>
            <w:shd w:val="clear" w:color="auto" w:fill="auto"/>
          </w:tcPr>
          <w:p>
            <w:pPr>
              <w:spacing w:line="560" w:lineRule="exact"/>
              <w:rPr>
                <w:rFonts w:ascii="宋体" w:hAnsi="宋体"/>
                <w:color w:val="000000"/>
              </w:rPr>
            </w:pPr>
            <w:r>
              <w:rPr>
                <w:rFonts w:hint="eastAsia" w:ascii="宋体" w:hAnsi="宋体"/>
                <w:color w:val="000000"/>
              </w:rPr>
              <w:t>考核期间，经核查，同一设备同一故障，修复后仍重复出现1次，扣2分，重复出现两次，则得0分。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8" w:hRule="atLeast"/>
          <w:jc w:val="center"/>
        </w:trPr>
        <w:tc>
          <w:tcPr>
            <w:tcW w:w="3249" w:type="dxa"/>
            <w:shd w:val="clear" w:color="auto" w:fill="auto"/>
          </w:tcPr>
          <w:p>
            <w:pPr>
              <w:spacing w:line="560" w:lineRule="exact"/>
              <w:rPr>
                <w:rFonts w:ascii="宋体" w:hAnsi="宋体"/>
                <w:color w:val="000000"/>
              </w:rPr>
            </w:pPr>
            <w:r>
              <w:rPr>
                <w:rFonts w:hint="eastAsia" w:ascii="宋体" w:hAnsi="宋体"/>
                <w:color w:val="000000"/>
              </w:rPr>
              <w:t>人员培训质量(5</w:t>
            </w:r>
            <w:r>
              <w:rPr>
                <w:rFonts w:ascii="宋体" w:hAnsi="宋体"/>
                <w:color w:val="000000"/>
              </w:rPr>
              <w:t>)</w:t>
            </w:r>
          </w:p>
        </w:tc>
        <w:tc>
          <w:tcPr>
            <w:tcW w:w="5812" w:type="dxa"/>
            <w:shd w:val="clear" w:color="auto" w:fill="auto"/>
          </w:tcPr>
          <w:p>
            <w:pPr>
              <w:spacing w:line="560" w:lineRule="exact"/>
              <w:ind w:right="45"/>
              <w:rPr>
                <w:rFonts w:ascii="宋体" w:hAnsi="宋体" w:cs="微软雅黑"/>
                <w:color w:val="000000"/>
              </w:rPr>
            </w:pPr>
            <w:r>
              <w:rPr>
                <w:rFonts w:hint="eastAsia" w:ascii="宋体" w:hAnsi="宋体"/>
                <w:color w:val="000000"/>
              </w:rPr>
              <w:t>经检查发现</w:t>
            </w:r>
            <w:r>
              <w:rPr>
                <w:rFonts w:hint="eastAsia" w:ascii="宋体" w:hAnsi="宋体" w:cs="微软雅黑"/>
                <w:color w:val="000000"/>
              </w:rPr>
              <w:t>乙方未对人员进行必要的消防应急培训、技术学习等，第一次发生扣1分，第二次发生扣2分，第三次发生则得0分。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20" w:hRule="atLeast"/>
          <w:jc w:val="center"/>
        </w:trPr>
        <w:tc>
          <w:tcPr>
            <w:tcW w:w="3249" w:type="dxa"/>
            <w:shd w:val="clear" w:color="auto" w:fill="auto"/>
          </w:tcPr>
          <w:p>
            <w:pPr>
              <w:spacing w:line="560" w:lineRule="exact"/>
              <w:rPr>
                <w:rFonts w:ascii="宋体" w:hAnsi="宋体"/>
                <w:color w:val="000000"/>
              </w:rPr>
            </w:pPr>
            <w:r>
              <w:rPr>
                <w:rFonts w:hint="eastAsia" w:ascii="宋体" w:hAnsi="宋体"/>
                <w:color w:val="000000"/>
              </w:rPr>
              <w:t>应急事件处理质量(5</w:t>
            </w:r>
            <w:r>
              <w:rPr>
                <w:rFonts w:ascii="宋体" w:hAnsi="宋体"/>
                <w:color w:val="000000"/>
              </w:rPr>
              <w:t>)</w:t>
            </w:r>
          </w:p>
        </w:tc>
        <w:tc>
          <w:tcPr>
            <w:tcW w:w="5812" w:type="dxa"/>
            <w:shd w:val="clear" w:color="auto" w:fill="auto"/>
          </w:tcPr>
          <w:p>
            <w:pPr>
              <w:spacing w:line="560" w:lineRule="exact"/>
              <w:rPr>
                <w:rFonts w:ascii="宋体" w:hAnsi="宋体"/>
                <w:color w:val="000000"/>
              </w:rPr>
            </w:pPr>
            <w:r>
              <w:rPr>
                <w:rFonts w:hint="eastAsia" w:ascii="宋体" w:hAnsi="宋体"/>
                <w:color w:val="000000"/>
              </w:rPr>
              <w:t>经检查发现乙方对应急事件处理未达到规定要求的，第一次发生扣2分，第二次发生则得0分。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11" w:hRule="atLeast"/>
          <w:jc w:val="center"/>
        </w:trPr>
        <w:tc>
          <w:tcPr>
            <w:tcW w:w="9061" w:type="dxa"/>
            <w:gridSpan w:val="2"/>
            <w:shd w:val="clear" w:color="auto" w:fill="D9E2F3"/>
          </w:tcPr>
          <w:p>
            <w:pPr>
              <w:spacing w:line="560" w:lineRule="exact"/>
              <w:rPr>
                <w:rFonts w:ascii="宋体" w:hAnsi="宋体" w:cs="微软雅黑"/>
                <w:b/>
                <w:color w:val="000000"/>
              </w:rPr>
            </w:pPr>
            <w:r>
              <w:rPr>
                <w:rFonts w:hint="eastAsia" w:ascii="宋体" w:hAnsi="宋体" w:cs="微软雅黑"/>
                <w:b/>
                <w:color w:val="000000"/>
              </w:rPr>
              <w:t>安全(12</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560" w:lineRule="exact"/>
              <w:rPr>
                <w:rFonts w:ascii="宋体" w:hAnsi="宋体"/>
                <w:color w:val="000000"/>
              </w:rPr>
            </w:pPr>
            <w:r>
              <w:rPr>
                <w:rFonts w:hint="eastAsia" w:ascii="宋体" w:hAnsi="宋体"/>
                <w:color w:val="000000"/>
              </w:rPr>
              <w:t>总体安全意识的表现（4）</w:t>
            </w:r>
          </w:p>
        </w:tc>
        <w:tc>
          <w:tcPr>
            <w:tcW w:w="5812" w:type="dxa"/>
            <w:shd w:val="clear" w:color="auto" w:fill="auto"/>
          </w:tcPr>
          <w:p>
            <w:pPr>
              <w:spacing w:line="560" w:lineRule="exact"/>
              <w:ind w:left="2"/>
              <w:rPr>
                <w:rFonts w:ascii="宋体" w:hAnsi="宋体"/>
                <w:color w:val="000000"/>
              </w:rPr>
            </w:pPr>
            <w:r>
              <w:rPr>
                <w:rFonts w:hint="eastAsia" w:ascii="宋体" w:hAnsi="宋体"/>
                <w:color w:val="000000"/>
              </w:rPr>
              <w:t>乙方重视安全工作，保持较高的安全风险防范意识的得4分，监管人员视实际情况扣分。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560" w:lineRule="exact"/>
              <w:rPr>
                <w:rFonts w:ascii="宋体" w:hAnsi="宋体"/>
                <w:color w:val="000000"/>
              </w:rPr>
            </w:pPr>
            <w:r>
              <w:rPr>
                <w:rFonts w:hint="eastAsia" w:ascii="宋体" w:hAnsi="宋体"/>
                <w:color w:val="000000"/>
              </w:rPr>
              <w:t>提供和维护安全的工作环境（4）</w:t>
            </w:r>
          </w:p>
        </w:tc>
        <w:tc>
          <w:tcPr>
            <w:tcW w:w="5812" w:type="dxa"/>
            <w:shd w:val="clear" w:color="auto" w:fill="auto"/>
          </w:tcPr>
          <w:p>
            <w:pPr>
              <w:spacing w:line="560" w:lineRule="exact"/>
              <w:ind w:left="2"/>
              <w:rPr>
                <w:rFonts w:ascii="宋体" w:hAnsi="宋体"/>
                <w:color w:val="000000"/>
              </w:rPr>
            </w:pPr>
            <w:r>
              <w:rPr>
                <w:rFonts w:hint="eastAsia" w:ascii="宋体" w:hAnsi="宋体"/>
                <w:color w:val="000000"/>
              </w:rPr>
              <w:t>要求乙方有保证提供和维护安全工作环境的人力和物力能力，并不断完善和提高，发现安全隐患立即整改，拖延不整改或不到位的则得0分。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shd w:val="clear" w:color="auto" w:fill="auto"/>
          </w:tcPr>
          <w:p>
            <w:pPr>
              <w:spacing w:line="560" w:lineRule="exact"/>
              <w:rPr>
                <w:rFonts w:ascii="宋体" w:hAnsi="宋体"/>
                <w:color w:val="000000"/>
              </w:rPr>
            </w:pPr>
            <w:r>
              <w:rPr>
                <w:rFonts w:hint="eastAsia" w:ascii="宋体" w:hAnsi="宋体"/>
                <w:color w:val="000000"/>
              </w:rPr>
              <w:t>安全措施/制度/体系的实施或整改（4）</w:t>
            </w:r>
          </w:p>
        </w:tc>
        <w:tc>
          <w:tcPr>
            <w:tcW w:w="5812" w:type="dxa"/>
            <w:shd w:val="clear" w:color="auto" w:fill="auto"/>
          </w:tcPr>
          <w:p>
            <w:pPr>
              <w:spacing w:line="560" w:lineRule="exact"/>
              <w:ind w:left="2"/>
              <w:rPr>
                <w:rFonts w:ascii="宋体" w:hAnsi="宋体"/>
                <w:color w:val="000000"/>
              </w:rPr>
            </w:pPr>
            <w:r>
              <w:rPr>
                <w:rFonts w:hint="eastAsia" w:ascii="宋体" w:hAnsi="宋体"/>
                <w:color w:val="000000"/>
              </w:rPr>
              <w:t>要求乙方根据甲方要求制定自身合理的安全管理体系，并交由甲方备案，每年修订一次并根据实际情况不定期进行调整。安全措施/制度/体系合理到位的得4分，监管人员视实际情况扣分。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15" w:hRule="atLeast"/>
          <w:jc w:val="center"/>
        </w:trPr>
        <w:tc>
          <w:tcPr>
            <w:tcW w:w="9061" w:type="dxa"/>
            <w:gridSpan w:val="2"/>
            <w:shd w:val="clear" w:color="auto" w:fill="D9E2F3"/>
          </w:tcPr>
          <w:p>
            <w:pPr>
              <w:spacing w:line="560" w:lineRule="exact"/>
              <w:rPr>
                <w:rFonts w:ascii="宋体" w:hAnsi="宋体" w:cs="微软雅黑"/>
                <w:b/>
                <w:color w:val="000000"/>
              </w:rPr>
            </w:pPr>
            <w:r>
              <w:rPr>
                <w:rFonts w:hint="eastAsia" w:ascii="宋体" w:hAnsi="宋体" w:cs="微软雅黑"/>
                <w:b/>
              </w:rPr>
              <w:t>过程</w:t>
            </w:r>
            <w:r>
              <w:rPr>
                <w:rFonts w:hint="eastAsia" w:ascii="宋体" w:hAnsi="宋体" w:cs="微软雅黑"/>
                <w:b/>
                <w:color w:val="000000"/>
              </w:rPr>
              <w:t>(16</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shd w:val="clear" w:color="auto" w:fill="auto"/>
          </w:tcPr>
          <w:p>
            <w:pPr>
              <w:spacing w:line="560" w:lineRule="exact"/>
              <w:rPr>
                <w:rFonts w:ascii="宋体" w:hAnsi="宋体" w:cs="微软雅黑"/>
                <w:color w:val="000000"/>
              </w:rPr>
            </w:pPr>
            <w:r>
              <w:rPr>
                <w:rFonts w:hint="eastAsia" w:ascii="宋体" w:hAnsi="宋体"/>
              </w:rPr>
              <w:t>工作计划方案的充分性和质量</w:t>
            </w:r>
            <w:r>
              <w:rPr>
                <w:rFonts w:hint="eastAsia" w:ascii="宋体" w:hAnsi="宋体"/>
                <w:color w:val="000000"/>
              </w:rPr>
              <w:t>（4）</w:t>
            </w:r>
          </w:p>
        </w:tc>
        <w:tc>
          <w:tcPr>
            <w:tcW w:w="5812" w:type="dxa"/>
            <w:shd w:val="clear" w:color="auto" w:fill="auto"/>
          </w:tcPr>
          <w:p>
            <w:pPr>
              <w:spacing w:line="560" w:lineRule="exact"/>
              <w:ind w:left="2"/>
              <w:rPr>
                <w:rFonts w:ascii="宋体" w:hAnsi="宋体"/>
                <w:color w:val="000000"/>
              </w:rPr>
            </w:pPr>
            <w:r>
              <w:rPr>
                <w:rFonts w:hint="eastAsia" w:ascii="宋体" w:hAnsi="宋体"/>
                <w:color w:val="000000"/>
              </w:rPr>
              <w:t>工作计划制定详尽合理的得4分，监管人员视实际情况扣分。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shd w:val="clear" w:color="auto" w:fill="auto"/>
          </w:tcPr>
          <w:p>
            <w:pPr>
              <w:spacing w:line="560" w:lineRule="exact"/>
              <w:rPr>
                <w:rFonts w:ascii="宋体" w:hAnsi="宋体"/>
                <w:color w:val="000000"/>
              </w:rPr>
            </w:pPr>
            <w:r>
              <w:rPr>
                <w:rFonts w:hint="eastAsia" w:ascii="宋体" w:hAnsi="宋体"/>
              </w:rPr>
              <w:t>方案执行情况</w:t>
            </w:r>
            <w:r>
              <w:rPr>
                <w:rFonts w:hint="eastAsia" w:ascii="宋体" w:hAnsi="宋体"/>
                <w:color w:val="000000"/>
              </w:rPr>
              <w:t>（4）</w:t>
            </w:r>
          </w:p>
        </w:tc>
        <w:tc>
          <w:tcPr>
            <w:tcW w:w="5812" w:type="dxa"/>
            <w:shd w:val="clear" w:color="auto" w:fill="auto"/>
          </w:tcPr>
          <w:p>
            <w:pPr>
              <w:spacing w:line="560" w:lineRule="exact"/>
              <w:ind w:left="2"/>
              <w:rPr>
                <w:rFonts w:ascii="宋体" w:hAnsi="宋体"/>
                <w:color w:val="000000"/>
              </w:rPr>
            </w:pPr>
            <w:r>
              <w:rPr>
                <w:rFonts w:hint="eastAsia" w:ascii="宋体" w:hAnsi="宋体"/>
                <w:color w:val="000000"/>
              </w:rPr>
              <w:t>经检查发现乙方人员不遵守实施的方案，第一次发生扣1分，第二次发生则得0分。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shd w:val="clear" w:color="auto" w:fill="auto"/>
          </w:tcPr>
          <w:p>
            <w:pPr>
              <w:spacing w:line="560" w:lineRule="exact"/>
              <w:rPr>
                <w:rFonts w:ascii="宋体" w:hAnsi="宋体"/>
                <w:color w:val="000000"/>
              </w:rPr>
            </w:pPr>
            <w:r>
              <w:rPr>
                <w:rFonts w:hint="eastAsia" w:ascii="宋体" w:hAnsi="宋体"/>
              </w:rPr>
              <w:t>让甲方了解工作进展情况</w:t>
            </w:r>
            <w:r>
              <w:rPr>
                <w:rFonts w:hint="eastAsia" w:ascii="宋体" w:hAnsi="宋体"/>
                <w:color w:val="000000"/>
              </w:rPr>
              <w:t>（4）</w:t>
            </w:r>
          </w:p>
        </w:tc>
        <w:tc>
          <w:tcPr>
            <w:tcW w:w="5812" w:type="dxa"/>
            <w:shd w:val="clear" w:color="auto" w:fill="auto"/>
          </w:tcPr>
          <w:p>
            <w:pPr>
              <w:spacing w:line="560" w:lineRule="exact"/>
              <w:rPr>
                <w:rFonts w:ascii="宋体" w:hAnsi="宋体"/>
                <w:color w:val="000000"/>
              </w:rPr>
            </w:pPr>
            <w:r>
              <w:rPr>
                <w:rFonts w:hint="eastAsia" w:ascii="宋体" w:hAnsi="宋体"/>
                <w:color w:val="000000"/>
              </w:rPr>
              <w:t>乙方不及时或故意不向甲方汇报工作进展的，第一次发生扣1分，第二次发生则得0分。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shd w:val="clear" w:color="auto" w:fill="auto"/>
          </w:tcPr>
          <w:p>
            <w:pPr>
              <w:spacing w:line="560" w:lineRule="exact"/>
              <w:rPr>
                <w:rFonts w:ascii="宋体" w:hAnsi="宋体" w:cs="微软雅黑"/>
                <w:color w:val="000000"/>
              </w:rPr>
            </w:pPr>
            <w:r>
              <w:rPr>
                <w:rFonts w:hint="eastAsia" w:ascii="宋体" w:hAnsi="宋体"/>
              </w:rPr>
              <w:t>减轻损失/追赶计划所采取的措施</w:t>
            </w:r>
            <w:r>
              <w:rPr>
                <w:rFonts w:hint="eastAsia" w:ascii="宋体" w:hAnsi="宋体"/>
                <w:color w:val="000000"/>
              </w:rPr>
              <w:t>（4）</w:t>
            </w:r>
          </w:p>
        </w:tc>
        <w:tc>
          <w:tcPr>
            <w:tcW w:w="5812" w:type="dxa"/>
            <w:shd w:val="clear" w:color="auto" w:fill="auto"/>
          </w:tcPr>
          <w:p>
            <w:pPr>
              <w:spacing w:line="560" w:lineRule="exact"/>
              <w:rPr>
                <w:rFonts w:ascii="宋体" w:hAnsi="宋体"/>
                <w:color w:val="000000"/>
              </w:rPr>
            </w:pPr>
            <w:r>
              <w:rPr>
                <w:rFonts w:hint="eastAsia" w:ascii="宋体" w:hAnsi="宋体"/>
                <w:color w:val="000000"/>
              </w:rPr>
              <w:t>工作过程中发生问题未能及时采取补救措施的一次扣2分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9061" w:type="dxa"/>
            <w:gridSpan w:val="2"/>
            <w:shd w:val="clear" w:color="auto" w:fill="D9E2F3"/>
          </w:tcPr>
          <w:p>
            <w:pPr>
              <w:spacing w:line="560" w:lineRule="exact"/>
              <w:rPr>
                <w:rFonts w:ascii="宋体" w:hAnsi="宋体" w:cs="微软雅黑"/>
                <w:b/>
                <w:color w:val="000000"/>
              </w:rPr>
            </w:pPr>
            <w:r>
              <w:rPr>
                <w:rFonts w:hint="eastAsia" w:ascii="宋体" w:hAnsi="宋体" w:cs="微软雅黑"/>
                <w:b/>
                <w:color w:val="000000"/>
              </w:rPr>
              <w:t>资源(</w:t>
            </w:r>
            <w:r>
              <w:rPr>
                <w:rFonts w:ascii="宋体" w:hAnsi="宋体" w:cs="微软雅黑"/>
                <w:b/>
                <w:color w:val="000000"/>
              </w:rPr>
              <w:t>1</w:t>
            </w:r>
            <w:r>
              <w:rPr>
                <w:rFonts w:hint="eastAsia" w:ascii="宋体" w:hAnsi="宋体" w:cs="微软雅黑"/>
                <w:b/>
                <w:color w:val="000000"/>
              </w:rPr>
              <w:t>2</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560" w:lineRule="exact"/>
              <w:rPr>
                <w:rFonts w:ascii="宋体" w:hAnsi="宋体"/>
                <w:color w:val="000000"/>
              </w:rPr>
            </w:pPr>
            <w:r>
              <w:rPr>
                <w:rFonts w:hint="eastAsia" w:ascii="宋体" w:hAnsi="宋体" w:cs="微软雅黑"/>
                <w:color w:val="000000"/>
              </w:rPr>
              <w:t>劳动力资源的充分性(</w:t>
            </w:r>
            <w:r>
              <w:rPr>
                <w:rFonts w:ascii="宋体" w:hAnsi="宋体" w:cs="微软雅黑"/>
                <w:color w:val="000000"/>
              </w:rPr>
              <w:t>4)</w:t>
            </w:r>
          </w:p>
        </w:tc>
        <w:tc>
          <w:tcPr>
            <w:tcW w:w="5812" w:type="dxa"/>
            <w:shd w:val="clear" w:color="auto" w:fill="auto"/>
          </w:tcPr>
          <w:p>
            <w:pPr>
              <w:spacing w:line="560" w:lineRule="exact"/>
              <w:ind w:left="2"/>
              <w:rPr>
                <w:rFonts w:ascii="宋体" w:hAnsi="宋体"/>
                <w:color w:val="000000"/>
              </w:rPr>
            </w:pPr>
            <w:r>
              <w:rPr>
                <w:rFonts w:hint="eastAsia" w:ascii="宋体" w:hAnsi="宋体"/>
                <w:color w:val="000000"/>
              </w:rPr>
              <w:t>经检查发现乙方未按照要求配备规定人数或不满足工作需求的扣4分。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560" w:lineRule="exact"/>
              <w:rPr>
                <w:rFonts w:ascii="宋体" w:hAnsi="宋体"/>
                <w:color w:val="000000"/>
              </w:rPr>
            </w:pPr>
            <w:r>
              <w:rPr>
                <w:rFonts w:hint="eastAsia" w:ascii="宋体" w:hAnsi="宋体" w:cs="微软雅黑"/>
                <w:color w:val="000000"/>
              </w:rPr>
              <w:t>日常用具、消耗品、器材资源的充分性(</w:t>
            </w:r>
            <w:r>
              <w:rPr>
                <w:rFonts w:ascii="宋体" w:hAnsi="宋体" w:cs="微软雅黑"/>
                <w:color w:val="000000"/>
              </w:rPr>
              <w:t>4)</w:t>
            </w:r>
          </w:p>
        </w:tc>
        <w:tc>
          <w:tcPr>
            <w:tcW w:w="5812" w:type="dxa"/>
            <w:shd w:val="clear" w:color="auto" w:fill="auto"/>
          </w:tcPr>
          <w:p>
            <w:pPr>
              <w:spacing w:line="560" w:lineRule="exact"/>
              <w:rPr>
                <w:rFonts w:ascii="宋体" w:hAnsi="宋体"/>
                <w:color w:val="000000"/>
              </w:rPr>
            </w:pPr>
            <w:r>
              <w:rPr>
                <w:rFonts w:hint="eastAsia" w:ascii="宋体" w:hAnsi="宋体"/>
                <w:color w:val="000000"/>
              </w:rPr>
              <w:t>经检查发现乙方对</w:t>
            </w:r>
            <w:r>
              <w:rPr>
                <w:rFonts w:hint="eastAsia" w:ascii="宋体" w:hAnsi="宋体" w:cs="微软雅黑"/>
                <w:color w:val="000000"/>
              </w:rPr>
              <w:t>常用具、消耗品、器材等准备不充分而影响到正常工作的，第一次发生扣1分，第二次发生</w:t>
            </w:r>
            <w:r>
              <w:rPr>
                <w:rFonts w:hint="eastAsia" w:ascii="宋体" w:hAnsi="宋体"/>
                <w:color w:val="000000"/>
              </w:rPr>
              <w:t>则得</w:t>
            </w:r>
            <w:r>
              <w:rPr>
                <w:rFonts w:hint="eastAsia" w:ascii="宋体" w:hAnsi="宋体" w:cs="微软雅黑"/>
                <w:color w:val="000000"/>
              </w:rPr>
              <w:t>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84" w:hRule="atLeast"/>
          <w:jc w:val="center"/>
        </w:trPr>
        <w:tc>
          <w:tcPr>
            <w:tcW w:w="3249" w:type="dxa"/>
            <w:shd w:val="clear" w:color="auto" w:fill="auto"/>
          </w:tcPr>
          <w:p>
            <w:pPr>
              <w:spacing w:line="560" w:lineRule="exact"/>
              <w:rPr>
                <w:rFonts w:ascii="宋体" w:hAnsi="宋体"/>
                <w:color w:val="000000"/>
              </w:rPr>
            </w:pPr>
            <w:r>
              <w:rPr>
                <w:rFonts w:hint="eastAsia" w:ascii="宋体" w:hAnsi="宋体" w:cs="微软雅黑"/>
                <w:color w:val="000000"/>
              </w:rPr>
              <w:t>资源利用的合理性(</w:t>
            </w:r>
            <w:r>
              <w:rPr>
                <w:rFonts w:ascii="宋体" w:hAnsi="宋体" w:cs="微软雅黑"/>
                <w:color w:val="000000"/>
              </w:rPr>
              <w:t>4)</w:t>
            </w:r>
          </w:p>
        </w:tc>
        <w:tc>
          <w:tcPr>
            <w:tcW w:w="5812" w:type="dxa"/>
            <w:shd w:val="clear" w:color="auto" w:fill="auto"/>
          </w:tcPr>
          <w:p>
            <w:pPr>
              <w:spacing w:line="560" w:lineRule="exact"/>
              <w:ind w:right="3"/>
              <w:rPr>
                <w:rFonts w:ascii="宋体" w:hAnsi="宋体"/>
                <w:color w:val="000000"/>
              </w:rPr>
            </w:pPr>
            <w:r>
              <w:rPr>
                <w:rFonts w:hint="eastAsia" w:ascii="宋体" w:hAnsi="宋体"/>
                <w:color w:val="000000"/>
              </w:rPr>
              <w:t>要求乙方对人力物力等资源进行合理分配和利用，经检查发现物力资源利用不合理铺张浪费的，扣2分；人力安排不合理，人员无故缺岗缺勤的扣2分。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1" w:type="dxa"/>
            <w:gridSpan w:val="2"/>
            <w:shd w:val="clear" w:color="auto" w:fill="D9E2F3"/>
          </w:tcPr>
          <w:p>
            <w:pPr>
              <w:spacing w:line="560" w:lineRule="exact"/>
              <w:rPr>
                <w:rFonts w:ascii="宋体" w:hAnsi="宋体" w:cs="微软雅黑"/>
                <w:b/>
                <w:color w:val="000000"/>
              </w:rPr>
            </w:pPr>
            <w:r>
              <w:rPr>
                <w:rFonts w:hint="eastAsia" w:ascii="宋体" w:hAnsi="宋体" w:cs="微软雅黑"/>
                <w:b/>
                <w:color w:val="000000"/>
              </w:rPr>
              <w:t>其他(6</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3" w:hRule="atLeast"/>
          <w:jc w:val="center"/>
        </w:trPr>
        <w:tc>
          <w:tcPr>
            <w:tcW w:w="3249" w:type="dxa"/>
            <w:shd w:val="clear" w:color="auto" w:fill="auto"/>
          </w:tcPr>
          <w:p>
            <w:pPr>
              <w:spacing w:line="560" w:lineRule="exact"/>
              <w:rPr>
                <w:rFonts w:ascii="宋体" w:hAnsi="宋体"/>
                <w:color w:val="000000"/>
              </w:rPr>
            </w:pPr>
            <w:r>
              <w:rPr>
                <w:rFonts w:hint="eastAsia" w:ascii="宋体" w:hAnsi="宋体" w:cs="微软雅黑"/>
                <w:color w:val="000000"/>
              </w:rPr>
              <w:t>满意度</w:t>
            </w:r>
            <w:r>
              <w:rPr>
                <w:rFonts w:ascii="宋体" w:hAnsi="宋体" w:cs="微软雅黑"/>
                <w:color w:val="000000"/>
              </w:rPr>
              <w:t>(6)</w:t>
            </w:r>
          </w:p>
        </w:tc>
        <w:tc>
          <w:tcPr>
            <w:tcW w:w="5812" w:type="dxa"/>
            <w:shd w:val="clear" w:color="auto" w:fill="auto"/>
          </w:tcPr>
          <w:p>
            <w:pPr>
              <w:spacing w:line="560" w:lineRule="exact"/>
              <w:rPr>
                <w:rFonts w:ascii="宋体" w:hAnsi="宋体"/>
                <w:color w:val="000000"/>
              </w:rPr>
            </w:pPr>
            <w:r>
              <w:rPr>
                <w:rFonts w:hint="eastAsia" w:ascii="宋体" w:hAnsi="宋体"/>
                <w:color w:val="000000"/>
              </w:rPr>
              <w:t>服务范围内，发生一次有效投诉则得0分。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49" w:hRule="atLeast"/>
          <w:jc w:val="center"/>
        </w:trPr>
        <w:tc>
          <w:tcPr>
            <w:tcW w:w="9061" w:type="dxa"/>
            <w:gridSpan w:val="2"/>
            <w:shd w:val="clear" w:color="auto" w:fill="auto"/>
          </w:tcPr>
          <w:p>
            <w:pPr>
              <w:spacing w:line="560" w:lineRule="exact"/>
              <w:rPr>
                <w:rFonts w:ascii="宋体" w:hAnsi="宋体"/>
                <w:color w:val="000000"/>
              </w:rPr>
            </w:pPr>
            <w:r>
              <w:rPr>
                <w:rFonts w:hint="eastAsia" w:ascii="宋体" w:hAnsi="宋体" w:cs="微软雅黑"/>
                <w:b/>
                <w:color w:val="000000"/>
              </w:rPr>
              <w:t>加分项（10分）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tcPr>
          <w:p>
            <w:pPr>
              <w:spacing w:line="560" w:lineRule="exact"/>
              <w:rPr>
                <w:rFonts w:ascii="宋体" w:hAnsi="宋体"/>
                <w:color w:val="000000"/>
              </w:rPr>
            </w:pPr>
            <w:r>
              <w:rPr>
                <w:rFonts w:hint="eastAsia" w:ascii="宋体" w:hAnsi="宋体"/>
                <w:color w:val="000000"/>
              </w:rPr>
              <w:t>好人好事及表扬（4）</w:t>
            </w:r>
          </w:p>
        </w:tc>
        <w:tc>
          <w:tcPr>
            <w:tcW w:w="5812" w:type="dxa"/>
            <w:shd w:val="clear" w:color="auto" w:fill="auto"/>
          </w:tcPr>
          <w:p>
            <w:pPr>
              <w:spacing w:line="560" w:lineRule="exact"/>
              <w:rPr>
                <w:rFonts w:ascii="宋体" w:hAnsi="宋体"/>
                <w:color w:val="000000"/>
              </w:rPr>
            </w:pPr>
            <w:r>
              <w:rPr>
                <w:rFonts w:hint="eastAsia" w:ascii="宋体" w:hAnsi="宋体"/>
                <w:color w:val="000000"/>
              </w:rPr>
              <w:t>每件好人好事，经甲方认可受到表扬的加2分。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tcPr>
          <w:p>
            <w:pPr>
              <w:spacing w:line="560" w:lineRule="exact"/>
              <w:rPr>
                <w:rFonts w:ascii="宋体" w:hAnsi="宋体"/>
                <w:color w:val="000000"/>
              </w:rPr>
            </w:pPr>
            <w:r>
              <w:rPr>
                <w:rFonts w:hint="eastAsia" w:ascii="宋体" w:hAnsi="宋体"/>
                <w:color w:val="000000"/>
              </w:rPr>
              <w:t>超额超水平完成（2）</w:t>
            </w:r>
          </w:p>
        </w:tc>
        <w:tc>
          <w:tcPr>
            <w:tcW w:w="5812" w:type="dxa"/>
            <w:shd w:val="clear" w:color="auto" w:fill="auto"/>
          </w:tcPr>
          <w:p>
            <w:pPr>
              <w:spacing w:line="560" w:lineRule="exact"/>
              <w:rPr>
                <w:rFonts w:ascii="宋体" w:hAnsi="宋体"/>
                <w:color w:val="000000"/>
              </w:rPr>
            </w:pPr>
            <w:r>
              <w:rPr>
                <w:rFonts w:hint="eastAsia" w:ascii="宋体" w:hAnsi="宋体"/>
                <w:color w:val="000000"/>
              </w:rPr>
              <w:t>超出甲方预期，超额完成任务一件加2分。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tcPr>
          <w:p>
            <w:pPr>
              <w:spacing w:line="560" w:lineRule="exact"/>
              <w:rPr>
                <w:rFonts w:ascii="宋体" w:hAnsi="宋体"/>
                <w:color w:val="000000"/>
              </w:rPr>
            </w:pPr>
            <w:r>
              <w:rPr>
                <w:rFonts w:hint="eastAsia" w:ascii="宋体" w:hAnsi="宋体"/>
                <w:color w:val="000000"/>
              </w:rPr>
              <w:t>建议及方案（4）</w:t>
            </w:r>
          </w:p>
        </w:tc>
        <w:tc>
          <w:tcPr>
            <w:tcW w:w="5812" w:type="dxa"/>
            <w:shd w:val="clear" w:color="auto" w:fill="auto"/>
          </w:tcPr>
          <w:p>
            <w:pPr>
              <w:spacing w:line="560" w:lineRule="exact"/>
              <w:rPr>
                <w:rFonts w:ascii="宋体" w:hAnsi="宋体"/>
                <w:color w:val="000000"/>
              </w:rPr>
            </w:pPr>
            <w:r>
              <w:rPr>
                <w:rFonts w:hint="eastAsia" w:ascii="宋体" w:hAnsi="宋体"/>
                <w:color w:val="000000"/>
              </w:rPr>
              <w:t>乙方提出建议和意见，经甲方认可后实施的，每条加2分。</w:t>
            </w:r>
          </w:p>
        </w:tc>
      </w:tr>
    </w:tbl>
    <w:p>
      <w:pPr>
        <w:widowControl/>
        <w:jc w:val="left"/>
        <w:rPr>
          <w:rFonts w:ascii="Cambria" w:hAnsi="Cambria" w:eastAsia="黑体" w:cs="Times New Roman"/>
          <w:b/>
          <w:bCs/>
          <w:kern w:val="0"/>
          <w:sz w:val="32"/>
          <w:szCs w:val="32"/>
        </w:rPr>
      </w:pPr>
    </w:p>
    <w:p>
      <w:pPr>
        <w:pStyle w:val="51"/>
      </w:pPr>
    </w:p>
    <w:p>
      <w:pPr>
        <w:pStyle w:val="51"/>
      </w:pPr>
    </w:p>
    <w:p>
      <w:pPr>
        <w:pStyle w:val="51"/>
      </w:pPr>
    </w:p>
    <w:p>
      <w:pPr>
        <w:pStyle w:val="51"/>
      </w:pPr>
    </w:p>
    <w:p>
      <w:pPr>
        <w:pStyle w:val="51"/>
      </w:pPr>
    </w:p>
    <w:p>
      <w:pPr>
        <w:pStyle w:val="51"/>
      </w:pPr>
    </w:p>
    <w:p>
      <w:pPr>
        <w:pStyle w:val="51"/>
      </w:pPr>
    </w:p>
    <w:p>
      <w:pPr>
        <w:pStyle w:val="51"/>
      </w:pPr>
      <w:bookmarkStart w:id="95" w:name="_Toc511375156"/>
      <w:r>
        <w:rPr>
          <w:rFonts w:hint="eastAsia"/>
        </w:rPr>
        <w:t>第四章  工程量清单</w:t>
      </w:r>
      <w:bookmarkEnd w:id="95"/>
    </w:p>
    <w:tbl>
      <w:tblPr>
        <w:tblStyle w:val="58"/>
        <w:tblW w:w="951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2129"/>
        <w:gridCol w:w="3402"/>
        <w:gridCol w:w="1842"/>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580" w:type="dxa"/>
            <w:vMerge w:val="restart"/>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2129" w:type="dxa"/>
            <w:vMerge w:val="restart"/>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子目名称</w:t>
            </w:r>
          </w:p>
        </w:tc>
        <w:tc>
          <w:tcPr>
            <w:tcW w:w="3402" w:type="dxa"/>
            <w:vMerge w:val="restart"/>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子目特征描述</w:t>
            </w:r>
          </w:p>
        </w:tc>
        <w:tc>
          <w:tcPr>
            <w:tcW w:w="1842" w:type="dxa"/>
            <w:vMerge w:val="restart"/>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计量单位</w:t>
            </w:r>
          </w:p>
        </w:tc>
        <w:tc>
          <w:tcPr>
            <w:tcW w:w="1560" w:type="dxa"/>
            <w:vMerge w:val="restart"/>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清单工程量（预估工程量）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580" w:type="dxa"/>
            <w:vMerge w:val="continue"/>
            <w:vAlign w:val="center"/>
          </w:tcPr>
          <w:p>
            <w:pPr>
              <w:widowControl/>
              <w:jc w:val="left"/>
              <w:rPr>
                <w:rFonts w:ascii="宋体" w:hAnsi="宋体" w:cs="宋体"/>
                <w:color w:val="000000"/>
                <w:kern w:val="0"/>
                <w:sz w:val="18"/>
                <w:szCs w:val="18"/>
              </w:rPr>
            </w:pPr>
          </w:p>
        </w:tc>
        <w:tc>
          <w:tcPr>
            <w:tcW w:w="2129" w:type="dxa"/>
            <w:vMerge w:val="continue"/>
            <w:vAlign w:val="center"/>
          </w:tcPr>
          <w:p>
            <w:pPr>
              <w:widowControl/>
              <w:jc w:val="left"/>
              <w:rPr>
                <w:rFonts w:ascii="宋体" w:hAnsi="宋体" w:cs="宋体"/>
                <w:color w:val="000000"/>
                <w:kern w:val="0"/>
                <w:sz w:val="18"/>
                <w:szCs w:val="18"/>
              </w:rPr>
            </w:pPr>
          </w:p>
        </w:tc>
        <w:tc>
          <w:tcPr>
            <w:tcW w:w="3402" w:type="dxa"/>
            <w:vMerge w:val="continue"/>
            <w:vAlign w:val="center"/>
          </w:tcPr>
          <w:p>
            <w:pPr>
              <w:widowControl/>
              <w:jc w:val="left"/>
              <w:rPr>
                <w:rFonts w:ascii="宋体" w:hAnsi="宋体" w:cs="宋体"/>
                <w:color w:val="000000"/>
                <w:kern w:val="0"/>
                <w:sz w:val="18"/>
                <w:szCs w:val="18"/>
              </w:rPr>
            </w:pPr>
          </w:p>
        </w:tc>
        <w:tc>
          <w:tcPr>
            <w:tcW w:w="1842" w:type="dxa"/>
            <w:vMerge w:val="continue"/>
            <w:vAlign w:val="center"/>
          </w:tcPr>
          <w:p>
            <w:pPr>
              <w:widowControl/>
              <w:jc w:val="left"/>
              <w:rPr>
                <w:rFonts w:ascii="宋体" w:hAnsi="宋体" w:cs="宋体"/>
                <w:color w:val="000000"/>
                <w:kern w:val="0"/>
                <w:sz w:val="18"/>
                <w:szCs w:val="18"/>
              </w:rPr>
            </w:pPr>
          </w:p>
        </w:tc>
        <w:tc>
          <w:tcPr>
            <w:tcW w:w="1560"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80" w:type="dxa"/>
            <w:vMerge w:val="continue"/>
            <w:vAlign w:val="center"/>
          </w:tcPr>
          <w:p>
            <w:pPr>
              <w:widowControl/>
              <w:jc w:val="left"/>
              <w:rPr>
                <w:rFonts w:ascii="宋体" w:hAnsi="宋体" w:cs="宋体"/>
                <w:color w:val="000000"/>
                <w:kern w:val="0"/>
                <w:sz w:val="18"/>
                <w:szCs w:val="18"/>
              </w:rPr>
            </w:pPr>
          </w:p>
        </w:tc>
        <w:tc>
          <w:tcPr>
            <w:tcW w:w="2129" w:type="dxa"/>
            <w:vMerge w:val="continue"/>
            <w:vAlign w:val="center"/>
          </w:tcPr>
          <w:p>
            <w:pPr>
              <w:widowControl/>
              <w:jc w:val="left"/>
              <w:rPr>
                <w:rFonts w:ascii="宋体" w:hAnsi="宋体" w:cs="宋体"/>
                <w:color w:val="000000"/>
                <w:kern w:val="0"/>
                <w:sz w:val="18"/>
                <w:szCs w:val="18"/>
              </w:rPr>
            </w:pPr>
          </w:p>
        </w:tc>
        <w:tc>
          <w:tcPr>
            <w:tcW w:w="3402" w:type="dxa"/>
            <w:vMerge w:val="continue"/>
            <w:vAlign w:val="center"/>
          </w:tcPr>
          <w:p>
            <w:pPr>
              <w:widowControl/>
              <w:jc w:val="left"/>
              <w:rPr>
                <w:rFonts w:ascii="宋体" w:hAnsi="宋体" w:cs="宋体"/>
                <w:color w:val="000000"/>
                <w:kern w:val="0"/>
                <w:sz w:val="18"/>
                <w:szCs w:val="18"/>
              </w:rPr>
            </w:pPr>
          </w:p>
        </w:tc>
        <w:tc>
          <w:tcPr>
            <w:tcW w:w="1842" w:type="dxa"/>
            <w:vMerge w:val="continue"/>
            <w:vAlign w:val="center"/>
          </w:tcPr>
          <w:p>
            <w:pPr>
              <w:widowControl/>
              <w:jc w:val="left"/>
              <w:rPr>
                <w:rFonts w:ascii="宋体" w:hAnsi="宋体" w:cs="宋体"/>
                <w:color w:val="000000"/>
                <w:kern w:val="0"/>
                <w:sz w:val="18"/>
                <w:szCs w:val="18"/>
              </w:rPr>
            </w:pPr>
          </w:p>
        </w:tc>
        <w:tc>
          <w:tcPr>
            <w:tcW w:w="1560"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8" w:hRule="atLeast"/>
        </w:trPr>
        <w:tc>
          <w:tcPr>
            <w:tcW w:w="580" w:type="dxa"/>
            <w:shd w:val="clear" w:color="FFFFFF" w:fill="FFFFFF"/>
            <w:vAlign w:val="center"/>
          </w:tcPr>
          <w:p>
            <w:pPr>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129" w:type="dxa"/>
            <w:shd w:val="clear" w:color="auto" w:fill="auto"/>
            <w:vAlign w:val="center"/>
          </w:tcPr>
          <w:p>
            <w:pPr>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溶剂型标线划线</w:t>
            </w:r>
          </w:p>
        </w:tc>
        <w:tc>
          <w:tcPr>
            <w:tcW w:w="3402" w:type="dxa"/>
            <w:shd w:val="clear" w:color="FFFFFF" w:fill="FFFFFF"/>
          </w:tcPr>
          <w:p>
            <w:pPr>
              <w:numPr>
                <w:ilvl w:val="255"/>
                <w:numId w:val="0"/>
              </w:num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 xml:space="preserve">1.漆料名称：丙烯酸溶剂型漆料             </w:t>
            </w:r>
          </w:p>
          <w:p>
            <w:p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2.施工位置：跑道、滑行道、机坪以及外围巡场道                                                   3.工作内容：标志线更新施划</w:t>
            </w:r>
          </w:p>
          <w:p>
            <w:pPr>
              <w:spacing w:line="400" w:lineRule="exact"/>
              <w:rPr>
                <w:rFonts w:ascii="宋体" w:hAnsi="宋体" w:cs="宋体"/>
                <w:color w:val="000000"/>
                <w:kern w:val="0"/>
                <w:sz w:val="18"/>
                <w:szCs w:val="18"/>
              </w:rPr>
            </w:pPr>
            <w:r>
              <w:rPr>
                <w:rFonts w:hint="eastAsia" w:ascii="宋体" w:hAnsi="宋体" w:cs="宋体"/>
                <w:color w:val="000000"/>
                <w:kern w:val="0"/>
                <w:sz w:val="18"/>
                <w:szCs w:val="18"/>
              </w:rPr>
              <w:t xml:space="preserve">4.价格包含材料运输、装卸、漆画模板加工及使用、废旧油漆桶回收等与施工有关的全部费用 </w:t>
            </w:r>
          </w:p>
        </w:tc>
        <w:tc>
          <w:tcPr>
            <w:tcW w:w="1842" w:type="dxa"/>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60" w:type="dxa"/>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229783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8" w:hRule="atLeast"/>
        </w:trPr>
        <w:tc>
          <w:tcPr>
            <w:tcW w:w="580" w:type="dxa"/>
            <w:shd w:val="clear" w:color="FFFFFF" w:fill="FFFFFF"/>
            <w:vAlign w:val="center"/>
          </w:tcPr>
          <w:p>
            <w:pPr>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129" w:type="dxa"/>
            <w:shd w:val="clear" w:color="auto" w:fill="auto"/>
            <w:vAlign w:val="center"/>
          </w:tcPr>
          <w:p>
            <w:pPr>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跑道中心线清除</w:t>
            </w:r>
          </w:p>
        </w:tc>
        <w:tc>
          <w:tcPr>
            <w:tcW w:w="3402" w:type="dxa"/>
            <w:shd w:val="clear" w:color="FFFFFF" w:fill="FFFFFF"/>
            <w:vAlign w:val="center"/>
          </w:tcPr>
          <w:p>
            <w:pPr>
              <w:numPr>
                <w:ilvl w:val="255"/>
                <w:numId w:val="0"/>
              </w:num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1.溶剂型标志线清除</w:t>
            </w:r>
          </w:p>
          <w:p>
            <w:pPr>
              <w:numPr>
                <w:ilvl w:val="255"/>
                <w:numId w:val="0"/>
              </w:num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2.施工位置：跑道</w:t>
            </w:r>
          </w:p>
          <w:p>
            <w:pPr>
              <w:numPr>
                <w:ilvl w:val="255"/>
                <w:numId w:val="0"/>
              </w:num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3.工作内容：跑道中心线清除，标志线厚度5mm-10mm，建议采用高温软化、人工清除方式。</w:t>
            </w:r>
          </w:p>
          <w:p>
            <w:pPr>
              <w:numPr>
                <w:ilvl w:val="255"/>
                <w:numId w:val="0"/>
              </w:num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 xml:space="preserve">4.价格包含施工、清扫、回收、运输、废料处理等与施工有关的全部费用  </w:t>
            </w:r>
          </w:p>
        </w:tc>
        <w:tc>
          <w:tcPr>
            <w:tcW w:w="1842" w:type="dxa"/>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60" w:type="dxa"/>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8" w:hRule="atLeast"/>
        </w:trPr>
        <w:tc>
          <w:tcPr>
            <w:tcW w:w="580" w:type="dxa"/>
            <w:shd w:val="clear" w:color="FFFFFF" w:fill="FFFFFF"/>
            <w:vAlign w:val="center"/>
          </w:tcPr>
          <w:p>
            <w:pPr>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2129" w:type="dxa"/>
            <w:shd w:val="clear" w:color="auto" w:fill="auto"/>
            <w:vAlign w:val="center"/>
          </w:tcPr>
          <w:p>
            <w:pPr>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其他标志线清除</w:t>
            </w:r>
          </w:p>
        </w:tc>
        <w:tc>
          <w:tcPr>
            <w:tcW w:w="3402" w:type="dxa"/>
            <w:shd w:val="clear" w:color="FFFFFF" w:fill="FFFFFF"/>
            <w:vAlign w:val="center"/>
          </w:tcPr>
          <w:p>
            <w:pPr>
              <w:numPr>
                <w:ilvl w:val="255"/>
                <w:numId w:val="0"/>
              </w:num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1.溶剂型、水性、双组份型标志线清除</w:t>
            </w:r>
          </w:p>
          <w:p>
            <w:pPr>
              <w:numPr>
                <w:ilvl w:val="255"/>
                <w:numId w:val="0"/>
              </w:num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 xml:space="preserve">2.施工位置：跑道、滑行道、机坪以及外围巡场道  </w:t>
            </w:r>
          </w:p>
          <w:p>
            <w:p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3.承包人提供除线设备</w:t>
            </w:r>
          </w:p>
          <w:p>
            <w:p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 xml:space="preserve">4.价格包含施工、清扫、回收、运输、废料处理等与施工有关的全部费用 </w:t>
            </w:r>
          </w:p>
        </w:tc>
        <w:tc>
          <w:tcPr>
            <w:tcW w:w="1842" w:type="dxa"/>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560" w:type="dxa"/>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w:t>
            </w:r>
          </w:p>
        </w:tc>
      </w:tr>
    </w:tbl>
    <w:p>
      <w:pPr>
        <w:widowControl/>
        <w:spacing w:line="300" w:lineRule="auto"/>
        <w:rPr>
          <w:rFonts w:ascii="宋体" w:hAnsi="宋体" w:cs="宋体"/>
          <w:sz w:val="22"/>
        </w:rPr>
      </w:pPr>
      <w:r>
        <w:rPr>
          <w:rFonts w:hint="eastAsia" w:ascii="宋体" w:hAnsi="宋体" w:cs="宋体"/>
          <w:sz w:val="22"/>
        </w:rPr>
        <w:t>本项目合同为固定单价合同，本工程量清单数量为预估，实际数量以实际发生按实结算。请各投标人按照预估量编制报价。</w:t>
      </w:r>
    </w:p>
    <w:p>
      <w:pPr>
        <w:widowControl/>
        <w:jc w:val="left"/>
        <w:rPr>
          <w:rFonts w:ascii="Cambria" w:hAnsi="Cambria" w:eastAsia="黑体" w:cs="Times New Roman"/>
          <w:b/>
          <w:bCs/>
          <w:kern w:val="0"/>
          <w:sz w:val="32"/>
          <w:szCs w:val="32"/>
        </w:rPr>
      </w:pPr>
    </w:p>
    <w:p>
      <w:pPr>
        <w:pStyle w:val="51"/>
      </w:pPr>
    </w:p>
    <w:p/>
    <w:p/>
    <w:p/>
    <w:p/>
    <w:p/>
    <w:p/>
    <w:p/>
    <w:p/>
    <w:p>
      <w:pPr>
        <w:pStyle w:val="51"/>
      </w:pPr>
      <w:bookmarkStart w:id="96" w:name="_Toc511375152"/>
      <w:bookmarkStart w:id="97" w:name="_Toc11471"/>
      <w:bookmarkStart w:id="98" w:name="_Toc19069"/>
      <w:bookmarkStart w:id="99" w:name="_Toc486492551"/>
      <w:bookmarkStart w:id="100" w:name="_Toc484002164"/>
      <w:r>
        <w:t>第</w:t>
      </w:r>
      <w:r>
        <w:rPr>
          <w:rFonts w:hint="eastAsia"/>
        </w:rPr>
        <w:t>五</w:t>
      </w:r>
      <w:r>
        <w:t xml:space="preserve">章  </w:t>
      </w:r>
      <w:r>
        <w:rPr>
          <w:rFonts w:hint="eastAsia"/>
        </w:rPr>
        <w:t>技术要求及须知</w:t>
      </w:r>
    </w:p>
    <w:p>
      <w:pPr>
        <w:adjustRightInd w:val="0"/>
        <w:snapToGrid w:val="0"/>
        <w:spacing w:after="72" w:line="360" w:lineRule="exact"/>
        <w:ind w:firstLine="440"/>
        <w:rPr>
          <w:rFonts w:cs="Calibri" w:asciiTheme="minorEastAsia" w:hAnsiTheme="minorEastAsia"/>
          <w:color w:val="000000"/>
          <w:sz w:val="22"/>
        </w:rPr>
      </w:pPr>
      <w:r>
        <w:rPr>
          <w:rFonts w:cs="Calibri" w:asciiTheme="minorEastAsia" w:hAnsiTheme="minorEastAsia"/>
          <w:color w:val="000000"/>
          <w:sz w:val="22"/>
        </w:rPr>
        <w:t>1．项目简述</w:t>
      </w:r>
    </w:p>
    <w:p>
      <w:pPr>
        <w:adjustRightInd w:val="0"/>
        <w:snapToGrid w:val="0"/>
        <w:spacing w:after="72"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1.1 </w:t>
      </w:r>
      <w:r>
        <w:rPr>
          <w:rFonts w:hint="eastAsia" w:cs="Calibri" w:asciiTheme="minorEastAsia" w:hAnsiTheme="minorEastAsia"/>
          <w:color w:val="000000"/>
          <w:sz w:val="22"/>
        </w:rPr>
        <w:t>基本情况：</w:t>
      </w:r>
    </w:p>
    <w:p>
      <w:pPr>
        <w:adjustRightInd w:val="0"/>
        <w:snapToGrid w:val="0"/>
        <w:spacing w:after="72"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本项目为不停航施工，主要对杭州萧山机场飞行区各类标志线进行维护，确保标志线清晰有效，准确无误。标线规格及色泽满足标准规定及招标人要求。具体内容包括标线更新、施划、清除等。</w:t>
      </w:r>
    </w:p>
    <w:p>
      <w:pPr>
        <w:adjustRightInd w:val="0"/>
        <w:snapToGrid w:val="0"/>
        <w:spacing w:after="72" w:line="360" w:lineRule="exact"/>
        <w:ind w:firstLine="440"/>
        <w:rPr>
          <w:rFonts w:cs="Calibri" w:asciiTheme="minorEastAsia" w:hAnsiTheme="minorEastAsia"/>
          <w:color w:val="000000"/>
          <w:sz w:val="22"/>
        </w:rPr>
      </w:pPr>
      <w:r>
        <w:rPr>
          <w:rFonts w:cs="Calibri" w:asciiTheme="minorEastAsia" w:hAnsiTheme="minorEastAsia"/>
          <w:color w:val="000000"/>
          <w:sz w:val="22"/>
        </w:rPr>
        <w:t>1.2范围：</w:t>
      </w:r>
    </w:p>
    <w:p>
      <w:pPr>
        <w:spacing w:after="72" w:afterLines="30"/>
        <w:ind w:firstLine="440" w:firstLineChars="200"/>
        <w:rPr>
          <w:rFonts w:cs="Calibri" w:asciiTheme="minorEastAsia" w:hAnsiTheme="minorEastAsia"/>
          <w:color w:val="000000"/>
          <w:sz w:val="22"/>
        </w:rPr>
      </w:pPr>
      <w:r>
        <w:rPr>
          <w:rFonts w:cs="Calibri" w:asciiTheme="minorEastAsia" w:hAnsiTheme="minorEastAsia"/>
          <w:color w:val="000000"/>
          <w:sz w:val="22"/>
        </w:rPr>
        <w:t xml:space="preserve">1.2.1 </w:t>
      </w:r>
      <w:r>
        <w:rPr>
          <w:rFonts w:hint="eastAsia" w:cs="Calibri" w:asciiTheme="minorEastAsia" w:hAnsiTheme="minorEastAsia"/>
          <w:color w:val="000000"/>
          <w:sz w:val="22"/>
        </w:rPr>
        <w:t>范围：杭州萧山机场飞行区所有跑道、滑行道、停机坪、外围巡场道及各类设施。</w:t>
      </w:r>
    </w:p>
    <w:p>
      <w:pPr>
        <w:adjustRightInd w:val="0"/>
        <w:snapToGrid w:val="0"/>
        <w:spacing w:after="72"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1.2.2 </w:t>
      </w:r>
      <w:r>
        <w:rPr>
          <w:rFonts w:hint="eastAsia" w:cs="Calibri" w:asciiTheme="minorEastAsia" w:hAnsiTheme="minorEastAsia"/>
          <w:color w:val="000000"/>
          <w:sz w:val="22"/>
        </w:rPr>
        <w:t>工作时间：具体作业时间以招标人安排为准。</w:t>
      </w:r>
    </w:p>
    <w:p>
      <w:pPr>
        <w:adjustRightInd w:val="0"/>
        <w:snapToGrid w:val="0"/>
        <w:spacing w:after="72"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1.2.3具体情况：杭州机场飞行区现有2条跑道（366000m2）、4处跑道端防吹坪（25200m2）、43条滑行道及联络道（651016.77m2）、7个机坪（1600440m2），根据《民用机场运行安全管理规定》（CCAR-140）的要求，参照《民用机场飞行区场地维护技术指南》中对标志线维护频次的建议，以及国内大型机场的维护标志，本场标志线计划年维护总量约为23万平方米。具体标志线年计划维护量汇总如下：</w:t>
      </w:r>
    </w:p>
    <w:tbl>
      <w:tblPr>
        <w:tblStyle w:val="58"/>
        <w:tblW w:w="875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2551"/>
        <w:gridCol w:w="1701"/>
        <w:gridCol w:w="1843"/>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59" w:type="dxa"/>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序号</w:t>
            </w:r>
          </w:p>
        </w:tc>
        <w:tc>
          <w:tcPr>
            <w:tcW w:w="2551" w:type="dxa"/>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地面标志线类型</w:t>
            </w:r>
          </w:p>
        </w:tc>
        <w:tc>
          <w:tcPr>
            <w:tcW w:w="1701" w:type="dxa"/>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涂刷频率</w:t>
            </w:r>
          </w:p>
        </w:tc>
        <w:tc>
          <w:tcPr>
            <w:tcW w:w="1843" w:type="dxa"/>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标志线数量</w:t>
            </w:r>
          </w:p>
        </w:tc>
        <w:tc>
          <w:tcPr>
            <w:tcW w:w="1701" w:type="dxa"/>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预估维护总量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59" w:type="dxa"/>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w:t>
            </w:r>
          </w:p>
        </w:tc>
        <w:tc>
          <w:tcPr>
            <w:tcW w:w="2551" w:type="dxa"/>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跑道标志</w:t>
            </w:r>
          </w:p>
        </w:tc>
        <w:tc>
          <w:tcPr>
            <w:tcW w:w="1701" w:type="dxa"/>
          </w:tcPr>
          <w:p>
            <w:pPr>
              <w:adjustRightInd w:val="0"/>
              <w:snapToGrid w:val="0"/>
              <w:spacing w:after="72" w:line="360" w:lineRule="exact"/>
              <w:jc w:val="center"/>
              <w:rPr>
                <w:rFonts w:cs="Calibri" w:asciiTheme="minorEastAsia" w:hAnsiTheme="minorEastAsia"/>
                <w:color w:val="000000"/>
                <w:sz w:val="22"/>
              </w:rPr>
            </w:pPr>
          </w:p>
        </w:tc>
        <w:tc>
          <w:tcPr>
            <w:tcW w:w="1843" w:type="dxa"/>
          </w:tcPr>
          <w:p>
            <w:pPr>
              <w:adjustRightInd w:val="0"/>
              <w:snapToGrid w:val="0"/>
              <w:spacing w:after="72" w:line="360" w:lineRule="exact"/>
              <w:jc w:val="center"/>
              <w:rPr>
                <w:rFonts w:cs="Calibri" w:asciiTheme="minorEastAsia" w:hAnsiTheme="minorEastAsia"/>
                <w:color w:val="000000"/>
                <w:sz w:val="22"/>
              </w:rPr>
            </w:pPr>
          </w:p>
        </w:tc>
        <w:tc>
          <w:tcPr>
            <w:tcW w:w="1701" w:type="dxa"/>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小计91126㎡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59" w:type="dxa"/>
            <w:vAlign w:val="center"/>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1.1</w:t>
            </w:r>
          </w:p>
        </w:tc>
        <w:tc>
          <w:tcPr>
            <w:tcW w:w="2551" w:type="dxa"/>
            <w:vAlign w:val="center"/>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飞机着陆区域</w:t>
            </w:r>
          </w:p>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中心线标志</w:t>
            </w:r>
          </w:p>
        </w:tc>
        <w:tc>
          <w:tcPr>
            <w:tcW w:w="1701" w:type="dxa"/>
            <w:vAlign w:val="center"/>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1次/15天</w:t>
            </w:r>
          </w:p>
        </w:tc>
        <w:tc>
          <w:tcPr>
            <w:tcW w:w="1843" w:type="dxa"/>
            <w:vAlign w:val="center"/>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1458㎡</w:t>
            </w:r>
          </w:p>
        </w:tc>
        <w:tc>
          <w:tcPr>
            <w:tcW w:w="1701" w:type="dxa"/>
            <w:vAlign w:val="center"/>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34992㎡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59" w:type="dxa"/>
            <w:vAlign w:val="center"/>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1.2</w:t>
            </w:r>
          </w:p>
        </w:tc>
        <w:tc>
          <w:tcPr>
            <w:tcW w:w="2551" w:type="dxa"/>
            <w:vAlign w:val="center"/>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瞄准点标志</w:t>
            </w:r>
          </w:p>
        </w:tc>
        <w:tc>
          <w:tcPr>
            <w:tcW w:w="1701" w:type="dxa"/>
            <w:vAlign w:val="center"/>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1次/季度</w:t>
            </w:r>
          </w:p>
        </w:tc>
        <w:tc>
          <w:tcPr>
            <w:tcW w:w="1843" w:type="dxa"/>
            <w:vAlign w:val="center"/>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3200㎡</w:t>
            </w:r>
          </w:p>
        </w:tc>
        <w:tc>
          <w:tcPr>
            <w:tcW w:w="1701" w:type="dxa"/>
            <w:vAlign w:val="center"/>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12800㎡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59" w:type="dxa"/>
            <w:vAlign w:val="center"/>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1.3</w:t>
            </w:r>
          </w:p>
        </w:tc>
        <w:tc>
          <w:tcPr>
            <w:tcW w:w="2551" w:type="dxa"/>
            <w:vAlign w:val="center"/>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接地带标志</w:t>
            </w:r>
          </w:p>
        </w:tc>
        <w:tc>
          <w:tcPr>
            <w:tcW w:w="1701" w:type="dxa"/>
            <w:vAlign w:val="center"/>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1次/季度</w:t>
            </w:r>
          </w:p>
        </w:tc>
        <w:tc>
          <w:tcPr>
            <w:tcW w:w="1843" w:type="dxa"/>
            <w:vAlign w:val="center"/>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2700㎡</w:t>
            </w:r>
          </w:p>
        </w:tc>
        <w:tc>
          <w:tcPr>
            <w:tcW w:w="1701" w:type="dxa"/>
            <w:vAlign w:val="center"/>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10800㎡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59" w:type="dxa"/>
            <w:vAlign w:val="center"/>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1.4</w:t>
            </w:r>
          </w:p>
        </w:tc>
        <w:tc>
          <w:tcPr>
            <w:tcW w:w="2551" w:type="dxa"/>
            <w:vAlign w:val="center"/>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其他位置的中心线标志</w:t>
            </w:r>
          </w:p>
        </w:tc>
        <w:tc>
          <w:tcPr>
            <w:tcW w:w="1701" w:type="dxa"/>
            <w:vAlign w:val="center"/>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1次/季度</w:t>
            </w:r>
          </w:p>
        </w:tc>
        <w:tc>
          <w:tcPr>
            <w:tcW w:w="1843" w:type="dxa"/>
            <w:vAlign w:val="center"/>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1674㎡</w:t>
            </w:r>
          </w:p>
        </w:tc>
        <w:tc>
          <w:tcPr>
            <w:tcW w:w="1701" w:type="dxa"/>
            <w:vAlign w:val="center"/>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6696㎡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59" w:type="dxa"/>
            <w:vAlign w:val="center"/>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1.5</w:t>
            </w:r>
          </w:p>
        </w:tc>
        <w:tc>
          <w:tcPr>
            <w:tcW w:w="2551" w:type="dxa"/>
            <w:vAlign w:val="center"/>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边线标志</w:t>
            </w:r>
          </w:p>
        </w:tc>
        <w:tc>
          <w:tcPr>
            <w:tcW w:w="1701" w:type="dxa"/>
            <w:vAlign w:val="center"/>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2次/年</w:t>
            </w:r>
          </w:p>
        </w:tc>
        <w:tc>
          <w:tcPr>
            <w:tcW w:w="1843" w:type="dxa"/>
            <w:vAlign w:val="center"/>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9837㎡</w:t>
            </w:r>
          </w:p>
        </w:tc>
        <w:tc>
          <w:tcPr>
            <w:tcW w:w="1701" w:type="dxa"/>
            <w:vAlign w:val="center"/>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19674㎡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59" w:type="dxa"/>
            <w:vAlign w:val="center"/>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1.6</w:t>
            </w:r>
          </w:p>
        </w:tc>
        <w:tc>
          <w:tcPr>
            <w:tcW w:w="2551" w:type="dxa"/>
            <w:vAlign w:val="center"/>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其他跑道标志</w:t>
            </w:r>
          </w:p>
        </w:tc>
        <w:tc>
          <w:tcPr>
            <w:tcW w:w="1701" w:type="dxa"/>
            <w:vAlign w:val="center"/>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2次/年</w:t>
            </w:r>
          </w:p>
        </w:tc>
        <w:tc>
          <w:tcPr>
            <w:tcW w:w="1843" w:type="dxa"/>
            <w:vAlign w:val="center"/>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3082㎡</w:t>
            </w:r>
          </w:p>
        </w:tc>
        <w:tc>
          <w:tcPr>
            <w:tcW w:w="1701" w:type="dxa"/>
            <w:vAlign w:val="center"/>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6164㎡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59" w:type="dxa"/>
            <w:vAlign w:val="center"/>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2</w:t>
            </w:r>
          </w:p>
        </w:tc>
        <w:tc>
          <w:tcPr>
            <w:tcW w:w="2551" w:type="dxa"/>
            <w:vAlign w:val="center"/>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滑行道标志</w:t>
            </w:r>
          </w:p>
        </w:tc>
        <w:tc>
          <w:tcPr>
            <w:tcW w:w="1701" w:type="dxa"/>
            <w:vAlign w:val="center"/>
          </w:tcPr>
          <w:p>
            <w:pPr>
              <w:adjustRightInd w:val="0"/>
              <w:snapToGrid w:val="0"/>
              <w:spacing w:after="72" w:line="360" w:lineRule="exact"/>
              <w:jc w:val="center"/>
              <w:rPr>
                <w:rFonts w:cs="Calibri" w:asciiTheme="minorEastAsia" w:hAnsiTheme="minorEastAsia"/>
                <w:color w:val="000000"/>
                <w:sz w:val="22"/>
              </w:rPr>
            </w:pPr>
          </w:p>
        </w:tc>
        <w:tc>
          <w:tcPr>
            <w:tcW w:w="1843" w:type="dxa"/>
            <w:vAlign w:val="center"/>
          </w:tcPr>
          <w:p>
            <w:pPr>
              <w:adjustRightInd w:val="0"/>
              <w:snapToGrid w:val="0"/>
              <w:spacing w:after="72" w:line="360" w:lineRule="exact"/>
              <w:jc w:val="center"/>
              <w:rPr>
                <w:rFonts w:cs="Calibri" w:asciiTheme="minorEastAsia" w:hAnsiTheme="minorEastAsia"/>
                <w:color w:val="000000"/>
                <w:sz w:val="22"/>
              </w:rPr>
            </w:pPr>
          </w:p>
        </w:tc>
        <w:tc>
          <w:tcPr>
            <w:tcW w:w="1701" w:type="dxa"/>
            <w:vAlign w:val="center"/>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小计61197㎡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59" w:type="dxa"/>
            <w:vAlign w:val="center"/>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2.1</w:t>
            </w:r>
          </w:p>
        </w:tc>
        <w:tc>
          <w:tcPr>
            <w:tcW w:w="2551" w:type="dxa"/>
            <w:vAlign w:val="center"/>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滑行道中线标志</w:t>
            </w:r>
          </w:p>
        </w:tc>
        <w:tc>
          <w:tcPr>
            <w:tcW w:w="1701" w:type="dxa"/>
            <w:vAlign w:val="center"/>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1次/年</w:t>
            </w:r>
          </w:p>
        </w:tc>
        <w:tc>
          <w:tcPr>
            <w:tcW w:w="1843" w:type="dxa"/>
            <w:vAlign w:val="center"/>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10466㎡</w:t>
            </w:r>
          </w:p>
        </w:tc>
        <w:tc>
          <w:tcPr>
            <w:tcW w:w="1701" w:type="dxa"/>
            <w:vAlign w:val="center"/>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10466㎡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59" w:type="dxa"/>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2.2</w:t>
            </w:r>
          </w:p>
        </w:tc>
        <w:tc>
          <w:tcPr>
            <w:tcW w:w="2551" w:type="dxa"/>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滑行道边线标志</w:t>
            </w:r>
          </w:p>
        </w:tc>
        <w:tc>
          <w:tcPr>
            <w:tcW w:w="1701" w:type="dxa"/>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1次/年</w:t>
            </w:r>
          </w:p>
        </w:tc>
        <w:tc>
          <w:tcPr>
            <w:tcW w:w="1843" w:type="dxa"/>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34251㎡</w:t>
            </w:r>
          </w:p>
        </w:tc>
        <w:tc>
          <w:tcPr>
            <w:tcW w:w="1701" w:type="dxa"/>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34251㎡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59" w:type="dxa"/>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2.3</w:t>
            </w:r>
          </w:p>
        </w:tc>
        <w:tc>
          <w:tcPr>
            <w:tcW w:w="2551" w:type="dxa"/>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地面信息标志</w:t>
            </w:r>
          </w:p>
        </w:tc>
        <w:tc>
          <w:tcPr>
            <w:tcW w:w="1701" w:type="dxa"/>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1次/年</w:t>
            </w:r>
          </w:p>
        </w:tc>
        <w:tc>
          <w:tcPr>
            <w:tcW w:w="1843" w:type="dxa"/>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11680㎡</w:t>
            </w:r>
          </w:p>
        </w:tc>
        <w:tc>
          <w:tcPr>
            <w:tcW w:w="1701" w:type="dxa"/>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11680㎡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59" w:type="dxa"/>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2.4</w:t>
            </w:r>
          </w:p>
        </w:tc>
        <w:tc>
          <w:tcPr>
            <w:tcW w:w="2551" w:type="dxa"/>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各类滑行道标志</w:t>
            </w:r>
          </w:p>
        </w:tc>
        <w:tc>
          <w:tcPr>
            <w:tcW w:w="1701" w:type="dxa"/>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1次/年</w:t>
            </w:r>
          </w:p>
        </w:tc>
        <w:tc>
          <w:tcPr>
            <w:tcW w:w="1843" w:type="dxa"/>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4800㎡</w:t>
            </w:r>
          </w:p>
        </w:tc>
        <w:tc>
          <w:tcPr>
            <w:tcW w:w="1701" w:type="dxa"/>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4800㎡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59" w:type="dxa"/>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3</w:t>
            </w:r>
          </w:p>
        </w:tc>
        <w:tc>
          <w:tcPr>
            <w:tcW w:w="2551" w:type="dxa"/>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机坪标志</w:t>
            </w:r>
          </w:p>
        </w:tc>
        <w:tc>
          <w:tcPr>
            <w:tcW w:w="1701" w:type="dxa"/>
          </w:tcPr>
          <w:p>
            <w:pPr>
              <w:adjustRightInd w:val="0"/>
              <w:snapToGrid w:val="0"/>
              <w:spacing w:after="72" w:line="360" w:lineRule="exact"/>
              <w:jc w:val="center"/>
              <w:rPr>
                <w:rFonts w:cs="Calibri" w:asciiTheme="minorEastAsia" w:hAnsiTheme="minorEastAsia"/>
                <w:color w:val="000000"/>
                <w:sz w:val="22"/>
              </w:rPr>
            </w:pPr>
          </w:p>
        </w:tc>
        <w:tc>
          <w:tcPr>
            <w:tcW w:w="1843" w:type="dxa"/>
          </w:tcPr>
          <w:p>
            <w:pPr>
              <w:adjustRightInd w:val="0"/>
              <w:snapToGrid w:val="0"/>
              <w:spacing w:after="72" w:line="360" w:lineRule="exact"/>
              <w:jc w:val="center"/>
              <w:rPr>
                <w:rFonts w:cs="Calibri" w:asciiTheme="minorEastAsia" w:hAnsiTheme="minorEastAsia"/>
                <w:color w:val="000000"/>
                <w:sz w:val="22"/>
              </w:rPr>
            </w:pPr>
          </w:p>
        </w:tc>
        <w:tc>
          <w:tcPr>
            <w:tcW w:w="1701" w:type="dxa"/>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小计77460㎡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59" w:type="dxa"/>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3.1</w:t>
            </w:r>
          </w:p>
        </w:tc>
        <w:tc>
          <w:tcPr>
            <w:tcW w:w="2551" w:type="dxa"/>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各类机位标志</w:t>
            </w:r>
          </w:p>
        </w:tc>
        <w:tc>
          <w:tcPr>
            <w:tcW w:w="1701" w:type="dxa"/>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1次/年</w:t>
            </w:r>
          </w:p>
        </w:tc>
        <w:tc>
          <w:tcPr>
            <w:tcW w:w="1843" w:type="dxa"/>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34000㎡</w:t>
            </w:r>
          </w:p>
        </w:tc>
        <w:tc>
          <w:tcPr>
            <w:tcW w:w="1701" w:type="dxa"/>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34000㎡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59" w:type="dxa"/>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3.2</w:t>
            </w:r>
          </w:p>
        </w:tc>
        <w:tc>
          <w:tcPr>
            <w:tcW w:w="2551" w:type="dxa"/>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服务车道标志</w:t>
            </w:r>
          </w:p>
        </w:tc>
        <w:tc>
          <w:tcPr>
            <w:tcW w:w="1701" w:type="dxa"/>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3次/年</w:t>
            </w:r>
          </w:p>
        </w:tc>
        <w:tc>
          <w:tcPr>
            <w:tcW w:w="1843" w:type="dxa"/>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9900㎡</w:t>
            </w:r>
          </w:p>
        </w:tc>
        <w:tc>
          <w:tcPr>
            <w:tcW w:w="1701" w:type="dxa"/>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29700㎡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59" w:type="dxa"/>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3.3</w:t>
            </w:r>
          </w:p>
        </w:tc>
        <w:tc>
          <w:tcPr>
            <w:tcW w:w="2551" w:type="dxa"/>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机位号码标志</w:t>
            </w:r>
          </w:p>
        </w:tc>
        <w:tc>
          <w:tcPr>
            <w:tcW w:w="1701" w:type="dxa"/>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1次/年</w:t>
            </w:r>
          </w:p>
        </w:tc>
        <w:tc>
          <w:tcPr>
            <w:tcW w:w="1843" w:type="dxa"/>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13760㎡</w:t>
            </w:r>
          </w:p>
        </w:tc>
        <w:tc>
          <w:tcPr>
            <w:tcW w:w="1701" w:type="dxa"/>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13760㎡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59" w:type="dxa"/>
          </w:tcPr>
          <w:p>
            <w:pPr>
              <w:adjustRightInd w:val="0"/>
              <w:snapToGrid w:val="0"/>
              <w:spacing w:after="72" w:line="360" w:lineRule="exact"/>
              <w:jc w:val="center"/>
              <w:rPr>
                <w:rFonts w:cs="Calibri" w:asciiTheme="minorEastAsia" w:hAnsiTheme="minorEastAsia"/>
                <w:color w:val="000000"/>
                <w:sz w:val="22"/>
              </w:rPr>
            </w:pPr>
          </w:p>
        </w:tc>
        <w:tc>
          <w:tcPr>
            <w:tcW w:w="2551" w:type="dxa"/>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总计</w:t>
            </w:r>
          </w:p>
        </w:tc>
        <w:tc>
          <w:tcPr>
            <w:tcW w:w="1701" w:type="dxa"/>
          </w:tcPr>
          <w:p>
            <w:pPr>
              <w:adjustRightInd w:val="0"/>
              <w:snapToGrid w:val="0"/>
              <w:spacing w:after="72" w:line="360" w:lineRule="exact"/>
              <w:jc w:val="center"/>
              <w:rPr>
                <w:rFonts w:cs="Calibri" w:asciiTheme="minorEastAsia" w:hAnsiTheme="minorEastAsia"/>
                <w:color w:val="000000"/>
                <w:sz w:val="22"/>
              </w:rPr>
            </w:pPr>
          </w:p>
        </w:tc>
        <w:tc>
          <w:tcPr>
            <w:tcW w:w="1843" w:type="dxa"/>
          </w:tcPr>
          <w:p>
            <w:pPr>
              <w:adjustRightInd w:val="0"/>
              <w:snapToGrid w:val="0"/>
              <w:spacing w:after="72" w:line="360" w:lineRule="exact"/>
              <w:jc w:val="center"/>
              <w:rPr>
                <w:rFonts w:cs="Calibri" w:asciiTheme="minorEastAsia" w:hAnsiTheme="minorEastAsia"/>
                <w:color w:val="000000"/>
                <w:sz w:val="22"/>
              </w:rPr>
            </w:pPr>
          </w:p>
        </w:tc>
        <w:tc>
          <w:tcPr>
            <w:tcW w:w="1701" w:type="dxa"/>
          </w:tcPr>
          <w:p>
            <w:pPr>
              <w:adjustRightInd w:val="0"/>
              <w:snapToGrid w:val="0"/>
              <w:spacing w:after="72" w:line="360" w:lineRule="exact"/>
              <w:jc w:val="center"/>
              <w:rPr>
                <w:rFonts w:cs="Calibri" w:asciiTheme="minorEastAsia" w:hAnsiTheme="minorEastAsia"/>
                <w:color w:val="000000"/>
                <w:sz w:val="22"/>
              </w:rPr>
            </w:pPr>
            <w:r>
              <w:rPr>
                <w:rFonts w:hint="eastAsia" w:cs="Calibri" w:asciiTheme="minorEastAsia" w:hAnsiTheme="minorEastAsia"/>
                <w:color w:val="000000"/>
                <w:sz w:val="22"/>
              </w:rPr>
              <w:t>229783㎡</w:t>
            </w:r>
          </w:p>
        </w:tc>
      </w:tr>
    </w:tbl>
    <w:p>
      <w:pPr>
        <w:adjustRightInd w:val="0"/>
        <w:snapToGrid w:val="0"/>
        <w:spacing w:after="72" w:line="360" w:lineRule="exact"/>
        <w:rPr>
          <w:rFonts w:cs="Calibri" w:asciiTheme="minorEastAsia" w:hAnsiTheme="minorEastAsia"/>
          <w:color w:val="000000"/>
          <w:sz w:val="22"/>
        </w:rPr>
      </w:pPr>
    </w:p>
    <w:p>
      <w:pPr>
        <w:adjustRightInd w:val="0"/>
        <w:snapToGrid w:val="0"/>
        <w:spacing w:after="72" w:line="360" w:lineRule="exact"/>
        <w:ind w:firstLine="440"/>
        <w:rPr>
          <w:rFonts w:cs="Calibri" w:asciiTheme="minorEastAsia" w:hAnsiTheme="minorEastAsia"/>
          <w:color w:val="000000"/>
          <w:sz w:val="22"/>
        </w:rPr>
      </w:pPr>
      <w:r>
        <w:rPr>
          <w:rFonts w:cs="Calibri" w:asciiTheme="minorEastAsia" w:hAnsiTheme="minorEastAsia"/>
          <w:color w:val="000000"/>
          <w:sz w:val="22"/>
        </w:rPr>
        <w:t>2．内容说明及要求</w:t>
      </w:r>
    </w:p>
    <w:p>
      <w:pPr>
        <w:adjustRightInd w:val="0"/>
        <w:snapToGrid w:val="0"/>
        <w:spacing w:after="72"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2.1 </w:t>
      </w:r>
      <w:r>
        <w:rPr>
          <w:rFonts w:hint="eastAsia" w:cs="Calibri" w:asciiTheme="minorEastAsia" w:hAnsiTheme="minorEastAsia"/>
          <w:color w:val="000000"/>
          <w:sz w:val="22"/>
        </w:rPr>
        <w:t>维护能力要求</w:t>
      </w:r>
    </w:p>
    <w:p>
      <w:pPr>
        <w:adjustRightInd w:val="0"/>
        <w:snapToGrid w:val="0"/>
        <w:spacing w:after="72" w:line="360" w:lineRule="exact"/>
        <w:ind w:firstLine="440"/>
        <w:rPr>
          <w:rFonts w:cs="Calibri" w:asciiTheme="minorEastAsia" w:hAnsiTheme="minorEastAsia"/>
          <w:color w:val="000000"/>
          <w:sz w:val="22"/>
        </w:rPr>
      </w:pPr>
      <w:r>
        <w:rPr>
          <w:rFonts w:cs="Calibri" w:asciiTheme="minorEastAsia" w:hAnsiTheme="minorEastAsia"/>
          <w:color w:val="000000"/>
          <w:sz w:val="22"/>
        </w:rPr>
        <w:t>2.1.1投标</w:t>
      </w:r>
      <w:r>
        <w:rPr>
          <w:rFonts w:hint="eastAsia" w:cs="Calibri" w:asciiTheme="minorEastAsia" w:hAnsiTheme="minorEastAsia"/>
          <w:color w:val="000000"/>
          <w:sz w:val="22"/>
        </w:rPr>
        <w:t>人</w:t>
      </w:r>
      <w:r>
        <w:rPr>
          <w:rFonts w:cs="Calibri" w:asciiTheme="minorEastAsia" w:hAnsiTheme="minorEastAsia"/>
          <w:color w:val="000000"/>
          <w:sz w:val="22"/>
        </w:rPr>
        <w:t>需具备溶剂型漆料的划线、</w:t>
      </w:r>
      <w:r>
        <w:rPr>
          <w:rFonts w:hint="eastAsia" w:cs="Calibri" w:asciiTheme="minorEastAsia" w:hAnsiTheme="minorEastAsia"/>
          <w:color w:val="000000"/>
          <w:sz w:val="22"/>
        </w:rPr>
        <w:t>除线能力。</w:t>
      </w:r>
    </w:p>
    <w:p>
      <w:pPr>
        <w:adjustRightInd w:val="0"/>
        <w:snapToGrid w:val="0"/>
        <w:spacing w:after="72" w:line="360" w:lineRule="exact"/>
        <w:ind w:firstLine="440"/>
        <w:rPr>
          <w:rFonts w:cs="Calibri" w:asciiTheme="minorEastAsia" w:hAnsiTheme="minorEastAsia"/>
          <w:color w:val="000000"/>
          <w:sz w:val="22"/>
        </w:rPr>
      </w:pPr>
      <w:r>
        <w:rPr>
          <w:rFonts w:cs="Calibri" w:asciiTheme="minorEastAsia" w:hAnsiTheme="minorEastAsia"/>
          <w:color w:val="000000"/>
          <w:sz w:val="22"/>
        </w:rPr>
        <w:t>2.1.2 一般情况下，跑道、滑行道的标志线维护时间为每天的0</w:t>
      </w:r>
      <w:r>
        <w:rPr>
          <w:rFonts w:hint="eastAsia" w:cs="Calibri" w:asciiTheme="minorEastAsia" w:hAnsiTheme="minorEastAsia"/>
          <w:color w:val="000000"/>
          <w:sz w:val="22"/>
        </w:rPr>
        <w:t>2</w:t>
      </w:r>
      <w:r>
        <w:rPr>
          <w:rFonts w:cs="Calibri" w:asciiTheme="minorEastAsia" w:hAnsiTheme="minorEastAsia"/>
          <w:color w:val="000000"/>
          <w:sz w:val="22"/>
        </w:rPr>
        <w:t>:00-06:00</w:t>
      </w:r>
      <w:r>
        <w:rPr>
          <w:rFonts w:hint="eastAsia" w:cs="Calibri" w:asciiTheme="minorEastAsia" w:hAnsiTheme="minorEastAsia"/>
          <w:color w:val="000000"/>
          <w:sz w:val="22"/>
        </w:rPr>
        <w:t>。</w:t>
      </w:r>
    </w:p>
    <w:p>
      <w:pPr>
        <w:adjustRightInd w:val="0"/>
        <w:snapToGrid w:val="0"/>
        <w:spacing w:after="72" w:line="360" w:lineRule="exact"/>
        <w:ind w:firstLine="440"/>
        <w:rPr>
          <w:rFonts w:cs="Calibri" w:asciiTheme="minorEastAsia" w:hAnsiTheme="minorEastAsia"/>
          <w:b/>
          <w:bCs/>
          <w:color w:val="000000"/>
          <w:sz w:val="22"/>
        </w:rPr>
      </w:pPr>
      <w:r>
        <w:rPr>
          <w:rFonts w:hint="eastAsia" w:ascii="仿宋_GB2312" w:hAnsi="仿宋_GB2312" w:eastAsia="仿宋_GB2312" w:cs="仿宋_GB2312"/>
          <w:b/>
          <w:bCs/>
          <w:color w:val="000000"/>
          <w:sz w:val="22"/>
        </w:rPr>
        <w:t>★</w:t>
      </w:r>
      <w:r>
        <w:rPr>
          <w:rFonts w:cs="Calibri" w:asciiTheme="minorEastAsia" w:hAnsiTheme="minorEastAsia"/>
          <w:b/>
          <w:bCs/>
          <w:color w:val="000000"/>
          <w:sz w:val="22"/>
        </w:rPr>
        <w:t xml:space="preserve">2.1.3 </w:t>
      </w:r>
      <w:r>
        <w:rPr>
          <w:rFonts w:hint="eastAsia" w:ascii="宋体" w:hAnsi="宋体" w:cs="宋体"/>
          <w:b/>
          <w:bCs/>
          <w:sz w:val="22"/>
        </w:rPr>
        <w:t>投标人</w:t>
      </w:r>
      <w:r>
        <w:rPr>
          <w:rFonts w:hint="eastAsia" w:cs="Calibri" w:asciiTheme="minorEastAsia" w:hAnsiTheme="minorEastAsia"/>
          <w:b/>
          <w:bCs/>
          <w:color w:val="000000"/>
          <w:sz w:val="22"/>
        </w:rPr>
        <w:t>施工人员不得少于</w:t>
      </w:r>
      <w:r>
        <w:rPr>
          <w:rFonts w:cs="Calibri" w:asciiTheme="minorEastAsia" w:hAnsiTheme="minorEastAsia"/>
          <w:b/>
          <w:bCs/>
          <w:color w:val="000000"/>
          <w:sz w:val="22"/>
        </w:rPr>
        <w:t>6人</w:t>
      </w:r>
      <w:r>
        <w:rPr>
          <w:rFonts w:hint="eastAsia" w:cs="Calibri" w:asciiTheme="minorEastAsia" w:hAnsiTheme="minorEastAsia"/>
          <w:b/>
          <w:bCs/>
          <w:color w:val="000000"/>
          <w:sz w:val="22"/>
        </w:rPr>
        <w:t>。</w:t>
      </w:r>
      <w:r>
        <w:rPr>
          <w:rFonts w:hint="eastAsia" w:ascii="宋体" w:hAnsi="宋体" w:cs="宋体"/>
          <w:b/>
          <w:bCs/>
          <w:sz w:val="22"/>
        </w:rPr>
        <w:t>须提供24小时响应服务，在接到发包人施工指令通知后1小时内集结到位。</w:t>
      </w:r>
    </w:p>
    <w:p>
      <w:pPr>
        <w:adjustRightInd w:val="0"/>
        <w:snapToGrid w:val="0"/>
        <w:spacing w:after="72"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2.1.4 接到招标人开工指令后，投标人须在</w:t>
      </w:r>
      <w:r>
        <w:rPr>
          <w:rFonts w:cs="Calibri" w:asciiTheme="minorEastAsia" w:hAnsiTheme="minorEastAsia"/>
          <w:color w:val="000000"/>
          <w:sz w:val="22"/>
        </w:rPr>
        <w:t>3</w:t>
      </w:r>
      <w:r>
        <w:rPr>
          <w:rFonts w:hint="eastAsia" w:cs="Calibri" w:asciiTheme="minorEastAsia" w:hAnsiTheme="minorEastAsia"/>
          <w:color w:val="000000"/>
          <w:sz w:val="22"/>
        </w:rPr>
        <w:t>天内组织好施工人员、机械设备进场施工。</w:t>
      </w:r>
    </w:p>
    <w:p>
      <w:pPr>
        <w:adjustRightInd w:val="0"/>
        <w:snapToGrid w:val="0"/>
        <w:spacing w:after="72" w:line="360" w:lineRule="exact"/>
        <w:ind w:firstLine="440"/>
        <w:rPr>
          <w:rFonts w:cs="Calibri" w:asciiTheme="minorEastAsia" w:hAnsiTheme="minorEastAsia"/>
          <w:color w:val="000000"/>
          <w:sz w:val="22"/>
        </w:rPr>
      </w:pPr>
      <w:r>
        <w:rPr>
          <w:rFonts w:cs="Calibri" w:asciiTheme="minorEastAsia" w:hAnsiTheme="minorEastAsia"/>
          <w:color w:val="000000"/>
          <w:sz w:val="22"/>
        </w:rPr>
        <w:t>2.1.</w:t>
      </w:r>
      <w:r>
        <w:rPr>
          <w:rFonts w:hint="eastAsia" w:cs="Calibri" w:asciiTheme="minorEastAsia" w:hAnsiTheme="minorEastAsia"/>
          <w:color w:val="000000"/>
          <w:sz w:val="22"/>
        </w:rPr>
        <w:t>5</w:t>
      </w:r>
      <w:r>
        <w:rPr>
          <w:rFonts w:cs="Calibri" w:asciiTheme="minorEastAsia" w:hAnsiTheme="minorEastAsia"/>
          <w:color w:val="000000"/>
          <w:sz w:val="22"/>
        </w:rPr>
        <w:t xml:space="preserve"> </w:t>
      </w:r>
      <w:r>
        <w:rPr>
          <w:rFonts w:hint="eastAsia" w:cs="Calibri" w:asciiTheme="minorEastAsia" w:hAnsiTheme="minorEastAsia"/>
          <w:color w:val="000000"/>
          <w:sz w:val="22"/>
        </w:rPr>
        <w:t>投标人需保障施工作业质量达标，稀料配比合理以及工艺流程规范，保证标志线在质保期内不出现掉皮、脱色等质量问题。</w:t>
      </w:r>
    </w:p>
    <w:p>
      <w:pPr>
        <w:adjustRightInd w:val="0"/>
        <w:snapToGrid w:val="0"/>
        <w:spacing w:after="72"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2.2 </w:t>
      </w:r>
      <w:r>
        <w:rPr>
          <w:rFonts w:hint="eastAsia" w:cs="Calibri" w:asciiTheme="minorEastAsia" w:hAnsiTheme="minorEastAsia"/>
          <w:color w:val="000000"/>
          <w:sz w:val="22"/>
        </w:rPr>
        <w:t>材料及设备要求</w:t>
      </w:r>
    </w:p>
    <w:p>
      <w:pPr>
        <w:adjustRightInd w:val="0"/>
        <w:snapToGrid w:val="0"/>
        <w:spacing w:after="72" w:line="360" w:lineRule="exact"/>
        <w:ind w:left="9345" w:leftChars="50" w:hanging="9240" w:hangingChars="4200"/>
        <w:rPr>
          <w:rFonts w:cs="Calibri" w:asciiTheme="minorEastAsia" w:hAnsiTheme="minorEastAsia"/>
          <w:color w:val="000000"/>
          <w:sz w:val="22"/>
        </w:rPr>
      </w:pPr>
      <w:r>
        <w:rPr>
          <w:rFonts w:hint="eastAsia" w:cs="Calibri" w:asciiTheme="minorEastAsia" w:hAnsiTheme="minorEastAsia"/>
          <w:color w:val="000000"/>
          <w:sz w:val="22"/>
        </w:rPr>
        <w:t xml:space="preserve">    </w:t>
      </w:r>
      <w:r>
        <w:rPr>
          <w:rFonts w:cs="Calibri" w:asciiTheme="minorEastAsia" w:hAnsiTheme="minorEastAsia"/>
          <w:color w:val="000000"/>
          <w:sz w:val="22"/>
        </w:rPr>
        <w:t xml:space="preserve">2.2.1 </w:t>
      </w:r>
      <w:r>
        <w:rPr>
          <w:rFonts w:hint="eastAsia" w:cs="Calibri" w:asciiTheme="minorEastAsia" w:hAnsiTheme="minorEastAsia"/>
          <w:color w:val="000000"/>
          <w:sz w:val="22"/>
        </w:rPr>
        <w:t>投标人需备齐各色足量的溶剂型漆料，并按照招标人要求进行存放。</w:t>
      </w:r>
    </w:p>
    <w:bookmarkEnd w:id="96"/>
    <w:bookmarkEnd w:id="97"/>
    <w:bookmarkEnd w:id="98"/>
    <w:bookmarkEnd w:id="99"/>
    <w:bookmarkEnd w:id="100"/>
    <w:p>
      <w:pPr>
        <w:adjustRightInd w:val="0"/>
        <w:snapToGrid w:val="0"/>
        <w:spacing w:after="72" w:line="360" w:lineRule="exact"/>
        <w:ind w:firstLine="440"/>
        <w:rPr>
          <w:rFonts w:cs="Calibri" w:asciiTheme="minorEastAsia" w:hAnsiTheme="minorEastAsia"/>
          <w:b/>
          <w:bCs/>
          <w:color w:val="000000"/>
          <w:sz w:val="22"/>
        </w:rPr>
      </w:pPr>
      <w:r>
        <w:rPr>
          <w:rFonts w:hint="eastAsia" w:ascii="仿宋_GB2312" w:hAnsi="仿宋_GB2312" w:eastAsia="仿宋_GB2312" w:cs="仿宋_GB2312"/>
          <w:b/>
          <w:bCs/>
          <w:color w:val="000000"/>
          <w:sz w:val="22"/>
        </w:rPr>
        <w:t>★</w:t>
      </w:r>
      <w:r>
        <w:rPr>
          <w:rFonts w:cs="Calibri" w:asciiTheme="minorEastAsia" w:hAnsiTheme="minorEastAsia"/>
          <w:b/>
          <w:bCs/>
          <w:color w:val="000000"/>
          <w:sz w:val="22"/>
        </w:rPr>
        <w:t>2.2.2投标人</w:t>
      </w:r>
      <w:r>
        <w:rPr>
          <w:rFonts w:hint="eastAsia" w:cs="Calibri" w:asciiTheme="minorEastAsia" w:hAnsiTheme="minorEastAsia"/>
          <w:b/>
          <w:bCs/>
          <w:color w:val="000000"/>
          <w:sz w:val="22"/>
        </w:rPr>
        <w:t>须对所</w:t>
      </w:r>
      <w:r>
        <w:rPr>
          <w:rFonts w:cs="Calibri" w:asciiTheme="minorEastAsia" w:hAnsiTheme="minorEastAsia"/>
          <w:b/>
          <w:bCs/>
          <w:color w:val="000000"/>
          <w:sz w:val="22"/>
        </w:rPr>
        <w:t>使用漆料提供具有CMA认证的检测机构出具的检测报告。其中主要技术指标</w:t>
      </w:r>
      <w:r>
        <w:rPr>
          <w:rFonts w:hint="eastAsia" w:cs="Calibri" w:asciiTheme="minorEastAsia" w:hAnsiTheme="minorEastAsia"/>
          <w:b/>
          <w:bCs/>
          <w:color w:val="000000"/>
          <w:sz w:val="22"/>
        </w:rPr>
        <w:t>须</w:t>
      </w:r>
      <w:r>
        <w:rPr>
          <w:rFonts w:cs="Calibri" w:asciiTheme="minorEastAsia" w:hAnsiTheme="minorEastAsia"/>
          <w:b/>
          <w:bCs/>
          <w:color w:val="000000"/>
          <w:sz w:val="22"/>
        </w:rPr>
        <w:t>满足如下要求</w:t>
      </w:r>
      <w:r>
        <w:rPr>
          <w:rFonts w:hint="eastAsia" w:cs="Calibri" w:asciiTheme="minorEastAsia" w:hAnsiTheme="minorEastAsia"/>
          <w:b/>
          <w:bCs/>
          <w:color w:val="000000"/>
          <w:sz w:val="22"/>
        </w:rPr>
        <w:t>，</w:t>
      </w:r>
      <w:r>
        <w:rPr>
          <w:rFonts w:hint="eastAsia" w:ascii="宋体" w:hAnsi="宋体" w:cs="Arial"/>
          <w:b/>
        </w:rPr>
        <w:t>以下技术要求中的所有技术条款投标人必须在检测报告中进行实质性应答，列出具体参数或描述；招标人将通过网络等渠道进行核实，如不做应答或有不实应答或应答不满足技术要求，将对投标人进行否决投标处理。</w:t>
      </w:r>
    </w:p>
    <w:p>
      <w:pPr>
        <w:adjustRightInd w:val="0"/>
        <w:snapToGrid w:val="0"/>
        <w:spacing w:after="72" w:line="360" w:lineRule="exact"/>
        <w:ind w:firstLine="440"/>
        <w:rPr>
          <w:rFonts w:cs="Calibri" w:asciiTheme="minorEastAsia" w:hAnsiTheme="minorEastAsia"/>
          <w:b/>
          <w:bCs/>
          <w:color w:val="000000"/>
          <w:sz w:val="22"/>
        </w:rPr>
      </w:pPr>
      <w:r>
        <w:rPr>
          <w:rFonts w:hint="eastAsia" w:ascii="宋体" w:hAnsi="宋体" w:cs="微软雅黑"/>
          <w:b/>
          <w:bCs/>
          <w:szCs w:val="21"/>
        </w:rPr>
        <w:t>★</w:t>
      </w:r>
      <w:r>
        <w:rPr>
          <w:rFonts w:cs="Calibri" w:asciiTheme="minorEastAsia" w:hAnsiTheme="minorEastAsia"/>
          <w:b/>
          <w:bCs/>
          <w:color w:val="000000"/>
          <w:sz w:val="22"/>
        </w:rPr>
        <w:t>主要技术要求如下：</w:t>
      </w:r>
    </w:p>
    <w:p>
      <w:pPr>
        <w:spacing w:before="75"/>
        <w:ind w:left="3661" w:right="-20"/>
        <w:rPr>
          <w:rFonts w:ascii="宋体" w:hAnsi="宋体" w:cs="微软雅黑"/>
          <w:b/>
          <w:bCs/>
          <w:szCs w:val="21"/>
        </w:rPr>
      </w:pPr>
      <w:r>
        <w:rPr>
          <w:rFonts w:hint="eastAsia" w:ascii="宋体" w:hAnsi="宋体" w:cs="微软雅黑"/>
          <w:b/>
          <w:bCs/>
          <w:spacing w:val="1"/>
          <w:szCs w:val="21"/>
        </w:rPr>
        <w:t>丙烯酸</w:t>
      </w:r>
      <w:r>
        <w:rPr>
          <w:rFonts w:hint="eastAsia" w:ascii="宋体" w:hAnsi="宋体" w:cs="微软雅黑"/>
          <w:b/>
          <w:bCs/>
          <w:szCs w:val="21"/>
        </w:rPr>
        <w:t>漆主</w:t>
      </w:r>
      <w:r>
        <w:rPr>
          <w:rFonts w:hint="eastAsia" w:ascii="宋体" w:hAnsi="宋体" w:cs="微软雅黑"/>
          <w:b/>
          <w:bCs/>
          <w:spacing w:val="1"/>
          <w:szCs w:val="21"/>
        </w:rPr>
        <w:t>要技术</w:t>
      </w:r>
      <w:r>
        <w:rPr>
          <w:rFonts w:hint="eastAsia" w:ascii="宋体" w:hAnsi="宋体" w:cs="微软雅黑"/>
          <w:b/>
          <w:bCs/>
          <w:szCs w:val="21"/>
        </w:rPr>
        <w:t>参数</w:t>
      </w:r>
    </w:p>
    <w:tbl>
      <w:tblPr>
        <w:tblStyle w:val="58"/>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55"/>
        <w:gridCol w:w="714"/>
        <w:gridCol w:w="51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369" w:type="dxa"/>
            <w:gridSpan w:val="2"/>
          </w:tcPr>
          <w:p>
            <w:pPr>
              <w:rPr>
                <w:rFonts w:ascii="宋体" w:hAnsi="宋体" w:cs="微软雅黑"/>
                <w:b/>
                <w:bCs/>
                <w:szCs w:val="21"/>
              </w:rPr>
            </w:pPr>
            <w:r>
              <w:rPr>
                <w:rFonts w:hint="eastAsia" w:ascii="宋体" w:hAnsi="宋体" w:cs="微软雅黑"/>
                <w:b/>
                <w:bCs/>
                <w:szCs w:val="21"/>
              </w:rPr>
              <w:t>项目</w:t>
            </w:r>
          </w:p>
        </w:tc>
        <w:tc>
          <w:tcPr>
            <w:tcW w:w="5153" w:type="dxa"/>
          </w:tcPr>
          <w:p>
            <w:pPr>
              <w:rPr>
                <w:rFonts w:ascii="宋体" w:hAnsi="宋体" w:cs="微软雅黑"/>
                <w:b/>
                <w:bCs/>
                <w:szCs w:val="21"/>
              </w:rPr>
            </w:pPr>
            <w:r>
              <w:rPr>
                <w:rFonts w:hint="eastAsia" w:ascii="宋体" w:hAnsi="宋体" w:cs="微软雅黑"/>
                <w:b/>
                <w:bCs/>
                <w:szCs w:val="21"/>
              </w:rPr>
              <w:t>溶剂型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369" w:type="dxa"/>
            <w:gridSpan w:val="2"/>
          </w:tcPr>
          <w:p>
            <w:pPr>
              <w:rPr>
                <w:rFonts w:ascii="宋体" w:hAnsi="宋体" w:cs="微软雅黑"/>
                <w:b/>
                <w:bCs/>
                <w:szCs w:val="21"/>
              </w:rPr>
            </w:pPr>
            <w:r>
              <w:rPr>
                <w:rFonts w:hint="eastAsia" w:ascii="宋体" w:hAnsi="宋体" w:cs="微软雅黑"/>
                <w:b/>
                <w:bCs/>
                <w:szCs w:val="21"/>
              </w:rPr>
              <w:t>容器中状态</w:t>
            </w:r>
          </w:p>
        </w:tc>
        <w:tc>
          <w:tcPr>
            <w:tcW w:w="5153" w:type="dxa"/>
          </w:tcPr>
          <w:p>
            <w:pPr>
              <w:rPr>
                <w:rFonts w:ascii="宋体" w:hAnsi="宋体" w:cs="微软雅黑"/>
                <w:b/>
                <w:bCs/>
                <w:szCs w:val="21"/>
              </w:rPr>
            </w:pPr>
            <w:r>
              <w:rPr>
                <w:rFonts w:hint="eastAsia" w:ascii="宋体" w:hAnsi="宋体" w:cs="微软雅黑"/>
                <w:b/>
                <w:bCs/>
                <w:szCs w:val="21"/>
              </w:rPr>
              <w:t>应无结块、结皮现象，易于搅匀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369" w:type="dxa"/>
            <w:gridSpan w:val="2"/>
          </w:tcPr>
          <w:p>
            <w:pPr>
              <w:rPr>
                <w:rFonts w:ascii="宋体" w:hAnsi="宋体" w:cs="微软雅黑"/>
                <w:b/>
                <w:bCs/>
                <w:szCs w:val="21"/>
              </w:rPr>
            </w:pPr>
            <w:r>
              <w:rPr>
                <w:rFonts w:hint="eastAsia" w:ascii="宋体" w:hAnsi="宋体" w:cs="微软雅黑"/>
                <w:b/>
                <w:bCs/>
                <w:szCs w:val="21"/>
              </w:rPr>
              <w:t>粘度</w:t>
            </w:r>
          </w:p>
        </w:tc>
        <w:tc>
          <w:tcPr>
            <w:tcW w:w="5153" w:type="dxa"/>
          </w:tcPr>
          <w:p>
            <w:pPr>
              <w:rPr>
                <w:rFonts w:ascii="宋体" w:hAnsi="宋体" w:cs="微软雅黑"/>
                <w:b/>
                <w:bCs/>
                <w:szCs w:val="21"/>
              </w:rPr>
            </w:pPr>
            <w:r>
              <w:rPr>
                <w:rFonts w:hint="eastAsia" w:ascii="宋体" w:hAnsi="宋体" w:cs="微软雅黑"/>
                <w:b/>
                <w:bCs/>
                <w:szCs w:val="21"/>
              </w:rPr>
              <w:t>≧100（涂4杯，s）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369" w:type="dxa"/>
            <w:gridSpan w:val="2"/>
          </w:tcPr>
          <w:p>
            <w:pPr>
              <w:rPr>
                <w:rFonts w:ascii="宋体" w:hAnsi="宋体" w:cs="微软雅黑"/>
                <w:b/>
                <w:bCs/>
                <w:szCs w:val="21"/>
              </w:rPr>
            </w:pPr>
            <w:r>
              <w:rPr>
                <w:rFonts w:hint="eastAsia" w:ascii="宋体" w:hAnsi="宋体" w:cs="微软雅黑"/>
                <w:b/>
                <w:bCs/>
                <w:szCs w:val="21"/>
              </w:rPr>
              <w:t>密度（g/cm3）</w:t>
            </w:r>
          </w:p>
        </w:tc>
        <w:tc>
          <w:tcPr>
            <w:tcW w:w="5153" w:type="dxa"/>
          </w:tcPr>
          <w:p>
            <w:pPr>
              <w:rPr>
                <w:rFonts w:ascii="宋体" w:hAnsi="宋体" w:cs="微软雅黑"/>
                <w:b/>
                <w:bCs/>
                <w:szCs w:val="21"/>
              </w:rPr>
            </w:pPr>
            <w:r>
              <w:rPr>
                <w:rFonts w:hint="eastAsia" w:ascii="宋体" w:hAnsi="宋体" w:cs="微软雅黑"/>
                <w:b/>
                <w:bCs/>
                <w:szCs w:val="21"/>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369" w:type="dxa"/>
            <w:gridSpan w:val="2"/>
          </w:tcPr>
          <w:p>
            <w:pPr>
              <w:rPr>
                <w:rFonts w:ascii="宋体" w:hAnsi="宋体" w:cs="微软雅黑"/>
                <w:b/>
                <w:bCs/>
                <w:szCs w:val="21"/>
              </w:rPr>
            </w:pPr>
            <w:r>
              <w:rPr>
                <w:rFonts w:hint="eastAsia" w:ascii="宋体" w:hAnsi="宋体" w:cs="微软雅黑"/>
                <w:b/>
                <w:bCs/>
                <w:szCs w:val="21"/>
              </w:rPr>
              <w:t>施工性能</w:t>
            </w:r>
          </w:p>
        </w:tc>
        <w:tc>
          <w:tcPr>
            <w:tcW w:w="5153" w:type="dxa"/>
          </w:tcPr>
          <w:p>
            <w:pPr>
              <w:rPr>
                <w:rFonts w:ascii="宋体" w:hAnsi="宋体" w:cs="微软雅黑"/>
                <w:b/>
                <w:bCs/>
                <w:szCs w:val="21"/>
              </w:rPr>
            </w:pPr>
            <w:r>
              <w:rPr>
                <w:rFonts w:hint="eastAsia" w:ascii="宋体" w:hAnsi="宋体" w:cs="微软雅黑"/>
                <w:b/>
                <w:bCs/>
                <w:szCs w:val="21"/>
              </w:rPr>
              <w:t>空气或无空气喷涂（或刮涂），施工性能良好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369" w:type="dxa"/>
            <w:gridSpan w:val="2"/>
          </w:tcPr>
          <w:p>
            <w:pPr>
              <w:rPr>
                <w:rFonts w:ascii="宋体" w:hAnsi="宋体" w:cs="微软雅黑"/>
                <w:b/>
                <w:bCs/>
                <w:szCs w:val="21"/>
              </w:rPr>
            </w:pPr>
            <w:r>
              <w:rPr>
                <w:rFonts w:hint="eastAsia" w:ascii="宋体" w:hAnsi="宋体" w:cs="微软雅黑"/>
                <w:b/>
                <w:bCs/>
                <w:szCs w:val="21"/>
              </w:rPr>
              <w:t>涂膜外观</w:t>
            </w:r>
          </w:p>
        </w:tc>
        <w:tc>
          <w:tcPr>
            <w:tcW w:w="5153" w:type="dxa"/>
          </w:tcPr>
          <w:p>
            <w:pPr>
              <w:spacing w:line="266" w:lineRule="exact"/>
              <w:ind w:right="75"/>
              <w:rPr>
                <w:rFonts w:ascii="宋体" w:hAnsi="宋体" w:cs="微软雅黑"/>
                <w:b/>
                <w:bCs/>
                <w:szCs w:val="21"/>
              </w:rPr>
            </w:pPr>
            <w:r>
              <w:rPr>
                <w:rFonts w:hint="eastAsia" w:ascii="宋体" w:hAnsi="宋体" w:cs="微软雅黑"/>
                <w:b/>
                <w:bCs/>
                <w:szCs w:val="21"/>
              </w:rPr>
              <w:t>干燥后，应无发皱、泛花、起泡、开裂、粘胎等现象，涂膜颜色和外观应与标准板差异不大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369" w:type="dxa"/>
            <w:gridSpan w:val="2"/>
          </w:tcPr>
          <w:p>
            <w:pPr>
              <w:rPr>
                <w:rFonts w:ascii="宋体" w:hAnsi="宋体" w:cs="微软雅黑"/>
                <w:b/>
                <w:bCs/>
                <w:szCs w:val="21"/>
              </w:rPr>
            </w:pPr>
            <w:r>
              <w:rPr>
                <w:rFonts w:hint="eastAsia" w:ascii="宋体" w:hAnsi="宋体" w:cs="微软雅黑"/>
                <w:b/>
                <w:bCs/>
                <w:szCs w:val="21"/>
              </w:rPr>
              <w:t>不粘胎干燥时间（min）</w:t>
            </w:r>
          </w:p>
        </w:tc>
        <w:tc>
          <w:tcPr>
            <w:tcW w:w="5153" w:type="dxa"/>
          </w:tcPr>
          <w:p>
            <w:pPr>
              <w:rPr>
                <w:rFonts w:ascii="宋体" w:hAnsi="宋体" w:cs="微软雅黑"/>
                <w:b/>
                <w:bCs/>
                <w:szCs w:val="21"/>
              </w:rPr>
            </w:pPr>
            <w:r>
              <w:rPr>
                <w:rFonts w:hint="eastAsia" w:ascii="宋体" w:hAnsi="宋体" w:cs="微软雅黑"/>
                <w:b/>
                <w:bCs/>
                <w:szCs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655" w:type="dxa"/>
            <w:vMerge w:val="restart"/>
            <w:tcBorders>
              <w:top w:val="single" w:color="auto" w:sz="4" w:space="0"/>
              <w:right w:val="single" w:color="auto" w:sz="4" w:space="0"/>
            </w:tcBorders>
          </w:tcPr>
          <w:p>
            <w:pPr>
              <w:rPr>
                <w:rFonts w:ascii="宋体" w:hAnsi="宋体" w:cs="微软雅黑"/>
                <w:b/>
                <w:bCs/>
                <w:szCs w:val="21"/>
              </w:rPr>
            </w:pPr>
            <w:r>
              <w:rPr>
                <w:rFonts w:hint="eastAsia" w:ascii="宋体" w:hAnsi="宋体" w:cs="微软雅黑"/>
                <w:b/>
                <w:bCs/>
                <w:szCs w:val="21"/>
              </w:rPr>
              <w:t>遮盖率（％）</w:t>
            </w:r>
          </w:p>
        </w:tc>
        <w:tc>
          <w:tcPr>
            <w:tcW w:w="714" w:type="dxa"/>
            <w:tcBorders>
              <w:top w:val="single" w:color="auto" w:sz="4" w:space="0"/>
              <w:left w:val="single" w:color="auto" w:sz="4" w:space="0"/>
              <w:bottom w:val="single" w:color="auto" w:sz="4" w:space="0"/>
            </w:tcBorders>
          </w:tcPr>
          <w:p>
            <w:pPr>
              <w:rPr>
                <w:rFonts w:ascii="宋体" w:hAnsi="宋体" w:cs="微软雅黑"/>
                <w:b/>
                <w:bCs/>
                <w:szCs w:val="21"/>
              </w:rPr>
            </w:pPr>
            <w:r>
              <w:rPr>
                <w:rFonts w:hint="eastAsia" w:ascii="宋体" w:hAnsi="宋体" w:cs="微软雅黑"/>
                <w:b/>
                <w:bCs/>
                <w:szCs w:val="21"/>
              </w:rPr>
              <w:t>白色</w:t>
            </w:r>
          </w:p>
        </w:tc>
        <w:tc>
          <w:tcPr>
            <w:tcW w:w="5153" w:type="dxa"/>
            <w:tcBorders>
              <w:top w:val="single" w:color="auto" w:sz="4" w:space="0"/>
              <w:bottom w:val="single" w:color="auto" w:sz="4" w:space="0"/>
            </w:tcBorders>
          </w:tcPr>
          <w:p>
            <w:pPr>
              <w:rPr>
                <w:rFonts w:ascii="宋体" w:hAnsi="宋体" w:cs="微软雅黑"/>
                <w:b/>
                <w:bCs/>
                <w:szCs w:val="21"/>
              </w:rPr>
            </w:pPr>
            <w:r>
              <w:rPr>
                <w:rFonts w:hint="eastAsia" w:ascii="宋体" w:hAnsi="宋体" w:cs="微软雅黑"/>
                <w:b/>
                <w:bCs/>
                <w:szCs w:val="21"/>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655" w:type="dxa"/>
            <w:vMerge w:val="continue"/>
            <w:tcBorders>
              <w:bottom w:val="single" w:color="auto" w:sz="4" w:space="0"/>
              <w:right w:val="single" w:color="auto" w:sz="4" w:space="0"/>
            </w:tcBorders>
          </w:tcPr>
          <w:p>
            <w:pPr>
              <w:rPr>
                <w:rFonts w:ascii="宋体" w:hAnsi="宋体" w:cs="微软雅黑"/>
                <w:b/>
                <w:bCs/>
                <w:szCs w:val="21"/>
              </w:rPr>
            </w:pPr>
          </w:p>
        </w:tc>
        <w:tc>
          <w:tcPr>
            <w:tcW w:w="714" w:type="dxa"/>
            <w:tcBorders>
              <w:top w:val="single" w:color="auto" w:sz="4" w:space="0"/>
              <w:left w:val="single" w:color="auto" w:sz="4" w:space="0"/>
              <w:bottom w:val="single" w:color="auto" w:sz="4" w:space="0"/>
            </w:tcBorders>
          </w:tcPr>
          <w:p>
            <w:pPr>
              <w:rPr>
                <w:rFonts w:ascii="宋体" w:hAnsi="宋体" w:cs="微软雅黑"/>
                <w:b/>
                <w:bCs/>
                <w:szCs w:val="21"/>
              </w:rPr>
            </w:pPr>
            <w:r>
              <w:rPr>
                <w:rFonts w:hint="eastAsia" w:ascii="宋体" w:hAnsi="宋体" w:cs="微软雅黑"/>
                <w:b/>
                <w:bCs/>
                <w:szCs w:val="21"/>
              </w:rPr>
              <w:t>黄色</w:t>
            </w:r>
          </w:p>
        </w:tc>
        <w:tc>
          <w:tcPr>
            <w:tcW w:w="5153" w:type="dxa"/>
            <w:tcBorders>
              <w:top w:val="single" w:color="auto" w:sz="4" w:space="0"/>
              <w:bottom w:val="single" w:color="auto" w:sz="4" w:space="0"/>
            </w:tcBorders>
          </w:tcPr>
          <w:p>
            <w:pPr>
              <w:rPr>
                <w:rFonts w:ascii="宋体" w:hAnsi="宋体" w:cs="微软雅黑"/>
                <w:b/>
                <w:bCs/>
                <w:szCs w:val="21"/>
              </w:rPr>
            </w:pPr>
            <w:r>
              <w:rPr>
                <w:rFonts w:hint="eastAsia" w:ascii="宋体" w:hAnsi="宋体" w:cs="微软雅黑"/>
                <w:b/>
                <w:bCs/>
                <w:szCs w:val="21"/>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655" w:type="dxa"/>
            <w:vMerge w:val="restart"/>
            <w:tcBorders>
              <w:top w:val="single" w:color="auto" w:sz="4" w:space="0"/>
              <w:right w:val="single" w:color="auto" w:sz="4" w:space="0"/>
            </w:tcBorders>
          </w:tcPr>
          <w:p>
            <w:pPr>
              <w:rPr>
                <w:rFonts w:ascii="宋体" w:hAnsi="宋体" w:cs="微软雅黑"/>
                <w:b/>
                <w:bCs/>
                <w:szCs w:val="21"/>
              </w:rPr>
            </w:pPr>
            <w:r>
              <w:rPr>
                <w:rFonts w:hint="eastAsia" w:ascii="宋体" w:hAnsi="宋体" w:cs="微软雅黑"/>
                <w:b/>
                <w:bCs/>
                <w:szCs w:val="21"/>
              </w:rPr>
              <w:t>色度性能（45/0，CIE坐标系）</w:t>
            </w:r>
          </w:p>
        </w:tc>
        <w:tc>
          <w:tcPr>
            <w:tcW w:w="714" w:type="dxa"/>
            <w:tcBorders>
              <w:top w:val="single" w:color="auto" w:sz="4" w:space="0"/>
              <w:left w:val="single" w:color="auto" w:sz="4" w:space="0"/>
              <w:bottom w:val="single" w:color="auto" w:sz="4" w:space="0"/>
            </w:tcBorders>
          </w:tcPr>
          <w:p>
            <w:pPr>
              <w:rPr>
                <w:rFonts w:ascii="宋体" w:hAnsi="宋体" w:cs="微软雅黑"/>
                <w:b/>
                <w:bCs/>
                <w:szCs w:val="21"/>
              </w:rPr>
            </w:pPr>
            <w:r>
              <w:rPr>
                <w:rFonts w:hint="eastAsia" w:ascii="宋体" w:hAnsi="宋体" w:cs="微软雅黑"/>
                <w:b/>
                <w:bCs/>
                <w:szCs w:val="21"/>
              </w:rPr>
              <w:t>白色</w:t>
            </w:r>
          </w:p>
        </w:tc>
        <w:tc>
          <w:tcPr>
            <w:tcW w:w="5153" w:type="dxa"/>
            <w:tcBorders>
              <w:top w:val="single" w:color="auto" w:sz="4" w:space="0"/>
              <w:bottom w:val="single" w:color="auto" w:sz="4" w:space="0"/>
            </w:tcBorders>
          </w:tcPr>
          <w:p>
            <w:pPr>
              <w:spacing w:before="51" w:line="273" w:lineRule="auto"/>
              <w:ind w:left="101" w:right="-58" w:hanging="68"/>
              <w:rPr>
                <w:rFonts w:ascii="宋体" w:hAnsi="宋体" w:cs="微软雅黑"/>
                <w:b/>
                <w:bCs/>
                <w:szCs w:val="21"/>
              </w:rPr>
            </w:pPr>
            <w:r>
              <w:rPr>
                <w:rFonts w:hint="eastAsia" w:ascii="宋体" w:hAnsi="宋体" w:cs="微软雅黑"/>
                <w:b/>
                <w:bCs/>
                <w:szCs w:val="21"/>
              </w:rPr>
              <w:t>紫色界限 y=0.010+x</w:t>
            </w:r>
          </w:p>
          <w:p>
            <w:pPr>
              <w:spacing w:before="51" w:line="273" w:lineRule="auto"/>
              <w:ind w:left="101" w:right="-58" w:hanging="68"/>
              <w:rPr>
                <w:rFonts w:ascii="宋体" w:hAnsi="宋体" w:cs="微软雅黑"/>
                <w:b/>
                <w:bCs/>
                <w:szCs w:val="21"/>
              </w:rPr>
            </w:pPr>
            <w:r>
              <w:rPr>
                <w:rFonts w:hint="eastAsia" w:ascii="宋体" w:hAnsi="宋体" w:cs="微软雅黑"/>
                <w:b/>
                <w:bCs/>
                <w:szCs w:val="21"/>
              </w:rPr>
              <w:t>蓝色界限 y=0.610-x</w:t>
            </w:r>
          </w:p>
          <w:p>
            <w:pPr>
              <w:spacing w:before="51" w:line="273" w:lineRule="auto"/>
              <w:ind w:left="101" w:right="-58" w:hanging="68"/>
              <w:rPr>
                <w:rFonts w:ascii="宋体" w:hAnsi="宋体" w:cs="微软雅黑"/>
                <w:b/>
                <w:bCs/>
                <w:szCs w:val="21"/>
              </w:rPr>
            </w:pPr>
            <w:r>
              <w:rPr>
                <w:rFonts w:hint="eastAsia" w:ascii="宋体" w:hAnsi="宋体" w:cs="微软雅黑"/>
                <w:b/>
                <w:bCs/>
                <w:szCs w:val="21"/>
              </w:rPr>
              <w:t>绿色界限 y=0.030+x</w:t>
            </w:r>
          </w:p>
          <w:p>
            <w:pPr>
              <w:spacing w:before="51" w:line="273" w:lineRule="auto"/>
              <w:ind w:left="101" w:right="-58" w:hanging="68"/>
              <w:rPr>
                <w:rFonts w:ascii="宋体" w:hAnsi="宋体" w:cs="微软雅黑"/>
                <w:b/>
                <w:bCs/>
                <w:szCs w:val="21"/>
              </w:rPr>
            </w:pPr>
            <w:r>
              <w:rPr>
                <w:rFonts w:hint="eastAsia" w:ascii="宋体" w:hAnsi="宋体" w:cs="微软雅黑"/>
                <w:b/>
                <w:bCs/>
                <w:szCs w:val="21"/>
              </w:rPr>
              <w:t>黄色界限 y=0.710-x</w:t>
            </w:r>
          </w:p>
          <w:p>
            <w:pPr>
              <w:spacing w:before="51" w:line="273" w:lineRule="auto"/>
              <w:ind w:left="101" w:right="-58" w:hanging="68"/>
              <w:rPr>
                <w:rFonts w:ascii="宋体" w:hAnsi="宋体" w:cs="微软雅黑"/>
                <w:b/>
                <w:bCs/>
                <w:szCs w:val="21"/>
              </w:rPr>
            </w:pPr>
            <w:r>
              <w:rPr>
                <w:rFonts w:hint="eastAsia" w:ascii="宋体" w:hAnsi="宋体" w:cs="微软雅黑"/>
                <w:b/>
                <w:bCs/>
                <w:szCs w:val="21"/>
              </w:rPr>
              <w:t>亮度系数 β=0.75（最小）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655" w:type="dxa"/>
            <w:vMerge w:val="continue"/>
            <w:tcBorders>
              <w:bottom w:val="single" w:color="auto" w:sz="4" w:space="0"/>
              <w:right w:val="single" w:color="auto" w:sz="4" w:space="0"/>
            </w:tcBorders>
          </w:tcPr>
          <w:p>
            <w:pPr>
              <w:rPr>
                <w:rFonts w:ascii="宋体" w:hAnsi="宋体" w:cs="微软雅黑"/>
                <w:b/>
                <w:bCs/>
                <w:szCs w:val="21"/>
              </w:rPr>
            </w:pPr>
          </w:p>
        </w:tc>
        <w:tc>
          <w:tcPr>
            <w:tcW w:w="714" w:type="dxa"/>
            <w:tcBorders>
              <w:top w:val="single" w:color="auto" w:sz="4" w:space="0"/>
              <w:left w:val="single" w:color="auto" w:sz="4" w:space="0"/>
              <w:bottom w:val="single" w:color="auto" w:sz="4" w:space="0"/>
            </w:tcBorders>
          </w:tcPr>
          <w:p>
            <w:pPr>
              <w:rPr>
                <w:rFonts w:ascii="宋体" w:hAnsi="宋体" w:cs="微软雅黑"/>
                <w:b/>
                <w:bCs/>
                <w:szCs w:val="21"/>
              </w:rPr>
            </w:pPr>
            <w:r>
              <w:rPr>
                <w:rFonts w:hint="eastAsia" w:ascii="宋体" w:hAnsi="宋体" w:cs="微软雅黑"/>
                <w:b/>
                <w:bCs/>
                <w:szCs w:val="21"/>
              </w:rPr>
              <w:t>黄色</w:t>
            </w:r>
          </w:p>
        </w:tc>
        <w:tc>
          <w:tcPr>
            <w:tcW w:w="5153" w:type="dxa"/>
            <w:tcBorders>
              <w:top w:val="single" w:color="auto" w:sz="4" w:space="0"/>
              <w:bottom w:val="single" w:color="auto" w:sz="4" w:space="0"/>
            </w:tcBorders>
          </w:tcPr>
          <w:p>
            <w:pPr>
              <w:rPr>
                <w:rFonts w:ascii="宋体" w:hAnsi="宋体" w:cs="微软雅黑"/>
                <w:b/>
                <w:bCs/>
                <w:szCs w:val="21"/>
              </w:rPr>
            </w:pPr>
            <w:r>
              <w:rPr>
                <w:rFonts w:hint="eastAsia" w:ascii="宋体" w:hAnsi="宋体" w:cs="微软雅黑"/>
                <w:b/>
                <w:bCs/>
                <w:szCs w:val="21"/>
              </w:rPr>
              <w:t>橙色界限 y=0.108+0.707x</w:t>
            </w:r>
          </w:p>
          <w:p>
            <w:pPr>
              <w:rPr>
                <w:rFonts w:ascii="宋体" w:hAnsi="宋体" w:cs="微软雅黑"/>
                <w:b/>
                <w:bCs/>
                <w:szCs w:val="21"/>
              </w:rPr>
            </w:pPr>
            <w:r>
              <w:rPr>
                <w:rFonts w:hint="eastAsia" w:ascii="宋体" w:hAnsi="宋体" w:cs="微软雅黑"/>
                <w:b/>
                <w:bCs/>
                <w:szCs w:val="21"/>
              </w:rPr>
              <w:t>白色界限 y=0.910-x</w:t>
            </w:r>
          </w:p>
          <w:p>
            <w:pPr>
              <w:rPr>
                <w:rFonts w:ascii="宋体" w:hAnsi="宋体" w:cs="微软雅黑"/>
                <w:b/>
                <w:bCs/>
                <w:szCs w:val="21"/>
              </w:rPr>
            </w:pPr>
            <w:r>
              <w:rPr>
                <w:rFonts w:hint="eastAsia" w:ascii="宋体" w:hAnsi="宋体" w:cs="微软雅黑"/>
                <w:b/>
                <w:bCs/>
                <w:szCs w:val="21"/>
              </w:rPr>
              <w:t>绿色界限 y=1.35x-0.093</w:t>
            </w:r>
          </w:p>
          <w:p>
            <w:pPr>
              <w:rPr>
                <w:rFonts w:ascii="宋体" w:hAnsi="宋体" w:cs="微软雅黑"/>
                <w:b/>
                <w:bCs/>
                <w:szCs w:val="21"/>
              </w:rPr>
            </w:pPr>
            <w:r>
              <w:rPr>
                <w:rFonts w:hint="eastAsia" w:ascii="宋体" w:hAnsi="宋体" w:cs="微软雅黑"/>
                <w:b/>
                <w:bCs/>
                <w:szCs w:val="21"/>
              </w:rPr>
              <w:t>亮度系数 p=0.45（最小）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369" w:type="dxa"/>
            <w:gridSpan w:val="2"/>
            <w:tcBorders>
              <w:top w:val="single" w:color="auto" w:sz="4" w:space="0"/>
              <w:bottom w:val="single" w:color="auto" w:sz="4" w:space="0"/>
            </w:tcBorders>
          </w:tcPr>
          <w:p>
            <w:pPr>
              <w:spacing w:line="265" w:lineRule="exact"/>
              <w:ind w:left="66" w:right="46"/>
              <w:jc w:val="center"/>
              <w:rPr>
                <w:rFonts w:ascii="宋体" w:hAnsi="宋体" w:cs="微软雅黑"/>
                <w:b/>
                <w:bCs/>
                <w:szCs w:val="21"/>
              </w:rPr>
            </w:pPr>
            <w:r>
              <w:rPr>
                <w:rFonts w:hint="eastAsia" w:ascii="宋体" w:hAnsi="宋体" w:cs="微软雅黑"/>
                <w:b/>
                <w:bCs/>
                <w:szCs w:val="21"/>
              </w:rPr>
              <w:t>耐磨性（mg）</w:t>
            </w:r>
          </w:p>
          <w:p>
            <w:pPr>
              <w:spacing w:line="265" w:lineRule="exact"/>
              <w:ind w:left="66" w:right="46"/>
              <w:jc w:val="center"/>
              <w:rPr>
                <w:rFonts w:ascii="宋体" w:hAnsi="宋体" w:cs="微软雅黑"/>
                <w:b/>
                <w:bCs/>
                <w:szCs w:val="21"/>
              </w:rPr>
            </w:pPr>
            <w:r>
              <w:rPr>
                <w:rFonts w:hint="eastAsia" w:ascii="宋体" w:hAnsi="宋体" w:cs="微软雅黑"/>
                <w:b/>
                <w:bCs/>
                <w:szCs w:val="21"/>
              </w:rPr>
              <w:t>（200 转/1000g后减重）</w:t>
            </w:r>
          </w:p>
        </w:tc>
        <w:tc>
          <w:tcPr>
            <w:tcW w:w="5153" w:type="dxa"/>
            <w:tcBorders>
              <w:top w:val="single" w:color="auto" w:sz="4" w:space="0"/>
              <w:bottom w:val="single" w:color="auto" w:sz="4" w:space="0"/>
            </w:tcBorders>
          </w:tcPr>
          <w:p>
            <w:pPr>
              <w:rPr>
                <w:rFonts w:ascii="宋体" w:hAnsi="宋体" w:cs="微软雅黑"/>
                <w:b/>
                <w:bCs/>
                <w:szCs w:val="21"/>
              </w:rPr>
            </w:pPr>
            <w:r>
              <w:rPr>
                <w:rFonts w:hint="eastAsia" w:ascii="宋体" w:hAnsi="宋体" w:cs="微软雅黑"/>
                <w:b/>
                <w:bCs/>
                <w:szCs w:val="21"/>
              </w:rPr>
              <w:t>≦40（JM-100 橡胶砂轮）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369" w:type="dxa"/>
            <w:gridSpan w:val="2"/>
            <w:tcBorders>
              <w:top w:val="single" w:color="auto" w:sz="4" w:space="0"/>
              <w:bottom w:val="single" w:color="auto" w:sz="4" w:space="0"/>
            </w:tcBorders>
          </w:tcPr>
          <w:p>
            <w:pPr>
              <w:rPr>
                <w:rFonts w:ascii="宋体" w:hAnsi="宋体" w:cs="微软雅黑"/>
                <w:b/>
                <w:bCs/>
                <w:szCs w:val="21"/>
              </w:rPr>
            </w:pPr>
            <w:r>
              <w:rPr>
                <w:rFonts w:hint="eastAsia" w:ascii="宋体" w:hAnsi="宋体" w:cs="微软雅黑"/>
                <w:b/>
                <w:bCs/>
                <w:szCs w:val="21"/>
              </w:rPr>
              <w:t>耐水性</w:t>
            </w:r>
          </w:p>
        </w:tc>
        <w:tc>
          <w:tcPr>
            <w:tcW w:w="5153" w:type="dxa"/>
            <w:tcBorders>
              <w:top w:val="single" w:color="auto" w:sz="4" w:space="0"/>
              <w:bottom w:val="single" w:color="auto" w:sz="4" w:space="0"/>
            </w:tcBorders>
          </w:tcPr>
          <w:p>
            <w:pPr>
              <w:rPr>
                <w:rFonts w:ascii="宋体" w:hAnsi="宋体" w:cs="微软雅黑"/>
                <w:b/>
                <w:bCs/>
                <w:szCs w:val="21"/>
              </w:rPr>
            </w:pPr>
            <w:r>
              <w:rPr>
                <w:rFonts w:hint="eastAsia" w:ascii="宋体" w:hAnsi="宋体" w:cs="微软雅黑"/>
                <w:b/>
                <w:bCs/>
                <w:szCs w:val="21"/>
              </w:rPr>
              <w:t>在水中浸 24h 应无异常现象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369" w:type="dxa"/>
            <w:gridSpan w:val="2"/>
            <w:tcBorders>
              <w:top w:val="single" w:color="auto" w:sz="4" w:space="0"/>
              <w:bottom w:val="single" w:color="auto" w:sz="4" w:space="0"/>
            </w:tcBorders>
          </w:tcPr>
          <w:p>
            <w:pPr>
              <w:rPr>
                <w:rFonts w:ascii="宋体" w:hAnsi="宋体" w:cs="微软雅黑"/>
                <w:b/>
                <w:bCs/>
                <w:szCs w:val="21"/>
              </w:rPr>
            </w:pPr>
            <w:r>
              <w:rPr>
                <w:rFonts w:hint="eastAsia" w:ascii="宋体" w:hAnsi="宋体" w:cs="微软雅黑"/>
                <w:b/>
                <w:bCs/>
                <w:szCs w:val="21"/>
              </w:rPr>
              <w:t>耐碱性</w:t>
            </w:r>
          </w:p>
        </w:tc>
        <w:tc>
          <w:tcPr>
            <w:tcW w:w="5153" w:type="dxa"/>
            <w:tcBorders>
              <w:top w:val="single" w:color="auto" w:sz="4" w:space="0"/>
              <w:bottom w:val="single" w:color="auto" w:sz="4" w:space="0"/>
            </w:tcBorders>
          </w:tcPr>
          <w:p>
            <w:pPr>
              <w:rPr>
                <w:rFonts w:ascii="宋体" w:hAnsi="宋体" w:cs="微软雅黑"/>
                <w:b/>
                <w:bCs/>
                <w:szCs w:val="21"/>
              </w:rPr>
            </w:pPr>
            <w:r>
              <w:rPr>
                <w:rFonts w:hint="eastAsia" w:ascii="宋体" w:hAnsi="宋体" w:cs="微软雅黑"/>
                <w:b/>
                <w:bCs/>
                <w:szCs w:val="21"/>
              </w:rPr>
              <w:t>在氢氧化钙饱和溶液中浸 24h 应无异常现象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369" w:type="dxa"/>
            <w:gridSpan w:val="2"/>
            <w:tcBorders>
              <w:top w:val="single" w:color="auto" w:sz="4" w:space="0"/>
              <w:bottom w:val="single" w:color="auto" w:sz="4" w:space="0"/>
            </w:tcBorders>
          </w:tcPr>
          <w:p>
            <w:pPr>
              <w:rPr>
                <w:rFonts w:ascii="宋体" w:hAnsi="宋体" w:cs="微软雅黑"/>
                <w:b/>
                <w:bCs/>
                <w:szCs w:val="21"/>
              </w:rPr>
            </w:pPr>
            <w:r>
              <w:rPr>
                <w:rFonts w:hint="eastAsia" w:ascii="宋体" w:hAnsi="宋体" w:cs="微软雅黑"/>
                <w:b/>
                <w:bCs/>
                <w:szCs w:val="21"/>
              </w:rPr>
              <w:t>附着性（划圈法）</w:t>
            </w:r>
          </w:p>
        </w:tc>
        <w:tc>
          <w:tcPr>
            <w:tcW w:w="5153" w:type="dxa"/>
            <w:tcBorders>
              <w:top w:val="single" w:color="auto" w:sz="4" w:space="0"/>
              <w:bottom w:val="single" w:color="auto" w:sz="4" w:space="0"/>
            </w:tcBorders>
          </w:tcPr>
          <w:p>
            <w:pPr>
              <w:rPr>
                <w:rFonts w:ascii="宋体" w:hAnsi="宋体" w:cs="微软雅黑"/>
                <w:b/>
                <w:bCs/>
                <w:szCs w:val="21"/>
              </w:rPr>
            </w:pPr>
            <w:r>
              <w:rPr>
                <w:rFonts w:hint="eastAsia" w:ascii="宋体" w:hAnsi="宋体" w:cs="微软雅黑"/>
                <w:b/>
                <w:bCs/>
                <w:szCs w:val="21"/>
              </w:rPr>
              <w:t>≦4 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369" w:type="dxa"/>
            <w:gridSpan w:val="2"/>
            <w:tcBorders>
              <w:top w:val="single" w:color="auto" w:sz="4" w:space="0"/>
              <w:bottom w:val="single" w:color="auto" w:sz="4" w:space="0"/>
            </w:tcBorders>
          </w:tcPr>
          <w:p>
            <w:pPr>
              <w:rPr>
                <w:rFonts w:ascii="宋体" w:hAnsi="宋体" w:cs="微软雅黑"/>
                <w:b/>
                <w:bCs/>
                <w:szCs w:val="21"/>
              </w:rPr>
            </w:pPr>
            <w:r>
              <w:rPr>
                <w:rFonts w:hint="eastAsia" w:ascii="宋体" w:hAnsi="宋体" w:cs="微软雅黑"/>
                <w:b/>
                <w:bCs/>
                <w:szCs w:val="21"/>
              </w:rPr>
              <w:t>柔韧性（mm）</w:t>
            </w:r>
          </w:p>
        </w:tc>
        <w:tc>
          <w:tcPr>
            <w:tcW w:w="5153" w:type="dxa"/>
            <w:tcBorders>
              <w:top w:val="single" w:color="auto" w:sz="4" w:space="0"/>
              <w:bottom w:val="single" w:color="auto" w:sz="4" w:space="0"/>
            </w:tcBorders>
          </w:tcPr>
          <w:p>
            <w:pPr>
              <w:rPr>
                <w:rFonts w:ascii="宋体" w:hAnsi="宋体" w:cs="微软雅黑"/>
                <w:b/>
                <w:bCs/>
                <w:szCs w:val="21"/>
              </w:rPr>
            </w:pPr>
            <w:r>
              <w:rPr>
                <w:rFonts w:hint="eastAsia" w:ascii="宋体" w:hAnsi="宋体" w:cs="微软雅黑"/>
                <w:b/>
                <w:bCs/>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369" w:type="dxa"/>
            <w:gridSpan w:val="2"/>
            <w:tcBorders>
              <w:top w:val="single" w:color="auto" w:sz="4" w:space="0"/>
            </w:tcBorders>
          </w:tcPr>
          <w:p>
            <w:pPr>
              <w:rPr>
                <w:rFonts w:ascii="宋体" w:hAnsi="宋体" w:cs="微软雅黑"/>
                <w:b/>
                <w:bCs/>
                <w:szCs w:val="21"/>
              </w:rPr>
            </w:pPr>
            <w:r>
              <w:rPr>
                <w:rFonts w:hint="eastAsia" w:ascii="宋体" w:hAnsi="宋体" w:cs="微软雅黑"/>
                <w:b/>
                <w:bCs/>
                <w:szCs w:val="21"/>
              </w:rPr>
              <w:t>固体含量（％）</w:t>
            </w:r>
          </w:p>
        </w:tc>
        <w:tc>
          <w:tcPr>
            <w:tcW w:w="5153" w:type="dxa"/>
            <w:tcBorders>
              <w:top w:val="single" w:color="auto" w:sz="4" w:space="0"/>
            </w:tcBorders>
          </w:tcPr>
          <w:p>
            <w:pPr>
              <w:rPr>
                <w:rFonts w:ascii="宋体" w:hAnsi="宋体" w:cs="微软雅黑"/>
                <w:b/>
                <w:bCs/>
                <w:szCs w:val="21"/>
              </w:rPr>
            </w:pPr>
            <w:r>
              <w:rPr>
                <w:rFonts w:hint="eastAsia" w:ascii="宋体" w:hAnsi="宋体" w:cs="微软雅黑"/>
                <w:b/>
                <w:bCs/>
                <w:szCs w:val="21"/>
              </w:rPr>
              <w:t>≧60</w:t>
            </w:r>
          </w:p>
        </w:tc>
      </w:tr>
    </w:tbl>
    <w:p>
      <w:pPr>
        <w:adjustRightInd w:val="0"/>
        <w:snapToGrid w:val="0"/>
        <w:spacing w:after="72" w:line="360" w:lineRule="exact"/>
        <w:rPr>
          <w:rFonts w:cs="Calibri" w:asciiTheme="minorEastAsia" w:hAnsiTheme="minorEastAsia"/>
          <w:color w:val="000000"/>
          <w:sz w:val="22"/>
        </w:rPr>
      </w:pPr>
      <w:r>
        <w:rPr>
          <w:rFonts w:hint="eastAsia" w:cs="Calibri" w:asciiTheme="minorEastAsia" w:hAnsiTheme="minorEastAsia"/>
          <w:b/>
          <w:bCs/>
          <w:color w:val="000000"/>
          <w:sz w:val="22"/>
        </w:rPr>
        <w:t>注：以上相关指标参照中国民用航空局机场司下发的咨询通告——《民用机场飞行区场地维护技术指南》（AC-140-CA-2010-3）。</w:t>
      </w:r>
    </w:p>
    <w:p>
      <w:pPr>
        <w:adjustRightInd w:val="0"/>
        <w:snapToGrid w:val="0"/>
        <w:spacing w:after="72"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2.3.3 </w:t>
      </w:r>
      <w:r>
        <w:rPr>
          <w:rFonts w:hint="eastAsia" w:cs="Calibri" w:asciiTheme="minorEastAsia" w:hAnsiTheme="minorEastAsia"/>
          <w:color w:val="000000"/>
          <w:sz w:val="22"/>
        </w:rPr>
        <w:t>投标人使用的溶剂型漆料施工的质保期应不小于</w:t>
      </w:r>
      <w:r>
        <w:rPr>
          <w:rFonts w:cs="Calibri" w:asciiTheme="minorEastAsia" w:hAnsiTheme="minorEastAsia"/>
          <w:color w:val="000000"/>
          <w:sz w:val="22"/>
        </w:rPr>
        <w:t>12个月。若</w:t>
      </w:r>
      <w:r>
        <w:rPr>
          <w:rFonts w:hint="eastAsia" w:cs="Calibri" w:asciiTheme="minorEastAsia" w:hAnsiTheme="minorEastAsia"/>
          <w:color w:val="000000"/>
          <w:sz w:val="22"/>
        </w:rPr>
        <w:t>投标人施划的标志线在质保期内存在掉皮、脱色以及施工不规范等产生的质量问题，投标人须无条件进行返工处理，并对因标志线质量问题而产生的影响承担责任。</w:t>
      </w:r>
    </w:p>
    <w:p>
      <w:pPr>
        <w:adjustRightInd w:val="0"/>
        <w:snapToGrid w:val="0"/>
        <w:spacing w:after="72"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2.3.4 标志线施划要求油漆用量控制在0.2-0.4公斤/平方米。</w:t>
      </w:r>
    </w:p>
    <w:p>
      <w:pPr>
        <w:adjustRightInd w:val="0"/>
        <w:snapToGrid w:val="0"/>
        <w:spacing w:after="72" w:line="360" w:lineRule="exact"/>
        <w:ind w:firstLine="440"/>
        <w:rPr>
          <w:rFonts w:cs="Calibri" w:asciiTheme="minorEastAsia" w:hAnsiTheme="minorEastAsia"/>
          <w:color w:val="000000"/>
          <w:sz w:val="22"/>
        </w:rPr>
      </w:pPr>
      <w:r>
        <w:rPr>
          <w:rFonts w:cs="Calibri" w:asciiTheme="minorEastAsia" w:hAnsiTheme="minorEastAsia"/>
          <w:color w:val="000000"/>
          <w:sz w:val="22"/>
        </w:rPr>
        <w:t>2.3.</w:t>
      </w:r>
      <w:r>
        <w:rPr>
          <w:rFonts w:hint="eastAsia" w:cs="Calibri" w:asciiTheme="minorEastAsia" w:hAnsiTheme="minorEastAsia"/>
          <w:color w:val="000000"/>
          <w:sz w:val="22"/>
        </w:rPr>
        <w:t>5</w:t>
      </w:r>
      <w:r>
        <w:rPr>
          <w:rFonts w:cs="Calibri" w:asciiTheme="minorEastAsia" w:hAnsiTheme="minorEastAsia"/>
          <w:color w:val="000000"/>
          <w:sz w:val="22"/>
        </w:rPr>
        <w:t xml:space="preserve"> </w:t>
      </w:r>
      <w:r>
        <w:rPr>
          <w:rFonts w:hint="eastAsia" w:cs="Calibri" w:asciiTheme="minorEastAsia" w:hAnsiTheme="minorEastAsia"/>
          <w:color w:val="000000"/>
          <w:sz w:val="22"/>
        </w:rPr>
        <w:t>在</w:t>
      </w:r>
      <w:r>
        <w:rPr>
          <w:rFonts w:cs="Calibri" w:asciiTheme="minorEastAsia" w:hAnsiTheme="minorEastAsia"/>
          <w:color w:val="000000"/>
          <w:sz w:val="22"/>
        </w:rPr>
        <w:t>非降水的气温条件下，投标人使用的溶剂型漆料需在15分钟内满足干燥通航条件。</w:t>
      </w:r>
    </w:p>
    <w:p>
      <w:pPr>
        <w:adjustRightInd w:val="0"/>
        <w:snapToGrid w:val="0"/>
        <w:spacing w:after="72" w:line="360" w:lineRule="exact"/>
        <w:ind w:firstLine="440"/>
        <w:rPr>
          <w:rFonts w:cs="Calibri" w:asciiTheme="minorEastAsia" w:hAnsiTheme="minorEastAsia"/>
          <w:b/>
          <w:bCs/>
          <w:color w:val="000000"/>
          <w:sz w:val="22"/>
        </w:rPr>
      </w:pPr>
      <w:r>
        <w:rPr>
          <w:rFonts w:hint="eastAsia" w:ascii="仿宋_GB2312" w:hAnsi="仿宋_GB2312" w:eastAsia="仿宋_GB2312" w:cs="仿宋_GB2312"/>
          <w:b/>
          <w:bCs/>
          <w:color w:val="000000"/>
          <w:sz w:val="22"/>
        </w:rPr>
        <w:t>★</w:t>
      </w:r>
      <w:r>
        <w:rPr>
          <w:rFonts w:cs="Calibri" w:asciiTheme="minorEastAsia" w:hAnsiTheme="minorEastAsia"/>
          <w:b/>
          <w:bCs/>
          <w:color w:val="000000"/>
          <w:sz w:val="22"/>
        </w:rPr>
        <w:t>2.3.</w:t>
      </w:r>
      <w:r>
        <w:rPr>
          <w:rFonts w:hint="eastAsia" w:cs="Calibri" w:asciiTheme="minorEastAsia" w:hAnsiTheme="minorEastAsia"/>
          <w:b/>
          <w:bCs/>
          <w:color w:val="000000"/>
          <w:sz w:val="22"/>
        </w:rPr>
        <w:t>6</w:t>
      </w:r>
      <w:r>
        <w:rPr>
          <w:rFonts w:cs="Calibri" w:asciiTheme="minorEastAsia" w:hAnsiTheme="minorEastAsia"/>
          <w:b/>
          <w:bCs/>
          <w:color w:val="000000"/>
          <w:sz w:val="22"/>
        </w:rPr>
        <w:t xml:space="preserve"> </w:t>
      </w:r>
      <w:r>
        <w:rPr>
          <w:rFonts w:hint="eastAsia" w:cs="Calibri" w:asciiTheme="minorEastAsia" w:hAnsiTheme="minorEastAsia"/>
          <w:b/>
          <w:bCs/>
          <w:color w:val="000000"/>
          <w:sz w:val="22"/>
        </w:rPr>
        <w:t>投标人需自行配备充足的车辆、设备和工具，以满足招标人要求的作业保障能力。投标人需配备的各类设备数量要求如下表：</w:t>
      </w:r>
    </w:p>
    <w:tbl>
      <w:tblPr>
        <w:tblStyle w:val="58"/>
        <w:tblW w:w="768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46"/>
        <w:gridCol w:w="28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4846" w:type="dxa"/>
          </w:tcPr>
          <w:p>
            <w:pPr>
              <w:adjustRightInd w:val="0"/>
              <w:snapToGrid w:val="0"/>
              <w:spacing w:after="72" w:line="360" w:lineRule="exact"/>
              <w:ind w:firstLine="440"/>
              <w:rPr>
                <w:rFonts w:cs="Calibri" w:asciiTheme="minorEastAsia" w:hAnsiTheme="minorEastAsia"/>
                <w:b/>
                <w:bCs/>
                <w:color w:val="000000"/>
                <w:sz w:val="22"/>
              </w:rPr>
            </w:pPr>
            <w:r>
              <w:rPr>
                <w:rFonts w:hint="eastAsia" w:cs="Calibri" w:asciiTheme="minorEastAsia" w:hAnsiTheme="minorEastAsia"/>
                <w:b/>
                <w:bCs/>
                <w:color w:val="000000"/>
                <w:sz w:val="22"/>
              </w:rPr>
              <w:t>设备名称</w:t>
            </w:r>
          </w:p>
        </w:tc>
        <w:tc>
          <w:tcPr>
            <w:tcW w:w="2841" w:type="dxa"/>
          </w:tcPr>
          <w:p>
            <w:pPr>
              <w:adjustRightInd w:val="0"/>
              <w:snapToGrid w:val="0"/>
              <w:spacing w:after="72" w:line="360" w:lineRule="exact"/>
              <w:ind w:firstLine="440"/>
              <w:rPr>
                <w:rFonts w:cs="Calibri" w:asciiTheme="minorEastAsia" w:hAnsiTheme="minorEastAsia"/>
                <w:b/>
                <w:bCs/>
                <w:color w:val="000000"/>
                <w:sz w:val="22"/>
              </w:rPr>
            </w:pPr>
            <w:r>
              <w:rPr>
                <w:rFonts w:hint="eastAsia" w:cs="Calibri" w:asciiTheme="minorEastAsia" w:hAnsiTheme="minorEastAsia"/>
                <w:b/>
                <w:bCs/>
                <w:color w:val="000000"/>
                <w:sz w:val="22"/>
              </w:rPr>
              <w:t>数量要求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4846" w:type="dxa"/>
          </w:tcPr>
          <w:p>
            <w:pPr>
              <w:adjustRightInd w:val="0"/>
              <w:snapToGrid w:val="0"/>
              <w:spacing w:after="72" w:line="360" w:lineRule="exact"/>
              <w:ind w:firstLine="440"/>
              <w:rPr>
                <w:rFonts w:cs="Calibri" w:asciiTheme="minorEastAsia" w:hAnsiTheme="minorEastAsia"/>
                <w:b/>
                <w:bCs/>
                <w:color w:val="000000"/>
                <w:sz w:val="22"/>
              </w:rPr>
            </w:pPr>
            <w:r>
              <w:rPr>
                <w:rFonts w:hint="eastAsia" w:cs="Calibri" w:asciiTheme="minorEastAsia" w:hAnsiTheme="minorEastAsia"/>
                <w:b/>
                <w:bCs/>
                <w:color w:val="000000"/>
                <w:sz w:val="22"/>
              </w:rPr>
              <w:t>普通划线机</w:t>
            </w:r>
          </w:p>
        </w:tc>
        <w:tc>
          <w:tcPr>
            <w:tcW w:w="2841" w:type="dxa"/>
          </w:tcPr>
          <w:p>
            <w:pPr>
              <w:adjustRightInd w:val="0"/>
              <w:snapToGrid w:val="0"/>
              <w:spacing w:after="72" w:line="360" w:lineRule="exact"/>
              <w:ind w:firstLine="440"/>
              <w:rPr>
                <w:rFonts w:cs="Calibri" w:asciiTheme="minorEastAsia" w:hAnsiTheme="minorEastAsia"/>
                <w:b/>
                <w:bCs/>
                <w:color w:val="000000"/>
                <w:sz w:val="22"/>
              </w:rPr>
            </w:pPr>
            <w:r>
              <w:rPr>
                <w:rFonts w:hint="eastAsia" w:cs="Calibri" w:asciiTheme="minorEastAsia" w:hAnsiTheme="minorEastAsia"/>
                <w:b/>
                <w:bCs/>
                <w:color w:val="000000"/>
                <w:sz w:val="22"/>
              </w:rPr>
              <w:t>不少于</w:t>
            </w:r>
            <w:r>
              <w:rPr>
                <w:rFonts w:cs="Calibri" w:asciiTheme="minorEastAsia" w:hAnsiTheme="minorEastAsia"/>
                <w:b/>
                <w:bCs/>
                <w:color w:val="000000"/>
                <w:sz w:val="22"/>
              </w:rPr>
              <w:t>2</w:t>
            </w:r>
            <w:r>
              <w:rPr>
                <w:rFonts w:hint="eastAsia" w:cs="Calibri" w:asciiTheme="minorEastAsia" w:hAnsiTheme="minorEastAsia"/>
                <w:b/>
                <w:bCs/>
                <w:color w:val="000000"/>
                <w:sz w:val="22"/>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4846" w:type="dxa"/>
          </w:tcPr>
          <w:p>
            <w:pPr>
              <w:adjustRightInd w:val="0"/>
              <w:snapToGrid w:val="0"/>
              <w:spacing w:after="72" w:line="360" w:lineRule="exact"/>
              <w:ind w:firstLine="440"/>
              <w:rPr>
                <w:rFonts w:cs="Calibri" w:asciiTheme="minorEastAsia" w:hAnsiTheme="minorEastAsia"/>
                <w:b/>
                <w:bCs/>
                <w:color w:val="000000"/>
                <w:sz w:val="22"/>
              </w:rPr>
            </w:pPr>
            <w:r>
              <w:rPr>
                <w:rFonts w:hint="eastAsia" w:cs="Calibri" w:asciiTheme="minorEastAsia" w:hAnsiTheme="minorEastAsia"/>
                <w:b/>
                <w:bCs/>
                <w:color w:val="000000"/>
                <w:sz w:val="22"/>
              </w:rPr>
              <w:t>除线设备</w:t>
            </w:r>
          </w:p>
        </w:tc>
        <w:tc>
          <w:tcPr>
            <w:tcW w:w="2841" w:type="dxa"/>
          </w:tcPr>
          <w:p>
            <w:pPr>
              <w:adjustRightInd w:val="0"/>
              <w:snapToGrid w:val="0"/>
              <w:spacing w:after="72" w:line="360" w:lineRule="exact"/>
              <w:ind w:firstLine="440"/>
              <w:rPr>
                <w:rFonts w:cs="Calibri" w:asciiTheme="minorEastAsia" w:hAnsiTheme="minorEastAsia"/>
                <w:b/>
                <w:bCs/>
                <w:color w:val="000000"/>
                <w:sz w:val="22"/>
              </w:rPr>
            </w:pPr>
            <w:r>
              <w:rPr>
                <w:rFonts w:hint="eastAsia" w:cs="Calibri" w:asciiTheme="minorEastAsia" w:hAnsiTheme="minorEastAsia"/>
                <w:b/>
                <w:bCs/>
                <w:color w:val="000000"/>
                <w:sz w:val="22"/>
              </w:rPr>
              <w:t>不少于1台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846" w:type="dxa"/>
          </w:tcPr>
          <w:p>
            <w:pPr>
              <w:adjustRightInd w:val="0"/>
              <w:snapToGrid w:val="0"/>
              <w:spacing w:after="72" w:line="360" w:lineRule="exact"/>
              <w:ind w:firstLine="440"/>
              <w:rPr>
                <w:rFonts w:cs="Calibri" w:asciiTheme="minorEastAsia" w:hAnsiTheme="minorEastAsia"/>
                <w:b/>
                <w:bCs/>
                <w:color w:val="000000"/>
                <w:sz w:val="22"/>
              </w:rPr>
            </w:pPr>
            <w:r>
              <w:rPr>
                <w:rFonts w:hint="eastAsia" w:cs="Calibri" w:asciiTheme="minorEastAsia" w:hAnsiTheme="minorEastAsia"/>
                <w:b/>
                <w:bCs/>
                <w:color w:val="000000"/>
                <w:sz w:val="22"/>
              </w:rPr>
              <w:t>厢式货车</w:t>
            </w:r>
          </w:p>
        </w:tc>
        <w:tc>
          <w:tcPr>
            <w:tcW w:w="2841" w:type="dxa"/>
          </w:tcPr>
          <w:p>
            <w:pPr>
              <w:adjustRightInd w:val="0"/>
              <w:snapToGrid w:val="0"/>
              <w:spacing w:after="72" w:line="360" w:lineRule="exact"/>
              <w:ind w:firstLine="440"/>
              <w:rPr>
                <w:rFonts w:cs="Calibri" w:asciiTheme="minorEastAsia" w:hAnsiTheme="minorEastAsia"/>
                <w:b/>
                <w:bCs/>
                <w:color w:val="000000"/>
                <w:sz w:val="22"/>
              </w:rPr>
            </w:pPr>
            <w:r>
              <w:rPr>
                <w:rFonts w:hint="eastAsia" w:cs="Calibri" w:asciiTheme="minorEastAsia" w:hAnsiTheme="minorEastAsia"/>
                <w:b/>
                <w:bCs/>
                <w:color w:val="000000"/>
                <w:sz w:val="22"/>
              </w:rPr>
              <w:t>不少于1台</w:t>
            </w:r>
          </w:p>
        </w:tc>
      </w:tr>
    </w:tbl>
    <w:p>
      <w:pPr>
        <w:adjustRightInd w:val="0"/>
        <w:snapToGrid w:val="0"/>
        <w:spacing w:after="72"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2.3.7甲供设备</w:t>
      </w:r>
    </w:p>
    <w:tbl>
      <w:tblPr>
        <w:tblStyle w:val="58"/>
        <w:tblW w:w="955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69"/>
        <w:gridCol w:w="2034"/>
        <w:gridCol w:w="2033"/>
        <w:gridCol w:w="20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469" w:type="dxa"/>
          </w:tcPr>
          <w:p>
            <w:pPr>
              <w:adjustRightInd w:val="0"/>
              <w:snapToGrid w:val="0"/>
              <w:spacing w:after="72" w:line="360" w:lineRule="exact"/>
              <w:ind w:firstLine="440"/>
              <w:rPr>
                <w:rFonts w:cs="Calibri" w:asciiTheme="minorEastAsia" w:hAnsiTheme="minorEastAsia"/>
                <w:b/>
                <w:bCs/>
                <w:color w:val="000000"/>
                <w:sz w:val="22"/>
              </w:rPr>
            </w:pPr>
            <w:r>
              <w:rPr>
                <w:rFonts w:hint="eastAsia" w:cs="Calibri" w:asciiTheme="minorEastAsia" w:hAnsiTheme="minorEastAsia"/>
                <w:b/>
                <w:bCs/>
                <w:color w:val="000000"/>
                <w:sz w:val="22"/>
              </w:rPr>
              <w:t>设备名称</w:t>
            </w:r>
          </w:p>
        </w:tc>
        <w:tc>
          <w:tcPr>
            <w:tcW w:w="2034" w:type="dxa"/>
          </w:tcPr>
          <w:p>
            <w:pPr>
              <w:adjustRightInd w:val="0"/>
              <w:snapToGrid w:val="0"/>
              <w:spacing w:after="72" w:line="360" w:lineRule="exact"/>
              <w:ind w:firstLine="440"/>
              <w:rPr>
                <w:rFonts w:cs="Calibri" w:asciiTheme="minorEastAsia" w:hAnsiTheme="minorEastAsia"/>
                <w:b/>
                <w:bCs/>
                <w:color w:val="000000"/>
                <w:sz w:val="22"/>
              </w:rPr>
            </w:pPr>
            <w:r>
              <w:rPr>
                <w:rFonts w:hint="eastAsia" w:cs="Calibri" w:asciiTheme="minorEastAsia" w:hAnsiTheme="minorEastAsia"/>
                <w:b/>
                <w:bCs/>
                <w:color w:val="000000"/>
                <w:sz w:val="22"/>
              </w:rPr>
              <w:t>数量</w:t>
            </w:r>
          </w:p>
        </w:tc>
        <w:tc>
          <w:tcPr>
            <w:tcW w:w="2033" w:type="dxa"/>
          </w:tcPr>
          <w:p>
            <w:pPr>
              <w:adjustRightInd w:val="0"/>
              <w:snapToGrid w:val="0"/>
              <w:spacing w:after="72" w:line="360" w:lineRule="exact"/>
              <w:ind w:firstLine="440"/>
              <w:rPr>
                <w:rFonts w:cs="Calibri" w:asciiTheme="minorEastAsia" w:hAnsiTheme="minorEastAsia"/>
                <w:b/>
                <w:bCs/>
                <w:color w:val="000000"/>
                <w:sz w:val="22"/>
              </w:rPr>
            </w:pPr>
            <w:r>
              <w:rPr>
                <w:rFonts w:hint="eastAsia" w:cs="Calibri" w:asciiTheme="minorEastAsia" w:hAnsiTheme="minorEastAsia"/>
                <w:b/>
                <w:bCs/>
                <w:color w:val="000000"/>
                <w:sz w:val="22"/>
              </w:rPr>
              <w:t>规格型号</w:t>
            </w:r>
          </w:p>
        </w:tc>
        <w:tc>
          <w:tcPr>
            <w:tcW w:w="2019" w:type="dxa"/>
          </w:tcPr>
          <w:p>
            <w:pPr>
              <w:adjustRightInd w:val="0"/>
              <w:snapToGrid w:val="0"/>
              <w:spacing w:after="72" w:line="360" w:lineRule="exact"/>
              <w:ind w:firstLine="440"/>
              <w:rPr>
                <w:rFonts w:cs="Calibri" w:asciiTheme="minorEastAsia" w:hAnsiTheme="minorEastAsia"/>
                <w:b/>
                <w:bCs/>
                <w:color w:val="000000"/>
                <w:sz w:val="22"/>
              </w:rPr>
            </w:pPr>
            <w:r>
              <w:rPr>
                <w:rFonts w:hint="eastAsia" w:cs="Calibri" w:asciiTheme="minorEastAsia" w:hAnsiTheme="minorEastAsia"/>
                <w:b/>
                <w:bCs/>
                <w:color w:val="000000"/>
                <w:sz w:val="22"/>
              </w:rPr>
              <w:t>使用时间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469" w:type="dxa"/>
          </w:tcPr>
          <w:p>
            <w:pPr>
              <w:adjustRightInd w:val="0"/>
              <w:snapToGrid w:val="0"/>
              <w:spacing w:after="72" w:line="360" w:lineRule="exact"/>
              <w:ind w:firstLine="440"/>
              <w:rPr>
                <w:rFonts w:cs="Calibri" w:asciiTheme="minorEastAsia" w:hAnsiTheme="minorEastAsia"/>
                <w:b/>
                <w:bCs/>
                <w:color w:val="000000"/>
                <w:sz w:val="22"/>
              </w:rPr>
            </w:pPr>
            <w:r>
              <w:rPr>
                <w:rFonts w:hint="eastAsia" w:cs="Calibri" w:asciiTheme="minorEastAsia" w:hAnsiTheme="minorEastAsia"/>
                <w:b/>
                <w:bCs/>
                <w:color w:val="000000"/>
                <w:sz w:val="22"/>
              </w:rPr>
              <w:t>普通划线机</w:t>
            </w:r>
          </w:p>
        </w:tc>
        <w:tc>
          <w:tcPr>
            <w:tcW w:w="2034" w:type="dxa"/>
          </w:tcPr>
          <w:p>
            <w:pPr>
              <w:adjustRightInd w:val="0"/>
              <w:snapToGrid w:val="0"/>
              <w:spacing w:after="72" w:line="360" w:lineRule="exact"/>
              <w:ind w:firstLine="440"/>
              <w:rPr>
                <w:rFonts w:cs="Calibri" w:asciiTheme="minorEastAsia" w:hAnsiTheme="minorEastAsia"/>
                <w:b/>
                <w:bCs/>
                <w:color w:val="000000"/>
                <w:sz w:val="22"/>
              </w:rPr>
            </w:pPr>
            <w:r>
              <w:rPr>
                <w:rFonts w:hint="eastAsia" w:cs="Calibri" w:asciiTheme="minorEastAsia" w:hAnsiTheme="minorEastAsia"/>
                <w:b/>
                <w:bCs/>
                <w:color w:val="000000"/>
                <w:sz w:val="22"/>
              </w:rPr>
              <w:t>1</w:t>
            </w:r>
          </w:p>
        </w:tc>
        <w:tc>
          <w:tcPr>
            <w:tcW w:w="2033" w:type="dxa"/>
          </w:tcPr>
          <w:p>
            <w:pPr>
              <w:adjustRightInd w:val="0"/>
              <w:snapToGrid w:val="0"/>
              <w:spacing w:after="72" w:line="360" w:lineRule="exact"/>
              <w:ind w:firstLine="440"/>
              <w:rPr>
                <w:rFonts w:cs="Calibri" w:asciiTheme="minorEastAsia" w:hAnsiTheme="minorEastAsia"/>
                <w:b/>
                <w:bCs/>
                <w:color w:val="000000"/>
                <w:sz w:val="22"/>
              </w:rPr>
            </w:pPr>
            <w:r>
              <w:rPr>
                <w:rFonts w:hint="eastAsia" w:cs="Calibri" w:asciiTheme="minorEastAsia" w:hAnsiTheme="minorEastAsia"/>
                <w:b/>
                <w:bCs/>
                <w:color w:val="000000"/>
                <w:sz w:val="22"/>
              </w:rPr>
              <w:t>200HS</w:t>
            </w:r>
          </w:p>
        </w:tc>
        <w:tc>
          <w:tcPr>
            <w:tcW w:w="2019" w:type="dxa"/>
          </w:tcPr>
          <w:p>
            <w:pPr>
              <w:adjustRightInd w:val="0"/>
              <w:snapToGrid w:val="0"/>
              <w:spacing w:after="72" w:line="360" w:lineRule="exact"/>
              <w:ind w:firstLine="440"/>
              <w:rPr>
                <w:rFonts w:cs="Calibri" w:asciiTheme="minorEastAsia" w:hAnsiTheme="minorEastAsia"/>
                <w:b/>
                <w:bCs/>
                <w:color w:val="000000"/>
                <w:sz w:val="22"/>
              </w:rPr>
            </w:pPr>
            <w:r>
              <w:rPr>
                <w:rFonts w:hint="eastAsia" w:cs="Calibri" w:asciiTheme="minorEastAsia" w:hAnsiTheme="minorEastAsia"/>
                <w:b/>
                <w:bCs/>
                <w:color w:val="000000"/>
                <w:sz w:val="22"/>
              </w:rPr>
              <w:t>2017.10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469" w:type="dxa"/>
          </w:tcPr>
          <w:p>
            <w:pPr>
              <w:adjustRightInd w:val="0"/>
              <w:snapToGrid w:val="0"/>
              <w:spacing w:after="72" w:line="360" w:lineRule="exact"/>
              <w:ind w:firstLine="440"/>
              <w:rPr>
                <w:rFonts w:cs="Calibri" w:asciiTheme="minorEastAsia" w:hAnsiTheme="minorEastAsia"/>
                <w:b/>
                <w:bCs/>
                <w:color w:val="000000"/>
                <w:sz w:val="22"/>
              </w:rPr>
            </w:pPr>
            <w:r>
              <w:rPr>
                <w:rFonts w:hint="eastAsia" w:cs="Calibri" w:asciiTheme="minorEastAsia" w:hAnsiTheme="minorEastAsia"/>
                <w:b/>
                <w:bCs/>
                <w:color w:val="000000"/>
                <w:sz w:val="22"/>
              </w:rPr>
              <w:t>普通划线机</w:t>
            </w:r>
          </w:p>
        </w:tc>
        <w:tc>
          <w:tcPr>
            <w:tcW w:w="2034" w:type="dxa"/>
          </w:tcPr>
          <w:p>
            <w:pPr>
              <w:adjustRightInd w:val="0"/>
              <w:snapToGrid w:val="0"/>
              <w:spacing w:after="72" w:line="360" w:lineRule="exact"/>
              <w:ind w:firstLine="440"/>
              <w:rPr>
                <w:rFonts w:cs="Calibri" w:asciiTheme="minorEastAsia" w:hAnsiTheme="minorEastAsia"/>
                <w:b/>
                <w:bCs/>
                <w:color w:val="000000"/>
                <w:sz w:val="22"/>
              </w:rPr>
            </w:pPr>
            <w:r>
              <w:rPr>
                <w:rFonts w:hint="eastAsia" w:cs="Calibri" w:asciiTheme="minorEastAsia" w:hAnsiTheme="minorEastAsia"/>
                <w:b/>
                <w:bCs/>
                <w:color w:val="000000"/>
                <w:sz w:val="22"/>
              </w:rPr>
              <w:t>1</w:t>
            </w:r>
          </w:p>
        </w:tc>
        <w:tc>
          <w:tcPr>
            <w:tcW w:w="2033" w:type="dxa"/>
          </w:tcPr>
          <w:p>
            <w:pPr>
              <w:adjustRightInd w:val="0"/>
              <w:snapToGrid w:val="0"/>
              <w:spacing w:after="72" w:line="360" w:lineRule="exact"/>
              <w:ind w:firstLine="440"/>
              <w:rPr>
                <w:rFonts w:cs="Calibri" w:asciiTheme="minorEastAsia" w:hAnsiTheme="minorEastAsia"/>
                <w:b/>
                <w:bCs/>
                <w:color w:val="000000"/>
                <w:sz w:val="22"/>
              </w:rPr>
            </w:pPr>
            <w:r>
              <w:rPr>
                <w:rFonts w:hint="eastAsia" w:cs="Calibri" w:asciiTheme="minorEastAsia" w:hAnsiTheme="minorEastAsia"/>
                <w:b/>
                <w:bCs/>
                <w:color w:val="000000"/>
                <w:sz w:val="22"/>
              </w:rPr>
              <w:t>REC-PBS-2004</w:t>
            </w:r>
          </w:p>
        </w:tc>
        <w:tc>
          <w:tcPr>
            <w:tcW w:w="2019" w:type="dxa"/>
          </w:tcPr>
          <w:p>
            <w:pPr>
              <w:adjustRightInd w:val="0"/>
              <w:snapToGrid w:val="0"/>
              <w:spacing w:after="72" w:line="360" w:lineRule="exact"/>
              <w:ind w:firstLine="440"/>
              <w:rPr>
                <w:rFonts w:cs="Calibri" w:asciiTheme="minorEastAsia" w:hAnsiTheme="minorEastAsia"/>
                <w:b/>
                <w:bCs/>
                <w:color w:val="000000"/>
                <w:sz w:val="22"/>
              </w:rPr>
            </w:pPr>
            <w:r>
              <w:rPr>
                <w:rFonts w:hint="eastAsia" w:cs="Calibri" w:asciiTheme="minorEastAsia" w:hAnsiTheme="minorEastAsia"/>
                <w:b/>
                <w:bCs/>
                <w:color w:val="000000"/>
                <w:sz w:val="22"/>
              </w:rPr>
              <w:t>2013.12</w:t>
            </w:r>
          </w:p>
        </w:tc>
      </w:tr>
    </w:tbl>
    <w:p>
      <w:pPr>
        <w:adjustRightInd w:val="0"/>
        <w:snapToGrid w:val="0"/>
        <w:spacing w:after="72"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甲方提供的设备只能用于本项目的各类工作，投标人根据自身情况可选用甲方提供的设备，投标人保证甲供设备的完好性，并负责设备的维护保养、零配件购置更换及燃油费用等，甲供设备不满足最低配备标准的部分由投标人自行补充配置,甲供设备不能满足使用需要时，甲方不另行补充提供。</w:t>
      </w:r>
    </w:p>
    <w:p>
      <w:pPr>
        <w:adjustRightInd w:val="0"/>
        <w:snapToGrid w:val="0"/>
        <w:spacing w:after="72" w:line="360" w:lineRule="exact"/>
        <w:rPr>
          <w:rFonts w:cs="Calibri" w:asciiTheme="minorEastAsia" w:hAnsiTheme="minorEastAsia"/>
          <w:color w:val="000000"/>
          <w:sz w:val="22"/>
        </w:rPr>
      </w:pPr>
      <w:r>
        <w:rPr>
          <w:rFonts w:hint="eastAsia" w:cs="Calibri" w:asciiTheme="minorEastAsia" w:hAnsiTheme="minorEastAsia"/>
          <w:color w:val="000000"/>
          <w:sz w:val="22"/>
        </w:rPr>
        <w:t xml:space="preserve">    </w:t>
      </w:r>
      <w:r>
        <w:rPr>
          <w:rFonts w:cs="Calibri" w:asciiTheme="minorEastAsia" w:hAnsiTheme="minorEastAsia"/>
          <w:color w:val="000000"/>
          <w:sz w:val="22"/>
        </w:rPr>
        <w:t>2.3.</w:t>
      </w:r>
      <w:r>
        <w:rPr>
          <w:rFonts w:hint="eastAsia" w:cs="Calibri" w:asciiTheme="minorEastAsia" w:hAnsiTheme="minorEastAsia"/>
          <w:color w:val="000000"/>
          <w:sz w:val="22"/>
        </w:rPr>
        <w:t>8</w:t>
      </w:r>
      <w:r>
        <w:rPr>
          <w:rFonts w:cs="Calibri" w:asciiTheme="minorEastAsia" w:hAnsiTheme="minorEastAsia"/>
          <w:color w:val="000000"/>
          <w:sz w:val="22"/>
        </w:rPr>
        <w:t xml:space="preserve"> </w:t>
      </w:r>
      <w:r>
        <w:rPr>
          <w:rFonts w:hint="eastAsia" w:cs="Calibri" w:asciiTheme="minorEastAsia" w:hAnsiTheme="minorEastAsia"/>
          <w:color w:val="000000"/>
          <w:sz w:val="22"/>
        </w:rPr>
        <w:t>投标人需指派专人进行招标人所属的除线车操作，人员上岗前须满足招标人的专用设备培训、考核要求。</w:t>
      </w:r>
    </w:p>
    <w:p>
      <w:pPr>
        <w:adjustRightInd w:val="0"/>
        <w:snapToGrid w:val="0"/>
        <w:spacing w:after="72" w:line="360" w:lineRule="exact"/>
        <w:ind w:firstLine="440"/>
        <w:rPr>
          <w:rFonts w:cs="Calibri" w:asciiTheme="minorEastAsia" w:hAnsiTheme="minorEastAsia"/>
          <w:color w:val="000000"/>
          <w:sz w:val="22"/>
        </w:rPr>
      </w:pPr>
      <w:r>
        <w:rPr>
          <w:rFonts w:cs="Calibri" w:asciiTheme="minorEastAsia" w:hAnsiTheme="minorEastAsia"/>
          <w:color w:val="000000"/>
          <w:sz w:val="22"/>
        </w:rPr>
        <w:t>2.3.</w:t>
      </w:r>
      <w:r>
        <w:rPr>
          <w:rFonts w:hint="eastAsia" w:cs="Calibri" w:asciiTheme="minorEastAsia" w:hAnsiTheme="minorEastAsia"/>
          <w:color w:val="000000"/>
          <w:sz w:val="22"/>
        </w:rPr>
        <w:t>9</w:t>
      </w:r>
      <w:r>
        <w:rPr>
          <w:rFonts w:cs="Calibri" w:asciiTheme="minorEastAsia" w:hAnsiTheme="minorEastAsia"/>
          <w:color w:val="000000"/>
          <w:sz w:val="22"/>
        </w:rPr>
        <w:t xml:space="preserve"> </w:t>
      </w:r>
      <w:r>
        <w:rPr>
          <w:rFonts w:hint="eastAsia" w:cs="Calibri" w:asciiTheme="minorEastAsia" w:hAnsiTheme="minorEastAsia"/>
          <w:color w:val="000000"/>
          <w:sz w:val="22"/>
        </w:rPr>
        <w:t>投标人须固定载客汽车负责运送人员，有固定厢式货车负责运送工具设备及施工用料。</w:t>
      </w:r>
    </w:p>
    <w:p>
      <w:pPr>
        <w:adjustRightInd w:val="0"/>
        <w:snapToGrid w:val="0"/>
        <w:spacing w:after="72" w:line="360" w:lineRule="exact"/>
        <w:ind w:firstLine="440"/>
        <w:rPr>
          <w:rFonts w:cs="Calibri" w:asciiTheme="minorEastAsia" w:hAnsiTheme="minorEastAsia"/>
          <w:color w:val="000000"/>
          <w:sz w:val="22"/>
        </w:rPr>
      </w:pPr>
      <w:r>
        <w:rPr>
          <w:rFonts w:cs="Calibri" w:asciiTheme="minorEastAsia" w:hAnsiTheme="minorEastAsia"/>
          <w:color w:val="000000"/>
          <w:sz w:val="22"/>
        </w:rPr>
        <w:t>2.3.</w:t>
      </w:r>
      <w:r>
        <w:rPr>
          <w:rFonts w:hint="eastAsia" w:cs="Calibri" w:asciiTheme="minorEastAsia" w:hAnsiTheme="minorEastAsia"/>
          <w:color w:val="000000"/>
          <w:sz w:val="22"/>
        </w:rPr>
        <w:t>10</w:t>
      </w:r>
      <w:r>
        <w:rPr>
          <w:rFonts w:cs="Calibri" w:asciiTheme="minorEastAsia" w:hAnsiTheme="minorEastAsia"/>
          <w:color w:val="000000"/>
          <w:sz w:val="22"/>
        </w:rPr>
        <w:t xml:space="preserve"> </w:t>
      </w:r>
      <w:r>
        <w:rPr>
          <w:rFonts w:hint="eastAsia" w:cs="Calibri" w:asciiTheme="minorEastAsia" w:hAnsiTheme="minorEastAsia"/>
          <w:color w:val="000000"/>
          <w:sz w:val="22"/>
        </w:rPr>
        <w:t>投标人自有车辆、设备、工具须获得在其相应区域活动或使用的许可，并接受机场有关部门的检查。</w:t>
      </w:r>
    </w:p>
    <w:p>
      <w:pPr>
        <w:adjustRightInd w:val="0"/>
        <w:snapToGrid w:val="0"/>
        <w:spacing w:after="72"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2.3.11跑道中心线清除建议采用高温软化、人工清除的方式。作业期间须满足机场消防安全规定，现场配备不少于2个灭火器，作业人员具备操作证，并须办理杭州机场动火证。</w:t>
      </w:r>
    </w:p>
    <w:p>
      <w:pPr>
        <w:adjustRightInd w:val="0"/>
        <w:snapToGrid w:val="0"/>
        <w:spacing w:after="72"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2.3.12其他标志线清除建议采用高压水冲洗方式，投标人提供的除线设备需带有回收废料功能。</w:t>
      </w:r>
    </w:p>
    <w:p>
      <w:pPr>
        <w:adjustRightInd w:val="0"/>
        <w:snapToGrid w:val="0"/>
        <w:spacing w:after="72"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2.3.13投标人漆画标志线所用模板自行准备，字体高度30cm-400cm之间，所产生的模板制作、使用、维护等费用在投标报价时一并考虑。</w:t>
      </w:r>
    </w:p>
    <w:p>
      <w:pPr>
        <w:adjustRightInd w:val="0"/>
        <w:snapToGrid w:val="0"/>
        <w:spacing w:after="72" w:line="360" w:lineRule="exact"/>
        <w:ind w:firstLine="440"/>
        <w:rPr>
          <w:rFonts w:cs="Calibri" w:asciiTheme="minorEastAsia" w:hAnsiTheme="minorEastAsia"/>
          <w:color w:val="000000"/>
          <w:sz w:val="22"/>
        </w:rPr>
      </w:pPr>
      <w:r>
        <w:rPr>
          <w:rFonts w:cs="Calibri" w:asciiTheme="minorEastAsia" w:hAnsiTheme="minorEastAsia"/>
          <w:color w:val="000000"/>
          <w:sz w:val="22"/>
        </w:rPr>
        <w:t>2.4人员要求</w:t>
      </w:r>
    </w:p>
    <w:p>
      <w:pPr>
        <w:adjustRightInd w:val="0"/>
        <w:snapToGrid w:val="0"/>
        <w:spacing w:after="72"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2.4.1 </w:t>
      </w:r>
      <w:r>
        <w:rPr>
          <w:rFonts w:hint="eastAsia" w:cs="Calibri" w:asciiTheme="minorEastAsia" w:hAnsiTheme="minorEastAsia"/>
          <w:color w:val="000000"/>
          <w:sz w:val="22"/>
        </w:rPr>
        <w:t>投标人需确保所有人员通过招标人安排的培训和考核。</w:t>
      </w:r>
    </w:p>
    <w:p>
      <w:pPr>
        <w:adjustRightInd w:val="0"/>
        <w:snapToGrid w:val="0"/>
        <w:spacing w:after="72"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2.4.2 </w:t>
      </w:r>
      <w:r>
        <w:rPr>
          <w:rFonts w:hint="eastAsia" w:cs="Calibri" w:asciiTheme="minorEastAsia" w:hAnsiTheme="minorEastAsia"/>
          <w:color w:val="000000"/>
          <w:sz w:val="22"/>
        </w:rPr>
        <w:t>投标人项目负责人及现场负责人需要具备机场飞行区标志线</w:t>
      </w:r>
      <w:r>
        <w:rPr>
          <w:rFonts w:cs="Calibri" w:asciiTheme="minorEastAsia" w:hAnsiTheme="minorEastAsia"/>
          <w:color w:val="000000"/>
          <w:sz w:val="22"/>
        </w:rPr>
        <w:t>2年以上维护经验；且70%以上的作业人员工作经验应不低于1年。</w:t>
      </w:r>
    </w:p>
    <w:p>
      <w:pPr>
        <w:adjustRightInd w:val="0"/>
        <w:snapToGrid w:val="0"/>
        <w:spacing w:after="72"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2.4.3 </w:t>
      </w:r>
      <w:r>
        <w:rPr>
          <w:rFonts w:hint="eastAsia" w:cs="Calibri" w:asciiTheme="minorEastAsia" w:hAnsiTheme="minorEastAsia"/>
          <w:color w:val="000000"/>
          <w:sz w:val="22"/>
        </w:rPr>
        <w:t>投标人工作人员需身体健康，具有初中以上学历且无任何明显的身体缺陷和精神障碍。</w:t>
      </w:r>
    </w:p>
    <w:p>
      <w:pPr>
        <w:adjustRightInd w:val="0"/>
        <w:snapToGrid w:val="0"/>
        <w:spacing w:after="72" w:line="360" w:lineRule="exact"/>
        <w:ind w:firstLine="440"/>
        <w:rPr>
          <w:rFonts w:cs="Calibri" w:asciiTheme="minorEastAsia" w:hAnsiTheme="minorEastAsia"/>
          <w:color w:val="000000"/>
          <w:sz w:val="22"/>
        </w:rPr>
      </w:pPr>
      <w:r>
        <w:rPr>
          <w:rFonts w:cs="Calibri" w:asciiTheme="minorEastAsia" w:hAnsiTheme="minorEastAsia"/>
          <w:color w:val="000000"/>
          <w:sz w:val="22"/>
        </w:rPr>
        <w:t>3．项目实施安排</w:t>
      </w:r>
    </w:p>
    <w:p>
      <w:pPr>
        <w:adjustRightInd w:val="0"/>
        <w:snapToGrid w:val="0"/>
        <w:spacing w:after="72"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3.1 </w:t>
      </w:r>
      <w:r>
        <w:rPr>
          <w:rFonts w:hint="eastAsia" w:cs="Calibri" w:asciiTheme="minorEastAsia" w:hAnsiTheme="minorEastAsia"/>
          <w:color w:val="000000"/>
          <w:sz w:val="22"/>
        </w:rPr>
        <w:t>根据招标人要求，在指定时间须对指定区域进行施工。跑滑道面作业时间通常为夜间，单次作业时间一般不超过4</w:t>
      </w:r>
      <w:r>
        <w:rPr>
          <w:rFonts w:cs="Calibri" w:asciiTheme="minorEastAsia" w:hAnsiTheme="minorEastAsia"/>
          <w:color w:val="000000"/>
          <w:sz w:val="22"/>
        </w:rPr>
        <w:t>小时；机坪区域作业可在白天进行，单日作业时间一般为8小时。</w:t>
      </w:r>
    </w:p>
    <w:p>
      <w:pPr>
        <w:adjustRightInd w:val="0"/>
        <w:snapToGrid w:val="0"/>
        <w:spacing w:after="72"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3.2 </w:t>
      </w:r>
      <w:r>
        <w:rPr>
          <w:rFonts w:hint="eastAsia" w:cs="Calibri" w:asciiTheme="minorEastAsia" w:hAnsiTheme="minorEastAsia"/>
          <w:color w:val="000000"/>
          <w:sz w:val="22"/>
        </w:rPr>
        <w:t>项目必须按要求在规定时间内完成施工作业，不得影响机场的正常运行。</w:t>
      </w:r>
    </w:p>
    <w:p>
      <w:pPr>
        <w:adjustRightInd w:val="0"/>
        <w:snapToGrid w:val="0"/>
        <w:spacing w:after="72"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3.3 </w:t>
      </w:r>
      <w:r>
        <w:rPr>
          <w:rFonts w:hint="eastAsia" w:cs="Calibri" w:asciiTheme="minorEastAsia" w:hAnsiTheme="minorEastAsia"/>
          <w:color w:val="000000"/>
          <w:sz w:val="22"/>
        </w:rPr>
        <w:t>工程质量等级要求：合格。施工后的道面必须满足航空器、车辆正常通行的要求。</w:t>
      </w:r>
    </w:p>
    <w:p>
      <w:pPr>
        <w:adjustRightInd w:val="0"/>
        <w:snapToGrid w:val="0"/>
        <w:spacing w:after="72" w:line="360" w:lineRule="exact"/>
        <w:ind w:firstLine="440"/>
        <w:rPr>
          <w:rFonts w:cs="Calibri" w:asciiTheme="minorEastAsia" w:hAnsiTheme="minorEastAsia"/>
          <w:color w:val="000000"/>
          <w:sz w:val="22"/>
        </w:rPr>
      </w:pPr>
      <w:r>
        <w:rPr>
          <w:rFonts w:cs="Calibri" w:asciiTheme="minorEastAsia" w:hAnsiTheme="minorEastAsia"/>
          <w:color w:val="000000"/>
          <w:sz w:val="22"/>
        </w:rPr>
        <w:t>4．其他要求</w:t>
      </w:r>
    </w:p>
    <w:p>
      <w:pPr>
        <w:adjustRightInd w:val="0"/>
        <w:snapToGrid w:val="0"/>
        <w:spacing w:after="72" w:line="360" w:lineRule="exact"/>
        <w:ind w:firstLine="440"/>
        <w:rPr>
          <w:rFonts w:cs="Calibri" w:asciiTheme="minorEastAsia" w:hAnsiTheme="minorEastAsia"/>
          <w:color w:val="000000"/>
          <w:sz w:val="22"/>
        </w:rPr>
      </w:pPr>
      <w:r>
        <w:rPr>
          <w:rFonts w:cs="Calibri" w:asciiTheme="minorEastAsia" w:hAnsiTheme="minorEastAsia"/>
          <w:color w:val="000000"/>
          <w:sz w:val="22"/>
        </w:rPr>
        <w:t>4.1 投标人须自行解决食宿</w:t>
      </w:r>
      <w:r>
        <w:rPr>
          <w:rFonts w:hint="eastAsia" w:cs="Calibri" w:asciiTheme="minorEastAsia" w:hAnsiTheme="minorEastAsia"/>
          <w:color w:val="000000"/>
          <w:sz w:val="22"/>
        </w:rPr>
        <w:t>、交通</w:t>
      </w:r>
      <w:r>
        <w:rPr>
          <w:rFonts w:cs="Calibri" w:asciiTheme="minorEastAsia" w:hAnsiTheme="minorEastAsia"/>
          <w:color w:val="000000"/>
          <w:sz w:val="22"/>
        </w:rPr>
        <w:t xml:space="preserve">，发包人不提供居住场地，投标人自行解决提供存放工具、换衣、休息、办公场所和工作所需的水电供应，水电气、通信费用按机场公司收费标准自付。 </w:t>
      </w:r>
    </w:p>
    <w:p>
      <w:pPr>
        <w:snapToGrid w:val="0"/>
        <w:spacing w:line="360" w:lineRule="exact"/>
        <w:ind w:firstLine="440" w:firstLineChars="200"/>
        <w:rPr>
          <w:rFonts w:ascii="宋体" w:hAnsi="宋体" w:cs="宋体"/>
          <w:sz w:val="22"/>
        </w:rPr>
      </w:pPr>
      <w:r>
        <w:rPr>
          <w:rFonts w:hint="eastAsia" w:ascii="宋体" w:hAnsi="宋体" w:cs="宋体"/>
          <w:sz w:val="22"/>
        </w:rPr>
        <w:t>4.2</w:t>
      </w:r>
      <w:r>
        <w:rPr>
          <w:rFonts w:ascii="宋体" w:hAnsi="宋体" w:cs="宋体"/>
          <w:sz w:val="22"/>
        </w:rPr>
        <w:t xml:space="preserve"> </w:t>
      </w:r>
      <w:r>
        <w:rPr>
          <w:rFonts w:hint="eastAsia" w:ascii="宋体" w:hAnsi="宋体" w:cs="宋体"/>
          <w:sz w:val="22"/>
        </w:rPr>
        <w:t>投标人配备</w:t>
      </w:r>
      <w:r>
        <w:rPr>
          <w:rFonts w:ascii="宋体" w:hAnsi="宋体" w:cs="宋体"/>
          <w:sz w:val="22"/>
        </w:rPr>
        <w:t>固定载客汽车运送人员，</w:t>
      </w:r>
      <w:r>
        <w:rPr>
          <w:rFonts w:hint="eastAsia" w:ascii="宋体" w:hAnsi="宋体" w:cs="宋体"/>
          <w:sz w:val="22"/>
        </w:rPr>
        <w:t>配备</w:t>
      </w:r>
      <w:r>
        <w:rPr>
          <w:rFonts w:ascii="宋体" w:hAnsi="宋体" w:cs="宋体"/>
          <w:sz w:val="22"/>
        </w:rPr>
        <w:t>固定厢式货车运送工具设备及施工用料。</w:t>
      </w:r>
    </w:p>
    <w:p>
      <w:pPr>
        <w:adjustRightInd w:val="0"/>
        <w:snapToGrid w:val="0"/>
        <w:spacing w:after="72" w:line="360" w:lineRule="exact"/>
        <w:ind w:firstLine="440"/>
        <w:rPr>
          <w:rFonts w:ascii="宋体" w:hAnsi="宋体" w:cs="宋体"/>
          <w:sz w:val="22"/>
        </w:rPr>
      </w:pPr>
      <w:r>
        <w:rPr>
          <w:rFonts w:hint="eastAsia" w:ascii="宋体" w:hAnsi="宋体" w:cs="宋体"/>
          <w:sz w:val="22"/>
        </w:rPr>
        <w:t>4.3 投标人</w:t>
      </w:r>
      <w:r>
        <w:rPr>
          <w:rFonts w:hint="eastAsia" w:cs="Calibri" w:asciiTheme="minorEastAsia" w:hAnsiTheme="minorEastAsia"/>
          <w:color w:val="000000"/>
          <w:sz w:val="22"/>
        </w:rPr>
        <w:t>施工人员不得少于</w:t>
      </w:r>
      <w:r>
        <w:rPr>
          <w:rFonts w:cs="Calibri" w:asciiTheme="minorEastAsia" w:hAnsiTheme="minorEastAsia"/>
          <w:color w:val="000000"/>
          <w:sz w:val="22"/>
        </w:rPr>
        <w:t>6人</w:t>
      </w:r>
      <w:r>
        <w:rPr>
          <w:rFonts w:hint="eastAsia" w:cs="Calibri" w:asciiTheme="minorEastAsia" w:hAnsiTheme="minorEastAsia"/>
          <w:color w:val="000000"/>
          <w:sz w:val="22"/>
        </w:rPr>
        <w:t>。</w:t>
      </w:r>
      <w:r>
        <w:rPr>
          <w:rFonts w:hint="eastAsia" w:ascii="宋体" w:hAnsi="宋体" w:cs="宋体"/>
          <w:sz w:val="22"/>
        </w:rPr>
        <w:t>须提供24小时应急响应服务，需要应急抢修时，在接到发包人电话通知后应1小时内集结到位。</w:t>
      </w:r>
    </w:p>
    <w:p>
      <w:pPr>
        <w:snapToGrid w:val="0"/>
        <w:spacing w:line="360" w:lineRule="exact"/>
        <w:ind w:firstLine="440" w:firstLineChars="200"/>
        <w:rPr>
          <w:rFonts w:ascii="宋体" w:hAnsi="宋体" w:cs="宋体"/>
          <w:sz w:val="22"/>
        </w:rPr>
      </w:pPr>
      <w:r>
        <w:rPr>
          <w:rFonts w:hint="eastAsia" w:ascii="宋体" w:hAnsi="宋体" w:cs="宋体"/>
          <w:sz w:val="22"/>
        </w:rPr>
        <w:t>4.4 发包人不提供施工机具，标志线维护机具包括划线机、除线机、运输车辆等，全部由投标人自行提供。</w:t>
      </w:r>
    </w:p>
    <w:p>
      <w:pPr>
        <w:snapToGrid w:val="0"/>
        <w:spacing w:line="360" w:lineRule="exact"/>
        <w:ind w:firstLine="440" w:firstLineChars="200"/>
        <w:rPr>
          <w:rFonts w:ascii="宋体" w:hAnsi="宋体" w:cs="宋体"/>
          <w:sz w:val="22"/>
        </w:rPr>
      </w:pPr>
      <w:r>
        <w:rPr>
          <w:rFonts w:hint="eastAsia" w:ascii="宋体" w:hAnsi="宋体" w:cs="宋体"/>
          <w:sz w:val="22"/>
        </w:rPr>
        <w:t>4.5 投标人须为员工提供必要的劳动防护措施，包括服装、定期更换的口罩、护目镜等，同时购买工伤意外保险，并每年组织体检，以满足标志线维护职业健康要求。</w:t>
      </w:r>
    </w:p>
    <w:p>
      <w:pPr>
        <w:snapToGrid w:val="0"/>
        <w:spacing w:line="360" w:lineRule="exact"/>
        <w:ind w:firstLine="440" w:firstLineChars="200"/>
        <w:rPr>
          <w:rFonts w:ascii="宋体" w:hAnsi="宋体" w:cs="宋体"/>
          <w:sz w:val="22"/>
        </w:rPr>
      </w:pPr>
      <w:r>
        <w:rPr>
          <w:rFonts w:hint="eastAsia" w:ascii="宋体" w:hAnsi="宋体" w:cs="宋体"/>
          <w:sz w:val="22"/>
        </w:rPr>
        <w:t>4.6 投标人负责将垃圾、废料需外运至机场以外地区，地点由承包人自行考虑，废旧油漆桶处理需委托有相应资质的处理单位，实际施工如有变化相关费用不做调整；</w:t>
      </w:r>
    </w:p>
    <w:p>
      <w:pPr>
        <w:snapToGrid w:val="0"/>
        <w:spacing w:line="360" w:lineRule="exact"/>
        <w:ind w:firstLine="440" w:firstLineChars="200"/>
        <w:rPr>
          <w:rFonts w:ascii="宋体" w:hAnsi="宋体" w:cs="宋体"/>
          <w:sz w:val="22"/>
        </w:rPr>
      </w:pPr>
      <w:r>
        <w:rPr>
          <w:rFonts w:hint="eastAsia" w:ascii="宋体" w:hAnsi="宋体" w:cs="宋体"/>
          <w:sz w:val="22"/>
        </w:rPr>
        <w:t>4.7 施工地点位于机场飞行区内，进入施工地点人员、车辆须办理隔离区通行证，同时须发包人引领，施工时间须由发包人决定。</w:t>
      </w:r>
    </w:p>
    <w:p>
      <w:pPr>
        <w:snapToGrid w:val="0"/>
        <w:spacing w:line="360" w:lineRule="exact"/>
        <w:ind w:firstLine="440" w:firstLineChars="200"/>
        <w:rPr>
          <w:rFonts w:ascii="宋体" w:hAnsi="宋体" w:cs="宋体"/>
          <w:sz w:val="22"/>
        </w:rPr>
      </w:pPr>
      <w:r>
        <w:rPr>
          <w:rFonts w:hint="eastAsia" w:ascii="宋体" w:hAnsi="宋体" w:cs="宋体"/>
          <w:sz w:val="22"/>
        </w:rPr>
        <w:t xml:space="preserve">4.8 </w:t>
      </w:r>
      <w:r>
        <w:rPr>
          <w:rFonts w:ascii="宋体" w:hAnsi="宋体" w:cs="宋体"/>
          <w:sz w:val="22"/>
        </w:rPr>
        <w:t>机场为重要的公共服务类功能区，必须严格按要求落实各项文明施工措施，避免因施工作业影响机场的运行秩序及环境卫生</w:t>
      </w:r>
      <w:r>
        <w:rPr>
          <w:rFonts w:hint="eastAsia" w:ascii="宋体" w:hAnsi="宋体" w:cs="宋体"/>
          <w:sz w:val="22"/>
        </w:rPr>
        <w:t>。投标人必须按服从并落实发包人的各项管理要求，做好安全文明施工，不得影响机场的正常运行。施工期间以及结束后，施工场地及周边必须满足临近航空器、车辆正常通行的要求。</w:t>
      </w:r>
    </w:p>
    <w:p>
      <w:pPr>
        <w:snapToGrid w:val="0"/>
        <w:spacing w:line="360" w:lineRule="exact"/>
        <w:ind w:firstLine="440" w:firstLineChars="200"/>
        <w:rPr>
          <w:rFonts w:ascii="宋体" w:hAnsi="宋体" w:cs="宋体"/>
          <w:sz w:val="22"/>
        </w:rPr>
      </w:pPr>
      <w:r>
        <w:rPr>
          <w:rFonts w:hint="eastAsia" w:ascii="宋体" w:hAnsi="宋体" w:cs="宋体"/>
          <w:sz w:val="22"/>
        </w:rPr>
        <w:t>4.9 施工期间投标人须配备固定的1-3人专职安全员，负责飞行区内现场的安全管理，以及与发包人现场管理的联络，专职安全员须通过发包人组织的考试。每日施工期间，专职安全员必须有1人在岗，并切实履行管理责任。如专职安全员不到位，发包人有权停止当天的施工作业，延误的工期及产生的其他后果由承包人负责，同时</w:t>
      </w:r>
      <w:r>
        <w:rPr>
          <w:rFonts w:hint="eastAsia" w:ascii="宋体" w:hAnsi="宋体" w:cs="宋体"/>
          <w:b/>
          <w:bCs/>
          <w:sz w:val="22"/>
        </w:rPr>
        <w:t>投标人</w:t>
      </w:r>
      <w:r>
        <w:rPr>
          <w:rFonts w:ascii="宋体" w:hAnsi="宋体"/>
          <w:b/>
          <w:sz w:val="22"/>
        </w:rPr>
        <w:t>应向</w:t>
      </w:r>
      <w:r>
        <w:rPr>
          <w:rFonts w:hint="eastAsia" w:ascii="宋体" w:hAnsi="宋体"/>
          <w:b/>
          <w:sz w:val="22"/>
        </w:rPr>
        <w:t>发包人</w:t>
      </w:r>
      <w:r>
        <w:rPr>
          <w:rFonts w:ascii="宋体" w:hAnsi="宋体"/>
          <w:b/>
          <w:sz w:val="22"/>
        </w:rPr>
        <w:t>支付违约金</w:t>
      </w:r>
      <w:r>
        <w:rPr>
          <w:rFonts w:hint="eastAsia" w:ascii="宋体" w:hAnsi="宋体"/>
          <w:b/>
          <w:sz w:val="22"/>
        </w:rPr>
        <w:t>1</w:t>
      </w:r>
      <w:r>
        <w:rPr>
          <w:rFonts w:ascii="宋体" w:hAnsi="宋体"/>
          <w:b/>
          <w:sz w:val="22"/>
        </w:rPr>
        <w:t>000元/</w:t>
      </w:r>
      <w:r>
        <w:rPr>
          <w:rFonts w:hint="eastAsia" w:ascii="宋体" w:hAnsi="宋体"/>
          <w:b/>
          <w:sz w:val="22"/>
        </w:rPr>
        <w:t>天。</w:t>
      </w:r>
    </w:p>
    <w:p>
      <w:pPr>
        <w:adjustRightInd w:val="0"/>
        <w:snapToGrid w:val="0"/>
        <w:spacing w:line="360" w:lineRule="exact"/>
        <w:ind w:firstLine="440"/>
        <w:rPr>
          <w:rFonts w:ascii="宋体" w:hAnsi="宋体" w:cs="宋体"/>
          <w:sz w:val="22"/>
        </w:rPr>
      </w:pPr>
      <w:r>
        <w:rPr>
          <w:rFonts w:hint="eastAsia" w:ascii="宋体" w:hAnsi="宋体" w:cs="宋体"/>
          <w:sz w:val="22"/>
        </w:rPr>
        <w:t>4.10 施工过程中投标人应对现有设施采取有效的保护措施，如有破坏必须无条件修复至原状；</w:t>
      </w:r>
    </w:p>
    <w:p>
      <w:pPr>
        <w:snapToGrid w:val="0"/>
        <w:spacing w:line="360" w:lineRule="exact"/>
        <w:ind w:firstLine="440" w:firstLineChars="200"/>
        <w:rPr>
          <w:rFonts w:ascii="宋体" w:hAnsi="宋体" w:cs="宋体"/>
          <w:sz w:val="22"/>
        </w:rPr>
      </w:pPr>
      <w:r>
        <w:rPr>
          <w:rFonts w:hint="eastAsia" w:ascii="宋体" w:hAnsi="宋体" w:cs="宋体"/>
          <w:sz w:val="22"/>
        </w:rPr>
        <w:t xml:space="preserve">4.11 </w:t>
      </w:r>
      <w:r>
        <w:rPr>
          <w:rFonts w:ascii="宋体" w:hAnsi="宋体" w:cs="宋体"/>
          <w:sz w:val="22"/>
        </w:rPr>
        <w:t>遇有机场重要保障任务需临时停工时，</w:t>
      </w:r>
      <w:r>
        <w:rPr>
          <w:rFonts w:hint="eastAsia" w:ascii="宋体" w:hAnsi="宋体" w:cs="宋体"/>
          <w:sz w:val="22"/>
        </w:rPr>
        <w:t>投标人</w:t>
      </w:r>
      <w:r>
        <w:rPr>
          <w:rFonts w:ascii="宋体" w:hAnsi="宋体" w:cs="宋体"/>
          <w:sz w:val="22"/>
        </w:rPr>
        <w:t>必须无条件服从</w:t>
      </w:r>
      <w:r>
        <w:rPr>
          <w:rFonts w:hint="eastAsia" w:ascii="宋体" w:hAnsi="宋体" w:cs="宋体"/>
          <w:sz w:val="22"/>
        </w:rPr>
        <w:t>发包人</w:t>
      </w:r>
      <w:r>
        <w:rPr>
          <w:rFonts w:ascii="宋体" w:hAnsi="宋体" w:cs="宋体"/>
          <w:sz w:val="22"/>
        </w:rPr>
        <w:t>指令</w:t>
      </w:r>
      <w:r>
        <w:rPr>
          <w:rFonts w:hint="eastAsia" w:ascii="宋体" w:hAnsi="宋体" w:cs="宋体"/>
          <w:sz w:val="22"/>
        </w:rPr>
        <w:t xml:space="preserve">。  </w:t>
      </w:r>
    </w:p>
    <w:p>
      <w:pPr>
        <w:snapToGrid w:val="0"/>
        <w:spacing w:line="360" w:lineRule="exact"/>
        <w:ind w:firstLine="440" w:firstLineChars="200"/>
        <w:rPr>
          <w:rFonts w:ascii="宋体" w:hAnsi="宋体" w:cs="宋体"/>
          <w:bCs/>
          <w:sz w:val="22"/>
        </w:rPr>
      </w:pPr>
      <w:r>
        <w:rPr>
          <w:rFonts w:hint="eastAsia" w:ascii="宋体" w:hAnsi="宋体" w:cs="Arial"/>
          <w:bCs/>
          <w:kern w:val="0"/>
          <w:sz w:val="22"/>
        </w:rPr>
        <w:t xml:space="preserve">4.12 </w:t>
      </w:r>
      <w:r>
        <w:rPr>
          <w:rFonts w:hint="eastAsia" w:ascii="宋体" w:hAnsi="宋体" w:cs="宋体"/>
          <w:sz w:val="22"/>
        </w:rPr>
        <w:t>投标人施工所用油漆等原材料统一存放于发包人指定的油漆库房，并根据发包人的要求进行严格管理，过程中产生的费用及库房的消防安全责任由投标人承担。</w:t>
      </w:r>
      <w:r>
        <w:rPr>
          <w:rFonts w:hint="eastAsia" w:ascii="宋体" w:hAnsi="宋体" w:cs="Arial"/>
          <w:bCs/>
          <w:kern w:val="0"/>
          <w:sz w:val="22"/>
        </w:rPr>
        <w:t>每次施工所用的材料，须于指定的油漆库房进行取用，并得到发包人的确认，每次材料入库前须同时提供生产厂家供货单、合格证书及发票。如不提供上述材料或生产厂家、品牌、型号与合同不一致，不得用于施工。</w:t>
      </w:r>
    </w:p>
    <w:p>
      <w:pPr>
        <w:adjustRightInd w:val="0"/>
        <w:snapToGrid w:val="0"/>
        <w:spacing w:after="72" w:line="360" w:lineRule="exact"/>
        <w:ind w:firstLine="440"/>
        <w:rPr>
          <w:rFonts w:cs="Calibri" w:asciiTheme="minorEastAsia" w:hAnsiTheme="minorEastAsia"/>
          <w:color w:val="000000"/>
          <w:sz w:val="22"/>
        </w:rPr>
      </w:pPr>
    </w:p>
    <w:p/>
    <w:p/>
    <w:p>
      <w:pPr>
        <w:pStyle w:val="51"/>
      </w:pPr>
      <w:bookmarkStart w:id="101" w:name="_Toc511375157"/>
      <w:bookmarkStart w:id="102" w:name="_Toc275274581"/>
      <w:r>
        <w:t>第</w:t>
      </w:r>
      <w:r>
        <w:rPr>
          <w:rFonts w:hint="eastAsia"/>
        </w:rPr>
        <w:t>六</w:t>
      </w:r>
      <w:r>
        <w:t xml:space="preserve">章  </w:t>
      </w:r>
      <w:r>
        <w:rPr>
          <w:rFonts w:hint="eastAsia"/>
        </w:rPr>
        <w:t>评标办法及标准</w:t>
      </w:r>
      <w:bookmarkEnd w:id="101"/>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综合评估法</w:t>
      </w:r>
      <w:r>
        <w:rPr>
          <w:rFonts w:hint="eastAsia" w:hAnsi="宋体" w:cs="Calibri"/>
          <w:bCs/>
          <w:sz w:val="22"/>
          <w:szCs w:val="22"/>
        </w:rPr>
        <w:t>，</w:t>
      </w: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5"/>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5"/>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bCs/>
          <w:sz w:val="22"/>
        </w:rPr>
        <w:t>否决投标</w:t>
      </w:r>
      <w:r>
        <w:rPr>
          <w:rFonts w:hAnsi="宋体" w:cs="Calibri"/>
          <w:b/>
          <w:sz w:val="22"/>
          <w:szCs w:val="22"/>
        </w:rPr>
        <w:t>处理</w:t>
      </w:r>
      <w:r>
        <w:rPr>
          <w:rFonts w:hAnsi="宋体" w:cs="Calibri"/>
          <w:sz w:val="22"/>
          <w:szCs w:val="22"/>
        </w:rPr>
        <w:t>。</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3.3.1商务报价分60分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投标人的投标价等于评标基准价的得60分，每高于评标基准价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   8-40分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jc w:val="center"/>
        <w:rPr>
          <w:rFonts w:hAnsi="宋体" w:cs="Calibri"/>
          <w:sz w:val="22"/>
          <w:szCs w:val="22"/>
        </w:rPr>
      </w:pPr>
      <w:r>
        <w:rPr>
          <w:rFonts w:hint="eastAsia" w:hAnsi="宋体" w:cs="Calibri"/>
          <w:sz w:val="22"/>
          <w:szCs w:val="22"/>
        </w:rPr>
        <w:t>技术评分分值设定标准</w:t>
      </w:r>
    </w:p>
    <w:tbl>
      <w:tblPr>
        <w:tblStyle w:val="58"/>
        <w:tblW w:w="96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200"/>
        <w:gridCol w:w="6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7" w:hRule="atLeast"/>
          <w:jc w:val="center"/>
        </w:trPr>
        <w:tc>
          <w:tcPr>
            <w:tcW w:w="166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
                <w:sz w:val="22"/>
              </w:rPr>
            </w:pPr>
            <w:r>
              <w:rPr>
                <w:rFonts w:hint="eastAsia" w:ascii="宋体" w:hAnsi="宋体"/>
                <w:b/>
                <w:sz w:val="22"/>
              </w:rPr>
              <w:t>评定项目</w:t>
            </w:r>
          </w:p>
        </w:tc>
        <w:tc>
          <w:tcPr>
            <w:tcW w:w="120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
                <w:sz w:val="22"/>
              </w:rPr>
            </w:pPr>
            <w:r>
              <w:rPr>
                <w:rFonts w:hint="eastAsia" w:ascii="宋体" w:hAnsi="宋体"/>
                <w:b/>
                <w:sz w:val="22"/>
              </w:rPr>
              <w:t>分值范围</w:t>
            </w:r>
          </w:p>
        </w:tc>
        <w:tc>
          <w:tcPr>
            <w:tcW w:w="67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
                <w:sz w:val="22"/>
              </w:rPr>
            </w:pPr>
            <w:r>
              <w:rPr>
                <w:rFonts w:hint="eastAsia" w:ascii="宋体" w:hAnsi="宋体"/>
                <w:b/>
                <w:sz w:val="22"/>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669" w:type="dxa"/>
            <w:tcBorders>
              <w:top w:val="single" w:color="auto" w:sz="4" w:space="0"/>
              <w:left w:val="single" w:color="auto" w:sz="4" w:space="0"/>
              <w:bottom w:val="single" w:color="auto" w:sz="4" w:space="0"/>
              <w:right w:val="single" w:color="auto" w:sz="4" w:space="0"/>
            </w:tcBorders>
            <w:vAlign w:val="center"/>
          </w:tcPr>
          <w:p>
            <w:pPr>
              <w:pStyle w:val="23"/>
              <w:snapToGrid w:val="0"/>
              <w:spacing w:after="0"/>
              <w:ind w:left="0" w:firstLine="0"/>
              <w:jc w:val="both"/>
              <w:rPr>
                <w:rFonts w:ascii="宋体" w:hAnsi="宋体"/>
                <w:sz w:val="22"/>
                <w:szCs w:val="22"/>
              </w:rPr>
            </w:pPr>
            <w:r>
              <w:rPr>
                <w:rFonts w:hint="eastAsia" w:ascii="宋体" w:hAnsi="宋体"/>
                <w:sz w:val="22"/>
                <w:szCs w:val="22"/>
              </w:rPr>
              <w:t>施工组织设计</w:t>
            </w:r>
          </w:p>
        </w:tc>
        <w:tc>
          <w:tcPr>
            <w:tcW w:w="1200" w:type="dxa"/>
            <w:tcBorders>
              <w:top w:val="single" w:color="auto" w:sz="4" w:space="0"/>
              <w:left w:val="single" w:color="auto" w:sz="4" w:space="0"/>
              <w:bottom w:val="single" w:color="auto" w:sz="4" w:space="0"/>
              <w:right w:val="single" w:color="auto" w:sz="4" w:space="0"/>
            </w:tcBorders>
            <w:vAlign w:val="center"/>
          </w:tcPr>
          <w:p>
            <w:pPr>
              <w:pStyle w:val="23"/>
              <w:snapToGrid w:val="0"/>
              <w:spacing w:after="0"/>
              <w:ind w:left="0" w:firstLine="0"/>
              <w:jc w:val="left"/>
              <w:rPr>
                <w:rFonts w:ascii="宋体" w:hAnsi="宋体"/>
                <w:sz w:val="22"/>
                <w:szCs w:val="22"/>
              </w:rPr>
            </w:pPr>
            <w:r>
              <w:rPr>
                <w:rFonts w:hint="eastAsia" w:ascii="宋体" w:hAnsi="宋体"/>
                <w:sz w:val="22"/>
                <w:szCs w:val="22"/>
              </w:rPr>
              <w:t>8-</w:t>
            </w:r>
            <w:r>
              <w:rPr>
                <w:rFonts w:ascii="宋体" w:hAnsi="宋体"/>
                <w:sz w:val="22"/>
                <w:szCs w:val="22"/>
              </w:rPr>
              <w:t>40</w:t>
            </w:r>
            <w:r>
              <w:rPr>
                <w:rFonts w:hint="eastAsia" w:ascii="宋体" w:hAnsi="宋体"/>
                <w:sz w:val="22"/>
                <w:szCs w:val="22"/>
              </w:rPr>
              <w:t>分</w:t>
            </w:r>
          </w:p>
        </w:tc>
        <w:tc>
          <w:tcPr>
            <w:tcW w:w="676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2"/>
              </w:rPr>
            </w:pPr>
            <w:r>
              <w:rPr>
                <w:rFonts w:hint="eastAsia" w:ascii="宋体" w:hAnsi="宋体"/>
                <w:sz w:val="22"/>
              </w:rPr>
              <w:t>1.施工方案是否合理1-</w:t>
            </w:r>
            <w:r>
              <w:rPr>
                <w:rFonts w:ascii="宋体" w:hAnsi="宋体"/>
                <w:sz w:val="22"/>
              </w:rPr>
              <w:t>4</w:t>
            </w:r>
            <w:r>
              <w:rPr>
                <w:rFonts w:hint="eastAsia" w:ascii="宋体" w:hAnsi="宋体"/>
                <w:sz w:val="22"/>
              </w:rPr>
              <w:t>分；</w:t>
            </w:r>
          </w:p>
          <w:p>
            <w:pPr>
              <w:snapToGrid w:val="0"/>
              <w:ind w:left="220" w:hanging="220" w:hangingChars="100"/>
              <w:rPr>
                <w:rFonts w:ascii="宋体" w:hAnsi="宋体"/>
                <w:sz w:val="22"/>
              </w:rPr>
            </w:pPr>
            <w:r>
              <w:rPr>
                <w:rFonts w:hint="eastAsia" w:ascii="宋体" w:hAnsi="宋体"/>
                <w:sz w:val="22"/>
              </w:rPr>
              <w:t>2.施工质量的控制和检验手段是否科学、可靠1-</w:t>
            </w:r>
            <w:r>
              <w:rPr>
                <w:rFonts w:ascii="宋体" w:hAnsi="宋体"/>
                <w:sz w:val="22"/>
              </w:rPr>
              <w:t>4</w:t>
            </w:r>
            <w:r>
              <w:rPr>
                <w:rFonts w:hint="eastAsia" w:ascii="宋体" w:hAnsi="宋体"/>
                <w:sz w:val="22"/>
              </w:rPr>
              <w:t>分；</w:t>
            </w:r>
          </w:p>
          <w:p>
            <w:pPr>
              <w:snapToGrid w:val="0"/>
              <w:ind w:left="220" w:hanging="220" w:hangingChars="100"/>
              <w:rPr>
                <w:rFonts w:ascii="宋体" w:hAnsi="宋体"/>
                <w:sz w:val="22"/>
              </w:rPr>
            </w:pPr>
            <w:r>
              <w:rPr>
                <w:rFonts w:hint="eastAsia" w:ascii="宋体" w:hAnsi="宋体"/>
                <w:sz w:val="22"/>
              </w:rPr>
              <w:t>3.组织保证措施的可行性、合理性1-</w:t>
            </w:r>
            <w:r>
              <w:rPr>
                <w:rFonts w:ascii="宋体" w:hAnsi="宋体"/>
                <w:sz w:val="22"/>
              </w:rPr>
              <w:t>4</w:t>
            </w:r>
            <w:r>
              <w:rPr>
                <w:rFonts w:hint="eastAsia" w:ascii="宋体" w:hAnsi="宋体"/>
                <w:sz w:val="22"/>
              </w:rPr>
              <w:t>分；</w:t>
            </w:r>
          </w:p>
          <w:p>
            <w:pPr>
              <w:snapToGrid w:val="0"/>
              <w:ind w:left="220" w:hanging="220" w:hangingChars="100"/>
              <w:rPr>
                <w:rFonts w:ascii="宋体" w:hAnsi="宋体"/>
                <w:sz w:val="22"/>
              </w:rPr>
            </w:pPr>
            <w:r>
              <w:rPr>
                <w:rFonts w:hint="eastAsia" w:ascii="宋体" w:hAnsi="宋体"/>
                <w:sz w:val="22"/>
              </w:rPr>
              <w:t>4.飞行区施工的安全文明保证措施是否科学、合理、到位1-4分；</w:t>
            </w:r>
          </w:p>
          <w:p>
            <w:pPr>
              <w:snapToGrid w:val="0"/>
              <w:rPr>
                <w:rFonts w:ascii="宋体" w:hAnsi="宋体"/>
                <w:sz w:val="22"/>
              </w:rPr>
            </w:pPr>
            <w:r>
              <w:rPr>
                <w:rFonts w:hint="eastAsia" w:ascii="宋体" w:hAnsi="宋体"/>
                <w:sz w:val="22"/>
              </w:rPr>
              <w:t>5.应急预案可行性情况1-4分；</w:t>
            </w:r>
          </w:p>
          <w:p>
            <w:pPr>
              <w:snapToGrid w:val="0"/>
              <w:rPr>
                <w:rFonts w:ascii="宋体" w:hAnsi="宋体"/>
                <w:sz w:val="22"/>
              </w:rPr>
            </w:pPr>
            <w:r>
              <w:rPr>
                <w:rFonts w:hint="eastAsia" w:ascii="宋体" w:hAnsi="宋体"/>
                <w:sz w:val="22"/>
              </w:rPr>
              <w:t>6.施工机具和检验仪器的投入是否能够满足工程质量和进度的要求1-5分；</w:t>
            </w:r>
          </w:p>
          <w:p>
            <w:pPr>
              <w:snapToGrid w:val="0"/>
              <w:rPr>
                <w:rFonts w:ascii="宋体" w:hAnsi="宋体"/>
                <w:sz w:val="22"/>
              </w:rPr>
            </w:pPr>
            <w:r>
              <w:rPr>
                <w:rFonts w:hint="eastAsia" w:ascii="宋体" w:hAnsi="宋体"/>
                <w:sz w:val="22"/>
              </w:rPr>
              <w:t>7.各专业工种的配置和劳动力的投入是否能满足工程的需要1-5分；</w:t>
            </w:r>
          </w:p>
          <w:p>
            <w:pPr>
              <w:snapToGrid w:val="0"/>
              <w:rPr>
                <w:rFonts w:ascii="宋体" w:hAnsi="宋体"/>
                <w:sz w:val="22"/>
              </w:rPr>
            </w:pPr>
            <w:r>
              <w:rPr>
                <w:rFonts w:hint="eastAsia" w:ascii="宋体" w:hAnsi="宋体"/>
                <w:sz w:val="22"/>
              </w:rPr>
              <w:t>8.项目班子配备力量及合理性、技术管理人员专业配置的全面合理性1-5分。</w:t>
            </w:r>
          </w:p>
          <w:p>
            <w:pPr>
              <w:snapToGrid w:val="0"/>
              <w:rPr>
                <w:rFonts w:ascii="宋体" w:hAnsi="宋体"/>
                <w:sz w:val="22"/>
              </w:rPr>
            </w:pPr>
            <w:r>
              <w:rPr>
                <w:rFonts w:hint="eastAsia" w:ascii="宋体" w:hAnsi="宋体"/>
                <w:sz w:val="22"/>
              </w:rPr>
              <w:t>9.不停航施工专项方案的可行性、合理性0-5分；</w:t>
            </w:r>
          </w:p>
        </w:tc>
      </w:tr>
    </w:tbl>
    <w:p>
      <w:pPr>
        <w:pStyle w:val="31"/>
        <w:adjustRightInd w:val="0"/>
        <w:snapToGrid w:val="0"/>
        <w:spacing w:line="360" w:lineRule="exact"/>
        <w:ind w:firstLine="0" w:firstLineChars="0"/>
        <w:jc w:val="both"/>
        <w:rPr>
          <w:rFonts w:hAnsi="宋体" w:cs="Calibri"/>
          <w:sz w:val="22"/>
          <w:szCs w:val="22"/>
        </w:rPr>
      </w:pPr>
    </w:p>
    <w:p>
      <w:pPr>
        <w:pStyle w:val="31"/>
        <w:spacing w:line="360" w:lineRule="exact"/>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3.4.</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4.4 招标人对评标、定标结果不负责解释。</w:t>
      </w:r>
    </w:p>
    <w:p>
      <w:pPr>
        <w:widowControl/>
        <w:jc w:val="left"/>
        <w:rPr>
          <w:rFonts w:ascii="Cambria" w:hAnsi="Cambria" w:eastAsia="黑体" w:cs="Times New Roman"/>
          <w:b/>
          <w:bCs/>
          <w:kern w:val="0"/>
          <w:sz w:val="32"/>
          <w:szCs w:val="32"/>
        </w:rPr>
      </w:pPr>
      <w:r>
        <w:br w:type="page"/>
      </w:r>
    </w:p>
    <w:p>
      <w:pPr>
        <w:pStyle w:val="51"/>
      </w:pPr>
      <w:bookmarkStart w:id="103" w:name="_Toc511375158"/>
      <w:r>
        <w:t>第</w:t>
      </w:r>
      <w:r>
        <w:rPr>
          <w:rFonts w:hint="eastAsia"/>
        </w:rPr>
        <w:t>七</w:t>
      </w:r>
      <w:r>
        <w:t>章  投标文件格式</w:t>
      </w:r>
      <w:bookmarkEnd w:id="102"/>
      <w:bookmarkEnd w:id="103"/>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二、</w:t>
      </w:r>
      <w:r>
        <w:rPr>
          <w:rFonts w:cs="Calibri" w:asciiTheme="minorEastAsia" w:hAnsiTheme="minorEastAsia"/>
          <w:color w:val="000000"/>
          <w:sz w:val="22"/>
        </w:rPr>
        <w:t>法定代表人资格证明书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三、</w:t>
      </w:r>
      <w:r>
        <w:rPr>
          <w:rFonts w:cs="Calibri" w:asciiTheme="minorEastAsia" w:hAnsiTheme="minorEastAsia"/>
          <w:color w:val="000000"/>
          <w:sz w:val="22"/>
        </w:rPr>
        <w:t>授权委托书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四、已标价工程量清单</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五、施工组织设计</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六、项目管理机构</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七、资格审查资料</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八、投标人认为</w:t>
      </w:r>
      <w:r>
        <w:rPr>
          <w:rFonts w:cs="Calibri" w:asciiTheme="minorEastAsia" w:hAnsiTheme="minorEastAsia"/>
          <w:color w:val="000000"/>
          <w:sz w:val="22"/>
        </w:rPr>
        <w:t>应该提供的其他材料</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104" w:name="_Toc171421958"/>
      <w:r>
        <w:rPr>
          <w:rFonts w:cs="Calibri"/>
          <w:color w:val="000000"/>
        </w:rPr>
        <w:t>封面</w:t>
      </w:r>
      <w:bookmarkEnd w:id="104"/>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r>
        <w:rPr>
          <w:rFonts w:cs="Calibri"/>
          <w:color w:val="000000"/>
        </w:rPr>
        <w:t xml:space="preserve">                  </w:t>
      </w: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ascii="宋体" w:hAnsi="宋体"/>
          <w:sz w:val="22"/>
        </w:rPr>
        <w:t>致：</w:t>
      </w:r>
      <w:r>
        <w:rPr>
          <w:rFonts w:hint="eastAsia" w:ascii="宋体" w:hAnsi="宋体"/>
          <w:sz w:val="22"/>
        </w:rPr>
        <w:t>杭州萧山国际机场</w:t>
      </w:r>
      <w:r>
        <w:rPr>
          <w:rFonts w:ascii="宋体" w:hAnsi="宋体"/>
          <w:sz w:val="22"/>
        </w:rPr>
        <w:t>有限公司</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adjustRightInd w:val="0"/>
        <w:snapToGrid w:val="0"/>
        <w:jc w:val="center"/>
        <w:rPr>
          <w:rFonts w:eastAsia="黑体" w:cs="Calibri"/>
          <w:color w:val="000000"/>
          <w:sz w:val="32"/>
          <w:szCs w:val="32"/>
        </w:rPr>
      </w:pPr>
      <w:r>
        <w:rPr>
          <w:rFonts w:ascii="宋体" w:hAnsi="宋体" w:cs="Arial"/>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120"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120"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36" w:firstLineChars="2235"/>
        <w:rPr>
          <w:rFonts w:cs="Calibri"/>
          <w:b/>
          <w:color w:val="000000"/>
          <w:sz w:val="22"/>
        </w:rPr>
      </w:pPr>
      <w:r>
        <w:rPr>
          <w:rFonts w:cs="Calibri"/>
          <w:b/>
          <w:color w:val="000000"/>
          <w:sz w:val="22"/>
        </w:rPr>
        <w:pict>
          <v:shape id="Text Box 6" o:spid="_x0000_s1026" o:spt="202" type="#_x0000_t202" style="position:absolute;left:0pt;margin-left:0pt;margin-top:63.25pt;height:171.6pt;width:423pt;mso-wrap-distance-bottom:0pt;mso-wrap-distance-left:9pt;mso-wrap-distance-right:9pt;mso-wrap-distance-top:0pt;z-index:251657216;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58240;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31"/>
        <w:spacing w:after="120" w:afterLines="50" w:line="360" w:lineRule="auto"/>
        <w:jc w:val="left"/>
        <w:rPr>
          <w:rFonts w:hAnsi="宋体" w:cs="宋体"/>
          <w:sz w:val="22"/>
          <w:szCs w:val="22"/>
        </w:rPr>
      </w:pPr>
    </w:p>
    <w:p>
      <w:pPr>
        <w:pStyle w:val="31"/>
        <w:spacing w:after="120" w:afterLines="50" w:line="360" w:lineRule="auto"/>
        <w:jc w:val="left"/>
        <w:rPr>
          <w:rFonts w:hAnsi="宋体" w:cs="宋体"/>
          <w:sz w:val="22"/>
          <w:szCs w:val="22"/>
        </w:rPr>
      </w:pPr>
    </w:p>
    <w:p>
      <w:pPr>
        <w:pStyle w:val="31"/>
        <w:spacing w:after="120" w:afterLines="50" w:line="360" w:lineRule="auto"/>
        <w:jc w:val="left"/>
        <w:rPr>
          <w:rFonts w:hAnsi="宋体" w:cs="宋体"/>
          <w:sz w:val="22"/>
          <w:szCs w:val="22"/>
        </w:rPr>
      </w:pPr>
    </w:p>
    <w:p>
      <w:pPr>
        <w:pStyle w:val="31"/>
        <w:spacing w:after="120" w:afterLines="50" w:line="360" w:lineRule="auto"/>
        <w:jc w:val="left"/>
        <w:rPr>
          <w:rFonts w:hAnsi="宋体" w:cs="宋体"/>
          <w:sz w:val="22"/>
          <w:szCs w:val="22"/>
        </w:rPr>
      </w:pPr>
    </w:p>
    <w:p>
      <w:pPr>
        <w:pStyle w:val="31"/>
        <w:spacing w:after="120" w:afterLines="50" w:line="360" w:lineRule="auto"/>
        <w:jc w:val="left"/>
        <w:rPr>
          <w:rFonts w:hAnsi="宋体" w:cs="宋体"/>
          <w:sz w:val="22"/>
          <w:szCs w:val="22"/>
        </w:rPr>
      </w:pPr>
      <w:bookmarkStart w:id="105" w:name="_Toc137373398"/>
      <w:bookmarkStart w:id="106" w:name="_Toc133470542"/>
      <w:bookmarkStart w:id="107" w:name="_Toc144265958"/>
      <w:bookmarkStart w:id="108" w:name="_Toc133214102"/>
      <w:bookmarkStart w:id="109" w:name="_Toc133214309"/>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tbl>
      <w:tblPr>
        <w:tblStyle w:val="58"/>
        <w:tblW w:w="9454"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768"/>
        <w:gridCol w:w="2112"/>
        <w:gridCol w:w="924"/>
        <w:gridCol w:w="828"/>
        <w:gridCol w:w="1044"/>
        <w:gridCol w:w="1236"/>
        <w:gridCol w:w="948"/>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9" w:type="dxa"/>
            <w:vAlign w:val="center"/>
          </w:tcPr>
          <w:p>
            <w:pPr>
              <w:spacing w:line="400" w:lineRule="exact"/>
              <w:jc w:val="center"/>
              <w:rPr>
                <w:rFonts w:ascii="宋体" w:hAnsi="宋体"/>
                <w:sz w:val="22"/>
              </w:rPr>
            </w:pPr>
            <w:r>
              <w:rPr>
                <w:rFonts w:hint="eastAsia" w:ascii="宋体" w:hAnsi="宋体"/>
                <w:sz w:val="22"/>
              </w:rPr>
              <w:t>序号</w:t>
            </w:r>
          </w:p>
        </w:tc>
        <w:tc>
          <w:tcPr>
            <w:tcW w:w="768" w:type="dxa"/>
            <w:vAlign w:val="center"/>
          </w:tcPr>
          <w:p>
            <w:pPr>
              <w:spacing w:line="400" w:lineRule="exact"/>
              <w:jc w:val="center"/>
              <w:rPr>
                <w:rFonts w:ascii="宋体" w:hAnsi="宋体"/>
                <w:sz w:val="22"/>
              </w:rPr>
            </w:pPr>
            <w:r>
              <w:rPr>
                <w:rFonts w:hint="eastAsia" w:ascii="宋体" w:hAnsi="宋体"/>
                <w:sz w:val="22"/>
              </w:rPr>
              <w:t>项目</w:t>
            </w:r>
          </w:p>
        </w:tc>
        <w:tc>
          <w:tcPr>
            <w:tcW w:w="2112" w:type="dxa"/>
          </w:tcPr>
          <w:p>
            <w:pPr>
              <w:spacing w:line="400" w:lineRule="exact"/>
              <w:jc w:val="center"/>
              <w:rPr>
                <w:rFonts w:ascii="宋体" w:hAnsi="宋体"/>
                <w:b/>
                <w:sz w:val="22"/>
              </w:rPr>
            </w:pPr>
            <w:r>
              <w:rPr>
                <w:rFonts w:hint="eastAsia" w:ascii="宋体" w:hAnsi="宋体"/>
                <w:b/>
                <w:sz w:val="22"/>
              </w:rPr>
              <w:t>特征描述</w:t>
            </w:r>
          </w:p>
        </w:tc>
        <w:tc>
          <w:tcPr>
            <w:tcW w:w="924" w:type="dxa"/>
          </w:tcPr>
          <w:p>
            <w:pPr>
              <w:spacing w:line="400" w:lineRule="exact"/>
              <w:jc w:val="center"/>
              <w:rPr>
                <w:rFonts w:ascii="宋体" w:hAnsi="宋体"/>
                <w:b/>
                <w:sz w:val="22"/>
              </w:rPr>
            </w:pPr>
            <w:r>
              <w:rPr>
                <w:rFonts w:hint="eastAsia" w:ascii="宋体" w:hAnsi="宋体"/>
                <w:b/>
                <w:sz w:val="22"/>
              </w:rPr>
              <w:t>漆料、设备品牌型号</w:t>
            </w:r>
          </w:p>
        </w:tc>
        <w:tc>
          <w:tcPr>
            <w:tcW w:w="828" w:type="dxa"/>
          </w:tcPr>
          <w:p>
            <w:pPr>
              <w:spacing w:line="400" w:lineRule="exact"/>
              <w:jc w:val="center"/>
              <w:rPr>
                <w:rFonts w:ascii="宋体" w:hAnsi="宋体"/>
                <w:b/>
                <w:sz w:val="22"/>
              </w:rPr>
            </w:pPr>
            <w:r>
              <w:rPr>
                <w:rFonts w:hint="eastAsia" w:ascii="宋体" w:hAnsi="宋体"/>
                <w:b/>
                <w:sz w:val="22"/>
              </w:rPr>
              <w:t>单位</w:t>
            </w:r>
          </w:p>
        </w:tc>
        <w:tc>
          <w:tcPr>
            <w:tcW w:w="1044" w:type="dxa"/>
          </w:tcPr>
          <w:p>
            <w:pPr>
              <w:spacing w:line="400" w:lineRule="exact"/>
              <w:jc w:val="center"/>
              <w:rPr>
                <w:rFonts w:ascii="宋体" w:hAnsi="宋体"/>
                <w:b/>
                <w:sz w:val="22"/>
              </w:rPr>
            </w:pPr>
            <w:r>
              <w:rPr>
                <w:rFonts w:hint="eastAsia" w:ascii="宋体" w:hAnsi="宋体"/>
                <w:b/>
                <w:sz w:val="22"/>
              </w:rPr>
              <w:t>工程量（暂估）</w:t>
            </w:r>
          </w:p>
        </w:tc>
        <w:tc>
          <w:tcPr>
            <w:tcW w:w="1236" w:type="dxa"/>
          </w:tcPr>
          <w:p>
            <w:pPr>
              <w:spacing w:line="400" w:lineRule="exact"/>
              <w:jc w:val="center"/>
              <w:rPr>
                <w:rFonts w:ascii="宋体" w:hAnsi="宋体"/>
                <w:b/>
                <w:sz w:val="22"/>
              </w:rPr>
            </w:pPr>
            <w:r>
              <w:rPr>
                <w:rFonts w:hint="eastAsia" w:ascii="宋体" w:hAnsi="宋体"/>
                <w:b/>
                <w:sz w:val="22"/>
              </w:rPr>
              <w:t>价格（不含税）</w:t>
            </w:r>
          </w:p>
        </w:tc>
        <w:tc>
          <w:tcPr>
            <w:tcW w:w="948" w:type="dxa"/>
          </w:tcPr>
          <w:p>
            <w:pPr>
              <w:spacing w:line="400" w:lineRule="exact"/>
              <w:jc w:val="center"/>
              <w:rPr>
                <w:rFonts w:ascii="宋体" w:hAnsi="宋体"/>
                <w:b/>
                <w:sz w:val="22"/>
              </w:rPr>
            </w:pPr>
            <w:r>
              <w:rPr>
                <w:rFonts w:hint="eastAsia" w:ascii="宋体" w:hAnsi="宋体"/>
                <w:b/>
                <w:sz w:val="22"/>
              </w:rPr>
              <w:t>税额</w:t>
            </w:r>
          </w:p>
        </w:tc>
        <w:tc>
          <w:tcPr>
            <w:tcW w:w="1045" w:type="dxa"/>
          </w:tcPr>
          <w:p>
            <w:pPr>
              <w:spacing w:line="400" w:lineRule="exact"/>
              <w:jc w:val="center"/>
              <w:rPr>
                <w:rFonts w:ascii="宋体" w:hAnsi="宋体"/>
                <w:b/>
                <w:sz w:val="22"/>
              </w:rPr>
            </w:pPr>
            <w:r>
              <w:rPr>
                <w:rFonts w:hint="eastAsia" w:ascii="宋体" w:hAnsi="宋体"/>
                <w:b/>
                <w:sz w:val="22"/>
              </w:rPr>
              <w:t>合计（含税）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9" w:type="dxa"/>
            <w:shd w:val="clear" w:color="FFFFFF" w:fill="FFFFFF"/>
            <w:vAlign w:val="center"/>
          </w:tcPr>
          <w:p>
            <w:pPr>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68" w:type="dxa"/>
            <w:shd w:val="clear" w:color="auto" w:fill="auto"/>
            <w:vAlign w:val="center"/>
          </w:tcPr>
          <w:p>
            <w:pPr>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溶剂型标线划线</w:t>
            </w:r>
          </w:p>
        </w:tc>
        <w:tc>
          <w:tcPr>
            <w:tcW w:w="2112" w:type="dxa"/>
            <w:shd w:val="clear" w:color="FFFFFF" w:fill="FFFFFF"/>
          </w:tcPr>
          <w:p>
            <w:pPr>
              <w:numPr>
                <w:ilvl w:val="255"/>
                <w:numId w:val="0"/>
              </w:num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 xml:space="preserve">1.漆料名称：丙烯酸溶剂型漆料             </w:t>
            </w:r>
          </w:p>
          <w:p>
            <w:p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2.施工位置：跑道、滑行道、机坪以及外围巡场道                                                   3.工作内容：标志线更新施划</w:t>
            </w:r>
          </w:p>
          <w:p>
            <w:r>
              <w:rPr>
                <w:rFonts w:hint="eastAsia" w:ascii="宋体" w:hAnsi="宋体" w:cs="宋体"/>
                <w:color w:val="000000"/>
                <w:kern w:val="0"/>
                <w:sz w:val="18"/>
                <w:szCs w:val="18"/>
              </w:rPr>
              <w:t xml:space="preserve">4.价格包含材料运输、装卸、漆画模板加工及使用、废旧油漆桶回收等与施工有关的全部费用 </w:t>
            </w:r>
          </w:p>
          <w:p>
            <w:pPr>
              <w:spacing w:line="400" w:lineRule="exact"/>
              <w:rPr>
                <w:rFonts w:ascii="宋体" w:hAnsi="宋体" w:cs="宋体"/>
                <w:color w:val="000000"/>
                <w:kern w:val="0"/>
                <w:sz w:val="18"/>
                <w:szCs w:val="18"/>
              </w:rPr>
            </w:pPr>
          </w:p>
        </w:tc>
        <w:tc>
          <w:tcPr>
            <w:tcW w:w="924" w:type="dxa"/>
            <w:vAlign w:val="center"/>
          </w:tcPr>
          <w:p>
            <w:pPr>
              <w:spacing w:line="400" w:lineRule="exact"/>
              <w:jc w:val="center"/>
              <w:rPr>
                <w:rFonts w:ascii="宋体" w:hAnsi="宋体" w:cs="宋体"/>
                <w:color w:val="000000"/>
                <w:kern w:val="0"/>
                <w:sz w:val="18"/>
                <w:szCs w:val="18"/>
              </w:rPr>
            </w:pPr>
          </w:p>
        </w:tc>
        <w:tc>
          <w:tcPr>
            <w:tcW w:w="828" w:type="dxa"/>
            <w:vAlign w:val="center"/>
          </w:tcPr>
          <w:p>
            <w:pPr>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44" w:type="dxa"/>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229783</w:t>
            </w:r>
          </w:p>
        </w:tc>
        <w:tc>
          <w:tcPr>
            <w:tcW w:w="1236" w:type="dxa"/>
            <w:vAlign w:val="center"/>
          </w:tcPr>
          <w:p>
            <w:pPr>
              <w:spacing w:line="400" w:lineRule="exact"/>
              <w:jc w:val="center"/>
              <w:rPr>
                <w:rFonts w:ascii="宋体" w:hAnsi="宋体"/>
                <w:sz w:val="22"/>
              </w:rPr>
            </w:pPr>
          </w:p>
        </w:tc>
        <w:tc>
          <w:tcPr>
            <w:tcW w:w="948" w:type="dxa"/>
            <w:vAlign w:val="center"/>
          </w:tcPr>
          <w:p>
            <w:pPr>
              <w:spacing w:line="400" w:lineRule="exact"/>
              <w:jc w:val="center"/>
              <w:rPr>
                <w:rFonts w:ascii="宋体" w:hAnsi="宋体"/>
                <w:sz w:val="22"/>
              </w:rPr>
            </w:pPr>
          </w:p>
        </w:tc>
        <w:tc>
          <w:tcPr>
            <w:tcW w:w="1045" w:type="dxa"/>
            <w:vAlign w:val="center"/>
          </w:tcPr>
          <w:p>
            <w:pPr>
              <w:spacing w:line="40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9" w:type="dxa"/>
            <w:shd w:val="clear" w:color="FFFFFF" w:fill="FFFFFF"/>
            <w:vAlign w:val="center"/>
          </w:tcPr>
          <w:p>
            <w:pPr>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768" w:type="dxa"/>
            <w:shd w:val="clear" w:color="auto" w:fill="auto"/>
            <w:vAlign w:val="center"/>
          </w:tcPr>
          <w:p>
            <w:pPr>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跑道中心线清除</w:t>
            </w:r>
          </w:p>
        </w:tc>
        <w:tc>
          <w:tcPr>
            <w:tcW w:w="2112" w:type="dxa"/>
            <w:shd w:val="clear" w:color="FFFFFF" w:fill="FFFFFF"/>
            <w:vAlign w:val="center"/>
          </w:tcPr>
          <w:p>
            <w:pPr>
              <w:numPr>
                <w:ilvl w:val="255"/>
                <w:numId w:val="0"/>
              </w:num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1.溶剂型标志线清除</w:t>
            </w:r>
          </w:p>
          <w:p>
            <w:pPr>
              <w:numPr>
                <w:ilvl w:val="255"/>
                <w:numId w:val="0"/>
              </w:num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2.施工位置：跑道</w:t>
            </w:r>
          </w:p>
          <w:p>
            <w:pPr>
              <w:numPr>
                <w:ilvl w:val="255"/>
                <w:numId w:val="0"/>
              </w:num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3.工作内容：跑道中心线清除，标志线厚度5mm-10mm，建议采用高温软化、人工清除方式。</w:t>
            </w:r>
          </w:p>
          <w:p>
            <w:pPr>
              <w:numPr>
                <w:ilvl w:val="255"/>
                <w:numId w:val="0"/>
              </w:num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 xml:space="preserve">4.价格包含施工、清扫、回收、运输、废料处理等与施工有关的全部费用  </w:t>
            </w:r>
          </w:p>
        </w:tc>
        <w:tc>
          <w:tcPr>
            <w:tcW w:w="924" w:type="dxa"/>
            <w:vAlign w:val="center"/>
          </w:tcPr>
          <w:p>
            <w:pPr>
              <w:spacing w:line="400" w:lineRule="exact"/>
              <w:jc w:val="center"/>
              <w:rPr>
                <w:rFonts w:ascii="宋体" w:hAnsi="宋体" w:cs="宋体"/>
                <w:color w:val="000000"/>
                <w:kern w:val="0"/>
                <w:sz w:val="18"/>
                <w:szCs w:val="18"/>
              </w:rPr>
            </w:pPr>
          </w:p>
        </w:tc>
        <w:tc>
          <w:tcPr>
            <w:tcW w:w="828" w:type="dxa"/>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44" w:type="dxa"/>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2160</w:t>
            </w:r>
          </w:p>
        </w:tc>
        <w:tc>
          <w:tcPr>
            <w:tcW w:w="1236" w:type="dxa"/>
            <w:vAlign w:val="center"/>
          </w:tcPr>
          <w:p>
            <w:pPr>
              <w:spacing w:line="400" w:lineRule="exact"/>
              <w:jc w:val="center"/>
              <w:rPr>
                <w:rFonts w:ascii="宋体" w:hAnsi="宋体"/>
                <w:sz w:val="22"/>
              </w:rPr>
            </w:pPr>
          </w:p>
        </w:tc>
        <w:tc>
          <w:tcPr>
            <w:tcW w:w="948" w:type="dxa"/>
            <w:vAlign w:val="center"/>
          </w:tcPr>
          <w:p>
            <w:pPr>
              <w:spacing w:line="400" w:lineRule="exact"/>
              <w:jc w:val="center"/>
              <w:rPr>
                <w:rFonts w:ascii="宋体" w:hAnsi="宋体"/>
                <w:sz w:val="22"/>
              </w:rPr>
            </w:pPr>
          </w:p>
        </w:tc>
        <w:tc>
          <w:tcPr>
            <w:tcW w:w="1045" w:type="dxa"/>
            <w:vAlign w:val="center"/>
          </w:tcPr>
          <w:p>
            <w:pPr>
              <w:spacing w:line="40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9" w:type="dxa"/>
            <w:shd w:val="clear" w:color="FFFFFF" w:fill="FFFFFF"/>
            <w:vAlign w:val="center"/>
          </w:tcPr>
          <w:p>
            <w:pPr>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768" w:type="dxa"/>
            <w:shd w:val="clear" w:color="auto" w:fill="auto"/>
            <w:vAlign w:val="center"/>
          </w:tcPr>
          <w:p>
            <w:pPr>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其他标志线清除</w:t>
            </w:r>
          </w:p>
        </w:tc>
        <w:tc>
          <w:tcPr>
            <w:tcW w:w="2112" w:type="dxa"/>
            <w:shd w:val="clear" w:color="FFFFFF" w:fill="FFFFFF"/>
            <w:vAlign w:val="center"/>
          </w:tcPr>
          <w:p>
            <w:pPr>
              <w:numPr>
                <w:ilvl w:val="255"/>
                <w:numId w:val="0"/>
              </w:num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1.溶剂型、水性、双组份型标志线清除</w:t>
            </w:r>
          </w:p>
          <w:p>
            <w:pPr>
              <w:numPr>
                <w:ilvl w:val="255"/>
                <w:numId w:val="0"/>
              </w:num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 xml:space="preserve">2.施工位置：跑道、滑行道、机坪以及外围巡场道  </w:t>
            </w:r>
          </w:p>
          <w:p>
            <w:p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3.承包人提供除线设备</w:t>
            </w:r>
          </w:p>
          <w:p>
            <w:p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 xml:space="preserve">4.价格包含施工、清扫、回收、运输、废料处理等与施工有关的全部费用 </w:t>
            </w:r>
          </w:p>
        </w:tc>
        <w:tc>
          <w:tcPr>
            <w:tcW w:w="924" w:type="dxa"/>
          </w:tcPr>
          <w:p>
            <w:pPr>
              <w:spacing w:line="400" w:lineRule="exact"/>
              <w:jc w:val="center"/>
              <w:rPr>
                <w:rFonts w:ascii="宋体" w:hAnsi="宋体" w:cs="宋体"/>
                <w:color w:val="000000"/>
                <w:kern w:val="0"/>
                <w:sz w:val="18"/>
                <w:szCs w:val="18"/>
              </w:rPr>
            </w:pPr>
          </w:p>
        </w:tc>
        <w:tc>
          <w:tcPr>
            <w:tcW w:w="828" w:type="dxa"/>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044" w:type="dxa"/>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w:t>
            </w:r>
          </w:p>
        </w:tc>
        <w:tc>
          <w:tcPr>
            <w:tcW w:w="1236" w:type="dxa"/>
          </w:tcPr>
          <w:p>
            <w:pPr>
              <w:spacing w:line="400" w:lineRule="exact"/>
              <w:jc w:val="center"/>
              <w:rPr>
                <w:rFonts w:ascii="宋体" w:hAnsi="宋体"/>
                <w:sz w:val="22"/>
              </w:rPr>
            </w:pPr>
          </w:p>
        </w:tc>
        <w:tc>
          <w:tcPr>
            <w:tcW w:w="948" w:type="dxa"/>
          </w:tcPr>
          <w:p>
            <w:pPr>
              <w:spacing w:line="400" w:lineRule="exact"/>
              <w:jc w:val="center"/>
              <w:rPr>
                <w:rFonts w:ascii="宋体" w:hAnsi="宋体"/>
                <w:sz w:val="22"/>
              </w:rPr>
            </w:pPr>
          </w:p>
        </w:tc>
        <w:tc>
          <w:tcPr>
            <w:tcW w:w="1045" w:type="dxa"/>
          </w:tcPr>
          <w:p>
            <w:pPr>
              <w:spacing w:line="400" w:lineRule="exact"/>
              <w:jc w:val="center"/>
              <w:rPr>
                <w:rFonts w:ascii="宋体" w:hAnsi="宋体"/>
                <w:sz w:val="22"/>
              </w:rPr>
            </w:pPr>
          </w:p>
        </w:tc>
      </w:tr>
    </w:tbl>
    <w:p>
      <w:pPr>
        <w:widowControl/>
        <w:spacing w:line="300" w:lineRule="auto"/>
        <w:rPr>
          <w:rFonts w:ascii="宋体" w:hAnsi="宋体" w:cs="宋体"/>
          <w:sz w:val="22"/>
        </w:rPr>
      </w:pPr>
      <w:r>
        <w:rPr>
          <w:rFonts w:hint="eastAsia" w:ascii="宋体" w:hAnsi="宋体" w:cs="宋体"/>
          <w:sz w:val="22"/>
        </w:rPr>
        <w:t>注：</w:t>
      </w:r>
    </w:p>
    <w:p>
      <w:pPr>
        <w:widowControl/>
        <w:spacing w:line="300" w:lineRule="auto"/>
        <w:rPr>
          <w:rFonts w:ascii="宋体" w:hAnsi="宋体" w:cs="宋体"/>
          <w:sz w:val="22"/>
        </w:rPr>
      </w:pPr>
      <w:r>
        <w:rPr>
          <w:rFonts w:hint="eastAsia" w:ascii="宋体" w:hAnsi="宋体" w:cs="宋体"/>
          <w:sz w:val="22"/>
        </w:rPr>
        <w:t>1.本项目合同为固定单价合同，本报价单数量为预估，实际数量以实际发生按时结算。</w:t>
      </w:r>
    </w:p>
    <w:p>
      <w:pPr>
        <w:widowControl/>
        <w:tabs>
          <w:tab w:val="left" w:pos="284"/>
        </w:tabs>
        <w:spacing w:line="360" w:lineRule="auto"/>
        <w:rPr>
          <w:rFonts w:ascii="宋体" w:hAnsi="宋体"/>
          <w:sz w:val="22"/>
        </w:rPr>
      </w:pPr>
      <w:r>
        <w:rPr>
          <w:rFonts w:hint="eastAsia" w:ascii="宋体" w:hAnsi="宋体"/>
          <w:sz w:val="22"/>
        </w:rPr>
        <w:t>2.本合同单价为综合单价，含材料、人工、机具、保险费、税费等所有费用， 并已考虑</w:t>
      </w:r>
      <w:r>
        <w:rPr>
          <w:rFonts w:hint="eastAsia" w:ascii="宋体" w:hAnsi="宋体" w:cs="Arial"/>
          <w:kern w:val="0"/>
          <w:sz w:val="22"/>
        </w:rPr>
        <w:t>人员材料机具进出场、降效、窝工等一些飞行区施工不可避免的措施费投入，</w:t>
      </w:r>
      <w:r>
        <w:rPr>
          <w:rFonts w:hint="eastAsia" w:ascii="宋体" w:hAnsi="宋体"/>
          <w:sz w:val="22"/>
        </w:rPr>
        <w:t>招标人不再承担其他任何费用。</w:t>
      </w:r>
    </w:p>
    <w:p>
      <w:pPr>
        <w:widowControl/>
        <w:tabs>
          <w:tab w:val="left" w:pos="284"/>
        </w:tabs>
        <w:spacing w:line="360" w:lineRule="auto"/>
        <w:rPr>
          <w:rFonts w:ascii="宋体" w:hAnsi="宋体" w:cs="宋体"/>
          <w:sz w:val="22"/>
        </w:rPr>
      </w:pPr>
      <w:r>
        <w:rPr>
          <w:rFonts w:hint="eastAsia" w:ascii="宋体" w:hAnsi="宋体" w:cs="宋体"/>
          <w:sz w:val="22"/>
        </w:rPr>
        <w:t>3.请各投标人按照预估数量编制报价，本报价单总价作为商务评标依据。</w:t>
      </w:r>
    </w:p>
    <w:p>
      <w:pPr>
        <w:pStyle w:val="31"/>
        <w:spacing w:after="120" w:afterLines="50" w:line="360" w:lineRule="auto"/>
        <w:rPr>
          <w:rFonts w:hAnsi="宋体" w:cs="宋体"/>
        </w:rPr>
      </w:pPr>
    </w:p>
    <w:bookmarkEnd w:id="105"/>
    <w:bookmarkEnd w:id="106"/>
    <w:bookmarkEnd w:id="107"/>
    <w:bookmarkEnd w:id="108"/>
    <w:bookmarkEnd w:id="109"/>
    <w:p>
      <w:pPr>
        <w:snapToGrid w:val="0"/>
        <w:spacing w:before="120" w:beforeLines="50" w:line="360" w:lineRule="exact"/>
        <w:ind w:left="1134"/>
        <w:rPr>
          <w:rFonts w:ascii="宋体" w:hAnsi="宋体" w:cs="宋体"/>
          <w:sz w:val="22"/>
        </w:rPr>
      </w:pPr>
    </w:p>
    <w:p>
      <w:pPr>
        <w:spacing w:line="360" w:lineRule="auto"/>
        <w:jc w:val="center"/>
        <w:rPr>
          <w:rFonts w:ascii="宋体" w:hAnsi="宋体" w:cs="Arial"/>
          <w:b/>
          <w:sz w:val="22"/>
        </w:rPr>
      </w:pPr>
    </w:p>
    <w:p>
      <w:pPr>
        <w:spacing w:line="360" w:lineRule="auto"/>
        <w:jc w:val="center"/>
        <w:rPr>
          <w:rFonts w:ascii="宋体" w:hAnsi="宋体" w:cs="Arial"/>
          <w:b/>
          <w:sz w:val="22"/>
        </w:rPr>
      </w:pPr>
    </w:p>
    <w:p>
      <w:pPr>
        <w:spacing w:line="360" w:lineRule="auto"/>
        <w:jc w:val="center"/>
        <w:rPr>
          <w:rFonts w:ascii="宋体" w:hAnsi="宋体" w:cs="Arial"/>
          <w:b/>
          <w:sz w:val="22"/>
        </w:rPr>
      </w:pPr>
    </w:p>
    <w:p>
      <w:pPr>
        <w:spacing w:line="360" w:lineRule="auto"/>
        <w:jc w:val="center"/>
        <w:rPr>
          <w:rFonts w:ascii="宋体" w:hAnsi="宋体" w:cs="Arial"/>
          <w:b/>
          <w:sz w:val="22"/>
        </w:rPr>
      </w:pPr>
    </w:p>
    <w:p>
      <w:pPr>
        <w:spacing w:line="360" w:lineRule="auto"/>
        <w:jc w:val="center"/>
        <w:rPr>
          <w:rFonts w:ascii="宋体" w:hAnsi="宋体" w:cs="Arial"/>
          <w:b/>
          <w:sz w:val="22"/>
        </w:rPr>
      </w:pPr>
    </w:p>
    <w:p>
      <w:pPr>
        <w:spacing w:line="360" w:lineRule="auto"/>
        <w:jc w:val="center"/>
        <w:rPr>
          <w:rFonts w:ascii="宋体" w:hAnsi="宋体" w:cs="Arial"/>
          <w:b/>
          <w:sz w:val="22"/>
        </w:rPr>
      </w:pPr>
    </w:p>
    <w:p>
      <w:pPr>
        <w:spacing w:line="360" w:lineRule="auto"/>
        <w:jc w:val="center"/>
        <w:rPr>
          <w:rFonts w:ascii="宋体" w:hAnsi="宋体" w:cs="Arial"/>
          <w:b/>
          <w:sz w:val="22"/>
        </w:rPr>
      </w:pPr>
    </w:p>
    <w:p>
      <w:pPr>
        <w:spacing w:line="360" w:lineRule="auto"/>
        <w:jc w:val="center"/>
        <w:rPr>
          <w:rFonts w:ascii="宋体" w:hAnsi="宋体" w:cs="Arial"/>
          <w:b/>
          <w:sz w:val="22"/>
        </w:rPr>
      </w:pPr>
    </w:p>
    <w:p>
      <w:pPr>
        <w:spacing w:line="360" w:lineRule="auto"/>
        <w:jc w:val="center"/>
        <w:rPr>
          <w:rFonts w:ascii="宋体" w:hAnsi="宋体" w:cs="Arial"/>
          <w:b/>
          <w:sz w:val="22"/>
        </w:rPr>
      </w:pPr>
    </w:p>
    <w:p>
      <w:pPr>
        <w:spacing w:line="360" w:lineRule="auto"/>
        <w:jc w:val="center"/>
        <w:rPr>
          <w:rFonts w:ascii="宋体" w:hAnsi="宋体" w:cs="Arial"/>
          <w:b/>
          <w:sz w:val="22"/>
        </w:rPr>
      </w:pPr>
    </w:p>
    <w:p>
      <w:pPr>
        <w:spacing w:line="360" w:lineRule="auto"/>
        <w:jc w:val="center"/>
        <w:rPr>
          <w:rFonts w:ascii="宋体" w:hAnsi="宋体" w:cs="Arial"/>
          <w:b/>
          <w:sz w:val="22"/>
        </w:rPr>
      </w:pPr>
    </w:p>
    <w:p>
      <w:pPr>
        <w:spacing w:line="360" w:lineRule="auto"/>
        <w:jc w:val="center"/>
        <w:rPr>
          <w:rFonts w:ascii="宋体" w:hAnsi="宋体" w:cs="Arial"/>
          <w:b/>
          <w:sz w:val="22"/>
        </w:rPr>
      </w:pPr>
    </w:p>
    <w:p>
      <w:pPr>
        <w:spacing w:line="360" w:lineRule="auto"/>
        <w:jc w:val="center"/>
        <w:rPr>
          <w:rFonts w:ascii="宋体" w:hAnsi="宋体" w:cs="Arial"/>
          <w:b/>
          <w:sz w:val="22"/>
        </w:rPr>
      </w:pPr>
    </w:p>
    <w:p>
      <w:pPr>
        <w:spacing w:line="360" w:lineRule="auto"/>
        <w:jc w:val="center"/>
        <w:rPr>
          <w:rFonts w:ascii="宋体" w:hAnsi="宋体" w:cs="Arial"/>
          <w:b/>
          <w:sz w:val="22"/>
        </w:rPr>
      </w:pPr>
    </w:p>
    <w:p>
      <w:pPr>
        <w:spacing w:line="360" w:lineRule="auto"/>
        <w:jc w:val="center"/>
        <w:rPr>
          <w:rFonts w:ascii="宋体" w:hAnsi="宋体" w:cs="Arial"/>
          <w:b/>
          <w:sz w:val="22"/>
        </w:rPr>
      </w:pPr>
    </w:p>
    <w:p>
      <w:pPr>
        <w:spacing w:line="360" w:lineRule="auto"/>
        <w:jc w:val="center"/>
        <w:rPr>
          <w:rFonts w:ascii="宋体" w:hAnsi="宋体" w:cs="Arial"/>
          <w:b/>
          <w:sz w:val="22"/>
        </w:rPr>
      </w:pPr>
    </w:p>
    <w:p>
      <w:pPr>
        <w:spacing w:line="360" w:lineRule="auto"/>
        <w:jc w:val="center"/>
        <w:rPr>
          <w:rFonts w:ascii="宋体" w:hAnsi="宋体" w:cs="Arial"/>
          <w:b/>
          <w:sz w:val="22"/>
        </w:rPr>
      </w:pPr>
    </w:p>
    <w:p>
      <w:pPr>
        <w:spacing w:line="360" w:lineRule="auto"/>
        <w:jc w:val="center"/>
        <w:rPr>
          <w:rFonts w:ascii="宋体" w:hAnsi="宋体" w:cs="Arial"/>
          <w:b/>
          <w:sz w:val="22"/>
        </w:rPr>
      </w:pPr>
    </w:p>
    <w:p>
      <w:pPr>
        <w:spacing w:line="360" w:lineRule="auto"/>
        <w:jc w:val="center"/>
        <w:rPr>
          <w:rFonts w:ascii="宋体" w:hAnsi="宋体" w:cs="Arial"/>
          <w:b/>
          <w:sz w:val="22"/>
        </w:rPr>
      </w:pPr>
    </w:p>
    <w:p>
      <w:pPr>
        <w:spacing w:line="360" w:lineRule="auto"/>
        <w:jc w:val="center"/>
        <w:rPr>
          <w:rFonts w:ascii="宋体" w:hAnsi="宋体" w:cs="Arial"/>
          <w:b/>
          <w:sz w:val="22"/>
        </w:rPr>
      </w:pPr>
    </w:p>
    <w:p>
      <w:pPr>
        <w:spacing w:line="360" w:lineRule="auto"/>
        <w:jc w:val="center"/>
        <w:rPr>
          <w:rFonts w:ascii="宋体" w:hAnsi="宋体" w:cs="Arial"/>
          <w:b/>
          <w:sz w:val="22"/>
        </w:rPr>
      </w:pPr>
    </w:p>
    <w:p>
      <w:pPr>
        <w:spacing w:line="360" w:lineRule="auto"/>
        <w:jc w:val="center"/>
        <w:rPr>
          <w:rFonts w:ascii="宋体" w:hAnsi="宋体" w:cs="Arial"/>
          <w:b/>
          <w:sz w:val="22"/>
        </w:rPr>
      </w:pPr>
    </w:p>
    <w:p>
      <w:pPr>
        <w:spacing w:line="360" w:lineRule="auto"/>
        <w:jc w:val="center"/>
        <w:rPr>
          <w:rFonts w:ascii="宋体" w:hAnsi="宋体" w:cs="Arial"/>
          <w:b/>
          <w:sz w:val="22"/>
        </w:rPr>
      </w:pPr>
    </w:p>
    <w:p>
      <w:pPr>
        <w:spacing w:line="360" w:lineRule="auto"/>
        <w:jc w:val="center"/>
        <w:rPr>
          <w:rFonts w:ascii="宋体" w:hAnsi="宋体" w:cs="Arial"/>
          <w:b/>
          <w:sz w:val="22"/>
        </w:rPr>
      </w:pPr>
    </w:p>
    <w:p>
      <w:pPr>
        <w:spacing w:line="360" w:lineRule="auto"/>
        <w:jc w:val="center"/>
        <w:rPr>
          <w:rFonts w:ascii="宋体" w:hAnsi="宋体" w:cs="Arial"/>
          <w:b/>
          <w:sz w:val="22"/>
        </w:rPr>
      </w:pPr>
    </w:p>
    <w:p>
      <w:pPr>
        <w:spacing w:line="360" w:lineRule="auto"/>
        <w:jc w:val="center"/>
        <w:rPr>
          <w:rFonts w:ascii="宋体" w:hAnsi="宋体" w:cs="Arial"/>
          <w:b/>
          <w:sz w:val="22"/>
        </w:rPr>
      </w:pPr>
    </w:p>
    <w:p>
      <w:pPr>
        <w:spacing w:line="360" w:lineRule="auto"/>
        <w:jc w:val="center"/>
        <w:rPr>
          <w:rFonts w:ascii="宋体" w:hAnsi="宋体" w:cs="Arial"/>
          <w:b/>
          <w:sz w:val="22"/>
        </w:rPr>
      </w:pPr>
    </w:p>
    <w:p>
      <w:pPr>
        <w:spacing w:line="360" w:lineRule="auto"/>
        <w:jc w:val="center"/>
        <w:rPr>
          <w:rFonts w:ascii="宋体" w:hAnsi="宋体" w:cs="Arial"/>
          <w:b/>
          <w:sz w:val="22"/>
        </w:rPr>
      </w:pPr>
    </w:p>
    <w:p>
      <w:pPr>
        <w:spacing w:line="360" w:lineRule="auto"/>
        <w:jc w:val="center"/>
        <w:rPr>
          <w:rFonts w:ascii="宋体" w:hAnsi="宋体" w:cs="Arial"/>
          <w:b/>
          <w:sz w:val="22"/>
        </w:rPr>
      </w:pPr>
    </w:p>
    <w:p>
      <w:pPr>
        <w:spacing w:line="360" w:lineRule="auto"/>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rPr>
      </w:pPr>
      <w:r>
        <w:rPr>
          <w:rFonts w:hint="eastAsia" w:ascii="宋体" w:hAnsi="宋体"/>
          <w:sz w:val="22"/>
        </w:rPr>
        <w:t xml:space="preserve">1. </w:t>
      </w:r>
      <w:r>
        <w:rPr>
          <w:rFonts w:hint="eastAsia" w:ascii="宋体" w:hAnsi="宋体"/>
          <w:sz w:val="22"/>
        </w:rPr>
        <w:tab/>
      </w:r>
      <w:r>
        <w:rPr>
          <w:rFonts w:hint="eastAsia" w:ascii="宋体" w:hAnsi="宋体"/>
          <w:sz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rPr>
      </w:pPr>
      <w:r>
        <w:rPr>
          <w:rFonts w:hint="eastAsia" w:ascii="宋体" w:hAnsi="宋体"/>
          <w:sz w:val="22"/>
        </w:rPr>
        <w:t xml:space="preserve">2. </w:t>
      </w:r>
      <w:r>
        <w:rPr>
          <w:rFonts w:hint="eastAsia" w:ascii="宋体" w:hAnsi="宋体"/>
          <w:sz w:val="22"/>
        </w:rPr>
        <w:tab/>
      </w:r>
      <w:r>
        <w:rPr>
          <w:rFonts w:hint="eastAsia" w:ascii="宋体" w:hAnsi="宋体"/>
          <w:sz w:val="22"/>
        </w:rPr>
        <w:t>施工组织设计除采用文字表述外可附下列图表，图表及格式要求附后。</w:t>
      </w:r>
    </w:p>
    <w:p>
      <w:pPr>
        <w:tabs>
          <w:tab w:val="left" w:pos="720"/>
        </w:tabs>
        <w:spacing w:line="440" w:lineRule="exact"/>
        <w:ind w:firstLine="792" w:firstLineChars="360"/>
        <w:rPr>
          <w:rFonts w:ascii="宋体" w:hAnsi="宋体"/>
          <w:sz w:val="22"/>
        </w:rPr>
      </w:pPr>
      <w:r>
        <w:rPr>
          <w:rFonts w:hint="eastAsia" w:ascii="宋体" w:hAnsi="宋体"/>
          <w:sz w:val="22"/>
        </w:rPr>
        <w:t>附表一  拟投入本标段的主要施工设备表</w:t>
      </w:r>
    </w:p>
    <w:p>
      <w:pPr>
        <w:tabs>
          <w:tab w:val="left" w:pos="720"/>
        </w:tabs>
        <w:spacing w:line="440" w:lineRule="exact"/>
        <w:ind w:firstLine="792" w:firstLineChars="360"/>
        <w:rPr>
          <w:rFonts w:ascii="宋体" w:hAnsi="宋体"/>
          <w:sz w:val="22"/>
        </w:rPr>
      </w:pPr>
      <w:r>
        <w:rPr>
          <w:rFonts w:hint="eastAsia" w:ascii="宋体" w:hAnsi="宋体"/>
          <w:sz w:val="22"/>
        </w:rPr>
        <w:t>附表二  拟配备本标段的试验和检测仪器设备表</w:t>
      </w:r>
    </w:p>
    <w:p>
      <w:pPr>
        <w:tabs>
          <w:tab w:val="left" w:pos="720"/>
        </w:tabs>
        <w:spacing w:line="440" w:lineRule="exact"/>
        <w:ind w:firstLine="792" w:firstLineChars="360"/>
        <w:rPr>
          <w:rFonts w:ascii="宋体" w:hAnsi="宋体"/>
          <w:sz w:val="22"/>
        </w:rPr>
      </w:pPr>
      <w:r>
        <w:rPr>
          <w:rFonts w:hint="eastAsia" w:ascii="宋体" w:hAnsi="宋体"/>
          <w:sz w:val="22"/>
        </w:rPr>
        <w:t>附表三  劳动力计划表</w:t>
      </w:r>
    </w:p>
    <w:p>
      <w:pPr>
        <w:tabs>
          <w:tab w:val="left" w:pos="720"/>
        </w:tabs>
        <w:spacing w:line="440" w:lineRule="exact"/>
        <w:ind w:firstLine="792" w:firstLineChars="360"/>
        <w:rPr>
          <w:rFonts w:ascii="宋体" w:hAnsi="宋体"/>
          <w:sz w:val="22"/>
        </w:rPr>
      </w:pPr>
      <w:r>
        <w:rPr>
          <w:rFonts w:hint="eastAsia" w:ascii="宋体" w:hAnsi="宋体"/>
          <w:sz w:val="22"/>
        </w:rPr>
        <w:t>附表四  计划开、竣工日期和施工进度网络图</w:t>
      </w:r>
    </w:p>
    <w:p>
      <w:pPr>
        <w:tabs>
          <w:tab w:val="left" w:pos="720"/>
        </w:tabs>
        <w:spacing w:line="440" w:lineRule="exact"/>
        <w:ind w:firstLine="792" w:firstLineChars="360"/>
        <w:rPr>
          <w:rFonts w:ascii="宋体" w:hAnsi="宋体"/>
          <w:sz w:val="22"/>
        </w:rPr>
      </w:pPr>
      <w:r>
        <w:rPr>
          <w:rFonts w:hint="eastAsia" w:ascii="宋体" w:hAnsi="宋体"/>
          <w:sz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152"/>
        <w:rPr>
          <w:rFonts w:ascii="宋体" w:hAnsi="宋体" w:eastAsia="宋体"/>
          <w:szCs w:val="23"/>
        </w:rPr>
      </w:pPr>
      <w:bookmarkStart w:id="110" w:name="_Toc152045797"/>
      <w:bookmarkStart w:id="111" w:name="_Toc152042586"/>
      <w:bookmarkStart w:id="112" w:name="_Toc179632817"/>
      <w:bookmarkStart w:id="113" w:name="_Toc144974865"/>
      <w:bookmarkStart w:id="114" w:name="_Toc246392155"/>
      <w:bookmarkStart w:id="115" w:name="_Toc11710"/>
      <w:r>
        <w:rPr>
          <w:rFonts w:hint="eastAsia" w:ascii="宋体" w:hAnsi="宋体" w:eastAsia="宋体"/>
        </w:rPr>
        <w:t>附表一：</w:t>
      </w:r>
      <w:r>
        <w:rPr>
          <w:rFonts w:hint="eastAsia" w:ascii="宋体" w:hAnsi="宋体" w:eastAsia="宋体"/>
          <w:szCs w:val="23"/>
        </w:rPr>
        <w:t>拟投入本标段的主要施工设备表</w:t>
      </w:r>
      <w:bookmarkEnd w:id="110"/>
      <w:bookmarkEnd w:id="111"/>
      <w:bookmarkEnd w:id="112"/>
      <w:bookmarkEnd w:id="113"/>
      <w:bookmarkEnd w:id="114"/>
      <w:bookmarkEnd w:id="115"/>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152"/>
        <w:rPr>
          <w:rFonts w:ascii="宋体" w:hAnsi="宋体" w:eastAsia="宋体"/>
        </w:rPr>
      </w:pPr>
      <w:bookmarkStart w:id="116" w:name="_Toc246392156"/>
      <w:bookmarkStart w:id="117" w:name="_Toc4957"/>
      <w:bookmarkStart w:id="118" w:name="_Toc152042587"/>
      <w:bookmarkStart w:id="119" w:name="_Toc144974866"/>
      <w:bookmarkStart w:id="120" w:name="_Toc179632818"/>
      <w:bookmarkStart w:id="121" w:name="_Toc152045798"/>
      <w:r>
        <w:rPr>
          <w:rFonts w:hint="eastAsia" w:ascii="宋体" w:hAnsi="宋体" w:eastAsia="宋体"/>
        </w:rPr>
        <w:t>附表二：拟配备本标段的试验和检测仪器设备表</w:t>
      </w:r>
      <w:bookmarkEnd w:id="116"/>
      <w:bookmarkEnd w:id="117"/>
      <w:bookmarkEnd w:id="118"/>
      <w:bookmarkEnd w:id="119"/>
      <w:bookmarkEnd w:id="120"/>
      <w:bookmarkEnd w:id="121"/>
    </w:p>
    <w:p>
      <w:pPr>
        <w:spacing w:line="440" w:lineRule="exact"/>
        <w:rPr>
          <w:rFonts w:ascii="宋体" w:hAnsi="宋体"/>
          <w:sz w:val="20"/>
          <w:szCs w:val="20"/>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152"/>
        <w:rPr>
          <w:rFonts w:ascii="宋体" w:hAnsi="宋体" w:eastAsia="宋体"/>
        </w:rPr>
      </w:pPr>
      <w:bookmarkStart w:id="122" w:name="_Toc179632819"/>
      <w:bookmarkStart w:id="123" w:name="_Toc246392157"/>
      <w:bookmarkStart w:id="124" w:name="_Toc152042588"/>
      <w:bookmarkStart w:id="125" w:name="_Toc144974867"/>
      <w:bookmarkStart w:id="126" w:name="_Toc8928"/>
      <w:bookmarkStart w:id="127" w:name="_Toc152045799"/>
      <w:r>
        <w:rPr>
          <w:rFonts w:hint="eastAsia" w:ascii="宋体" w:hAnsi="宋体" w:eastAsia="宋体"/>
        </w:rPr>
        <w:t>附表三：劳动力计划表</w:t>
      </w:r>
      <w:bookmarkEnd w:id="122"/>
      <w:bookmarkEnd w:id="123"/>
      <w:bookmarkEnd w:id="124"/>
      <w:bookmarkEnd w:id="125"/>
      <w:bookmarkEnd w:id="126"/>
      <w:bookmarkEnd w:id="127"/>
    </w:p>
    <w:p>
      <w:pPr>
        <w:spacing w:line="440" w:lineRule="exact"/>
        <w:ind w:right="200"/>
        <w:jc w:val="right"/>
        <w:rPr>
          <w:rFonts w:ascii="宋体" w:hAnsi="宋体"/>
          <w:szCs w:val="21"/>
        </w:rPr>
      </w:pPr>
      <w:r>
        <w:rPr>
          <w:rFonts w:hint="eastAsia" w:ascii="宋体" w:hAnsi="宋体"/>
          <w:szCs w:val="21"/>
        </w:rPr>
        <w:t>单位：人</w:t>
      </w: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152"/>
        <w:rPr>
          <w:rFonts w:ascii="宋体" w:hAnsi="宋体" w:eastAsia="宋体"/>
          <w:sz w:val="22"/>
          <w:szCs w:val="22"/>
        </w:rPr>
      </w:pPr>
      <w:bookmarkStart w:id="128" w:name="_Toc246392158"/>
      <w:bookmarkStart w:id="129" w:name="_Toc152045800"/>
      <w:bookmarkStart w:id="130" w:name="_Toc179632820"/>
      <w:bookmarkStart w:id="131" w:name="_Toc144974868"/>
      <w:bookmarkStart w:id="132" w:name="_Toc3750"/>
      <w:bookmarkStart w:id="133" w:name="_Toc152042589"/>
      <w:r>
        <w:rPr>
          <w:rFonts w:hint="eastAsia" w:ascii="宋体" w:hAnsi="宋体" w:eastAsia="宋体"/>
          <w:sz w:val="22"/>
          <w:szCs w:val="22"/>
        </w:rPr>
        <w:t>附表四：计划开、竣工日期和施工进度网络图</w:t>
      </w:r>
      <w:bookmarkEnd w:id="128"/>
      <w:bookmarkEnd w:id="129"/>
      <w:bookmarkEnd w:id="130"/>
      <w:bookmarkEnd w:id="131"/>
      <w:bookmarkEnd w:id="132"/>
      <w:bookmarkEnd w:id="133"/>
    </w:p>
    <w:p>
      <w:pPr>
        <w:spacing w:line="440" w:lineRule="exact"/>
        <w:rPr>
          <w:rFonts w:ascii="宋体" w:hAnsi="宋体"/>
          <w:sz w:val="22"/>
        </w:rPr>
      </w:pPr>
    </w:p>
    <w:p>
      <w:pPr>
        <w:spacing w:line="440" w:lineRule="exact"/>
        <w:ind w:firstLine="440" w:firstLineChars="200"/>
        <w:rPr>
          <w:rFonts w:ascii="宋体" w:hAnsi="宋体"/>
          <w:sz w:val="22"/>
        </w:rPr>
      </w:pPr>
      <w:r>
        <w:rPr>
          <w:rFonts w:hint="eastAsia" w:ascii="宋体" w:hAnsi="宋体"/>
          <w:sz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rPr>
      </w:pPr>
      <w:r>
        <w:rPr>
          <w:rFonts w:hint="eastAsia" w:ascii="宋体" w:hAnsi="宋体"/>
          <w:sz w:val="22"/>
        </w:rPr>
        <w:t>2. 施工进度表可采用网络图（或横道图）表示。</w:t>
      </w:r>
    </w:p>
    <w:p>
      <w:pPr>
        <w:spacing w:line="440" w:lineRule="exact"/>
        <w:rPr>
          <w:rFonts w:ascii="宋体" w:hAnsi="宋体"/>
          <w:sz w:val="22"/>
        </w:rPr>
      </w:pPr>
    </w:p>
    <w:p>
      <w:pPr>
        <w:spacing w:line="440" w:lineRule="exact"/>
        <w:rPr>
          <w:rFonts w:ascii="宋体" w:hAnsi="宋体"/>
          <w:sz w:val="22"/>
        </w:rPr>
      </w:pPr>
    </w:p>
    <w:p>
      <w:pPr>
        <w:spacing w:line="440" w:lineRule="exact"/>
        <w:rPr>
          <w:rFonts w:ascii="宋体" w:hAnsi="宋体"/>
          <w:sz w:val="22"/>
        </w:rPr>
      </w:pPr>
      <w:bookmarkStart w:id="134" w:name="_Toc152045801"/>
      <w:bookmarkStart w:id="135" w:name="_Toc179632821"/>
      <w:bookmarkStart w:id="136" w:name="_Toc152042590"/>
      <w:bookmarkStart w:id="137" w:name="_Toc246392159"/>
      <w:bookmarkStart w:id="138" w:name="_Toc144974869"/>
      <w:r>
        <w:rPr>
          <w:rFonts w:hint="eastAsia" w:ascii="宋体" w:hAnsi="宋体"/>
          <w:sz w:val="22"/>
        </w:rPr>
        <w:t>附表五：施工总平面图</w:t>
      </w:r>
      <w:bookmarkEnd w:id="134"/>
      <w:bookmarkEnd w:id="135"/>
      <w:bookmarkEnd w:id="136"/>
      <w:bookmarkEnd w:id="137"/>
      <w:bookmarkEnd w:id="138"/>
    </w:p>
    <w:p>
      <w:pPr>
        <w:spacing w:line="440" w:lineRule="exact"/>
        <w:rPr>
          <w:rFonts w:ascii="宋体" w:hAnsi="宋体"/>
          <w:sz w:val="22"/>
        </w:rPr>
      </w:pPr>
      <w:r>
        <w:rPr>
          <w:rFonts w:hint="eastAsia" w:ascii="宋体" w:hAnsi="宋体"/>
          <w:sz w:val="22"/>
        </w:rPr>
        <w:tab/>
      </w:r>
    </w:p>
    <w:p>
      <w:pPr>
        <w:spacing w:line="440" w:lineRule="exact"/>
        <w:ind w:firstLine="440" w:firstLineChars="200"/>
        <w:rPr>
          <w:rFonts w:ascii="宋体" w:hAnsi="宋体"/>
          <w:sz w:val="22"/>
        </w:rPr>
      </w:pPr>
      <w:r>
        <w:rPr>
          <w:rFonts w:hint="eastAsia" w:ascii="宋体" w:hAnsi="宋体"/>
          <w:sz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152"/>
        <w:rPr>
          <w:rFonts w:ascii="宋体" w:hAnsi="宋体" w:eastAsia="宋体"/>
          <w:szCs w:val="23"/>
        </w:rPr>
      </w:pPr>
      <w:bookmarkStart w:id="139" w:name="_Toc29304"/>
      <w:bookmarkStart w:id="140" w:name="_Toc144974872"/>
      <w:bookmarkStart w:id="141" w:name="_Toc246392161"/>
      <w:bookmarkStart w:id="142" w:name="_Toc179632824"/>
      <w:bookmarkStart w:id="143" w:name="_Toc152042593"/>
      <w:bookmarkStart w:id="144" w:name="_Toc152045804"/>
      <w:r>
        <w:rPr>
          <w:rFonts w:hint="eastAsia" w:ascii="宋体" w:hAnsi="宋体" w:eastAsia="宋体"/>
          <w:szCs w:val="23"/>
        </w:rPr>
        <w:t>（一）项目管理机构组成表</w:t>
      </w:r>
      <w:bookmarkEnd w:id="139"/>
      <w:bookmarkEnd w:id="140"/>
      <w:bookmarkEnd w:id="141"/>
      <w:bookmarkEnd w:id="142"/>
      <w:bookmarkEnd w:id="143"/>
      <w:bookmarkEnd w:id="144"/>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152"/>
        <w:rPr>
          <w:rFonts w:ascii="宋体" w:hAnsi="宋体" w:eastAsia="宋体"/>
          <w:szCs w:val="23"/>
        </w:rPr>
      </w:pPr>
      <w:bookmarkStart w:id="145" w:name="_Toc152045805"/>
      <w:bookmarkStart w:id="146" w:name="_Toc246392162"/>
      <w:bookmarkStart w:id="147" w:name="_Toc152042594"/>
      <w:bookmarkStart w:id="148" w:name="_Toc179632825"/>
      <w:bookmarkStart w:id="149" w:name="_Toc25718"/>
      <w:bookmarkStart w:id="150" w:name="_Toc144974873"/>
      <w:r>
        <w:rPr>
          <w:rFonts w:hint="eastAsia" w:ascii="宋体" w:hAnsi="宋体" w:eastAsia="宋体"/>
          <w:szCs w:val="23"/>
        </w:rPr>
        <w:t>（二）主要人员简历表</w:t>
      </w:r>
      <w:bookmarkEnd w:id="145"/>
      <w:bookmarkEnd w:id="146"/>
      <w:bookmarkEnd w:id="147"/>
      <w:bookmarkEnd w:id="148"/>
      <w:bookmarkEnd w:id="149"/>
      <w:bookmarkEnd w:id="150"/>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58"/>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Theme="minorEastAsia" w:hAnsiTheme="minorEastAsia"/>
                <w:sz w:val="22"/>
              </w:rPr>
            </w:pPr>
            <w:r>
              <w:rPr>
                <w:rFonts w:hint="eastAsia" w:asciiTheme="minorEastAsia" w:hAnsiTheme="minorEastAsia"/>
                <w:sz w:val="22"/>
              </w:rPr>
              <w:t>姓  名</w:t>
            </w:r>
          </w:p>
        </w:tc>
        <w:tc>
          <w:tcPr>
            <w:tcW w:w="1079" w:type="dxa"/>
            <w:gridSpan w:val="2"/>
            <w:vAlign w:val="center"/>
          </w:tcPr>
          <w:p>
            <w:pPr>
              <w:spacing w:line="440" w:lineRule="exact"/>
              <w:rPr>
                <w:rFonts w:asciiTheme="minorEastAsia" w:hAnsiTheme="minorEastAsia"/>
                <w:sz w:val="22"/>
              </w:rPr>
            </w:pPr>
          </w:p>
        </w:tc>
        <w:tc>
          <w:tcPr>
            <w:tcW w:w="927" w:type="dxa"/>
            <w:vAlign w:val="center"/>
          </w:tcPr>
          <w:p>
            <w:pPr>
              <w:spacing w:line="440" w:lineRule="exact"/>
              <w:rPr>
                <w:rFonts w:asciiTheme="minorEastAsia" w:hAnsiTheme="minorEastAsia"/>
                <w:sz w:val="22"/>
              </w:rPr>
            </w:pPr>
            <w:r>
              <w:rPr>
                <w:rFonts w:hint="eastAsia" w:asciiTheme="minorEastAsia" w:hAnsiTheme="minorEastAsia"/>
                <w:sz w:val="22"/>
              </w:rPr>
              <w:t>年 龄</w:t>
            </w:r>
          </w:p>
        </w:tc>
        <w:tc>
          <w:tcPr>
            <w:tcW w:w="1065" w:type="dxa"/>
            <w:vAlign w:val="center"/>
          </w:tcPr>
          <w:p>
            <w:pPr>
              <w:spacing w:line="440" w:lineRule="exact"/>
              <w:rPr>
                <w:rFonts w:asciiTheme="minorEastAsia" w:hAnsiTheme="minorEastAsia"/>
                <w:sz w:val="22"/>
              </w:rPr>
            </w:pPr>
          </w:p>
        </w:tc>
        <w:tc>
          <w:tcPr>
            <w:tcW w:w="1784" w:type="dxa"/>
            <w:gridSpan w:val="3"/>
            <w:vAlign w:val="center"/>
          </w:tcPr>
          <w:p>
            <w:pPr>
              <w:spacing w:line="440" w:lineRule="exact"/>
              <w:rPr>
                <w:rFonts w:asciiTheme="minorEastAsia" w:hAnsiTheme="minorEastAsia"/>
                <w:sz w:val="22"/>
              </w:rPr>
            </w:pPr>
            <w:r>
              <w:rPr>
                <w:rFonts w:hint="eastAsia" w:asciiTheme="minorEastAsia" w:hAnsiTheme="minorEastAsia"/>
                <w:sz w:val="22"/>
              </w:rPr>
              <w:t>学历</w:t>
            </w:r>
          </w:p>
        </w:tc>
        <w:tc>
          <w:tcPr>
            <w:tcW w:w="2135" w:type="dxa"/>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Theme="minorEastAsia" w:hAnsiTheme="minorEastAsia"/>
                <w:sz w:val="22"/>
              </w:rPr>
            </w:pPr>
            <w:r>
              <w:rPr>
                <w:rFonts w:hint="eastAsia" w:asciiTheme="minorEastAsia" w:hAnsiTheme="minorEastAsia"/>
                <w:sz w:val="22"/>
              </w:rPr>
              <w:t>职  称</w:t>
            </w:r>
          </w:p>
        </w:tc>
        <w:tc>
          <w:tcPr>
            <w:tcW w:w="1079" w:type="dxa"/>
            <w:gridSpan w:val="2"/>
            <w:vAlign w:val="center"/>
          </w:tcPr>
          <w:p>
            <w:pPr>
              <w:spacing w:line="440" w:lineRule="exact"/>
              <w:rPr>
                <w:rFonts w:asciiTheme="minorEastAsia" w:hAnsiTheme="minorEastAsia"/>
                <w:sz w:val="22"/>
              </w:rPr>
            </w:pPr>
          </w:p>
        </w:tc>
        <w:tc>
          <w:tcPr>
            <w:tcW w:w="927" w:type="dxa"/>
            <w:vAlign w:val="center"/>
          </w:tcPr>
          <w:p>
            <w:pPr>
              <w:spacing w:line="440" w:lineRule="exact"/>
              <w:rPr>
                <w:rFonts w:asciiTheme="minorEastAsia" w:hAnsiTheme="minorEastAsia"/>
                <w:sz w:val="22"/>
              </w:rPr>
            </w:pPr>
            <w:r>
              <w:rPr>
                <w:rFonts w:hint="eastAsia" w:asciiTheme="minorEastAsia" w:hAnsiTheme="minorEastAsia"/>
                <w:sz w:val="22"/>
              </w:rPr>
              <w:t>职 务</w:t>
            </w:r>
          </w:p>
        </w:tc>
        <w:tc>
          <w:tcPr>
            <w:tcW w:w="1065" w:type="dxa"/>
            <w:vAlign w:val="center"/>
          </w:tcPr>
          <w:p>
            <w:pPr>
              <w:spacing w:line="440" w:lineRule="exact"/>
              <w:rPr>
                <w:rFonts w:asciiTheme="minorEastAsia" w:hAnsiTheme="minorEastAsia"/>
                <w:sz w:val="22"/>
              </w:rPr>
            </w:pPr>
          </w:p>
        </w:tc>
        <w:tc>
          <w:tcPr>
            <w:tcW w:w="1784" w:type="dxa"/>
            <w:gridSpan w:val="3"/>
            <w:vAlign w:val="center"/>
          </w:tcPr>
          <w:p>
            <w:pPr>
              <w:spacing w:line="440" w:lineRule="exact"/>
              <w:rPr>
                <w:rFonts w:asciiTheme="minorEastAsia" w:hAnsiTheme="minorEastAsia"/>
                <w:sz w:val="22"/>
              </w:rPr>
            </w:pPr>
            <w:r>
              <w:rPr>
                <w:rFonts w:hint="eastAsia" w:asciiTheme="minorEastAsia" w:hAnsiTheme="minorEastAsia"/>
                <w:sz w:val="22"/>
              </w:rPr>
              <w:t>拟在本合同任职</w:t>
            </w:r>
          </w:p>
        </w:tc>
        <w:tc>
          <w:tcPr>
            <w:tcW w:w="2135" w:type="dxa"/>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Theme="minorEastAsia" w:hAnsiTheme="minorEastAsia"/>
                <w:sz w:val="22"/>
              </w:rPr>
            </w:pPr>
            <w:r>
              <w:rPr>
                <w:rFonts w:hint="eastAsia" w:asciiTheme="minorEastAsia" w:hAnsiTheme="minorEastAsia"/>
                <w:sz w:val="22"/>
              </w:rPr>
              <w:t>毕业学校</w:t>
            </w:r>
          </w:p>
        </w:tc>
        <w:tc>
          <w:tcPr>
            <w:tcW w:w="6990" w:type="dxa"/>
            <w:gridSpan w:val="8"/>
          </w:tcPr>
          <w:p>
            <w:pPr>
              <w:spacing w:line="440" w:lineRule="exact"/>
              <w:rPr>
                <w:rFonts w:asciiTheme="minorEastAsia" w:hAnsiTheme="minorEastAsia"/>
                <w:sz w:val="22"/>
              </w:rPr>
            </w:pPr>
            <w:r>
              <w:rPr>
                <w:rFonts w:hint="eastAsia" w:asciiTheme="minorEastAsia" w:hAnsiTheme="minorEastAsia"/>
                <w:sz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Theme="minorEastAsia" w:hAnsiTheme="minorEastAsia"/>
                <w:sz w:val="22"/>
              </w:rPr>
            </w:pPr>
            <w:r>
              <w:rPr>
                <w:rFonts w:hint="eastAsia" w:asciiTheme="minorEastAsia" w:hAnsiTheme="minorEastAsia"/>
                <w:sz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Theme="minorEastAsia" w:hAnsiTheme="minorEastAsia"/>
                <w:sz w:val="22"/>
              </w:rPr>
            </w:pPr>
            <w:r>
              <w:rPr>
                <w:rFonts w:hint="eastAsia" w:asciiTheme="minorEastAsia" w:hAnsiTheme="minorEastAsia"/>
                <w:sz w:val="22"/>
              </w:rPr>
              <w:t>时  间</w:t>
            </w:r>
          </w:p>
        </w:tc>
        <w:tc>
          <w:tcPr>
            <w:tcW w:w="3074" w:type="dxa"/>
            <w:gridSpan w:val="4"/>
            <w:vAlign w:val="center"/>
          </w:tcPr>
          <w:p>
            <w:pPr>
              <w:spacing w:line="440" w:lineRule="exact"/>
              <w:rPr>
                <w:rFonts w:asciiTheme="minorEastAsia" w:hAnsiTheme="minorEastAsia"/>
                <w:sz w:val="22"/>
              </w:rPr>
            </w:pPr>
            <w:r>
              <w:rPr>
                <w:rFonts w:hint="eastAsia" w:asciiTheme="minorEastAsia" w:hAnsiTheme="minorEastAsia"/>
                <w:sz w:val="22"/>
              </w:rPr>
              <w:t>参加过的类似项目</w:t>
            </w:r>
          </w:p>
        </w:tc>
        <w:tc>
          <w:tcPr>
            <w:tcW w:w="1261" w:type="dxa"/>
            <w:vAlign w:val="center"/>
          </w:tcPr>
          <w:p>
            <w:pPr>
              <w:spacing w:line="440" w:lineRule="exact"/>
              <w:rPr>
                <w:rFonts w:asciiTheme="minorEastAsia" w:hAnsiTheme="minorEastAsia"/>
                <w:sz w:val="22"/>
              </w:rPr>
            </w:pPr>
            <w:r>
              <w:rPr>
                <w:rFonts w:hint="eastAsia" w:asciiTheme="minorEastAsia" w:hAnsiTheme="minorEastAsia"/>
                <w:sz w:val="22"/>
              </w:rPr>
              <w:t>担任职务</w:t>
            </w:r>
          </w:p>
        </w:tc>
        <w:tc>
          <w:tcPr>
            <w:tcW w:w="2296" w:type="dxa"/>
            <w:gridSpan w:val="2"/>
            <w:vAlign w:val="center"/>
          </w:tcPr>
          <w:p>
            <w:pPr>
              <w:spacing w:line="440" w:lineRule="exact"/>
              <w:rPr>
                <w:rFonts w:asciiTheme="minorEastAsia" w:hAnsiTheme="minorEastAsia"/>
                <w:sz w:val="22"/>
              </w:rPr>
            </w:pPr>
            <w:r>
              <w:rPr>
                <w:rFonts w:hint="eastAsia" w:asciiTheme="minorEastAsia" w:hAnsiTheme="minorEastAsia"/>
                <w:sz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Theme="minorEastAsia" w:hAnsiTheme="minorEastAsia"/>
                <w:sz w:val="22"/>
              </w:rPr>
            </w:pPr>
          </w:p>
        </w:tc>
        <w:tc>
          <w:tcPr>
            <w:tcW w:w="3074" w:type="dxa"/>
            <w:gridSpan w:val="4"/>
          </w:tcPr>
          <w:p>
            <w:pPr>
              <w:spacing w:line="440" w:lineRule="exact"/>
              <w:rPr>
                <w:rFonts w:asciiTheme="minorEastAsia" w:hAnsiTheme="minorEastAsia"/>
                <w:sz w:val="22"/>
              </w:rPr>
            </w:pPr>
          </w:p>
        </w:tc>
        <w:tc>
          <w:tcPr>
            <w:tcW w:w="1261" w:type="dxa"/>
          </w:tcPr>
          <w:p>
            <w:pPr>
              <w:spacing w:line="440" w:lineRule="exact"/>
              <w:rPr>
                <w:rFonts w:asciiTheme="minorEastAsia" w:hAnsiTheme="minorEastAsia"/>
                <w:sz w:val="22"/>
              </w:rPr>
            </w:pPr>
          </w:p>
        </w:tc>
        <w:tc>
          <w:tcPr>
            <w:tcW w:w="2296" w:type="dxa"/>
            <w:gridSpan w:val="2"/>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Theme="minorEastAsia" w:hAnsiTheme="minorEastAsia"/>
                <w:sz w:val="22"/>
              </w:rPr>
            </w:pPr>
          </w:p>
        </w:tc>
        <w:tc>
          <w:tcPr>
            <w:tcW w:w="3074" w:type="dxa"/>
            <w:gridSpan w:val="4"/>
          </w:tcPr>
          <w:p>
            <w:pPr>
              <w:spacing w:line="440" w:lineRule="exact"/>
              <w:rPr>
                <w:rFonts w:asciiTheme="minorEastAsia" w:hAnsiTheme="minorEastAsia"/>
                <w:sz w:val="22"/>
              </w:rPr>
            </w:pPr>
          </w:p>
        </w:tc>
        <w:tc>
          <w:tcPr>
            <w:tcW w:w="1261" w:type="dxa"/>
          </w:tcPr>
          <w:p>
            <w:pPr>
              <w:spacing w:line="440" w:lineRule="exact"/>
              <w:rPr>
                <w:rFonts w:asciiTheme="minorEastAsia" w:hAnsiTheme="minorEastAsia"/>
                <w:sz w:val="22"/>
              </w:rPr>
            </w:pPr>
          </w:p>
        </w:tc>
        <w:tc>
          <w:tcPr>
            <w:tcW w:w="2296" w:type="dxa"/>
            <w:gridSpan w:val="2"/>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Theme="minorEastAsia" w:hAnsiTheme="minorEastAsia"/>
                <w:sz w:val="22"/>
              </w:rPr>
            </w:pPr>
          </w:p>
        </w:tc>
        <w:tc>
          <w:tcPr>
            <w:tcW w:w="3074" w:type="dxa"/>
            <w:gridSpan w:val="4"/>
          </w:tcPr>
          <w:p>
            <w:pPr>
              <w:spacing w:line="440" w:lineRule="exact"/>
              <w:rPr>
                <w:rFonts w:asciiTheme="minorEastAsia" w:hAnsiTheme="minorEastAsia"/>
                <w:sz w:val="22"/>
              </w:rPr>
            </w:pPr>
          </w:p>
        </w:tc>
        <w:tc>
          <w:tcPr>
            <w:tcW w:w="1261" w:type="dxa"/>
          </w:tcPr>
          <w:p>
            <w:pPr>
              <w:spacing w:line="440" w:lineRule="exact"/>
              <w:rPr>
                <w:rFonts w:asciiTheme="minorEastAsia" w:hAnsiTheme="minorEastAsia"/>
                <w:sz w:val="22"/>
              </w:rPr>
            </w:pPr>
          </w:p>
        </w:tc>
        <w:tc>
          <w:tcPr>
            <w:tcW w:w="2296" w:type="dxa"/>
            <w:gridSpan w:val="2"/>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Theme="minorEastAsia" w:hAnsiTheme="minorEastAsia"/>
                <w:sz w:val="22"/>
              </w:rPr>
            </w:pPr>
          </w:p>
        </w:tc>
        <w:tc>
          <w:tcPr>
            <w:tcW w:w="3074" w:type="dxa"/>
            <w:gridSpan w:val="4"/>
            <w:vAlign w:val="center"/>
          </w:tcPr>
          <w:p>
            <w:pPr>
              <w:spacing w:line="440" w:lineRule="exact"/>
              <w:rPr>
                <w:rFonts w:asciiTheme="minorEastAsia" w:hAnsiTheme="minorEastAsia"/>
                <w:sz w:val="22"/>
              </w:rPr>
            </w:pPr>
          </w:p>
        </w:tc>
        <w:tc>
          <w:tcPr>
            <w:tcW w:w="1261" w:type="dxa"/>
            <w:vAlign w:val="center"/>
          </w:tcPr>
          <w:p>
            <w:pPr>
              <w:spacing w:line="440" w:lineRule="exact"/>
              <w:rPr>
                <w:rFonts w:asciiTheme="minorEastAsia" w:hAnsiTheme="minorEastAsia"/>
                <w:sz w:val="22"/>
              </w:rPr>
            </w:pPr>
          </w:p>
        </w:tc>
        <w:tc>
          <w:tcPr>
            <w:tcW w:w="2296" w:type="dxa"/>
            <w:gridSpan w:val="2"/>
            <w:vAlign w:val="center"/>
          </w:tcPr>
          <w:p>
            <w:pPr>
              <w:spacing w:line="440" w:lineRule="exact"/>
              <w:rPr>
                <w:rFonts w:asciiTheme="minorEastAsia" w:hAnsiTheme="minorEastAsia"/>
                <w:sz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eastAsia="宋体"/>
        </w:rPr>
        <w:br w:type="page"/>
      </w:r>
      <w:bookmarkStart w:id="151" w:name="_Toc7025"/>
      <w:bookmarkStart w:id="152" w:name="_Toc245036711"/>
      <w:r>
        <w:rPr>
          <w:rFonts w:hint="eastAsia" w:ascii="Calibri" w:hAnsi="Calibri" w:eastAsia="黑体" w:cs="Calibri"/>
          <w:color w:val="000000"/>
          <w:sz w:val="32"/>
          <w:szCs w:val="32"/>
        </w:rPr>
        <w:t>七、资格审查资料</w:t>
      </w:r>
      <w:bookmarkEnd w:id="151"/>
      <w:bookmarkEnd w:id="152"/>
    </w:p>
    <w:p>
      <w:pPr>
        <w:topLinePunct/>
        <w:spacing w:line="440" w:lineRule="exact"/>
        <w:jc w:val="center"/>
        <w:rPr>
          <w:rFonts w:ascii="宋体" w:hAnsi="宋体"/>
          <w:sz w:val="27"/>
          <w:szCs w:val="27"/>
        </w:rPr>
      </w:pPr>
    </w:p>
    <w:p>
      <w:pPr>
        <w:pStyle w:val="152"/>
        <w:rPr>
          <w:rFonts w:ascii="宋体" w:hAnsi="宋体" w:eastAsia="宋体"/>
          <w:szCs w:val="23"/>
        </w:rPr>
      </w:pPr>
      <w:bookmarkStart w:id="153" w:name="_Toc17487"/>
      <w:bookmarkStart w:id="154" w:name="_Toc152045808"/>
      <w:bookmarkStart w:id="155" w:name="_Toc152042597"/>
      <w:bookmarkStart w:id="156" w:name="_Toc245036712"/>
      <w:bookmarkStart w:id="157" w:name="_Toc144974876"/>
      <w:r>
        <w:rPr>
          <w:rFonts w:hint="eastAsia" w:ascii="宋体" w:hAnsi="宋体" w:eastAsia="宋体"/>
          <w:szCs w:val="23"/>
        </w:rPr>
        <w:t>（一）投标人基本情况表</w:t>
      </w:r>
      <w:bookmarkEnd w:id="153"/>
      <w:bookmarkEnd w:id="154"/>
      <w:bookmarkEnd w:id="155"/>
      <w:bookmarkEnd w:id="156"/>
      <w:bookmarkEnd w:id="157"/>
    </w:p>
    <w:p>
      <w:pPr>
        <w:topLinePunct/>
        <w:spacing w:line="440" w:lineRule="exact"/>
        <w:jc w:val="center"/>
        <w:rPr>
          <w:rFonts w:ascii="宋体" w:hAnsi="宋体"/>
          <w:sz w:val="23"/>
          <w:szCs w:val="23"/>
        </w:rPr>
      </w:pPr>
    </w:p>
    <w:tbl>
      <w:tblPr>
        <w:tblStyle w:val="58"/>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Theme="minorEastAsia" w:hAnsiTheme="minorEastAsia"/>
                <w:sz w:val="22"/>
              </w:rPr>
            </w:pPr>
            <w:r>
              <w:rPr>
                <w:rFonts w:hint="eastAsia" w:asciiTheme="minorEastAsia" w:hAnsiTheme="minorEastAsia"/>
                <w:sz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9"/>
              <w:ind w:left="-23"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Theme="minorEastAsia" w:hAnsiTheme="minorEastAsia"/>
                <w:sz w:val="22"/>
              </w:rPr>
            </w:pPr>
            <w:r>
              <w:rPr>
                <w:rFonts w:hint="eastAsia" w:asciiTheme="minorEastAsia" w:hAnsiTheme="minorEastAsia"/>
                <w:sz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Theme="minorEastAsia" w:hAnsiTheme="minorEastAsia"/>
                <w:sz w:val="22"/>
              </w:rPr>
            </w:pPr>
          </w:p>
          <w:p>
            <w:pPr>
              <w:topLinePunct/>
              <w:spacing w:line="440" w:lineRule="exact"/>
              <w:jc w:val="center"/>
              <w:rPr>
                <w:rFonts w:asciiTheme="minorEastAsia" w:hAnsiTheme="minorEastAsia"/>
                <w:sz w:val="22"/>
              </w:rPr>
            </w:pPr>
          </w:p>
          <w:p>
            <w:pPr>
              <w:topLinePunct/>
              <w:spacing w:line="440" w:lineRule="exact"/>
              <w:jc w:val="center"/>
              <w:rPr>
                <w:rFonts w:asciiTheme="minorEastAsia" w:hAnsiTheme="minorEastAsia"/>
                <w:sz w:val="22"/>
              </w:rPr>
            </w:pPr>
          </w:p>
          <w:p>
            <w:pPr>
              <w:topLinePunct/>
              <w:spacing w:line="440" w:lineRule="exact"/>
              <w:jc w:val="center"/>
              <w:rPr>
                <w:rFonts w:asciiTheme="minorEastAsia" w:hAnsiTheme="minorEastAsia"/>
                <w:sz w:val="22"/>
              </w:rPr>
            </w:pPr>
          </w:p>
          <w:p>
            <w:pPr>
              <w:topLinePunct/>
              <w:spacing w:line="440" w:lineRule="exact"/>
              <w:rPr>
                <w:rFonts w:asciiTheme="minorEastAsia" w:hAnsi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r>
              <w:rPr>
                <w:rFonts w:hint="eastAsia" w:asciiTheme="minorEastAsia" w:hAnsiTheme="minorEastAsia"/>
                <w:sz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heme="minorEastAsia" w:hAnsiTheme="minorEastAsia"/>
                <w:sz w:val="22"/>
              </w:rPr>
            </w:pPr>
          </w:p>
        </w:tc>
      </w:tr>
    </w:tbl>
    <w:p>
      <w:pPr>
        <w:spacing w:line="400" w:lineRule="exact"/>
        <w:ind w:firstLine="42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152"/>
        <w:rPr>
          <w:rFonts w:ascii="宋体" w:hAnsi="宋体" w:eastAsia="宋体"/>
          <w:szCs w:val="23"/>
        </w:rPr>
      </w:pPr>
      <w:bookmarkStart w:id="158" w:name="_Toc152045809"/>
      <w:bookmarkStart w:id="159" w:name="_Toc16950"/>
      <w:bookmarkStart w:id="160" w:name="_Toc152042598"/>
      <w:bookmarkStart w:id="161" w:name="_Toc144974877"/>
      <w:bookmarkStart w:id="162" w:name="_Toc245036713"/>
      <w:r>
        <w:rPr>
          <w:rFonts w:hint="eastAsia" w:ascii="宋体" w:hAnsi="宋体" w:eastAsia="宋体"/>
        </w:rPr>
        <w:br w:type="page"/>
      </w:r>
      <w:r>
        <w:rPr>
          <w:rFonts w:hint="eastAsia" w:ascii="宋体" w:hAnsi="宋体" w:eastAsia="宋体"/>
        </w:rPr>
        <w:t>（二）近年财务状况表</w:t>
      </w:r>
      <w:bookmarkEnd w:id="158"/>
      <w:bookmarkEnd w:id="159"/>
      <w:bookmarkEnd w:id="160"/>
      <w:bookmarkEnd w:id="161"/>
      <w:bookmarkEnd w:id="162"/>
    </w:p>
    <w:p>
      <w:pPr>
        <w:spacing w:line="440" w:lineRule="exact"/>
        <w:rPr>
          <w:rFonts w:ascii="宋体" w:hAnsi="宋体"/>
          <w:sz w:val="23"/>
          <w:szCs w:val="23"/>
        </w:rPr>
      </w:pPr>
    </w:p>
    <w:p>
      <w:pPr>
        <w:pStyle w:val="152"/>
        <w:rPr>
          <w:rFonts w:ascii="宋体" w:hAnsi="宋体" w:eastAsia="宋体"/>
          <w:szCs w:val="23"/>
        </w:rPr>
      </w:pPr>
      <w:bookmarkStart w:id="163" w:name="_Toc152045810"/>
      <w:bookmarkStart w:id="164" w:name="_Toc31021"/>
      <w:bookmarkStart w:id="165" w:name="_Toc245036714"/>
      <w:bookmarkStart w:id="166" w:name="_Toc144974878"/>
      <w:bookmarkStart w:id="167" w:name="_Toc152042599"/>
      <w:r>
        <w:rPr>
          <w:rFonts w:hint="eastAsia" w:ascii="宋体" w:hAnsi="宋体" w:eastAsia="宋体"/>
          <w:szCs w:val="23"/>
        </w:rPr>
        <w:t>（三）近年完成的类似项目情况表</w:t>
      </w:r>
      <w:bookmarkEnd w:id="163"/>
      <w:bookmarkEnd w:id="164"/>
      <w:bookmarkEnd w:id="165"/>
      <w:bookmarkEnd w:id="166"/>
      <w:bookmarkEnd w:id="167"/>
    </w:p>
    <w:p>
      <w:pPr>
        <w:spacing w:line="440" w:lineRule="exact"/>
        <w:jc w:val="center"/>
        <w:rPr>
          <w:rFonts w:ascii="宋体" w:hAnsi="宋体"/>
          <w:sz w:val="23"/>
          <w:szCs w:val="23"/>
        </w:rPr>
      </w:pPr>
    </w:p>
    <w:tbl>
      <w:tblPr>
        <w:tblStyle w:val="58"/>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8" w:name="_Toc13233"/>
            <w:r>
              <w:rPr>
                <w:rFonts w:hint="eastAsia" w:ascii="宋体" w:hAnsi="宋体"/>
                <w:szCs w:val="21"/>
              </w:rPr>
              <w:t>项目所在地</w:t>
            </w:r>
            <w:bookmarkEnd w:id="168"/>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69" w:name="_Toc20896"/>
            <w:r>
              <w:rPr>
                <w:rFonts w:hint="eastAsia" w:ascii="宋体" w:hAnsi="宋体"/>
                <w:szCs w:val="21"/>
              </w:rPr>
              <w:t>发包人地址</w:t>
            </w:r>
            <w:bookmarkEnd w:id="169"/>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70" w:name="_Toc3155"/>
            <w:r>
              <w:rPr>
                <w:rFonts w:hint="eastAsia" w:ascii="宋体" w:hAnsi="宋体"/>
                <w:szCs w:val="21"/>
              </w:rPr>
              <w:t>承担的工作</w:t>
            </w:r>
            <w:bookmarkEnd w:id="170"/>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152"/>
        <w:rPr>
          <w:rFonts w:ascii="宋体" w:hAnsi="宋体" w:eastAsia="宋体"/>
          <w:szCs w:val="23"/>
        </w:rPr>
      </w:pPr>
      <w:bookmarkStart w:id="171" w:name="_Toc26600"/>
      <w:bookmarkStart w:id="172" w:name="_Toc152042600"/>
      <w:bookmarkStart w:id="173" w:name="_Toc245036715"/>
      <w:bookmarkStart w:id="174" w:name="_Toc144974879"/>
      <w:bookmarkStart w:id="175" w:name="_Toc152045811"/>
      <w:r>
        <w:rPr>
          <w:rFonts w:hint="eastAsia" w:ascii="宋体" w:hAnsi="宋体" w:eastAsia="宋体"/>
          <w:szCs w:val="23"/>
        </w:rPr>
        <w:br w:type="page"/>
      </w:r>
      <w:r>
        <w:rPr>
          <w:rFonts w:hint="eastAsia" w:ascii="宋体" w:hAnsi="宋体" w:eastAsia="宋体"/>
          <w:szCs w:val="23"/>
        </w:rPr>
        <w:t>（四）正在施工的和新承接的项目情况表</w:t>
      </w:r>
      <w:bookmarkEnd w:id="171"/>
      <w:bookmarkEnd w:id="172"/>
      <w:bookmarkEnd w:id="173"/>
      <w:bookmarkEnd w:id="174"/>
      <w:bookmarkEnd w:id="175"/>
    </w:p>
    <w:p>
      <w:pPr>
        <w:keepNext/>
        <w:keepLines/>
        <w:topLinePunct/>
        <w:spacing w:before="240" w:beforeLines="100" w:line="280" w:lineRule="exact"/>
        <w:outlineLvl w:val="2"/>
        <w:rPr>
          <w:rFonts w:ascii="宋体" w:hAnsi="宋体"/>
          <w:b/>
          <w:bCs/>
          <w:szCs w:val="21"/>
        </w:rPr>
      </w:pPr>
    </w:p>
    <w:tbl>
      <w:tblPr>
        <w:tblStyle w:val="5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176" w:name="_Toc5773"/>
            <w:bookmarkStart w:id="177" w:name="_Toc144974880"/>
            <w:bookmarkStart w:id="178" w:name="_Toc152042601"/>
            <w:bookmarkStart w:id="179" w:name="_Toc152045812"/>
            <w:bookmarkStart w:id="180" w:name="_Toc245036716"/>
            <w:r>
              <w:rPr>
                <w:rFonts w:hint="eastAsia" w:ascii="宋体" w:hAnsi="宋体"/>
                <w:szCs w:val="21"/>
              </w:rPr>
              <w:t>项目名称</w:t>
            </w:r>
            <w:bookmarkEnd w:id="176"/>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240" w:beforeLines="100" w:line="280" w:lineRule="exact"/>
              <w:outlineLvl w:val="2"/>
              <w:rPr>
                <w:rFonts w:ascii="宋体" w:hAnsi="宋体"/>
                <w:b/>
                <w:bCs/>
                <w:szCs w:val="21"/>
              </w:rPr>
            </w:pPr>
          </w:p>
        </w:tc>
      </w:tr>
      <w:bookmarkEnd w:id="177"/>
      <w:bookmarkEnd w:id="178"/>
      <w:bookmarkEnd w:id="179"/>
      <w:bookmarkEnd w:id="180"/>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181" w:name="_Toc144974881"/>
      <w:bookmarkStart w:id="182" w:name="_Toc245036717"/>
      <w:bookmarkStart w:id="183" w:name="_Toc152045813"/>
      <w:bookmarkStart w:id="184" w:name="_Toc675"/>
      <w:bookmarkStart w:id="185" w:name="_Toc152042602"/>
      <w:r>
        <w:rPr>
          <w:rFonts w:hint="eastAsia" w:ascii="宋体" w:hAnsi="宋体" w:eastAsia="宋体"/>
        </w:rPr>
        <w:br w:type="page"/>
      </w:r>
      <w:r>
        <w:rPr>
          <w:rFonts w:hint="eastAsia" w:ascii="Calibri" w:hAnsi="Calibri" w:eastAsia="黑体" w:cs="Calibri"/>
          <w:color w:val="000000"/>
          <w:sz w:val="32"/>
          <w:szCs w:val="32"/>
        </w:rPr>
        <w:t>八、</w:t>
      </w:r>
      <w:bookmarkStart w:id="186" w:name="_Toc21221"/>
      <w:bookmarkEnd w:id="181"/>
      <w:bookmarkEnd w:id="182"/>
      <w:bookmarkEnd w:id="183"/>
      <w:bookmarkEnd w:id="184"/>
      <w:bookmarkEnd w:id="185"/>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186"/>
    <w:p>
      <w:pPr>
        <w:overflowPunct w:val="0"/>
        <w:autoSpaceDE w:val="0"/>
        <w:autoSpaceDN w:val="0"/>
        <w:spacing w:line="440" w:lineRule="exact"/>
        <w:ind w:left="839" w:hanging="839"/>
        <w:jc w:val="center"/>
        <w:rPr>
          <w:rFonts w:ascii="宋体" w:hAnsi="宋体" w:cs="宋体"/>
          <w:b/>
          <w:sz w:val="32"/>
          <w:szCs w:val="32"/>
        </w:rPr>
      </w:pPr>
    </w:p>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Microsoft YaHei UI">
    <w:panose1 w:val="020B0503020204020204"/>
    <w:charset w:val="86"/>
    <w:family w:val="swiss"/>
    <w:pitch w:val="default"/>
    <w:sig w:usb0="80000287" w:usb1="28C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TimesNewRomanPSMT">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dobe 楷体 Std R">
    <w:altName w:val="宋体"/>
    <w:panose1 w:val="00000000000000000000"/>
    <w:charset w:val="86"/>
    <w:family w:val="roman"/>
    <w:pitch w:val="default"/>
    <w:sig w:usb0="00000000" w:usb1="00000000" w:usb2="00000016" w:usb3="00000000" w:csb0="00060007"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1381"/>
    </w:sdtPr>
    <w:sdtContent>
      <w:p>
        <w:pPr>
          <w:pStyle w:val="36"/>
          <w:jc w:val="center"/>
        </w:pPr>
        <w:r>
          <w:fldChar w:fldCharType="begin"/>
        </w:r>
        <w:r>
          <w:instrText xml:space="preserve"> PAGE   \* MERGEFORMAT </w:instrText>
        </w:r>
        <w:r>
          <w:fldChar w:fldCharType="separate"/>
        </w:r>
        <w:r>
          <w:rPr>
            <w:lang w:val="zh-CN"/>
          </w:rPr>
          <w:t>-</w:t>
        </w:r>
        <w:r>
          <w:t xml:space="preserve"> 49 -</w:t>
        </w:r>
        <w:r>
          <w:fldChar w:fldCharType="end"/>
        </w:r>
      </w:p>
    </w:sdtContent>
  </w:sdt>
  <w:p>
    <w:pPr>
      <w:pStyle w:val="3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single" w:color="auto" w:sz="4" w:space="1"/>
      </w:pBdr>
      <w:rPr>
        <w:rFonts w:ascii="宋体" w:hAnsi="宋体"/>
      </w:rPr>
    </w:pPr>
    <w:r>
      <w:rPr>
        <w:rFonts w:hint="eastAsia" w:ascii="宋体" w:hAnsi="宋体"/>
        <w:color w:val="000000"/>
      </w:rPr>
      <w:t>杭州萧山国际机场飞行区标志线更新维护项目施工招标文件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
    <w:nsid w:val="5D770268"/>
    <w:multiLevelType w:val="singleLevel"/>
    <w:tmpl w:val="5D770268"/>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3">
    <w:nsid w:val="5D770289"/>
    <w:multiLevelType w:val="singleLevel"/>
    <w:tmpl w:val="5D770289"/>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4">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42"/>
      <w:lvlText w:val=""/>
      <w:lvlJc w:val="left"/>
      <w:pPr>
        <w:tabs>
          <w:tab w:val="left" w:pos="3780"/>
        </w:tabs>
        <w:ind w:left="3780" w:hanging="420"/>
      </w:pPr>
      <w:rPr>
        <w:rFonts w:hint="default" w:ascii="Wingdings" w:hAnsi="Wingdings"/>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CE493C"/>
    <w:rsid w:val="10E36552"/>
    <w:rsid w:val="37006286"/>
    <w:rsid w:val="71B05D9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2"/>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3"/>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4"/>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5"/>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6"/>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7"/>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8"/>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9"/>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95"/>
    <w:semiHidden/>
    <w:qFormat/>
    <w:uiPriority w:val="0"/>
    <w:rPr>
      <w:rFonts w:ascii="Times New Roman" w:hAnsi="Times New Roman" w:eastAsia="宋体" w:cs="Times New Roman"/>
      <w:b/>
      <w:bCs/>
      <w:kern w:val="0"/>
      <w:sz w:val="20"/>
      <w:szCs w:val="22"/>
    </w:rPr>
  </w:style>
  <w:style w:type="paragraph" w:styleId="13">
    <w:name w:val="annotation text"/>
    <w:basedOn w:val="1"/>
    <w:link w:val="106"/>
    <w:unhideWhenUsed/>
    <w:qFormat/>
    <w:uiPriority w:val="0"/>
    <w:pPr>
      <w:jc w:val="left"/>
    </w:pPr>
    <w:rPr>
      <w:sz w:val="24"/>
      <w:szCs w:val="24"/>
    </w:rPr>
  </w:style>
  <w:style w:type="paragraph" w:styleId="14">
    <w:name w:val="toc 7"/>
    <w:basedOn w:val="1"/>
    <w:next w:val="1"/>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90"/>
    <w:qFormat/>
    <w:uiPriority w:val="0"/>
    <w:pPr>
      <w:ind w:firstLine="420" w:firstLineChars="100"/>
    </w:pPr>
    <w:rPr>
      <w:rFonts w:ascii="Times New Roman" w:hAnsi="Times New Roman" w:eastAsia="宋体" w:cs="Times New Roman"/>
      <w:kern w:val="0"/>
      <w:sz w:val="20"/>
    </w:rPr>
  </w:style>
  <w:style w:type="paragraph" w:styleId="16">
    <w:name w:val="Body Text"/>
    <w:basedOn w:val="1"/>
    <w:link w:val="110"/>
    <w:unhideWhenUsed/>
    <w:qFormat/>
    <w:uiPriority w:val="0"/>
    <w:pPr>
      <w:spacing w:after="120"/>
    </w:pPr>
    <w:rPr>
      <w:sz w:val="24"/>
      <w:szCs w:val="24"/>
    </w:rPr>
  </w:style>
  <w:style w:type="paragraph" w:styleId="17">
    <w:name w:val="table of authorities"/>
    <w:basedOn w:val="1"/>
    <w:next w:val="1"/>
    <w:qFormat/>
    <w:uiPriority w:val="0"/>
    <w:pPr>
      <w:ind w:left="420" w:leftChars="200"/>
    </w:pPr>
    <w:rPr>
      <w:rFonts w:ascii="Times New Roman" w:hAnsi="Times New Roman" w:eastAsia="宋体" w:cs="Times New Roman"/>
      <w:szCs w:val="24"/>
    </w:rPr>
  </w:style>
  <w:style w:type="paragraph" w:styleId="18">
    <w:name w:val="Normal Indent"/>
    <w:basedOn w:val="1"/>
    <w:qFormat/>
    <w:uiPriority w:val="0"/>
    <w:pPr>
      <w:ind w:firstLine="420"/>
    </w:pPr>
    <w:rPr>
      <w:rFonts w:ascii="Times New Roman" w:hAnsi="Times New Roman" w:eastAsia="宋体" w:cs="Times New Roman"/>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eastAsia="宋体" w:cs="Times New Roman"/>
      <w:szCs w:val="24"/>
    </w:rPr>
  </w:style>
  <w:style w:type="paragraph" w:styleId="21">
    <w:name w:val="List Bullet"/>
    <w:basedOn w:val="1"/>
    <w:qFormat/>
    <w:uiPriority w:val="0"/>
    <w:pPr>
      <w:numPr>
        <w:ilvl w:val="0"/>
        <w:numId w:val="2"/>
      </w:numPr>
    </w:pPr>
  </w:style>
  <w:style w:type="paragraph" w:styleId="22">
    <w:name w:val="Document Map"/>
    <w:basedOn w:val="1"/>
    <w:link w:val="73"/>
    <w:qFormat/>
    <w:uiPriority w:val="0"/>
    <w:pPr>
      <w:shd w:val="clear" w:color="auto" w:fill="000080"/>
    </w:pPr>
    <w:rPr>
      <w:rFonts w:ascii="Times New Roman" w:hAnsi="Times New Roman" w:eastAsia="宋体" w:cs="Times New Roman"/>
      <w:kern w:val="0"/>
      <w:sz w:val="20"/>
    </w:rPr>
  </w:style>
  <w:style w:type="paragraph" w:styleId="23">
    <w:name w:val="Body Text 3"/>
    <w:basedOn w:val="1"/>
    <w:link w:val="85"/>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81"/>
    <w:qFormat/>
    <w:uiPriority w:val="0"/>
    <w:pPr>
      <w:ind w:firstLine="560" w:firstLineChars="200"/>
    </w:pPr>
    <w:rPr>
      <w:rFonts w:ascii="宋体" w:hAnsi="宋体" w:eastAsia="宋体" w:cs="Times New Roman"/>
      <w:kern w:val="0"/>
      <w:sz w:val="28"/>
      <w:szCs w:val="28"/>
    </w:rPr>
  </w:style>
  <w:style w:type="paragraph" w:styleId="25">
    <w:name w:val="List 2"/>
    <w:basedOn w:val="1"/>
    <w:qFormat/>
    <w:uiPriority w:val="0"/>
    <w:pPr>
      <w:ind w:left="100" w:leftChars="200" w:hanging="200" w:hangingChars="200"/>
    </w:pPr>
    <w:rPr>
      <w:rFonts w:ascii="Times New Roman" w:hAnsi="Times New Roman" w:eastAsia="宋体" w:cs="Times New Roman"/>
      <w:szCs w:val="24"/>
    </w:rPr>
  </w:style>
  <w:style w:type="paragraph" w:styleId="26">
    <w:name w:val="List Continue"/>
    <w:basedOn w:val="1"/>
    <w:qFormat/>
    <w:uiPriority w:val="0"/>
    <w:pPr>
      <w:spacing w:after="120"/>
      <w:ind w:left="420" w:leftChars="200"/>
    </w:pPr>
    <w:rPr>
      <w:rFonts w:ascii="Times New Roman" w:hAnsi="Times New Roman" w:eastAsia="宋体" w:cs="Times New Roman"/>
      <w:szCs w:val="24"/>
    </w:rPr>
  </w:style>
  <w:style w:type="paragraph" w:styleId="27">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8">
    <w:name w:val="List Bullet 2"/>
    <w:basedOn w:val="1"/>
    <w:qFormat/>
    <w:uiPriority w:val="0"/>
    <w:pPr>
      <w:numPr>
        <w:ilvl w:val="0"/>
        <w:numId w:val="3"/>
      </w:numPr>
    </w:pPr>
  </w:style>
  <w:style w:type="paragraph" w:styleId="29">
    <w:name w:val="toc 5"/>
    <w:basedOn w:val="1"/>
    <w:next w:val="1"/>
    <w:qFormat/>
    <w:uiPriority w:val="0"/>
    <w:pPr>
      <w:ind w:left="840"/>
      <w:jc w:val="left"/>
    </w:pPr>
    <w:rPr>
      <w:rFonts w:ascii="Times New Roman" w:hAnsi="Times New Roman" w:eastAsia="宋体" w:cs="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6"/>
    <w:qFormat/>
    <w:uiPriority w:val="0"/>
    <w:rPr>
      <w:rFonts w:ascii="宋体" w:hAnsi="Courier New" w:eastAsia="宋体" w:cs="Times New Roman"/>
      <w:kern w:val="0"/>
      <w:sz w:val="20"/>
      <w:szCs w:val="21"/>
    </w:rPr>
  </w:style>
  <w:style w:type="paragraph" w:styleId="32">
    <w:name w:val="toc 8"/>
    <w:basedOn w:val="1"/>
    <w:next w:val="1"/>
    <w:qFormat/>
    <w:uiPriority w:val="0"/>
    <w:pPr>
      <w:ind w:left="1470"/>
      <w:jc w:val="left"/>
    </w:pPr>
    <w:rPr>
      <w:rFonts w:ascii="Times New Roman" w:hAnsi="Times New Roman" w:eastAsia="宋体" w:cs="Times New Roman"/>
      <w:sz w:val="20"/>
      <w:szCs w:val="20"/>
    </w:rPr>
  </w:style>
  <w:style w:type="paragraph" w:styleId="33">
    <w:name w:val="Date"/>
    <w:basedOn w:val="1"/>
    <w:next w:val="1"/>
    <w:link w:val="70"/>
    <w:qFormat/>
    <w:uiPriority w:val="0"/>
    <w:pPr>
      <w:ind w:left="100" w:leftChars="2500"/>
    </w:pPr>
    <w:rPr>
      <w:rFonts w:ascii="Times New Roman" w:hAnsi="Times New Roman" w:eastAsia="宋体" w:cs="Times New Roman"/>
      <w:kern w:val="0"/>
      <w:sz w:val="20"/>
    </w:rPr>
  </w:style>
  <w:style w:type="paragraph" w:styleId="34">
    <w:name w:val="Body Text Indent 2"/>
    <w:basedOn w:val="1"/>
    <w:link w:val="94"/>
    <w:qFormat/>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71"/>
    <w:semiHidden/>
    <w:qFormat/>
    <w:uiPriority w:val="0"/>
    <w:rPr>
      <w:rFonts w:ascii="Times New Roman" w:hAnsi="Times New Roman" w:eastAsia="宋体" w:cs="Times New Roman"/>
      <w:kern w:val="0"/>
      <w:sz w:val="18"/>
      <w:szCs w:val="18"/>
    </w:rPr>
  </w:style>
  <w:style w:type="paragraph" w:styleId="36">
    <w:name w:val="footer"/>
    <w:basedOn w:val="1"/>
    <w:link w:val="60"/>
    <w:unhideWhenUsed/>
    <w:qFormat/>
    <w:uiPriority w:val="99"/>
    <w:pPr>
      <w:tabs>
        <w:tab w:val="center" w:pos="4153"/>
        <w:tab w:val="right" w:pos="8306"/>
      </w:tabs>
      <w:snapToGrid w:val="0"/>
      <w:jc w:val="left"/>
    </w:pPr>
    <w:rPr>
      <w:sz w:val="18"/>
      <w:szCs w:val="18"/>
    </w:rPr>
  </w:style>
  <w:style w:type="paragraph" w:styleId="37">
    <w:name w:val="Body Text First Indent 2"/>
    <w:basedOn w:val="24"/>
    <w:link w:val="80"/>
    <w:qFormat/>
    <w:uiPriority w:val="0"/>
    <w:pPr>
      <w:spacing w:after="120"/>
      <w:ind w:left="420" w:leftChars="200" w:firstLine="420"/>
    </w:pPr>
    <w:rPr>
      <w:szCs w:val="22"/>
    </w:rPr>
  </w:style>
  <w:style w:type="paragraph" w:styleId="38">
    <w:name w:val="header"/>
    <w:basedOn w:val="1"/>
    <w:link w:val="59"/>
    <w:unhideWhenUsed/>
    <w:qFormat/>
    <w:uiPriority w:val="0"/>
    <w:pPr>
      <w:pBdr>
        <w:bottom w:val="single" w:color="auto" w:sz="6" w:space="1"/>
      </w:pBdr>
      <w:tabs>
        <w:tab w:val="center" w:pos="4153"/>
        <w:tab w:val="right" w:pos="8306"/>
      </w:tabs>
      <w:snapToGrid w:val="0"/>
      <w:jc w:val="center"/>
    </w:pPr>
    <w:rPr>
      <w:sz w:val="18"/>
      <w:szCs w:val="18"/>
    </w:rPr>
  </w:style>
  <w:style w:type="paragraph" w:styleId="39">
    <w:name w:val="toc 1"/>
    <w:basedOn w:val="1"/>
    <w:next w:val="1"/>
    <w:qFormat/>
    <w:uiPriority w:val="39"/>
    <w:pPr>
      <w:adjustRightInd w:val="0"/>
      <w:snapToGrid w:val="0"/>
    </w:pPr>
    <w:rPr>
      <w:rFonts w:ascii="Times New Roman" w:hAnsi="Times New Roman" w:eastAsia="仿宋" w:cs="Times New Roman"/>
      <w:szCs w:val="24"/>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eastAsia="宋体" w:cs="Times New Roman"/>
      <w:szCs w:val="24"/>
    </w:rPr>
  </w:style>
  <w:style w:type="paragraph" w:styleId="42">
    <w:name w:val="toc 6"/>
    <w:basedOn w:val="1"/>
    <w:next w:val="1"/>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89"/>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5">
    <w:name w:val="toc 9"/>
    <w:basedOn w:val="1"/>
    <w:next w:val="1"/>
    <w:qFormat/>
    <w:uiPriority w:val="0"/>
    <w:pPr>
      <w:ind w:left="1680"/>
      <w:jc w:val="left"/>
    </w:pPr>
    <w:rPr>
      <w:rFonts w:ascii="Times New Roman" w:hAnsi="Times New Roman" w:eastAsia="宋体" w:cs="Times New Roman"/>
      <w:sz w:val="20"/>
      <w:szCs w:val="20"/>
    </w:rPr>
  </w:style>
  <w:style w:type="paragraph" w:styleId="46">
    <w:name w:val="Body Text 2"/>
    <w:basedOn w:val="1"/>
    <w:link w:val="72"/>
    <w:unhideWhenUsed/>
    <w:qFormat/>
    <w:uiPriority w:val="0"/>
    <w:pPr>
      <w:spacing w:after="120" w:line="480" w:lineRule="auto"/>
    </w:pPr>
    <w:rPr>
      <w:rFonts w:ascii="Times New Roman" w:hAnsi="Times New Roman" w:eastAsia="宋体" w:cs="Times New Roman"/>
      <w:kern w:val="0"/>
      <w:sz w:val="20"/>
    </w:rPr>
  </w:style>
  <w:style w:type="paragraph" w:styleId="47">
    <w:name w:val="List 4"/>
    <w:basedOn w:val="1"/>
    <w:qFormat/>
    <w:uiPriority w:val="0"/>
    <w:pPr>
      <w:ind w:left="100" w:leftChars="600" w:hanging="200" w:hangingChars="200"/>
    </w:pPr>
    <w:rPr>
      <w:rFonts w:ascii="Times New Roman" w:hAnsi="Times New Roman" w:eastAsia="宋体" w:cs="Times New Roman"/>
      <w:szCs w:val="24"/>
    </w:rPr>
  </w:style>
  <w:style w:type="paragraph" w:styleId="48">
    <w:name w:val="List Continue 2"/>
    <w:basedOn w:val="1"/>
    <w:qFormat/>
    <w:uiPriority w:val="0"/>
    <w:pPr>
      <w:spacing w:after="120"/>
      <w:ind w:left="840" w:leftChars="400"/>
    </w:pPr>
    <w:rPr>
      <w:rFonts w:ascii="Times New Roman" w:hAnsi="Times New Roman" w:eastAsia="宋体" w:cs="Times New Roman"/>
      <w:szCs w:val="24"/>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51">
    <w:name w:val="Title"/>
    <w:basedOn w:val="1"/>
    <w:next w:val="1"/>
    <w:link w:val="96"/>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rFonts w:asciiTheme="minorHAnsi" w:hAnsiTheme="minorHAnsi" w:eastAsiaTheme="minorEastAsia" w:cstheme="minorBidi"/>
      <w:b/>
      <w:bCs/>
      <w:lang w:val="en-US" w:eastAsia="zh-CN" w:bidi="ar-SA"/>
    </w:rPr>
  </w:style>
  <w:style w:type="character" w:styleId="54">
    <w:name w:val="page number"/>
    <w:basedOn w:val="52"/>
    <w:qFormat/>
    <w:uiPriority w:val="0"/>
    <w:rPr>
      <w:rFonts w:asciiTheme="minorHAnsi" w:hAnsiTheme="minorHAnsi" w:eastAsiaTheme="minorEastAsia" w:cstheme="minorBidi"/>
      <w:lang w:val="en-US" w:eastAsia="zh-CN" w:bidi="ar-SA"/>
    </w:rPr>
  </w:style>
  <w:style w:type="character" w:styleId="55">
    <w:name w:val="FollowedHyperlink"/>
    <w:unhideWhenUsed/>
    <w:qFormat/>
    <w:uiPriority w:val="99"/>
    <w:rPr>
      <w:rFonts w:asciiTheme="minorHAnsi" w:hAnsiTheme="minorHAnsi" w:eastAsiaTheme="minorEastAsia" w:cstheme="minorBidi"/>
      <w:color w:val="800080"/>
      <w:u w:val="single"/>
      <w:lang w:val="en-US" w:eastAsia="zh-CN" w:bidi="ar-SA"/>
    </w:rPr>
  </w:style>
  <w:style w:type="character" w:styleId="56">
    <w:name w:val="Hyperlink"/>
    <w:qFormat/>
    <w:uiPriority w:val="99"/>
    <w:rPr>
      <w:rFonts w:asciiTheme="minorHAnsi" w:hAnsiTheme="minorHAnsi" w:eastAsiaTheme="minorEastAsia" w:cstheme="minorBidi"/>
      <w:color w:val="0000FF"/>
      <w:u w:val="single"/>
      <w:lang w:val="en-US" w:eastAsia="zh-CN" w:bidi="ar-SA"/>
    </w:rPr>
  </w:style>
  <w:style w:type="character" w:styleId="57">
    <w:name w:val="annotation reference"/>
    <w:semiHidden/>
    <w:qFormat/>
    <w:uiPriority w:val="0"/>
    <w:rPr>
      <w:rFonts w:asciiTheme="minorHAnsi" w:hAnsiTheme="minorHAnsi" w:eastAsiaTheme="minorEastAsia" w:cstheme="minorBidi"/>
      <w:sz w:val="21"/>
      <w:szCs w:val="21"/>
      <w:lang w:val="en-US" w:eastAsia="zh-CN" w:bidi="ar-SA"/>
    </w:rPr>
  </w:style>
  <w:style w:type="character" w:customStyle="1" w:styleId="59">
    <w:name w:val="页眉 字符"/>
    <w:basedOn w:val="52"/>
    <w:link w:val="38"/>
    <w:qFormat/>
    <w:uiPriority w:val="0"/>
    <w:rPr>
      <w:rFonts w:ascii="Times New Roman" w:hAnsi="Times New Roman" w:eastAsia="宋体" w:cs="Times New Roman"/>
      <w:sz w:val="18"/>
      <w:szCs w:val="18"/>
      <w:lang w:val="en-US" w:eastAsia="zh-CN" w:bidi="ar-SA"/>
    </w:rPr>
  </w:style>
  <w:style w:type="character" w:customStyle="1" w:styleId="60">
    <w:name w:val="页脚 字符"/>
    <w:basedOn w:val="52"/>
    <w:link w:val="36"/>
    <w:qFormat/>
    <w:uiPriority w:val="99"/>
    <w:rPr>
      <w:rFonts w:ascii="Times New Roman" w:hAnsi="Times New Roman" w:eastAsia="宋体" w:cs="Times New Roman"/>
      <w:sz w:val="18"/>
      <w:szCs w:val="18"/>
      <w:lang w:val="en-US" w:eastAsia="zh-CN" w:bidi="ar-SA"/>
    </w:rPr>
  </w:style>
  <w:style w:type="character" w:customStyle="1" w:styleId="61">
    <w:name w:val="标题 1 字符"/>
    <w:basedOn w:val="52"/>
    <w:link w:val="2"/>
    <w:qFormat/>
    <w:uiPriority w:val="0"/>
    <w:rPr>
      <w:rFonts w:ascii="Times New Roman" w:hAnsi="Times New Roman" w:eastAsia="宋体" w:cs="Times New Roman"/>
      <w:b/>
      <w:bCs/>
      <w:kern w:val="44"/>
      <w:sz w:val="30"/>
      <w:szCs w:val="44"/>
      <w:lang w:val="en-US" w:eastAsia="zh-CN" w:bidi="ar-SA"/>
    </w:rPr>
  </w:style>
  <w:style w:type="character" w:customStyle="1" w:styleId="62">
    <w:name w:val="标题 2 字符"/>
    <w:basedOn w:val="52"/>
    <w:link w:val="3"/>
    <w:qFormat/>
    <w:uiPriority w:val="0"/>
    <w:rPr>
      <w:rFonts w:ascii="Arial" w:hAnsi="Arial" w:eastAsia="宋体" w:cs="Times New Roman"/>
      <w:b/>
      <w:bCs/>
      <w:kern w:val="0"/>
      <w:sz w:val="28"/>
      <w:szCs w:val="32"/>
      <w:lang w:val="en-US" w:eastAsia="zh-CN" w:bidi="ar-SA"/>
    </w:rPr>
  </w:style>
  <w:style w:type="character" w:customStyle="1" w:styleId="63">
    <w:name w:val="标题 3 字符"/>
    <w:basedOn w:val="52"/>
    <w:link w:val="4"/>
    <w:qFormat/>
    <w:uiPriority w:val="0"/>
    <w:rPr>
      <w:rFonts w:ascii="宋体" w:hAnsi="Times New Roman" w:eastAsia="宋体" w:cs="Times New Roman"/>
      <w:b/>
      <w:kern w:val="0"/>
      <w:sz w:val="28"/>
      <w:szCs w:val="20"/>
      <w:lang w:val="en-US" w:eastAsia="zh-CN" w:bidi="ar-SA"/>
    </w:rPr>
  </w:style>
  <w:style w:type="character" w:customStyle="1" w:styleId="64">
    <w:name w:val="标题 4 字符"/>
    <w:basedOn w:val="52"/>
    <w:link w:val="5"/>
    <w:qFormat/>
    <w:uiPriority w:val="0"/>
    <w:rPr>
      <w:rFonts w:ascii="Arial" w:hAnsi="Arial" w:eastAsia="黑体" w:cs="Times New Roman"/>
      <w:b/>
      <w:bCs/>
      <w:kern w:val="0"/>
      <w:sz w:val="28"/>
      <w:szCs w:val="28"/>
      <w:lang w:val="en-US" w:eastAsia="zh-CN" w:bidi="ar-SA"/>
    </w:rPr>
  </w:style>
  <w:style w:type="character" w:customStyle="1" w:styleId="65">
    <w:name w:val="标题 5 字符"/>
    <w:basedOn w:val="52"/>
    <w:link w:val="6"/>
    <w:qFormat/>
    <w:uiPriority w:val="0"/>
    <w:rPr>
      <w:rFonts w:ascii="Times New Roman" w:hAnsi="Times New Roman" w:eastAsia="宋体" w:cs="Times New Roman"/>
      <w:b/>
      <w:bCs/>
      <w:kern w:val="0"/>
      <w:sz w:val="28"/>
      <w:szCs w:val="28"/>
      <w:lang w:val="en-US" w:eastAsia="zh-CN" w:bidi="ar-SA"/>
    </w:rPr>
  </w:style>
  <w:style w:type="character" w:customStyle="1" w:styleId="66">
    <w:name w:val="标题 6 字符"/>
    <w:basedOn w:val="52"/>
    <w:link w:val="7"/>
    <w:qFormat/>
    <w:uiPriority w:val="0"/>
    <w:rPr>
      <w:rFonts w:ascii="Arial" w:hAnsi="Arial" w:eastAsia="黑体" w:cs="Times New Roman"/>
      <w:b/>
      <w:bCs/>
      <w:kern w:val="0"/>
      <w:sz w:val="24"/>
      <w:szCs w:val="24"/>
      <w:lang w:val="en-US" w:eastAsia="zh-CN" w:bidi="ar-SA"/>
    </w:rPr>
  </w:style>
  <w:style w:type="character" w:customStyle="1" w:styleId="67">
    <w:name w:val="标题 7 字符"/>
    <w:basedOn w:val="52"/>
    <w:link w:val="8"/>
    <w:qFormat/>
    <w:uiPriority w:val="0"/>
    <w:rPr>
      <w:rFonts w:ascii="Times New Roman" w:hAnsi="Times New Roman" w:eastAsia="宋体" w:cs="Times New Roman"/>
      <w:b/>
      <w:bCs/>
      <w:kern w:val="0"/>
      <w:sz w:val="24"/>
      <w:szCs w:val="24"/>
      <w:lang w:val="en-US" w:eastAsia="zh-CN" w:bidi="ar-SA"/>
    </w:rPr>
  </w:style>
  <w:style w:type="character" w:customStyle="1" w:styleId="68">
    <w:name w:val="标题 8 字符"/>
    <w:basedOn w:val="52"/>
    <w:link w:val="9"/>
    <w:qFormat/>
    <w:uiPriority w:val="0"/>
    <w:rPr>
      <w:rFonts w:ascii="Arial" w:hAnsi="Arial" w:eastAsia="黑体" w:cs="Times New Roman"/>
      <w:kern w:val="0"/>
      <w:sz w:val="24"/>
      <w:szCs w:val="24"/>
      <w:lang w:val="en-US" w:eastAsia="zh-CN" w:bidi="ar-SA"/>
    </w:rPr>
  </w:style>
  <w:style w:type="character" w:customStyle="1" w:styleId="69">
    <w:name w:val="标题 9 字符"/>
    <w:basedOn w:val="52"/>
    <w:link w:val="10"/>
    <w:qFormat/>
    <w:uiPriority w:val="0"/>
    <w:rPr>
      <w:rFonts w:ascii="Arial" w:hAnsi="Arial" w:eastAsia="黑体" w:cs="Times New Roman"/>
      <w:kern w:val="0"/>
      <w:sz w:val="20"/>
      <w:szCs w:val="21"/>
      <w:lang w:val="en-US" w:eastAsia="zh-CN" w:bidi="ar-SA"/>
    </w:rPr>
  </w:style>
  <w:style w:type="character" w:customStyle="1" w:styleId="70">
    <w:name w:val="日期 字符"/>
    <w:link w:val="33"/>
    <w:qFormat/>
    <w:uiPriority w:val="0"/>
    <w:rPr>
      <w:rFonts w:ascii="Times New Roman" w:hAnsi="Times New Roman" w:eastAsia="宋体" w:cs="Times New Roman"/>
      <w:kern w:val="0"/>
      <w:sz w:val="20"/>
      <w:lang w:val="en-US" w:eastAsia="zh-CN" w:bidi="ar-SA"/>
    </w:rPr>
  </w:style>
  <w:style w:type="character" w:customStyle="1" w:styleId="71">
    <w:name w:val="批注框文本 字符"/>
    <w:link w:val="35"/>
    <w:semiHidden/>
    <w:qFormat/>
    <w:uiPriority w:val="0"/>
    <w:rPr>
      <w:rFonts w:ascii="Times New Roman" w:hAnsi="Times New Roman" w:eastAsia="宋体" w:cs="Times New Roman"/>
      <w:kern w:val="0"/>
      <w:sz w:val="18"/>
      <w:szCs w:val="18"/>
      <w:lang w:val="en-US" w:eastAsia="zh-CN" w:bidi="ar-SA"/>
    </w:rPr>
  </w:style>
  <w:style w:type="character" w:customStyle="1" w:styleId="72">
    <w:name w:val="正文文本 2 字符"/>
    <w:link w:val="46"/>
    <w:qFormat/>
    <w:uiPriority w:val="0"/>
    <w:rPr>
      <w:rFonts w:ascii="Times New Roman" w:hAnsi="Times New Roman" w:eastAsia="宋体" w:cs="Times New Roman"/>
      <w:kern w:val="0"/>
      <w:sz w:val="20"/>
      <w:lang w:val="en-US" w:eastAsia="zh-CN" w:bidi="ar-SA"/>
    </w:rPr>
  </w:style>
  <w:style w:type="character" w:customStyle="1" w:styleId="73">
    <w:name w:val="文档结构图 字符"/>
    <w:link w:val="22"/>
    <w:qFormat/>
    <w:uiPriority w:val="0"/>
    <w:rPr>
      <w:rFonts w:ascii="Times New Roman" w:hAnsi="Times New Roman" w:eastAsia="宋体" w:cs="Times New Roman"/>
      <w:kern w:val="0"/>
      <w:sz w:val="20"/>
      <w:lang w:val="en-US" w:eastAsia="zh-CN" w:bidi="ar-SA"/>
    </w:rPr>
  </w:style>
  <w:style w:type="character" w:customStyle="1" w:styleId="74">
    <w:name w:val="font51"/>
    <w:qFormat/>
    <w:uiPriority w:val="0"/>
    <w:rPr>
      <w:rFonts w:hint="default" w:ascii="Times New Roman" w:hAnsi="Times New Roman" w:cs="Times New Roman" w:eastAsiaTheme="minorEastAsia"/>
      <w:b/>
      <w:color w:val="000000"/>
      <w:sz w:val="24"/>
      <w:szCs w:val="24"/>
      <w:u w:val="none"/>
      <w:lang w:val="en-US" w:eastAsia="zh-CN" w:bidi="ar-SA"/>
    </w:rPr>
  </w:style>
  <w:style w:type="character" w:customStyle="1" w:styleId="75">
    <w:name w:val="Char Char"/>
    <w:qFormat/>
    <w:uiPriority w:val="0"/>
    <w:rPr>
      <w:rFonts w:ascii="宋体" w:hAnsi="Courier New" w:eastAsia="宋体" w:cs="Courier New"/>
      <w:kern w:val="2"/>
      <w:sz w:val="21"/>
      <w:szCs w:val="21"/>
      <w:lang w:val="en-US" w:eastAsia="zh-CN" w:bidi="ar-SA"/>
    </w:rPr>
  </w:style>
  <w:style w:type="character" w:customStyle="1" w:styleId="76">
    <w:name w:val="纯文本 字符"/>
    <w:link w:val="31"/>
    <w:qFormat/>
    <w:uiPriority w:val="0"/>
    <w:rPr>
      <w:rFonts w:ascii="宋体" w:hAnsi="Courier New" w:eastAsia="宋体" w:cs="Times New Roman"/>
      <w:kern w:val="0"/>
      <w:sz w:val="20"/>
      <w:szCs w:val="21"/>
      <w:lang w:val="en-US" w:eastAsia="zh-CN" w:bidi="ar-SA"/>
    </w:rPr>
  </w:style>
  <w:style w:type="character" w:customStyle="1" w:styleId="77">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78">
    <w:name w:val="Char Char3"/>
    <w:qFormat/>
    <w:uiPriority w:val="0"/>
    <w:rPr>
      <w:rFonts w:eastAsia="宋体" w:asciiTheme="minorHAnsi" w:hAnsiTheme="minorHAnsi" w:cstheme="minorBidi"/>
      <w:kern w:val="2"/>
      <w:sz w:val="18"/>
      <w:szCs w:val="18"/>
      <w:lang w:val="en-US" w:eastAsia="zh-CN" w:bidi="ar-SA"/>
    </w:rPr>
  </w:style>
  <w:style w:type="character" w:customStyle="1" w:styleId="79">
    <w:name w:val="font61"/>
    <w:qFormat/>
    <w:uiPriority w:val="0"/>
    <w:rPr>
      <w:rFonts w:hint="default" w:ascii="Times New Roman" w:hAnsi="Times New Roman" w:cs="Times New Roman" w:eastAsiaTheme="minorEastAsia"/>
      <w:color w:val="000000"/>
      <w:sz w:val="24"/>
      <w:szCs w:val="24"/>
      <w:u w:val="none"/>
      <w:lang w:val="en-US" w:eastAsia="zh-CN" w:bidi="ar-SA"/>
    </w:rPr>
  </w:style>
  <w:style w:type="character" w:customStyle="1" w:styleId="80">
    <w:name w:val="正文首行缩进 2 字符"/>
    <w:link w:val="37"/>
    <w:qFormat/>
    <w:uiPriority w:val="0"/>
    <w:rPr>
      <w:rFonts w:ascii="Times New Roman" w:hAnsi="Times New Roman" w:eastAsia="宋体" w:cs="Times New Roman"/>
      <w:szCs w:val="22"/>
      <w:lang w:val="en-US" w:eastAsia="zh-CN" w:bidi="ar-SA"/>
    </w:rPr>
  </w:style>
  <w:style w:type="character" w:customStyle="1" w:styleId="81">
    <w:name w:val="正文文本缩进 字符"/>
    <w:link w:val="24"/>
    <w:qFormat/>
    <w:uiPriority w:val="0"/>
    <w:rPr>
      <w:rFonts w:ascii="宋体" w:hAnsi="宋体" w:eastAsia="宋体" w:cs="Times New Roman"/>
      <w:kern w:val="0"/>
      <w:sz w:val="28"/>
      <w:szCs w:val="28"/>
      <w:lang w:val="en-US" w:eastAsia="zh-CN" w:bidi="ar-SA"/>
    </w:rPr>
  </w:style>
  <w:style w:type="character" w:customStyle="1" w:styleId="82">
    <w:name w:val="font21"/>
    <w:qFormat/>
    <w:uiPriority w:val="0"/>
    <w:rPr>
      <w:rFonts w:hint="default" w:ascii="Times New Roman" w:hAnsi="Times New Roman" w:cs="Times New Roman" w:eastAsiaTheme="minorEastAsia"/>
      <w:color w:val="000000"/>
      <w:sz w:val="24"/>
      <w:szCs w:val="24"/>
      <w:u w:val="none"/>
      <w:vertAlign w:val="superscript"/>
      <w:lang w:val="en-US" w:eastAsia="zh-CN" w:bidi="ar-SA"/>
    </w:rPr>
  </w:style>
  <w:style w:type="character" w:customStyle="1" w:styleId="83">
    <w:name w:val="font71"/>
    <w:qFormat/>
    <w:uiPriority w:val="0"/>
    <w:rPr>
      <w:rFonts w:hint="eastAsia" w:ascii="宋体" w:hAnsi="宋体" w:eastAsia="宋体" w:cs="宋体"/>
      <w:color w:val="000000"/>
      <w:sz w:val="24"/>
      <w:szCs w:val="24"/>
      <w:u w:val="none"/>
      <w:lang w:val="en-US" w:eastAsia="zh-CN" w:bidi="ar-SA"/>
    </w:rPr>
  </w:style>
  <w:style w:type="character" w:customStyle="1" w:styleId="84">
    <w:name w:val="zbggmain style9"/>
    <w:basedOn w:val="52"/>
    <w:qFormat/>
    <w:uiPriority w:val="0"/>
    <w:rPr>
      <w:rFonts w:asciiTheme="minorHAnsi" w:hAnsiTheme="minorHAnsi" w:eastAsiaTheme="minorEastAsia" w:cstheme="minorBidi"/>
      <w:lang w:val="en-US" w:eastAsia="zh-CN" w:bidi="ar-SA"/>
    </w:rPr>
  </w:style>
  <w:style w:type="character" w:customStyle="1" w:styleId="85">
    <w:name w:val="正文文本 3 字符"/>
    <w:link w:val="23"/>
    <w:qFormat/>
    <w:uiPriority w:val="0"/>
    <w:rPr>
      <w:rFonts w:ascii="Times New Roman" w:hAnsi="Times New Roman" w:eastAsia="宋体" w:cs="Times New Roman"/>
      <w:kern w:val="0"/>
      <w:sz w:val="16"/>
      <w:szCs w:val="16"/>
      <w:lang w:val="en-US" w:eastAsia="zh-CN" w:bidi="ar-SA"/>
    </w:rPr>
  </w:style>
  <w:style w:type="character" w:customStyle="1" w:styleId="86">
    <w:name w:val="px1233"/>
    <w:basedOn w:val="52"/>
    <w:qFormat/>
    <w:uiPriority w:val="0"/>
    <w:rPr>
      <w:rFonts w:asciiTheme="minorHAnsi" w:hAnsiTheme="minorHAnsi" w:eastAsiaTheme="minorEastAsia" w:cstheme="minorBidi"/>
      <w:lang w:val="en-US" w:eastAsia="zh-CN" w:bidi="ar-SA"/>
    </w:rPr>
  </w:style>
  <w:style w:type="character" w:customStyle="1" w:styleId="87">
    <w:name w:val="font11"/>
    <w:qFormat/>
    <w:uiPriority w:val="0"/>
    <w:rPr>
      <w:rFonts w:hint="default" w:ascii="Times New Roman" w:hAnsi="Times New Roman" w:cs="Times New Roman" w:eastAsiaTheme="minorEastAsia"/>
      <w:color w:val="000000"/>
      <w:sz w:val="21"/>
      <w:szCs w:val="21"/>
      <w:u w:val="none"/>
      <w:lang w:val="en-US" w:eastAsia="zh-CN" w:bidi="ar-SA"/>
    </w:rPr>
  </w:style>
  <w:style w:type="character" w:customStyle="1" w:styleId="88">
    <w:name w:val="font41"/>
    <w:qFormat/>
    <w:uiPriority w:val="0"/>
    <w:rPr>
      <w:rFonts w:hint="eastAsia" w:ascii="宋体" w:hAnsi="宋体" w:eastAsia="宋体" w:cs="宋体"/>
      <w:b/>
      <w:color w:val="000000"/>
      <w:sz w:val="24"/>
      <w:szCs w:val="24"/>
      <w:u w:val="none"/>
      <w:lang w:val="en-US" w:eastAsia="zh-CN" w:bidi="ar-SA"/>
    </w:rPr>
  </w:style>
  <w:style w:type="character" w:customStyle="1" w:styleId="89">
    <w:name w:val="正文文本缩进 3 字符"/>
    <w:link w:val="43"/>
    <w:qFormat/>
    <w:uiPriority w:val="0"/>
    <w:rPr>
      <w:rFonts w:ascii="Times New Roman" w:hAnsi="Times New Roman" w:eastAsia="宋体" w:cs="Times New Roman"/>
      <w:kern w:val="0"/>
      <w:sz w:val="16"/>
      <w:szCs w:val="16"/>
      <w:lang w:val="en-US" w:eastAsia="zh-CN" w:bidi="ar-SA"/>
    </w:rPr>
  </w:style>
  <w:style w:type="character" w:customStyle="1" w:styleId="90">
    <w:name w:val="正文首行缩进 字符"/>
    <w:basedOn w:val="91"/>
    <w:link w:val="15"/>
    <w:qFormat/>
    <w:uiPriority w:val="0"/>
    <w:rPr>
      <w:rFonts w:ascii="Times New Roman" w:hAnsi="Times New Roman" w:eastAsia="宋体" w:cs="Times New Roman"/>
      <w:kern w:val="0"/>
      <w:sz w:val="20"/>
    </w:rPr>
  </w:style>
  <w:style w:type="character" w:customStyle="1" w:styleId="91">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92">
    <w:name w:val="Char Char2"/>
    <w:qFormat/>
    <w:uiPriority w:val="0"/>
    <w:rPr>
      <w:rFonts w:eastAsia="宋体" w:asciiTheme="minorHAnsi" w:hAnsiTheme="minorHAnsi" w:cstheme="minorBidi"/>
      <w:kern w:val="2"/>
      <w:sz w:val="18"/>
      <w:szCs w:val="18"/>
      <w:lang w:val="en-US" w:eastAsia="zh-CN" w:bidi="ar-SA"/>
    </w:rPr>
  </w:style>
  <w:style w:type="character" w:customStyle="1" w:styleId="93">
    <w:name w:val="font01"/>
    <w:qFormat/>
    <w:uiPriority w:val="0"/>
    <w:rPr>
      <w:rFonts w:hint="eastAsia" w:ascii="宋体" w:hAnsi="宋体" w:eastAsia="宋体" w:cs="宋体"/>
      <w:color w:val="000000"/>
      <w:sz w:val="21"/>
      <w:szCs w:val="21"/>
      <w:u w:val="none"/>
      <w:lang w:val="en-US" w:eastAsia="zh-CN" w:bidi="ar-SA"/>
    </w:rPr>
  </w:style>
  <w:style w:type="character" w:customStyle="1" w:styleId="94">
    <w:name w:val="正文文本缩进 2 字符"/>
    <w:link w:val="34"/>
    <w:qFormat/>
    <w:uiPriority w:val="0"/>
    <w:rPr>
      <w:rFonts w:ascii="Times New Roman" w:hAnsi="Times New Roman" w:eastAsia="宋体" w:cs="Times New Roman"/>
      <w:kern w:val="0"/>
      <w:sz w:val="20"/>
      <w:lang w:val="en-US" w:eastAsia="zh-CN" w:bidi="ar-SA"/>
    </w:rPr>
  </w:style>
  <w:style w:type="character" w:customStyle="1" w:styleId="95">
    <w:name w:val="批注主题 字符"/>
    <w:link w:val="12"/>
    <w:semiHidden/>
    <w:qFormat/>
    <w:uiPriority w:val="0"/>
    <w:rPr>
      <w:rFonts w:ascii="Times New Roman" w:hAnsi="Times New Roman" w:eastAsia="宋体" w:cs="Times New Roman"/>
      <w:b/>
      <w:bCs/>
      <w:kern w:val="0"/>
      <w:sz w:val="20"/>
      <w:szCs w:val="22"/>
      <w:lang w:val="en-US" w:eastAsia="zh-CN" w:bidi="ar-SA"/>
    </w:rPr>
  </w:style>
  <w:style w:type="character" w:customStyle="1" w:styleId="96">
    <w:name w:val="标题 字符"/>
    <w:link w:val="51"/>
    <w:qFormat/>
    <w:uiPriority w:val="0"/>
    <w:rPr>
      <w:rFonts w:ascii="Cambria" w:hAnsi="Cambria" w:eastAsia="黑体" w:cs="Times New Roman"/>
      <w:b/>
      <w:bCs/>
      <w:kern w:val="0"/>
      <w:sz w:val="32"/>
      <w:szCs w:val="32"/>
      <w:lang w:val="en-US" w:eastAsia="zh-CN" w:bidi="ar-SA"/>
    </w:rPr>
  </w:style>
  <w:style w:type="paragraph" w:customStyle="1" w:styleId="97">
    <w:name w:val="样式1"/>
    <w:basedOn w:val="5"/>
    <w:qFormat/>
    <w:uiPriority w:val="0"/>
    <w:pPr>
      <w:tabs>
        <w:tab w:val="left" w:pos="864"/>
      </w:tabs>
      <w:spacing w:before="120" w:after="120" w:line="360" w:lineRule="auto"/>
      <w:ind w:left="864" w:hanging="864"/>
    </w:pPr>
    <w:rPr>
      <w:b w:val="0"/>
      <w:bCs w:val="0"/>
    </w:rPr>
  </w:style>
  <w:style w:type="paragraph" w:customStyle="1" w:styleId="98">
    <w:name w:val="Char Char Char1 Char Char Char Char"/>
    <w:basedOn w:val="1"/>
    <w:qFormat/>
    <w:uiPriority w:val="0"/>
    <w:rPr>
      <w:rFonts w:ascii="Times New Roman" w:hAnsi="Times New Roman" w:eastAsia="宋体" w:cs="Times New Roman"/>
      <w:szCs w:val="24"/>
    </w:rPr>
  </w:style>
  <w:style w:type="paragraph" w:customStyle="1" w:styleId="99">
    <w:name w:val="Char Char Char Char Char Char"/>
    <w:basedOn w:val="1"/>
    <w:qFormat/>
    <w:uiPriority w:val="0"/>
    <w:rPr>
      <w:rFonts w:ascii="Times New Roman" w:hAnsi="Times New Roman" w:eastAsia="宋体" w:cs="Times New Roman"/>
      <w:szCs w:val="24"/>
    </w:rPr>
  </w:style>
  <w:style w:type="character" w:customStyle="1" w:styleId="100">
    <w:name w:val="批注框文本 字符1"/>
    <w:basedOn w:val="52"/>
    <w:semiHidden/>
    <w:qFormat/>
    <w:uiPriority w:val="99"/>
    <w:rPr>
      <w:rFonts w:asciiTheme="minorHAnsi" w:hAnsiTheme="minorHAnsi" w:eastAsiaTheme="minorEastAsia" w:cstheme="minorBidi"/>
      <w:sz w:val="18"/>
      <w:szCs w:val="18"/>
      <w:lang w:val="en-US" w:eastAsia="zh-CN" w:bidi="ar-SA"/>
    </w:rPr>
  </w:style>
  <w:style w:type="character" w:customStyle="1" w:styleId="101">
    <w:name w:val="批注框文本字符1"/>
    <w:basedOn w:val="52"/>
    <w:semiHidden/>
    <w:qFormat/>
    <w:uiPriority w:val="99"/>
    <w:rPr>
      <w:rFonts w:ascii="Heiti SC Light" w:eastAsia="Heiti SC Light" w:hAnsiTheme="minorHAnsi" w:cstheme="minorBidi"/>
      <w:sz w:val="18"/>
      <w:szCs w:val="18"/>
      <w:lang w:val="en-US" w:eastAsia="zh-CN" w:bidi="ar-SA"/>
    </w:rPr>
  </w:style>
  <w:style w:type="character" w:customStyle="1" w:styleId="102">
    <w:name w:val="日期 字符1"/>
    <w:basedOn w:val="52"/>
    <w:semiHidden/>
    <w:qFormat/>
    <w:uiPriority w:val="99"/>
    <w:rPr>
      <w:rFonts w:asciiTheme="minorHAnsi" w:hAnsiTheme="minorHAnsi" w:eastAsiaTheme="minorEastAsia" w:cstheme="minorBidi"/>
      <w:lang w:val="en-US" w:eastAsia="zh-CN" w:bidi="ar-SA"/>
    </w:rPr>
  </w:style>
  <w:style w:type="character" w:customStyle="1" w:styleId="103">
    <w:name w:val="日期字符1"/>
    <w:basedOn w:val="52"/>
    <w:semiHidden/>
    <w:qFormat/>
    <w:uiPriority w:val="99"/>
    <w:rPr>
      <w:rFonts w:asciiTheme="minorHAnsi" w:hAnsiTheme="minorHAnsi" w:eastAsiaTheme="minorEastAsia" w:cstheme="minorBidi"/>
      <w:lang w:val="en-US" w:eastAsia="zh-CN" w:bidi="ar-SA"/>
    </w:rPr>
  </w:style>
  <w:style w:type="character" w:customStyle="1" w:styleId="104">
    <w:name w:val="纯文本 字符1"/>
    <w:basedOn w:val="52"/>
    <w:semiHidden/>
    <w:qFormat/>
    <w:uiPriority w:val="99"/>
    <w:rPr>
      <w:rFonts w:hAnsi="Courier New" w:cs="Courier New" w:asciiTheme="minorEastAsia" w:eastAsiaTheme="minorEastAsia"/>
      <w:lang w:val="en-US" w:eastAsia="zh-CN" w:bidi="ar-SA"/>
    </w:rPr>
  </w:style>
  <w:style w:type="character" w:customStyle="1" w:styleId="105">
    <w:name w:val="纯文本字符1"/>
    <w:basedOn w:val="52"/>
    <w:semiHidden/>
    <w:qFormat/>
    <w:uiPriority w:val="99"/>
    <w:rPr>
      <w:rFonts w:ascii="宋体" w:hAnsi="Courier" w:eastAsia="宋体" w:cstheme="minorBidi"/>
      <w:lang w:val="en-US" w:eastAsia="zh-CN" w:bidi="ar-SA"/>
    </w:rPr>
  </w:style>
  <w:style w:type="character" w:customStyle="1" w:styleId="106">
    <w:name w:val="批注文字 字符"/>
    <w:basedOn w:val="52"/>
    <w:link w:val="13"/>
    <w:semiHidden/>
    <w:qFormat/>
    <w:uiPriority w:val="0"/>
    <w:rPr>
      <w:rFonts w:ascii="Times New Roman" w:hAnsi="Times New Roman" w:eastAsia="宋体" w:cs="Times New Roman"/>
      <w:sz w:val="24"/>
      <w:szCs w:val="24"/>
      <w:lang w:val="en-US" w:eastAsia="zh-CN" w:bidi="ar-SA"/>
    </w:rPr>
  </w:style>
  <w:style w:type="character" w:customStyle="1" w:styleId="107">
    <w:name w:val="批注主题 字符1"/>
    <w:basedOn w:val="106"/>
    <w:semiHidden/>
    <w:qFormat/>
    <w:uiPriority w:val="99"/>
    <w:rPr>
      <w:rFonts w:asciiTheme="minorHAnsi" w:hAnsiTheme="minorHAnsi" w:eastAsiaTheme="minorEastAsia" w:cstheme="minorBidi"/>
      <w:b/>
      <w:bCs/>
      <w:sz w:val="24"/>
      <w:szCs w:val="24"/>
    </w:rPr>
  </w:style>
  <w:style w:type="character" w:customStyle="1" w:styleId="108">
    <w:name w:val="批注主题字符1"/>
    <w:basedOn w:val="106"/>
    <w:semiHidden/>
    <w:qFormat/>
    <w:uiPriority w:val="99"/>
    <w:rPr>
      <w:rFonts w:asciiTheme="minorHAnsi" w:hAnsiTheme="minorHAnsi" w:eastAsiaTheme="minorEastAsia" w:cstheme="minorBidi"/>
      <w:b/>
      <w:bCs/>
      <w:sz w:val="24"/>
      <w:szCs w:val="24"/>
    </w:rPr>
  </w:style>
  <w:style w:type="paragraph" w:customStyle="1" w:styleId="109">
    <w:name w:val="Char Char Char Char"/>
    <w:basedOn w:val="1"/>
    <w:qFormat/>
    <w:uiPriority w:val="0"/>
    <w:rPr>
      <w:rFonts w:ascii="Times New Roman" w:hAnsi="Times New Roman" w:eastAsia="宋体" w:cs="Times New Roman"/>
      <w:szCs w:val="24"/>
    </w:rPr>
  </w:style>
  <w:style w:type="character" w:customStyle="1" w:styleId="110">
    <w:name w:val="正文文本 字符"/>
    <w:basedOn w:val="52"/>
    <w:link w:val="16"/>
    <w:qFormat/>
    <w:uiPriority w:val="0"/>
    <w:rPr>
      <w:rFonts w:ascii="Times New Roman" w:hAnsi="Times New Roman" w:eastAsia="宋体" w:cs="Times New Roman"/>
      <w:sz w:val="24"/>
      <w:szCs w:val="24"/>
      <w:lang w:val="en-US" w:eastAsia="zh-CN" w:bidi="ar-SA"/>
    </w:rPr>
  </w:style>
  <w:style w:type="character" w:customStyle="1" w:styleId="111">
    <w:name w:val="正文文本首行缩进 字符1"/>
    <w:basedOn w:val="110"/>
    <w:semiHidden/>
    <w:qFormat/>
    <w:uiPriority w:val="99"/>
    <w:rPr>
      <w:rFonts w:asciiTheme="minorHAnsi" w:hAnsiTheme="minorHAnsi" w:eastAsiaTheme="minorEastAsia" w:cstheme="minorBidi"/>
      <w:sz w:val="24"/>
      <w:szCs w:val="24"/>
    </w:rPr>
  </w:style>
  <w:style w:type="character" w:customStyle="1" w:styleId="112">
    <w:name w:val="正文首行缩进字符1"/>
    <w:basedOn w:val="110"/>
    <w:semiHidden/>
    <w:qFormat/>
    <w:uiPriority w:val="99"/>
    <w:rPr>
      <w:rFonts w:asciiTheme="minorHAnsi" w:hAnsiTheme="minorHAnsi" w:eastAsiaTheme="minorEastAsia" w:cstheme="minorBidi"/>
      <w:sz w:val="24"/>
      <w:szCs w:val="24"/>
    </w:rPr>
  </w:style>
  <w:style w:type="character" w:customStyle="1" w:styleId="113">
    <w:name w:val="正文文本缩进 3 字符1"/>
    <w:basedOn w:val="52"/>
    <w:semiHidden/>
    <w:qFormat/>
    <w:uiPriority w:val="99"/>
    <w:rPr>
      <w:rFonts w:asciiTheme="minorHAnsi" w:hAnsiTheme="minorHAnsi" w:eastAsiaTheme="minorEastAsia" w:cstheme="minorBidi"/>
      <w:sz w:val="16"/>
      <w:szCs w:val="16"/>
      <w:lang w:val="en-US" w:eastAsia="zh-CN" w:bidi="ar-SA"/>
    </w:rPr>
  </w:style>
  <w:style w:type="character" w:customStyle="1" w:styleId="114">
    <w:name w:val="正文文本缩进 3字符1"/>
    <w:basedOn w:val="52"/>
    <w:semiHidden/>
    <w:qFormat/>
    <w:uiPriority w:val="99"/>
    <w:rPr>
      <w:rFonts w:asciiTheme="minorHAnsi" w:hAnsiTheme="minorHAnsi" w:eastAsiaTheme="minorEastAsia" w:cstheme="minorBidi"/>
      <w:sz w:val="16"/>
      <w:szCs w:val="16"/>
      <w:lang w:val="en-US" w:eastAsia="zh-CN" w:bidi="ar-SA"/>
    </w:rPr>
  </w:style>
  <w:style w:type="paragraph" w:customStyle="1" w:styleId="115">
    <w:name w:val="p0"/>
    <w:basedOn w:val="1"/>
    <w:qFormat/>
    <w:uiPriority w:val="0"/>
    <w:pPr>
      <w:widowControl/>
    </w:pPr>
    <w:rPr>
      <w:rFonts w:ascii="Times New Roman" w:hAnsi="Times New Roman" w:eastAsia="宋体" w:cs="Times New Roman"/>
      <w:kern w:val="0"/>
      <w:szCs w:val="21"/>
    </w:rPr>
  </w:style>
  <w:style w:type="character" w:customStyle="1" w:styleId="116">
    <w:name w:val="文档结构图 字符1"/>
    <w:basedOn w:val="52"/>
    <w:semiHidden/>
    <w:qFormat/>
    <w:uiPriority w:val="99"/>
    <w:rPr>
      <w:rFonts w:ascii="Microsoft YaHei UI" w:eastAsia="Microsoft YaHei UI" w:hAnsiTheme="minorHAnsi" w:cstheme="minorBidi"/>
      <w:sz w:val="18"/>
      <w:szCs w:val="18"/>
      <w:lang w:val="en-US" w:eastAsia="zh-CN" w:bidi="ar-SA"/>
    </w:rPr>
  </w:style>
  <w:style w:type="character" w:customStyle="1" w:styleId="117">
    <w:name w:val="正文文本 3 字符1"/>
    <w:basedOn w:val="52"/>
    <w:semiHidden/>
    <w:qFormat/>
    <w:uiPriority w:val="99"/>
    <w:rPr>
      <w:rFonts w:asciiTheme="minorHAnsi" w:hAnsiTheme="minorHAnsi" w:eastAsiaTheme="minorEastAsia" w:cstheme="minorBidi"/>
      <w:sz w:val="16"/>
      <w:szCs w:val="16"/>
      <w:lang w:val="en-US" w:eastAsia="zh-CN" w:bidi="ar-SA"/>
    </w:rPr>
  </w:style>
  <w:style w:type="character" w:customStyle="1" w:styleId="118">
    <w:name w:val="正文文本 3字符1"/>
    <w:basedOn w:val="52"/>
    <w:semiHidden/>
    <w:qFormat/>
    <w:uiPriority w:val="99"/>
    <w:rPr>
      <w:rFonts w:asciiTheme="minorHAnsi" w:hAnsiTheme="minorHAnsi" w:eastAsiaTheme="minorEastAsia" w:cstheme="minorBidi"/>
      <w:sz w:val="16"/>
      <w:szCs w:val="16"/>
      <w:lang w:val="en-US" w:eastAsia="zh-CN" w:bidi="ar-SA"/>
    </w:rPr>
  </w:style>
  <w:style w:type="character" w:customStyle="1" w:styleId="119">
    <w:name w:val="正文文本缩进 字符1"/>
    <w:basedOn w:val="52"/>
    <w:semiHidden/>
    <w:qFormat/>
    <w:uiPriority w:val="99"/>
    <w:rPr>
      <w:rFonts w:asciiTheme="minorHAnsi" w:hAnsiTheme="minorHAnsi" w:eastAsiaTheme="minorEastAsia" w:cstheme="minorBidi"/>
      <w:lang w:val="en-US" w:eastAsia="zh-CN" w:bidi="ar-SA"/>
    </w:rPr>
  </w:style>
  <w:style w:type="character" w:customStyle="1" w:styleId="120">
    <w:name w:val="正文文本缩进字符1"/>
    <w:basedOn w:val="52"/>
    <w:semiHidden/>
    <w:qFormat/>
    <w:uiPriority w:val="99"/>
    <w:rPr>
      <w:rFonts w:asciiTheme="minorHAnsi" w:hAnsiTheme="minorHAnsi" w:eastAsiaTheme="minorEastAsia" w:cstheme="minorBidi"/>
      <w:lang w:val="en-US" w:eastAsia="zh-CN" w:bidi="ar-SA"/>
    </w:rPr>
  </w:style>
  <w:style w:type="character" w:customStyle="1" w:styleId="121">
    <w:name w:val="正文文本缩进 2 字符1"/>
    <w:basedOn w:val="52"/>
    <w:semiHidden/>
    <w:qFormat/>
    <w:uiPriority w:val="99"/>
    <w:rPr>
      <w:rFonts w:asciiTheme="minorHAnsi" w:hAnsiTheme="minorHAnsi" w:eastAsiaTheme="minorEastAsia" w:cstheme="minorBidi"/>
      <w:lang w:val="en-US" w:eastAsia="zh-CN" w:bidi="ar-SA"/>
    </w:rPr>
  </w:style>
  <w:style w:type="character" w:customStyle="1" w:styleId="122">
    <w:name w:val="正文文本缩进 2字符1"/>
    <w:basedOn w:val="52"/>
    <w:semiHidden/>
    <w:qFormat/>
    <w:uiPriority w:val="99"/>
    <w:rPr>
      <w:rFonts w:asciiTheme="minorHAnsi" w:hAnsiTheme="minorHAnsi" w:eastAsiaTheme="minorEastAsia" w:cstheme="minorBidi"/>
      <w:lang w:val="en-US" w:eastAsia="zh-CN" w:bidi="ar-SA"/>
    </w:rPr>
  </w:style>
  <w:style w:type="paragraph" w:customStyle="1" w:styleId="123">
    <w:name w:val="Legal 3"/>
    <w:basedOn w:val="124"/>
    <w:next w:val="124"/>
    <w:qFormat/>
    <w:uiPriority w:val="0"/>
    <w:pPr>
      <w:spacing w:after="120"/>
    </w:pPr>
    <w:rPr>
      <w:rFonts w:cs="Times New Roman"/>
      <w:color w:val="auto"/>
    </w:rPr>
  </w:style>
  <w:style w:type="paragraph" w:customStyle="1" w:styleId="1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25">
    <w:name w:val="页脚字符1"/>
    <w:basedOn w:val="52"/>
    <w:semiHidden/>
    <w:qFormat/>
    <w:uiPriority w:val="99"/>
    <w:rPr>
      <w:rFonts w:asciiTheme="minorHAnsi" w:hAnsiTheme="minorHAnsi" w:eastAsiaTheme="minorEastAsia" w:cstheme="minorBidi"/>
      <w:sz w:val="18"/>
      <w:szCs w:val="18"/>
      <w:lang w:val="en-US" w:eastAsia="zh-CN" w:bidi="ar-SA"/>
    </w:rPr>
  </w:style>
  <w:style w:type="character" w:customStyle="1" w:styleId="126">
    <w:name w:val="正文文本首行缩进 2 字符1"/>
    <w:basedOn w:val="119"/>
    <w:semiHidden/>
    <w:qFormat/>
    <w:uiPriority w:val="99"/>
    <w:rPr>
      <w:rFonts w:asciiTheme="minorHAnsi" w:hAnsiTheme="minorHAnsi" w:eastAsiaTheme="minorEastAsia" w:cstheme="minorBidi"/>
    </w:rPr>
  </w:style>
  <w:style w:type="character" w:customStyle="1" w:styleId="127">
    <w:name w:val="正文首行缩进 2字符1"/>
    <w:basedOn w:val="120"/>
    <w:semiHidden/>
    <w:qFormat/>
    <w:uiPriority w:val="99"/>
    <w:rPr>
      <w:rFonts w:asciiTheme="minorHAnsi" w:hAnsiTheme="minorHAnsi" w:eastAsiaTheme="minorEastAsia" w:cstheme="minorBidi"/>
    </w:rPr>
  </w:style>
  <w:style w:type="character" w:customStyle="1" w:styleId="128">
    <w:name w:val="页眉字符1"/>
    <w:basedOn w:val="52"/>
    <w:semiHidden/>
    <w:qFormat/>
    <w:uiPriority w:val="99"/>
    <w:rPr>
      <w:rFonts w:asciiTheme="minorHAnsi" w:hAnsiTheme="minorHAnsi" w:eastAsiaTheme="minorEastAsia" w:cstheme="minorBidi"/>
      <w:sz w:val="18"/>
      <w:szCs w:val="18"/>
      <w:lang w:val="en-US" w:eastAsia="zh-CN" w:bidi="ar-SA"/>
    </w:rPr>
  </w:style>
  <w:style w:type="character" w:customStyle="1" w:styleId="129">
    <w:name w:val="正文文本 2 字符1"/>
    <w:basedOn w:val="52"/>
    <w:semiHidden/>
    <w:qFormat/>
    <w:uiPriority w:val="99"/>
    <w:rPr>
      <w:rFonts w:asciiTheme="minorHAnsi" w:hAnsiTheme="minorHAnsi" w:eastAsiaTheme="minorEastAsia" w:cstheme="minorBidi"/>
      <w:lang w:val="en-US" w:eastAsia="zh-CN" w:bidi="ar-SA"/>
    </w:rPr>
  </w:style>
  <w:style w:type="character" w:customStyle="1" w:styleId="130">
    <w:name w:val="正文文本 2字符1"/>
    <w:basedOn w:val="52"/>
    <w:semiHidden/>
    <w:qFormat/>
    <w:uiPriority w:val="99"/>
    <w:rPr>
      <w:rFonts w:asciiTheme="minorHAnsi" w:hAnsiTheme="minorHAnsi" w:eastAsiaTheme="minorEastAsia" w:cstheme="minorBidi"/>
      <w:lang w:val="en-US" w:eastAsia="zh-CN" w:bidi="ar-SA"/>
    </w:rPr>
  </w:style>
  <w:style w:type="character" w:customStyle="1" w:styleId="131">
    <w:name w:val="标题 字符1"/>
    <w:basedOn w:val="52"/>
    <w:qFormat/>
    <w:uiPriority w:val="10"/>
    <w:rPr>
      <w:rFonts w:asciiTheme="majorHAnsi" w:hAnsiTheme="majorHAnsi" w:eastAsiaTheme="majorEastAsia" w:cstheme="majorBidi"/>
      <w:b/>
      <w:bCs/>
      <w:sz w:val="32"/>
      <w:szCs w:val="32"/>
      <w:lang w:val="en-US" w:eastAsia="zh-CN" w:bidi="ar-SA"/>
    </w:rPr>
  </w:style>
  <w:style w:type="character" w:customStyle="1" w:styleId="132">
    <w:name w:val="标题字符1"/>
    <w:basedOn w:val="52"/>
    <w:qFormat/>
    <w:uiPriority w:val="10"/>
    <w:rPr>
      <w:rFonts w:eastAsia="宋体" w:asciiTheme="majorHAnsi" w:hAnsiTheme="majorHAnsi" w:cstheme="majorBidi"/>
      <w:b/>
      <w:bCs/>
      <w:sz w:val="32"/>
      <w:szCs w:val="32"/>
      <w:lang w:val="en-US" w:eastAsia="zh-CN" w:bidi="ar-SA"/>
    </w:rPr>
  </w:style>
  <w:style w:type="paragraph" w:customStyle="1" w:styleId="133">
    <w:name w:val="列出段落1"/>
    <w:basedOn w:val="1"/>
    <w:unhideWhenUsed/>
    <w:qFormat/>
    <w:uiPriority w:val="99"/>
    <w:pPr>
      <w:ind w:firstLine="420" w:firstLineChars="200"/>
    </w:pPr>
    <w:rPr>
      <w:rFonts w:ascii="Calibri" w:hAnsi="Calibri" w:eastAsia="宋体" w:cs="Times New Roman"/>
    </w:rPr>
  </w:style>
  <w:style w:type="paragraph" w:customStyle="1" w:styleId="134">
    <w:name w:val="图表标题"/>
    <w:basedOn w:val="1"/>
    <w:next w:val="16"/>
    <w:qFormat/>
    <w:uiPriority w:val="0"/>
    <w:rPr>
      <w:rFonts w:ascii="Times New Roman" w:hAnsi="Times New Roman" w:eastAsia="宋体" w:cs="Times New Roman"/>
      <w:sz w:val="30"/>
      <w:szCs w:val="20"/>
    </w:rPr>
  </w:style>
  <w:style w:type="paragraph" w:customStyle="1" w:styleId="135">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36">
    <w:name w:val="Char"/>
    <w:basedOn w:val="1"/>
    <w:qFormat/>
    <w:uiPriority w:val="0"/>
    <w:rPr>
      <w:rFonts w:ascii="仿宋_GB2312" w:hAnsi="Times New Roman" w:eastAsia="仿宋_GB2312" w:cs="Times New Roman"/>
      <w:b/>
      <w:sz w:val="32"/>
      <w:szCs w:val="32"/>
    </w:rPr>
  </w:style>
  <w:style w:type="paragraph" w:customStyle="1" w:styleId="137">
    <w:name w:val="Char4 Char Char Char"/>
    <w:basedOn w:val="22"/>
    <w:qFormat/>
    <w:uiPriority w:val="0"/>
    <w:rPr>
      <w:rFonts w:ascii="Tahoma" w:hAnsi="Tahoma"/>
      <w:sz w:val="24"/>
    </w:rPr>
  </w:style>
  <w:style w:type="paragraph" w:customStyle="1" w:styleId="138">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39">
    <w:name w:val="Char Char Char"/>
    <w:basedOn w:val="1"/>
    <w:qFormat/>
    <w:uiPriority w:val="0"/>
    <w:pPr>
      <w:ind w:firstLine="360" w:firstLineChars="150"/>
    </w:pPr>
    <w:rPr>
      <w:rFonts w:ascii="Tahoma" w:hAnsi="Tahoma" w:eastAsia="宋体" w:cs="Times New Roman"/>
      <w:sz w:val="24"/>
      <w:szCs w:val="20"/>
    </w:rPr>
  </w:style>
  <w:style w:type="paragraph" w:customStyle="1" w:styleId="140">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41">
    <w:name w:val="legal 2"/>
    <w:basedOn w:val="124"/>
    <w:next w:val="124"/>
    <w:qFormat/>
    <w:uiPriority w:val="0"/>
    <w:pPr>
      <w:spacing w:after="120"/>
    </w:pPr>
    <w:rPr>
      <w:rFonts w:cs="Times New Roman"/>
      <w:color w:val="auto"/>
    </w:rPr>
  </w:style>
  <w:style w:type="paragraph" w:customStyle="1" w:styleId="142">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43">
    <w:name w:val="Legal 5"/>
    <w:basedOn w:val="124"/>
    <w:next w:val="124"/>
    <w:qFormat/>
    <w:uiPriority w:val="0"/>
    <w:pPr>
      <w:spacing w:after="120"/>
    </w:pPr>
    <w:rPr>
      <w:rFonts w:cs="Times New Roman"/>
      <w:color w:val="auto"/>
    </w:rPr>
  </w:style>
  <w:style w:type="paragraph" w:customStyle="1" w:styleId="14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5">
    <w:name w:val="Legal 4"/>
    <w:basedOn w:val="124"/>
    <w:next w:val="124"/>
    <w:qFormat/>
    <w:uiPriority w:val="0"/>
    <w:pPr>
      <w:spacing w:after="120"/>
    </w:pPr>
    <w:rPr>
      <w:rFonts w:cs="Times New Roman"/>
      <w:color w:val="auto"/>
    </w:rPr>
  </w:style>
  <w:style w:type="paragraph" w:customStyle="1" w:styleId="146">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7">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48">
    <w:name w:val="1"/>
    <w:basedOn w:val="1"/>
    <w:qFormat/>
    <w:uiPriority w:val="0"/>
    <w:rPr>
      <w:rFonts w:ascii="仿宋_GB2312" w:hAnsi="Times New Roman" w:eastAsia="仿宋_GB2312" w:cs="Times New Roman"/>
      <w:b/>
      <w:sz w:val="32"/>
      <w:szCs w:val="32"/>
    </w:rPr>
  </w:style>
  <w:style w:type="paragraph" w:customStyle="1" w:styleId="149">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0">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51">
    <w:name w:val="列出段落2"/>
    <w:basedOn w:val="1"/>
    <w:qFormat/>
    <w:uiPriority w:val="34"/>
    <w:pPr>
      <w:ind w:firstLine="420" w:firstLineChars="200"/>
    </w:pPr>
    <w:rPr>
      <w:sz w:val="24"/>
      <w:szCs w:val="24"/>
    </w:rPr>
  </w:style>
  <w:style w:type="paragraph" w:customStyle="1" w:styleId="152">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153">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154">
    <w:name w:val="修订1"/>
    <w:hidden/>
    <w:semiHidden/>
    <w:qFormat/>
    <w:uiPriority w:val="99"/>
    <w:rPr>
      <w:rFonts w:asciiTheme="minorHAnsi" w:hAnsiTheme="minorHAnsi" w:eastAsiaTheme="minorEastAsia" w:cstheme="minorBidi"/>
      <w:kern w:val="2"/>
      <w:sz w:val="24"/>
      <w:szCs w:val="24"/>
      <w:lang w:val="en-US" w:eastAsia="zh-CN" w:bidi="ar-SA"/>
    </w:rPr>
  </w:style>
  <w:style w:type="paragraph" w:customStyle="1" w:styleId="155">
    <w:name w:val="列出段落21"/>
    <w:basedOn w:val="1"/>
    <w:qFormat/>
    <w:uiPriority w:val="34"/>
    <w:pPr>
      <w:ind w:firstLine="420" w:firstLineChars="200"/>
    </w:pPr>
    <w:rPr>
      <w:rFonts w:ascii="Times New Roman" w:hAnsi="Times New Roman" w:eastAsia="宋体"/>
      <w:sz w:val="24"/>
      <w:szCs w:val="24"/>
    </w:rPr>
  </w:style>
  <w:style w:type="character" w:customStyle="1" w:styleId="156">
    <w:name w:val="fontstyle01"/>
    <w:basedOn w:val="52"/>
    <w:qFormat/>
    <w:uiPriority w:val="0"/>
    <w:rPr>
      <w:rFonts w:ascii="黑体" w:hAnsi="宋体" w:eastAsia="黑体" w:cs="黑体"/>
      <w:color w:val="000000"/>
      <w:sz w:val="24"/>
      <w:szCs w:val="24"/>
      <w:lang w:val="en-US" w:eastAsia="zh-CN" w:bidi="ar-SA"/>
    </w:rPr>
  </w:style>
  <w:style w:type="character" w:customStyle="1" w:styleId="157">
    <w:name w:val="fontstyle21"/>
    <w:basedOn w:val="52"/>
    <w:qFormat/>
    <w:uiPriority w:val="0"/>
    <w:rPr>
      <w:rFonts w:ascii="仿宋_GB2312" w:hAnsi="仿宋_GB2312" w:eastAsia="仿宋_GB2312" w:cs="仿宋_GB2312"/>
      <w:color w:val="000000"/>
      <w:sz w:val="24"/>
      <w:szCs w:val="24"/>
      <w:lang w:val="en-US" w:eastAsia="zh-CN" w:bidi="ar-SA"/>
    </w:rPr>
  </w:style>
  <w:style w:type="character" w:customStyle="1" w:styleId="158">
    <w:name w:val="fontstyle31"/>
    <w:basedOn w:val="52"/>
    <w:qFormat/>
    <w:uiPriority w:val="0"/>
    <w:rPr>
      <w:rFonts w:ascii="TimesNewRomanPSMT" w:hAnsi="TimesNewRomanPSMT" w:eastAsia="TimesNewRomanPSMT" w:cs="TimesNewRomanPSMT"/>
      <w:color w:val="000000"/>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hia</Company>
  <Pages>69</Pages>
  <Words>7221</Words>
  <Characters>41164</Characters>
  <Lines>343</Lines>
  <Paragraphs>96</Paragraphs>
  <TotalTime>0</TotalTime>
  <ScaleCrop>false</ScaleCrop>
  <LinksUpToDate>false</LinksUpToDate>
  <CharactersWithSpaces>48289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2018-06-07T09:07:00Z</dcterms:created>
  <dc:creator>张治</dc:creator>
  <cp:lastModifiedBy>zbzx-jsx</cp:lastModifiedBy>
  <dcterms:modified xsi:type="dcterms:W3CDTF">2019-09-10T05:57:59Z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