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eastAsia="黑体" w:cs="Calibri"/>
          <w:b/>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eastAsia="黑体" w:cs="Calibri"/>
          <w:b/>
          <w:sz w:val="44"/>
          <w:szCs w:val="44"/>
        </w:rPr>
      </w:pPr>
      <w:r>
        <w:rPr>
          <w:rFonts w:hint="eastAsia" w:eastAsia="黑体" w:cs="Calibri"/>
          <w:b/>
          <w:sz w:val="44"/>
          <w:szCs w:val="44"/>
        </w:rPr>
        <w:t>杭州萧山国际机场T1、T2、T3航站楼标识提升优化方案设计项目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0" w:name="_Toc349011855"/>
      <w:bookmarkStart w:id="1" w:name="_Toc349007685"/>
      <w:bookmarkStart w:id="2" w:name="_Toc386359390"/>
      <w:bookmarkStart w:id="3" w:name="_Toc386363314"/>
      <w:r>
        <w:rPr>
          <w:rFonts w:hint="eastAsia" w:ascii="Calibri" w:cs="Calibri"/>
          <w:b/>
          <w:color w:val="000000"/>
          <w:sz w:val="44"/>
        </w:rPr>
        <w:t xml:space="preserve"> </w:t>
      </w:r>
    </w:p>
    <w:p>
      <w:pPr>
        <w:pStyle w:val="9"/>
        <w:rPr>
          <w:rFonts w:ascii="Calibri" w:hAnsi="Calibri" w:cs="Calibri"/>
          <w:b/>
          <w:color w:val="000000"/>
          <w:sz w:val="44"/>
        </w:rPr>
      </w:pPr>
      <w:bookmarkStart w:id="4" w:name="_Toc444811406"/>
      <w:bookmarkStart w:id="5" w:name="_Toc448002981"/>
      <w:bookmarkStart w:id="6" w:name="_Toc444173456"/>
      <w:bookmarkStart w:id="7" w:name="_Toc444174976"/>
      <w:bookmarkStart w:id="8"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9"/>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3"/>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3"/>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3"/>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3"/>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3"/>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3"/>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9" w:name="_Toc24932"/>
      <w:bookmarkStart w:id="10" w:name="_Toc7641"/>
      <w:bookmarkStart w:id="11" w:name="_Toc8110"/>
      <w:bookmarkStart w:id="12" w:name="_Toc24784"/>
      <w:bookmarkStart w:id="13" w:name="_Toc14628"/>
      <w:bookmarkStart w:id="14" w:name="_Toc18642"/>
      <w:bookmarkStart w:id="15" w:name="_Toc22293"/>
      <w:bookmarkStart w:id="16" w:name="_Toc6581"/>
      <w:bookmarkStart w:id="17" w:name="_Toc6832"/>
      <w:bookmarkStart w:id="18" w:name="_Toc448002982"/>
      <w:bookmarkStart w:id="19" w:name="_Toc248766631"/>
      <w:bookmarkStart w:id="20" w:name="_Toc249322950"/>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bookmarkStart w:id="21" w:name="OLE_LINK1"/>
      <w:bookmarkStart w:id="117"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T1、T2、T3航站楼标识提升优化方案设计</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本项目具体要求详见第三章“服务技术标准及要求”。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括标志标牌设计或广告设计等相关内容。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3）近年（201  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4）近五年（自2014年1月1日起至投标截止日）投标人须具备类似项目业绩：①指面积20万平方米（含）以上同类项目（如机场、港口、汽车站、火车站等大型交通枢纽）建筑的标识系统设计业绩；②具有50万元（含）以上VI视觉识别系统设计类的业绩（①②满足一项即可），须提供中标通知书或合同关键页(封面页、金额页、签字盖章页)复印件并加盖投标人公章作为证明材料。符合①的投标人，若中标通知书或合同关键页无法体现面积参数的，须额外提供业主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前送至杭州萧山国际机场翔越路综合服务楼园区招标中心，逾期无效；若采用投递（邮寄）方式的，请于</w:t>
      </w:r>
      <w:bookmarkStart w:id="22" w:name="OLE_LINK2"/>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bookmarkEnd w:id="22"/>
      <w:r>
        <w:rPr>
          <w:rFonts w:hint="eastAsia" w:ascii="宋体" w:hAnsi="宋体" w:cs="Arial"/>
          <w:kern w:val="0"/>
          <w:sz w:val="22"/>
        </w:rPr>
        <w:t>（北京时间）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招标监督人：阮周长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bookmarkEnd w:id="21"/>
    </w:p>
    <w:bookmarkEnd w:id="117"/>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3"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19"/>
      <w:bookmarkEnd w:id="20"/>
      <w:bookmarkEnd w:id="23"/>
      <w:bookmarkStart w:id="24" w:name="_Toc143421654"/>
    </w:p>
    <w:p>
      <w:pPr>
        <w:pStyle w:val="15"/>
        <w:jc w:val="center"/>
        <w:rPr>
          <w:rFonts w:ascii="Calibri" w:hAnsi="Calibri" w:eastAsia="黑体" w:cs="Calibri"/>
          <w:kern w:val="2"/>
          <w:sz w:val="28"/>
          <w:szCs w:val="32"/>
        </w:rPr>
      </w:pPr>
      <w:bookmarkStart w:id="25" w:name="_Toc386363317"/>
      <w:bookmarkStart w:id="26" w:name="_Toc400369185"/>
      <w:bookmarkStart w:id="27" w:name="_Toc448002984"/>
      <w:bookmarkStart w:id="28" w:name="_Toc444174979"/>
      <w:bookmarkStart w:id="29" w:name="_Toc444173459"/>
      <w:bookmarkStart w:id="30" w:name="_Toc11881"/>
      <w:bookmarkStart w:id="31" w:name="_Toc386359393"/>
      <w:bookmarkStart w:id="32" w:name="_Toc444811409"/>
      <w:bookmarkStart w:id="33" w:name="_Toc349007688"/>
      <w:bookmarkStart w:id="34" w:name="_Toc349011858"/>
      <w:r>
        <w:rPr>
          <w:rFonts w:ascii="Calibri" w:hAnsi="Arial" w:eastAsia="黑体" w:cs="Calibri"/>
          <w:kern w:val="2"/>
          <w:sz w:val="28"/>
          <w:szCs w:val="32"/>
        </w:rPr>
        <w:t>投标人须知前附表</w:t>
      </w:r>
      <w:bookmarkEnd w:id="24"/>
      <w:bookmarkEnd w:id="25"/>
      <w:bookmarkEnd w:id="26"/>
      <w:bookmarkEnd w:id="27"/>
      <w:bookmarkEnd w:id="28"/>
      <w:bookmarkEnd w:id="29"/>
      <w:bookmarkEnd w:id="30"/>
      <w:bookmarkEnd w:id="31"/>
      <w:bookmarkEnd w:id="32"/>
      <w:bookmarkEnd w:id="33"/>
      <w:bookmarkEnd w:id="34"/>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杭州萧山国际机场T1、T2、T3航站楼标识提升优化方案设计项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1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60</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民航</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6；传真：0571-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10</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8</w:t>
            </w:r>
            <w:r>
              <w:rPr>
                <w:rFonts w:hint="eastAsia"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eastAsia="zh-CN"/>
              </w:rPr>
              <w:t>下午</w:t>
            </w:r>
            <w:r>
              <w:rPr>
                <w:rFonts w:hint="eastAsia" w:cs="Calibri" w:asciiTheme="minorEastAsia" w:hAnsiTheme="minorEastAsia" w:eastAsiaTheme="minorEastAsia"/>
                <w:b/>
                <w:kern w:val="0"/>
                <w:sz w:val="22"/>
                <w:lang w:val="en-US" w:eastAsia="zh-CN"/>
              </w:rPr>
              <w:t>14</w:t>
            </w:r>
            <w:r>
              <w:rPr>
                <w:rFonts w:hint="eastAsia" w:cs="Calibri" w:asciiTheme="minorEastAsia" w:hAnsiTheme="minorEastAsia" w:eastAsiaTheme="minorEastAsia"/>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5" w:name="_Toc236586447"/>
            <w:bookmarkStart w:id="36"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5"/>
            <w:bookmarkEnd w:id="3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贰</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杭州萧山国际机场T1、T2、T3航站楼标识提升优化方案设计</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10</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8</w:t>
            </w:r>
            <w:r>
              <w:rPr>
                <w:rFonts w:hint="eastAsia" w:cs="Calibri" w:asciiTheme="minorEastAsia" w:hAnsiTheme="minorEastAsia" w:eastAsiaTheme="minorEastAsia"/>
                <w:kern w:val="0"/>
                <w:sz w:val="22"/>
                <w:u w:val="single"/>
              </w:rPr>
              <w:t>日</w:t>
            </w:r>
            <w:r>
              <w:rPr>
                <w:rFonts w:hint="eastAsia" w:cs="Calibri" w:asciiTheme="minorEastAsia" w:hAnsiTheme="minorEastAsia" w:eastAsiaTheme="minorEastAsia"/>
                <w:kern w:val="0"/>
                <w:sz w:val="22"/>
                <w:u w:val="single"/>
                <w:lang w:eastAsia="zh-CN"/>
              </w:rPr>
              <w:t>下午</w:t>
            </w:r>
            <w:r>
              <w:rPr>
                <w:rFonts w:hint="eastAsia" w:cs="Calibri" w:asciiTheme="minorEastAsia" w:hAnsiTheme="minorEastAsia" w:eastAsiaTheme="minorEastAsia"/>
                <w:kern w:val="0"/>
                <w:sz w:val="22"/>
                <w:u w:val="single"/>
                <w:lang w:val="en-US" w:eastAsia="zh-CN"/>
              </w:rPr>
              <w:t>14</w:t>
            </w:r>
            <w:r>
              <w:rPr>
                <w:rFonts w:hint="eastAsia" w:cs="Calibri" w:asciiTheme="minorEastAsia" w:hAnsiTheme="minorEastAsia" w:eastAsiaTheme="minorEastAsia"/>
                <w:kern w:val="0"/>
                <w:sz w:val="22"/>
                <w:u w:val="single"/>
              </w:rPr>
              <w:t>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10"/>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10"/>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7" w:name="_Toc143421656"/>
      <w:bookmarkStart w:id="38"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7"/>
      <w:bookmarkEnd w:id="3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39" w:name="_Toc26216"/>
      <w:r>
        <w:rPr>
          <w:rFonts w:cs="Calibri" w:asciiTheme="minorEastAsia" w:hAnsiTheme="minorEastAsia" w:eastAsiaTheme="minorEastAsia"/>
          <w:b/>
          <w:bCs/>
          <w:kern w:val="0"/>
          <w:sz w:val="22"/>
        </w:rPr>
        <w:t>1.1 项目</w:t>
      </w:r>
      <w:bookmarkEnd w:id="39"/>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1"/>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6"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143421657"/>
      <w:bookmarkStart w:id="51" w:name="_Toc15241"/>
      <w:r>
        <w:rPr>
          <w:rFonts w:cs="Calibri" w:asciiTheme="minorEastAsia" w:hAnsiTheme="minorEastAsia" w:eastAsiaTheme="minorEastAsia"/>
          <w:b/>
          <w:bCs/>
          <w:kern w:val="0"/>
          <w:sz w:val="22"/>
        </w:rPr>
        <w:t>2.招标文件</w:t>
      </w:r>
      <w:bookmarkEnd w:id="50"/>
      <w:bookmarkEnd w:id="5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2" w:name="_Toc1426"/>
      <w:r>
        <w:rPr>
          <w:rFonts w:cs="Calibri" w:asciiTheme="minorEastAsia" w:hAnsiTheme="minorEastAsia" w:eastAsiaTheme="minorEastAsia"/>
          <w:b/>
          <w:bCs/>
          <w:kern w:val="0"/>
          <w:sz w:val="22"/>
        </w:rPr>
        <w:t>2.1 招标文件的组成</w:t>
      </w:r>
      <w:bookmarkEnd w:id="5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8230"/>
      <w:r>
        <w:rPr>
          <w:rFonts w:cs="Calibri" w:asciiTheme="minorEastAsia" w:hAnsiTheme="minorEastAsia" w:eastAsiaTheme="minorEastAsia"/>
          <w:b/>
          <w:bCs/>
          <w:kern w:val="0"/>
          <w:sz w:val="22"/>
        </w:rPr>
        <w:t>2.2 招标文件的澄清</w:t>
      </w:r>
      <w:bookmarkEnd w:id="53"/>
    </w:p>
    <w:p>
      <w:pPr>
        <w:adjustRightInd w:val="0"/>
        <w:snapToGrid w:val="0"/>
        <w:spacing w:line="360" w:lineRule="exact"/>
        <w:ind w:firstLine="440"/>
        <w:rPr>
          <w:rFonts w:cs="Calibri" w:asciiTheme="minorEastAsia" w:hAnsiTheme="minorEastAsia"/>
          <w:color w:val="000000"/>
          <w:sz w:val="22"/>
        </w:rPr>
      </w:pPr>
      <w:bookmarkStart w:id="54"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143421658"/>
      <w:bookmarkStart w:id="56" w:name="_Toc18870"/>
      <w:r>
        <w:rPr>
          <w:rFonts w:cs="Calibri" w:asciiTheme="minorEastAsia" w:hAnsiTheme="minorEastAsia" w:eastAsiaTheme="minorEastAsia"/>
          <w:b/>
          <w:bCs/>
          <w:kern w:val="0"/>
          <w:sz w:val="22"/>
        </w:rPr>
        <w:t>3.投标文件</w:t>
      </w:r>
      <w:bookmarkEnd w:id="55"/>
      <w:bookmarkEnd w:id="5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7" w:name="_Toc461"/>
      <w:r>
        <w:rPr>
          <w:rFonts w:cs="Calibri" w:asciiTheme="minorEastAsia" w:hAnsiTheme="minorEastAsia" w:eastAsiaTheme="minorEastAsia"/>
          <w:b/>
          <w:bCs/>
          <w:kern w:val="0"/>
          <w:sz w:val="22"/>
        </w:rPr>
        <w:t>3.1 投标文件的语言和计量单位</w:t>
      </w:r>
      <w:bookmarkEnd w:id="5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411"/>
      <w:r>
        <w:rPr>
          <w:rFonts w:cs="Calibri" w:asciiTheme="minorEastAsia" w:hAnsiTheme="minorEastAsia" w:eastAsiaTheme="minorEastAsia"/>
          <w:b/>
          <w:bCs/>
          <w:kern w:val="0"/>
          <w:sz w:val="22"/>
        </w:rPr>
        <w:t>3.2 投标文件的组成</w:t>
      </w:r>
      <w:bookmarkEnd w:id="58"/>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9"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五年（自2014年1月1日起至投标截止日）投标人须具备类似项目业绩：①指面积20万平方米（含）以上同类项目（如机场、港口、汽车站、火车站等大型交通枢纽）建筑的标识系统设计业绩；②具有50万元（含）以上VI视觉识别系统设计类的业绩（①②满足一项即可），须提供中标通知书或合同关键页(封面页、金额页、签字盖章页)复印件并加盖投标人公章作为证明材料。符合①的投标人，若中标通知书或合同关键页无法体现面积参数的，须额外提供业主证明。</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T1、T2、T3航站区标识系统问题分析和整改建议；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T1、T2、T3航站区服务方案及承诺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项目负责人综合素质能力：项目负责人在2016年1月1日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提供团队人员在</w:t>
      </w:r>
      <w:r>
        <w:rPr>
          <w:rFonts w:hint="eastAsia" w:asciiTheme="minorEastAsia" w:hAnsiTheme="minorEastAsia" w:eastAsiaTheme="minorEastAsia" w:cstheme="minorEastAsia"/>
          <w:sz w:val="22"/>
        </w:rPr>
        <w:t>2016年1月1日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，参与过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①单体面积20万平方米（含）以上同类项目（如机场、港口、汽车站、火车站等大型交通枢纽）建筑的标识系统设计经验；②50万元（含）以上VI视觉识别系统设计类的经验（①②满足一项即可），须提供团队人员</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59"/>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0"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30464"/>
      <w:r>
        <w:rPr>
          <w:rFonts w:cs="Calibri" w:asciiTheme="minorEastAsia" w:hAnsiTheme="minorEastAsia" w:eastAsiaTheme="minorEastAsia"/>
          <w:b/>
          <w:bCs/>
          <w:kern w:val="0"/>
          <w:sz w:val="22"/>
        </w:rPr>
        <w:t>3.5 投标保证金</w:t>
      </w:r>
      <w:bookmarkEnd w:id="61"/>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2"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3"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32652"/>
      <w:r>
        <w:rPr>
          <w:rFonts w:cs="Calibri" w:asciiTheme="minorEastAsia" w:hAnsiTheme="minorEastAsia" w:eastAsiaTheme="minorEastAsia"/>
          <w:b/>
          <w:bCs/>
          <w:kern w:val="0"/>
          <w:sz w:val="22"/>
        </w:rPr>
        <w:t>4.投标</w:t>
      </w:r>
      <w:bookmarkEnd w:id="63"/>
      <w:bookmarkEnd w:id="6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649"/>
      <w:r>
        <w:rPr>
          <w:rFonts w:cs="Calibri" w:asciiTheme="minorEastAsia" w:hAnsiTheme="minorEastAsia" w:eastAsiaTheme="minorEastAsia"/>
          <w:b/>
          <w:bCs/>
          <w:kern w:val="0"/>
          <w:sz w:val="22"/>
        </w:rPr>
        <w:t>4.1 投标文件的密封和标识</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16616"/>
      <w:r>
        <w:rPr>
          <w:rFonts w:cs="Calibri" w:asciiTheme="minorEastAsia" w:hAnsiTheme="minorEastAsia" w:eastAsiaTheme="minorEastAsia"/>
          <w:b/>
          <w:bCs/>
          <w:kern w:val="0"/>
          <w:sz w:val="22"/>
        </w:rPr>
        <w:t xml:space="preserve">4.2 投标文件的递交 </w:t>
      </w:r>
      <w:bookmarkEnd w:id="66"/>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26099"/>
      <w:r>
        <w:rPr>
          <w:rFonts w:cs="Calibri" w:asciiTheme="minorEastAsia" w:hAnsiTheme="minorEastAsia" w:eastAsiaTheme="minorEastAsia"/>
          <w:b/>
          <w:bCs/>
          <w:kern w:val="0"/>
          <w:sz w:val="22"/>
        </w:rPr>
        <w:t>4.3 投标文件的修改和撤回</w:t>
      </w:r>
      <w:bookmarkEnd w:id="6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9641"/>
      <w:r>
        <w:rPr>
          <w:rFonts w:cs="Calibri" w:asciiTheme="minorEastAsia" w:hAnsiTheme="minorEastAsia" w:eastAsiaTheme="minorEastAsia"/>
          <w:b/>
          <w:bCs/>
          <w:kern w:val="0"/>
          <w:sz w:val="22"/>
        </w:rPr>
        <w:t>5.开标</w:t>
      </w:r>
      <w:bookmarkEnd w:id="6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5123"/>
      <w:r>
        <w:rPr>
          <w:rFonts w:cs="Calibri" w:asciiTheme="minorEastAsia" w:hAnsiTheme="minorEastAsia" w:eastAsiaTheme="minorEastAsia"/>
          <w:b/>
          <w:bCs/>
          <w:kern w:val="0"/>
          <w:sz w:val="22"/>
        </w:rPr>
        <w:t>5.1 开标时间和地点</w:t>
      </w:r>
      <w:bookmarkEnd w:id="6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0"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31578"/>
      <w:r>
        <w:rPr>
          <w:rFonts w:cs="Calibri" w:asciiTheme="minorEastAsia" w:hAnsiTheme="minorEastAsia" w:eastAsiaTheme="minorEastAsia"/>
          <w:b/>
          <w:bCs/>
          <w:kern w:val="0"/>
          <w:sz w:val="22"/>
        </w:rPr>
        <w:t>6.评标</w:t>
      </w:r>
      <w:bookmarkEnd w:id="7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0279"/>
      <w:r>
        <w:rPr>
          <w:rFonts w:cs="Calibri" w:asciiTheme="minorEastAsia" w:hAnsiTheme="minorEastAsia" w:eastAsiaTheme="minorEastAsia"/>
          <w:b/>
          <w:bCs/>
          <w:kern w:val="0"/>
          <w:sz w:val="22"/>
        </w:rPr>
        <w:t>6.1 评标委员会</w:t>
      </w:r>
      <w:bookmarkEnd w:id="7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3460"/>
      <w:r>
        <w:rPr>
          <w:rFonts w:cs="Calibri" w:asciiTheme="minorEastAsia" w:hAnsiTheme="minorEastAsia" w:eastAsiaTheme="minorEastAsia"/>
          <w:b/>
          <w:bCs/>
          <w:kern w:val="0"/>
          <w:sz w:val="22"/>
        </w:rPr>
        <w:t>6.2 评标原则</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28178"/>
      <w:r>
        <w:rPr>
          <w:rFonts w:cs="Calibri" w:asciiTheme="minorEastAsia" w:hAnsiTheme="minorEastAsia" w:eastAsiaTheme="minorEastAsia"/>
          <w:b/>
          <w:bCs/>
          <w:kern w:val="0"/>
          <w:sz w:val="22"/>
        </w:rPr>
        <w:t>6.3 评标</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4237"/>
      <w:r>
        <w:rPr>
          <w:rFonts w:cs="Calibri" w:asciiTheme="minorEastAsia" w:hAnsiTheme="minorEastAsia" w:eastAsiaTheme="minorEastAsia"/>
          <w:b/>
          <w:bCs/>
          <w:kern w:val="0"/>
          <w:sz w:val="22"/>
        </w:rPr>
        <w:t>7.合同授予</w:t>
      </w:r>
      <w:bookmarkEnd w:id="7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18809"/>
      <w:r>
        <w:rPr>
          <w:rFonts w:cs="Calibri" w:asciiTheme="minorEastAsia" w:hAnsiTheme="minorEastAsia" w:eastAsiaTheme="minorEastAsia"/>
          <w:b/>
          <w:bCs/>
          <w:kern w:val="0"/>
          <w:sz w:val="22"/>
        </w:rPr>
        <w:t>7.1 定标方式</w:t>
      </w:r>
      <w:bookmarkEnd w:id="7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4573"/>
      <w:r>
        <w:rPr>
          <w:rFonts w:cs="Calibri" w:asciiTheme="minorEastAsia" w:hAnsiTheme="minorEastAsia" w:eastAsiaTheme="minorEastAsia"/>
          <w:b/>
          <w:bCs/>
          <w:kern w:val="0"/>
          <w:sz w:val="22"/>
        </w:rPr>
        <w:t>7.2 中标通知</w:t>
      </w:r>
      <w:bookmarkEnd w:id="7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27132"/>
      <w:bookmarkStart w:id="79"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8"/>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7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0" w:name="_Toc11806"/>
      <w:bookmarkStart w:id="81" w:name="_Toc219809801"/>
      <w:bookmarkStart w:id="82"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highlight w:val="yellow"/>
        </w:rPr>
      </w:pPr>
      <w:r>
        <w:rPr>
          <w:rFonts w:hint="eastAsia" w:cs="Calibri" w:asciiTheme="minorEastAsia" w:hAnsiTheme="minorEastAsia" w:eastAsiaTheme="minorEastAsia"/>
          <w:color w:val="000000"/>
          <w:kern w:val="0"/>
          <w:sz w:val="22"/>
          <w:highlight w:val="yellow"/>
        </w:rPr>
        <w:t xml:space="preserve">7.4.3 </w:t>
      </w:r>
      <w:r>
        <w:rPr>
          <w:rFonts w:hint="eastAsia" w:cs="Calibri" w:asciiTheme="minorEastAsia" w:hAnsiTheme="minorEastAsia" w:eastAsiaTheme="minorEastAsia"/>
          <w:b/>
          <w:color w:val="000000"/>
          <w:kern w:val="0"/>
          <w:sz w:val="22"/>
          <w:highlight w:val="yellow"/>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0"/>
      <w:bookmarkEnd w:id="81"/>
      <w:bookmarkEnd w:id="8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3" w:name="_Toc15553"/>
      <w:bookmarkStart w:id="84" w:name="_Toc220123242"/>
      <w:bookmarkStart w:id="85" w:name="_Toc219809802"/>
      <w:r>
        <w:rPr>
          <w:rFonts w:cs="Calibri" w:asciiTheme="minorEastAsia" w:hAnsiTheme="minorEastAsia" w:eastAsiaTheme="minorEastAsia"/>
          <w:b/>
          <w:bCs/>
          <w:kern w:val="0"/>
          <w:sz w:val="22"/>
        </w:rPr>
        <w:t>8.1 重新招标</w:t>
      </w:r>
      <w:bookmarkEnd w:id="83"/>
      <w:bookmarkEnd w:id="84"/>
      <w:bookmarkEnd w:id="8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18806"/>
      <w:bookmarkStart w:id="87" w:name="_Toc219809803"/>
      <w:bookmarkStart w:id="88" w:name="_Toc220123243"/>
      <w:r>
        <w:rPr>
          <w:rFonts w:cs="Calibri" w:asciiTheme="minorEastAsia" w:hAnsiTheme="minorEastAsia" w:eastAsiaTheme="minorEastAsia"/>
          <w:b/>
          <w:bCs/>
          <w:kern w:val="0"/>
          <w:sz w:val="22"/>
        </w:rPr>
        <w:t>8.2 不再招标</w:t>
      </w:r>
      <w:bookmarkEnd w:id="86"/>
      <w:bookmarkEnd w:id="87"/>
      <w:bookmarkEnd w:id="8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986"/>
      <w:bookmarkStart w:id="90" w:name="_Toc220123244"/>
      <w:bookmarkStart w:id="91" w:name="_Toc219809804"/>
      <w:bookmarkStart w:id="92" w:name="_Toc215941254"/>
      <w:r>
        <w:rPr>
          <w:rFonts w:cs="Calibri" w:asciiTheme="minorEastAsia" w:hAnsiTheme="minorEastAsia" w:eastAsiaTheme="minorEastAsia"/>
          <w:b/>
          <w:bCs/>
          <w:kern w:val="0"/>
          <w:sz w:val="22"/>
        </w:rPr>
        <w:t>9.纪律和监督</w:t>
      </w:r>
      <w:bookmarkEnd w:id="89"/>
      <w:bookmarkEnd w:id="90"/>
      <w:bookmarkEnd w:id="91"/>
      <w:bookmarkEnd w:id="9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3" w:name="_Toc5509"/>
      <w:bookmarkStart w:id="94" w:name="_Toc220123245"/>
      <w:bookmarkStart w:id="95" w:name="_Toc219809805"/>
      <w:r>
        <w:rPr>
          <w:rFonts w:cs="Calibri" w:asciiTheme="minorEastAsia" w:hAnsiTheme="minorEastAsia" w:eastAsiaTheme="minorEastAsia"/>
          <w:b/>
          <w:bCs/>
          <w:kern w:val="0"/>
          <w:sz w:val="22"/>
        </w:rPr>
        <w:t>9.1 对招标人的纪律要求</w:t>
      </w:r>
      <w:bookmarkEnd w:id="93"/>
      <w:bookmarkEnd w:id="94"/>
      <w:bookmarkEnd w:id="9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10820"/>
      <w:bookmarkStart w:id="97" w:name="_Toc220123246"/>
      <w:bookmarkStart w:id="98" w:name="_Toc219809806"/>
      <w:r>
        <w:rPr>
          <w:rFonts w:cs="Calibri" w:asciiTheme="minorEastAsia" w:hAnsiTheme="minorEastAsia" w:eastAsiaTheme="minorEastAsia"/>
          <w:b/>
          <w:bCs/>
          <w:kern w:val="0"/>
          <w:sz w:val="22"/>
        </w:rPr>
        <w:t>9.2 对投标人的纪律要求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219809807"/>
      <w:bookmarkStart w:id="100" w:name="_Toc10756"/>
      <w:bookmarkStart w:id="101" w:name="_Toc220123247"/>
      <w:r>
        <w:rPr>
          <w:rFonts w:cs="Calibri" w:asciiTheme="minorEastAsia" w:hAnsiTheme="minorEastAsia" w:eastAsiaTheme="minorEastAsia"/>
          <w:b/>
          <w:bCs/>
          <w:kern w:val="0"/>
          <w:sz w:val="22"/>
        </w:rPr>
        <w:t>9.3 对评标委员会成员的纪律要求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8"/>
      <w:bookmarkStart w:id="103" w:name="_Toc220123248"/>
      <w:bookmarkStart w:id="104" w:name="_Toc12792"/>
      <w:r>
        <w:rPr>
          <w:rFonts w:cs="Calibri" w:asciiTheme="minorEastAsia" w:hAnsiTheme="minorEastAsia" w:eastAsiaTheme="minorEastAsia"/>
          <w:b/>
          <w:bCs/>
          <w:kern w:val="0"/>
          <w:sz w:val="22"/>
        </w:rPr>
        <w:t>9.4 对评标活动有关的工作人员的纪律要求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19809809"/>
      <w:bookmarkStart w:id="106" w:name="_Toc220123249"/>
      <w:bookmarkStart w:id="107" w:name="_Toc239"/>
      <w:r>
        <w:rPr>
          <w:rFonts w:cs="Calibri" w:asciiTheme="minorEastAsia" w:hAnsiTheme="minorEastAsia" w:eastAsiaTheme="minorEastAsia"/>
          <w:b/>
          <w:bCs/>
          <w:kern w:val="0"/>
          <w:sz w:val="22"/>
        </w:rPr>
        <w:t>9.5 投诉</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10817"/>
      <w:r>
        <w:rPr>
          <w:rFonts w:cs="Calibri" w:asciiTheme="minorEastAsia" w:hAnsiTheme="minorEastAsia" w:eastAsiaTheme="minorEastAsia"/>
          <w:b/>
          <w:bCs/>
          <w:kern w:val="0"/>
          <w:sz w:val="22"/>
        </w:rPr>
        <w:t>10. 需要补充的其他内容</w:t>
      </w:r>
      <w:bookmarkEnd w:id="108"/>
    </w:p>
    <w:p>
      <w:pPr>
        <w:autoSpaceDE w:val="0"/>
        <w:autoSpaceDN w:val="0"/>
        <w:adjustRightInd w:val="0"/>
        <w:ind w:firstLine="440" w:firstLineChars="200"/>
        <w:jc w:val="left"/>
        <w:rPr>
          <w:rFonts w:asciiTheme="minorEastAsia" w:hAnsiTheme="minorEastAsia" w:eastAsiaTheme="minorEastAsia"/>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cs="Calibri" w:asciiTheme="minorEastAsia" w:hAnsiTheme="minorEastAsia" w:eastAsiaTheme="minorEastAsia"/>
          <w:color w:val="000000"/>
          <w:sz w:val="22"/>
        </w:rPr>
        <w:t>需要补充的其他内容：见投标人须知前附表</w:t>
      </w:r>
    </w:p>
    <w:p>
      <w:pPr>
        <w:pStyle w:val="2"/>
        <w:spacing w:before="0" w:after="0" w:line="360" w:lineRule="auto"/>
        <w:jc w:val="center"/>
        <w:rPr>
          <w:rFonts w:ascii="Calibri" w:hAnsi="Calibri" w:eastAsia="黑体" w:cs="Calibri"/>
          <w:kern w:val="0"/>
          <w:sz w:val="32"/>
        </w:rPr>
      </w:pPr>
      <w:bookmarkStart w:id="109" w:name="_Toc213036227"/>
      <w:bookmarkStart w:id="110" w:name="_Toc223327527"/>
      <w:bookmarkStart w:id="111"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9"/>
      <w:bookmarkEnd w:id="110"/>
      <w:r>
        <w:rPr>
          <w:rFonts w:hint="eastAsia" w:ascii="Calibri" w:hAnsi="Calibri" w:eastAsia="黑体" w:cs="Calibri"/>
          <w:kern w:val="0"/>
          <w:sz w:val="32"/>
        </w:rPr>
        <w:t>服务技术标准及要求</w:t>
      </w:r>
      <w:bookmarkEnd w:id="111"/>
    </w:p>
    <w:p>
      <w:pPr>
        <w:spacing w:line="48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杭州萧山国际机场T1、T2、T3航站楼标识提升优化方案设计项目工作要求</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本次招标项目工作内容主要包括杭州萧山国际机场T1、T2、T3航站楼公共标识系统的改造升级方案并制订设计规范。</w:t>
      </w:r>
    </w:p>
    <w:p>
      <w:pPr>
        <w:spacing w:line="48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杭州萧山国际机场T1、T2、T3航站楼航站楼公共标识系统改造并</w:t>
      </w:r>
      <w:r>
        <w:rPr>
          <w:rFonts w:hint="eastAsia" w:ascii="宋体" w:hAnsi="宋体" w:cs="宋体"/>
          <w:b/>
          <w:bCs/>
          <w:color w:val="000000" w:themeColor="text1"/>
          <w:kern w:val="0"/>
          <w:szCs w:val="21"/>
          <w14:textFill>
            <w14:solidFill>
              <w14:schemeClr w14:val="tx1"/>
            </w14:solidFill>
          </w14:textFill>
        </w:rPr>
        <w:t>提档升级的设计内容：</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1.T1、T2、T3航站楼标识优化设计方案</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（1）现有、新增流程和功能标识布点、内容、材质、类型、安装方式等的踏勘原始文件；</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（2）在现有设计基础上，结合环境氛围，对T1、T2、T3标识系统上述组成元素（不仅限于）进行增补和完善优化设计；</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（3）改进T1、T2、T3现有标识系统现状，使T1、T2、T3标识系统更加简约、清晰、统一、规范，以满足旅客需求；</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（4）根据流程对标识整改方案及原标识结构进行整体规划，后根据整体规划，对T1、T2、T3航站楼标识进行逐一设计；</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对现有流程和功能标识进行整体优化设计，最后形成两套改进方案（可编辑PDF版本），第一套本着节约原则，在现有标牌建议变更时，尽量进行利用，采取更换灯箱、灯箱片或灯箱膜，增加照度等形式进行优化设计；第二套方案全部推翻原有设计，进行全新的整体设计，最终成果以通过甲方评审为准。</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（6）项目组成员全程参与项目各项工作，开展不少于5次的实地调研工作，接到中标通知书10日后提交工作计划。根据甲方安排，承担各阶段的项目成果汇报并根据甲方要求进行方案完善。</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2.规范性文件（标识视觉标准规范手册）</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（1）将改造升级后的标识系统规范编辑成标识视觉标准规范手册，手册布点、内容、材质、类型、安装方式等相关标识系统组成元素。</w:t>
      </w:r>
    </w:p>
    <w:p>
      <w:pPr>
        <w:spacing w:line="48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（2）本套标识规范应充分考虑到后期新建航站楼标识的实用性及可延续性。</w:t>
      </w:r>
    </w:p>
    <w:p>
      <w:pPr>
        <w:widowControl/>
        <w:ind w:firstLine="420" w:firstLineChars="200"/>
        <w:jc w:val="left"/>
        <w:rPr>
          <w:rFonts w:eastAsia="黑体" w:cs="Calibri"/>
          <w:b/>
          <w:bCs/>
          <w:kern w:val="0"/>
          <w:sz w:val="32"/>
          <w:szCs w:val="44"/>
        </w:rPr>
      </w:pPr>
      <w:r>
        <w:rPr>
          <w:rFonts w:hint="eastAsia" w:ascii="宋体" w:hAnsi="宋体" w:cs="宋体"/>
          <w:color w:val="000000" w:themeColor="text1"/>
          <w:szCs w:val="21"/>
          <w14:textFill>
            <w14:solidFill>
              <w14:schemeClr w14:val="tx1"/>
            </w14:solidFill>
          </w14:textFill>
        </w:rPr>
        <w:t>3.后期配合标识制作厂家进行设计微调，并提供咨询及打样审核服务，为期5年。</w:t>
      </w: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2"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2"/>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eastAsia="黑体" w:cs="Calibri"/>
          <w:b/>
          <w:bCs/>
          <w:kern w:val="0"/>
          <w:sz w:val="32"/>
          <w:szCs w:val="44"/>
        </w:rPr>
      </w:pPr>
      <w:r>
        <w:rPr>
          <w:rFonts w:hint="eastAsia" w:eastAsia="黑体" w:cs="Calibri"/>
          <w:b/>
          <w:bCs/>
          <w:kern w:val="0"/>
          <w:sz w:val="32"/>
          <w:szCs w:val="44"/>
        </w:rPr>
        <w:t>技术服务合同</w:t>
      </w: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jc w:val="center"/>
        <w:rPr>
          <w:rFonts w:ascii="仿宋_GB2312" w:eastAsia="仿宋_GB2312"/>
          <w:sz w:val="28"/>
          <w:szCs w:val="28"/>
        </w:rPr>
      </w:pPr>
    </w:p>
    <w:p>
      <w:pPr>
        <w:spacing w:line="560" w:lineRule="exact"/>
        <w:rPr>
          <w:rFonts w:ascii="仿宋_GB2312" w:hAnsi="宋体" w:eastAsia="仿宋_GB2312"/>
          <w:sz w:val="28"/>
          <w:szCs w:val="28"/>
          <w:u w:val="single"/>
        </w:rPr>
      </w:pPr>
      <w:r>
        <w:rPr>
          <w:rFonts w:hint="eastAsia" w:ascii="仿宋_GB2312" w:eastAsia="仿宋_GB2312"/>
          <w:sz w:val="28"/>
          <w:szCs w:val="28"/>
        </w:rPr>
        <w:t xml:space="preserve">    </w:t>
      </w:r>
      <w:r>
        <w:rPr>
          <w:rFonts w:hint="eastAsia" w:ascii="仿宋_GB2312" w:hAnsi="宋体" w:eastAsia="仿宋_GB2312"/>
          <w:sz w:val="28"/>
          <w:szCs w:val="28"/>
        </w:rPr>
        <w:t xml:space="preserve">  项目名称：</w:t>
      </w:r>
      <w:r>
        <w:rPr>
          <w:rFonts w:hint="eastAsia" w:ascii="仿宋_GB2312" w:hAnsi="宋体" w:eastAsia="仿宋_GB2312"/>
          <w:sz w:val="28"/>
          <w:szCs w:val="28"/>
          <w:u w:val="single"/>
        </w:rPr>
        <w:t xml:space="preserve"> 杭州萧山国际机场T1、T2、T3航站楼标识提升优化方案设计项目</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委 托 方：</w:t>
      </w:r>
      <w:r>
        <w:rPr>
          <w:rFonts w:hint="eastAsia" w:ascii="仿宋_GB2312" w:hAnsi="宋体" w:eastAsia="仿宋_GB2312"/>
          <w:sz w:val="28"/>
          <w:szCs w:val="28"/>
          <w:u w:val="single"/>
        </w:rPr>
        <w:t xml:space="preserve"> 杭州萧山国际机场有限公司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（甲 方） </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受 托 方：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（乙 方）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签订时间：</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签订地点：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有效期限：</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jc w:val="center"/>
        <w:rPr>
          <w:rFonts w:ascii="仿宋_GB2312" w:eastAsia="仿宋_GB2312"/>
          <w:sz w:val="28"/>
          <w:szCs w:val="28"/>
        </w:rPr>
      </w:pPr>
      <w:r>
        <w:rPr>
          <w:rFonts w:hint="eastAsia" w:ascii="仿宋_GB2312" w:eastAsia="仿宋_GB2312"/>
          <w:sz w:val="28"/>
          <w:szCs w:val="28"/>
        </w:rPr>
        <w:t>技术服务合同</w:t>
      </w:r>
    </w:p>
    <w:p>
      <w:pPr>
        <w:spacing w:line="560" w:lineRule="exact"/>
        <w:jc w:val="center"/>
        <w:rPr>
          <w:rFonts w:ascii="仿宋_GB2312" w:eastAsia="仿宋_GB2312"/>
          <w:sz w:val="28"/>
          <w:szCs w:val="28"/>
        </w:rPr>
      </w:pPr>
    </w:p>
    <w:p>
      <w:pPr>
        <w:spacing w:line="560" w:lineRule="exact"/>
        <w:ind w:left="1"/>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委托方（甲方）：</w:t>
      </w:r>
      <w:r>
        <w:rPr>
          <w:rFonts w:hint="eastAsia" w:ascii="仿宋_GB2312" w:eastAsia="仿宋_GB2312"/>
          <w:sz w:val="28"/>
          <w:szCs w:val="28"/>
          <w:u w:val="single"/>
        </w:rPr>
        <w:t xml:space="preserve">  杭州萧山国际机场有限公司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住  所  地：</w:t>
      </w:r>
      <w:r>
        <w:rPr>
          <w:rFonts w:hint="eastAsia" w:ascii="仿宋_GB2312" w:eastAsia="仿宋_GB2312"/>
          <w:sz w:val="28"/>
          <w:szCs w:val="28"/>
          <w:u w:val="single"/>
        </w:rPr>
        <w:t xml:space="preserve">     杭州萧山国际机场内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法定代表人：</w:t>
      </w:r>
      <w:r>
        <w:rPr>
          <w:rFonts w:hint="eastAsia" w:ascii="仿宋_GB2312" w:eastAsia="仿宋_GB2312"/>
          <w:sz w:val="28"/>
          <w:szCs w:val="28"/>
          <w:u w:val="single"/>
        </w:rPr>
        <w:t xml:space="preserve">                                     __</w:t>
      </w:r>
    </w:p>
    <w:p>
      <w:pPr>
        <w:tabs>
          <w:tab w:val="left" w:pos="1050"/>
        </w:tabs>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__</w:t>
      </w:r>
    </w:p>
    <w:p>
      <w:pPr>
        <w:spacing w:line="560" w:lineRule="exact"/>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_____</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_</w:t>
      </w:r>
    </w:p>
    <w:p>
      <w:pPr>
        <w:spacing w:line="560" w:lineRule="exact"/>
        <w:rPr>
          <w:rFonts w:ascii="仿宋_GB2312" w:eastAsia="仿宋_GB2312"/>
          <w:sz w:val="28"/>
          <w:szCs w:val="28"/>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_____  </w:t>
      </w:r>
      <w:r>
        <w:rPr>
          <w:rFonts w:hint="eastAsia" w:ascii="仿宋_GB2312" w:eastAsia="仿宋_GB2312"/>
          <w:sz w:val="28"/>
          <w:szCs w:val="28"/>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受托方（乙方）：</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住  所  地：</w:t>
      </w:r>
      <w:r>
        <w:rPr>
          <w:rFonts w:hint="eastAsia" w:ascii="仿宋_GB2312" w:eastAsia="仿宋_GB2312"/>
          <w:sz w:val="28"/>
          <w:szCs w:val="28"/>
          <w:u w:val="single"/>
        </w:rPr>
        <w:t xml:space="preserve">                                     _ </w:t>
      </w:r>
    </w:p>
    <w:p>
      <w:pPr>
        <w:spacing w:line="560" w:lineRule="exact"/>
        <w:rPr>
          <w:rFonts w:ascii="仿宋_GB2312" w:eastAsia="仿宋_GB2312"/>
          <w:sz w:val="28"/>
          <w:szCs w:val="28"/>
          <w:u w:val="single"/>
        </w:rPr>
      </w:pPr>
      <w:r>
        <w:rPr>
          <w:rFonts w:hint="eastAsia" w:ascii="仿宋_GB2312" w:eastAsia="仿宋_GB2312"/>
          <w:sz w:val="28"/>
          <w:szCs w:val="28"/>
        </w:rPr>
        <w:t xml:space="preserve">   法定代表人：</w:t>
      </w:r>
      <w:r>
        <w:rPr>
          <w:rFonts w:hint="eastAsia" w:ascii="仿宋_GB2312" w:eastAsia="仿宋_GB2312"/>
          <w:sz w:val="28"/>
          <w:szCs w:val="28"/>
          <w:u w:val="single"/>
        </w:rPr>
        <w:t xml:space="preserve">                                      _</w:t>
      </w:r>
    </w:p>
    <w:p>
      <w:pPr>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_</w:t>
      </w:r>
    </w:p>
    <w:p>
      <w:pPr>
        <w:spacing w:line="560" w:lineRule="exact"/>
        <w:rPr>
          <w:rFonts w:ascii="仿宋_GB2312" w:eastAsia="仿宋_GB2312"/>
          <w:sz w:val="28"/>
          <w:szCs w:val="28"/>
        </w:rPr>
      </w:pPr>
      <w:r>
        <w:rPr>
          <w:rFonts w:hint="eastAsia" w:ascii="仿宋_GB2312" w:eastAsia="仿宋_GB2312"/>
          <w:sz w:val="28"/>
          <w:szCs w:val="28"/>
        </w:rPr>
        <w:t xml:space="preserve">   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____</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w:t>
      </w:r>
    </w:p>
    <w:p>
      <w:pPr>
        <w:spacing w:line="560" w:lineRule="exact"/>
        <w:ind w:left="-260"/>
        <w:rPr>
          <w:rFonts w:ascii="仿宋_GB2312" w:eastAsia="仿宋_GB2312"/>
          <w:sz w:val="28"/>
          <w:szCs w:val="28"/>
          <w:u w:val="single"/>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w:t>
      </w:r>
      <w:r>
        <w:rPr>
          <w:rFonts w:hint="eastAsia" w:ascii="仿宋_GB2312" w:eastAsia="仿宋_GB2312"/>
          <w:sz w:val="28"/>
          <w:szCs w:val="28"/>
          <w:u w:val="single"/>
        </w:rPr>
        <w:softHyphen/>
      </w:r>
      <w:r>
        <w:rPr>
          <w:rFonts w:hint="eastAsia" w:ascii="仿宋_GB2312" w:eastAsia="仿宋_GB2312"/>
          <w:sz w:val="28"/>
          <w:szCs w:val="28"/>
          <w:u w:val="single"/>
        </w:rPr>
        <w:t>______</w:t>
      </w:r>
      <w:r>
        <w:rPr>
          <w:rFonts w:hint="eastAsia" w:ascii="仿宋_GB2312" w:eastAsia="仿宋_GB2312"/>
          <w:sz w:val="28"/>
          <w:szCs w:val="28"/>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本合同甲方委托乙方就</w:t>
      </w:r>
      <w:r>
        <w:rPr>
          <w:rFonts w:hint="eastAsia" w:ascii="仿宋_GB2312" w:eastAsia="仿宋_GB2312"/>
          <w:sz w:val="28"/>
          <w:szCs w:val="28"/>
          <w:u w:val="single"/>
        </w:rPr>
        <w:t xml:space="preserve"> 杭州萧山国际机场T1、T2、T3航站楼标识提升优化方案设计</w:t>
      </w:r>
      <w:r>
        <w:rPr>
          <w:rFonts w:hint="eastAsia" w:ascii="仿宋_GB2312" w:eastAsia="仿宋_GB2312"/>
          <w:sz w:val="28"/>
          <w:szCs w:val="28"/>
        </w:rPr>
        <w:t>项目进行的专项技术服务，并支付相应的技术服务报酬。双方经过平等协商，在真实、充分地表达各自意愿的基础上，根据《中华人民共和国合同法》的规定，达成如下协议，并由双方共同恪守。</w:t>
      </w:r>
    </w:p>
    <w:p>
      <w:pPr>
        <w:spacing w:line="560" w:lineRule="exact"/>
        <w:rPr>
          <w:rFonts w:ascii="仿宋_GB2312" w:eastAsia="仿宋_GB2312"/>
          <w:sz w:val="28"/>
          <w:szCs w:val="28"/>
        </w:rPr>
      </w:pPr>
      <w:r>
        <w:rPr>
          <w:rFonts w:hint="eastAsia" w:ascii="仿宋_GB2312" w:eastAsia="仿宋_GB2312"/>
          <w:sz w:val="28"/>
          <w:szCs w:val="28"/>
        </w:rPr>
        <w:t xml:space="preserve">    第一条：甲方委托乙方进行技术服务的内容如下：</w:t>
      </w:r>
    </w:p>
    <w:p>
      <w:pPr>
        <w:spacing w:line="560" w:lineRule="exact"/>
        <w:rPr>
          <w:rFonts w:ascii="仿宋_GB2312" w:eastAsia="仿宋_GB2312"/>
          <w:sz w:val="28"/>
          <w:szCs w:val="28"/>
        </w:rPr>
      </w:pPr>
      <w:r>
        <w:rPr>
          <w:rFonts w:hint="eastAsia" w:ascii="仿宋_GB2312" w:eastAsia="仿宋_GB2312"/>
          <w:sz w:val="28"/>
          <w:szCs w:val="28"/>
        </w:rPr>
        <w:t xml:space="preserve">      1．技术服务的目标：</w:t>
      </w:r>
      <w:r>
        <w:rPr>
          <w:rFonts w:hint="eastAsia" w:ascii="仿宋_GB2312" w:eastAsia="仿宋_GB2312"/>
          <w:sz w:val="28"/>
          <w:szCs w:val="28"/>
          <w:u w:val="single"/>
        </w:rPr>
        <w:t xml:space="preserve"> 杭州萧山国际机场T1、T2、T3航站楼公共标识系统的改造升级并制订设计规范及改造方案。 </w:t>
      </w:r>
      <w:r>
        <w:rPr>
          <w:rFonts w:hint="eastAsia" w:ascii="仿宋_GB2312" w:eastAsia="仿宋_GB2312"/>
          <w:sz w:val="28"/>
          <w:szCs w:val="28"/>
        </w:rPr>
        <w:t>。</w:t>
      </w:r>
    </w:p>
    <w:p>
      <w:pPr>
        <w:spacing w:line="480" w:lineRule="auto"/>
        <w:ind w:firstLine="566" w:firstLineChars="202"/>
        <w:rPr>
          <w:rFonts w:ascii="仿宋_GB2312" w:hAnsi="Times New Roman" w:eastAsia="仿宋_GB2312"/>
          <w:sz w:val="28"/>
          <w:szCs w:val="28"/>
          <w:u w:val="single"/>
        </w:rPr>
      </w:pPr>
      <w:r>
        <w:rPr>
          <w:rFonts w:hint="eastAsia" w:ascii="仿宋_GB2312" w:eastAsia="仿宋_GB2312"/>
          <w:sz w:val="28"/>
          <w:szCs w:val="28"/>
        </w:rPr>
        <w:t xml:space="preserve">  2．技术服务的内容：</w:t>
      </w:r>
      <w:r>
        <w:rPr>
          <w:rFonts w:hint="eastAsia" w:ascii="仿宋_GB2312" w:eastAsia="仿宋_GB2312"/>
          <w:sz w:val="28"/>
          <w:szCs w:val="28"/>
          <w:u w:val="single"/>
        </w:rPr>
        <w:t xml:space="preserve"> </w:t>
      </w:r>
      <w:r>
        <w:rPr>
          <w:rFonts w:hint="eastAsia" w:ascii="仿宋_GB2312" w:hAnsi="Times New Roman" w:eastAsia="仿宋_GB2312"/>
          <w:sz w:val="28"/>
          <w:szCs w:val="28"/>
          <w:u w:val="single"/>
        </w:rPr>
        <w:t>杭州萧山国际机场T1、T2、T3航站楼航站楼公共标识系统改造并提档升级的设计内容：</w:t>
      </w:r>
    </w:p>
    <w:p>
      <w:pPr>
        <w:spacing w:line="560" w:lineRule="exact"/>
        <w:rPr>
          <w:rFonts w:ascii="仿宋_GB2312" w:eastAsia="仿宋_GB2312"/>
          <w:sz w:val="28"/>
          <w:szCs w:val="28"/>
          <w:u w:val="single"/>
        </w:rPr>
      </w:pPr>
      <w:r>
        <w:rPr>
          <w:rFonts w:hint="eastAsia" w:ascii="仿宋_GB2312" w:eastAsia="仿宋_GB2312"/>
          <w:sz w:val="28"/>
          <w:szCs w:val="28"/>
          <w:u w:val="single"/>
        </w:rPr>
        <w:t>2.1T1、T2、T3航站楼标识优化设计方案</w:t>
      </w:r>
    </w:p>
    <w:p>
      <w:pPr>
        <w:spacing w:line="560" w:lineRule="exact"/>
        <w:rPr>
          <w:rFonts w:ascii="仿宋_GB2312" w:eastAsia="仿宋_GB2312"/>
          <w:sz w:val="28"/>
          <w:szCs w:val="28"/>
          <w:u w:val="single"/>
        </w:rPr>
      </w:pPr>
      <w:r>
        <w:rPr>
          <w:rFonts w:hint="eastAsia" w:ascii="仿宋_GB2312" w:eastAsia="仿宋_GB2312"/>
          <w:sz w:val="28"/>
          <w:szCs w:val="28"/>
          <w:u w:val="single"/>
        </w:rPr>
        <w:t>（1）现有、新增流程和功能标识布点、内容、材质、类型、安装方式等的踏勘原始文件；</w:t>
      </w:r>
    </w:p>
    <w:p>
      <w:pPr>
        <w:spacing w:line="560" w:lineRule="exact"/>
        <w:rPr>
          <w:rFonts w:ascii="仿宋_GB2312" w:eastAsia="仿宋_GB2312"/>
          <w:sz w:val="28"/>
          <w:szCs w:val="28"/>
          <w:u w:val="single"/>
        </w:rPr>
      </w:pPr>
      <w:r>
        <w:rPr>
          <w:rFonts w:hint="eastAsia" w:ascii="仿宋_GB2312" w:eastAsia="仿宋_GB2312"/>
          <w:sz w:val="28"/>
          <w:szCs w:val="28"/>
          <w:u w:val="single"/>
        </w:rPr>
        <w:t>（2）在现有设计基础上，结合环境氛围，对T1、T2、T3标识系统上述组成元素（不仅限于）进行增补和完善优化设计；</w:t>
      </w:r>
    </w:p>
    <w:p>
      <w:pPr>
        <w:spacing w:line="560" w:lineRule="exact"/>
        <w:rPr>
          <w:rFonts w:ascii="仿宋_GB2312" w:eastAsia="仿宋_GB2312"/>
          <w:sz w:val="28"/>
          <w:szCs w:val="28"/>
          <w:u w:val="single"/>
        </w:rPr>
      </w:pPr>
      <w:r>
        <w:rPr>
          <w:rFonts w:hint="eastAsia" w:ascii="仿宋_GB2312" w:eastAsia="仿宋_GB2312"/>
          <w:sz w:val="28"/>
          <w:szCs w:val="28"/>
          <w:u w:val="single"/>
        </w:rPr>
        <w:t>（3）改进T1、T2、T3现有标识系统现状，使T1、T2、T3标识系统更加简约、清晰、统一、规范，以满足旅客需求；</w:t>
      </w:r>
    </w:p>
    <w:p>
      <w:pPr>
        <w:spacing w:line="560" w:lineRule="exact"/>
        <w:rPr>
          <w:rFonts w:ascii="仿宋_GB2312" w:eastAsia="仿宋_GB2312"/>
          <w:sz w:val="28"/>
          <w:szCs w:val="28"/>
          <w:u w:val="single"/>
        </w:rPr>
      </w:pPr>
      <w:r>
        <w:rPr>
          <w:rFonts w:hint="eastAsia" w:ascii="仿宋_GB2312" w:eastAsia="仿宋_GB2312"/>
          <w:sz w:val="28"/>
          <w:szCs w:val="28"/>
          <w:u w:val="single"/>
        </w:rPr>
        <w:t>（4）根据流程对标识整改方案及原标识结构进行整体规划，后根据整体规划，对T1、T2、T3航站楼标识进行逐一设计；</w:t>
      </w:r>
    </w:p>
    <w:p>
      <w:pPr>
        <w:spacing w:line="560" w:lineRule="exact"/>
        <w:rPr>
          <w:rFonts w:ascii="仿宋_GB2312" w:eastAsia="仿宋_GB2312"/>
          <w:sz w:val="28"/>
          <w:szCs w:val="28"/>
          <w:u w:val="single"/>
        </w:rPr>
      </w:pPr>
      <w:r>
        <w:rPr>
          <w:rFonts w:hint="eastAsia" w:ascii="仿宋_GB2312" w:eastAsia="仿宋_GB2312"/>
          <w:sz w:val="28"/>
          <w:szCs w:val="28"/>
          <w:u w:val="single"/>
        </w:rPr>
        <w:t>（5）对现有流程和功能标识进行整体优化设计，最后形成两套改进方案（可编辑PDF版本），第一套本着节约原则，在现有标牌建议变更时，尽量进行利用，采取更换灯箱、灯箱片或灯箱膜，增加照度等形式进行优化设计；第二套方案全部推翻原有设计，进行全新的整体设计，最终成果以通过甲方评审为准。</w:t>
      </w:r>
    </w:p>
    <w:p>
      <w:pPr>
        <w:spacing w:line="560" w:lineRule="exact"/>
        <w:rPr>
          <w:rFonts w:ascii="仿宋_GB2312" w:eastAsia="仿宋_GB2312"/>
          <w:sz w:val="28"/>
          <w:szCs w:val="28"/>
          <w:u w:val="single"/>
        </w:rPr>
      </w:pPr>
      <w:r>
        <w:rPr>
          <w:rFonts w:hint="eastAsia" w:ascii="仿宋_GB2312" w:eastAsia="仿宋_GB2312"/>
          <w:sz w:val="28"/>
          <w:szCs w:val="28"/>
          <w:u w:val="single"/>
        </w:rPr>
        <w:t>（6）项目组成员全程参与项目各项工作，开展不少于5次的实地调研工作，接到中标通知书10日后提交工作计划。根据甲方安排，承担各阶段的项目成果汇报并根据甲方要求进行方案完善。</w:t>
      </w:r>
    </w:p>
    <w:p>
      <w:pPr>
        <w:spacing w:line="560" w:lineRule="exact"/>
        <w:rPr>
          <w:rFonts w:ascii="仿宋_GB2312" w:eastAsia="仿宋_GB2312"/>
          <w:sz w:val="28"/>
          <w:szCs w:val="28"/>
          <w:u w:val="single"/>
        </w:rPr>
      </w:pPr>
      <w:r>
        <w:rPr>
          <w:rFonts w:hint="eastAsia" w:ascii="仿宋_GB2312" w:eastAsia="仿宋_GB2312"/>
          <w:sz w:val="28"/>
          <w:szCs w:val="28"/>
          <w:u w:val="single"/>
        </w:rPr>
        <w:t>2.2规范性文件（标识视觉标准规范手册）</w:t>
      </w:r>
    </w:p>
    <w:p>
      <w:pPr>
        <w:spacing w:line="560" w:lineRule="exact"/>
        <w:rPr>
          <w:rFonts w:ascii="仿宋_GB2312" w:eastAsia="仿宋_GB2312"/>
          <w:sz w:val="28"/>
          <w:szCs w:val="28"/>
          <w:u w:val="single"/>
        </w:rPr>
      </w:pPr>
      <w:r>
        <w:rPr>
          <w:rFonts w:hint="eastAsia" w:ascii="仿宋_GB2312" w:eastAsia="仿宋_GB2312"/>
          <w:sz w:val="28"/>
          <w:szCs w:val="28"/>
          <w:u w:val="single"/>
        </w:rPr>
        <w:t>（1）将改造升级后的标识系统规范编辑成标识视觉标准规范手册，手册布点、内容、材质、类型、安装方式等相关标识系统组成元素。</w:t>
      </w:r>
    </w:p>
    <w:p>
      <w:pPr>
        <w:spacing w:line="560" w:lineRule="exact"/>
        <w:rPr>
          <w:rFonts w:ascii="仿宋_GB2312" w:eastAsia="仿宋_GB2312"/>
          <w:sz w:val="28"/>
          <w:szCs w:val="28"/>
          <w:u w:val="single"/>
        </w:rPr>
      </w:pPr>
      <w:r>
        <w:rPr>
          <w:rFonts w:hint="eastAsia" w:ascii="仿宋_GB2312" w:eastAsia="仿宋_GB2312"/>
          <w:sz w:val="28"/>
          <w:szCs w:val="28"/>
          <w:u w:val="single"/>
        </w:rPr>
        <w:t>（2）本套标识规范应充分考虑到后期新建航站楼标识的实用性及可延续性。</w:t>
      </w:r>
    </w:p>
    <w:p>
      <w:pPr>
        <w:spacing w:line="560" w:lineRule="exact"/>
        <w:rPr>
          <w:rFonts w:ascii="仿宋_GB2312" w:eastAsia="仿宋_GB2312"/>
          <w:sz w:val="28"/>
          <w:szCs w:val="28"/>
          <w:u w:val="single"/>
        </w:rPr>
      </w:pPr>
      <w:r>
        <w:rPr>
          <w:rFonts w:hint="eastAsia" w:ascii="仿宋_GB2312" w:eastAsia="仿宋_GB2312"/>
          <w:sz w:val="28"/>
          <w:szCs w:val="28"/>
          <w:u w:val="single"/>
        </w:rPr>
        <w:t>2.3后期配合标识制作厂家进行设计微调，并提供咨询及打样审核服务，为期5年。</w:t>
      </w:r>
    </w:p>
    <w:p>
      <w:pPr>
        <w:widowControl/>
        <w:spacing w:line="48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  3．技术服务的方式</w:t>
      </w:r>
      <w:r>
        <w:rPr>
          <w:rFonts w:hint="eastAsia" w:ascii="仿宋_GB2312" w:eastAsia="仿宋_GB2312"/>
          <w:sz w:val="28"/>
          <w:szCs w:val="28"/>
          <w:u w:val="single"/>
        </w:rPr>
        <w:t>：杭州萧山国际机场T1、T2、T3航站楼的一套规范化标识系统手册，能够起到日常管理、装修、制作范本作用，包括如下内容：</w:t>
      </w:r>
    </w:p>
    <w:p>
      <w:pPr>
        <w:spacing w:line="560" w:lineRule="exact"/>
        <w:rPr>
          <w:rFonts w:ascii="仿宋_GB2312" w:eastAsia="仿宋_GB2312"/>
          <w:sz w:val="28"/>
          <w:szCs w:val="28"/>
          <w:u w:val="single"/>
        </w:rPr>
      </w:pPr>
      <w:r>
        <w:rPr>
          <w:rFonts w:hint="eastAsia" w:ascii="仿宋_GB2312" w:eastAsia="仿宋_GB2312"/>
          <w:sz w:val="28"/>
          <w:szCs w:val="28"/>
          <w:u w:val="single"/>
        </w:rPr>
        <w:t>3.1 电子版规范手册源文件</w:t>
      </w:r>
    </w:p>
    <w:p>
      <w:pPr>
        <w:spacing w:line="560" w:lineRule="exact"/>
        <w:rPr>
          <w:rFonts w:ascii="仿宋_GB2312" w:eastAsia="仿宋_GB2312"/>
          <w:sz w:val="28"/>
          <w:szCs w:val="28"/>
          <w:u w:val="single"/>
        </w:rPr>
      </w:pPr>
      <w:r>
        <w:rPr>
          <w:rFonts w:hint="eastAsia" w:ascii="仿宋_GB2312" w:eastAsia="仿宋_GB2312"/>
          <w:sz w:val="28"/>
          <w:szCs w:val="28"/>
          <w:u w:val="single"/>
        </w:rPr>
        <w:t>3.2 纸质版规范手册文件（5份）</w:t>
      </w:r>
    </w:p>
    <w:p>
      <w:pPr>
        <w:spacing w:line="560" w:lineRule="exact"/>
        <w:rPr>
          <w:rFonts w:ascii="仿宋_GB2312" w:eastAsia="仿宋_GB2312"/>
          <w:sz w:val="28"/>
          <w:szCs w:val="28"/>
          <w:u w:val="single"/>
        </w:rPr>
      </w:pPr>
      <w:r>
        <w:rPr>
          <w:rFonts w:hint="eastAsia" w:ascii="仿宋_GB2312" w:eastAsia="仿宋_GB2312"/>
          <w:sz w:val="28"/>
          <w:szCs w:val="28"/>
          <w:u w:val="single"/>
        </w:rPr>
        <w:t>3.3 电子光盘（5份）</w:t>
      </w:r>
    </w:p>
    <w:p>
      <w:pPr>
        <w:spacing w:line="560" w:lineRule="exact"/>
        <w:rPr>
          <w:rFonts w:ascii="仿宋_GB2312" w:eastAsia="仿宋_GB2312"/>
          <w:sz w:val="28"/>
          <w:szCs w:val="28"/>
          <w:u w:val="single"/>
        </w:rPr>
      </w:pPr>
      <w:r>
        <w:rPr>
          <w:rFonts w:hint="eastAsia" w:ascii="仿宋_GB2312" w:eastAsia="仿宋_GB2312"/>
          <w:sz w:val="28"/>
          <w:szCs w:val="28"/>
          <w:u w:val="single"/>
        </w:rPr>
        <w:t>3.4 电子版整改方案源文件</w:t>
      </w:r>
    </w:p>
    <w:p>
      <w:pPr>
        <w:spacing w:line="560" w:lineRule="exact"/>
        <w:rPr>
          <w:rFonts w:ascii="仿宋_GB2312" w:eastAsia="仿宋_GB2312"/>
          <w:sz w:val="28"/>
          <w:szCs w:val="28"/>
          <w:u w:val="single"/>
        </w:rPr>
      </w:pPr>
      <w:r>
        <w:rPr>
          <w:rFonts w:hint="eastAsia" w:ascii="仿宋_GB2312" w:eastAsia="仿宋_GB2312"/>
          <w:sz w:val="28"/>
          <w:szCs w:val="28"/>
          <w:u w:val="single"/>
        </w:rPr>
        <w:t>3.5纸质版整改方案（5份）</w:t>
      </w:r>
    </w:p>
    <w:p>
      <w:pPr>
        <w:spacing w:line="560" w:lineRule="exact"/>
        <w:rPr>
          <w:rFonts w:ascii="仿宋_GB2312" w:eastAsia="仿宋_GB2312"/>
          <w:sz w:val="28"/>
          <w:szCs w:val="28"/>
        </w:rPr>
      </w:pPr>
      <w:r>
        <w:rPr>
          <w:rFonts w:hint="eastAsia" w:ascii="仿宋_GB2312" w:eastAsia="仿宋_GB2312"/>
          <w:sz w:val="28"/>
          <w:szCs w:val="28"/>
        </w:rPr>
        <w:t xml:space="preserve">    第二条：乙方应按下列要求完成技术服务工作：</w:t>
      </w:r>
    </w:p>
    <w:p>
      <w:pPr>
        <w:spacing w:line="560" w:lineRule="exact"/>
        <w:rPr>
          <w:rFonts w:ascii="仿宋_GB2312" w:eastAsia="仿宋_GB2312"/>
          <w:sz w:val="28"/>
          <w:szCs w:val="28"/>
          <w:u w:val="single"/>
        </w:rPr>
      </w:pPr>
      <w:r>
        <w:rPr>
          <w:rFonts w:hint="eastAsia" w:ascii="仿宋_GB2312" w:eastAsia="仿宋_GB2312"/>
          <w:sz w:val="28"/>
          <w:szCs w:val="28"/>
        </w:rPr>
        <w:t xml:space="preserve">      1．技术服务地点：</w:t>
      </w:r>
      <w:r>
        <w:rPr>
          <w:rFonts w:hint="eastAsia" w:ascii="仿宋_GB2312" w:eastAsia="仿宋_GB2312"/>
          <w:sz w:val="28"/>
          <w:szCs w:val="28"/>
          <w:u w:val="single"/>
        </w:rPr>
        <w:t>杭州萧山国际机场内</w:t>
      </w:r>
    </w:p>
    <w:p>
      <w:pPr>
        <w:spacing w:line="560" w:lineRule="exact"/>
        <w:rPr>
          <w:rFonts w:ascii="仿宋_GB2312" w:eastAsia="仿宋_GB2312"/>
          <w:sz w:val="28"/>
          <w:szCs w:val="28"/>
          <w:u w:val="single"/>
        </w:rPr>
      </w:pPr>
      <w:r>
        <w:rPr>
          <w:rFonts w:hint="eastAsia" w:ascii="仿宋_GB2312" w:eastAsia="仿宋_GB2312"/>
          <w:sz w:val="28"/>
          <w:szCs w:val="28"/>
        </w:rPr>
        <w:t xml:space="preserve">      2．技术服务期限：</w:t>
      </w:r>
      <w:r>
        <w:rPr>
          <w:rFonts w:hint="eastAsia" w:ascii="仿宋_GB2312" w:eastAsia="仿宋_GB2312"/>
          <w:sz w:val="28"/>
          <w:szCs w:val="28"/>
          <w:u w:val="single"/>
        </w:rPr>
        <w:t xml:space="preserve"> 合同签订后60日历天                     </w:t>
      </w:r>
    </w:p>
    <w:p>
      <w:pPr>
        <w:spacing w:line="560" w:lineRule="exact"/>
        <w:rPr>
          <w:rFonts w:ascii="仿宋_GB2312" w:eastAsia="仿宋_GB2312"/>
          <w:sz w:val="28"/>
          <w:szCs w:val="28"/>
          <w:u w:val="single"/>
        </w:rPr>
      </w:pPr>
      <w:r>
        <w:rPr>
          <w:rFonts w:hint="eastAsia" w:ascii="仿宋_GB2312" w:eastAsia="仿宋_GB2312"/>
          <w:sz w:val="28"/>
          <w:szCs w:val="28"/>
        </w:rPr>
        <w:t xml:space="preserve">      3．技术服务进度：</w:t>
      </w:r>
      <w:r>
        <w:rPr>
          <w:rFonts w:hint="eastAsia" w:ascii="仿宋_GB2312" w:eastAsia="仿宋_GB2312"/>
          <w:sz w:val="28"/>
          <w:szCs w:val="28"/>
          <w:u w:val="single"/>
        </w:rPr>
        <w:t>乙方应在本合同签订后，立即开始设计服务;乙方向甲方提交杭州萧山国际机场T1、T2、T3航站楼标识提升优化方案设计的工作计划；合同签订后60天内按本合同约定的内容、进度及份数向甲方交付设计资料及文件。</w:t>
      </w:r>
    </w:p>
    <w:p>
      <w:pPr>
        <w:spacing w:line="560" w:lineRule="exact"/>
        <w:rPr>
          <w:rFonts w:ascii="仿宋_GB2312" w:eastAsia="仿宋_GB2312"/>
          <w:sz w:val="28"/>
          <w:szCs w:val="28"/>
        </w:rPr>
      </w:pPr>
      <w:r>
        <w:rPr>
          <w:rFonts w:hint="eastAsia" w:ascii="仿宋_GB2312" w:eastAsia="仿宋_GB2312"/>
          <w:sz w:val="28"/>
          <w:szCs w:val="28"/>
        </w:rPr>
        <w:t xml:space="preserve">      4．技术服务质量要求：</w:t>
      </w:r>
      <w:r>
        <w:rPr>
          <w:rFonts w:hint="eastAsia" w:ascii="仿宋_GB2312" w:eastAsia="仿宋_GB2312"/>
          <w:sz w:val="28"/>
          <w:szCs w:val="28"/>
          <w:u w:val="single"/>
        </w:rPr>
        <w:t>制定杭州萧山国际机场T1、T2、T3航站楼各功能区域</w:t>
      </w:r>
      <w:r>
        <w:rPr>
          <w:rFonts w:hint="eastAsia" w:ascii="仿宋_GB2312" w:hAnsi="Times New Roman" w:eastAsia="仿宋_GB2312"/>
          <w:sz w:val="28"/>
          <w:szCs w:val="28"/>
          <w:u w:val="single"/>
        </w:rPr>
        <w:t>标识系统</w:t>
      </w:r>
      <w:r>
        <w:rPr>
          <w:rFonts w:hint="eastAsia" w:ascii="仿宋_GB2312" w:eastAsia="仿宋_GB2312"/>
          <w:sz w:val="28"/>
          <w:szCs w:val="28"/>
          <w:u w:val="single"/>
        </w:rPr>
        <w:t>规范，整体提升杭州萧山机场视觉导视系统的功能指引性及美观度。</w:t>
      </w:r>
      <w:r>
        <w:rPr>
          <w:rFonts w:hint="eastAsia" w:ascii="仿宋_GB2312" w:eastAsia="仿宋_GB2312"/>
          <w:sz w:val="28"/>
          <w:szCs w:val="28"/>
        </w:rPr>
        <w:t xml:space="preserve">      </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rPr>
        <w:t xml:space="preserve">5．技术服务质量期限要求： </w:t>
      </w:r>
      <w:r>
        <w:rPr>
          <w:rFonts w:hint="eastAsia" w:ascii="仿宋_GB2312" w:eastAsia="仿宋_GB2312"/>
          <w:sz w:val="28"/>
          <w:szCs w:val="28"/>
          <w:u w:val="single"/>
        </w:rPr>
        <w:t xml:space="preserve">合同签订后60天内完成杭州萧山国际机场T1、T2、T3航站楼标识提升优化方案设计。                           </w:t>
      </w:r>
    </w:p>
    <w:p>
      <w:pPr>
        <w:spacing w:line="560" w:lineRule="exact"/>
        <w:rPr>
          <w:rFonts w:ascii="仿宋_GB2312" w:eastAsia="仿宋_GB2312"/>
          <w:sz w:val="28"/>
          <w:szCs w:val="28"/>
        </w:rPr>
      </w:pPr>
      <w:r>
        <w:rPr>
          <w:rFonts w:hint="eastAsia" w:ascii="仿宋_GB2312" w:eastAsia="仿宋_GB2312"/>
          <w:sz w:val="28"/>
          <w:szCs w:val="28"/>
        </w:rPr>
        <w:t xml:space="preserve">    第三条：为保证乙方有效进行技术服务工作，甲方应当向乙方提供下列工作条件和协作事项：</w:t>
      </w:r>
    </w:p>
    <w:p>
      <w:pPr>
        <w:spacing w:line="560" w:lineRule="exact"/>
        <w:rPr>
          <w:rFonts w:ascii="仿宋_GB2312" w:eastAsia="仿宋_GB2312"/>
          <w:sz w:val="28"/>
          <w:szCs w:val="28"/>
          <w:u w:val="single"/>
        </w:rPr>
      </w:pPr>
      <w:r>
        <w:rPr>
          <w:rFonts w:hint="eastAsia" w:ascii="仿宋_GB2312" w:eastAsia="仿宋_GB2312"/>
          <w:sz w:val="28"/>
          <w:szCs w:val="28"/>
        </w:rPr>
        <w:t xml:space="preserve">      1．提供技术资料：</w:t>
      </w:r>
    </w:p>
    <w:p>
      <w:pPr>
        <w:spacing w:line="560" w:lineRule="exact"/>
        <w:rPr>
          <w:rFonts w:ascii="仿宋_GB2312" w:eastAsia="仿宋_GB2312"/>
          <w:sz w:val="28"/>
          <w:szCs w:val="28"/>
        </w:rPr>
      </w:pPr>
      <w:r>
        <w:rPr>
          <w:rFonts w:hint="eastAsia" w:ascii="仿宋_GB2312" w:eastAsia="仿宋_GB2312"/>
          <w:sz w:val="28"/>
          <w:szCs w:val="28"/>
        </w:rPr>
        <w:t xml:space="preserve">      （1）甲方向乙方提交机场的平面图。</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（2）甲方不得要求乙方违反国家有关标准进行设计。 </w:t>
      </w:r>
      <w:r>
        <w:rPr>
          <w:rFonts w:hint="eastAsia" w:ascii="仿宋_GB2312" w:eastAsia="仿宋_GB2312"/>
          <w:sz w:val="28"/>
          <w:szCs w:val="28"/>
          <w:u w:val="single"/>
        </w:rPr>
        <w:t xml:space="preserve">                                                </w:t>
      </w:r>
    </w:p>
    <w:p>
      <w:pPr>
        <w:spacing w:line="560" w:lineRule="exact"/>
        <w:ind w:left="840" w:hanging="840" w:hangingChars="300"/>
        <w:rPr>
          <w:rFonts w:ascii="仿宋_GB2312" w:eastAsia="仿宋_GB2312"/>
          <w:sz w:val="28"/>
          <w:szCs w:val="28"/>
          <w:u w:val="single"/>
        </w:rPr>
      </w:pPr>
      <w:r>
        <w:rPr>
          <w:rFonts w:hint="eastAsia" w:ascii="仿宋_GB2312" w:eastAsia="仿宋_GB2312"/>
          <w:sz w:val="28"/>
          <w:szCs w:val="28"/>
        </w:rPr>
        <w:t xml:space="preserve">      （3）甲方向乙方提交甲方现有标识设计所需资料及文件。</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2．提供工作条件：</w:t>
      </w:r>
    </w:p>
    <w:p>
      <w:pPr>
        <w:spacing w:line="560" w:lineRule="exact"/>
        <w:ind w:left="840" w:hanging="840" w:hangingChars="300"/>
        <w:rPr>
          <w:rFonts w:ascii="仿宋_GB2312" w:eastAsia="仿宋_GB2312"/>
          <w:sz w:val="28"/>
          <w:szCs w:val="28"/>
        </w:rPr>
      </w:pPr>
      <w:r>
        <w:rPr>
          <w:rFonts w:hint="eastAsia" w:ascii="仿宋_GB2312" w:eastAsia="仿宋_GB2312"/>
          <w:sz w:val="28"/>
          <w:szCs w:val="28"/>
        </w:rPr>
        <w:t xml:space="preserve">      （1）甲方派赴现场处理有关设计问题的乙方工作人员，提供必要的进入相关区域的方便条件。  </w:t>
      </w:r>
    </w:p>
    <w:p>
      <w:pPr>
        <w:spacing w:line="560" w:lineRule="exact"/>
        <w:ind w:left="840" w:hanging="840" w:hangingChars="300"/>
        <w:rPr>
          <w:rFonts w:ascii="仿宋_GB2312" w:eastAsia="仿宋_GB2312"/>
          <w:sz w:val="28"/>
          <w:szCs w:val="28"/>
        </w:rPr>
      </w:pPr>
      <w:r>
        <w:rPr>
          <w:rFonts w:hint="eastAsia" w:ascii="仿宋_GB2312" w:eastAsia="仿宋_GB2312"/>
          <w:sz w:val="28"/>
          <w:szCs w:val="28"/>
        </w:rPr>
        <w:t xml:space="preserve">      （2） 甲方应为派赴入驻现场相关设计的乙方工作人员，提供临时办公室。</w:t>
      </w:r>
    </w:p>
    <w:p>
      <w:pPr>
        <w:spacing w:line="560" w:lineRule="exact"/>
        <w:rPr>
          <w:rFonts w:ascii="仿宋_GB2312" w:eastAsia="仿宋_GB2312"/>
          <w:sz w:val="28"/>
          <w:szCs w:val="28"/>
        </w:rPr>
      </w:pPr>
      <w:r>
        <w:rPr>
          <w:rFonts w:hint="eastAsia" w:ascii="仿宋_GB2312" w:eastAsia="仿宋_GB2312"/>
          <w:sz w:val="28"/>
          <w:szCs w:val="28"/>
        </w:rPr>
        <w:t xml:space="preserve">      4．甲方提供上述工作条件和协作事项的时间及方式：</w:t>
      </w:r>
      <w:r>
        <w:rPr>
          <w:rFonts w:hint="eastAsia" w:ascii="仿宋_GB2312" w:eastAsia="仿宋_GB2312"/>
          <w:sz w:val="28"/>
          <w:szCs w:val="28"/>
          <w:u w:val="single"/>
        </w:rPr>
        <w:t xml:space="preserve"> 合同服务期内甲方需派遣一位负责对接此项目的人员【姓名：   身份证号：    】与乙方联系人进行及时的沟通及协助</w:t>
      </w:r>
      <w:r>
        <w:rPr>
          <w:rFonts w:hint="eastAsia" w:ascii="仿宋_GB2312" w:eastAsia="仿宋_GB2312"/>
          <w:sz w:val="28"/>
          <w:szCs w:val="28"/>
        </w:rPr>
        <w:t>。</w:t>
      </w:r>
    </w:p>
    <w:p>
      <w:pPr>
        <w:spacing w:line="560" w:lineRule="exact"/>
        <w:rPr>
          <w:rFonts w:ascii="仿宋_GB2312" w:eastAsia="仿宋_GB2312"/>
          <w:sz w:val="28"/>
          <w:szCs w:val="28"/>
        </w:rPr>
      </w:pPr>
      <w:r>
        <w:rPr>
          <w:rFonts w:hint="eastAsia" w:ascii="仿宋_GB2312" w:eastAsia="仿宋_GB2312"/>
          <w:sz w:val="28"/>
          <w:szCs w:val="28"/>
        </w:rPr>
        <w:t xml:space="preserve">    第四条：甲方向乙方支付技术服务报酬及支付方式为：</w:t>
      </w:r>
    </w:p>
    <w:p>
      <w:pPr>
        <w:tabs>
          <w:tab w:val="left" w:pos="1321"/>
        </w:tabs>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     1．本项目报酬（手册编制及整体优化设计经费）：小写：人民币    元，大写：     元整（其中：不含税金额为：     元，税额为：   元。），本合同为总价合同，包括开展项目所需的调研、资料、评审等所有费用。甲方不再向乙方支付其他任何费用。乙方开具增值税专用发票，在合同有效期限内，若因国家税收政策调整而引起的增值税税率变化的，应按照国家税收政策调整，合同总价变更为合同不含增值税咨询服务费与新增值税税率计算的合计金额。</w:t>
      </w:r>
    </w:p>
    <w:p>
      <w:pPr>
        <w:spacing w:line="560" w:lineRule="exact"/>
        <w:rPr>
          <w:rFonts w:ascii="仿宋_GB2312" w:eastAsia="仿宋_GB2312"/>
          <w:sz w:val="28"/>
          <w:szCs w:val="28"/>
        </w:rPr>
      </w:pPr>
      <w:r>
        <w:rPr>
          <w:rFonts w:hint="eastAsia" w:ascii="仿宋_GB2312" w:eastAsia="仿宋_GB2312"/>
          <w:sz w:val="28"/>
          <w:szCs w:val="28"/>
        </w:rPr>
        <w:t xml:space="preserve">     2．技术服务费由甲方</w:t>
      </w:r>
      <w:r>
        <w:rPr>
          <w:rFonts w:hint="eastAsia" w:ascii="仿宋_GB2312" w:eastAsia="仿宋_GB2312"/>
          <w:sz w:val="28"/>
          <w:szCs w:val="28"/>
          <w:u w:val="single"/>
        </w:rPr>
        <w:t xml:space="preserve">     分期     </w:t>
      </w:r>
      <w:r>
        <w:rPr>
          <w:rFonts w:hint="eastAsia" w:ascii="仿宋_GB2312" w:eastAsia="仿宋_GB2312"/>
          <w:sz w:val="28"/>
          <w:szCs w:val="28"/>
        </w:rPr>
        <w:t xml:space="preserve">（一次或分期）支付乙方。 </w:t>
      </w:r>
    </w:p>
    <w:p>
      <w:pPr>
        <w:spacing w:line="560" w:lineRule="exact"/>
        <w:rPr>
          <w:rFonts w:ascii="仿宋_GB2312" w:eastAsia="仿宋_GB2312"/>
          <w:sz w:val="28"/>
          <w:szCs w:val="28"/>
          <w:u w:val="single"/>
        </w:rPr>
      </w:pPr>
      <w:r>
        <w:rPr>
          <w:rFonts w:hint="eastAsia" w:ascii="仿宋_GB2312" w:eastAsia="仿宋_GB2312"/>
          <w:sz w:val="28"/>
          <w:szCs w:val="28"/>
        </w:rPr>
        <w:t xml:space="preserve">     具体支付方式和时间如下：</w:t>
      </w:r>
    </w:p>
    <w:p>
      <w:pPr>
        <w:spacing w:line="560" w:lineRule="exact"/>
        <w:ind w:left="840" w:hanging="840" w:hangingChars="300"/>
        <w:jc w:val="left"/>
        <w:rPr>
          <w:rFonts w:ascii="仿宋_GB2312" w:hAnsi="Times New Roman" w:eastAsia="仿宋_GB2312"/>
          <w:sz w:val="28"/>
          <w:szCs w:val="28"/>
        </w:rPr>
      </w:pPr>
      <w:r>
        <w:rPr>
          <w:rFonts w:hint="eastAsia" w:ascii="仿宋_GB2312" w:eastAsia="仿宋_GB2312"/>
          <w:sz w:val="28"/>
          <w:szCs w:val="28"/>
        </w:rPr>
        <w:t xml:space="preserve">      </w:t>
      </w:r>
      <w:r>
        <w:rPr>
          <w:rFonts w:hint="eastAsia" w:ascii="仿宋_GB2312" w:hAnsi="Times New Roman" w:eastAsia="仿宋_GB2312"/>
          <w:sz w:val="28"/>
          <w:szCs w:val="28"/>
        </w:rPr>
        <w:t>预付款（合同签署后15天内）：甲方支付给乙方合同总价的20%；</w:t>
      </w:r>
    </w:p>
    <w:p>
      <w:pPr>
        <w:spacing w:line="5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第一笔进度付款, 优化成果提交，并经过审核确认：甲方支付给乙方合同总价的50%；</w:t>
      </w:r>
    </w:p>
    <w:p>
      <w:pPr>
        <w:spacing w:line="5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最后付款,完成成果评审：甲方支付给乙方合同总价的30%。</w:t>
      </w:r>
    </w:p>
    <w:p>
      <w:pPr>
        <w:spacing w:line="560" w:lineRule="exact"/>
        <w:rPr>
          <w:rFonts w:ascii="仿宋_GB2312" w:eastAsia="仿宋_GB2312"/>
          <w:sz w:val="28"/>
          <w:szCs w:val="28"/>
          <w:u w:val="single"/>
        </w:rPr>
      </w:pPr>
    </w:p>
    <w:p>
      <w:pPr>
        <w:spacing w:line="560" w:lineRule="exact"/>
        <w:rPr>
          <w:rFonts w:ascii="仿宋_GB2312" w:eastAsia="仿宋_GB2312"/>
          <w:sz w:val="28"/>
          <w:szCs w:val="28"/>
        </w:rPr>
      </w:pPr>
      <w:r>
        <w:rPr>
          <w:rFonts w:hint="eastAsia" w:ascii="仿宋_GB2312" w:eastAsia="仿宋_GB2312"/>
          <w:sz w:val="28"/>
          <w:szCs w:val="28"/>
        </w:rPr>
        <w:t xml:space="preserve">      乙方开户银行名称、地址和帐号为：</w:t>
      </w:r>
    </w:p>
    <w:p>
      <w:pPr>
        <w:spacing w:line="560" w:lineRule="exact"/>
        <w:rPr>
          <w:rFonts w:ascii="仿宋_GB2312" w:eastAsia="仿宋_GB2312"/>
          <w:sz w:val="28"/>
          <w:szCs w:val="28"/>
          <w:u w:val="single"/>
        </w:rPr>
      </w:pPr>
      <w:r>
        <w:rPr>
          <w:rFonts w:hint="eastAsia" w:ascii="仿宋_GB2312" w:eastAsia="仿宋_GB2312"/>
          <w:sz w:val="28"/>
          <w:szCs w:val="28"/>
        </w:rPr>
        <w:t xml:space="preserve">         开户银行：</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帐号：</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第五条：履行本合同应遵守的保密义务如下：</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1、没有甲方事先书面同意，乙方不得将成果</w:t>
      </w:r>
      <w:r>
        <w:rPr>
          <w:rFonts w:hint="eastAsia" w:ascii="仿宋_GB2312" w:eastAsia="仿宋_GB2312"/>
          <w:sz w:val="28"/>
          <w:szCs w:val="28"/>
        </w:rPr>
        <w:t>文件以及涉及到本项目的所有资料提</w:t>
      </w:r>
      <w:r>
        <w:rPr>
          <w:rFonts w:hint="eastAsia" w:ascii="仿宋_GB2312" w:hAnsi="Times New Roman" w:eastAsia="仿宋_GB2312"/>
          <w:sz w:val="28"/>
          <w:szCs w:val="28"/>
        </w:rPr>
        <w:t>供给与履行本合同无关的任何人。即使向与履行本合同有关的人员提供，也必须保密并限于履行合同必须的范围。</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2、没有甲方事先书面同意，除了履行本合同之外，乙方不应使用与本项目有关的任何文件和资料。</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3、本项目所涉及的文件和资料是甲方的财产。如果甲方有要求，乙方在完成合同后应将这些文件及全部复制件还给甲方。</w:t>
      </w:r>
    </w:p>
    <w:p>
      <w:pPr>
        <w:spacing w:line="560" w:lineRule="exact"/>
        <w:rPr>
          <w:rFonts w:ascii="仿宋_GB2312" w:eastAsia="仿宋_GB2312"/>
          <w:sz w:val="28"/>
          <w:szCs w:val="28"/>
        </w:rPr>
      </w:pPr>
      <w:r>
        <w:rPr>
          <w:rFonts w:hint="eastAsia" w:ascii="仿宋_GB2312" w:hAnsi="Times New Roman" w:eastAsia="仿宋_GB2312"/>
          <w:sz w:val="28"/>
          <w:szCs w:val="28"/>
        </w:rPr>
        <w:t>4、因乙方泄密造成甲方损失的，甲方将追究其法律责任，并要求乙方赔偿损失，支付甲方违约金人民币十五万元，甲方不承担保密措施费。</w:t>
      </w:r>
      <w:r>
        <w:rPr>
          <w:rFonts w:hint="eastAsia" w:ascii="仿宋_GB2312" w:eastAsia="仿宋_GB2312"/>
          <w:sz w:val="28"/>
          <w:szCs w:val="28"/>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第六条：本合同的变更必须由双方协商一致，并以书面形式确定。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第七条：双方确定以下列标准和方式对乙方的技术服务工作成果进行验收：</w:t>
      </w:r>
    </w:p>
    <w:p>
      <w:pPr>
        <w:spacing w:line="560" w:lineRule="exact"/>
        <w:jc w:val="left"/>
        <w:rPr>
          <w:rFonts w:ascii="仿宋_GB2312" w:eastAsia="仿宋_GB2312"/>
          <w:sz w:val="28"/>
          <w:szCs w:val="28"/>
        </w:rPr>
      </w:pPr>
      <w:r>
        <w:rPr>
          <w:rFonts w:hint="eastAsia" w:ascii="仿宋_GB2312" w:eastAsia="仿宋_GB2312"/>
          <w:sz w:val="28"/>
          <w:szCs w:val="28"/>
        </w:rPr>
        <w:t xml:space="preserve">     以通过甲方评审为准。若甲方评审通过后，视为验收合格，若甲方评审不通过，视为不合格，则乙方需继续为甲方提供咨询服务，直至通过甲方的评审。</w:t>
      </w:r>
    </w:p>
    <w:p>
      <w:pPr>
        <w:spacing w:line="560" w:lineRule="exact"/>
        <w:rPr>
          <w:rFonts w:ascii="仿宋_GB2312" w:eastAsia="仿宋_GB2312"/>
          <w:sz w:val="28"/>
          <w:szCs w:val="28"/>
        </w:rPr>
      </w:pPr>
      <w:r>
        <w:rPr>
          <w:rFonts w:hint="eastAsia" w:ascii="仿宋_GB2312" w:eastAsia="仿宋_GB2312"/>
          <w:sz w:val="28"/>
          <w:szCs w:val="28"/>
        </w:rPr>
        <w:t xml:space="preserve">   第八条：双方确定：</w:t>
      </w:r>
    </w:p>
    <w:p>
      <w:pPr>
        <w:spacing w:line="560" w:lineRule="exact"/>
        <w:rPr>
          <w:rFonts w:ascii="仿宋_GB2312" w:eastAsia="仿宋_GB2312"/>
          <w:sz w:val="28"/>
          <w:szCs w:val="28"/>
        </w:rPr>
      </w:pPr>
      <w:r>
        <w:rPr>
          <w:rFonts w:hint="eastAsia" w:ascii="仿宋_GB2312" w:eastAsia="仿宋_GB2312"/>
          <w:sz w:val="28"/>
          <w:szCs w:val="28"/>
        </w:rPr>
        <w:t xml:space="preserve">      1．在本合同有效期内，甲方利用乙方提交的技术服务工作成果所完成的新的技术成果，归</w:t>
      </w:r>
      <w:r>
        <w:rPr>
          <w:rFonts w:hint="eastAsia" w:ascii="仿宋_GB2312" w:eastAsia="仿宋_GB2312"/>
          <w:sz w:val="28"/>
          <w:szCs w:val="28"/>
          <w:u w:val="single"/>
        </w:rPr>
        <w:t xml:space="preserve">   </w:t>
      </w:r>
      <w:r>
        <w:rPr>
          <w:rFonts w:hint="eastAsia" w:ascii="仿宋_GB2312" w:eastAsia="仿宋_GB2312"/>
          <w:sz w:val="28"/>
          <w:szCs w:val="28"/>
        </w:rPr>
        <w:t>甲</w:t>
      </w:r>
      <w:r>
        <w:rPr>
          <w:rFonts w:hint="eastAsia" w:ascii="仿宋_GB2312" w:eastAsia="仿宋_GB2312"/>
          <w:sz w:val="28"/>
          <w:szCs w:val="28"/>
          <w:u w:val="single"/>
        </w:rPr>
        <w:t xml:space="preserve">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2．在本合同有效期内，乙方利用甲方提供的技术资料和工作条件所完成的新的技术成果，归</w:t>
      </w:r>
      <w:r>
        <w:rPr>
          <w:rFonts w:hint="eastAsia" w:ascii="仿宋_GB2312" w:eastAsia="仿宋_GB2312"/>
          <w:sz w:val="28"/>
          <w:szCs w:val="28"/>
          <w:u w:val="single"/>
        </w:rPr>
        <w:t xml:space="preserve">   双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第九条：双方确定，按以下约定承担各自的违约责任：</w:t>
      </w:r>
    </w:p>
    <w:p>
      <w:pPr>
        <w:spacing w:line="560" w:lineRule="exact"/>
        <w:rPr>
          <w:rFonts w:ascii="仿宋_GB2312" w:eastAsia="仿宋_GB2312"/>
          <w:sz w:val="28"/>
          <w:szCs w:val="28"/>
        </w:rPr>
      </w:pPr>
      <w:r>
        <w:rPr>
          <w:rFonts w:hint="eastAsia" w:ascii="仿宋_GB2312" w:eastAsia="仿宋_GB2312"/>
          <w:sz w:val="28"/>
          <w:szCs w:val="28"/>
        </w:rPr>
        <w:t>1、违反本合同约定，违约方应当按合同法第一百一十四条、第一百一十六条及其相应的规定承担违约责任。</w:t>
      </w:r>
    </w:p>
    <w:p>
      <w:pPr>
        <w:spacing w:line="560" w:lineRule="exact"/>
        <w:rPr>
          <w:rFonts w:ascii="仿宋_GB2312" w:eastAsia="仿宋_GB2312"/>
          <w:sz w:val="28"/>
          <w:szCs w:val="28"/>
        </w:rPr>
      </w:pPr>
      <w:r>
        <w:rPr>
          <w:rFonts w:hint="eastAsia" w:ascii="仿宋_GB2312" w:eastAsia="仿宋_GB2312"/>
          <w:sz w:val="28"/>
          <w:szCs w:val="28"/>
        </w:rPr>
        <w:t>2、除合同条款规定的情况外，如果乙方没有按照合同规定的时间提供服务并造成后果的，甲方可视乙方配合整改态度酌情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spacing w:line="560" w:lineRule="exact"/>
        <w:rPr>
          <w:rFonts w:ascii="仿宋_GB2312" w:eastAsia="仿宋_GB2312"/>
          <w:sz w:val="28"/>
          <w:szCs w:val="28"/>
        </w:rPr>
      </w:pPr>
      <w:r>
        <w:rPr>
          <w:rFonts w:hint="eastAsia" w:ascii="仿宋_GB2312" w:eastAsia="仿宋_GB2312"/>
          <w:sz w:val="28"/>
          <w:szCs w:val="28"/>
        </w:rPr>
        <w:t>3、除本合同另有规定外，任何一方违反本合同项下义务，应按照我国《合同法》相关规定承担违约责任，向守约方承担赔偿责任。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第十条：双方确定，在本合同有效期内，甲方指定</w:t>
      </w:r>
      <w:r>
        <w:rPr>
          <w:rFonts w:hint="eastAsia" w:ascii="仿宋_GB2312" w:eastAsia="仿宋_GB2312"/>
          <w:sz w:val="28"/>
          <w:szCs w:val="28"/>
          <w:u w:val="single"/>
        </w:rPr>
        <w:t>　　　　　　</w:t>
      </w:r>
    </w:p>
    <w:p>
      <w:pPr>
        <w:spacing w:line="560" w:lineRule="exact"/>
        <w:rPr>
          <w:rFonts w:ascii="仿宋_GB2312" w:eastAsia="仿宋_GB2312"/>
          <w:sz w:val="28"/>
          <w:szCs w:val="28"/>
        </w:rPr>
      </w:pPr>
      <w:r>
        <w:rPr>
          <w:rFonts w:hint="eastAsia" w:ascii="仿宋_GB2312" w:eastAsia="仿宋_GB2312"/>
          <w:sz w:val="28"/>
          <w:szCs w:val="28"/>
        </w:rPr>
        <w:t>为甲方项目联系人，乙方指定</w:t>
      </w:r>
      <w:r>
        <w:rPr>
          <w:rFonts w:hint="eastAsia" w:ascii="仿宋_GB2312" w:eastAsia="仿宋_GB2312"/>
          <w:sz w:val="28"/>
          <w:szCs w:val="28"/>
          <w:u w:val="single"/>
        </w:rPr>
        <w:t>　　　　　　　</w:t>
      </w:r>
      <w:r>
        <w:rPr>
          <w:rFonts w:hint="eastAsia" w:ascii="仿宋_GB2312" w:eastAsia="仿宋_GB2312"/>
          <w:sz w:val="28"/>
          <w:szCs w:val="28"/>
        </w:rPr>
        <w:t>为乙方项目联系人。项目联系人承担以下责任：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1．甲方联系人对项目进行全程跟踪，提供乙方相关需求资料，及时沟通满足乙方项目设计相关所需需求，安排项目阶段性汇报及验收。</w:t>
      </w:r>
      <w:r>
        <w:rPr>
          <w:rFonts w:hint="eastAsia" w:ascii="仿宋_GB2312" w:eastAsia="仿宋_GB2312"/>
          <w:sz w:val="28"/>
          <w:szCs w:val="28"/>
          <w:u w:val="single"/>
        </w:rPr>
        <w:t>　　　　 　　　　　　　　　　　　　　　</w:t>
      </w:r>
    </w:p>
    <w:p>
      <w:pPr>
        <w:spacing w:line="560" w:lineRule="exact"/>
        <w:rPr>
          <w:rFonts w:ascii="仿宋_GB2312" w:eastAsia="仿宋_GB2312"/>
          <w:sz w:val="28"/>
          <w:szCs w:val="28"/>
          <w:u w:val="single"/>
        </w:rPr>
      </w:pPr>
      <w:r>
        <w:rPr>
          <w:rFonts w:hint="eastAsia" w:ascii="仿宋_GB2312" w:eastAsia="仿宋_GB2312"/>
          <w:sz w:val="28"/>
          <w:szCs w:val="28"/>
        </w:rPr>
        <w:t xml:space="preserve">      2．乙方联系人要全面了解项目内容、进程，把控项目质量，及时与甲方沟通满足甲方项目设计相关需求，及时反馈甲方项目优化意见。</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一方变更项目联系人的，应当及时以书面形式通知另一方，未及时通知并影响本合同履行或造成损失的，应承担相应的责任。</w:t>
      </w:r>
    </w:p>
    <w:p>
      <w:pPr>
        <w:spacing w:line="560" w:lineRule="exact"/>
        <w:rPr>
          <w:rFonts w:ascii="仿宋_GB2312" w:eastAsia="仿宋_GB2312"/>
          <w:sz w:val="28"/>
          <w:szCs w:val="28"/>
        </w:rPr>
      </w:pPr>
      <w:r>
        <w:rPr>
          <w:rFonts w:hint="eastAsia" w:ascii="仿宋_GB2312" w:eastAsia="仿宋_GB2312"/>
          <w:sz w:val="28"/>
          <w:szCs w:val="28"/>
        </w:rPr>
        <w:t>第十一条：</w:t>
      </w:r>
    </w:p>
    <w:p>
      <w:pPr>
        <w:spacing w:line="560" w:lineRule="exact"/>
        <w:rPr>
          <w:rFonts w:ascii="仿宋_GB2312" w:eastAsia="仿宋_GB2312"/>
          <w:sz w:val="28"/>
          <w:szCs w:val="28"/>
        </w:rPr>
      </w:pPr>
      <w:r>
        <w:rPr>
          <w:rFonts w:hint="eastAsia" w:ascii="仿宋_GB2312" w:eastAsia="仿宋_GB2312"/>
          <w:sz w:val="28"/>
          <w:szCs w:val="28"/>
        </w:rPr>
        <w:t>1. 在合同有效期内，任何一方因不可抗力事件导致不能履行合同，则合同履行期可延长，其延长期与不可抗力影响期相同。</w:t>
      </w:r>
    </w:p>
    <w:p>
      <w:pPr>
        <w:spacing w:line="560" w:lineRule="exact"/>
        <w:rPr>
          <w:rFonts w:ascii="仿宋_GB2312" w:eastAsia="仿宋_GB2312"/>
          <w:sz w:val="28"/>
          <w:szCs w:val="28"/>
        </w:rPr>
      </w:pPr>
      <w:r>
        <w:rPr>
          <w:rFonts w:hint="eastAsia" w:ascii="仿宋_GB2312" w:eastAsia="仿宋_GB2312"/>
          <w:sz w:val="28"/>
          <w:szCs w:val="28"/>
        </w:rPr>
        <w:t>2. 不可抗力事件发生后，遭遇不可抗力的一方应立即通知对方，并寄送有关官方权威机构出具的证明。</w:t>
      </w:r>
    </w:p>
    <w:p>
      <w:pPr>
        <w:adjustRightInd w:val="0"/>
        <w:snapToGrid w:val="0"/>
        <w:spacing w:line="560" w:lineRule="exact"/>
        <w:rPr>
          <w:rFonts w:ascii="仿宋_GB2312" w:eastAsia="仿宋_GB2312"/>
          <w:sz w:val="28"/>
          <w:szCs w:val="28"/>
        </w:rPr>
      </w:pPr>
      <w:r>
        <w:rPr>
          <w:rFonts w:hint="eastAsia" w:ascii="仿宋_GB2312" w:eastAsia="仿宋_GB2312"/>
          <w:sz w:val="28"/>
          <w:szCs w:val="28"/>
        </w:rPr>
        <w:t xml:space="preserve">3. 不可抗力事件延续【30 】天以上，双方应通过友好协商，确定是否继续履行合同；协商无法达成一致的，本合同自动终止，双方互不承担赔偿或违约责任。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eastAsia="仿宋_GB2312"/>
          <w:sz w:val="28"/>
          <w:szCs w:val="28"/>
        </w:rPr>
        <w:t>第十二条：</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双方在执行合同中所发生的一切争议，应通过协商解决。如协商不成，由甲方所在地的人民法院管辖审理。</w:t>
      </w:r>
    </w:p>
    <w:p>
      <w:pPr>
        <w:spacing w:line="560" w:lineRule="exact"/>
        <w:rPr>
          <w:rFonts w:ascii="仿宋_GB2312" w:eastAsia="仿宋_GB2312"/>
          <w:sz w:val="28"/>
          <w:szCs w:val="28"/>
        </w:rPr>
      </w:pPr>
      <w:r>
        <w:rPr>
          <w:rFonts w:hint="eastAsia" w:ascii="仿宋_GB2312" w:eastAsia="仿宋_GB2312"/>
          <w:sz w:val="28"/>
          <w:szCs w:val="28"/>
        </w:rPr>
        <w:t xml:space="preserve">     第十三条：与履行本合同有关的下列技术文件，经双方确认后，</w:t>
      </w:r>
      <w:r>
        <w:rPr>
          <w:rFonts w:hint="eastAsia" w:ascii="仿宋_GB2312" w:eastAsia="仿宋_GB2312"/>
          <w:sz w:val="28"/>
          <w:szCs w:val="28"/>
          <w:u w:val="single"/>
        </w:rPr>
        <w:t xml:space="preserve">                     </w:t>
      </w:r>
      <w:r>
        <w:rPr>
          <w:rFonts w:hint="eastAsia" w:ascii="仿宋_GB2312" w:eastAsia="仿宋_GB2312"/>
          <w:sz w:val="28"/>
          <w:szCs w:val="28"/>
        </w:rPr>
        <w:t>为本合同的组成部分，</w:t>
      </w:r>
      <w:r>
        <w:rPr>
          <w:rFonts w:hint="eastAsia" w:ascii="仿宋_GB2312" w:hAnsi="Times New Roman" w:eastAsia="仿宋_GB2312"/>
          <w:sz w:val="28"/>
          <w:szCs w:val="28"/>
        </w:rPr>
        <w:t>合同与招投标文件不一致解释顺序如下</w:t>
      </w:r>
      <w:r>
        <w:rPr>
          <w:rFonts w:hint="eastAsia" w:ascii="仿宋_GB2312" w:eastAsia="仿宋_GB2312"/>
          <w:sz w:val="28"/>
          <w:szCs w:val="28"/>
        </w:rPr>
        <w:t>：</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1.本合同协议书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2.中标通知书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3.投标书及其附件</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4.招标文件</w:t>
      </w:r>
    </w:p>
    <w:p>
      <w:pPr>
        <w:spacing w:line="560" w:lineRule="exact"/>
        <w:rPr>
          <w:rFonts w:ascii="仿宋_GB2312" w:eastAsia="仿宋_GB2312"/>
          <w:sz w:val="28"/>
          <w:szCs w:val="28"/>
        </w:rPr>
      </w:pPr>
      <w:r>
        <w:rPr>
          <w:rFonts w:hint="eastAsia" w:ascii="仿宋_GB2312" w:hAnsi="Times New Roman" w:eastAsia="仿宋_GB2312"/>
          <w:sz w:val="28"/>
          <w:szCs w:val="28"/>
        </w:rPr>
        <w:t>5.标准、规范及有关技术文件</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第十四条：双方约定本合同其他相关事项为：</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1．乙方应在收到甲方中标通知书后【3】日内，向甲方支付合同总价的【10%】作为履约保证金。如果逾期未缴纳，甲方有权解除本合同，并要求乙方承担由此给甲方造成的损失。</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第十五条：本合同一式</w:t>
      </w:r>
      <w:r>
        <w:rPr>
          <w:rFonts w:hint="eastAsia" w:ascii="仿宋_GB2312" w:eastAsia="仿宋_GB2312"/>
          <w:sz w:val="28"/>
          <w:szCs w:val="28"/>
          <w:u w:val="single"/>
        </w:rPr>
        <w:t xml:space="preserve">  　陆  </w:t>
      </w:r>
      <w:r>
        <w:rPr>
          <w:rFonts w:hint="eastAsia" w:ascii="仿宋_GB2312" w:eastAsia="仿宋_GB2312"/>
          <w:sz w:val="28"/>
          <w:szCs w:val="28"/>
        </w:rPr>
        <w:t>份，甲方执肆份，乙方执贰份，具有同等法律效力。</w:t>
      </w:r>
    </w:p>
    <w:p>
      <w:pPr>
        <w:spacing w:line="560" w:lineRule="exact"/>
        <w:ind w:firstLine="560"/>
        <w:rPr>
          <w:rFonts w:ascii="仿宋_GB2312" w:eastAsia="仿宋_GB2312"/>
          <w:sz w:val="28"/>
          <w:szCs w:val="28"/>
        </w:rPr>
      </w:pPr>
      <w:r>
        <w:rPr>
          <w:rFonts w:hint="eastAsia" w:ascii="仿宋_GB2312" w:eastAsia="仿宋_GB2312"/>
          <w:sz w:val="28"/>
          <w:szCs w:val="28"/>
        </w:rPr>
        <w:t>第十六条：本合同经双方法定代表人或者委托代理人签字盖章之日起生效。</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第十七条：未尽事宜，经双方协商一致，签订补充协议，补充协议与本合同具有同等效力。</w:t>
      </w:r>
    </w:p>
    <w:p>
      <w:pPr>
        <w:spacing w:line="560" w:lineRule="exact"/>
        <w:ind w:firstLine="56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（以下为签署页）</w:t>
      </w:r>
    </w:p>
    <w:p>
      <w:pPr>
        <w:spacing w:line="560" w:lineRule="exact"/>
        <w:rPr>
          <w:rFonts w:ascii="仿宋_GB2312" w:eastAsia="仿宋_GB2312"/>
          <w:sz w:val="28"/>
          <w:szCs w:val="28"/>
        </w:rPr>
      </w:pPr>
    </w:p>
    <w:p>
      <w:pPr>
        <w:spacing w:line="560" w:lineRule="exact"/>
        <w:jc w:val="left"/>
        <w:rPr>
          <w:rFonts w:ascii="仿宋_GB2312" w:eastAsia="仿宋_GB2312"/>
          <w:sz w:val="28"/>
          <w:szCs w:val="28"/>
          <w:u w:val="single"/>
        </w:rPr>
      </w:pPr>
      <w:r>
        <w:rPr>
          <w:rFonts w:hint="eastAsia" w:ascii="仿宋_GB2312" w:eastAsia="仿宋_GB2312"/>
          <w:sz w:val="28"/>
          <w:szCs w:val="28"/>
        </w:rPr>
        <w:t xml:space="preserve">    甲方：</w:t>
      </w:r>
      <w:r>
        <w:rPr>
          <w:rFonts w:hint="eastAsia" w:ascii="仿宋_GB2312" w:eastAsia="仿宋_GB2312"/>
          <w:sz w:val="28"/>
          <w:szCs w:val="28"/>
          <w:u w:val="single"/>
        </w:rPr>
        <w:t xml:space="preserve">杭州萧山国际机场有限公司    （盖章）   </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u w:val="single"/>
        </w:rPr>
      </w:pPr>
      <w:r>
        <w:rPr>
          <w:rFonts w:hint="eastAsia" w:ascii="仿宋_GB2312" w:eastAsia="仿宋_GB2312"/>
          <w:sz w:val="28"/>
          <w:szCs w:val="28"/>
        </w:rPr>
        <w:t xml:space="preserve">     乙方：</w:t>
      </w:r>
      <w:r>
        <w:rPr>
          <w:rFonts w:hint="eastAsia" w:ascii="仿宋_GB2312" w:eastAsia="仿宋_GB2312"/>
          <w:sz w:val="28"/>
          <w:szCs w:val="28"/>
          <w:u w:val="single"/>
        </w:rPr>
        <w:t xml:space="preserve">                                          （盖章）</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u w:val="single"/>
        </w:rPr>
      </w:pPr>
      <w:r>
        <w:rPr>
          <w:rFonts w:hint="eastAsia" w:ascii="仿宋_GB2312" w:eastAsia="仿宋_GB2312"/>
          <w:sz w:val="28"/>
          <w:szCs w:val="28"/>
        </w:rPr>
        <w:t>委托代理人：</w:t>
      </w:r>
      <w:r>
        <w:rPr>
          <w:rFonts w:hint="eastAsia" w:ascii="仿宋_GB2312" w:eastAsia="仿宋_GB2312"/>
          <w:sz w:val="28"/>
          <w:szCs w:val="28"/>
          <w:u w:val="single"/>
        </w:rPr>
        <w:t>　　　　  　　      　　（签名）</w:t>
      </w:r>
    </w:p>
    <w:p>
      <w:pPr>
        <w:spacing w:line="560" w:lineRule="exact"/>
        <w:ind w:firstLine="570"/>
        <w:rPr>
          <w:rFonts w:ascii="仿宋_GB2312" w:eastAsia="仿宋_GB2312"/>
          <w:sz w:val="28"/>
          <w:szCs w:val="28"/>
          <w:u w:val="single"/>
        </w:rPr>
      </w:pPr>
      <w:r>
        <w:rPr>
          <w:rFonts w:hint="eastAsia" w:ascii="仿宋_GB2312" w:eastAsia="仿宋_GB2312"/>
          <w:sz w:val="28"/>
          <w:szCs w:val="28"/>
          <w:u w:val="single"/>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r>
        <w:rPr>
          <w:rFonts w:hint="eastAsia" w:ascii="仿宋_GB2312" w:eastAsia="仿宋_GB2312"/>
          <w:sz w:val="28"/>
          <w:szCs w:val="28"/>
        </w:rPr>
        <w:t xml:space="preserve">   </w:t>
      </w:r>
    </w:p>
    <w:p>
      <w:pPr>
        <w:pStyle w:val="17"/>
        <w:spacing w:line="560" w:lineRule="exact"/>
        <w:ind w:firstLine="0" w:firstLineChars="0"/>
        <w:jc w:val="left"/>
        <w:rPr>
          <w:rFonts w:ascii="仿宋_GB2312" w:hAnsi="Times New Roman" w:eastAsia="仿宋_GB2312"/>
          <w:color w:val="auto"/>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附件1：</w:t>
      </w:r>
    </w:p>
    <w:p>
      <w:pPr>
        <w:spacing w:line="440" w:lineRule="exact"/>
        <w:jc w:val="center"/>
        <w:rPr>
          <w:rFonts w:ascii="仿宋_GB2312" w:hAnsi="Times New Roman" w:eastAsia="仿宋_GB2312"/>
          <w:sz w:val="28"/>
          <w:szCs w:val="28"/>
        </w:rPr>
      </w:pPr>
      <w:r>
        <w:rPr>
          <w:rFonts w:hint="eastAsia" w:ascii="仿宋_GB2312" w:hAnsi="Times New Roman" w:eastAsia="仿宋_GB2312"/>
          <w:sz w:val="28"/>
          <w:szCs w:val="28"/>
        </w:rPr>
        <w:t>廉洁自律承诺书</w:t>
      </w:r>
    </w:p>
    <w:p>
      <w:pPr>
        <w:pStyle w:val="17"/>
        <w:spacing w:line="360" w:lineRule="exact"/>
        <w:ind w:firstLine="560"/>
        <w:rPr>
          <w:rFonts w:ascii="仿宋_GB2312" w:hAnsi="Times New Roman" w:eastAsia="仿宋_GB2312"/>
          <w:color w:val="auto"/>
          <w:sz w:val="28"/>
          <w:szCs w:val="28"/>
        </w:rPr>
      </w:pPr>
    </w:p>
    <w:p>
      <w:pPr>
        <w:pStyle w:val="4"/>
        <w:spacing w:line="360" w:lineRule="exact"/>
        <w:rPr>
          <w:rFonts w:ascii="仿宋_GB2312" w:hAnsi="Times New Roman" w:eastAsia="仿宋_GB2312"/>
          <w:kern w:val="2"/>
          <w:sz w:val="28"/>
          <w:szCs w:val="28"/>
        </w:rPr>
      </w:pPr>
      <w:r>
        <w:rPr>
          <w:rFonts w:hint="eastAsia" w:ascii="仿宋_GB2312" w:hAnsi="Times New Roman" w:eastAsia="仿宋_GB2312"/>
          <w:kern w:val="2"/>
          <w:sz w:val="28"/>
          <w:szCs w:val="28"/>
        </w:rPr>
        <w:t>杭州萧山国际机场有限公司：</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我单位响应贵公司项目招标要求，参加项目投标。在投标过程中及中标后，我们将严格遵守国家法律法规和贵司招标文件要求，并郑重作出如下承诺和保证：</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二、不以任何名义为贵公司有关人员或项目第三方人员报销应由贵公司或个人支付的费用；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三、不向贵公司有关人员或项目第三方人员提供宴请、旅游、和健身娱乐等活动；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四、不为贵公司有关人员或项目第三方人员出国（境）、旅游等提供方便；</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五、不为贵公司有关人员或项目第三方人员个人装修住房、婚丧嫁娶、配偶子女工作安排等提供好处或便利条件；</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六、严格遵守国家招标投标法、合同法等法律规定，诚实守信，合法经营，坚决杜绝各种违法违纪行为。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八、如违反上述廉洁自律承诺，贵公司有权：</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（1）立即取消我单位投标、中标或在建项目的实施资格；</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（2）扣除我方向贵公司缴纳的履约保证金的10%作为违反廉洁自律承诺的违约金。如该违约金不足以弥补贵公司损失的，我单位仍将承担实际损失赔偿责任。</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（3）拒绝我单位在一定时期内进入贵公司进行项目建设或其它经营活动；</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（4）由此引起的相应损失均由我单位承担。</w:t>
      </w: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ind w:firstLine="42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承诺人单位名称（盖章）：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法定代表人 ：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或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委托代理人：                   </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年     月     日</w:t>
      </w:r>
    </w:p>
    <w:p>
      <w:pPr>
        <w:pStyle w:val="17"/>
        <w:spacing w:line="360" w:lineRule="exact"/>
        <w:ind w:firstLine="560"/>
        <w:rPr>
          <w:rFonts w:ascii="仿宋_GB2312" w:hAnsi="Times New Roman" w:eastAsia="仿宋_GB2312"/>
          <w:color w:val="auto"/>
          <w:sz w:val="28"/>
          <w:szCs w:val="28"/>
        </w:rPr>
        <w:sectPr>
          <w:footerReference r:id="rId7" w:type="even"/>
          <w:pgSz w:w="11906" w:h="16838"/>
          <w:pgMar w:top="1134" w:right="1247" w:bottom="1134" w:left="1247" w:header="851" w:footer="992" w:gutter="0"/>
          <w:pgNumType w:fmt="numberInDash"/>
          <w:cols w:space="720" w:num="1"/>
          <w:docGrid w:linePitch="312" w:charSpace="0"/>
        </w:sectPr>
      </w:pPr>
    </w:p>
    <w:p>
      <w:pPr>
        <w:pStyle w:val="17"/>
        <w:spacing w:line="360" w:lineRule="exact"/>
        <w:ind w:firstLine="560"/>
        <w:rPr>
          <w:rFonts w:ascii="仿宋_GB2312" w:hAnsi="Times New Roman" w:eastAsia="仿宋_GB2312"/>
          <w:color w:val="auto"/>
          <w:sz w:val="28"/>
          <w:szCs w:val="28"/>
        </w:rPr>
      </w:pPr>
    </w:p>
    <w:p>
      <w:pPr>
        <w:rPr>
          <w:rFonts w:ascii="仿宋_GB2312" w:hAnsi="Times New Roman" w:eastAsia="仿宋_GB2312"/>
          <w:sz w:val="28"/>
          <w:szCs w:val="28"/>
        </w:rPr>
      </w:pPr>
      <w:r>
        <w:rPr>
          <w:rFonts w:hint="eastAsia" w:ascii="仿宋_GB2312" w:hAnsi="Times New Roman" w:eastAsia="仿宋_GB2312"/>
          <w:sz w:val="28"/>
          <w:szCs w:val="28"/>
        </w:rPr>
        <w:t xml:space="preserve">附件2： </w:t>
      </w:r>
    </w:p>
    <w:p>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保密承诺书</w:t>
      </w:r>
    </w:p>
    <w:p>
      <w:pPr>
        <w:spacing w:line="560" w:lineRule="exact"/>
        <w:jc w:val="center"/>
        <w:rPr>
          <w:rFonts w:ascii="仿宋_GB2312" w:hAnsi="Times New Roman" w:eastAsia="仿宋_GB231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鉴于我方愿成为杭州萧山国际机场有限公司（以下简称“机场公司”）的供应商或潜在供应商候选人，为机场公司提供【飞行区智慧化建设方案规划咨询】项目的服务。在上述业务来往过程中，机场公司可能向我方提供经营、业务、服务等有关的文件、资料、软件等信息，为维护机场公司的利益，我方就保密事宜做出如下承诺：</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1.1商业秘密是指机场公司（包括机场公司关联公司）一切专有、不对外公开的资料和信息。包括但不限于以下方面：</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（1）经营信息（发展规划、运营状况、客户资源、货源情报、投融资计划、开发计划、标书等）；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（2）管理信息（管理方法、管理制度、员工管理、合同管理、纠纷管理等）；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（3）产品及技术信息（设计及图纸、样品及服务、技术方案、质量标准、技术标准、计算机程序等）；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（4）财务信息（财务收支、固定资产、流动资金、成本核算等）；</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（5）我方单独或机场公司（包括机场公司关联公司）和我方共同为机场公司开发、设计、生产的产品、资料及相关信息；</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（6）其他机场公司未对外公开的有关营运、计划、航班数据、标准、开发、生产、经营、质量管理控制和租赁的资料和数据等信息以及对供应商的管理文件。</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1.3、对于上述提及的商业秘密，不能仅因为公开发表的文章或资讯中包含其内容，就认为是可对外公开的特殊情况。</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1.4、以下资料不属于本承诺所指的商业秘密：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（1）我方从机场公司拟获悉之前已持有的我方无需承担保密义务的机场公司有关资料(但通过其它违约或侵权行为而获得的资料除外)；</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（2）已经公开或已成为常识性的资料，且该等公开并非因违反本承诺所致。</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（1）披露、使用或者允许他人以不正当手段获取的商业秘密；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（2）为机场公司以外的第三人窃取、刺探、收买、非法提供商业秘密。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（3）在电子公告系统、聊天系统、电子邮箱、论坛等计算机网络系统上传递、转发、抄送、发布、谈论和传播商业秘密；</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（4）在私人交往和通信中，向亲属、朋友以及与工作无关人员泄露商业秘密，或在公共场所谈论商业秘密； </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（5）擅自将属于商业秘密的文件、资料和其他物品携带、传递、寄运出机场公司办公场所或国（境）外。</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（6）未经机场公司同意就以任何方式私自保存、截留含有机场公司商业秘密的任何形式资料、文件和物品的复印件、复制品、副本。</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（7）将含有机场公司商业秘密的产品、技术或其他资料、信息向第三人销售、使用或以任何方式提供。</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360" w:lineRule="exact"/>
        <w:ind w:firstLine="560" w:firstLineChars="200"/>
        <w:rPr>
          <w:rFonts w:ascii="仿宋_GB2312" w:hAnsi="Times New Roman" w:eastAsia="仿宋_GB2312"/>
          <w:kern w:val="2"/>
          <w:sz w:val="28"/>
          <w:szCs w:val="28"/>
        </w:rPr>
      </w:pP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8、违约责任</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8.1因我方违反保密义务的行为造成机场公司的一切损失，我方应当全部予以赔偿。</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8.2如我方违反本承诺书下保密义务，应当承担违约责任，除赔偿损失外，还应依据合同向机场公司支付相应的违约金；</w:t>
      </w:r>
    </w:p>
    <w:p>
      <w:pPr>
        <w:pStyle w:val="4"/>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w:t>
      </w:r>
      <w:r>
        <w:rPr>
          <w:rFonts w:hint="eastAsia" w:ascii="仿宋_GB2312" w:hAnsi="Times New Roman" w:eastAsia="仿宋_GB2312"/>
          <w:sz w:val="28"/>
          <w:szCs w:val="28"/>
        </w:rPr>
        <w:tab/>
      </w:r>
      <w:r>
        <w:rPr>
          <w:rFonts w:hint="eastAsia" w:ascii="仿宋_GB2312" w:hAnsi="Times New Roman" w:eastAsia="仿宋_GB2312"/>
          <w:sz w:val="28"/>
          <w:szCs w:val="28"/>
        </w:rPr>
        <w:t>供应商(盖章):</w:t>
      </w:r>
    </w:p>
    <w:p>
      <w:pPr>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法定代表人或授权代表：</w:t>
      </w: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电话/传真：</w:t>
      </w: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地址：</w:t>
      </w: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p>
    <w:p>
      <w:pPr>
        <w:snapToGrid w:val="0"/>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日期：     年   月   日</w:t>
      </w:r>
    </w:p>
    <w:p>
      <w:pPr>
        <w:spacing w:line="560" w:lineRule="exact"/>
        <w:ind w:firstLine="420"/>
        <w:rPr>
          <w:rFonts w:cs="Calibri"/>
          <w:bCs/>
          <w:szCs w:val="32"/>
        </w:rPr>
        <w:sectPr>
          <w:headerReference r:id="rId8"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ind w:firstLine="3213" w:firstLineChars="1000"/>
        <w:jc w:val="both"/>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4"/>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4"/>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个百分点按插值法计算，小数点后保留二位，四舍五入，商务分最低得分为40分）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2、资信及技术评分40分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4"/>
        <w:adjustRightInd w:val="0"/>
        <w:snapToGrid w:val="0"/>
        <w:spacing w:line="360" w:lineRule="exact"/>
        <w:ind w:firstLine="440" w:firstLineChars="200"/>
        <w:rPr>
          <w:rFonts w:hAnsi="宋体" w:cs="Calibri"/>
          <w:sz w:val="22"/>
          <w:szCs w:val="22"/>
        </w:rPr>
      </w:pP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Pr>
          <w:p>
            <w:pPr>
              <w:pStyle w:val="4"/>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700" w:type="dxa"/>
          </w:tcPr>
          <w:p>
            <w:pPr>
              <w:pStyle w:val="4"/>
              <w:adjustRightInd w:val="0"/>
              <w:snapToGrid w:val="0"/>
              <w:spacing w:line="360" w:lineRule="exact"/>
              <w:jc w:val="cente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vAlign w:val="center"/>
          </w:tcPr>
          <w:p>
            <w:pPr>
              <w:widowControl/>
              <w:snapToGrid w:val="0"/>
              <w:spacing w:line="360" w:lineRule="exact"/>
              <w:rPr>
                <w:rFonts w:ascii="宋体" w:hAnsi="宋体"/>
                <w:color w:val="000000"/>
                <w:szCs w:val="21"/>
              </w:rPr>
            </w:pPr>
            <w:r>
              <w:rPr>
                <w:rFonts w:hint="eastAsia" w:ascii="宋体" w:hAnsi="宋体" w:cs="Arial"/>
                <w:kern w:val="0"/>
                <w:sz w:val="22"/>
              </w:rPr>
              <w:t>近五年（自2014年1月1日起至投标截止日）类似项目业绩：①指面积20万平方米（含）以上同类项目（如机场、港口、汽车站、火车站等大型交通枢纽）建筑的标识系统设计业绩；②50万元（含）以上VI视觉识别系统设计类的业绩（①②满足</w:t>
            </w:r>
            <w:r>
              <w:rPr>
                <w:rFonts w:ascii="宋体" w:hAnsi="宋体" w:cs="Arial"/>
                <w:kern w:val="0"/>
                <w:sz w:val="22"/>
              </w:rPr>
              <w:t>一项即可计</w:t>
            </w:r>
            <w:r>
              <w:rPr>
                <w:rFonts w:hint="eastAsia" w:ascii="宋体" w:hAnsi="宋体" w:cs="Arial"/>
                <w:kern w:val="0"/>
                <w:sz w:val="22"/>
              </w:rPr>
              <w:t>一个</w:t>
            </w:r>
            <w:r>
              <w:rPr>
                <w:rFonts w:ascii="宋体" w:hAnsi="宋体" w:cs="Arial"/>
                <w:kern w:val="0"/>
                <w:sz w:val="22"/>
              </w:rPr>
              <w:t>业绩，</w:t>
            </w:r>
            <w:r>
              <w:rPr>
                <w:rFonts w:hint="eastAsia" w:ascii="宋体" w:hAnsi="宋体" w:cs="Arial"/>
                <w:kern w:val="0"/>
                <w:sz w:val="22"/>
              </w:rPr>
              <w:t>每个</w:t>
            </w:r>
            <w:r>
              <w:rPr>
                <w:rFonts w:ascii="宋体" w:hAnsi="宋体" w:cs="Arial"/>
                <w:kern w:val="0"/>
                <w:sz w:val="22"/>
              </w:rPr>
              <w:t>业绩不重复得分</w:t>
            </w:r>
            <w:r>
              <w:rPr>
                <w:rFonts w:hint="eastAsia" w:ascii="宋体" w:hAnsi="宋体" w:cs="Arial"/>
                <w:kern w:val="0"/>
                <w:sz w:val="22"/>
              </w:rPr>
              <w:t>），须提供中标通知书或合同关键页(封面页、金额页、签字盖章页)复印件并加盖投标人公章作为证明材料。符合①的投标人，若中标通知书或合同关键页无法体现面积参数的，须额外提供业主证明。（每</w:t>
            </w:r>
            <w:r>
              <w:rPr>
                <w:rFonts w:ascii="宋体" w:hAnsi="宋体" w:cs="Arial"/>
                <w:kern w:val="0"/>
                <w:sz w:val="22"/>
              </w:rPr>
              <w:t>提供</w:t>
            </w:r>
            <w:r>
              <w:rPr>
                <w:rFonts w:hint="eastAsia" w:asciiTheme="minorEastAsia" w:hAnsiTheme="minorEastAsia" w:eastAsiaTheme="minorEastAsia" w:cstheme="minorEastAsia"/>
                <w:sz w:val="22"/>
              </w:rPr>
              <w:t>1个业绩得2分，本项最高8分）。</w:t>
            </w:r>
          </w:p>
        </w:tc>
        <w:tc>
          <w:tcPr>
            <w:tcW w:w="2700" w:type="dxa"/>
            <w:vAlign w:val="center"/>
          </w:tcPr>
          <w:p>
            <w:pPr>
              <w:widowControl/>
              <w:snapToGrid w:val="0"/>
              <w:spacing w:line="360" w:lineRule="exact"/>
              <w:jc w:val="cente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6826"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标识系统问题分析和整改建议：</w:t>
            </w:r>
          </w:p>
          <w:p>
            <w:pPr>
              <w:numPr>
                <w:ilvl w:val="255"/>
                <w:numId w:val="0"/>
              </w:numP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1.航站区标识系统现状问题分析；</w:t>
            </w:r>
          </w:p>
          <w:p>
            <w:pPr>
              <w:widowControl/>
              <w:snapToGrid w:val="0"/>
              <w:spacing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2.提出针对性的整改建议。</w:t>
            </w:r>
          </w:p>
          <w:p>
            <w:pPr>
              <w:widowControl/>
              <w:snapToGrid w:val="0"/>
              <w:spacing w:line="360" w:lineRule="exact"/>
              <w:rPr>
                <w:rFonts w:ascii="宋体" w:hAnsi="宋体" w:cs="宋体"/>
                <w:kern w:val="0"/>
                <w:szCs w:val="21"/>
              </w:rPr>
            </w:pPr>
            <w:r>
              <w:rPr>
                <w:rFonts w:hint="eastAsia" w:asciiTheme="minorEastAsia" w:hAnsiTheme="minorEastAsia" w:eastAsiaTheme="minorEastAsia" w:cstheme="minorEastAsia"/>
                <w:sz w:val="22"/>
              </w:rPr>
              <w:t>横向对比各供应商对航站区标识系统问题分析和整改建议，优得12分，良得6-11分，一般得0-5分。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hint="eastAsia" w:asciiTheme="minorEastAsia" w:hAnsiTheme="minorEastAsia" w:eastAsiaTheme="minorEastAsia" w:cstheme="minorEastAsia"/>
                <w:sz w:val="22"/>
              </w:rPr>
              <w:t>整体项目设计各阶段的服务方案及服务承诺，</w:t>
            </w:r>
            <w:r>
              <w:rPr>
                <w:rFonts w:hint="eastAsia" w:ascii="宋体" w:hAnsi="宋体" w:cs="Arial"/>
                <w:kern w:val="0"/>
                <w:sz w:val="22"/>
              </w:rPr>
              <w:t>横向对比各供应商的设计各阶段的服务内容及承诺，优得8分，良得4-7分，一般得0-3分。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宋体" w:hAnsi="宋体" w:cs="宋体" w:eastAsiaTheme="minorEastAsia"/>
                <w:kern w:val="0"/>
                <w:szCs w:val="21"/>
              </w:rPr>
            </w:pPr>
            <w:r>
              <w:rPr>
                <w:rFonts w:cs="Calibri" w:asciiTheme="minorEastAsia" w:hAnsiTheme="minorEastAsia" w:eastAsiaTheme="minorEastAsia"/>
                <w:color w:val="000000"/>
                <w:sz w:val="22"/>
              </w:rPr>
              <w:t>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r>
              <w:rPr>
                <w:rFonts w:cs="Calibri" w:asciiTheme="minorEastAsia" w:hAnsiTheme="minorEastAsia" w:eastAsiaTheme="minorEastAsia"/>
                <w:color w:val="000000"/>
                <w:sz w:val="22"/>
              </w:rPr>
              <w:t>有一个项目得2分</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本项不重复得分，最高得分4分。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8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eastAsiaTheme="minorEastAsia"/>
                <w:kern w:val="0"/>
                <w:szCs w:val="21"/>
              </w:rPr>
            </w:pPr>
            <w:r>
              <w:rPr>
                <w:rFonts w:hint="eastAsia" w:ascii="宋体" w:hAnsi="宋体" w:cs="Arial"/>
                <w:kern w:val="0"/>
                <w:sz w:val="22"/>
              </w:rPr>
              <w:t>项目负责人综合素质能力，</w:t>
            </w:r>
            <w:r>
              <w:rPr>
                <w:rFonts w:hint="eastAsia" w:asciiTheme="minorEastAsia" w:hAnsiTheme="minorEastAsia" w:eastAsiaTheme="minorEastAsia" w:cstheme="minorEastAsia"/>
                <w:sz w:val="22"/>
              </w:rPr>
              <w:t>具有在2014年1月1日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w:t>
            </w:r>
            <w:r>
              <w:rPr>
                <w:rFonts w:ascii="宋体" w:hAnsi="宋体" w:cs="Arial"/>
                <w:kern w:val="0"/>
                <w:sz w:val="22"/>
              </w:rPr>
              <w:t>一项即可计</w:t>
            </w:r>
            <w:r>
              <w:rPr>
                <w:rFonts w:hint="eastAsia" w:ascii="宋体" w:hAnsi="宋体" w:cs="Arial"/>
                <w:kern w:val="0"/>
                <w:sz w:val="22"/>
              </w:rPr>
              <w:t>一个案例经验</w:t>
            </w:r>
            <w:r>
              <w:rPr>
                <w:rFonts w:ascii="宋体" w:hAnsi="宋体" w:cs="Arial"/>
                <w:kern w:val="0"/>
                <w:sz w:val="22"/>
              </w:rPr>
              <w:t>，</w:t>
            </w:r>
            <w:r>
              <w:rPr>
                <w:rFonts w:hint="eastAsia" w:ascii="宋体" w:hAnsi="宋体" w:cs="Arial"/>
                <w:kern w:val="0"/>
                <w:sz w:val="22"/>
              </w:rPr>
              <w:t>每个案例经验</w:t>
            </w:r>
            <w:r>
              <w:rPr>
                <w:rFonts w:ascii="宋体" w:hAnsi="宋体" w:cs="Arial"/>
                <w:kern w:val="0"/>
                <w:sz w:val="22"/>
              </w:rPr>
              <w:t>不重复得分</w:t>
            </w:r>
            <w:r>
              <w:rPr>
                <w:rFonts w:hint="eastAsia" w:ascii="宋体" w:hAnsi="宋体" w:cs="Arial"/>
                <w:kern w:val="0"/>
                <w:sz w:val="22"/>
              </w:rPr>
              <w:t>），须提供项目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及中标通知书或合同关键页(封面页、金额页、签字盖章页)复印件并加盖投标人公章作为证明材料。符合①的投标人，若中标通知书或合同关键页无法体现面积参数的，须额外提供业主证明。（每</w:t>
            </w:r>
            <w:r>
              <w:rPr>
                <w:rFonts w:ascii="宋体" w:hAnsi="宋体" w:cs="Arial"/>
                <w:kern w:val="0"/>
                <w:sz w:val="22"/>
              </w:rPr>
              <w:t>提供</w:t>
            </w:r>
            <w:r>
              <w:rPr>
                <w:rFonts w:hint="eastAsia" w:asciiTheme="minorEastAsia" w:hAnsiTheme="minorEastAsia" w:eastAsiaTheme="minorEastAsia" w:cstheme="minorEastAsia"/>
                <w:sz w:val="22"/>
              </w:rPr>
              <w:t>1个案例经验得4分，本项最高8分）。</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pPr>
            <w:r>
              <w:rPr>
                <w:rFonts w:hint="eastAsia" w:ascii="宋体" w:hAnsi="宋体" w:cs="宋体"/>
                <w:kern w:val="0"/>
                <w:szCs w:val="21"/>
              </w:rPr>
              <w:t>0-8</w:t>
            </w:r>
          </w:p>
        </w:tc>
      </w:tr>
    </w:tbl>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信用中国网站www.creditchina.gov.cn 、中国裁判文书网http://wenshu.court.gov.cn查询结果证材料。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r>
        <w:rPr>
          <w:rFonts w:hint="eastAsia" w:cs="Calibri" w:asciiTheme="minorEastAsia" w:hAnsiTheme="minorEastAsia" w:eastAsiaTheme="minorEastAsia"/>
          <w:color w:val="000000"/>
          <w:sz w:val="22"/>
        </w:rPr>
        <w:t>：承担过国家级设计项目或获国家级奖项（提供中标通知书、合同或奖励证书、牌匾照片等）；</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widowControl/>
        <w:adjustRightInd w:val="0"/>
        <w:snapToGrid w:val="0"/>
        <w:spacing w:line="340" w:lineRule="exact"/>
        <w:ind w:firstLine="440" w:firstLineChars="200"/>
        <w:rPr>
          <w:rFonts w:ascii="宋体" w:hAnsi="宋体" w:cs="Arial"/>
          <w:kern w:val="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近五年（自2014年1月1日起至投标截止日）投标人须具备类似项目业绩：指面积20万平方米（含）以上同类项目（机场、港口、汽车站、火车站等大型</w:t>
      </w:r>
      <w:r>
        <w:rPr>
          <w:rFonts w:ascii="宋体" w:hAnsi="宋体" w:cs="Arial"/>
          <w:kern w:val="0"/>
          <w:sz w:val="22"/>
        </w:rPr>
        <w:t>交通枢纽</w:t>
      </w:r>
      <w:r>
        <w:rPr>
          <w:rFonts w:hint="eastAsia" w:ascii="宋体" w:hAnsi="宋体" w:cs="Arial"/>
          <w:kern w:val="0"/>
          <w:sz w:val="22"/>
        </w:rPr>
        <w:t>）建筑的标识系统设计或VI视觉识别系统设计类的业绩证明，须提供中标通知书或合同关键页(封面页、金额页、签字盖章页)复印件并加盖投标人公章证明材料。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（1）T1、T2、T3航站区标识系统问题分析和整改建议；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（2）T1、T2、T3航站区服务方案及承诺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（3）项目负责人综合素质能力：项目负责人在2017年1月1日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带领公司团队完成过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①单体面积20万平方米（含）以上同类项目（如机场、港口、汽车站、火车站等大型交通枢纽）建筑的标识系统设计经验；②50万元（含）以上VI视觉识别系统设计类的经验（①②满足一项即可），须提供项目</w:t>
      </w:r>
      <w:r>
        <w:rPr>
          <w:rFonts w:ascii="宋体" w:hAnsi="宋体" w:cs="Arial"/>
          <w:kern w:val="0"/>
          <w:sz w:val="22"/>
        </w:rPr>
        <w:t>负责人简历</w:t>
      </w:r>
      <w:r>
        <w:rPr>
          <w:rFonts w:hint="eastAsia" w:ascii="宋体" w:hAnsi="宋体" w:cs="Arial"/>
          <w:kern w:val="0"/>
          <w:sz w:val="22"/>
        </w:rPr>
        <w:t>、</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（4）提供团队人员在</w:t>
      </w:r>
      <w:r>
        <w:rPr>
          <w:rFonts w:hint="eastAsia" w:asciiTheme="minorEastAsia" w:hAnsiTheme="minorEastAsia" w:eastAsiaTheme="minorEastAsia" w:cstheme="minorEastAsia"/>
          <w:sz w:val="22"/>
        </w:rPr>
        <w:t>2017年1月1日</w:t>
      </w:r>
      <w:r>
        <w:rPr>
          <w:rFonts w:hint="eastAsia" w:ascii="宋体" w:hAnsi="宋体" w:cs="Arial"/>
          <w:kern w:val="0"/>
          <w:sz w:val="22"/>
        </w:rPr>
        <w:t>至投标截止日</w:t>
      </w:r>
      <w:r>
        <w:rPr>
          <w:rFonts w:hint="eastAsia" w:asciiTheme="minorEastAsia" w:hAnsiTheme="minorEastAsia" w:eastAsiaTheme="minorEastAsia" w:cstheme="minorEastAsia"/>
          <w:sz w:val="22"/>
        </w:rPr>
        <w:t>，参与过</w:t>
      </w:r>
      <w:r>
        <w:rPr>
          <w:rFonts w:hint="eastAsia" w:ascii="宋体" w:hAnsi="宋体" w:cs="Arial"/>
          <w:kern w:val="0"/>
          <w:sz w:val="22"/>
        </w:rPr>
        <w:t>①单体面积20万平方米（含）以上同类项目（如机场、港口、汽车站、火车站等大型交通枢纽）建筑的标识系统设计经验；②50万元（含）以上VI视觉识别系统设计类的经验（①②满足一项即可），须提供团队人员</w:t>
      </w:r>
      <w:r>
        <w:rPr>
          <w:rFonts w:ascii="宋体" w:hAnsi="宋体" w:cs="Arial"/>
          <w:kern w:val="0"/>
          <w:sz w:val="22"/>
        </w:rPr>
        <w:t>社保证明</w:t>
      </w:r>
      <w:r>
        <w:rPr>
          <w:rFonts w:hint="eastAsia" w:ascii="宋体" w:hAnsi="宋体" w:cs="Arial"/>
          <w:kern w:val="0"/>
          <w:sz w:val="22"/>
        </w:rPr>
        <w:t>及中标通知书或合同关键页(封面页、金额页、签字盖章页)复印件并加盖投标人公章作为证明材料。符合①的投标人，若中标通知书或合同关键页无法体现面积参数的，须额外提供业主证明</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ind w:firstLine="440" w:firstLineChars="200"/>
        <w:rPr>
          <w:rFonts w:ascii="宋体" w:hAnsi="宋体" w:cs="Calibri"/>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杭州萧山国际机场T1、T2、T3航站楼标识提升优化方案设计</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2</w:t>
      </w:r>
      <w:r>
        <w:rPr>
          <w:rFonts w:hint="eastAsia" w:cs="Calibri" w:asciiTheme="minorEastAsia" w:hAnsiTheme="minorEastAsia" w:eastAsiaTheme="minorEastAsia"/>
          <w:sz w:val="24"/>
        </w:rPr>
        <w:t>.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3</w:t>
      </w:r>
      <w:r>
        <w:rPr>
          <w:rFonts w:hint="eastAsia" w:cs="Calibri" w:asciiTheme="minorEastAsia" w:hAnsiTheme="minorEastAsia" w:eastAsiaTheme="minorEastAsia"/>
          <w:sz w:val="24"/>
        </w:rPr>
        <w:t>．如我方中标，我方承诺：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08"/>
        <w:gridCol w:w="1880"/>
        <w:gridCol w:w="1873"/>
        <w:gridCol w:w="186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szCs w:val="21"/>
              </w:rPr>
            </w:pPr>
            <w:r>
              <w:rPr>
                <w:rFonts w:cs="Calibri"/>
                <w:szCs w:val="21"/>
              </w:rPr>
              <w:t>序号</w:t>
            </w:r>
          </w:p>
        </w:tc>
        <w:tc>
          <w:tcPr>
            <w:tcW w:w="1308" w:type="dxa"/>
            <w:vAlign w:val="center"/>
          </w:tcPr>
          <w:p>
            <w:pPr>
              <w:jc w:val="center"/>
              <w:rPr>
                <w:rFonts w:cs="Calibri"/>
                <w:szCs w:val="21"/>
              </w:rPr>
            </w:pPr>
            <w:r>
              <w:rPr>
                <w:rFonts w:cs="Calibri"/>
                <w:szCs w:val="21"/>
              </w:rPr>
              <w:t>费用名称</w:t>
            </w:r>
          </w:p>
        </w:tc>
        <w:tc>
          <w:tcPr>
            <w:tcW w:w="1880"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总报价</w:t>
            </w:r>
          </w:p>
        </w:tc>
        <w:tc>
          <w:tcPr>
            <w:tcW w:w="1873" w:type="dxa"/>
            <w:tcBorders>
              <w:left w:val="single" w:color="auto" w:sz="4" w:space="0"/>
            </w:tcBorders>
            <w:vAlign w:val="center"/>
          </w:tcPr>
          <w:p>
            <w:pPr>
              <w:jc w:val="center"/>
              <w:rPr>
                <w:rFonts w:cs="Calibri"/>
                <w:szCs w:val="21"/>
              </w:rPr>
            </w:pPr>
            <w:r>
              <w:rPr>
                <w:rFonts w:hint="eastAsia" w:cs="Calibri"/>
                <w:szCs w:val="21"/>
              </w:rPr>
              <w:t>含税价格</w:t>
            </w:r>
          </w:p>
        </w:tc>
        <w:tc>
          <w:tcPr>
            <w:tcW w:w="1868" w:type="dxa"/>
            <w:tcBorders>
              <w:left w:val="single" w:color="auto" w:sz="4" w:space="0"/>
            </w:tcBorders>
            <w:vAlign w:val="center"/>
          </w:tcPr>
          <w:p>
            <w:pPr>
              <w:jc w:val="center"/>
              <w:rPr>
                <w:rFonts w:cs="Calibri"/>
                <w:szCs w:val="21"/>
              </w:rPr>
            </w:pPr>
            <w:r>
              <w:rPr>
                <w:rFonts w:hint="eastAsia" w:cs="Calibri"/>
                <w:szCs w:val="21"/>
              </w:rPr>
              <w:t>不含税价格</w:t>
            </w:r>
          </w:p>
        </w:tc>
        <w:tc>
          <w:tcPr>
            <w:tcW w:w="1868" w:type="dxa"/>
            <w:tcBorders>
              <w:left w:val="single" w:color="auto" w:sz="4" w:space="0"/>
            </w:tcBorders>
            <w:vAlign w:val="center"/>
          </w:tcPr>
          <w:p>
            <w:pPr>
              <w:jc w:val="center"/>
              <w:rPr>
                <w:rFonts w:cs="Calibri"/>
                <w:szCs w:val="21"/>
              </w:rPr>
            </w:pPr>
            <w:r>
              <w:rPr>
                <w:rFonts w:hint="eastAsia" w:cs="Calibri"/>
                <w:szCs w:val="21"/>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
                <w:bCs/>
                <w:szCs w:val="21"/>
              </w:rPr>
            </w:pPr>
            <w:r>
              <w:rPr>
                <w:rFonts w:cs="Calibri"/>
                <w:bCs/>
                <w:szCs w:val="21"/>
              </w:rPr>
              <w:t>1</w:t>
            </w:r>
          </w:p>
        </w:tc>
        <w:tc>
          <w:tcPr>
            <w:tcW w:w="1308" w:type="dxa"/>
            <w:vAlign w:val="center"/>
          </w:tcPr>
          <w:p>
            <w:pPr>
              <w:jc w:val="center"/>
              <w:rPr>
                <w:rFonts w:cs="Calibri"/>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2</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3</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r>
              <w:rPr>
                <w:rFonts w:hint="eastAsia" w:cs="Calibri"/>
                <w:bCs/>
                <w:szCs w:val="21"/>
              </w:rPr>
              <w:t>4</w:t>
            </w: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p>
        </w:tc>
        <w:tc>
          <w:tcPr>
            <w:tcW w:w="1308" w:type="dxa"/>
            <w:vAlign w:val="center"/>
          </w:tcPr>
          <w:p>
            <w:pPr>
              <w:jc w:val="center"/>
              <w:rPr>
                <w:rFonts w:cs="Calibri"/>
                <w:color w:val="000000"/>
                <w:szCs w:val="21"/>
              </w:rPr>
            </w:pP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4" w:type="dxa"/>
            <w:vAlign w:val="center"/>
          </w:tcPr>
          <w:p>
            <w:pPr>
              <w:jc w:val="center"/>
              <w:rPr>
                <w:rFonts w:cs="Calibri"/>
                <w:bCs/>
                <w:szCs w:val="21"/>
              </w:rPr>
            </w:pPr>
          </w:p>
        </w:tc>
        <w:tc>
          <w:tcPr>
            <w:tcW w:w="1308" w:type="dxa"/>
            <w:vAlign w:val="center"/>
          </w:tcPr>
          <w:p>
            <w:pPr>
              <w:jc w:val="center"/>
              <w:rPr>
                <w:rFonts w:cs="Calibri"/>
                <w:szCs w:val="21"/>
              </w:rPr>
            </w:pPr>
            <w:r>
              <w:rPr>
                <w:rFonts w:hint="eastAsia" w:cs="Calibri"/>
                <w:szCs w:val="21"/>
              </w:rPr>
              <w:t>合  计</w:t>
            </w:r>
          </w:p>
        </w:tc>
        <w:tc>
          <w:tcPr>
            <w:tcW w:w="1880" w:type="dxa"/>
            <w:tcBorders>
              <w:left w:val="single" w:color="auto" w:sz="4" w:space="0"/>
            </w:tcBorders>
            <w:vAlign w:val="center"/>
          </w:tcPr>
          <w:p>
            <w:pPr>
              <w:jc w:val="right"/>
              <w:rPr>
                <w:rFonts w:cs="Calibri"/>
                <w:bCs/>
                <w:szCs w:val="21"/>
              </w:rPr>
            </w:pPr>
          </w:p>
        </w:tc>
        <w:tc>
          <w:tcPr>
            <w:tcW w:w="1873"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c>
          <w:tcPr>
            <w:tcW w:w="1868"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widowControl/>
        <w:jc w:val="center"/>
        <w:rPr>
          <w:rFonts w:eastAsia="黑体" w:cs="Calibri"/>
          <w:color w:val="000000"/>
          <w:sz w:val="32"/>
          <w:szCs w:val="32"/>
        </w:rPr>
      </w:pPr>
      <w:r>
        <w:rPr>
          <w:rFonts w:cs="Calibri"/>
          <w:b/>
          <w:sz w:val="36"/>
          <w:szCs w:val="36"/>
        </w:rPr>
        <w:t>（</w:t>
      </w:r>
      <w:r>
        <w:rPr>
          <w:rFonts w:hint="eastAsia" w:eastAsia="黑体" w:cs="Calibri"/>
          <w:color w:val="000000"/>
          <w:sz w:val="32"/>
          <w:szCs w:val="32"/>
        </w:rPr>
        <w:t>一</w:t>
      </w:r>
      <w:r>
        <w:rPr>
          <w:rFonts w:eastAsia="黑体" w:cs="Calibri"/>
          <w:color w:val="000000"/>
          <w:sz w:val="32"/>
          <w:szCs w:val="32"/>
        </w:rPr>
        <w:t>）</w:t>
      </w:r>
      <w:r>
        <w:rPr>
          <w:rFonts w:hint="eastAsia" w:eastAsia="黑体" w:cs="Calibri"/>
          <w:color w:val="000000"/>
          <w:sz w:val="32"/>
          <w:szCs w:val="32"/>
        </w:rPr>
        <w:t>业绩</w:t>
      </w:r>
      <w:r>
        <w:rPr>
          <w:rFonts w:eastAsia="黑体" w:cs="Calibri"/>
          <w:color w:val="000000"/>
          <w:sz w:val="32"/>
          <w:szCs w:val="32"/>
        </w:rPr>
        <w:t>情况</w:t>
      </w:r>
    </w:p>
    <w:p>
      <w:pPr>
        <w:spacing w:line="400" w:lineRule="exact"/>
        <w:ind w:firstLine="420" w:firstLineChars="200"/>
        <w:jc w:val="center"/>
        <w:rPr>
          <w:rFonts w:ascii="宋体" w:hAnsi="宋体"/>
          <w:bCs/>
          <w:szCs w:val="21"/>
        </w:rPr>
      </w:pPr>
    </w:p>
    <w:tbl>
      <w:tblPr>
        <w:tblStyle w:val="14"/>
        <w:tblW w:w="8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27"/>
        <w:gridCol w:w="1059"/>
        <w:gridCol w:w="1240"/>
        <w:gridCol w:w="1312"/>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序号</w:t>
            </w:r>
          </w:p>
        </w:tc>
        <w:tc>
          <w:tcPr>
            <w:tcW w:w="162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项目名称</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签订合同日期</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rPr>
              <w:t>客户单位</w:t>
            </w:r>
          </w:p>
          <w:p>
            <w:pPr>
              <w:jc w:val="center"/>
              <w:rPr>
                <w:bCs/>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项目负责人</w:t>
            </w:r>
          </w:p>
        </w:tc>
        <w:tc>
          <w:tcPr>
            <w:tcW w:w="175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客户方项目负责人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4" w:type="dxa"/>
            <w:tcBorders>
              <w:top w:val="single" w:color="auto" w:sz="4" w:space="0"/>
              <w:left w:val="single" w:color="auto" w:sz="4" w:space="0"/>
              <w:bottom w:val="single" w:color="auto" w:sz="4" w:space="0"/>
              <w:right w:val="single" w:color="auto" w:sz="4" w:space="0"/>
            </w:tcBorders>
          </w:tcPr>
          <w:p>
            <w:pPr>
              <w:rPr>
                <w:szCs w:val="21"/>
              </w:rPr>
            </w:pPr>
          </w:p>
        </w:tc>
        <w:tc>
          <w:tcPr>
            <w:tcW w:w="1627"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1059" w:type="dxa"/>
            <w:tcBorders>
              <w:top w:val="single" w:color="auto" w:sz="4" w:space="0"/>
              <w:left w:val="single" w:color="auto" w:sz="4" w:space="0"/>
              <w:bottom w:val="single" w:color="auto" w:sz="4" w:space="0"/>
              <w:right w:val="single" w:color="auto" w:sz="4" w:space="0"/>
            </w:tcBorders>
          </w:tcPr>
          <w:p>
            <w:pPr>
              <w:rPr>
                <w:szCs w:val="21"/>
              </w:rPr>
            </w:pPr>
          </w:p>
        </w:tc>
        <w:tc>
          <w:tcPr>
            <w:tcW w:w="1240" w:type="dxa"/>
            <w:tcBorders>
              <w:top w:val="single" w:color="auto" w:sz="4" w:space="0"/>
              <w:left w:val="single" w:color="auto" w:sz="4" w:space="0"/>
              <w:bottom w:val="single" w:color="auto" w:sz="4" w:space="0"/>
              <w:right w:val="single" w:color="auto" w:sz="4" w:space="0"/>
            </w:tcBorders>
          </w:tcPr>
          <w:p>
            <w:pPr>
              <w:rPr>
                <w:szCs w:val="21"/>
              </w:rPr>
            </w:pPr>
          </w:p>
        </w:tc>
        <w:tc>
          <w:tcPr>
            <w:tcW w:w="1312" w:type="dxa"/>
            <w:tcBorders>
              <w:top w:val="single" w:color="auto" w:sz="4" w:space="0"/>
              <w:left w:val="single" w:color="auto" w:sz="4" w:space="0"/>
              <w:bottom w:val="single" w:color="auto" w:sz="4" w:space="0"/>
              <w:right w:val="single" w:color="auto" w:sz="4" w:space="0"/>
            </w:tcBorders>
          </w:tcPr>
          <w:p>
            <w:pPr>
              <w:rPr>
                <w:szCs w:val="21"/>
              </w:rPr>
            </w:pPr>
          </w:p>
        </w:tc>
        <w:tc>
          <w:tcPr>
            <w:tcW w:w="1756" w:type="dxa"/>
            <w:tcBorders>
              <w:top w:val="single" w:color="auto" w:sz="4" w:space="0"/>
              <w:left w:val="single" w:color="auto" w:sz="4" w:space="0"/>
              <w:bottom w:val="single" w:color="auto" w:sz="4" w:space="0"/>
              <w:right w:val="single" w:color="auto" w:sz="4" w:space="0"/>
            </w:tcBorders>
          </w:tcPr>
          <w:p>
            <w:pPr>
              <w:rPr>
                <w:szCs w:val="21"/>
              </w:rPr>
            </w:pPr>
          </w:p>
        </w:tc>
      </w:tr>
    </w:tbl>
    <w:p>
      <w:pPr>
        <w:widowControl/>
        <w:jc w:val="center"/>
        <w:rPr>
          <w:rFonts w:cs="Calibri"/>
          <w:b/>
          <w:sz w:val="36"/>
          <w:szCs w:val="36"/>
        </w:rPr>
      </w:pPr>
    </w:p>
    <w:p>
      <w:pPr>
        <w:widowControl/>
        <w:jc w:val="center"/>
        <w:rPr>
          <w:rFonts w:cs="Calibri"/>
          <w:b/>
          <w:sz w:val="36"/>
          <w:szCs w:val="36"/>
        </w:rPr>
      </w:pPr>
    </w:p>
    <w:p>
      <w:pPr>
        <w:widowControl/>
        <w:jc w:val="center"/>
        <w:rPr>
          <w:rFonts w:eastAsia="黑体" w:cs="Calibri"/>
          <w:color w:val="000000"/>
          <w:sz w:val="32"/>
          <w:szCs w:val="32"/>
        </w:rPr>
      </w:pPr>
      <w:r>
        <w:rPr>
          <w:rFonts w:cs="Calibri"/>
          <w:b/>
          <w:sz w:val="36"/>
          <w:szCs w:val="36"/>
        </w:rPr>
        <w:t>（</w:t>
      </w:r>
      <w:r>
        <w:rPr>
          <w:rFonts w:hint="eastAsia" w:cs="Calibri"/>
          <w:b/>
          <w:sz w:val="36"/>
          <w:szCs w:val="36"/>
        </w:rPr>
        <w:t>二</w:t>
      </w:r>
      <w:r>
        <w:rPr>
          <w:rFonts w:eastAsia="黑体" w:cs="Calibri"/>
          <w:color w:val="000000"/>
          <w:sz w:val="32"/>
          <w:szCs w:val="32"/>
        </w:rPr>
        <w:t>）</w:t>
      </w:r>
      <w:r>
        <w:rPr>
          <w:rFonts w:hint="eastAsia" w:eastAsia="黑体" w:cs="Calibri"/>
          <w:color w:val="000000"/>
          <w:sz w:val="32"/>
          <w:szCs w:val="32"/>
        </w:rPr>
        <w:t>企业信誉及获得各种奖励</w:t>
      </w:r>
      <w:r>
        <w:rPr>
          <w:rFonts w:eastAsia="黑体" w:cs="Calibri"/>
          <w:color w:val="000000"/>
          <w:sz w:val="32"/>
          <w:szCs w:val="32"/>
        </w:rPr>
        <w:t>情况</w:t>
      </w:r>
    </w:p>
    <w:p>
      <w:pPr>
        <w:spacing w:line="400" w:lineRule="exact"/>
        <w:ind w:firstLine="420" w:firstLineChars="200"/>
        <w:jc w:val="center"/>
        <w:rPr>
          <w:rFonts w:ascii="宋体" w:hAnsi="宋体"/>
          <w:bCs/>
          <w:szCs w:val="21"/>
        </w:rPr>
      </w:pPr>
    </w:p>
    <w:tbl>
      <w:tblPr>
        <w:tblStyle w:val="14"/>
        <w:tblW w:w="8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610"/>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荣誉名称</w:t>
            </w:r>
          </w:p>
        </w:tc>
        <w:tc>
          <w:tcPr>
            <w:tcW w:w="38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76" w:type="dxa"/>
            <w:tcBorders>
              <w:top w:val="single" w:color="auto" w:sz="4" w:space="0"/>
              <w:left w:val="single" w:color="auto" w:sz="4" w:space="0"/>
              <w:bottom w:val="single" w:color="auto" w:sz="4" w:space="0"/>
              <w:right w:val="single" w:color="auto" w:sz="4" w:space="0"/>
            </w:tcBorders>
          </w:tcPr>
          <w:p>
            <w:pPr>
              <w:rPr>
                <w:szCs w:val="21"/>
              </w:rPr>
            </w:pPr>
          </w:p>
        </w:tc>
        <w:tc>
          <w:tcPr>
            <w:tcW w:w="3610" w:type="dxa"/>
            <w:tcBorders>
              <w:top w:val="single" w:color="auto" w:sz="4" w:space="0"/>
              <w:left w:val="single" w:color="auto" w:sz="4" w:space="0"/>
              <w:bottom w:val="single" w:color="auto" w:sz="4" w:space="0"/>
              <w:right w:val="single" w:color="auto" w:sz="4" w:space="0"/>
            </w:tcBorders>
          </w:tcPr>
          <w:p>
            <w:pPr>
              <w:widowControl/>
              <w:jc w:val="left"/>
              <w:rPr>
                <w:szCs w:val="21"/>
              </w:rPr>
            </w:pPr>
          </w:p>
        </w:tc>
        <w:tc>
          <w:tcPr>
            <w:tcW w:w="3860" w:type="dxa"/>
            <w:tcBorders>
              <w:top w:val="single" w:color="auto" w:sz="4" w:space="0"/>
              <w:left w:val="single" w:color="auto" w:sz="4" w:space="0"/>
              <w:bottom w:val="single" w:color="auto" w:sz="4" w:space="0"/>
              <w:right w:val="single" w:color="auto" w:sz="4" w:space="0"/>
            </w:tcBorders>
          </w:tcPr>
          <w:p>
            <w:pPr>
              <w:rPr>
                <w:szCs w:val="21"/>
              </w:rPr>
            </w:pPr>
          </w:p>
        </w:tc>
      </w:tr>
    </w:tbl>
    <w:p>
      <w:pPr>
        <w:widowControl/>
        <w:ind w:firstLine="630" w:firstLineChars="300"/>
        <w:rPr>
          <w:rFonts w:ascii="宋体" w:hAnsi="宋体"/>
          <w:kern w:val="0"/>
          <w:szCs w:val="21"/>
        </w:rPr>
      </w:pPr>
    </w:p>
    <w:p>
      <w:pPr>
        <w:adjustRightInd w:val="0"/>
        <w:snapToGrid w:val="0"/>
        <w:spacing w:line="300" w:lineRule="auto"/>
        <w:ind w:firstLine="206" w:firstLineChars="100"/>
        <w:rPr>
          <w:rFonts w:ascii="宋体" w:hAnsi="宋体"/>
          <w:spacing w:val="-2"/>
          <w:szCs w:val="21"/>
        </w:rPr>
      </w:pPr>
      <w:r>
        <w:rPr>
          <w:rFonts w:hint="eastAsia" w:ascii="宋体" w:hAnsi="宋体"/>
          <w:spacing w:val="-2"/>
          <w:szCs w:val="21"/>
        </w:rPr>
        <w:t>备注：以上两项投标人须按照评分标准要求提供业绩</w:t>
      </w:r>
      <w:r>
        <w:rPr>
          <w:rFonts w:hint="eastAsia" w:ascii="宋体" w:hAnsi="宋体"/>
          <w:szCs w:val="21"/>
        </w:rPr>
        <w:t>证明材料</w:t>
      </w:r>
      <w:r>
        <w:rPr>
          <w:rFonts w:hint="eastAsia" w:ascii="宋体" w:hAnsi="宋体"/>
          <w:spacing w:val="-2"/>
          <w:szCs w:val="21"/>
        </w:rPr>
        <w:t>（包括但不限于合同名称、标的、金额，签字盖章页）。资料不全，评委无法确定业绩的不予认可。</w:t>
      </w:r>
    </w:p>
    <w:p>
      <w:pPr>
        <w:spacing w:line="440" w:lineRule="exact"/>
        <w:jc w:val="center"/>
        <w:rPr>
          <w:rFonts w:eastAsia="黑体" w:cs="Calibri"/>
          <w:color w:val="000000"/>
          <w:sz w:val="32"/>
          <w:szCs w:val="32"/>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2"/>
        </w:numPr>
        <w:spacing w:line="440" w:lineRule="exact"/>
        <w:jc w:val="center"/>
        <w:rPr>
          <w:rFonts w:eastAsia="黑体" w:cs="Calibri"/>
          <w:color w:val="000000"/>
          <w:sz w:val="32"/>
          <w:szCs w:val="32"/>
        </w:rPr>
      </w:pPr>
      <w:r>
        <w:rPr>
          <w:rFonts w:hint="eastAsia" w:eastAsia="黑体" w:cs="Calibri"/>
          <w:color w:val="000000"/>
          <w:sz w:val="32"/>
          <w:szCs w:val="32"/>
        </w:rPr>
        <w:t>服务大纲</w:t>
      </w:r>
    </w:p>
    <w:p>
      <w:pPr>
        <w:numPr>
          <w:ilvl w:val="255"/>
          <w:numId w:val="0"/>
        </w:num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4"/>
        <w:tblW w:w="961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3"/>
        <w:gridCol w:w="1770"/>
        <w:gridCol w:w="66"/>
        <w:gridCol w:w="1509"/>
        <w:gridCol w:w="2325"/>
        <w:gridCol w:w="855"/>
        <w:gridCol w:w="19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w:t>
            </w:r>
            <w:r>
              <w:rPr>
                <w:rFonts w:hint="eastAsia" w:cs="Calibri"/>
                <w:szCs w:val="21"/>
              </w:rPr>
              <w:t>务</w:t>
            </w:r>
          </w:p>
        </w:tc>
        <w:tc>
          <w:tcPr>
            <w:tcW w:w="17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从事工作年限</w:t>
            </w:r>
          </w:p>
        </w:tc>
        <w:tc>
          <w:tcPr>
            <w:tcW w:w="5142" w:type="dxa"/>
            <w:gridSpan w:val="3"/>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961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r>
              <w:rPr>
                <w:rFonts w:hint="eastAsia" w:cs="Calibri"/>
                <w:szCs w:val="21"/>
              </w:rPr>
              <w:t>客户</w:t>
            </w:r>
            <w:r>
              <w:rPr>
                <w:rFonts w:cs="Calibri"/>
                <w:szCs w:val="21"/>
              </w:rPr>
              <w:t>单位</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5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合同金额</w:t>
            </w:r>
          </w:p>
          <w:p>
            <w:pPr>
              <w:snapToGrid w:val="0"/>
              <w:jc w:val="center"/>
              <w:rPr>
                <w:rFonts w:cs="Calibri"/>
                <w:szCs w:val="21"/>
              </w:rPr>
            </w:pPr>
            <w:r>
              <w:rPr>
                <w:rFonts w:hint="eastAsia" w:cs="Calibri"/>
                <w:szCs w:val="21"/>
              </w:rPr>
              <w:t>（万元）</w:t>
            </w:r>
          </w:p>
        </w:tc>
        <w:tc>
          <w:tcPr>
            <w:tcW w:w="2325" w:type="dxa"/>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hint="eastAsia" w:cs="Calibri"/>
                <w:szCs w:val="21"/>
              </w:rPr>
              <w:t>合同签订</w:t>
            </w:r>
          </w:p>
          <w:p>
            <w:pPr>
              <w:snapToGrid w:val="0"/>
              <w:jc w:val="center"/>
              <w:rPr>
                <w:rFonts w:cs="Calibri"/>
                <w:szCs w:val="21"/>
              </w:rPr>
            </w:pPr>
            <w:r>
              <w:rPr>
                <w:rFonts w:hint="eastAsia" w:cs="Calibri"/>
                <w:szCs w:val="21"/>
              </w:rPr>
              <w:t>时间</w:t>
            </w:r>
          </w:p>
        </w:tc>
        <w:tc>
          <w:tcPr>
            <w:tcW w:w="281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在该项目中</w:t>
            </w:r>
            <w:r>
              <w:rPr>
                <w:rFonts w:cs="Calibri"/>
                <w:szCs w:val="21"/>
              </w:rPr>
              <w:t>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23"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36"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509"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325"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2817"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w:t>
      </w:r>
      <w:r>
        <w:rPr>
          <w:rFonts w:hint="eastAsia" w:cs="Calibri"/>
          <w:szCs w:val="21"/>
        </w:rPr>
        <w:t>简历</w:t>
      </w:r>
      <w:r>
        <w:rPr>
          <w:rFonts w:cs="Calibri"/>
          <w:szCs w:val="21"/>
        </w:rPr>
        <w:t>、</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bl>
    <w:p>
      <w:pPr>
        <w:adjustRightInd w:val="0"/>
        <w:snapToGrid w:val="0"/>
        <w:spacing w:line="360" w:lineRule="exact"/>
        <w:ind w:firstLine="210" w:firstLineChars="100"/>
        <w:rPr>
          <w:rFonts w:cs="Calibri"/>
          <w:szCs w:val="21"/>
        </w:rPr>
      </w:pPr>
      <w:r>
        <w:rPr>
          <w:rFonts w:cs="Calibri"/>
          <w:szCs w:val="21"/>
        </w:rPr>
        <w:t>注：</w:t>
      </w:r>
      <w:r>
        <w:rPr>
          <w:rFonts w:hint="eastAsia" w:cs="Calibri" w:asciiTheme="minorEastAsia" w:hAnsiTheme="minorEastAsia" w:eastAsiaTheme="minorEastAsia"/>
          <w:color w:val="000000"/>
          <w:sz w:val="22"/>
        </w:rPr>
        <w:t>附团队人员社保证明及</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7"/>
          <w:jc w:val="center"/>
        </w:pPr>
        <w:r>
          <w:fldChar w:fldCharType="begin"/>
        </w:r>
        <w:r>
          <w:instrText xml:space="preserve"> PAGE   \* MERGEFORMAT </w:instrText>
        </w:r>
        <w:r>
          <w:fldChar w:fldCharType="separate"/>
        </w:r>
        <w:r>
          <w:rPr>
            <w:lang w:val="zh-CN"/>
          </w:rPr>
          <w:t>-</w:t>
        </w:r>
        <w:r>
          <w:t xml:space="preserve"> 35 -</w:t>
        </w:r>
        <w:r>
          <w:fldChar w:fldCharType="end"/>
        </w:r>
      </w:p>
    </w:sdtContent>
  </w:sdt>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0</w:t>
    </w:r>
    <w: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杭州萧山国际机场T1、T2、T3航站楼标识提升优化方案设计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F418DD2"/>
    <w:multiLevelType w:val="singleLevel"/>
    <w:tmpl w:val="5F418DD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23D53"/>
    <w:rsid w:val="212731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1">
    <w:name w:val="Default Paragraph Font"/>
    <w:semiHidden/>
    <w:qFormat/>
    <w:uiPriority w:val="0"/>
  </w:style>
  <w:style w:type="table" w:default="1" w:styleId="14">
    <w:name w:val="Normal Table"/>
    <w:unhideWhenUsed/>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Balloon Text"/>
    <w:basedOn w:val="1"/>
    <w:link w:val="18"/>
    <w:uiPriority w:val="0"/>
    <w:rPr>
      <w:sz w:val="18"/>
      <w:szCs w:val="18"/>
    </w:rPr>
  </w:style>
  <w:style w:type="paragraph" w:styleId="7">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qFormat/>
    <w:uiPriority w:val="39"/>
    <w:pPr>
      <w:tabs>
        <w:tab w:val="right" w:leader="dot" w:pos="8659"/>
      </w:tabs>
      <w:spacing w:before="0" w:after="0" w:line="240" w:lineRule="auto"/>
      <w:jc w:val="center"/>
    </w:pPr>
    <w:rPr>
      <w:b w:val="0"/>
      <w:sz w:val="21"/>
    </w:rPr>
  </w:style>
  <w:style w:type="paragraph" w:styleId="10">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2">
    <w:name w:val="page number"/>
    <w:qFormat/>
    <w:uiPriority w:val="0"/>
    <w:rPr>
      <w:rFonts w:ascii="Times New Roman" w:hAnsi="Times New Roman" w:eastAsia="宋体" w:cs="Times New Roman"/>
      <w:lang w:val="en-US" w:eastAsia="zh-CN" w:bidi="ar-SA"/>
    </w:rPr>
  </w:style>
  <w:style w:type="character" w:styleId="13">
    <w:name w:val="Hyperlink"/>
    <w:qFormat/>
    <w:uiPriority w:val="99"/>
    <w:rPr>
      <w:rFonts w:ascii="Times New Roman" w:hAnsi="Times New Roman" w:eastAsia="宋体" w:cs="Times New Roman"/>
      <w:color w:val="0000FF"/>
      <w:u w:val="single"/>
      <w:lang w:val="en-US" w:eastAsia="zh-CN" w:bidi="ar-SA"/>
    </w:rPr>
  </w:style>
  <w:style w:type="paragraph" w:customStyle="1" w:styleId="15">
    <w:name w:val="样式 标题 1 + (符号) Arial 三号"/>
    <w:basedOn w:val="2"/>
    <w:qFormat/>
    <w:uiPriority w:val="0"/>
    <w:pPr>
      <w:snapToGrid w:val="0"/>
      <w:spacing w:before="0" w:after="0" w:line="360" w:lineRule="auto"/>
    </w:pPr>
    <w:rPr>
      <w:sz w:val="32"/>
    </w:rPr>
  </w:style>
  <w:style w:type="character" w:customStyle="1" w:styleId="16">
    <w:name w:val="zbggmain style9"/>
    <w:qFormat/>
    <w:uiPriority w:val="0"/>
    <w:rPr>
      <w:rFonts w:ascii="Times New Roman" w:hAnsi="Times New Roman" w:eastAsia="宋体" w:cs="Times New Roman"/>
      <w:lang w:val="en-US" w:eastAsia="zh-CN" w:bidi="ar-SA"/>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8">
    <w:name w:val="批注框文本 字符"/>
    <w:basedOn w:val="11"/>
    <w:link w:val="6"/>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4360</Words>
  <Characters>24856</Characters>
  <Lines>207</Lines>
  <Paragraphs>58</Paragraphs>
  <TotalTime>0</TotalTime>
  <ScaleCrop>false</ScaleCrop>
  <LinksUpToDate>false</LinksUpToDate>
  <CharactersWithSpaces>29158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2019-08-29T01:42:00Z</dcterms:created>
  <dc:creator>LST…姝</dc:creator>
  <cp:lastModifiedBy>zbzx-jsx</cp:lastModifiedBy>
  <dcterms:modified xsi:type="dcterms:W3CDTF">2019-09-12T03:25:22Z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