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bookmarkStart w:id="0" w:name="OLE_LINK1"/>
      <w:r>
        <w:rPr>
          <w:rFonts w:hint="eastAsia" w:ascii="黑体" w:hAnsi="黑体" w:eastAsia="黑体"/>
          <w:b/>
          <w:sz w:val="44"/>
          <w:szCs w:val="44"/>
        </w:rPr>
        <w:t xml:space="preserve">杭州萧山国际机场                        </w:t>
      </w:r>
    </w:p>
    <w:p>
      <w:pPr>
        <w:widowControl/>
        <w:autoSpaceDE w:val="0"/>
        <w:autoSpaceDN w:val="0"/>
        <w:textAlignment w:val="bottom"/>
        <w:rPr>
          <w:rFonts w:ascii="黑体" w:hAnsi="黑体" w:eastAsia="黑体"/>
          <w:b/>
          <w:sz w:val="44"/>
          <w:szCs w:val="44"/>
        </w:rPr>
      </w:pPr>
      <w:r>
        <w:rPr>
          <w:rFonts w:hint="eastAsia" w:eastAsia="黑体" w:cs="Calibri"/>
          <w:b/>
          <w:sz w:val="44"/>
          <w:szCs w:val="44"/>
        </w:rPr>
        <w:t xml:space="preserve">      </w:t>
      </w:r>
      <w:r>
        <w:rPr>
          <w:rFonts w:hint="eastAsia" w:eastAsia="黑体" w:cs="Calibri"/>
          <w:b/>
          <w:sz w:val="44"/>
          <w:szCs w:val="44"/>
          <w:u w:val="single"/>
        </w:rPr>
        <w:t xml:space="preserve">员工集体宿舍绿化环境改造 </w:t>
      </w:r>
      <w:r>
        <w:rPr>
          <w:rFonts w:hint="eastAsia" w:eastAsia="黑体" w:cs="Calibri"/>
          <w:b/>
          <w:sz w:val="44"/>
          <w:szCs w:val="44"/>
        </w:rPr>
        <w:t>工程</w:t>
      </w:r>
    </w:p>
    <w:bookmarkEnd w:id="0"/>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7"/>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九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11"/>
        <w:tabs>
          <w:tab w:val="right" w:leader="dot" w:pos="8290"/>
        </w:tabs>
        <w:spacing w:line="360" w:lineRule="auto"/>
        <w:rPr>
          <w:rFonts w:ascii="宋体" w:hAnsi="宋体" w:eastAsia="宋体" w:cs="黑体"/>
          <w:szCs w:val="22"/>
        </w:rPr>
      </w:pPr>
      <w:r>
        <w:rPr>
          <w:rFonts w:hint="eastAsia" w:ascii="宋体" w:hAnsi="宋体" w:eastAsia="宋体"/>
          <w:b/>
          <w:sz w:val="22"/>
          <w:szCs w:val="22"/>
        </w:rPr>
        <w:fldChar w:fldCharType="begin"/>
      </w:r>
      <w:r>
        <w:rPr>
          <w:rFonts w:hint="eastAsia" w:ascii="宋体" w:hAnsi="宋体" w:eastAsia="宋体"/>
          <w:b/>
          <w:sz w:val="22"/>
          <w:szCs w:val="22"/>
        </w:rPr>
        <w:instrText xml:space="preserve"> TOC \o "1-1" \h \z \u </w:instrText>
      </w:r>
      <w:r>
        <w:rPr>
          <w:rFonts w:hint="eastAsia" w:ascii="宋体" w:hAnsi="宋体" w:eastAsia="宋体"/>
          <w:b/>
          <w:sz w:val="22"/>
          <w:szCs w:val="22"/>
        </w:rPr>
        <w:fldChar w:fldCharType="separate"/>
      </w:r>
      <w:r>
        <w:fldChar w:fldCharType="begin"/>
      </w:r>
      <w:r>
        <w:instrText xml:space="preserve"> HYPERLINK \l "_Toc450630556" </w:instrText>
      </w:r>
      <w:r>
        <w:fldChar w:fldCharType="separate"/>
      </w:r>
      <w:r>
        <w:rPr>
          <w:rStyle w:val="16"/>
          <w:rFonts w:hint="eastAsia" w:ascii="宋体" w:hAnsi="宋体" w:eastAsia="宋体"/>
        </w:rPr>
        <w:t>第一章</w:t>
      </w:r>
      <w:r>
        <w:rPr>
          <w:rStyle w:val="16"/>
          <w:rFonts w:ascii="宋体" w:hAnsi="宋体" w:eastAsia="宋体"/>
        </w:rPr>
        <w:t xml:space="preserve"> </w:t>
      </w:r>
      <w:r>
        <w:rPr>
          <w:rStyle w:val="16"/>
          <w:rFonts w:hint="eastAsia" w:ascii="宋体" w:hAnsi="宋体" w:eastAsia="宋体"/>
        </w:rPr>
        <w:t xml:space="preserve"> 招标公告</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_Toc450630556 \h </w:instrText>
      </w:r>
      <w:r>
        <w:rPr>
          <w:rFonts w:ascii="宋体" w:hAnsi="宋体" w:eastAsia="宋体"/>
        </w:rPr>
        <w:fldChar w:fldCharType="separate"/>
      </w:r>
      <w:r>
        <w:rPr>
          <w:rFonts w:ascii="宋体" w:hAnsi="宋体" w:eastAsia="宋体"/>
        </w:rPr>
        <w:t>- 2 -</w:t>
      </w:r>
      <w:r>
        <w:rPr>
          <w:rFonts w:ascii="宋体" w:hAnsi="宋体" w:eastAsia="宋体"/>
        </w:rPr>
        <w:fldChar w:fldCharType="end"/>
      </w:r>
      <w:r>
        <w:rPr>
          <w:rFonts w:ascii="宋体" w:hAnsi="宋体" w:eastAsia="宋体"/>
        </w:rPr>
        <w:fldChar w:fldCharType="end"/>
      </w:r>
    </w:p>
    <w:p>
      <w:pPr>
        <w:pStyle w:val="11"/>
        <w:tabs>
          <w:tab w:val="right" w:leader="dot" w:pos="8290"/>
        </w:tabs>
        <w:spacing w:line="360" w:lineRule="auto"/>
        <w:rPr>
          <w:rFonts w:ascii="宋体" w:hAnsi="宋体" w:eastAsia="宋体" w:cs="黑体"/>
          <w:szCs w:val="22"/>
        </w:rPr>
      </w:pPr>
      <w:r>
        <w:fldChar w:fldCharType="begin"/>
      </w:r>
      <w:r>
        <w:instrText xml:space="preserve"> HYPERLINK \l "_Toc450630558" </w:instrText>
      </w:r>
      <w:r>
        <w:fldChar w:fldCharType="separate"/>
      </w:r>
      <w:r>
        <w:rPr>
          <w:rStyle w:val="16"/>
          <w:rFonts w:hint="eastAsia" w:ascii="宋体" w:hAnsi="宋体" w:eastAsia="宋体"/>
        </w:rPr>
        <w:t>第二章</w:t>
      </w:r>
      <w:r>
        <w:rPr>
          <w:rStyle w:val="16"/>
          <w:rFonts w:ascii="宋体" w:hAnsi="宋体" w:eastAsia="宋体"/>
        </w:rPr>
        <w:t xml:space="preserve">  </w:t>
      </w:r>
      <w:r>
        <w:rPr>
          <w:rStyle w:val="16"/>
          <w:rFonts w:hint="eastAsia" w:ascii="宋体" w:hAnsi="宋体" w:eastAsia="宋体"/>
        </w:rPr>
        <w:t>投标人须知</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_Toc450630558 \h </w:instrText>
      </w:r>
      <w:r>
        <w:rPr>
          <w:rFonts w:ascii="宋体" w:hAnsi="宋体" w:eastAsia="宋体"/>
        </w:rPr>
        <w:fldChar w:fldCharType="separate"/>
      </w:r>
      <w:r>
        <w:rPr>
          <w:rFonts w:ascii="宋体" w:hAnsi="宋体" w:eastAsia="宋体"/>
        </w:rPr>
        <w:t>- 3 -</w:t>
      </w:r>
      <w:r>
        <w:rPr>
          <w:rFonts w:ascii="宋体" w:hAnsi="宋体" w:eastAsia="宋体"/>
        </w:rPr>
        <w:fldChar w:fldCharType="end"/>
      </w:r>
      <w:r>
        <w:rPr>
          <w:rFonts w:ascii="宋体" w:hAnsi="宋体" w:eastAsia="宋体"/>
        </w:rPr>
        <w:fldChar w:fldCharType="end"/>
      </w:r>
    </w:p>
    <w:p>
      <w:pPr>
        <w:pStyle w:val="11"/>
        <w:tabs>
          <w:tab w:val="right" w:leader="dot" w:pos="8290"/>
        </w:tabs>
        <w:spacing w:line="360" w:lineRule="auto"/>
        <w:rPr>
          <w:rFonts w:ascii="宋体" w:hAnsi="宋体" w:eastAsia="宋体" w:cs="黑体"/>
          <w:szCs w:val="22"/>
        </w:rPr>
      </w:pPr>
      <w:r>
        <w:fldChar w:fldCharType="begin"/>
      </w:r>
      <w:r>
        <w:instrText xml:space="preserve"> HYPERLINK \l "_Toc450630559" </w:instrText>
      </w:r>
      <w:r>
        <w:fldChar w:fldCharType="separate"/>
      </w:r>
      <w:r>
        <w:rPr>
          <w:rStyle w:val="16"/>
          <w:rFonts w:hint="eastAsia" w:ascii="宋体" w:hAnsi="宋体" w:eastAsia="宋体"/>
        </w:rPr>
        <w:t>第三章</w:t>
      </w:r>
      <w:r>
        <w:rPr>
          <w:rStyle w:val="16"/>
          <w:rFonts w:ascii="宋体" w:hAnsi="宋体" w:eastAsia="宋体"/>
        </w:rPr>
        <w:t xml:space="preserve">  </w:t>
      </w:r>
      <w:r>
        <w:rPr>
          <w:rStyle w:val="16"/>
          <w:rFonts w:hint="eastAsia" w:ascii="宋体" w:hAnsi="宋体" w:eastAsia="宋体"/>
        </w:rPr>
        <w:t>合同条款及格式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_Toc450630559 \h </w:instrText>
      </w:r>
      <w:r>
        <w:rPr>
          <w:rFonts w:ascii="宋体" w:hAnsi="宋体" w:eastAsia="宋体"/>
        </w:rPr>
        <w:fldChar w:fldCharType="separate"/>
      </w:r>
      <w:r>
        <w:rPr>
          <w:rFonts w:ascii="宋体" w:hAnsi="宋体" w:eastAsia="宋体"/>
        </w:rPr>
        <w:t>- 11 -</w:t>
      </w:r>
      <w:r>
        <w:rPr>
          <w:rFonts w:ascii="宋体" w:hAnsi="宋体" w:eastAsia="宋体"/>
        </w:rPr>
        <w:fldChar w:fldCharType="end"/>
      </w:r>
      <w:r>
        <w:rPr>
          <w:rFonts w:ascii="宋体" w:hAnsi="宋体" w:eastAsia="宋体"/>
        </w:rPr>
        <w:fldChar w:fldCharType="end"/>
      </w:r>
    </w:p>
    <w:p>
      <w:pPr>
        <w:pStyle w:val="11"/>
        <w:tabs>
          <w:tab w:val="right" w:leader="dot" w:pos="8290"/>
        </w:tabs>
        <w:spacing w:line="360" w:lineRule="auto"/>
        <w:rPr>
          <w:rFonts w:ascii="宋体" w:hAnsi="宋体" w:eastAsia="宋体" w:cs="黑体"/>
          <w:szCs w:val="22"/>
        </w:rPr>
      </w:pPr>
      <w:r>
        <w:fldChar w:fldCharType="begin"/>
      </w:r>
      <w:r>
        <w:instrText xml:space="preserve"> HYPERLINK \l "_Toc450630562" </w:instrText>
      </w:r>
      <w:r>
        <w:fldChar w:fldCharType="separate"/>
      </w:r>
      <w:r>
        <w:rPr>
          <w:rStyle w:val="16"/>
          <w:rFonts w:hint="eastAsia" w:ascii="宋体" w:hAnsi="宋体" w:eastAsia="宋体"/>
        </w:rPr>
        <w:t>第四章</w:t>
      </w:r>
      <w:r>
        <w:rPr>
          <w:rStyle w:val="16"/>
          <w:rFonts w:ascii="宋体" w:hAnsi="宋体" w:eastAsia="宋体"/>
        </w:rPr>
        <w:t xml:space="preserve">  </w:t>
      </w:r>
      <w:r>
        <w:rPr>
          <w:rStyle w:val="16"/>
          <w:rFonts w:hint="eastAsia" w:ascii="宋体" w:hAnsi="宋体" w:eastAsia="宋体"/>
        </w:rPr>
        <w:t>参考工程量清单</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_Toc450630562 \h </w:instrText>
      </w:r>
      <w:r>
        <w:rPr>
          <w:rFonts w:ascii="宋体" w:hAnsi="宋体" w:eastAsia="宋体"/>
        </w:rPr>
        <w:fldChar w:fldCharType="separate"/>
      </w:r>
      <w:r>
        <w:rPr>
          <w:rFonts w:ascii="宋体" w:hAnsi="宋体" w:eastAsia="宋体"/>
        </w:rPr>
        <w:t>- 30 -</w:t>
      </w:r>
      <w:r>
        <w:rPr>
          <w:rFonts w:ascii="宋体" w:hAnsi="宋体" w:eastAsia="宋体"/>
        </w:rPr>
        <w:fldChar w:fldCharType="end"/>
      </w:r>
      <w:r>
        <w:rPr>
          <w:rFonts w:ascii="宋体" w:hAnsi="宋体" w:eastAsia="宋体"/>
        </w:rPr>
        <w:fldChar w:fldCharType="end"/>
      </w:r>
    </w:p>
    <w:p>
      <w:pPr>
        <w:pStyle w:val="11"/>
        <w:tabs>
          <w:tab w:val="right" w:leader="dot" w:pos="8290"/>
        </w:tabs>
        <w:spacing w:line="360" w:lineRule="auto"/>
        <w:rPr>
          <w:rFonts w:ascii="宋体" w:hAnsi="宋体" w:eastAsia="宋体" w:cs="黑体"/>
          <w:szCs w:val="22"/>
        </w:rPr>
      </w:pPr>
      <w:r>
        <w:fldChar w:fldCharType="begin"/>
      </w:r>
      <w:r>
        <w:instrText xml:space="preserve"> HYPERLINK \l "_Toc450630563" </w:instrText>
      </w:r>
      <w:r>
        <w:fldChar w:fldCharType="separate"/>
      </w:r>
      <w:r>
        <w:rPr>
          <w:rStyle w:val="16"/>
          <w:rFonts w:hint="eastAsia" w:ascii="宋体" w:hAnsi="宋体" w:eastAsia="宋体"/>
        </w:rPr>
        <w:t>第五章</w:t>
      </w:r>
      <w:r>
        <w:rPr>
          <w:rStyle w:val="16"/>
          <w:rFonts w:ascii="宋体" w:hAnsi="宋体" w:eastAsia="宋体"/>
        </w:rPr>
        <w:t xml:space="preserve">  </w:t>
      </w:r>
      <w:r>
        <w:rPr>
          <w:rStyle w:val="16"/>
          <w:rFonts w:hint="eastAsia" w:ascii="宋体" w:hAnsi="宋体" w:eastAsia="宋体"/>
        </w:rPr>
        <w:t>技术标准及要求</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_Toc450630563 \h </w:instrText>
      </w:r>
      <w:r>
        <w:rPr>
          <w:rFonts w:ascii="宋体" w:hAnsi="宋体" w:eastAsia="宋体"/>
        </w:rPr>
        <w:fldChar w:fldCharType="separate"/>
      </w:r>
      <w:r>
        <w:rPr>
          <w:rFonts w:ascii="宋体" w:hAnsi="宋体" w:eastAsia="宋体"/>
        </w:rPr>
        <w:t>- 30 -</w:t>
      </w:r>
      <w:r>
        <w:rPr>
          <w:rFonts w:ascii="宋体" w:hAnsi="宋体" w:eastAsia="宋体"/>
        </w:rPr>
        <w:fldChar w:fldCharType="end"/>
      </w:r>
      <w:r>
        <w:rPr>
          <w:rFonts w:ascii="宋体" w:hAnsi="宋体" w:eastAsia="宋体"/>
        </w:rPr>
        <w:fldChar w:fldCharType="end"/>
      </w:r>
    </w:p>
    <w:p>
      <w:pPr>
        <w:pStyle w:val="11"/>
        <w:tabs>
          <w:tab w:val="right" w:leader="dot" w:pos="8290"/>
        </w:tabs>
        <w:spacing w:line="360" w:lineRule="auto"/>
        <w:rPr>
          <w:rFonts w:ascii="宋体" w:hAnsi="宋体" w:eastAsia="宋体" w:cs="黑体"/>
          <w:szCs w:val="22"/>
        </w:rPr>
      </w:pPr>
      <w:r>
        <w:fldChar w:fldCharType="begin"/>
      </w:r>
      <w:r>
        <w:instrText xml:space="preserve"> HYPERLINK \l "_Toc450630564" </w:instrText>
      </w:r>
      <w:r>
        <w:fldChar w:fldCharType="separate"/>
      </w:r>
      <w:r>
        <w:rPr>
          <w:rStyle w:val="16"/>
          <w:rFonts w:hint="eastAsia" w:ascii="宋体" w:hAnsi="宋体" w:eastAsia="宋体"/>
        </w:rPr>
        <w:t>第六章</w:t>
      </w:r>
      <w:r>
        <w:rPr>
          <w:rStyle w:val="16"/>
          <w:rFonts w:ascii="宋体" w:hAnsi="宋体" w:eastAsia="宋体"/>
        </w:rPr>
        <w:t xml:space="preserve">  </w:t>
      </w:r>
      <w:r>
        <w:rPr>
          <w:rStyle w:val="16"/>
          <w:rFonts w:hint="eastAsia" w:ascii="宋体" w:hAnsi="宋体" w:eastAsia="宋体"/>
        </w:rPr>
        <w:t>评标办法及标准</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_Toc450630564 \h </w:instrText>
      </w:r>
      <w:r>
        <w:rPr>
          <w:rFonts w:ascii="宋体" w:hAnsi="宋体" w:eastAsia="宋体"/>
        </w:rPr>
        <w:fldChar w:fldCharType="separate"/>
      </w:r>
      <w:r>
        <w:rPr>
          <w:rFonts w:ascii="宋体" w:hAnsi="宋体" w:eastAsia="宋体"/>
        </w:rPr>
        <w:t>- 34 -</w:t>
      </w:r>
      <w:r>
        <w:rPr>
          <w:rFonts w:ascii="宋体" w:hAnsi="宋体" w:eastAsia="宋体"/>
        </w:rPr>
        <w:fldChar w:fldCharType="end"/>
      </w:r>
      <w:r>
        <w:rPr>
          <w:rFonts w:ascii="宋体" w:hAnsi="宋体" w:eastAsia="宋体"/>
        </w:rPr>
        <w:fldChar w:fldCharType="end"/>
      </w:r>
    </w:p>
    <w:p>
      <w:pPr>
        <w:pStyle w:val="11"/>
        <w:tabs>
          <w:tab w:val="right" w:leader="dot" w:pos="8290"/>
        </w:tabs>
        <w:spacing w:line="360" w:lineRule="auto"/>
        <w:rPr>
          <w:rFonts w:ascii="宋体" w:hAnsi="宋体" w:eastAsia="宋体" w:cs="黑体"/>
          <w:szCs w:val="22"/>
        </w:rPr>
      </w:pPr>
      <w:r>
        <w:fldChar w:fldCharType="begin"/>
      </w:r>
      <w:r>
        <w:instrText xml:space="preserve"> HYPERLINK \l "_Toc450630565" </w:instrText>
      </w:r>
      <w:r>
        <w:fldChar w:fldCharType="separate"/>
      </w:r>
      <w:r>
        <w:rPr>
          <w:rStyle w:val="16"/>
          <w:rFonts w:hint="eastAsia" w:ascii="宋体" w:hAnsi="宋体" w:eastAsia="宋体"/>
        </w:rPr>
        <w:t>第七章</w:t>
      </w:r>
      <w:r>
        <w:rPr>
          <w:rStyle w:val="16"/>
          <w:rFonts w:ascii="宋体" w:hAnsi="宋体" w:eastAsia="宋体"/>
        </w:rPr>
        <w:t xml:space="preserve">  </w:t>
      </w:r>
      <w:r>
        <w:rPr>
          <w:rStyle w:val="16"/>
          <w:rFonts w:hint="eastAsia" w:ascii="宋体" w:hAnsi="宋体" w:eastAsia="宋体"/>
        </w:rPr>
        <w:t>投标文件格式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_Toc450630565 \h </w:instrText>
      </w:r>
      <w:r>
        <w:rPr>
          <w:rFonts w:ascii="宋体" w:hAnsi="宋体" w:eastAsia="宋体"/>
        </w:rPr>
        <w:fldChar w:fldCharType="separate"/>
      </w:r>
      <w:r>
        <w:rPr>
          <w:rFonts w:ascii="宋体" w:hAnsi="宋体" w:eastAsia="宋体"/>
        </w:rPr>
        <w:t>- 37 -</w:t>
      </w:r>
      <w:r>
        <w:rPr>
          <w:rFonts w:ascii="宋体" w:hAnsi="宋体" w:eastAsia="宋体"/>
        </w:rPr>
        <w:fldChar w:fldCharType="end"/>
      </w:r>
      <w:r>
        <w:rPr>
          <w:rFonts w:ascii="宋体" w:hAnsi="宋体" w:eastAsia="宋体"/>
        </w:rPr>
        <w:fldChar w:fldCharType="end"/>
      </w:r>
    </w:p>
    <w:p>
      <w:pPr>
        <w:tabs>
          <w:tab w:val="right" w:leader="dot" w:pos="8364"/>
        </w:tabs>
        <w:spacing w:line="360" w:lineRule="auto"/>
        <w:rPr>
          <w:b/>
        </w:rPr>
      </w:pPr>
      <w:r>
        <w:rPr>
          <w:rFonts w:hint="eastAsia" w:ascii="宋体" w:hAnsi="宋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13"/>
      </w:pPr>
      <w:bookmarkStart w:id="1" w:name="_Toc450630556"/>
      <w:r>
        <w:rPr>
          <w:rFonts w:hint="eastAsia"/>
        </w:rPr>
        <w:t>第一章 招标公告</w:t>
      </w:r>
      <w:bookmarkEnd w:id="1"/>
    </w:p>
    <w:p>
      <w:pPr>
        <w:widowControl/>
        <w:snapToGrid w:val="0"/>
        <w:spacing w:line="360" w:lineRule="exact"/>
        <w:jc w:val="left"/>
        <w:rPr>
          <w:rFonts w:ascii="宋体" w:hAnsi="宋体" w:cs="Arial"/>
          <w:b/>
          <w:bCs/>
          <w:kern w:val="0"/>
          <w:sz w:val="22"/>
          <w:szCs w:val="22"/>
        </w:rPr>
      </w:pPr>
    </w:p>
    <w:p>
      <w:pPr>
        <w:pStyle w:val="18"/>
        <w:widowControl/>
        <w:numPr>
          <w:numId w:val="0"/>
        </w:numPr>
        <w:snapToGrid w:val="0"/>
        <w:spacing w:line="360" w:lineRule="exact"/>
        <w:ind w:leftChars="0"/>
        <w:jc w:val="left"/>
        <w:rPr>
          <w:rFonts w:ascii="宋体" w:hAnsi="宋体" w:cs="Arial"/>
          <w:b/>
          <w:bCs/>
          <w:kern w:val="0"/>
          <w:sz w:val="22"/>
          <w:szCs w:val="22"/>
        </w:rPr>
      </w:pPr>
      <w:r>
        <w:rPr>
          <w:rFonts w:hint="eastAsia" w:ascii="宋体" w:hAnsi="宋体" w:cs="Arial"/>
          <w:b/>
          <w:bCs/>
          <w:kern w:val="0"/>
          <w:sz w:val="22"/>
          <w:szCs w:val="22"/>
          <w:lang w:eastAsia="zh-CN"/>
        </w:rPr>
        <w:t>一、</w:t>
      </w:r>
      <w:r>
        <w:rPr>
          <w:rFonts w:hint="eastAsia" w:ascii="宋体" w:hAnsi="宋体" w:cs="Arial"/>
          <w:b/>
          <w:bCs/>
          <w:kern w:val="0"/>
          <w:sz w:val="22"/>
          <w:szCs w:val="22"/>
        </w:rPr>
        <w:t>招标内容</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（1）项目概况：机场员工宿舍位于杭州萧山国际机场内，此次改造包含绿化景观提升，篮球场及羽毛球场地的改造，清理原地面并改建为塑胶地面等。</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 xml:space="preserve">（2）招标内容：详见工程量清单。 </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（3）本工程设一个标段，要求</w:t>
      </w:r>
      <w:r>
        <w:rPr>
          <w:rFonts w:hint="eastAsia" w:ascii="宋体" w:hAnsi="宋体" w:cs="Calibri"/>
          <w:kern w:val="0"/>
          <w:sz w:val="22"/>
        </w:rPr>
        <w:t>合同签订后</w:t>
      </w:r>
      <w:r>
        <w:rPr>
          <w:rFonts w:hint="eastAsia" w:ascii="宋体" w:hAnsi="宋体" w:cs="Arial"/>
          <w:kern w:val="0"/>
          <w:sz w:val="22"/>
          <w:szCs w:val="22"/>
          <w:u w:val="single"/>
        </w:rPr>
        <w:t xml:space="preserve">     30     </w:t>
      </w:r>
      <w:r>
        <w:rPr>
          <w:rFonts w:hint="eastAsia" w:ascii="宋体" w:hAnsi="宋体" w:cs="Arial"/>
          <w:kern w:val="0"/>
          <w:sz w:val="22"/>
          <w:szCs w:val="22"/>
        </w:rPr>
        <w:t>日历天内完工。</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二、投标人资格要求</w:t>
      </w:r>
      <w:r>
        <w:rPr>
          <w:rFonts w:ascii="宋体" w:hAnsi="宋体" w:cs="Arial"/>
          <w:b/>
          <w:bCs/>
          <w:kern w:val="0"/>
          <w:sz w:val="22"/>
          <w:szCs w:val="22"/>
        </w:rPr>
        <w:t> </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（1）具有独立法人资格，持有有效营业执照；</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w:t>
      </w:r>
      <w:r>
        <w:rPr>
          <w:rFonts w:ascii="宋体" w:hAnsi="宋体" w:cs="Arial"/>
          <w:kern w:val="0"/>
          <w:sz w:val="22"/>
          <w:szCs w:val="22"/>
        </w:rPr>
        <w:t>2</w:t>
      </w:r>
      <w:r>
        <w:rPr>
          <w:rFonts w:hint="eastAsia" w:ascii="宋体" w:hAnsi="宋体" w:cs="Arial"/>
          <w:kern w:val="0"/>
          <w:sz w:val="22"/>
          <w:szCs w:val="22"/>
        </w:rPr>
        <w:t>）</w:t>
      </w:r>
      <w:r>
        <w:rPr>
          <w:rFonts w:hint="eastAsia" w:ascii="宋体" w:hAnsi="宋体" w:cs="宋体"/>
          <w:sz w:val="22"/>
          <w:szCs w:val="22"/>
        </w:rPr>
        <w:t>投标人具备</w:t>
      </w:r>
      <w:r>
        <w:rPr>
          <w:rFonts w:hint="eastAsia" w:ascii="宋体" w:hAnsi="宋体" w:cs="宋体"/>
          <w:sz w:val="22"/>
          <w:szCs w:val="22"/>
          <w:u w:val="single"/>
        </w:rPr>
        <w:t xml:space="preserve">     市政工程     </w:t>
      </w:r>
      <w:r>
        <w:rPr>
          <w:rFonts w:hint="eastAsia" w:ascii="宋体" w:hAnsi="宋体" w:cs="宋体"/>
          <w:sz w:val="22"/>
          <w:szCs w:val="22"/>
        </w:rPr>
        <w:t>施工总承包</w:t>
      </w:r>
      <w:r>
        <w:rPr>
          <w:rFonts w:hint="eastAsia" w:ascii="宋体" w:hAnsi="宋体" w:cs="宋体"/>
          <w:sz w:val="22"/>
          <w:szCs w:val="22"/>
          <w:u w:val="single"/>
        </w:rPr>
        <w:t xml:space="preserve">三   </w:t>
      </w:r>
      <w:r>
        <w:rPr>
          <w:rFonts w:hint="eastAsia" w:ascii="宋体" w:hAnsi="宋体" w:cs="宋体"/>
          <w:sz w:val="22"/>
          <w:szCs w:val="22"/>
        </w:rPr>
        <w:t>级及以上资质。</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szCs w:val="22"/>
        </w:rPr>
        <w:t>（</w:t>
      </w:r>
      <w:r>
        <w:rPr>
          <w:rFonts w:ascii="宋体" w:hAnsi="宋体" w:cs="Arial"/>
          <w:kern w:val="0"/>
          <w:sz w:val="22"/>
          <w:szCs w:val="22"/>
        </w:rPr>
        <w:t>3</w:t>
      </w:r>
      <w:r>
        <w:rPr>
          <w:rFonts w:hint="eastAsia" w:ascii="宋体" w:hAnsi="宋体" w:cs="Arial"/>
          <w:kern w:val="0"/>
          <w:sz w:val="22"/>
          <w:szCs w:val="22"/>
        </w:rPr>
        <w:t>）</w:t>
      </w:r>
      <w:r>
        <w:rPr>
          <w:rFonts w:hint="eastAsia" w:ascii="宋体" w:hAnsi="宋体" w:cs="宋体"/>
          <w:sz w:val="22"/>
          <w:szCs w:val="22"/>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w:t>
      </w:r>
      <w:r>
        <w:rPr>
          <w:rFonts w:hint="eastAsia" w:ascii="宋体" w:hAnsi="宋体" w:cs="宋体"/>
          <w:b/>
          <w:sz w:val="22"/>
          <w:szCs w:val="22"/>
        </w:rPr>
        <w:t>企业法定代表人、企业经理、企业技术负责人及企业分管安全的副经理须提供相应任职文件。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宋体"/>
          <w:sz w:val="22"/>
          <w:szCs w:val="22"/>
        </w:rPr>
        <w:t>（</w:t>
      </w:r>
      <w:r>
        <w:rPr>
          <w:rFonts w:ascii="宋体" w:hAnsi="宋体" w:cs="宋体"/>
          <w:sz w:val="22"/>
          <w:szCs w:val="22"/>
        </w:rPr>
        <w:t>4</w:t>
      </w:r>
      <w:r>
        <w:rPr>
          <w:rFonts w:hint="eastAsia" w:ascii="宋体" w:hAnsi="宋体" w:cs="宋体"/>
          <w:sz w:val="22"/>
          <w:szCs w:val="22"/>
        </w:rPr>
        <w:t>）项目经理资格要求：具有</w:t>
      </w:r>
      <w:r>
        <w:rPr>
          <w:rFonts w:hint="eastAsia" w:ascii="宋体" w:hAnsi="宋体" w:cs="宋体"/>
          <w:sz w:val="22"/>
          <w:szCs w:val="22"/>
          <w:u w:val="single"/>
        </w:rPr>
        <w:t xml:space="preserve">   市政  </w:t>
      </w:r>
      <w:r>
        <w:rPr>
          <w:rFonts w:hint="eastAsia" w:ascii="宋体" w:hAnsi="宋体" w:cs="宋体"/>
          <w:sz w:val="22"/>
          <w:szCs w:val="22"/>
        </w:rPr>
        <w:t>专业</w:t>
      </w:r>
      <w:r>
        <w:rPr>
          <w:rFonts w:hint="eastAsia" w:ascii="宋体" w:hAnsi="宋体" w:cs="宋体"/>
          <w:sz w:val="22"/>
          <w:szCs w:val="22"/>
          <w:u w:val="single"/>
        </w:rPr>
        <w:t xml:space="preserve">  二  </w:t>
      </w:r>
      <w:r>
        <w:rPr>
          <w:rFonts w:hint="eastAsia" w:ascii="宋体" w:hAnsi="宋体" w:cs="宋体"/>
          <w:sz w:val="22"/>
          <w:szCs w:val="22"/>
        </w:rPr>
        <w:t>级及以上注册建造师执业证书。</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w:t>
      </w:r>
      <w:r>
        <w:rPr>
          <w:rFonts w:ascii="宋体" w:hAnsi="宋体" w:cs="Arial"/>
          <w:kern w:val="0"/>
          <w:sz w:val="22"/>
          <w:szCs w:val="22"/>
        </w:rPr>
        <w:t>5</w:t>
      </w:r>
      <w:r>
        <w:rPr>
          <w:rFonts w:hint="eastAsia" w:ascii="宋体" w:hAnsi="宋体" w:cs="Arial"/>
          <w:kern w:val="0"/>
          <w:sz w:val="22"/>
          <w:szCs w:val="22"/>
        </w:rPr>
        <w:t>）</w:t>
      </w:r>
      <w:r>
        <w:rPr>
          <w:rFonts w:ascii="宋体" w:hAnsi="宋体" w:cs="Arial"/>
          <w:kern w:val="0"/>
          <w:sz w:val="22"/>
          <w:szCs w:val="22"/>
        </w:rPr>
        <w:t>本项目不接受联合</w:t>
      </w:r>
      <w:r>
        <w:rPr>
          <w:rFonts w:hint="eastAsia" w:ascii="宋体" w:hAnsi="宋体" w:cs="Arial"/>
          <w:kern w:val="0"/>
          <w:sz w:val="22"/>
          <w:szCs w:val="22"/>
        </w:rPr>
        <w:t>体</w:t>
      </w:r>
      <w:r>
        <w:rPr>
          <w:rFonts w:ascii="宋体" w:hAnsi="宋体" w:cs="Arial"/>
          <w:kern w:val="0"/>
          <w:sz w:val="22"/>
          <w:szCs w:val="22"/>
        </w:rPr>
        <w:t>投标</w:t>
      </w:r>
      <w:r>
        <w:rPr>
          <w:rFonts w:hint="eastAsia" w:ascii="宋体" w:hAnsi="宋体" w:cs="Arial"/>
          <w:kern w:val="0"/>
          <w:sz w:val="22"/>
          <w:szCs w:val="22"/>
        </w:rPr>
        <w:t>。</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szCs w:val="22"/>
        </w:rPr>
        <w:t>http://www.hzairport.com/zbxx.aspx</w:t>
      </w:r>
      <w:r>
        <w:rPr>
          <w:rFonts w:ascii="宋体" w:hAnsi="宋体" w:cs="Arial"/>
          <w:kern w:val="0"/>
          <w:sz w:val="22"/>
          <w:szCs w:val="22"/>
        </w:rPr>
        <w:fldChar w:fldCharType="end"/>
      </w:r>
      <w:r>
        <w:rPr>
          <w:rFonts w:hint="eastAsia" w:ascii="宋体" w:hAnsi="宋体" w:cs="Arial"/>
          <w:kern w:val="0"/>
          <w:sz w:val="22"/>
          <w:szCs w:val="22"/>
        </w:rPr>
        <w:t>自行下载招标文件。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招标文件下载</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工程量清单下载</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（1）投标文件递交截止时间：2019年</w:t>
      </w:r>
      <w:r>
        <w:rPr>
          <w:rFonts w:hint="eastAsia" w:ascii="宋体" w:hAnsi="宋体" w:cs="Arial"/>
          <w:kern w:val="0"/>
          <w:sz w:val="22"/>
          <w:szCs w:val="22"/>
          <w:lang w:val="en-US" w:eastAsia="zh-CN"/>
        </w:rPr>
        <w:t>10</w:t>
      </w:r>
      <w:r>
        <w:rPr>
          <w:rFonts w:hint="eastAsia" w:ascii="宋体" w:hAnsi="宋体" w:cs="Arial"/>
          <w:kern w:val="0"/>
          <w:sz w:val="22"/>
          <w:szCs w:val="22"/>
        </w:rPr>
        <w:t>月</w:t>
      </w:r>
      <w:r>
        <w:rPr>
          <w:rFonts w:hint="eastAsia" w:ascii="宋体" w:hAnsi="宋体" w:cs="Arial"/>
          <w:kern w:val="0"/>
          <w:sz w:val="22"/>
          <w:szCs w:val="22"/>
          <w:lang w:val="en-US" w:eastAsia="zh-CN"/>
        </w:rPr>
        <w:t>9</w:t>
      </w:r>
      <w:r>
        <w:rPr>
          <w:rFonts w:hint="eastAsia" w:ascii="宋体" w:hAnsi="宋体" w:cs="Arial"/>
          <w:kern w:val="0"/>
          <w:sz w:val="22"/>
          <w:szCs w:val="22"/>
        </w:rPr>
        <w:t>日</w:t>
      </w:r>
      <w:r>
        <w:rPr>
          <w:rFonts w:hint="eastAsia" w:ascii="宋体" w:hAnsi="宋体" w:cs="Arial"/>
          <w:kern w:val="0"/>
          <w:sz w:val="22"/>
          <w:szCs w:val="22"/>
          <w:lang w:eastAsia="zh-CN"/>
        </w:rPr>
        <w:t>下午</w:t>
      </w:r>
      <w:r>
        <w:rPr>
          <w:rFonts w:hint="eastAsia" w:ascii="宋体" w:hAnsi="宋体" w:cs="Arial"/>
          <w:kern w:val="0"/>
          <w:sz w:val="22"/>
          <w:szCs w:val="22"/>
          <w:lang w:val="en-US" w:eastAsia="zh-CN"/>
        </w:rPr>
        <w:t>14</w:t>
      </w:r>
      <w:r>
        <w:rPr>
          <w:rFonts w:hint="eastAsia" w:ascii="宋体" w:hAnsi="宋体" w:cs="Arial"/>
          <w:kern w:val="0"/>
          <w:sz w:val="22"/>
          <w:szCs w:val="22"/>
        </w:rPr>
        <w:t>时00分（北京时间）。投标文件在封口处加盖公章，并派专人于</w:t>
      </w:r>
      <w:r>
        <w:rPr>
          <w:rFonts w:hint="eastAsia" w:ascii="宋体" w:hAnsi="宋体" w:cs="Arial"/>
          <w:kern w:val="0"/>
          <w:sz w:val="22"/>
          <w:szCs w:val="22"/>
        </w:rPr>
        <w:t>2019年</w:t>
      </w:r>
      <w:r>
        <w:rPr>
          <w:rFonts w:hint="eastAsia" w:ascii="宋体" w:hAnsi="宋体" w:cs="Arial"/>
          <w:kern w:val="0"/>
          <w:sz w:val="22"/>
          <w:szCs w:val="22"/>
          <w:lang w:val="en-US" w:eastAsia="zh-CN"/>
        </w:rPr>
        <w:t>10</w:t>
      </w:r>
      <w:r>
        <w:rPr>
          <w:rFonts w:hint="eastAsia" w:ascii="宋体" w:hAnsi="宋体" w:cs="Arial"/>
          <w:kern w:val="0"/>
          <w:sz w:val="22"/>
          <w:szCs w:val="22"/>
        </w:rPr>
        <w:t>月</w:t>
      </w:r>
      <w:r>
        <w:rPr>
          <w:rFonts w:hint="eastAsia" w:ascii="宋体" w:hAnsi="宋体" w:cs="Arial"/>
          <w:kern w:val="0"/>
          <w:sz w:val="22"/>
          <w:szCs w:val="22"/>
          <w:lang w:val="en-US" w:eastAsia="zh-CN"/>
        </w:rPr>
        <w:t>9</w:t>
      </w:r>
      <w:r>
        <w:rPr>
          <w:rFonts w:hint="eastAsia" w:ascii="宋体" w:hAnsi="宋体" w:cs="Arial"/>
          <w:kern w:val="0"/>
          <w:sz w:val="22"/>
          <w:szCs w:val="22"/>
        </w:rPr>
        <w:t>日</w:t>
      </w:r>
      <w:r>
        <w:rPr>
          <w:rFonts w:hint="eastAsia" w:ascii="宋体" w:hAnsi="宋体" w:cs="Arial"/>
          <w:kern w:val="0"/>
          <w:sz w:val="22"/>
          <w:szCs w:val="22"/>
          <w:lang w:eastAsia="zh-CN"/>
        </w:rPr>
        <w:t>下午</w:t>
      </w:r>
      <w:r>
        <w:rPr>
          <w:rFonts w:hint="eastAsia" w:ascii="宋体" w:hAnsi="宋体" w:cs="Arial"/>
          <w:kern w:val="0"/>
          <w:sz w:val="22"/>
          <w:szCs w:val="22"/>
          <w:lang w:val="en-US" w:eastAsia="zh-CN"/>
        </w:rPr>
        <w:t>14</w:t>
      </w:r>
      <w:r>
        <w:rPr>
          <w:rFonts w:hint="eastAsia" w:ascii="宋体" w:hAnsi="宋体" w:cs="Arial"/>
          <w:kern w:val="0"/>
          <w:sz w:val="22"/>
          <w:szCs w:val="22"/>
        </w:rPr>
        <w:t>时00分（北京时间）</w:t>
      </w:r>
      <w:r>
        <w:rPr>
          <w:rFonts w:hint="eastAsia" w:ascii="宋体" w:hAnsi="宋体" w:cs="Arial"/>
          <w:kern w:val="0"/>
          <w:sz w:val="22"/>
          <w:szCs w:val="22"/>
        </w:rPr>
        <w:t>前送至杭州萧山国际机场翔越路综合服务楼园区招标中心，逾期无效；若采用投递（邮寄）方式的，请于</w:t>
      </w:r>
      <w:r>
        <w:rPr>
          <w:rFonts w:hint="eastAsia" w:ascii="宋体" w:hAnsi="宋体" w:cs="Arial"/>
          <w:kern w:val="0"/>
          <w:sz w:val="22"/>
          <w:szCs w:val="22"/>
        </w:rPr>
        <w:t>2019年</w:t>
      </w:r>
      <w:r>
        <w:rPr>
          <w:rFonts w:hint="eastAsia" w:ascii="宋体" w:hAnsi="宋体" w:cs="Arial"/>
          <w:kern w:val="0"/>
          <w:sz w:val="22"/>
          <w:szCs w:val="22"/>
          <w:lang w:val="en-US" w:eastAsia="zh-CN"/>
        </w:rPr>
        <w:t>10</w:t>
      </w:r>
      <w:r>
        <w:rPr>
          <w:rFonts w:hint="eastAsia" w:ascii="宋体" w:hAnsi="宋体" w:cs="Arial"/>
          <w:kern w:val="0"/>
          <w:sz w:val="22"/>
          <w:szCs w:val="22"/>
        </w:rPr>
        <w:t>月</w:t>
      </w:r>
      <w:r>
        <w:rPr>
          <w:rFonts w:hint="eastAsia" w:ascii="宋体" w:hAnsi="宋体" w:cs="Arial"/>
          <w:kern w:val="0"/>
          <w:sz w:val="22"/>
          <w:szCs w:val="22"/>
          <w:lang w:val="en-US" w:eastAsia="zh-CN"/>
        </w:rPr>
        <w:t>9</w:t>
      </w:r>
      <w:r>
        <w:rPr>
          <w:rFonts w:hint="eastAsia" w:ascii="宋体" w:hAnsi="宋体" w:cs="Arial"/>
          <w:kern w:val="0"/>
          <w:sz w:val="22"/>
          <w:szCs w:val="22"/>
        </w:rPr>
        <w:t>日</w:t>
      </w:r>
      <w:r>
        <w:rPr>
          <w:rFonts w:hint="eastAsia" w:ascii="宋体" w:hAnsi="宋体" w:cs="Arial"/>
          <w:kern w:val="0"/>
          <w:sz w:val="22"/>
          <w:szCs w:val="22"/>
          <w:lang w:eastAsia="zh-CN"/>
        </w:rPr>
        <w:t>下午</w:t>
      </w:r>
      <w:r>
        <w:rPr>
          <w:rFonts w:hint="eastAsia" w:ascii="宋体" w:hAnsi="宋体" w:cs="Arial"/>
          <w:kern w:val="0"/>
          <w:sz w:val="22"/>
          <w:szCs w:val="22"/>
          <w:lang w:val="en-US" w:eastAsia="zh-CN"/>
        </w:rPr>
        <w:t>14</w:t>
      </w:r>
      <w:r>
        <w:rPr>
          <w:rFonts w:hint="eastAsia" w:ascii="宋体" w:hAnsi="宋体" w:cs="Arial"/>
          <w:kern w:val="0"/>
          <w:sz w:val="22"/>
          <w:szCs w:val="22"/>
        </w:rPr>
        <w:t>时00分</w:t>
      </w:r>
      <w:r>
        <w:rPr>
          <w:rFonts w:hint="eastAsia" w:ascii="宋体" w:hAnsi="宋体" w:cs="Arial"/>
          <w:kern w:val="0"/>
          <w:sz w:val="22"/>
          <w:szCs w:val="22"/>
        </w:rPr>
        <w:t>（北京时间）前投递至杭州萧山国际机场翔越路综合服务楼园区招标中心，逾期无效。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w:t>
      </w:r>
      <w:r>
        <w:rPr>
          <w:rFonts w:hint="eastAsia" w:ascii="宋体" w:hAnsi="宋体"/>
          <w:sz w:val="22"/>
          <w:szCs w:val="22"/>
        </w:rPr>
        <w:t>逾期送达或者未送达指定地点的投标文件，招标人不予受理。</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本次招标公告在</w:t>
      </w:r>
      <w:r>
        <w:rPr>
          <w:rFonts w:hint="eastAsia" w:ascii="宋体" w:hAnsi="宋体" w:cs="Arial"/>
          <w:b/>
          <w:kern w:val="0"/>
          <w:sz w:val="22"/>
          <w:szCs w:val="22"/>
        </w:rPr>
        <w:t>中国采购与招标网和杭州萧山机场有限公司</w:t>
      </w:r>
      <w:r>
        <w:rPr>
          <w:rFonts w:hint="eastAsia" w:ascii="宋体" w:hAnsi="宋体" w:cs="Arial"/>
          <w:kern w:val="0"/>
          <w:sz w:val="22"/>
          <w:szCs w:val="22"/>
        </w:rPr>
        <w:t>主页上发布</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sz w:val="22"/>
          <w:szCs w:val="22"/>
        </w:rPr>
        <w:t>中国采购与招标网</w:t>
      </w:r>
      <w:r>
        <w:rPr>
          <w:rFonts w:ascii="宋体" w:hAnsi="宋体"/>
          <w:sz w:val="22"/>
          <w:szCs w:val="22"/>
        </w:rPr>
        <w:t xml:space="preserve">  </w:t>
      </w:r>
      <w:r>
        <w:fldChar w:fldCharType="begin"/>
      </w:r>
      <w:r>
        <w:instrText xml:space="preserve"> HYPERLINK "http://www.chinabidding.com.cn/" </w:instrText>
      </w:r>
      <w:r>
        <w:fldChar w:fldCharType="separate"/>
      </w:r>
      <w:r>
        <w:rPr>
          <w:rFonts w:ascii="宋体" w:hAnsi="宋体"/>
          <w:sz w:val="22"/>
          <w:szCs w:val="22"/>
        </w:rPr>
        <w:t>http://www.chinabidding.com.cn</w:t>
      </w:r>
      <w:r>
        <w:rPr>
          <w:rFonts w:ascii="宋体" w:hAnsi="宋体"/>
          <w:sz w:val="22"/>
          <w:szCs w:val="22"/>
        </w:rPr>
        <w:fldChar w:fldCharType="end"/>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杭州萧山机场有限公司主页http://www.hzairport.com</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六、联系方式</w:t>
      </w:r>
    </w:p>
    <w:p>
      <w:pPr>
        <w:widowControl/>
        <w:adjustRightInd w:val="0"/>
        <w:snapToGrid w:val="0"/>
        <w:spacing w:line="340" w:lineRule="exact"/>
        <w:ind w:firstLine="440" w:firstLineChars="200"/>
        <w:rPr>
          <w:rFonts w:ascii="宋体" w:hAnsi="宋体"/>
          <w:sz w:val="22"/>
          <w:szCs w:val="22"/>
        </w:rPr>
      </w:pPr>
      <w:r>
        <w:rPr>
          <w:rFonts w:hint="eastAsia" w:ascii="宋体" w:hAnsi="宋体"/>
          <w:sz w:val="22"/>
          <w:szCs w:val="22"/>
        </w:rPr>
        <w:t>投标联系人：贾思勰        联系电话：</w:t>
      </w:r>
      <w:r>
        <w:rPr>
          <w:rFonts w:hint="eastAsia" w:ascii="宋体" w:hAnsi="宋体" w:cs="宋体"/>
          <w:sz w:val="22"/>
          <w:szCs w:val="22"/>
          <w:lang w:bidi="ar"/>
        </w:rPr>
        <w:t>0571-</w:t>
      </w:r>
      <w:r>
        <w:rPr>
          <w:rFonts w:ascii="宋体" w:hAnsi="宋体" w:cs="宋体"/>
          <w:sz w:val="22"/>
          <w:szCs w:val="22"/>
          <w:lang w:bidi="ar"/>
        </w:rPr>
        <w:t>83837612</w:t>
      </w:r>
    </w:p>
    <w:p>
      <w:pPr>
        <w:widowControl/>
        <w:adjustRightInd w:val="0"/>
        <w:snapToGrid w:val="0"/>
        <w:spacing w:line="340" w:lineRule="exact"/>
        <w:ind w:firstLine="440" w:firstLineChars="200"/>
        <w:rPr>
          <w:rFonts w:ascii="宋体" w:hAnsi="宋体"/>
          <w:bCs/>
          <w:sz w:val="22"/>
          <w:szCs w:val="22"/>
        </w:rPr>
      </w:pPr>
      <w:r>
        <w:rPr>
          <w:rFonts w:hint="eastAsia" w:ascii="宋体" w:hAnsi="宋体"/>
          <w:bCs/>
          <w:sz w:val="22"/>
          <w:szCs w:val="22"/>
        </w:rPr>
        <w:t>招标监督人：阮周长         联系电话：</w:t>
      </w:r>
      <w:r>
        <w:rPr>
          <w:rFonts w:hint="eastAsia" w:ascii="宋体" w:hAnsi="宋体" w:cs="宋体"/>
          <w:sz w:val="22"/>
          <w:szCs w:val="22"/>
          <w:lang w:bidi="ar"/>
        </w:rPr>
        <w:t>0571-8666213</w:t>
      </w:r>
      <w:r>
        <w:rPr>
          <w:rFonts w:ascii="宋体" w:hAnsi="宋体" w:cs="宋体"/>
          <w:sz w:val="22"/>
          <w:szCs w:val="22"/>
          <w:lang w:bidi="ar"/>
        </w:rPr>
        <w:t>3</w:t>
      </w:r>
    </w:p>
    <w:p>
      <w:pPr>
        <w:pStyle w:val="13"/>
      </w:pPr>
      <w:r>
        <w:rPr>
          <w:rFonts w:hint="eastAsia" w:ascii="宋体" w:hAnsi="宋体"/>
          <w:bCs w:val="0"/>
          <w:sz w:val="22"/>
          <w:szCs w:val="22"/>
        </w:rPr>
        <w:t xml:space="preserve"> </w:t>
      </w:r>
      <w:r>
        <w:rPr>
          <w:rFonts w:ascii="宋体" w:hAnsi="宋体"/>
          <w:bCs w:val="0"/>
          <w:sz w:val="22"/>
          <w:szCs w:val="22"/>
        </w:rPr>
        <w:br w:type="page"/>
      </w:r>
      <w:bookmarkStart w:id="2" w:name="_Toc450630558"/>
      <w:bookmarkStart w:id="3" w:name="_Toc450630557"/>
      <w:r>
        <w:t>第</w:t>
      </w:r>
      <w:r>
        <w:rPr>
          <w:rFonts w:hint="eastAsia"/>
        </w:rPr>
        <w:t>二</w:t>
      </w:r>
      <w:r>
        <w:t>章  投标</w:t>
      </w:r>
      <w:r>
        <w:rPr>
          <w:rFonts w:hint="eastAsia"/>
        </w:rPr>
        <w:t>人须知</w:t>
      </w:r>
      <w:bookmarkEnd w:id="2"/>
      <w:bookmarkEnd w:id="3"/>
    </w:p>
    <w:p>
      <w:pPr>
        <w:pStyle w:val="8"/>
        <w:spacing w:line="240" w:lineRule="auto"/>
        <w:ind w:left="480"/>
        <w:jc w:val="center"/>
        <w:rPr>
          <w:b/>
          <w:sz w:val="28"/>
          <w:szCs w:val="28"/>
        </w:rPr>
      </w:pPr>
      <w:r>
        <w:rPr>
          <w:rFonts w:hint="eastAsia"/>
          <w:b/>
          <w:sz w:val="28"/>
          <w:szCs w:val="28"/>
        </w:rPr>
        <w:t>投标人须知前附表</w:t>
      </w:r>
    </w:p>
    <w:tbl>
      <w:tblPr>
        <w:tblStyle w:val="17"/>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rPr>
              <w:t>员工集体宿舍绿化环境改造</w:t>
            </w:r>
            <w:r>
              <w:rPr>
                <w:rFonts w:ascii="宋体" w:hAnsi="宋体" w:cs="Arial"/>
                <w:kern w:val="0"/>
                <w:sz w:val="22"/>
              </w:rPr>
              <w:t>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9"/>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30  </w:t>
            </w:r>
            <w:r>
              <w:rPr>
                <w:rFonts w:hint="eastAsia"/>
                <w:sz w:val="22"/>
              </w:rPr>
              <w:t>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p>
          <w:p>
            <w:pPr>
              <w:autoSpaceDE w:val="0"/>
              <w:autoSpaceDN w:val="0"/>
              <w:adjustRightInd w:val="0"/>
              <w:snapToGrid w:val="0"/>
              <w:rPr>
                <w:rFonts w:ascii="宋体" w:hAnsi="宋体" w:cs="Calibri"/>
                <w:kern w:val="0"/>
                <w:sz w:val="22"/>
              </w:rPr>
            </w:pPr>
            <w:r>
              <w:rPr>
                <w:rFonts w:hint="eastAsia" w:ascii="宋体" w:hAnsi="宋体" w:cs="Arial"/>
                <w:sz w:val="22"/>
                <w:szCs w:val="22"/>
              </w:rPr>
              <w:t>（</w:t>
            </w:r>
            <w:r>
              <w:rPr>
                <w:rFonts w:hint="eastAsia" w:ascii="宋体" w:hAnsi="宋体" w:cs="Arial"/>
                <w:b/>
                <w:sz w:val="22"/>
                <w:szCs w:val="22"/>
              </w:rPr>
              <w:t>由于未参加现场踏勘引起的报价失误等责任由投标人自负</w:t>
            </w:r>
            <w:r>
              <w:rPr>
                <w:rFonts w:hint="eastAsia" w:ascii="宋体" w:hAnsi="宋体" w:cs="Arial"/>
                <w:sz w:val="22"/>
                <w:szCs w:val="22"/>
              </w:rPr>
              <w:t>）</w:t>
            </w:r>
            <w:r>
              <w:rPr>
                <w:rFonts w:ascii="宋体" w:hAnsi="宋体" w:cs="Calibri"/>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9</w:t>
            </w:r>
            <w:r>
              <w:rPr>
                <w:rFonts w:hint="eastAsia" w:ascii="宋体" w:hAnsi="宋体" w:cs="Calibri"/>
                <w:kern w:val="0"/>
                <w:sz w:val="22"/>
              </w:rPr>
              <w:t>月</w:t>
            </w:r>
            <w:r>
              <w:rPr>
                <w:rFonts w:hint="eastAsia" w:ascii="宋体" w:hAnsi="宋体" w:cs="Calibri"/>
                <w:kern w:val="0"/>
                <w:sz w:val="22"/>
                <w:lang w:val="en-US" w:eastAsia="zh-CN"/>
              </w:rPr>
              <w:t>30</w:t>
            </w:r>
            <w:r>
              <w:rPr>
                <w:rFonts w:hint="eastAsia" w:ascii="宋体" w:hAnsi="宋体" w:cs="Calibri"/>
                <w:kern w:val="0"/>
                <w:sz w:val="22"/>
              </w:rPr>
              <w:t>日11：30前，以书面加盖公章的形式通过E-mail或传真提交给招标人（投标联系人:贾工，电话0571-</w:t>
            </w:r>
            <w:r>
              <w:rPr>
                <w:rFonts w:ascii="宋体" w:hAnsi="宋体" w:cs="Calibri"/>
                <w:kern w:val="0"/>
                <w:sz w:val="22"/>
              </w:rPr>
              <w:t>83837612</w:t>
            </w:r>
            <w:r>
              <w:rPr>
                <w:rFonts w:hint="eastAsia" w:ascii="宋体" w:hAnsi="宋体" w:cs="Calibri"/>
                <w:kern w:val="0"/>
                <w:sz w:val="22"/>
              </w:rPr>
              <w:t>；传真：0571-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2019年</w:t>
            </w:r>
            <w:r>
              <w:rPr>
                <w:rFonts w:hint="eastAsia" w:ascii="宋体" w:hAnsi="宋体" w:cs="Calibri"/>
                <w:b/>
                <w:kern w:val="0"/>
                <w:sz w:val="22"/>
                <w:lang w:val="en-US" w:eastAsia="zh-CN"/>
              </w:rPr>
              <w:t>10</w:t>
            </w:r>
            <w:r>
              <w:rPr>
                <w:rFonts w:hint="eastAsia" w:ascii="宋体" w:hAnsi="宋体" w:cs="Calibri"/>
                <w:b/>
                <w:kern w:val="0"/>
                <w:sz w:val="22"/>
              </w:rPr>
              <w:t>月</w:t>
            </w:r>
            <w:r>
              <w:rPr>
                <w:rFonts w:hint="eastAsia" w:ascii="宋体" w:hAnsi="宋体" w:cs="Calibri"/>
                <w:b/>
                <w:kern w:val="0"/>
                <w:sz w:val="22"/>
                <w:lang w:val="en-US" w:eastAsia="zh-CN"/>
              </w:rPr>
              <w:t>9</w:t>
            </w:r>
            <w:r>
              <w:rPr>
                <w:rFonts w:hint="eastAsia" w:ascii="宋体" w:hAnsi="宋体" w:cs="Calibri"/>
                <w:b/>
                <w:kern w:val="0"/>
                <w:sz w:val="22"/>
              </w:rPr>
              <w:t>日</w:t>
            </w:r>
            <w:r>
              <w:rPr>
                <w:rFonts w:hint="eastAsia" w:ascii="宋体" w:hAnsi="宋体" w:cs="Calibri"/>
                <w:b/>
                <w:kern w:val="0"/>
                <w:sz w:val="22"/>
                <w:lang w:eastAsia="zh-CN"/>
              </w:rPr>
              <w:t>下午</w:t>
            </w:r>
            <w:r>
              <w:rPr>
                <w:rFonts w:hint="eastAsia" w:ascii="宋体" w:hAnsi="宋体" w:cs="Calibri"/>
                <w:b/>
                <w:kern w:val="0"/>
                <w:sz w:val="22"/>
                <w:lang w:val="en-US" w:eastAsia="zh-CN"/>
              </w:rPr>
              <w:t>14</w:t>
            </w:r>
            <w:r>
              <w:rPr>
                <w:rFonts w:hint="eastAsia" w:ascii="宋体" w:hAnsi="宋体" w:cs="Calibri"/>
                <w:b/>
                <w:kern w:val="0"/>
                <w:sz w:val="22"/>
              </w:rPr>
              <w:t>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4" w:name="_Toc226175287"/>
            <w:bookmarkStart w:id="5"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4"/>
            <w:bookmarkEnd w:id="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cs="Times New Roman"/>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杭州萧山国际机场员工集体宿舍绿化环境改造工程</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hint="eastAsia" w:ascii="宋体" w:hAnsi="宋体" w:cs="Calibri"/>
                <w:kern w:val="0"/>
                <w:sz w:val="22"/>
                <w:u w:val="single"/>
              </w:rPr>
              <w:t>2019年</w:t>
            </w:r>
            <w:r>
              <w:rPr>
                <w:rFonts w:hint="eastAsia" w:ascii="宋体" w:hAnsi="宋体" w:cs="Calibri"/>
                <w:kern w:val="0"/>
                <w:sz w:val="22"/>
                <w:u w:val="single"/>
                <w:lang w:val="en-US" w:eastAsia="zh-CN"/>
              </w:rPr>
              <w:t>10</w:t>
            </w:r>
            <w:r>
              <w:rPr>
                <w:rFonts w:hint="eastAsia" w:ascii="宋体" w:hAnsi="宋体" w:cs="Calibri"/>
                <w:kern w:val="0"/>
                <w:sz w:val="22"/>
                <w:u w:val="single"/>
              </w:rPr>
              <w:t>月</w:t>
            </w:r>
            <w:r>
              <w:rPr>
                <w:rFonts w:hint="eastAsia" w:ascii="宋体" w:hAnsi="宋体" w:cs="Calibri"/>
                <w:kern w:val="0"/>
                <w:sz w:val="22"/>
                <w:u w:val="single"/>
                <w:lang w:val="en-US" w:eastAsia="zh-CN"/>
              </w:rPr>
              <w:t>9</w:t>
            </w:r>
            <w:r>
              <w:rPr>
                <w:rFonts w:hint="eastAsia" w:ascii="宋体" w:hAnsi="宋体" w:cs="Calibri"/>
                <w:kern w:val="0"/>
                <w:sz w:val="22"/>
                <w:u w:val="single"/>
              </w:rPr>
              <w:t>日</w:t>
            </w:r>
            <w:r>
              <w:rPr>
                <w:rFonts w:hint="eastAsia" w:ascii="宋体" w:hAnsi="宋体" w:cs="Calibri"/>
                <w:kern w:val="0"/>
                <w:sz w:val="22"/>
                <w:u w:val="single"/>
                <w:lang w:eastAsia="zh-CN"/>
              </w:rPr>
              <w:t>下午</w:t>
            </w:r>
            <w:r>
              <w:rPr>
                <w:rFonts w:hint="eastAsia" w:ascii="宋体" w:hAnsi="宋体" w:cs="Calibri"/>
                <w:kern w:val="0"/>
                <w:sz w:val="22"/>
                <w:u w:val="single"/>
                <w:lang w:val="en-US" w:eastAsia="zh-CN"/>
              </w:rPr>
              <w:t>14</w:t>
            </w:r>
            <w:r>
              <w:rPr>
                <w:rFonts w:hint="eastAsia" w:ascii="宋体" w:hAnsi="宋体" w:cs="Calibri"/>
                <w:kern w:val="0"/>
                <w:sz w:val="22"/>
                <w:u w:val="single"/>
              </w:rPr>
              <w:t>时00分</w:t>
            </w:r>
            <w:bookmarkStart w:id="165" w:name="_GoBack"/>
            <w:bookmarkEnd w:id="165"/>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szCs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12"/>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12"/>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6" w:name="_Toc26216"/>
    </w:p>
    <w:p>
      <w:pPr>
        <w:autoSpaceDE w:val="0"/>
        <w:autoSpaceDN w:val="0"/>
        <w:adjustRightInd w:val="0"/>
        <w:snapToGrid w:val="0"/>
        <w:spacing w:line="360" w:lineRule="exact"/>
        <w:rPr>
          <w:rFonts w:ascii="宋体" w:hAnsi="宋体" w:cs="Calibri"/>
          <w:b/>
          <w:bCs/>
          <w:kern w:val="0"/>
          <w:sz w:val="22"/>
        </w:rPr>
      </w:pPr>
      <w:r>
        <w:rPr>
          <w:b/>
        </w:rPr>
        <w:br w:type="page"/>
      </w:r>
      <w:bookmarkEnd w:id="6"/>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7"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8"/>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2"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3"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3"/>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4"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5"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5"/>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不允许分包</w:t>
      </w:r>
    </w:p>
    <w:p>
      <w:pPr>
        <w:autoSpaceDE w:val="0"/>
        <w:autoSpaceDN w:val="0"/>
        <w:adjustRightInd w:val="0"/>
        <w:snapToGrid w:val="0"/>
        <w:spacing w:line="360" w:lineRule="exact"/>
        <w:rPr>
          <w:rFonts w:ascii="宋体" w:hAnsi="宋体" w:cs="Calibri"/>
          <w:b/>
          <w:bCs/>
          <w:kern w:val="0"/>
          <w:sz w:val="22"/>
        </w:rPr>
      </w:pPr>
      <w:bookmarkStart w:id="16"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7" w:name="_Toc15241"/>
      <w:bookmarkStart w:id="18" w:name="_Toc143421657"/>
      <w:r>
        <w:rPr>
          <w:rFonts w:ascii="宋体" w:hAnsi="宋体" w:cs="Calibri"/>
          <w:b/>
          <w:bCs/>
          <w:kern w:val="0"/>
          <w:sz w:val="22"/>
        </w:rPr>
        <w:t>2.招标文件</w:t>
      </w:r>
      <w:bookmarkEnd w:id="17"/>
      <w:bookmarkEnd w:id="18"/>
    </w:p>
    <w:p>
      <w:pPr>
        <w:autoSpaceDE w:val="0"/>
        <w:autoSpaceDN w:val="0"/>
        <w:adjustRightInd w:val="0"/>
        <w:snapToGrid w:val="0"/>
        <w:spacing w:line="360" w:lineRule="exact"/>
        <w:rPr>
          <w:rFonts w:ascii="宋体" w:hAnsi="宋体" w:cs="Calibri"/>
          <w:b/>
          <w:bCs/>
          <w:kern w:val="0"/>
          <w:sz w:val="22"/>
        </w:rPr>
      </w:pPr>
      <w:bookmarkStart w:id="19" w:name="_Toc1426"/>
      <w:r>
        <w:rPr>
          <w:rFonts w:ascii="宋体" w:hAnsi="宋体" w:cs="Calibri"/>
          <w:b/>
          <w:bCs/>
          <w:kern w:val="0"/>
          <w:sz w:val="22"/>
        </w:rPr>
        <w:t>2.1 招标文件的组成</w:t>
      </w:r>
      <w:bookmarkEnd w:id="19"/>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20" w:name="_Toc18230"/>
      <w:r>
        <w:rPr>
          <w:rFonts w:ascii="宋体" w:hAnsi="宋体" w:cs="Calibri"/>
          <w:b/>
          <w:bCs/>
          <w:kern w:val="0"/>
          <w:sz w:val="22"/>
        </w:rPr>
        <w:t>2.2 招标文件的澄清</w:t>
      </w:r>
      <w:bookmarkEnd w:id="2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21" w:name="_Toc18303"/>
      <w:r>
        <w:rPr>
          <w:rFonts w:ascii="宋体" w:hAnsi="宋体" w:cs="Calibri"/>
          <w:b/>
          <w:bCs/>
          <w:kern w:val="0"/>
          <w:sz w:val="22"/>
        </w:rPr>
        <w:t>2.3 招标文件的修改</w:t>
      </w:r>
      <w:bookmarkEnd w:id="21"/>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2" w:name="_Toc143421658"/>
      <w:bookmarkStart w:id="23" w:name="_Toc18870"/>
      <w:r>
        <w:rPr>
          <w:rFonts w:ascii="宋体" w:hAnsi="宋体" w:cs="Calibri"/>
          <w:b/>
          <w:bCs/>
          <w:kern w:val="0"/>
          <w:sz w:val="22"/>
        </w:rPr>
        <w:t>3.投标文件</w:t>
      </w:r>
      <w:bookmarkEnd w:id="22"/>
      <w:bookmarkEnd w:id="23"/>
    </w:p>
    <w:p>
      <w:pPr>
        <w:autoSpaceDE w:val="0"/>
        <w:autoSpaceDN w:val="0"/>
        <w:adjustRightInd w:val="0"/>
        <w:snapToGrid w:val="0"/>
        <w:spacing w:line="360" w:lineRule="exact"/>
        <w:rPr>
          <w:rFonts w:ascii="宋体" w:hAnsi="宋体" w:cs="Calibri"/>
          <w:b/>
          <w:bCs/>
          <w:kern w:val="0"/>
          <w:sz w:val="22"/>
        </w:rPr>
      </w:pPr>
      <w:bookmarkStart w:id="24" w:name="_Toc461"/>
      <w:r>
        <w:rPr>
          <w:rFonts w:ascii="宋体" w:hAnsi="宋体" w:cs="Calibri"/>
          <w:b/>
          <w:bCs/>
          <w:kern w:val="0"/>
          <w:sz w:val="22"/>
        </w:rPr>
        <w:t>3.1 投标文件的语言和计量单位</w:t>
      </w:r>
      <w:bookmarkEnd w:id="24"/>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5" w:name="_Toc1411"/>
      <w:r>
        <w:rPr>
          <w:rFonts w:ascii="宋体" w:hAnsi="宋体" w:cs="Calibri"/>
          <w:b/>
          <w:bCs/>
          <w:kern w:val="0"/>
          <w:sz w:val="22"/>
        </w:rPr>
        <w:t>3.2 投标文件的组成</w:t>
      </w:r>
      <w:bookmarkEnd w:id="25"/>
    </w:p>
    <w:p>
      <w:pPr>
        <w:adjustRightInd w:val="0"/>
        <w:snapToGrid w:val="0"/>
        <w:spacing w:line="360" w:lineRule="exact"/>
        <w:ind w:firstLine="440"/>
        <w:rPr>
          <w:rFonts w:ascii="宋体" w:hAnsi="宋体" w:cs="Calibri"/>
          <w:sz w:val="22"/>
        </w:rPr>
      </w:pPr>
      <w:bookmarkStart w:id="26"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6"/>
    </w:p>
    <w:p>
      <w:pPr>
        <w:adjustRightInd w:val="0"/>
        <w:snapToGrid w:val="0"/>
        <w:spacing w:line="360" w:lineRule="exact"/>
        <w:ind w:firstLine="440"/>
        <w:rPr>
          <w:rFonts w:ascii="宋体" w:hAnsi="宋体" w:cs="宋体"/>
          <w:sz w:val="22"/>
        </w:rPr>
      </w:pPr>
      <w:bookmarkStart w:id="27" w:name="_Toc13307"/>
      <w:r>
        <w:rPr>
          <w:rFonts w:hint="eastAsia" w:ascii="宋体" w:hAnsi="宋体" w:cs="宋体"/>
          <w:sz w:val="22"/>
        </w:rPr>
        <w:t>3.3.1投标人应按第七章“投标文件格式”的要求填写相应表格并报价。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3.3.2本工程各项取费标准及相关调整系数，根据《浙江省建设工程施工取费定额》（2010版）及浙江省现行的相关文件规定，请投标人在投标报价中，按照上述文件精神执行。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b/>
          <w:sz w:val="22"/>
          <w:highlight w:val="yellow"/>
        </w:rPr>
        <w:t>本工程为固定总价合同（计日工除外）</w:t>
      </w:r>
      <w:r>
        <w:rPr>
          <w:rFonts w:hint="eastAsia" w:ascii="宋体" w:hAnsi="宋体" w:cs="宋体"/>
          <w:sz w:val="22"/>
          <w:highlight w:val="yellow"/>
        </w:rPr>
        <w:t>。</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sz w:val="22"/>
        </w:rPr>
      </w:pPr>
      <w:r>
        <w:rPr>
          <w:rFonts w:hint="eastAsia" w:ascii="宋体" w:hAnsi="宋体" w:cs="宋体"/>
          <w:sz w:val="22"/>
        </w:rPr>
        <w:t>3.3.8投标人应充分考虑以下各项风险因素可能导致发生或增加的费用，并计入投标报价中，不报视作优惠：</w:t>
      </w:r>
    </w:p>
    <w:p>
      <w:pPr>
        <w:adjustRightInd w:val="0"/>
        <w:snapToGrid w:val="0"/>
        <w:spacing w:line="360" w:lineRule="exact"/>
        <w:ind w:firstLine="440"/>
        <w:rPr>
          <w:rFonts w:ascii="宋体" w:hAnsi="宋体" w:cs="宋体"/>
          <w:sz w:val="22"/>
        </w:rPr>
      </w:pPr>
      <w:r>
        <w:rPr>
          <w:rFonts w:ascii="宋体" w:hAnsi="宋体" w:cs="宋体"/>
          <w:sz w:val="22"/>
        </w:rPr>
        <w:t>a</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树木保活、病虫害防治等等</w:t>
      </w:r>
      <w:r>
        <w:rPr>
          <w:rFonts w:hint="eastAsia" w:ascii="宋体" w:hAnsi="宋体" w:cs="宋体"/>
          <w:sz w:val="22"/>
          <w:u w:val="single"/>
        </w:rPr>
        <w:t xml:space="preserve">                </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7"/>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8" w:name="_Toc30464"/>
      <w:r>
        <w:rPr>
          <w:rFonts w:ascii="宋体" w:hAnsi="宋体" w:cs="Calibri"/>
          <w:b/>
          <w:bCs/>
          <w:kern w:val="0"/>
          <w:sz w:val="22"/>
        </w:rPr>
        <w:t>3.5 投标保证金</w:t>
      </w:r>
      <w:bookmarkEnd w:id="28"/>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9" w:name="_Toc29989"/>
      <w:r>
        <w:rPr>
          <w:rFonts w:ascii="宋体" w:hAnsi="宋体" w:cs="Calibri"/>
          <w:b/>
          <w:bCs/>
          <w:kern w:val="0"/>
          <w:sz w:val="22"/>
        </w:rPr>
        <w:t>3.6 投标文件的编制</w:t>
      </w:r>
      <w:bookmarkEnd w:id="29"/>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30" w:name="_Toc143421659"/>
    </w:p>
    <w:p>
      <w:pPr>
        <w:autoSpaceDE w:val="0"/>
        <w:autoSpaceDN w:val="0"/>
        <w:adjustRightInd w:val="0"/>
        <w:snapToGrid w:val="0"/>
        <w:spacing w:line="360" w:lineRule="exact"/>
        <w:rPr>
          <w:rFonts w:ascii="宋体" w:hAnsi="宋体" w:cs="Calibri"/>
          <w:b/>
          <w:bCs/>
          <w:kern w:val="0"/>
          <w:sz w:val="22"/>
        </w:rPr>
      </w:pPr>
      <w:bookmarkStart w:id="31" w:name="_Toc32652"/>
      <w:r>
        <w:rPr>
          <w:rFonts w:ascii="宋体" w:hAnsi="宋体" w:cs="Calibri"/>
          <w:b/>
          <w:bCs/>
          <w:kern w:val="0"/>
          <w:sz w:val="22"/>
        </w:rPr>
        <w:t>4.投标</w:t>
      </w:r>
      <w:bookmarkEnd w:id="30"/>
      <w:bookmarkEnd w:id="31"/>
    </w:p>
    <w:p>
      <w:pPr>
        <w:autoSpaceDE w:val="0"/>
        <w:autoSpaceDN w:val="0"/>
        <w:adjustRightInd w:val="0"/>
        <w:snapToGrid w:val="0"/>
        <w:spacing w:line="360" w:lineRule="exact"/>
        <w:rPr>
          <w:rFonts w:ascii="宋体" w:hAnsi="宋体" w:cs="Calibri"/>
          <w:b/>
          <w:bCs/>
          <w:kern w:val="0"/>
          <w:sz w:val="22"/>
        </w:rPr>
      </w:pPr>
      <w:bookmarkStart w:id="32" w:name="_Toc649"/>
      <w:r>
        <w:rPr>
          <w:rFonts w:ascii="宋体" w:hAnsi="宋体" w:cs="Calibri"/>
          <w:b/>
          <w:bCs/>
          <w:kern w:val="0"/>
          <w:sz w:val="22"/>
        </w:rPr>
        <w:t>4.1 投标文件的密封和标识</w:t>
      </w:r>
      <w:bookmarkEnd w:id="32"/>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3" w:name="_Toc16616"/>
      <w:r>
        <w:rPr>
          <w:rFonts w:ascii="宋体" w:hAnsi="宋体" w:cs="Calibri"/>
          <w:b/>
          <w:bCs/>
          <w:kern w:val="0"/>
          <w:sz w:val="22"/>
        </w:rPr>
        <w:t xml:space="preserve">4.2 投标文件的递交 </w:t>
      </w:r>
      <w:bookmarkEnd w:id="33"/>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4" w:name="_Toc26099"/>
      <w:r>
        <w:rPr>
          <w:rFonts w:ascii="宋体" w:hAnsi="宋体" w:cs="Calibri"/>
          <w:b/>
          <w:bCs/>
          <w:kern w:val="0"/>
          <w:sz w:val="22"/>
        </w:rPr>
        <w:t>4.3 投标文件的修改和撤回</w:t>
      </w:r>
      <w:bookmarkEnd w:id="34"/>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5" w:name="_Toc29641"/>
      <w:r>
        <w:rPr>
          <w:rFonts w:ascii="宋体" w:hAnsi="宋体" w:cs="Calibri"/>
          <w:b/>
          <w:bCs/>
          <w:kern w:val="0"/>
          <w:sz w:val="22"/>
        </w:rPr>
        <w:t>5.开标</w:t>
      </w:r>
      <w:bookmarkEnd w:id="35"/>
    </w:p>
    <w:p>
      <w:pPr>
        <w:autoSpaceDE w:val="0"/>
        <w:autoSpaceDN w:val="0"/>
        <w:adjustRightInd w:val="0"/>
        <w:snapToGrid w:val="0"/>
        <w:spacing w:line="360" w:lineRule="exact"/>
        <w:rPr>
          <w:rFonts w:ascii="宋体" w:hAnsi="宋体" w:cs="Calibri"/>
          <w:b/>
          <w:bCs/>
          <w:kern w:val="0"/>
          <w:sz w:val="22"/>
        </w:rPr>
      </w:pPr>
      <w:bookmarkStart w:id="36" w:name="_Toc15123"/>
      <w:r>
        <w:rPr>
          <w:rFonts w:ascii="宋体" w:hAnsi="宋体" w:cs="Calibri"/>
          <w:b/>
          <w:bCs/>
          <w:kern w:val="0"/>
          <w:sz w:val="22"/>
        </w:rPr>
        <w:t>5.1 开标时间和地点</w:t>
      </w:r>
      <w:bookmarkEnd w:id="36"/>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7" w:name="_Toc7101"/>
      <w:r>
        <w:rPr>
          <w:rFonts w:ascii="宋体" w:hAnsi="宋体" w:cs="Calibri"/>
          <w:b/>
          <w:bCs/>
          <w:kern w:val="0"/>
          <w:sz w:val="22"/>
        </w:rPr>
        <w:t>5.2 开标程序</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8" w:name="_Toc31578"/>
      <w:r>
        <w:rPr>
          <w:rFonts w:ascii="宋体" w:hAnsi="宋体" w:cs="Calibri"/>
          <w:b/>
          <w:bCs/>
          <w:kern w:val="0"/>
          <w:sz w:val="22"/>
        </w:rPr>
        <w:t>6.评标</w:t>
      </w:r>
      <w:bookmarkEnd w:id="38"/>
    </w:p>
    <w:p>
      <w:pPr>
        <w:autoSpaceDE w:val="0"/>
        <w:autoSpaceDN w:val="0"/>
        <w:adjustRightInd w:val="0"/>
        <w:snapToGrid w:val="0"/>
        <w:spacing w:line="360" w:lineRule="exact"/>
        <w:rPr>
          <w:rFonts w:ascii="宋体" w:hAnsi="宋体" w:cs="Calibri"/>
          <w:b/>
          <w:bCs/>
          <w:kern w:val="0"/>
          <w:sz w:val="22"/>
        </w:rPr>
      </w:pPr>
      <w:bookmarkStart w:id="39" w:name="_Toc10279"/>
      <w:r>
        <w:rPr>
          <w:rFonts w:ascii="宋体" w:hAnsi="宋体" w:cs="Calibri"/>
          <w:b/>
          <w:bCs/>
          <w:kern w:val="0"/>
          <w:sz w:val="22"/>
        </w:rPr>
        <w:t>6.1 评标委员会</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40" w:name="_Toc3460"/>
      <w:r>
        <w:rPr>
          <w:rFonts w:ascii="宋体" w:hAnsi="宋体" w:cs="Calibri"/>
          <w:b/>
          <w:bCs/>
          <w:kern w:val="0"/>
          <w:sz w:val="22"/>
        </w:rPr>
        <w:t>6.2 评标原则</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1" w:name="_Toc28178"/>
      <w:r>
        <w:rPr>
          <w:rFonts w:ascii="宋体" w:hAnsi="宋体" w:cs="Calibri"/>
          <w:b/>
          <w:bCs/>
          <w:kern w:val="0"/>
          <w:sz w:val="22"/>
        </w:rPr>
        <w:t>6.3 评标</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2" w:name="_Toc24237"/>
      <w:r>
        <w:rPr>
          <w:rFonts w:ascii="宋体" w:hAnsi="宋体" w:cs="Calibri"/>
          <w:b/>
          <w:bCs/>
          <w:kern w:val="0"/>
          <w:sz w:val="22"/>
        </w:rPr>
        <w:t>7.合同授予</w:t>
      </w:r>
      <w:bookmarkEnd w:id="42"/>
    </w:p>
    <w:p>
      <w:pPr>
        <w:autoSpaceDE w:val="0"/>
        <w:autoSpaceDN w:val="0"/>
        <w:adjustRightInd w:val="0"/>
        <w:snapToGrid w:val="0"/>
        <w:spacing w:line="360" w:lineRule="exact"/>
        <w:rPr>
          <w:rFonts w:ascii="宋体" w:hAnsi="宋体" w:cs="Calibri"/>
          <w:b/>
          <w:bCs/>
          <w:kern w:val="0"/>
          <w:sz w:val="22"/>
        </w:rPr>
      </w:pPr>
      <w:bookmarkStart w:id="43" w:name="_Toc18809"/>
      <w:r>
        <w:rPr>
          <w:rFonts w:ascii="宋体" w:hAnsi="宋体" w:cs="Calibri"/>
          <w:b/>
          <w:bCs/>
          <w:kern w:val="0"/>
          <w:sz w:val="22"/>
        </w:rPr>
        <w:t>7.1 定标方式</w:t>
      </w:r>
      <w:bookmarkEnd w:id="43"/>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4" w:name="_Toc14573"/>
      <w:r>
        <w:rPr>
          <w:rFonts w:ascii="宋体" w:hAnsi="宋体" w:cs="Calibri"/>
          <w:b/>
          <w:bCs/>
          <w:kern w:val="0"/>
          <w:sz w:val="22"/>
        </w:rPr>
        <w:t>7.2 中标通知</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5" w:name="_Toc27132"/>
      <w:r>
        <w:rPr>
          <w:rFonts w:ascii="宋体" w:hAnsi="宋体" w:cs="Calibri"/>
          <w:b/>
          <w:bCs/>
          <w:kern w:val="0"/>
          <w:sz w:val="22"/>
        </w:rPr>
        <w:t>7.3 履约</w:t>
      </w:r>
      <w:r>
        <w:rPr>
          <w:rFonts w:hint="eastAsia" w:ascii="宋体" w:hAnsi="宋体" w:cs="Calibri"/>
          <w:b/>
          <w:bCs/>
          <w:kern w:val="0"/>
          <w:sz w:val="22"/>
        </w:rPr>
        <w:t>保证金</w:t>
      </w:r>
      <w:bookmarkEnd w:id="45"/>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6" w:name="_Toc27581"/>
      <w:r>
        <w:rPr>
          <w:rFonts w:ascii="宋体" w:hAnsi="宋体" w:cs="Calibri"/>
          <w:b/>
          <w:bCs/>
          <w:kern w:val="0"/>
          <w:sz w:val="22"/>
        </w:rPr>
        <w:t>7.4 签订合同</w:t>
      </w:r>
      <w:bookmarkEnd w:id="46"/>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7" w:name="_Toc11806"/>
      <w:bookmarkStart w:id="48" w:name="_Toc220123241"/>
      <w:bookmarkStart w:id="49"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7.4.3</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7"/>
      <w:bookmarkEnd w:id="48"/>
      <w:bookmarkEnd w:id="49"/>
    </w:p>
    <w:p>
      <w:pPr>
        <w:autoSpaceDE w:val="0"/>
        <w:autoSpaceDN w:val="0"/>
        <w:adjustRightInd w:val="0"/>
        <w:snapToGrid w:val="0"/>
        <w:spacing w:line="360" w:lineRule="exact"/>
        <w:rPr>
          <w:rFonts w:ascii="宋体" w:hAnsi="宋体" w:cs="Calibri"/>
          <w:b/>
          <w:bCs/>
          <w:kern w:val="0"/>
          <w:sz w:val="22"/>
        </w:rPr>
      </w:pPr>
      <w:bookmarkStart w:id="50" w:name="_Toc220123242"/>
      <w:bookmarkStart w:id="51" w:name="_Toc15553"/>
      <w:bookmarkStart w:id="52" w:name="_Toc219809802"/>
      <w:r>
        <w:rPr>
          <w:rFonts w:ascii="宋体" w:hAnsi="宋体" w:cs="Calibri"/>
          <w:b/>
          <w:bCs/>
          <w:kern w:val="0"/>
          <w:sz w:val="22"/>
        </w:rPr>
        <w:t>8.1 重新招标</w:t>
      </w:r>
      <w:bookmarkEnd w:id="50"/>
      <w:bookmarkEnd w:id="51"/>
      <w:bookmarkEnd w:id="52"/>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3" w:name="_Toc219809803"/>
      <w:bookmarkStart w:id="54" w:name="_Toc220123243"/>
      <w:bookmarkStart w:id="55" w:name="_Toc18806"/>
      <w:r>
        <w:rPr>
          <w:rFonts w:ascii="宋体" w:hAnsi="宋体" w:cs="Calibri"/>
          <w:b/>
          <w:bCs/>
          <w:kern w:val="0"/>
          <w:sz w:val="22"/>
        </w:rPr>
        <w:t>8.2 不再招标</w:t>
      </w:r>
      <w:bookmarkEnd w:id="53"/>
      <w:bookmarkEnd w:id="54"/>
      <w:bookmarkEnd w:id="55"/>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6" w:name="_Toc219809804"/>
      <w:bookmarkStart w:id="57" w:name="_Toc2986"/>
      <w:bookmarkStart w:id="58" w:name="_Toc220123244"/>
      <w:bookmarkStart w:id="59" w:name="_Toc215941254"/>
      <w:r>
        <w:rPr>
          <w:rFonts w:ascii="宋体" w:hAnsi="宋体" w:cs="Calibri"/>
          <w:b/>
          <w:bCs/>
          <w:kern w:val="0"/>
          <w:sz w:val="22"/>
        </w:rPr>
        <w:t>9.纪律和监督</w:t>
      </w:r>
      <w:bookmarkEnd w:id="56"/>
      <w:bookmarkEnd w:id="57"/>
      <w:bookmarkEnd w:id="58"/>
      <w:bookmarkEnd w:id="59"/>
    </w:p>
    <w:p>
      <w:pPr>
        <w:autoSpaceDE w:val="0"/>
        <w:autoSpaceDN w:val="0"/>
        <w:adjustRightInd w:val="0"/>
        <w:snapToGrid w:val="0"/>
        <w:spacing w:line="360" w:lineRule="exact"/>
        <w:rPr>
          <w:rFonts w:ascii="宋体" w:hAnsi="宋体" w:cs="Calibri"/>
          <w:b/>
          <w:bCs/>
          <w:kern w:val="0"/>
          <w:sz w:val="22"/>
        </w:rPr>
      </w:pPr>
      <w:bookmarkStart w:id="60" w:name="_Toc5509"/>
      <w:bookmarkStart w:id="61" w:name="_Toc220123245"/>
      <w:bookmarkStart w:id="62" w:name="_Toc219809805"/>
      <w:r>
        <w:rPr>
          <w:rFonts w:ascii="宋体" w:hAnsi="宋体" w:cs="Calibri"/>
          <w:b/>
          <w:bCs/>
          <w:kern w:val="0"/>
          <w:sz w:val="22"/>
        </w:rPr>
        <w:t>9.1 对招标人的纪律要求</w:t>
      </w:r>
      <w:bookmarkEnd w:id="60"/>
      <w:bookmarkEnd w:id="61"/>
      <w:bookmarkEnd w:id="6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3" w:name="_Toc10820"/>
      <w:bookmarkStart w:id="64" w:name="_Toc220123246"/>
      <w:bookmarkStart w:id="65" w:name="_Toc219809806"/>
      <w:r>
        <w:rPr>
          <w:rFonts w:ascii="宋体" w:hAnsi="宋体" w:cs="Calibri"/>
          <w:b/>
          <w:bCs/>
          <w:kern w:val="0"/>
          <w:sz w:val="22"/>
        </w:rPr>
        <w:t>9.2 对投标人的纪律要求</w:t>
      </w:r>
      <w:bookmarkEnd w:id="63"/>
      <w:bookmarkEnd w:id="64"/>
      <w:bookmarkEnd w:id="6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6" w:name="_Toc219809807"/>
      <w:bookmarkStart w:id="67" w:name="_Toc220123247"/>
      <w:bookmarkStart w:id="68" w:name="_Toc10756"/>
      <w:r>
        <w:rPr>
          <w:rFonts w:ascii="宋体" w:hAnsi="宋体" w:cs="Calibri"/>
          <w:b/>
          <w:bCs/>
          <w:kern w:val="0"/>
          <w:sz w:val="22"/>
        </w:rPr>
        <w:t>9.3 对评标委员会成员的纪律要求</w:t>
      </w:r>
      <w:bookmarkEnd w:id="66"/>
      <w:bookmarkEnd w:id="67"/>
      <w:bookmarkEnd w:id="6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六</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9" w:name="_Toc219809808"/>
      <w:bookmarkStart w:id="70" w:name="_Toc220123248"/>
      <w:bookmarkStart w:id="71" w:name="_Toc12792"/>
      <w:r>
        <w:rPr>
          <w:rFonts w:ascii="宋体" w:hAnsi="宋体" w:cs="Calibri"/>
          <w:b/>
          <w:bCs/>
          <w:kern w:val="0"/>
          <w:sz w:val="22"/>
        </w:rPr>
        <w:t>9.4 对评标活动有关的工作人员的纪律要求</w:t>
      </w:r>
      <w:bookmarkEnd w:id="69"/>
      <w:bookmarkEnd w:id="70"/>
      <w:bookmarkEnd w:id="7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2" w:name="_Toc219809809"/>
      <w:bookmarkStart w:id="73" w:name="_Toc220123249"/>
      <w:bookmarkStart w:id="74" w:name="_Toc239"/>
      <w:r>
        <w:rPr>
          <w:rFonts w:ascii="宋体" w:hAnsi="宋体" w:cs="Calibri"/>
          <w:b/>
          <w:bCs/>
          <w:kern w:val="0"/>
          <w:sz w:val="22"/>
        </w:rPr>
        <w:t>9.5 投诉</w:t>
      </w:r>
      <w:bookmarkEnd w:id="72"/>
      <w:bookmarkEnd w:id="73"/>
      <w:bookmarkEnd w:id="7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5" w:name="_Toc10817"/>
      <w:r>
        <w:rPr>
          <w:rFonts w:ascii="宋体" w:hAnsi="宋体" w:cs="Calibri"/>
          <w:b/>
          <w:bCs/>
          <w:kern w:val="0"/>
          <w:sz w:val="22"/>
        </w:rPr>
        <w:t>10. 需要补充的其他内容</w:t>
      </w:r>
      <w:bookmarkEnd w:id="75"/>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13"/>
      </w:pPr>
      <w:r>
        <w:rPr>
          <w:sz w:val="24"/>
        </w:rPr>
        <w:br w:type="page"/>
      </w:r>
      <w:bookmarkStart w:id="76" w:name="_Toc450630559"/>
      <w:r>
        <w:t>第</w:t>
      </w:r>
      <w:r>
        <w:rPr>
          <w:rFonts w:hint="eastAsia"/>
        </w:rPr>
        <w:t>三</w:t>
      </w:r>
      <w:r>
        <w:t xml:space="preserve">章  </w:t>
      </w:r>
      <w:r>
        <w:rPr>
          <w:rFonts w:hint="eastAsia"/>
        </w:rPr>
        <w:t>合同条款及格式</w:t>
      </w:r>
      <w:bookmarkEnd w:id="76"/>
    </w:p>
    <w:p>
      <w:pPr>
        <w:jc w:val="center"/>
        <w:rPr>
          <w:rFonts w:ascii="宋体" w:hAnsi="宋体" w:cs="宋体"/>
          <w:b/>
          <w:sz w:val="28"/>
          <w:szCs w:val="20"/>
        </w:rPr>
      </w:pPr>
      <w:r>
        <w:rPr>
          <w:rFonts w:hint="eastAsia" w:ascii="宋体" w:hAnsi="宋体" w:cs="宋体"/>
          <w:b/>
          <w:sz w:val="28"/>
          <w:szCs w:val="20"/>
        </w:rPr>
        <w:t>第一部分  合同协议书</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杭州萧山国际机场</w:t>
      </w:r>
      <w:r>
        <w:rPr>
          <w:rFonts w:asciiTheme="minorEastAsia" w:hAnsiTheme="minorEastAsia"/>
          <w:sz w:val="22"/>
          <w:szCs w:val="22"/>
        </w:rPr>
        <w:t>有限公司</w:t>
      </w:r>
      <w:r>
        <w:rPr>
          <w:rFonts w:hint="eastAsia" w:asciiTheme="minorEastAsia" w:hAnsiTheme="minorEastAsia"/>
          <w:sz w:val="22"/>
          <w:szCs w:val="22"/>
        </w:rPr>
        <w:t>（以下简称“发包人”）为实施</w:t>
      </w:r>
      <w:r>
        <w:rPr>
          <w:rFonts w:hint="eastAsia" w:ascii="宋体" w:hAnsi="宋体"/>
          <w:b/>
          <w:sz w:val="22"/>
          <w:szCs w:val="22"/>
        </w:rPr>
        <w:t>杭州萧山国际机场员工宿舍景观提升改造工程</w:t>
      </w:r>
      <w:r>
        <w:rPr>
          <w:rFonts w:hint="eastAsia" w:asciiTheme="minorEastAsia" w:hAnsiTheme="minorEastAsia"/>
          <w:sz w:val="22"/>
          <w:szCs w:val="22"/>
        </w:rPr>
        <w:t>，已接受</w:t>
      </w:r>
      <w:r>
        <w:rPr>
          <w:rFonts w:hint="eastAsia" w:ascii="宋体" w:hAnsi="宋体"/>
          <w:sz w:val="22"/>
          <w:szCs w:val="22"/>
        </w:rPr>
        <w:t>【          】</w:t>
      </w:r>
      <w:r>
        <w:rPr>
          <w:rFonts w:hint="eastAsia" w:asciiTheme="minorEastAsia" w:hAnsiTheme="minorEastAsia"/>
          <w:sz w:val="22"/>
          <w:szCs w:val="22"/>
        </w:rPr>
        <w:t>（以下简称“承包人”）对该项目施工的投标。发包人和承包人共同达成如下协议。</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1. 本协议书与下列文件一起构成合同文件：</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(1)本合同书面（补充）协议以及合同履行中，双方有关工程的洽谈、变更等书面协议或文件；</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（2）本合同协议书（含合同谈判纪要）；</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（3）中标通知书；</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（4）本合同专用条款；</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（5）招标文件及其补充文件（包括询标记录）；</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（6）投标文件及其附件；</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（7）本合同通用条款；</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（8）标准、规范及有关技术文件；</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（9）图纸；</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（10）工程量清单；</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（11）工程报价书。 </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2. 上述文件互相补充和解释，如有不明确或不一致之处，以合同约定次序在先者为准。</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3. 本合同属于总价合同，签约合同价：人民币（大写）</w:t>
      </w:r>
      <w:r>
        <w:rPr>
          <w:rFonts w:hint="eastAsia" w:asciiTheme="minorEastAsia" w:hAnsiTheme="minorEastAsia"/>
          <w:sz w:val="22"/>
          <w:szCs w:val="22"/>
          <w:u w:val="single"/>
        </w:rPr>
        <w:t xml:space="preserve">             </w:t>
      </w:r>
      <w:r>
        <w:rPr>
          <w:rFonts w:hint="eastAsia" w:asciiTheme="minorEastAsia" w:hAnsiTheme="minorEastAsia"/>
          <w:sz w:val="22"/>
          <w:szCs w:val="22"/>
        </w:rPr>
        <w:t>元（¥</w:t>
      </w:r>
      <w:r>
        <w:rPr>
          <w:rFonts w:hint="eastAsia" w:asciiTheme="minorEastAsia" w:hAnsiTheme="minorEastAsia"/>
          <w:sz w:val="22"/>
          <w:szCs w:val="22"/>
          <w:u w:val="single"/>
        </w:rPr>
        <w:t xml:space="preserve">              </w:t>
      </w:r>
      <w:r>
        <w:rPr>
          <w:rFonts w:hint="eastAsia" w:asciiTheme="minorEastAsia" w:hAnsiTheme="minorEastAsia"/>
          <w:sz w:val="22"/>
          <w:szCs w:val="22"/>
        </w:rPr>
        <w:t>元 ）。</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4. 承包人项目经理：                   ，身份证号：         。</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5. 工程质量符合</w:t>
      </w:r>
      <w:r>
        <w:rPr>
          <w:rFonts w:hint="eastAsia" w:asciiTheme="minorEastAsia" w:hAnsiTheme="minorEastAsia"/>
          <w:sz w:val="22"/>
          <w:szCs w:val="22"/>
          <w:u w:val="single"/>
        </w:rPr>
        <w:t xml:space="preserve">  合同约定且达到合格  </w:t>
      </w:r>
      <w:r>
        <w:rPr>
          <w:rFonts w:hint="eastAsia" w:asciiTheme="minorEastAsia" w:hAnsiTheme="minorEastAsia"/>
          <w:sz w:val="22"/>
          <w:szCs w:val="22"/>
        </w:rPr>
        <w:t>标准。</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6. 承包人承诺按合同约定承担工程的实施、完成及缺陷修复。</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7. 发包人承诺按合同约定的条件、时间和方式向承包人支付合同价款。</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8. 承包人应按照发包人指示开工，预计开工时间为【】年【】月【】日，工期为</w:t>
      </w:r>
      <w:r>
        <w:rPr>
          <w:rFonts w:hint="eastAsia" w:asciiTheme="minorEastAsia" w:hAnsiTheme="minorEastAsia"/>
          <w:sz w:val="22"/>
          <w:szCs w:val="22"/>
          <w:u w:val="single"/>
        </w:rPr>
        <w:t xml:space="preserve">  30  </w:t>
      </w:r>
      <w:r>
        <w:rPr>
          <w:rFonts w:hint="eastAsia" w:asciiTheme="minorEastAsia" w:hAnsiTheme="minorEastAsia"/>
          <w:sz w:val="22"/>
          <w:szCs w:val="22"/>
        </w:rPr>
        <w:t>日历天。</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9. 本协议书一式陆份，甲方执肆份，乙方执贰份，具有同等法律效力。</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10. 合同未尽事宜，双方另行签订补充协议。补充协议是合同的组成部分。</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11.合同生效：本合同自双方法定代表人或委托代理人签字盖章之日起生效。</w:t>
      </w:r>
    </w:p>
    <w:p>
      <w:pPr>
        <w:spacing w:line="400" w:lineRule="exact"/>
        <w:ind w:firstLine="440" w:firstLineChars="200"/>
        <w:rPr>
          <w:rFonts w:asciiTheme="minorEastAsia" w:hAnsiTheme="minorEastAsia"/>
          <w:sz w:val="22"/>
          <w:szCs w:val="22"/>
        </w:rPr>
      </w:pPr>
    </w:p>
    <w:p>
      <w:pPr>
        <w:spacing w:line="400" w:lineRule="exact"/>
        <w:ind w:firstLine="440" w:firstLineChars="200"/>
        <w:rPr>
          <w:rFonts w:asciiTheme="minorEastAsia" w:hAnsiTheme="minorEastAsia"/>
          <w:sz w:val="22"/>
          <w:szCs w:val="22"/>
        </w:rPr>
      </w:pP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发包人：       （盖单位章）          承包人：          （盖单位章）</w:t>
      </w:r>
    </w:p>
    <w:p>
      <w:pPr>
        <w:spacing w:line="400" w:lineRule="exact"/>
        <w:ind w:firstLine="440" w:firstLineChars="200"/>
        <w:rPr>
          <w:rFonts w:asciiTheme="minorEastAsia" w:hAnsiTheme="minorEastAsia"/>
          <w:sz w:val="22"/>
          <w:szCs w:val="22"/>
        </w:rPr>
      </w:pP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 xml:space="preserve">法定代表人或其委托代理人：           法定代表人或其委托代理人：          </w:t>
      </w:r>
    </w:p>
    <w:p>
      <w:pPr>
        <w:spacing w:line="400" w:lineRule="exact"/>
        <w:ind w:firstLine="48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r>
        <w:rPr>
          <w:rFonts w:hint="eastAsia" w:ascii="宋体" w:hAnsi="宋体" w:cs="宋体"/>
          <w:b/>
          <w:sz w:val="28"/>
          <w:szCs w:val="20"/>
        </w:rPr>
        <w:t>第二部分  通用合同条款</w:t>
      </w:r>
    </w:p>
    <w:p>
      <w:pPr>
        <w:pStyle w:val="20"/>
        <w:jc w:val="center"/>
        <w:rPr>
          <w:rFonts w:ascii="宋体" w:hAnsi="宋体" w:eastAsia="宋体"/>
          <w:b/>
        </w:rPr>
      </w:pPr>
      <w:r>
        <w:rPr>
          <w:rFonts w:hint="eastAsia" w:ascii="宋体" w:hAnsi="宋体" w:eastAsia="宋体"/>
          <w:b/>
        </w:rPr>
        <w:t>（略）</w:t>
      </w:r>
      <w:r>
        <w:rPr>
          <w:rFonts w:ascii="宋体" w:hAnsi="宋体" w:eastAsia="宋体"/>
          <w:b/>
        </w:rPr>
        <w:br w:type="page"/>
      </w:r>
      <w:r>
        <w:rPr>
          <w:rFonts w:hint="eastAsia" w:ascii="宋体" w:hAnsi="宋体" w:eastAsia="宋体"/>
          <w:b/>
        </w:rPr>
        <w:t>第三部分  专用合同条款</w:t>
      </w:r>
    </w:p>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1.1.2.5分包：</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ind w:firstLine="440" w:firstLineChars="200"/>
        <w:rPr>
          <w:rFonts w:ascii="宋体" w:hAnsi="宋体" w:cs="宋体"/>
          <w:sz w:val="22"/>
        </w:rPr>
      </w:pPr>
      <w:r>
        <w:rPr>
          <w:rFonts w:hint="eastAsia" w:ascii="宋体" w:hAnsi="宋体" w:cs="宋体"/>
          <w:sz w:val="22"/>
        </w:rPr>
        <w:t>1.1.4 日期</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4.2.1承包人向发包人提供履约担保，担保方式为：银行转账，担保额度：合同总价（扣除暂列金额）的10％。 履约担保包括以下类别：工期担保为履约担保金的25%，质量担保为履约担保金的35%，人员及设备到位率担保为履约担保金的10%，安全文明施工、治安、交通及机场空防安全担保为履约担保金的20%。如承包人不能按投标承诺和合同要求履约，发包人将有权罚没部分或全部相应类别甚至其他类别的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5.2.8发包人供应材料设备发生的损耗按浙江省2010定额相关规定结算。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（1）没收履约担保金中相应的工期部分或全部履约保证金；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napToGrid w:val="0"/>
        <w:spacing w:line="360" w:lineRule="exact"/>
        <w:rPr>
          <w:rFonts w:ascii="宋体" w:hAnsi="宋体" w:cs="宋体"/>
          <w:sz w:val="22"/>
        </w:rPr>
      </w:pPr>
      <w:r>
        <w:rPr>
          <w:rFonts w:hint="eastAsia" w:ascii="宋体" w:hAnsi="宋体" w:cs="宋体"/>
          <w:sz w:val="22"/>
        </w:rPr>
        <w:t>15．变更（本项目不存在变更）</w:t>
      </w:r>
    </w:p>
    <w:p>
      <w:pPr>
        <w:snapToGrid w:val="0"/>
        <w:spacing w:line="360" w:lineRule="exact"/>
        <w:rPr>
          <w:rFonts w:ascii="宋体" w:hAnsi="宋体" w:cs="宋体"/>
          <w:sz w:val="22"/>
        </w:rPr>
      </w:pPr>
      <w:r>
        <w:rPr>
          <w:rFonts w:hint="eastAsia" w:ascii="宋体" w:hAnsi="宋体" w:cs="宋体"/>
          <w:sz w:val="22"/>
        </w:rPr>
        <w:t>16．价格调整</w:t>
      </w:r>
    </w:p>
    <w:p>
      <w:pPr>
        <w:snapToGrid w:val="0"/>
        <w:spacing w:line="360" w:lineRule="exact"/>
        <w:rPr>
          <w:rFonts w:ascii="宋体" w:hAnsi="宋体" w:cs="宋体"/>
          <w:sz w:val="22"/>
        </w:rPr>
      </w:pPr>
      <w:r>
        <w:rPr>
          <w:rFonts w:hint="eastAsia" w:ascii="宋体" w:hAnsi="宋体" w:cs="宋体"/>
          <w:sz w:val="22"/>
        </w:rPr>
        <w:t xml:space="preserve">16.1本合同价款采用固定总价合同方式确定，在项目实施过程中，发包人不对承包人提出的任何工程量及价格变更要求进行总价调整，投标报价即为结算价。 合同价款中包括的风险范围：a、发包范围内包含的所有内容；b、合同执行期内，投标材料、人工价格的市场变化；c、合同执行期内，施工临时停电、停水或因机场运营需要造成的连续8小时内的停工；d、合同执行期内，因客观原因造成承包人停工、窝工；e、合同执行期内可能发生的其他费用，包括市政、市容、环保、治安等。 风险费用的计算方法：承包人在投标报价时综合考虑，不再另行计取。 </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17.3.1 进度付款申请单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双方约定的进度付款申请单份数：6 份。</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snapToGrid w:val="0"/>
        <w:spacing w:line="360" w:lineRule="exact"/>
        <w:ind w:firstLine="440" w:firstLineChars="200"/>
        <w:rPr>
          <w:rFonts w:ascii="宋体" w:hAnsi="宋体" w:cs="宋体"/>
          <w:sz w:val="22"/>
        </w:rPr>
      </w:pPr>
      <w:r>
        <w:rPr>
          <w:rFonts w:hint="eastAsia" w:ascii="宋体" w:hAnsi="宋体" w:cs="宋体"/>
          <w:sz w:val="22"/>
        </w:rPr>
        <w:t>工程竣工验收通过并完成工程结算，经发包人认可后</w:t>
      </w:r>
      <w:r>
        <w:rPr>
          <w:rFonts w:ascii="宋体" w:hAnsi="宋体" w:cs="宋体"/>
          <w:sz w:val="22"/>
        </w:rPr>
        <w:t>30</w:t>
      </w:r>
      <w:r>
        <w:rPr>
          <w:rFonts w:hint="eastAsia" w:ascii="宋体" w:hAnsi="宋体" w:cs="宋体"/>
          <w:sz w:val="22"/>
        </w:rPr>
        <w:t>天内，发包人向承包人支付结算价的</w:t>
      </w:r>
      <w:r>
        <w:rPr>
          <w:rFonts w:ascii="宋体" w:hAnsi="宋体" w:cs="宋体"/>
          <w:sz w:val="22"/>
        </w:rPr>
        <w:t>9</w:t>
      </w:r>
      <w:r>
        <w:rPr>
          <w:rFonts w:hint="eastAsia" w:ascii="宋体" w:hAnsi="宋体" w:cs="宋体"/>
          <w:sz w:val="22"/>
        </w:rPr>
        <w:t>5</w:t>
      </w:r>
      <w:r>
        <w:rPr>
          <w:rFonts w:ascii="宋体" w:hAnsi="宋体" w:cs="宋体"/>
          <w:sz w:val="22"/>
        </w:rPr>
        <w:t>%</w:t>
      </w:r>
      <w:r>
        <w:rPr>
          <w:rFonts w:hint="eastAsia" w:ascii="宋体" w:hAnsi="宋体" w:cs="宋体"/>
          <w:sz w:val="22"/>
        </w:rPr>
        <w:t>，并无息退还承包人履约保证金。结算价的5</w:t>
      </w:r>
      <w:r>
        <w:rPr>
          <w:rFonts w:ascii="宋体" w:hAnsi="宋体" w:cs="宋体"/>
          <w:sz w:val="22"/>
        </w:rPr>
        <w:t>%</w:t>
      </w:r>
      <w:r>
        <w:rPr>
          <w:rFonts w:hint="eastAsia" w:ascii="宋体" w:hAnsi="宋体" w:cs="宋体"/>
          <w:sz w:val="22"/>
        </w:rPr>
        <w:t>留作质量保证金，待缺陷责任期满后无利息支付。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双方约定，在履行合同过程中产生的争议时，可请工程所在地建设行政主管部门调解，协商不成的：向工程所在地的人民法院起诉，工程所在地为杭州萧山国际机场内。</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w:t>
      </w:r>
      <w:r>
        <w:rPr>
          <w:rFonts w:hint="eastAsia" w:ascii="宋体" w:hAnsi="宋体" w:cs="宋体"/>
          <w:sz w:val="22"/>
          <w:highlight w:val="yellow"/>
          <w:lang w:val="zh-CN" w:bidi="ar"/>
        </w:rPr>
        <w:t>30%</w:t>
      </w:r>
      <w:r>
        <w:rPr>
          <w:rFonts w:hint="eastAsia" w:ascii="宋体" w:hAnsi="宋体" w:cs="宋体"/>
          <w:sz w:val="22"/>
          <w:lang w:val="zh-CN"/>
        </w:rPr>
        <w:t>】的水费转供设施维护费（加收部分主要是损耗、运行维护、维修费等）。如自来水公司水价调整，水费单价也作相应的调整，收取的【</w:t>
      </w:r>
      <w:r>
        <w:rPr>
          <w:rFonts w:hint="eastAsia" w:ascii="宋体" w:hAnsi="宋体" w:cs="宋体"/>
          <w:sz w:val="22"/>
          <w:highlight w:val="yellow"/>
          <w:lang w:val="zh-CN" w:bidi="ar"/>
        </w:rPr>
        <w:t>30%</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25.15施工用电：由发包人提供用电接口，场内接管、安装电表由承包人自行解决，承包人施工前需向机场水电管理部门提出申请并通过。电费以供电局电价0.8149元/度为基础单价，并在基础单价上加收【</w:t>
      </w:r>
      <w:r>
        <w:rPr>
          <w:rFonts w:hint="eastAsia" w:ascii="宋体" w:hAnsi="宋体" w:cs="宋体"/>
          <w:sz w:val="22"/>
          <w:highlight w:val="yellow"/>
          <w:lang w:val="zh-CN" w:bidi="ar"/>
        </w:rPr>
        <w:t>33%</w:t>
      </w:r>
      <w:r>
        <w:rPr>
          <w:rFonts w:hint="eastAsia" w:ascii="宋体" w:hAnsi="宋体" w:cs="宋体"/>
          <w:sz w:val="22"/>
          <w:lang w:val="zh-CN"/>
        </w:rPr>
        <w:t>】的电费转供设施维护费（加收部分主要是损耗、运行维护、维修费等）。如供电局电价调整，电费单价也作相应的调整，收取的【</w:t>
      </w:r>
      <w:r>
        <w:rPr>
          <w:rFonts w:hint="eastAsia" w:ascii="宋体" w:hAnsi="宋体" w:cs="宋体"/>
          <w:sz w:val="22"/>
          <w:highlight w:val="yellow"/>
          <w:lang w:val="zh-CN" w:bidi="ar"/>
        </w:rPr>
        <w:t>33%</w:t>
      </w:r>
      <w:r>
        <w:rPr>
          <w:rFonts w:hint="eastAsia" w:ascii="宋体" w:hAnsi="宋体" w:cs="宋体"/>
          <w:sz w:val="22"/>
          <w:lang w:val="zh-CN"/>
        </w:rPr>
        <w:t>】费率不变，收费单价保留小数点后两位，四舍五入，用电计量以发包人计量为准。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附件三：廉洁自律承诺书</w:t>
      </w:r>
    </w:p>
    <w:p>
      <w:pPr>
        <w:snapToGrid w:val="0"/>
        <w:spacing w:line="360" w:lineRule="exact"/>
        <w:ind w:firstLine="440" w:firstLineChars="200"/>
        <w:rPr>
          <w:rFonts w:ascii="宋体" w:hAnsi="宋体" w:cs="宋体"/>
          <w:sz w:val="22"/>
        </w:rPr>
      </w:pPr>
      <w:r>
        <w:rPr>
          <w:rFonts w:hint="eastAsia" w:ascii="宋体" w:hAnsi="宋体" w:cs="宋体"/>
          <w:sz w:val="22"/>
        </w:rPr>
        <w:t>附件四：技术规范</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b/>
          <w:sz w:val="22"/>
          <w:u w:val="single"/>
        </w:rPr>
        <w:t>杭州萧山国际机场员工集体宿舍绿化环境改造工程</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
          <w:sz w:val="22"/>
          <w:u w:val="single"/>
        </w:rPr>
        <w:t>杭州萧山国际机场员工集体宿舍绿化环境改造工程</w:t>
      </w:r>
      <w:r>
        <w:rPr>
          <w:rFonts w:hint="eastAsia" w:ascii="宋体" w:hAnsi="宋体" w:cs="宋体"/>
          <w:sz w:val="22"/>
        </w:rPr>
        <w:t>施工图纸所示内容。</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numPr>
          <w:ilvl w:val="0"/>
          <w:numId w:val="2"/>
        </w:numPr>
        <w:spacing w:line="340" w:lineRule="exact"/>
        <w:ind w:firstLine="440" w:firstLineChars="200"/>
        <w:rPr>
          <w:rFonts w:ascii="宋体" w:hAnsi="宋体" w:cs="宋体"/>
          <w:sz w:val="22"/>
        </w:rPr>
      </w:pPr>
      <w:r>
        <w:rPr>
          <w:rFonts w:hint="eastAsia" w:ascii="宋体" w:hAnsi="宋体" w:cs="宋体"/>
          <w:sz w:val="22"/>
        </w:rPr>
        <w:t>缺陷责任期</w:t>
      </w:r>
    </w:p>
    <w:p>
      <w:pPr>
        <w:spacing w:line="340" w:lineRule="exact"/>
        <w:ind w:firstLine="440" w:firstLineChars="200"/>
        <w:rPr>
          <w:rFonts w:ascii="宋体" w:hAnsi="宋体" w:cs="宋体"/>
          <w:sz w:val="22"/>
          <w:shd w:val="clear" w:color="auto" w:fill="FFFF00"/>
        </w:rPr>
      </w:pPr>
      <w:r>
        <w:rPr>
          <w:rFonts w:hint="eastAsia" w:ascii="宋体" w:hAnsi="宋体" w:cs="宋体"/>
          <w:sz w:val="22"/>
          <w:shd w:val="clear" w:color="auto" w:fill="FFFF00"/>
        </w:rPr>
        <w:t>工程缺陷责任期为</w:t>
      </w:r>
      <w:r>
        <w:rPr>
          <w:rFonts w:ascii="宋体" w:hAnsi="宋体" w:cs="宋体"/>
          <w:sz w:val="22"/>
          <w:shd w:val="clear" w:color="auto" w:fill="FFFF00"/>
        </w:rPr>
        <w:t xml:space="preserve"> 24 </w:t>
      </w:r>
      <w:r>
        <w:rPr>
          <w:rFonts w:hint="eastAsia" w:ascii="宋体" w:hAnsi="宋体" w:cs="宋体"/>
          <w:sz w:val="22"/>
          <w:shd w:val="clear" w:color="auto" w:fill="FFFF00"/>
        </w:rPr>
        <w:t>个月，缺陷责任期自工程竣工验收合格之日起计算。单位工程先于全部工程进行验收，单位工程缺陷责任期自单位工程验收合格之日起算。</w:t>
      </w:r>
    </w:p>
    <w:p>
      <w:pPr>
        <w:spacing w:line="340" w:lineRule="exact"/>
        <w:rPr>
          <w:rFonts w:ascii="宋体" w:hAnsi="宋体" w:cs="宋体"/>
          <w:sz w:val="22"/>
        </w:rPr>
      </w:pPr>
      <w:r>
        <w:rPr>
          <w:rFonts w:hint="eastAsia" w:ascii="宋体" w:hAnsi="宋体" w:cs="宋体"/>
          <w:sz w:val="22"/>
        </w:rPr>
        <w:t xml:space="preserve">    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Theme="minorEastAsia" w:hAnsiTheme="minorEastAsia"/>
          <w:b/>
          <w:sz w:val="22"/>
          <w:szCs w:val="22"/>
        </w:rPr>
      </w:pPr>
      <w:r>
        <w:rPr>
          <w:rFonts w:hint="eastAsia" w:asciiTheme="minorEastAsia" w:hAnsiTheme="minorEastAsia"/>
          <w:b/>
          <w:sz w:val="22"/>
          <w:szCs w:val="22"/>
        </w:rPr>
        <w:t>发包人（甲方）：</w:t>
      </w:r>
      <w:r>
        <w:rPr>
          <w:rFonts w:hint="eastAsia" w:asciiTheme="minorEastAsia" w:hAnsiTheme="minorEastAsia"/>
          <w:b/>
          <w:sz w:val="22"/>
          <w:szCs w:val="22"/>
          <w:u w:val="single"/>
        </w:rPr>
        <w:t>杭州萧山国际机场有限公司</w:t>
      </w:r>
    </w:p>
    <w:p>
      <w:pPr>
        <w:spacing w:line="360" w:lineRule="exact"/>
        <w:rPr>
          <w:rFonts w:asciiTheme="minorEastAsia" w:hAnsiTheme="minorEastAsia"/>
          <w:b/>
          <w:sz w:val="22"/>
          <w:szCs w:val="22"/>
          <w:u w:val="single"/>
        </w:rPr>
      </w:pPr>
      <w:r>
        <w:rPr>
          <w:rFonts w:hint="eastAsia" w:asciiTheme="minorEastAsia" w:hAnsiTheme="minorEastAsia"/>
          <w:b/>
          <w:sz w:val="22"/>
          <w:szCs w:val="22"/>
        </w:rPr>
        <w:t>承包人（乙方）：</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为确保</w:t>
      </w:r>
      <w:r>
        <w:rPr>
          <w:rFonts w:hint="eastAsia" w:ascii="宋体" w:hAnsi="宋体"/>
          <w:b/>
          <w:sz w:val="22"/>
          <w:szCs w:val="22"/>
        </w:rPr>
        <w:t>杭州萧山国际机场员工集体宿舍绿化环境改造工程</w:t>
      </w:r>
      <w:r>
        <w:rPr>
          <w:rFonts w:asciiTheme="minorEastAsia" w:hAnsiTheme="minorEastAsia"/>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Theme="minorEastAsia" w:hAnsiTheme="minorEastAsia"/>
          <w:bCs/>
          <w:sz w:val="22"/>
          <w:szCs w:val="22"/>
        </w:rPr>
      </w:pPr>
      <w:r>
        <w:rPr>
          <w:rFonts w:asciiTheme="minorEastAsia" w:hAnsiTheme="minorEastAsia"/>
          <w:b/>
          <w:sz w:val="22"/>
          <w:szCs w:val="22"/>
        </w:rPr>
        <w:t>一、甲方对乙方实行安全目标管理，安全目标的具体内容是</w:t>
      </w:r>
      <w:r>
        <w:rPr>
          <w:rFonts w:asciiTheme="minorEastAsia" w:hAnsiTheme="minorEastAsia"/>
          <w:sz w:val="22"/>
          <w:szCs w:val="22"/>
        </w:rPr>
        <w:t>：</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1、无死亡事故和重大伤害事故(含道路交通事故)。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2、无重大责任事故。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3、无空防安全事故。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4、无七类重大刑事案件(杀人、绑架、强奸、放火、爆炸、劫持、故意伤害致死)及其它严重、恶性案件。</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上述情况的认定按国家和行业的有关规定和标准执行。</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二、甲方的协助责任和权利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5、不得对乙方提出违反国家法律、法规和强制性标准规定的要求。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9、利用施工例会定期分析和掌握施工单位的治安情况，通报当前治安形势，交流工作经验，协助处理相关问题。</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10、乙方拒不按照本协议条款规定组织安全文明施工的，甲方有权责令乙方停工整改直至终止合同。</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11、甲方有权对乙方各项安全工作进行监督、检查。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三、乙方的安全责任和权利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（一）乙方应从事的施工安全管理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24、在采用新技术、新工艺、新设备、新材料时，应当对作业人员进行相应的安全生产教育培训。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（二）乙方应从事的空防安全管理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（三）乙方应从事的不停航施工项目安全管理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（四）乙方的文明施工责任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Theme="minorEastAsia" w:hAnsiTheme="minorEastAsia"/>
          <w:sz w:val="22"/>
          <w:szCs w:val="22"/>
        </w:rPr>
      </w:pPr>
      <w:r>
        <w:rPr>
          <w:rFonts w:asciiTheme="minorEastAsia" w:hAnsiTheme="minorEastAsia"/>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（五）乙方应从事的社会治安综合治理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39、认真排查、调处各类矛盾，及时消除隐患，杜绝各类社会矛盾引发的群体性事件的发生。</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（六）乙方应从事的消防安全管理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43、施工中使用明火，使用电、气进行焊接和切割作业，须经机场公安消防管理部门审查批准，未经批准一律不得使用。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44、加强对施工人员进行消防安全教育，使其熟悉本岗位防火措施、遇险报警、初期扑救及自救逃生的知识和技能。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（七）乙方应从事的交通安全管理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四、违约责任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五、本协议书附于《施工合同》后，签字盖章后生效。</w:t>
      </w:r>
    </w:p>
    <w:p>
      <w:pPr>
        <w:adjustRightInd w:val="0"/>
        <w:snapToGrid w:val="0"/>
        <w:spacing w:line="360" w:lineRule="exact"/>
        <w:rPr>
          <w:rFonts w:asciiTheme="minorEastAsia" w:hAnsiTheme="minorEastAsia"/>
          <w:b/>
          <w:bCs/>
          <w:sz w:val="22"/>
          <w:szCs w:val="22"/>
        </w:rPr>
      </w:pPr>
      <w:r>
        <w:rPr>
          <w:rFonts w:asciiTheme="minorEastAsia" w:hAnsiTheme="minorEastAsia"/>
          <w:b/>
          <w:bCs/>
          <w:sz w:val="22"/>
          <w:szCs w:val="22"/>
        </w:rPr>
        <w:t>五、附则：</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（二）本责任书解释权归甲方。</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（三）本责任书由甲乙双方共同签字盖章后生效。</w:t>
      </w:r>
    </w:p>
    <w:p>
      <w:pPr>
        <w:adjustRightInd w:val="0"/>
        <w:snapToGrid w:val="0"/>
        <w:spacing w:line="360" w:lineRule="exact"/>
        <w:rPr>
          <w:rFonts w:asciiTheme="minorEastAsia" w:hAnsiTheme="minorEastAsia"/>
          <w:sz w:val="22"/>
          <w:szCs w:val="22"/>
        </w:rPr>
      </w:pPr>
    </w:p>
    <w:p>
      <w:pPr>
        <w:adjustRightInd w:val="0"/>
        <w:snapToGrid w:val="0"/>
        <w:spacing w:line="360" w:lineRule="exact"/>
        <w:ind w:left="5632" w:hanging="5632" w:hangingChars="2550"/>
        <w:rPr>
          <w:rFonts w:asciiTheme="minorEastAsia" w:hAnsiTheme="minorEastAsia"/>
          <w:b/>
          <w:color w:val="000000"/>
          <w:sz w:val="22"/>
          <w:szCs w:val="22"/>
        </w:rPr>
      </w:pPr>
      <w:r>
        <w:rPr>
          <w:rFonts w:hint="eastAsia" w:asciiTheme="minorEastAsia" w:hAnsiTheme="minorEastAsia"/>
          <w:b/>
          <w:color w:val="000000"/>
          <w:sz w:val="22"/>
          <w:szCs w:val="22"/>
        </w:rPr>
        <w:t>发包人：杭州萧山国际机场有限公司         承包人：</w:t>
      </w:r>
    </w:p>
    <w:p>
      <w:pPr>
        <w:rPr>
          <w:rFonts w:cs="宋体" w:asciiTheme="minorEastAsia" w:hAnsiTheme="minorEastAsia"/>
          <w:bCs/>
          <w:sz w:val="22"/>
          <w:szCs w:val="22"/>
        </w:rPr>
      </w:pPr>
    </w:p>
    <w:p>
      <w:pPr>
        <w:pStyle w:val="21"/>
        <w:ind w:firstLine="0" w:firstLineChars="0"/>
        <w:rPr>
          <w:rFonts w:ascii="宋体" w:hAnsi="宋体"/>
          <w:color w:val="auto"/>
        </w:rPr>
      </w:pPr>
      <w:r>
        <w:rPr>
          <w:rFonts w:hint="eastAsia" w:ascii="宋体" w:hAnsi="宋体"/>
          <w:color w:val="auto"/>
        </w:rPr>
        <w:br w:type="page"/>
      </w:r>
      <w:r>
        <w:rPr>
          <w:rFonts w:hint="eastAsia" w:ascii="宋体" w:hAnsi="宋体"/>
          <w:color w:val="auto"/>
        </w:rPr>
        <w:t>附件三</w:t>
      </w:r>
    </w:p>
    <w:p>
      <w:pPr>
        <w:pStyle w:val="21"/>
        <w:ind w:firstLine="0" w:firstLineChars="0"/>
        <w:jc w:val="center"/>
        <w:rPr>
          <w:rFonts w:ascii="宋体" w:hAnsi="宋体"/>
          <w:b/>
          <w:color w:val="auto"/>
          <w:sz w:val="36"/>
        </w:rPr>
      </w:pPr>
      <w:r>
        <w:rPr>
          <w:rFonts w:hint="eastAsia" w:ascii="宋体" w:hAnsi="宋体"/>
          <w:b/>
          <w:color w:val="auto"/>
          <w:sz w:val="36"/>
        </w:rPr>
        <w:t>廉洁自律承诺书</w:t>
      </w:r>
    </w:p>
    <w:p>
      <w:pPr>
        <w:pStyle w:val="21"/>
        <w:ind w:firstLine="0" w:firstLineChars="0"/>
        <w:rPr>
          <w:rFonts w:ascii="宋体" w:hAnsi="宋体"/>
          <w:color w:val="auto"/>
        </w:rPr>
      </w:pPr>
    </w:p>
    <w:p>
      <w:pPr>
        <w:pStyle w:val="22"/>
        <w:adjustRightInd w:val="0"/>
        <w:snapToGrid w:val="0"/>
        <w:ind w:firstLine="0" w:firstLineChars="0"/>
        <w:jc w:val="left"/>
        <w:rPr>
          <w:rFonts w:ascii="宋体" w:hAnsi="宋体"/>
          <w:b/>
          <w:sz w:val="24"/>
          <w:szCs w:val="24"/>
        </w:rPr>
      </w:pPr>
      <w:r>
        <w:rPr>
          <w:rFonts w:hint="eastAsia" w:ascii="宋体" w:hAnsi="宋体"/>
          <w:b/>
          <w:sz w:val="24"/>
          <w:szCs w:val="24"/>
        </w:rPr>
        <w:t>杭州萧山国际机场有限公司：</w:t>
      </w:r>
    </w:p>
    <w:p>
      <w:pPr>
        <w:pStyle w:val="22"/>
        <w:adjustRightInd w:val="0"/>
        <w:snapToGrid w:val="0"/>
        <w:ind w:firstLine="480"/>
        <w:jc w:val="left"/>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pStyle w:val="22"/>
        <w:adjustRightInd w:val="0"/>
        <w:snapToGrid w:val="0"/>
        <w:ind w:firstLine="480"/>
        <w:jc w:val="left"/>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2"/>
        <w:adjustRightInd w:val="0"/>
        <w:snapToGrid w:val="0"/>
        <w:ind w:firstLine="480"/>
        <w:jc w:val="left"/>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pStyle w:val="22"/>
        <w:adjustRightInd w:val="0"/>
        <w:snapToGrid w:val="0"/>
        <w:ind w:firstLine="480"/>
        <w:jc w:val="left"/>
        <w:rPr>
          <w:rFonts w:ascii="宋体" w:hAnsi="宋体"/>
          <w:sz w:val="24"/>
          <w:szCs w:val="24"/>
        </w:rPr>
      </w:pPr>
      <w:r>
        <w:rPr>
          <w:rFonts w:hint="eastAsia" w:ascii="宋体" w:hAnsi="宋体"/>
          <w:sz w:val="24"/>
          <w:szCs w:val="24"/>
        </w:rPr>
        <w:t>三、不向贵公司有关人员或项目第三方人员提供宴请、旅游、和健身娱乐等活动；</w:t>
      </w:r>
    </w:p>
    <w:p>
      <w:pPr>
        <w:pStyle w:val="22"/>
        <w:adjustRightInd w:val="0"/>
        <w:snapToGrid w:val="0"/>
        <w:ind w:firstLine="480"/>
        <w:jc w:val="left"/>
        <w:rPr>
          <w:rFonts w:ascii="宋体" w:hAnsi="宋体"/>
          <w:sz w:val="24"/>
          <w:szCs w:val="24"/>
        </w:rPr>
      </w:pPr>
      <w:r>
        <w:rPr>
          <w:rFonts w:hint="eastAsia" w:ascii="宋体" w:hAnsi="宋体"/>
          <w:sz w:val="24"/>
          <w:szCs w:val="24"/>
        </w:rPr>
        <w:t>四、不为贵公司有关人员或项目第三方人员出国（境）、旅游等提供方便；</w:t>
      </w:r>
    </w:p>
    <w:p>
      <w:pPr>
        <w:pStyle w:val="22"/>
        <w:adjustRightInd w:val="0"/>
        <w:snapToGrid w:val="0"/>
        <w:ind w:firstLine="480"/>
        <w:jc w:val="left"/>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pStyle w:val="22"/>
        <w:adjustRightInd w:val="0"/>
        <w:snapToGrid w:val="0"/>
        <w:ind w:firstLine="480"/>
        <w:jc w:val="left"/>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pStyle w:val="22"/>
        <w:adjustRightInd w:val="0"/>
        <w:snapToGrid w:val="0"/>
        <w:ind w:firstLine="480"/>
        <w:jc w:val="left"/>
        <w:rPr>
          <w:rFonts w:ascii="宋体" w:hAnsi="宋体"/>
          <w:sz w:val="24"/>
          <w:szCs w:val="24"/>
        </w:rPr>
      </w:pPr>
      <w:r>
        <w:rPr>
          <w:rFonts w:ascii="宋体" w:hAnsi="宋体"/>
          <w:sz w:val="24"/>
          <w:szCs w:val="24"/>
        </w:rPr>
        <w:t>七</w:t>
      </w:r>
      <w:r>
        <w:rPr>
          <w:rFonts w:hint="eastAsia" w:ascii="宋体" w:hAnsi="宋体"/>
          <w:sz w:val="24"/>
          <w:szCs w:val="24"/>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sz w:val="24"/>
          <w:szCs w:val="24"/>
        </w:rPr>
        <w:t>0571－86661113。</w:t>
      </w:r>
    </w:p>
    <w:p>
      <w:pPr>
        <w:pStyle w:val="22"/>
        <w:adjustRightInd w:val="0"/>
        <w:snapToGrid w:val="0"/>
        <w:ind w:firstLine="480"/>
        <w:jc w:val="left"/>
        <w:rPr>
          <w:rFonts w:ascii="宋体" w:hAnsi="宋体"/>
          <w:sz w:val="24"/>
          <w:szCs w:val="24"/>
        </w:rPr>
      </w:pPr>
      <w:r>
        <w:rPr>
          <w:rFonts w:hint="eastAsia" w:ascii="宋体" w:hAnsi="宋体"/>
          <w:sz w:val="24"/>
          <w:szCs w:val="24"/>
        </w:rPr>
        <w:t>八、如违反上述廉洁自律承诺，贵公司有权：</w:t>
      </w:r>
    </w:p>
    <w:p>
      <w:pPr>
        <w:pStyle w:val="22"/>
        <w:numPr>
          <w:ilvl w:val="0"/>
          <w:numId w:val="3"/>
        </w:numPr>
        <w:adjustRightInd w:val="0"/>
        <w:snapToGrid w:val="0"/>
        <w:ind w:firstLineChars="0"/>
        <w:jc w:val="left"/>
        <w:rPr>
          <w:rFonts w:ascii="宋体" w:hAnsi="宋体"/>
          <w:sz w:val="24"/>
          <w:szCs w:val="24"/>
        </w:rPr>
      </w:pPr>
      <w:r>
        <w:rPr>
          <w:rFonts w:hint="eastAsia" w:ascii="宋体" w:hAnsi="宋体"/>
          <w:sz w:val="24"/>
          <w:szCs w:val="24"/>
        </w:rPr>
        <w:t>立即取消我单位投标、中标或在建项目的实施资格；</w:t>
      </w:r>
    </w:p>
    <w:p>
      <w:pPr>
        <w:pStyle w:val="22"/>
        <w:numPr>
          <w:ilvl w:val="0"/>
          <w:numId w:val="3"/>
        </w:numPr>
        <w:adjustRightInd w:val="0"/>
        <w:snapToGrid w:val="0"/>
        <w:ind w:firstLineChars="0"/>
        <w:jc w:val="left"/>
        <w:rPr>
          <w:rFonts w:ascii="宋体" w:hAnsi="宋体"/>
          <w:sz w:val="24"/>
          <w:szCs w:val="24"/>
        </w:rPr>
      </w:pPr>
      <w:r>
        <w:rPr>
          <w:rFonts w:hint="eastAsia" w:ascii="宋体" w:hAnsi="宋体"/>
          <w:sz w:val="24"/>
          <w:szCs w:val="24"/>
        </w:rPr>
        <w:t>扣除我方向贵公司缴纳的履约保证金的</w:t>
      </w:r>
      <w:r>
        <w:rPr>
          <w:rFonts w:ascii="宋体" w:hAnsi="宋体"/>
          <w:sz w:val="24"/>
          <w:szCs w:val="24"/>
        </w:rPr>
        <w:t>10%作为违反廉洁自律承诺的违约金。如该违约金不足以弥补贵公司损失的，我单位仍将承担实际损失赔偿责任。</w:t>
      </w:r>
    </w:p>
    <w:p>
      <w:pPr>
        <w:pStyle w:val="22"/>
        <w:numPr>
          <w:ilvl w:val="0"/>
          <w:numId w:val="3"/>
        </w:numPr>
        <w:adjustRightInd w:val="0"/>
        <w:snapToGrid w:val="0"/>
        <w:ind w:firstLineChars="0"/>
        <w:jc w:val="left"/>
        <w:rPr>
          <w:rFonts w:ascii="宋体" w:hAnsi="宋体"/>
          <w:sz w:val="24"/>
          <w:szCs w:val="24"/>
        </w:rPr>
      </w:pPr>
      <w:r>
        <w:rPr>
          <w:rFonts w:hint="eastAsia" w:ascii="宋体" w:hAnsi="宋体"/>
          <w:sz w:val="24"/>
          <w:szCs w:val="24"/>
        </w:rPr>
        <w:t>拒绝我单位在一定时期内进入贵公司进行项目建设或其它经营活动；</w:t>
      </w:r>
    </w:p>
    <w:p>
      <w:pPr>
        <w:pStyle w:val="22"/>
        <w:numPr>
          <w:ilvl w:val="0"/>
          <w:numId w:val="3"/>
        </w:numPr>
        <w:adjustRightInd w:val="0"/>
        <w:snapToGrid w:val="0"/>
        <w:ind w:firstLineChars="0"/>
        <w:jc w:val="left"/>
        <w:rPr>
          <w:rFonts w:ascii="宋体" w:hAnsi="宋体"/>
          <w:sz w:val="24"/>
          <w:szCs w:val="24"/>
        </w:rPr>
      </w:pPr>
      <w:r>
        <w:rPr>
          <w:rFonts w:hint="eastAsia" w:ascii="宋体" w:hAnsi="宋体"/>
          <w:sz w:val="24"/>
          <w:szCs w:val="24"/>
        </w:rPr>
        <w:t>由此引起的相应损失均由我单位承担。</w:t>
      </w:r>
    </w:p>
    <w:p>
      <w:pPr>
        <w:pStyle w:val="22"/>
        <w:adjustRightInd w:val="0"/>
        <w:snapToGrid w:val="0"/>
        <w:ind w:firstLine="480"/>
        <w:jc w:val="left"/>
        <w:rPr>
          <w:rFonts w:ascii="宋体" w:hAnsi="宋体"/>
          <w:sz w:val="24"/>
          <w:szCs w:val="24"/>
        </w:rPr>
      </w:pPr>
    </w:p>
    <w:p>
      <w:pPr>
        <w:pStyle w:val="22"/>
        <w:adjustRightInd w:val="0"/>
        <w:snapToGrid w:val="0"/>
        <w:ind w:firstLine="480"/>
        <w:jc w:val="left"/>
        <w:rPr>
          <w:rFonts w:ascii="宋体" w:hAnsi="宋体"/>
          <w:sz w:val="24"/>
          <w:szCs w:val="24"/>
        </w:rPr>
      </w:pPr>
      <w:r>
        <w:rPr>
          <w:rFonts w:hint="eastAsia" w:ascii="宋体" w:hAnsi="宋体"/>
          <w:sz w:val="24"/>
          <w:szCs w:val="24"/>
        </w:rPr>
        <w:t>承诺人单位名称（盖章）：</w:t>
      </w:r>
      <w:r>
        <w:rPr>
          <w:rFonts w:ascii="宋体" w:hAnsi="宋体"/>
          <w:sz w:val="24"/>
          <w:szCs w:val="24"/>
        </w:rPr>
        <w:t xml:space="preserve">            </w:t>
      </w:r>
    </w:p>
    <w:p>
      <w:pPr>
        <w:pStyle w:val="22"/>
        <w:adjustRightInd w:val="0"/>
        <w:snapToGrid w:val="0"/>
        <w:ind w:firstLine="480"/>
        <w:jc w:val="left"/>
        <w:rPr>
          <w:rFonts w:ascii="宋体" w:hAnsi="宋体"/>
          <w:sz w:val="24"/>
          <w:szCs w:val="24"/>
        </w:rPr>
      </w:pPr>
      <w:r>
        <w:rPr>
          <w:rFonts w:hint="eastAsia" w:ascii="宋体" w:hAnsi="宋体"/>
          <w:sz w:val="24"/>
          <w:szCs w:val="24"/>
        </w:rPr>
        <w:t>法定代表人</w:t>
      </w:r>
      <w:r>
        <w:rPr>
          <w:rFonts w:ascii="宋体" w:hAnsi="宋体"/>
          <w:sz w:val="24"/>
          <w:szCs w:val="24"/>
        </w:rPr>
        <w:t xml:space="preserve"> ：                    </w:t>
      </w:r>
    </w:p>
    <w:p>
      <w:pPr>
        <w:pStyle w:val="22"/>
        <w:adjustRightInd w:val="0"/>
        <w:snapToGrid w:val="0"/>
        <w:ind w:firstLine="480"/>
        <w:jc w:val="left"/>
        <w:rPr>
          <w:rFonts w:ascii="宋体" w:hAnsi="宋体"/>
          <w:sz w:val="24"/>
          <w:szCs w:val="24"/>
        </w:rPr>
      </w:pPr>
      <w:r>
        <w:rPr>
          <w:rFonts w:hint="eastAsia" w:ascii="宋体" w:hAnsi="宋体"/>
          <w:sz w:val="24"/>
          <w:szCs w:val="24"/>
        </w:rPr>
        <w:t>或</w:t>
      </w:r>
      <w:r>
        <w:rPr>
          <w:rFonts w:ascii="宋体" w:hAnsi="宋体"/>
          <w:sz w:val="24"/>
          <w:szCs w:val="24"/>
        </w:rPr>
        <w:t xml:space="preserve">                            </w:t>
      </w:r>
    </w:p>
    <w:p>
      <w:pPr>
        <w:pStyle w:val="22"/>
        <w:adjustRightInd w:val="0"/>
        <w:snapToGrid w:val="0"/>
        <w:ind w:firstLine="480"/>
        <w:jc w:val="left"/>
        <w:rPr>
          <w:rFonts w:ascii="宋体" w:hAnsi="宋体"/>
          <w:sz w:val="24"/>
          <w:szCs w:val="24"/>
        </w:rPr>
      </w:pPr>
      <w:r>
        <w:rPr>
          <w:rFonts w:hint="eastAsia" w:ascii="宋体" w:hAnsi="宋体"/>
          <w:sz w:val="24"/>
          <w:szCs w:val="24"/>
        </w:rPr>
        <w:t>委托代理人：</w:t>
      </w:r>
      <w:r>
        <w:rPr>
          <w:rFonts w:ascii="宋体" w:hAnsi="宋体"/>
          <w:sz w:val="24"/>
          <w:szCs w:val="24"/>
        </w:rPr>
        <w:t xml:space="preserve">            </w:t>
      </w:r>
    </w:p>
    <w:p>
      <w:pPr>
        <w:pStyle w:val="22"/>
        <w:adjustRightInd w:val="0"/>
        <w:snapToGrid w:val="0"/>
        <w:ind w:firstLine="480"/>
        <w:jc w:val="left"/>
        <w:rPr>
          <w:rFonts w:ascii="宋体" w:hAnsi="宋体"/>
          <w:sz w:val="24"/>
          <w:szCs w:val="24"/>
        </w:rPr>
      </w:pPr>
    </w:p>
    <w:p>
      <w:pPr>
        <w:pStyle w:val="22"/>
        <w:adjustRightInd w:val="0"/>
        <w:snapToGrid w:val="0"/>
        <w:ind w:firstLine="480"/>
        <w:jc w:val="left"/>
        <w:rPr>
          <w:rFonts w:ascii="宋体" w:hAnsi="宋体"/>
          <w:sz w:val="24"/>
          <w:szCs w:val="24"/>
        </w:rPr>
      </w:pPr>
      <w:r>
        <w:rPr>
          <w:rFonts w:hint="eastAsia" w:ascii="宋体" w:hAnsi="宋体"/>
          <w:sz w:val="24"/>
          <w:szCs w:val="24"/>
        </w:rPr>
        <w:t xml:space="preserve">                             </w:t>
      </w:r>
    </w:p>
    <w:p>
      <w:pPr>
        <w:pStyle w:val="22"/>
        <w:adjustRightInd w:val="0"/>
        <w:snapToGrid w:val="0"/>
        <w:ind w:firstLine="480"/>
        <w:jc w:val="left"/>
      </w:pPr>
      <w:r>
        <w:rPr>
          <w:rFonts w:hint="eastAsia" w:ascii="宋体" w:hAnsi="宋体"/>
          <w:sz w:val="24"/>
          <w:szCs w:val="24"/>
        </w:rPr>
        <w:t xml:space="preserve">                                   </w:t>
      </w:r>
      <w:r>
        <w:rPr>
          <w:rFonts w:ascii="宋体" w:hAnsi="宋体"/>
          <w:sz w:val="24"/>
          <w:szCs w:val="24"/>
        </w:rPr>
        <w:t xml:space="preserve">             年     月     日</w:t>
      </w:r>
    </w:p>
    <w:p>
      <w:pPr>
        <w:keepNext/>
        <w:keepLines/>
        <w:spacing w:before="120" w:after="120" w:line="400" w:lineRule="exact"/>
        <w:ind w:right="-16"/>
        <w:jc w:val="center"/>
        <w:outlineLvl w:val="0"/>
      </w:pPr>
    </w:p>
    <w:p>
      <w:r>
        <w:br w:type="page"/>
      </w:r>
    </w:p>
    <w:p>
      <w:r>
        <w:rPr>
          <w:rFonts w:hint="eastAsia"/>
        </w:rPr>
        <w:t>附件四：</w:t>
      </w:r>
    </w:p>
    <w:p>
      <w:pPr>
        <w:pStyle w:val="2"/>
      </w:pPr>
      <w:r>
        <w:rPr>
          <w:rFonts w:hint="eastAsia"/>
        </w:rPr>
        <w:t>技术规范</w:t>
      </w:r>
    </w:p>
    <w:p/>
    <w:p>
      <w:pPr>
        <w:numPr>
          <w:ilvl w:val="0"/>
          <w:numId w:val="4"/>
        </w:numPr>
        <w:adjustRightInd w:val="0"/>
        <w:snapToGrid w:val="0"/>
        <w:spacing w:line="360" w:lineRule="exact"/>
        <w:ind w:firstLine="442" w:firstLineChars="200"/>
        <w:rPr>
          <w:rFonts w:ascii="宋体" w:hAnsi="宋体" w:cs="Calibri"/>
          <w:b/>
          <w:bCs/>
          <w:color w:val="000000"/>
          <w:sz w:val="22"/>
        </w:rPr>
      </w:pPr>
      <w:r>
        <w:rPr>
          <w:rFonts w:hint="eastAsia" w:ascii="宋体" w:hAnsi="宋体" w:cs="Calibri"/>
          <w:b/>
          <w:bCs/>
          <w:color w:val="000000"/>
          <w:sz w:val="22"/>
        </w:rPr>
        <w:t>绿化部分</w:t>
      </w:r>
    </w:p>
    <w:p>
      <w:pPr>
        <w:numPr>
          <w:ilvl w:val="255"/>
          <w:numId w:val="0"/>
        </w:numPr>
        <w:adjustRightInd w:val="0"/>
        <w:snapToGrid w:val="0"/>
        <w:spacing w:line="360" w:lineRule="exact"/>
        <w:rPr>
          <w:rFonts w:ascii="宋体" w:hAnsi="宋体" w:cs="Calibri"/>
          <w:b/>
          <w:bCs/>
          <w:color w:val="000000"/>
          <w:sz w:val="22"/>
        </w:rPr>
      </w:pPr>
      <w:r>
        <w:rPr>
          <w:rFonts w:hint="eastAsia" w:ascii="宋体" w:hAnsi="宋体" w:cs="Calibri"/>
          <w:b/>
          <w:bCs/>
          <w:color w:val="000000"/>
          <w:sz w:val="22"/>
        </w:rPr>
        <w:t xml:space="preserve">    </w:t>
      </w:r>
      <w:r>
        <w:rPr>
          <w:rFonts w:hint="eastAsia" w:ascii="宋体" w:hAnsi="宋体" w:cs="Calibri"/>
          <w:b/>
          <w:bCs/>
          <w:color w:val="000000"/>
          <w:sz w:val="22"/>
        </w:rPr>
        <w:t>绿化部分养护期</w:t>
      </w:r>
      <w:r>
        <w:rPr>
          <w:rFonts w:ascii="宋体" w:hAnsi="宋体" w:cs="Calibri"/>
          <w:b/>
          <w:bCs/>
          <w:color w:val="000000"/>
          <w:sz w:val="22"/>
        </w:rPr>
        <w:t>2个月，养护</w:t>
      </w:r>
      <w:r>
        <w:rPr>
          <w:rFonts w:hint="eastAsia" w:ascii="宋体" w:hAnsi="宋体" w:cs="Calibri"/>
          <w:b/>
          <w:bCs/>
          <w:color w:val="000000"/>
          <w:sz w:val="22"/>
        </w:rPr>
        <w:t>期</w:t>
      </w:r>
      <w:r>
        <w:rPr>
          <w:rFonts w:hint="eastAsia" w:ascii="宋体" w:hAnsi="宋体" w:cs="Calibri"/>
          <w:b/>
          <w:bCs/>
          <w:color w:val="FF0000"/>
          <w:sz w:val="22"/>
          <w:shd w:val="clear" w:color="auto" w:fill="auto"/>
        </w:rPr>
        <w:t>自工程竣工验收合格之日起计算</w:t>
      </w:r>
      <w:r>
        <w:rPr>
          <w:rFonts w:hint="eastAsia" w:ascii="宋体" w:hAnsi="宋体" w:cs="Calibri"/>
          <w:b/>
          <w:bCs/>
          <w:color w:val="000000"/>
          <w:sz w:val="22"/>
        </w:rPr>
        <w:t>。</w:t>
      </w:r>
      <w:r>
        <w:rPr>
          <w:rFonts w:hint="eastAsia" w:ascii="宋体" w:hAnsi="宋体" w:cs="Calibri"/>
          <w:b/>
          <w:bCs/>
          <w:color w:val="000000"/>
          <w:sz w:val="22"/>
        </w:rPr>
        <w:t>养护期间技术标准如下：</w:t>
      </w:r>
    </w:p>
    <w:p>
      <w:pPr>
        <w:adjustRightInd w:val="0"/>
        <w:snapToGrid w:val="0"/>
        <w:spacing w:line="360" w:lineRule="exact"/>
        <w:ind w:firstLine="442" w:firstLineChars="200"/>
        <w:rPr>
          <w:rFonts w:ascii="宋体" w:hAnsi="宋体" w:cs="Calibri"/>
          <w:color w:val="000000"/>
          <w:sz w:val="22"/>
        </w:rPr>
      </w:pPr>
      <w:r>
        <w:rPr>
          <w:rFonts w:hint="eastAsia" w:ascii="宋体" w:hAnsi="宋体" w:cs="Calibri"/>
          <w:b/>
          <w:bCs/>
          <w:color w:val="000000"/>
          <w:sz w:val="22"/>
        </w:rPr>
        <w:t>草种、花种、树种的质量要求</w:t>
      </w:r>
      <w:r>
        <w:rPr>
          <w:rFonts w:hint="eastAsia" w:ascii="宋体" w:hAnsi="宋体" w:cs="Calibri"/>
          <w:color w:val="000000"/>
          <w:sz w:val="22"/>
        </w:rPr>
        <w:t>：草种应有品种、品系、产地、生产单位、采收年份、有效年份、纯度、发芽率等标明种子质量的出厂检验报告或说明，并在使用前作发芽试验，以便按质量调播种量。失效、有病虫害的种子不得使用。用于铺设草坪的草块、草卷要求生长均匀无空秃，根系密布成网，禾本科草高度不大于5%。草卷、草块长、宽适度，每卷（块）规格一致，边缘平直。根茎繁殖用草杂草不得超过2%，无病虫害。生根发芽力强的纯草，植生带厚度不宜超过1mm，种子分布均匀，种子饱满，发芽率大于95%；时花生长健壮，色彩艳丽，无病虫害，高度一致；所用树种需符合清单里约定的规格，生长健壮无病虫害，冠幅完整不偏冠缺冠。</w:t>
      </w:r>
    </w:p>
    <w:p>
      <w:pPr>
        <w:adjustRightInd w:val="0"/>
        <w:snapToGrid w:val="0"/>
        <w:spacing w:line="360" w:lineRule="exact"/>
        <w:ind w:firstLine="442" w:firstLineChars="200"/>
        <w:rPr>
          <w:rFonts w:ascii="宋体" w:hAnsi="宋体" w:cs="Calibri"/>
          <w:color w:val="000000"/>
          <w:sz w:val="22"/>
        </w:rPr>
      </w:pPr>
      <w:r>
        <w:rPr>
          <w:rFonts w:hint="eastAsia" w:ascii="宋体" w:hAnsi="宋体" w:cs="Calibri"/>
          <w:b/>
          <w:bCs/>
          <w:color w:val="000000"/>
          <w:sz w:val="22"/>
        </w:rPr>
        <w:t>土壤准备</w:t>
      </w:r>
      <w:r>
        <w:rPr>
          <w:rFonts w:hint="eastAsia" w:ascii="宋体" w:hAnsi="宋体" w:cs="Calibri"/>
          <w:color w:val="000000"/>
          <w:sz w:val="22"/>
        </w:rPr>
        <w:t>，种植和播种前应根据土层有效厚度、土壤质地、酸碱度和含盐量，采取相应的加土、施肥和改换土壤等措施。含有建筑垃圾的土壤、盐碱土、重粘土、粉砂土及含有有害园林植物生长成份的土壤，匀应根据设计规定用种植土进行局部或全部更换。 种植土应符合植物生长要求，必须是耕作土壤和人造土壤，严禁化学污染或在有效土层内混入建筑垃圾。对总孔隙度有要求的草坪等，必须采用有机质或疏松介质（如珍珠岩、蛭石、腐熟木屑）加以改良，对粘重土和粉末结构土应加入30~40%的粗砂调整土壤质地。草坪及花坛的翻土深度不得小于30cm，有杂草地方应人工除草或提前进行化学除草，提前时间必须超过所用除草剂的残效期，并在翻地平整同时净除土壤中的杂草根、碎砖、石块、玻璃、塑料袋、泡沫块等混杂物。屋顶平台的种植用土须采用腐叶土为主，掺有珍珠岩、蛭石、木屑等质轻、排水良好的人工配制土，满足屋顶荷载的要求。</w:t>
      </w:r>
    </w:p>
    <w:p>
      <w:pPr>
        <w:adjustRightInd w:val="0"/>
        <w:snapToGrid w:val="0"/>
        <w:spacing w:line="360" w:lineRule="exact"/>
        <w:ind w:firstLine="442" w:firstLineChars="200"/>
        <w:rPr>
          <w:rFonts w:ascii="宋体" w:hAnsi="宋体" w:cs="Calibri"/>
          <w:color w:val="000000"/>
          <w:sz w:val="22"/>
        </w:rPr>
      </w:pPr>
      <w:r>
        <w:rPr>
          <w:rFonts w:hint="eastAsia" w:ascii="宋体" w:hAnsi="宋体" w:cs="Calibri"/>
          <w:b/>
          <w:bCs/>
          <w:color w:val="000000"/>
          <w:sz w:val="22"/>
        </w:rPr>
        <w:t>养护职责。</w:t>
      </w:r>
      <w:r>
        <w:rPr>
          <w:rFonts w:hint="eastAsia" w:ascii="宋体" w:hAnsi="宋体" w:cs="Calibri"/>
          <w:color w:val="000000"/>
          <w:sz w:val="22"/>
        </w:rPr>
        <w:t>承包养护期限内，绿地管理养护内容包含草坪的养护和维护管理。本场绿地养护参照园林绿化养护操作规程及杭州市城区绿地养护质量标准管理，要求合理组织，精心养护，指派专业的园艺师组织指导安排管护工作，并根据各个季节天气及植物生长情况派出有经验的工人，具体工作按《杭州市城区绿地养护质量标准》所规定的各项工作要求执行。保质保量完成本场的绿化养护管理任务。</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养护内容</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管理程序：包括淋水、开窝培土、修剪（林带只做基本修剪）、施肥、除草、修剪抹芽、病虫害防治、台风预防、扶正、补苗、枯黄叶清理、绿地日常保洁等整套过程。</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 xml:space="preserve"> 1、灌溉工作：根据植物生长需要加强淋水。  </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对草本花卉、草本花卉的浇水时间、次数、水量应根据植物的生长特性、气候条件及季节的变换、灵活撑握.浇水时,水量要适度,既不能表层湿而底层干,也不能水量太多,造成土壤过湿,容易造成烂根.浇水时间一般安排在气温适宜的时间。</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2、 施肥工作</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对花卉、灌木进行施肥，应视草本花卉、时花、灌木生长情况来决定，施肥应将无机肥和有机肥相结合。一般每个月施一次化肥，用量为1.2-1.8g/100平方米,另外,每个季节施一次有机肥,每次施肥量为1kg/平方米。</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3 、整形修剪工作</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植物的整形修剪，要根据植物的种类、生长特性和季节，以及绿地景观要求进行，修剪要求严格按照《园林绿化管养规范》进行，并且在园艺师的指导下进行。植物修剪下来的枝叶，实行袋装或箩装，按规定临时摆放，当天清运，不得过夜。不得焚烧，主要做法：</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为了使草本花卉、时花、灌木保持良好的景观效果，必须对其进行修剪，具体的修剪办法视植物的生长特性、景观效果要求来决定。需保证植物外形健康良好，灌木枝叶不伸入人行及车行道，无突兀凌乱造型。</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4、中耕除草工作及草坪复壮工作</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（1）植物的松土工作</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 xml:space="preserve">当土壤板结硬化时，应对植物进行松土，松土深度要适当，不伤或少伤植物的极系，以影响植物的正常生长，一般结合施有机肥进行。 </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（2）植物的除杂草工作</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绿地中的杂草既妨碍植物的正常生长、影响景观，又与植物争夺水肥须及时清除，除杂草要作可根据植物类型的不同，主要做法：</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对草坪除杂草一般采用物理操作除杂草。按照“除早、除小、除净“原则进行。除杂草时，应用铁钊将杂草连根挖起。</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5、补植工作</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绿地要保持良好的景观效果，就必须保证绿地无死苗、无缺苗。当发现绿地有缺苗现象时，应及告知场区中心并做好台账记录，及时补齐缺株苗木、修复黄土裸露，主要做法如下：</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对草坪的补植</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草皮补植要根据地段和原有草种情况，采取不同的方法。补植的草皮品种要与原草皮品种相同，而且保持同原草坪一样的平整度。补植时，视土壤情况进行换土、施基肥。补植应该采取密植的办法，保证一个月内覆盖率达98%以上。</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6、植物病虫害的防治</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对植物病虫害采用“预防为主，综合防治“的方针。防治工作中坚持适时用药、合理用药、对症用药、交替用药的原则，减少病虫害的抗药性。采用高效低毒、低残留的环保型农药，禁止使用高毒、残效期长的农药，合理使用物理防治方法，尽量少用或不用农药，把病虫危害控制到最低。每天检查所有植物有无病虫害发生，如有需要及时通知专业技术人员到现场核实，诊断后实施用药，并严格按农药使用说明书和使用注意事项进行。乔木如有树洞及进填灰保护。</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 xml:space="preserve"> 7、防意外及修复工作</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包括防风、防汛、防寒等自然灾害及预防火灾等，以及人为破坏、交通事故等绿地造成损坏的要及时组织修复。</w:t>
      </w:r>
    </w:p>
    <w:p>
      <w:pPr>
        <w:spacing w:line="420" w:lineRule="exact"/>
        <w:ind w:left="420"/>
        <w:jc w:val="left"/>
        <w:rPr>
          <w:rFonts w:ascii="宋体" w:hAnsi="宋体" w:cs="Arial"/>
          <w:color w:val="000000"/>
          <w:kern w:val="0"/>
          <w:szCs w:val="21"/>
        </w:rPr>
      </w:pPr>
      <w:r>
        <w:rPr>
          <w:rFonts w:hint="eastAsia" w:ascii="宋体" w:hAnsi="宋体" w:cs="Arial"/>
          <w:color w:val="000000"/>
          <w:kern w:val="0"/>
          <w:szCs w:val="21"/>
        </w:rPr>
        <w:t>8、草坪修剪：</w:t>
      </w:r>
    </w:p>
    <w:p>
      <w:pPr>
        <w:spacing w:line="420" w:lineRule="exact"/>
        <w:ind w:firstLine="480" w:firstLineChars="200"/>
        <w:jc w:val="left"/>
        <w:rPr>
          <w:rFonts w:ascii="宋体" w:hAnsi="宋体" w:cs="Arial"/>
          <w:color w:val="000000"/>
          <w:kern w:val="0"/>
          <w:szCs w:val="21"/>
        </w:rPr>
      </w:pPr>
      <w:r>
        <w:rPr>
          <w:rFonts w:hint="eastAsia" w:ascii="宋体" w:hAnsi="宋体" w:cs="Arial"/>
          <w:color w:val="000000"/>
          <w:kern w:val="0"/>
          <w:szCs w:val="21"/>
        </w:rPr>
        <w:t>a、清除场地内的砖头，石块，铁钉等有损剪草机性能的杂物。</w:t>
      </w:r>
    </w:p>
    <w:p>
      <w:pPr>
        <w:spacing w:line="420" w:lineRule="exact"/>
        <w:ind w:firstLine="480" w:firstLineChars="200"/>
        <w:jc w:val="left"/>
        <w:rPr>
          <w:rFonts w:ascii="宋体" w:hAnsi="宋体" w:cs="Arial"/>
          <w:color w:val="000000"/>
          <w:kern w:val="0"/>
          <w:szCs w:val="21"/>
        </w:rPr>
      </w:pPr>
      <w:r>
        <w:rPr>
          <w:rFonts w:hint="eastAsia" w:ascii="宋体" w:hAnsi="宋体" w:cs="Arial"/>
          <w:color w:val="000000"/>
          <w:kern w:val="0"/>
          <w:szCs w:val="21"/>
        </w:rPr>
        <w:t>b、调节升降控制，分三次修剪至要求高度，一般剪草高度在3-5cm。</w:t>
      </w:r>
    </w:p>
    <w:p>
      <w:pPr>
        <w:spacing w:line="420" w:lineRule="exact"/>
        <w:ind w:firstLine="480" w:firstLineChars="200"/>
        <w:jc w:val="left"/>
        <w:rPr>
          <w:rFonts w:ascii="宋体" w:hAnsi="宋体" w:cs="Arial"/>
          <w:color w:val="000000"/>
          <w:kern w:val="0"/>
          <w:szCs w:val="21"/>
        </w:rPr>
      </w:pPr>
      <w:r>
        <w:rPr>
          <w:rFonts w:hint="eastAsia" w:ascii="宋体" w:hAnsi="宋体" w:cs="Arial"/>
          <w:color w:val="000000"/>
          <w:kern w:val="0"/>
          <w:szCs w:val="21"/>
        </w:rPr>
        <w:t>c、灌木，圆路边沿无法操作的位臵，须用割灌机或绿篱剪进行修剪，保持整体修剪高度平整一直。</w:t>
      </w:r>
    </w:p>
    <w:p>
      <w:pPr>
        <w:spacing w:line="420" w:lineRule="exact"/>
        <w:ind w:firstLine="480" w:firstLineChars="200"/>
        <w:jc w:val="left"/>
        <w:rPr>
          <w:rFonts w:ascii="宋体" w:hAnsi="宋体" w:cs="Arial"/>
          <w:color w:val="000000"/>
          <w:kern w:val="0"/>
          <w:szCs w:val="21"/>
        </w:rPr>
      </w:pPr>
      <w:r>
        <w:rPr>
          <w:rFonts w:hint="eastAsia" w:ascii="宋体" w:hAnsi="宋体" w:cs="Arial"/>
          <w:color w:val="000000"/>
          <w:kern w:val="0"/>
          <w:szCs w:val="21"/>
        </w:rPr>
        <w:t>d、修剪完毕，及时清扫残留在草坪上的草屑，并装袋运走。</w:t>
      </w:r>
    </w:p>
    <w:p>
      <w:pPr>
        <w:spacing w:line="420" w:lineRule="exact"/>
        <w:ind w:firstLine="480" w:firstLineChars="200"/>
        <w:jc w:val="left"/>
        <w:rPr>
          <w:rFonts w:ascii="宋体" w:hAnsi="宋体" w:cs="Arial"/>
          <w:color w:val="000000"/>
          <w:kern w:val="0"/>
          <w:szCs w:val="21"/>
        </w:rPr>
      </w:pPr>
    </w:p>
    <w:p>
      <w:pPr>
        <w:spacing w:line="400" w:lineRule="exact"/>
        <w:rPr>
          <w:rFonts w:ascii="宋体" w:hAnsi="宋体" w:cs="宋体"/>
          <w:b/>
          <w:bCs/>
          <w:szCs w:val="21"/>
        </w:rPr>
      </w:pPr>
      <w:r>
        <w:rPr>
          <w:rFonts w:hint="eastAsia" w:ascii="宋体" w:hAnsi="宋体" w:cs="宋体"/>
          <w:b/>
          <w:bCs/>
          <w:szCs w:val="21"/>
        </w:rPr>
        <w:t>二、 篮球场施工管理要求</w:t>
      </w:r>
    </w:p>
    <w:p>
      <w:pPr>
        <w:spacing w:line="400" w:lineRule="exact"/>
        <w:ind w:firstLine="463" w:firstLineChars="193"/>
        <w:rPr>
          <w:rFonts w:ascii="宋体" w:hAnsi="宋体"/>
          <w:szCs w:val="21"/>
        </w:rPr>
      </w:pPr>
      <w:r>
        <w:rPr>
          <w:rFonts w:hint="eastAsia" w:ascii="宋体" w:hAnsi="宋体"/>
          <w:szCs w:val="21"/>
        </w:rPr>
        <w:t>1. 原材料应一次性进场，统一封存，必须提供生产厂家供货凭证、产品出厂质量合格证、产品出厂检测报告，成交供应商专业人员对品种、规格、型号、质量进行自检，自查合格后报请发包方现场负责人进行核查，核查合格并签字确认。</w:t>
      </w:r>
    </w:p>
    <w:p>
      <w:pPr>
        <w:spacing w:line="400" w:lineRule="exact"/>
        <w:ind w:firstLine="360" w:firstLineChars="150"/>
        <w:rPr>
          <w:rFonts w:ascii="宋体" w:hAnsi="宋体"/>
          <w:szCs w:val="21"/>
        </w:rPr>
      </w:pPr>
      <w:r>
        <w:rPr>
          <w:rFonts w:hint="eastAsia" w:ascii="宋体" w:hAnsi="宋体"/>
          <w:szCs w:val="21"/>
        </w:rPr>
        <w:t>2.严禁施工过程中添加</w:t>
      </w:r>
      <w:r>
        <w:rPr>
          <w:rFonts w:hint="eastAsia" w:ascii="宋体" w:hAnsi="宋体"/>
          <w:b/>
          <w:szCs w:val="21"/>
          <w:u w:val="single"/>
        </w:rPr>
        <w:t>原材料清单以外的</w:t>
      </w:r>
      <w:r>
        <w:rPr>
          <w:rFonts w:hint="eastAsia" w:ascii="宋体" w:hAnsi="宋体"/>
          <w:szCs w:val="21"/>
        </w:rPr>
        <w:t>不环保材料（溶剂、催化剂等）</w:t>
      </w:r>
    </w:p>
    <w:p>
      <w:pPr>
        <w:spacing w:line="400" w:lineRule="exact"/>
        <w:rPr>
          <w:rFonts w:ascii="宋体" w:hAnsi="宋体"/>
          <w:szCs w:val="21"/>
        </w:rPr>
      </w:pPr>
      <w:r>
        <w:rPr>
          <w:rFonts w:hint="eastAsia" w:ascii="宋体" w:hAnsi="宋体"/>
          <w:szCs w:val="21"/>
        </w:rPr>
        <w:t xml:space="preserve">   3.严格按照塑胶篮球场的建设规范进行施工，不得偷工减料，</w:t>
      </w:r>
    </w:p>
    <w:p>
      <w:pPr>
        <w:spacing w:line="400" w:lineRule="exact"/>
        <w:rPr>
          <w:rFonts w:ascii="宋体" w:hAnsi="宋体"/>
          <w:szCs w:val="21"/>
        </w:rPr>
      </w:pPr>
      <w:r>
        <w:rPr>
          <w:rFonts w:hint="eastAsia" w:ascii="宋体" w:hAnsi="宋体"/>
          <w:szCs w:val="21"/>
        </w:rPr>
        <w:t xml:space="preserve">   4.塑胶的施工工艺： 平整的水泥砼基础层（干透）→清扫场地→底胶配料→混合搅拌→摊铺→消泡→固化→面胶配料→混合搅拌→摊铺→消泡→撒颗粒→回收胶粒→滚胶→测量画线→检测点线。</w:t>
      </w:r>
    </w:p>
    <w:p>
      <w:pPr>
        <w:spacing w:line="400" w:lineRule="exact"/>
        <w:rPr>
          <w:rFonts w:ascii="宋体" w:hAnsi="宋体"/>
          <w:szCs w:val="21"/>
        </w:rPr>
      </w:pPr>
      <w:r>
        <w:rPr>
          <w:rFonts w:hint="eastAsia" w:ascii="宋体" w:hAnsi="宋体"/>
          <w:szCs w:val="21"/>
        </w:rPr>
        <w:t xml:space="preserve">   5.地胶的铺装：（1）铺装地胶之前先将地基基础清扫干净，准备好施工用的工具；</w:t>
      </w:r>
    </w:p>
    <w:p>
      <w:pPr>
        <w:spacing w:line="400" w:lineRule="exact"/>
        <w:rPr>
          <w:rFonts w:ascii="宋体" w:hAnsi="宋体"/>
          <w:szCs w:val="21"/>
        </w:rPr>
      </w:pPr>
      <w:r>
        <w:rPr>
          <w:rFonts w:hint="eastAsia" w:ascii="宋体" w:hAnsi="宋体"/>
          <w:szCs w:val="21"/>
        </w:rPr>
        <w:t xml:space="preserve">   （2）按照工艺要求测量出施工线的位置、放好施工线；</w:t>
      </w:r>
    </w:p>
    <w:p>
      <w:pPr>
        <w:spacing w:line="400" w:lineRule="exact"/>
        <w:rPr>
          <w:rFonts w:ascii="宋体" w:hAnsi="宋体"/>
          <w:szCs w:val="21"/>
        </w:rPr>
      </w:pPr>
      <w:r>
        <w:rPr>
          <w:rFonts w:hint="eastAsia" w:ascii="宋体" w:hAnsi="宋体"/>
          <w:szCs w:val="21"/>
        </w:rPr>
        <w:t xml:space="preserve">   （3）铺装时由场地一侧开始，按场地宽度一次性刮胶；</w:t>
      </w:r>
    </w:p>
    <w:p>
      <w:pPr>
        <w:spacing w:line="400" w:lineRule="exact"/>
        <w:rPr>
          <w:rFonts w:ascii="宋体" w:hAnsi="宋体"/>
          <w:szCs w:val="21"/>
        </w:rPr>
      </w:pPr>
      <w:r>
        <w:rPr>
          <w:rFonts w:hint="eastAsia" w:ascii="宋体" w:hAnsi="宋体"/>
          <w:szCs w:val="21"/>
        </w:rPr>
        <w:t xml:space="preserve">   （4）刮胶时速度均匀，及时对露底、凹陷、凸起处进行补胶或刮平；</w:t>
      </w:r>
    </w:p>
    <w:p>
      <w:pPr>
        <w:spacing w:line="400" w:lineRule="exact"/>
        <w:rPr>
          <w:rFonts w:ascii="宋体" w:hAnsi="宋体"/>
          <w:szCs w:val="21"/>
        </w:rPr>
      </w:pPr>
      <w:r>
        <w:rPr>
          <w:rFonts w:hint="eastAsia" w:ascii="宋体" w:hAnsi="宋体"/>
          <w:szCs w:val="21"/>
        </w:rPr>
        <w:t xml:space="preserve">   （5）成胶后对全场进行检查，以保证面胶铺装的厚度。</w:t>
      </w:r>
    </w:p>
    <w:p>
      <w:pPr>
        <w:spacing w:line="400" w:lineRule="exact"/>
        <w:rPr>
          <w:rFonts w:ascii="宋体" w:hAnsi="宋体"/>
          <w:szCs w:val="21"/>
        </w:rPr>
      </w:pPr>
      <w:r>
        <w:rPr>
          <w:rFonts w:hint="eastAsia" w:ascii="宋体" w:hAnsi="宋体"/>
          <w:szCs w:val="21"/>
        </w:rPr>
        <w:t xml:space="preserve">   6.面胶的摊铺：（1）刮胶时尽力缩短每一桶胶液的间隔时间，使成胶速断均匀一致；</w:t>
      </w:r>
    </w:p>
    <w:p>
      <w:pPr>
        <w:spacing w:line="400" w:lineRule="exact"/>
        <w:rPr>
          <w:rFonts w:ascii="宋体" w:hAnsi="宋体"/>
          <w:szCs w:val="21"/>
        </w:rPr>
      </w:pPr>
      <w:r>
        <w:rPr>
          <w:rFonts w:hint="eastAsia" w:ascii="宋体" w:hAnsi="宋体"/>
          <w:szCs w:val="21"/>
        </w:rPr>
        <w:t xml:space="preserve">   （2）时刻观察胶面的厚度；</w:t>
      </w:r>
    </w:p>
    <w:p>
      <w:pPr>
        <w:spacing w:line="400" w:lineRule="exact"/>
        <w:rPr>
          <w:rFonts w:ascii="宋体" w:hAnsi="宋体"/>
          <w:szCs w:val="21"/>
        </w:rPr>
      </w:pPr>
      <w:r>
        <w:rPr>
          <w:rFonts w:hint="eastAsia" w:ascii="宋体" w:hAnsi="宋体"/>
          <w:szCs w:val="21"/>
        </w:rPr>
        <w:t xml:space="preserve">   （3）刮胶面，在面胶未固化之前，撒上塑胶颗粒，待其完全固化后，将多余面胶颗粒清理干净；</w:t>
      </w:r>
    </w:p>
    <w:p>
      <w:pPr>
        <w:spacing w:line="400" w:lineRule="exact"/>
        <w:rPr>
          <w:rFonts w:ascii="宋体" w:hAnsi="宋体"/>
          <w:szCs w:val="21"/>
        </w:rPr>
      </w:pPr>
      <w:r>
        <w:rPr>
          <w:rFonts w:hint="eastAsia" w:ascii="宋体" w:hAnsi="宋体"/>
          <w:szCs w:val="21"/>
        </w:rPr>
        <w:t xml:space="preserve">   （4）喷胶，确保颗粒不脱落。</w:t>
      </w:r>
    </w:p>
    <w:p>
      <w:pPr>
        <w:spacing w:line="400" w:lineRule="exact"/>
        <w:rPr>
          <w:rFonts w:ascii="宋体" w:hAnsi="宋体"/>
          <w:szCs w:val="21"/>
        </w:rPr>
      </w:pPr>
      <w:r>
        <w:rPr>
          <w:rFonts w:hint="eastAsia" w:ascii="宋体" w:hAnsi="宋体"/>
          <w:szCs w:val="21"/>
        </w:rPr>
        <w:t xml:space="preserve">   7.塑胶篮球场铺装注意的问题：</w:t>
      </w:r>
    </w:p>
    <w:p>
      <w:pPr>
        <w:spacing w:line="400" w:lineRule="exact"/>
        <w:rPr>
          <w:rFonts w:ascii="宋体" w:hAnsi="宋体"/>
          <w:szCs w:val="21"/>
        </w:rPr>
      </w:pPr>
      <w:r>
        <w:rPr>
          <w:rFonts w:hint="eastAsia" w:ascii="宋体" w:hAnsi="宋体"/>
          <w:szCs w:val="21"/>
        </w:rPr>
        <w:t xml:space="preserve">   （1）聚氨酯塑胶材料的施工过程最怕水、胶浆在初步固化前碰到一滴水就会产生大气泡，因此施工员在高温作业时要准备毛巾擦汗，一定要掌握好天气，做好突降雨的应急措施。铺胶时间要避开早晨大气中和地面湿度较大的时刻，即使是在天气晴朗的正常工作日，一般最好在上午九点以后正式塑胶铺装；</w:t>
      </w:r>
    </w:p>
    <w:p>
      <w:pPr>
        <w:spacing w:line="400" w:lineRule="exact"/>
        <w:rPr>
          <w:rFonts w:ascii="宋体" w:hAnsi="宋体"/>
          <w:szCs w:val="21"/>
        </w:rPr>
      </w:pPr>
      <w:r>
        <w:rPr>
          <w:rFonts w:hint="eastAsia" w:ascii="宋体" w:hAnsi="宋体"/>
          <w:szCs w:val="21"/>
        </w:rPr>
        <w:t xml:space="preserve">    （2）保证地面的平整度，雨后无积水。</w:t>
      </w:r>
    </w:p>
    <w:p>
      <w:pPr>
        <w:snapToGrid w:val="0"/>
        <w:spacing w:line="360" w:lineRule="exact"/>
        <w:jc w:val="left"/>
        <w:rPr>
          <w:rFonts w:ascii="宋体" w:hAnsi="宋体"/>
          <w:sz w:val="22"/>
        </w:rPr>
      </w:pPr>
      <w:r>
        <w:rPr>
          <w:rFonts w:hint="eastAsia" w:ascii="宋体" w:hAnsi="宋体"/>
          <w:szCs w:val="21"/>
        </w:rPr>
        <w:t>三、道路技术要求：严格按照《城市道路工程技术规范(GB51286-2018)》执行。</w:t>
      </w:r>
    </w:p>
    <w:p>
      <w:r>
        <w:br w:type="page"/>
      </w:r>
    </w:p>
    <w:p/>
    <w:p>
      <w:pPr>
        <w:pStyle w:val="13"/>
      </w:pPr>
      <w:bookmarkStart w:id="77" w:name="_Toc450630562"/>
      <w:r>
        <w:rPr>
          <w:rFonts w:hint="eastAsia"/>
        </w:rPr>
        <w:t>第四章  参考工程量清单</w:t>
      </w:r>
      <w:bookmarkEnd w:id="77"/>
    </w:p>
    <w:p>
      <w:pPr>
        <w:pStyle w:val="13"/>
      </w:pPr>
      <w:bookmarkStart w:id="78" w:name="_Toc450630563"/>
      <w:r>
        <w:rPr>
          <w:rFonts w:hint="eastAsia"/>
        </w:rPr>
        <w:t>详见附件。</w:t>
      </w:r>
      <w:r>
        <w:br w:type="page"/>
      </w:r>
    </w:p>
    <w:p>
      <w:pPr>
        <w:pStyle w:val="13"/>
      </w:pPr>
      <w:r>
        <w:rPr>
          <w:rFonts w:hint="eastAsia"/>
        </w:rPr>
        <w:t xml:space="preserve">第五章  </w:t>
      </w:r>
      <w:bookmarkEnd w:id="78"/>
      <w:r>
        <w:rPr>
          <w:rFonts w:hint="eastAsia"/>
        </w:rPr>
        <w:t>技术标准及要求</w:t>
      </w:r>
    </w:p>
    <w:p>
      <w:pPr>
        <w:pStyle w:val="13"/>
      </w:pPr>
    </w:p>
    <w:p>
      <w:pPr>
        <w:adjustRightInd w:val="0"/>
        <w:snapToGrid w:val="0"/>
        <w:spacing w:line="360" w:lineRule="exact"/>
        <w:ind w:firstLine="442" w:firstLineChars="200"/>
        <w:rPr>
          <w:rFonts w:ascii="宋体" w:hAnsi="宋体" w:cs="Calibri"/>
          <w:b/>
          <w:bCs/>
          <w:color w:val="000000"/>
          <w:sz w:val="22"/>
        </w:rPr>
      </w:pPr>
      <w:r>
        <w:rPr>
          <w:rFonts w:hint="eastAsia" w:ascii="宋体" w:hAnsi="宋体" w:cs="Calibri"/>
          <w:b/>
          <w:bCs/>
          <w:color w:val="000000"/>
          <w:sz w:val="22"/>
        </w:rPr>
        <w:t>一、绿化部分技术标准</w:t>
      </w:r>
    </w:p>
    <w:p>
      <w:pPr>
        <w:adjustRightInd w:val="0"/>
        <w:snapToGrid w:val="0"/>
        <w:spacing w:line="360" w:lineRule="exact"/>
        <w:ind w:firstLine="442" w:firstLineChars="200"/>
        <w:rPr>
          <w:rFonts w:ascii="宋体" w:hAnsi="宋体" w:cs="Calibri"/>
          <w:color w:val="000000"/>
          <w:sz w:val="22"/>
        </w:rPr>
      </w:pPr>
      <w:r>
        <w:rPr>
          <w:rFonts w:hint="eastAsia" w:ascii="宋体" w:hAnsi="宋体" w:cs="Calibri"/>
          <w:b/>
          <w:bCs/>
          <w:color w:val="000000"/>
          <w:sz w:val="22"/>
        </w:rPr>
        <w:t>草种、花种、树种的质量要求</w:t>
      </w:r>
      <w:r>
        <w:rPr>
          <w:rFonts w:hint="eastAsia" w:ascii="宋体" w:hAnsi="宋体" w:cs="Calibri"/>
          <w:color w:val="000000"/>
          <w:sz w:val="22"/>
        </w:rPr>
        <w:t>：草种应有品种、品系、产地、生产单位、采收年份、有效年份、纯度、发芽率等标明种子质量的出厂检验报告或说明，并在使用前作发芽试验，以便按质量调播种量。失效、有病虫害的种子不得使用。用于铺设草坪的草块、草卷要求生长均匀无空秃，根系密布成网，禾本科草高度不大于5%。草卷、草块长、宽适度，每卷（块）规格一致，边缘平直。根茎繁殖用草杂草不得超过2%，无病虫害。生根发芽力强的纯草，植生带厚度不宜超过1mm，种子分布均匀，种子饱满，发芽率大于95%；时花生长健壮，色彩艳丽，无病虫害，高度一致；所用树种需符合清单里约定的规格，生长健壮无病虫害，冠幅完整不偏冠缺冠。</w:t>
      </w:r>
    </w:p>
    <w:p>
      <w:pPr>
        <w:adjustRightInd w:val="0"/>
        <w:snapToGrid w:val="0"/>
        <w:spacing w:line="360" w:lineRule="exact"/>
        <w:ind w:firstLine="442" w:firstLineChars="200"/>
        <w:rPr>
          <w:rFonts w:ascii="宋体" w:hAnsi="宋体" w:cs="Calibri"/>
          <w:color w:val="000000"/>
          <w:sz w:val="22"/>
        </w:rPr>
      </w:pPr>
      <w:r>
        <w:rPr>
          <w:rFonts w:hint="eastAsia" w:ascii="宋体" w:hAnsi="宋体" w:cs="Calibri"/>
          <w:b/>
          <w:bCs/>
          <w:color w:val="000000"/>
          <w:sz w:val="22"/>
        </w:rPr>
        <w:t>土壤准备</w:t>
      </w:r>
      <w:r>
        <w:rPr>
          <w:rFonts w:hint="eastAsia" w:ascii="宋体" w:hAnsi="宋体" w:cs="Calibri"/>
          <w:color w:val="000000"/>
          <w:sz w:val="22"/>
        </w:rPr>
        <w:t>，种植和播种前应根据土层有效厚度、土壤质地、酸碱度和含盐量，采取相应的加土、施肥和改换土壤等措施。含有建筑垃圾的土壤、盐碱土、重粘土、粉砂土及含有有害园林植物生长成份的土壤，匀应根据设计规定用种植土进行局部或全部更换。 种植土应符合植物生长要求，必须是耕作土壤和人造土壤，严禁化学污染或在有效土层内混入建筑垃圾。对总孔隙度有要求的草坪等，必须采用有机质或疏松介质（如珍珠岩、蛭石、腐熟木屑）加以改良，对粘重土和粉末结构土应加入30~40%的粗砂调整土壤质地。草坪及花坛的翻土深度不得小于30cm，有杂草地方应人工除草或提前进行化学除草，提前时间必须超过所用除草剂的残效期，并在翻地平整同时净除土壤中的杂草根、碎砖、石块、玻璃、塑料袋、泡沫块等混杂物。屋顶平台的种植用土须采用腐叶土为主，掺有珍珠岩、蛭石、木屑等质轻、排水良好的人工配制土，满足屋顶荷载的要求。</w:t>
      </w:r>
    </w:p>
    <w:p>
      <w:pPr>
        <w:adjustRightInd w:val="0"/>
        <w:snapToGrid w:val="0"/>
        <w:spacing w:line="360" w:lineRule="exact"/>
        <w:ind w:firstLine="442" w:firstLineChars="200"/>
        <w:rPr>
          <w:rFonts w:ascii="宋体" w:hAnsi="宋体" w:cs="Calibri"/>
          <w:color w:val="000000"/>
          <w:sz w:val="22"/>
        </w:rPr>
      </w:pPr>
      <w:r>
        <w:rPr>
          <w:rFonts w:hint="eastAsia" w:ascii="宋体" w:hAnsi="宋体" w:cs="Calibri"/>
          <w:b/>
          <w:bCs/>
          <w:color w:val="000000"/>
          <w:sz w:val="22"/>
        </w:rPr>
        <w:t>养护职责。</w:t>
      </w:r>
      <w:r>
        <w:rPr>
          <w:rFonts w:hint="eastAsia" w:ascii="宋体" w:hAnsi="宋体" w:cs="Calibri"/>
          <w:color w:val="000000"/>
          <w:sz w:val="22"/>
        </w:rPr>
        <w:t>承包养护期限内，绿地管理养护内容包含草坪的养护和维护管理。本场绿地养护参照园林绿化养护操作规程及杭州市城区绿地养护质量标准管理，要求合理组织，精心养护，指派专业的园艺师组织指导安排管护工作，并根据各个季节天气及植物生长情况派出有经验的工人，具体工作按《杭州市城区绿地养护质量标准》所规定的各项工作要求执行。保质保量完成本场的绿化养护管理任务。</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养护内容</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管理程序：包括淋水、开窝培土、修剪（林带只做基本修剪）、施肥、除草、修剪抹芽、病虫害防治、台风预防、扶正、补苗、枯黄叶清理、绿地日常保洁等整套过程。</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 xml:space="preserve"> 1、灌溉工作：根据植物生长需要加强淋水。  </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对草本花卉、草本花卉的浇水时间、次数、水量应根据植物的生长特性、气候条件及季节的变换、灵活撑握.浇水时,水量要适度,既不能表层湿而底层干,也不能水量太多,造成土壤过湿,容易造成烂根.浇水时间一般安排在气温适宜的时间。</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2、 施肥工作</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对花卉、灌木进行施肥，应视草本花卉、时花、灌木生长情况来决定，施肥应将无机肥和有机肥相结合。一般每个月施一次化肥，用量为1.2-1.8g/100平方米,另外,每个季节施一次有机肥,每次施肥量为1kg/平方米。</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3 、整形修剪工作</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植物的整形修剪，要根据植物的种类、生长特性和季节，以及绿地景观要求进行，修剪要求严格按照《园林绿化管养规范》进行，并且在园艺师的指导下进行。植物修剪下来的枝叶，实行袋装或箩装，按规定临时摆放，当天清运，不得过夜。不得焚烧，主要做法：</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为了使草本花卉、时花、灌木保持良好的景观效果，必须对其进行修剪，具体的修剪办法视植物的生长特性、景观效果要求来决定。需保证植物外形健康良好，灌木枝叶不伸入人行及车行道，无突兀凌乱造型。</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4、中耕除草工作及草坪复壮工作</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（1）植物的松土工作</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 xml:space="preserve">当土壤板结硬化时，应对植物进行松土，松土深度要适当，不伤或少伤植物的极系，以影响植物的正常生长，一般结合施有机肥进行。 </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（2）植物的除杂草工作</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绿地中的杂草既妨碍植物的正常生长、影响景观，又与植物争夺水肥须及时清除，除杂草要作可根据植物类型的不同，主要做法：</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对草坪除杂草一般采用物理操作除杂草。按照“除早、除小、除净“原则进行。除杂草时，应用铁钊将杂草连根挖起。</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5、补植工作</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绿地要保持良好的景观效果，就必须保证绿地无死苗、无缺苗。当发现绿地有缺苗现象时，应及告知场区中心并做好台账记录，及时补齐缺株苗木、修复黄土裸露，主要做法如下：</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对草坪的补植</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草皮补植要根据地段和原有草种情况，采取不同的方法。补植的草皮品种要与原草皮品种相同，而且保持同原草坪一样的平整度。补植时，视土壤情况进行换土、施基肥。补植应该采取密植的办法，保证一个月内覆盖率达98%以上。</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6、植物病虫害的防治</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对植物病虫害采用“预防为主，综合防治“的方针。防治工作中坚持适时用药、合理用药、对症用药、交替用药的原则，减少病虫害的抗药性。采用高效低毒、低残留的环保型农药，禁止使用高毒、残效期长的农药，合理使用物理防治方法，尽量少用或不用农药，把病虫危害控制到最低。每天检查所有植物有无病虫害发生，如有需要及时通知专业技术人员到现场核实，诊断后实施用药，并严格按农药使用说明书和使用注意事项进行。乔木如有树洞及进填灰保护。</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 xml:space="preserve"> 7、防意外及修复工作</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包括防风、防汛、防寒等自然灾害及预防火灾等，以及人为破坏、交通事故等绿地造成损坏的要及时组织修复。</w:t>
      </w:r>
    </w:p>
    <w:p>
      <w:pPr>
        <w:spacing w:line="420" w:lineRule="exact"/>
        <w:ind w:left="420"/>
        <w:jc w:val="left"/>
        <w:rPr>
          <w:rFonts w:ascii="宋体" w:hAnsi="宋体" w:cs="Arial"/>
          <w:color w:val="000000"/>
          <w:kern w:val="0"/>
          <w:szCs w:val="21"/>
        </w:rPr>
      </w:pPr>
      <w:r>
        <w:rPr>
          <w:rFonts w:hint="eastAsia" w:ascii="宋体" w:hAnsi="宋体" w:cs="Arial"/>
          <w:color w:val="000000"/>
          <w:kern w:val="0"/>
          <w:szCs w:val="21"/>
        </w:rPr>
        <w:t>8、草坪修剪：</w:t>
      </w:r>
    </w:p>
    <w:p>
      <w:pPr>
        <w:spacing w:line="420" w:lineRule="exact"/>
        <w:ind w:firstLine="480" w:firstLineChars="200"/>
        <w:jc w:val="left"/>
        <w:rPr>
          <w:rFonts w:ascii="宋体" w:hAnsi="宋体" w:cs="Arial"/>
          <w:color w:val="000000"/>
          <w:kern w:val="0"/>
          <w:szCs w:val="21"/>
        </w:rPr>
      </w:pPr>
      <w:r>
        <w:rPr>
          <w:rFonts w:hint="eastAsia" w:ascii="宋体" w:hAnsi="宋体" w:cs="Arial"/>
          <w:color w:val="000000"/>
          <w:kern w:val="0"/>
          <w:szCs w:val="21"/>
        </w:rPr>
        <w:t>a、清除场地内的砖头，石块，铁钉等有损剪草机性能的杂物。</w:t>
      </w:r>
    </w:p>
    <w:p>
      <w:pPr>
        <w:spacing w:line="420" w:lineRule="exact"/>
        <w:ind w:firstLine="480" w:firstLineChars="200"/>
        <w:jc w:val="left"/>
        <w:rPr>
          <w:rFonts w:ascii="宋体" w:hAnsi="宋体" w:cs="Arial"/>
          <w:color w:val="000000"/>
          <w:kern w:val="0"/>
          <w:szCs w:val="21"/>
        </w:rPr>
      </w:pPr>
      <w:r>
        <w:rPr>
          <w:rFonts w:hint="eastAsia" w:ascii="宋体" w:hAnsi="宋体" w:cs="Arial"/>
          <w:color w:val="000000"/>
          <w:kern w:val="0"/>
          <w:szCs w:val="21"/>
        </w:rPr>
        <w:t>b、调节升降控制，分三次修剪至要求高度，一般剪草高度在3-5cm。</w:t>
      </w:r>
    </w:p>
    <w:p>
      <w:pPr>
        <w:spacing w:line="420" w:lineRule="exact"/>
        <w:ind w:firstLine="480" w:firstLineChars="200"/>
        <w:jc w:val="left"/>
        <w:rPr>
          <w:rFonts w:ascii="宋体" w:hAnsi="宋体" w:cs="Arial"/>
          <w:color w:val="000000"/>
          <w:kern w:val="0"/>
          <w:szCs w:val="21"/>
        </w:rPr>
      </w:pPr>
      <w:r>
        <w:rPr>
          <w:rFonts w:hint="eastAsia" w:ascii="宋体" w:hAnsi="宋体" w:cs="Arial"/>
          <w:color w:val="000000"/>
          <w:kern w:val="0"/>
          <w:szCs w:val="21"/>
        </w:rPr>
        <w:t>c、灌木，圆路边沿无法操作的位臵，须用割灌机或绿篱剪进行修剪，保持整体修剪高度平整一直。</w:t>
      </w:r>
    </w:p>
    <w:p>
      <w:pPr>
        <w:spacing w:line="420" w:lineRule="exact"/>
        <w:ind w:firstLine="480" w:firstLineChars="200"/>
        <w:jc w:val="left"/>
        <w:rPr>
          <w:rFonts w:ascii="宋体" w:hAnsi="宋体" w:cs="Arial"/>
          <w:color w:val="000000"/>
          <w:kern w:val="0"/>
          <w:szCs w:val="21"/>
        </w:rPr>
      </w:pPr>
      <w:r>
        <w:rPr>
          <w:rFonts w:hint="eastAsia" w:ascii="宋体" w:hAnsi="宋体" w:cs="Arial"/>
          <w:color w:val="000000"/>
          <w:kern w:val="0"/>
          <w:szCs w:val="21"/>
        </w:rPr>
        <w:t>d、修剪完毕，及时清扫残留在草坪上的草屑，并装袋运走。</w:t>
      </w:r>
    </w:p>
    <w:p>
      <w:pPr>
        <w:spacing w:line="400" w:lineRule="exact"/>
        <w:rPr>
          <w:rFonts w:ascii="宋体" w:hAnsi="宋体" w:cs="宋体"/>
          <w:b/>
          <w:bCs/>
          <w:szCs w:val="21"/>
        </w:rPr>
      </w:pPr>
      <w:r>
        <w:rPr>
          <w:rFonts w:hint="eastAsia" w:ascii="宋体" w:hAnsi="宋体" w:cs="宋体"/>
          <w:b/>
          <w:bCs/>
          <w:szCs w:val="21"/>
        </w:rPr>
        <w:t>二、 篮球场施工管理要求</w:t>
      </w:r>
    </w:p>
    <w:p>
      <w:pPr>
        <w:spacing w:line="400" w:lineRule="exact"/>
        <w:ind w:firstLine="463" w:firstLineChars="193"/>
        <w:rPr>
          <w:rFonts w:ascii="宋体" w:hAnsi="宋体"/>
          <w:szCs w:val="21"/>
        </w:rPr>
      </w:pPr>
      <w:r>
        <w:rPr>
          <w:rFonts w:hint="eastAsia" w:ascii="宋体" w:hAnsi="宋体"/>
          <w:szCs w:val="21"/>
        </w:rPr>
        <w:t>1. 原材料应一次性进场，统一封存，必须提供生产厂家供货凭证、产品出厂质量合格证、产品出厂检测报告，成交供应商专业人员对品种、规格、型号、质量进行自检，自查合格后报请发包方现场负责人进行核查，核查合格并签字确认。</w:t>
      </w:r>
    </w:p>
    <w:p>
      <w:pPr>
        <w:spacing w:line="400" w:lineRule="exact"/>
        <w:ind w:firstLine="360" w:firstLineChars="150"/>
        <w:rPr>
          <w:rFonts w:ascii="宋体" w:hAnsi="宋体"/>
          <w:szCs w:val="21"/>
        </w:rPr>
      </w:pPr>
      <w:r>
        <w:rPr>
          <w:rFonts w:hint="eastAsia" w:ascii="宋体" w:hAnsi="宋体"/>
          <w:szCs w:val="21"/>
        </w:rPr>
        <w:t>2.严禁施工过程中添加</w:t>
      </w:r>
      <w:r>
        <w:rPr>
          <w:rFonts w:hint="eastAsia" w:ascii="宋体" w:hAnsi="宋体"/>
          <w:b/>
          <w:szCs w:val="21"/>
          <w:u w:val="single"/>
        </w:rPr>
        <w:t>原材料清单以外的</w:t>
      </w:r>
      <w:r>
        <w:rPr>
          <w:rFonts w:hint="eastAsia" w:ascii="宋体" w:hAnsi="宋体"/>
          <w:szCs w:val="21"/>
        </w:rPr>
        <w:t>不环保材料（溶剂、催化剂等）</w:t>
      </w:r>
    </w:p>
    <w:p>
      <w:pPr>
        <w:spacing w:line="400" w:lineRule="exact"/>
        <w:rPr>
          <w:rFonts w:ascii="宋体" w:hAnsi="宋体"/>
          <w:szCs w:val="21"/>
        </w:rPr>
      </w:pPr>
      <w:r>
        <w:rPr>
          <w:rFonts w:hint="eastAsia" w:ascii="宋体" w:hAnsi="宋体"/>
          <w:szCs w:val="21"/>
        </w:rPr>
        <w:t xml:space="preserve">   3.严格按照塑胶篮球场的建设规范进行施工，不得偷工减料，</w:t>
      </w:r>
    </w:p>
    <w:p>
      <w:pPr>
        <w:spacing w:line="400" w:lineRule="exact"/>
        <w:rPr>
          <w:rFonts w:ascii="宋体" w:hAnsi="宋体"/>
          <w:szCs w:val="21"/>
        </w:rPr>
      </w:pPr>
      <w:r>
        <w:rPr>
          <w:rFonts w:hint="eastAsia" w:ascii="宋体" w:hAnsi="宋体"/>
          <w:szCs w:val="21"/>
        </w:rPr>
        <w:t xml:space="preserve">   4.塑胶的施工工艺： 平整的水泥砼基础层（干透）→清扫场地→底胶配料→混合搅拌→摊铺→消泡→固化→面胶配料→混合搅拌→摊铺→消泡→撒颗粒→回收胶粒→滚胶→测量画线→检测点线。</w:t>
      </w:r>
    </w:p>
    <w:p>
      <w:pPr>
        <w:spacing w:line="400" w:lineRule="exact"/>
        <w:rPr>
          <w:rFonts w:ascii="宋体" w:hAnsi="宋体"/>
          <w:szCs w:val="21"/>
        </w:rPr>
      </w:pPr>
      <w:r>
        <w:rPr>
          <w:rFonts w:hint="eastAsia" w:ascii="宋体" w:hAnsi="宋体"/>
          <w:szCs w:val="21"/>
        </w:rPr>
        <w:t xml:space="preserve">   5.地胶的铺装：（1）铺装地胶之前先将地基基础清扫干净，准备好施工用的工具；</w:t>
      </w:r>
    </w:p>
    <w:p>
      <w:pPr>
        <w:spacing w:line="400" w:lineRule="exact"/>
        <w:rPr>
          <w:rFonts w:ascii="宋体" w:hAnsi="宋体"/>
          <w:szCs w:val="21"/>
        </w:rPr>
      </w:pPr>
      <w:r>
        <w:rPr>
          <w:rFonts w:hint="eastAsia" w:ascii="宋体" w:hAnsi="宋体"/>
          <w:szCs w:val="21"/>
        </w:rPr>
        <w:t xml:space="preserve">   （2）按照工艺要求测量出施工线的位置、放好施工线；</w:t>
      </w:r>
    </w:p>
    <w:p>
      <w:pPr>
        <w:spacing w:line="400" w:lineRule="exact"/>
        <w:rPr>
          <w:rFonts w:ascii="宋体" w:hAnsi="宋体"/>
          <w:szCs w:val="21"/>
        </w:rPr>
      </w:pPr>
      <w:r>
        <w:rPr>
          <w:rFonts w:hint="eastAsia" w:ascii="宋体" w:hAnsi="宋体"/>
          <w:szCs w:val="21"/>
        </w:rPr>
        <w:t xml:space="preserve">   （3）铺装时由场地一侧开始，按场地宽度一次性刮胶；</w:t>
      </w:r>
    </w:p>
    <w:p>
      <w:pPr>
        <w:spacing w:line="400" w:lineRule="exact"/>
        <w:rPr>
          <w:rFonts w:ascii="宋体" w:hAnsi="宋体"/>
          <w:szCs w:val="21"/>
        </w:rPr>
      </w:pPr>
      <w:r>
        <w:rPr>
          <w:rFonts w:hint="eastAsia" w:ascii="宋体" w:hAnsi="宋体"/>
          <w:szCs w:val="21"/>
        </w:rPr>
        <w:t xml:space="preserve">   （4）刮胶时速度均匀，及时对露底、凹陷、凸起处进行补胶或刮平；</w:t>
      </w:r>
    </w:p>
    <w:p>
      <w:pPr>
        <w:spacing w:line="400" w:lineRule="exact"/>
        <w:rPr>
          <w:rFonts w:ascii="宋体" w:hAnsi="宋体"/>
          <w:szCs w:val="21"/>
        </w:rPr>
      </w:pPr>
      <w:r>
        <w:rPr>
          <w:rFonts w:hint="eastAsia" w:ascii="宋体" w:hAnsi="宋体"/>
          <w:szCs w:val="21"/>
        </w:rPr>
        <w:t xml:space="preserve">   （5）成胶后对全场进行检查，以保证面胶铺装的厚度。</w:t>
      </w:r>
    </w:p>
    <w:p>
      <w:pPr>
        <w:spacing w:line="400" w:lineRule="exact"/>
        <w:rPr>
          <w:rFonts w:ascii="宋体" w:hAnsi="宋体"/>
          <w:szCs w:val="21"/>
        </w:rPr>
      </w:pPr>
      <w:r>
        <w:rPr>
          <w:rFonts w:hint="eastAsia" w:ascii="宋体" w:hAnsi="宋体"/>
          <w:szCs w:val="21"/>
        </w:rPr>
        <w:t xml:space="preserve">   6.面胶的摊铺：（1）刮胶时尽力缩短每一桶胶液的间隔时间，使成胶速断均匀一致；</w:t>
      </w:r>
    </w:p>
    <w:p>
      <w:pPr>
        <w:spacing w:line="400" w:lineRule="exact"/>
        <w:rPr>
          <w:rFonts w:ascii="宋体" w:hAnsi="宋体"/>
          <w:szCs w:val="21"/>
        </w:rPr>
      </w:pPr>
      <w:r>
        <w:rPr>
          <w:rFonts w:hint="eastAsia" w:ascii="宋体" w:hAnsi="宋体"/>
          <w:szCs w:val="21"/>
        </w:rPr>
        <w:t xml:space="preserve">   （2）时刻观察胶面的厚度；</w:t>
      </w:r>
    </w:p>
    <w:p>
      <w:pPr>
        <w:spacing w:line="400" w:lineRule="exact"/>
        <w:rPr>
          <w:rFonts w:ascii="宋体" w:hAnsi="宋体"/>
          <w:szCs w:val="21"/>
        </w:rPr>
      </w:pPr>
      <w:r>
        <w:rPr>
          <w:rFonts w:hint="eastAsia" w:ascii="宋体" w:hAnsi="宋体"/>
          <w:szCs w:val="21"/>
        </w:rPr>
        <w:t xml:space="preserve">   （3）刮胶面，在面胶未固化之前，撒上塑胶颗粒，待其完全固化后，将多余面胶颗粒清理干净；</w:t>
      </w:r>
    </w:p>
    <w:p>
      <w:pPr>
        <w:spacing w:line="400" w:lineRule="exact"/>
        <w:rPr>
          <w:rFonts w:ascii="宋体" w:hAnsi="宋体"/>
          <w:szCs w:val="21"/>
        </w:rPr>
      </w:pPr>
      <w:r>
        <w:rPr>
          <w:rFonts w:hint="eastAsia" w:ascii="宋体" w:hAnsi="宋体"/>
          <w:szCs w:val="21"/>
        </w:rPr>
        <w:t xml:space="preserve">   （4）喷胶，确保颗粒不脱落。</w:t>
      </w:r>
    </w:p>
    <w:p>
      <w:pPr>
        <w:spacing w:line="400" w:lineRule="exact"/>
        <w:rPr>
          <w:rFonts w:ascii="宋体" w:hAnsi="宋体"/>
          <w:szCs w:val="21"/>
        </w:rPr>
      </w:pPr>
      <w:r>
        <w:rPr>
          <w:rFonts w:hint="eastAsia" w:ascii="宋体" w:hAnsi="宋体"/>
          <w:szCs w:val="21"/>
        </w:rPr>
        <w:t xml:space="preserve">   7.塑胶篮球场铺装注意的问题：</w:t>
      </w:r>
    </w:p>
    <w:p>
      <w:pPr>
        <w:spacing w:line="400" w:lineRule="exact"/>
        <w:rPr>
          <w:rFonts w:ascii="宋体" w:hAnsi="宋体"/>
          <w:szCs w:val="21"/>
        </w:rPr>
      </w:pPr>
      <w:r>
        <w:rPr>
          <w:rFonts w:hint="eastAsia" w:ascii="宋体" w:hAnsi="宋体"/>
          <w:szCs w:val="21"/>
        </w:rPr>
        <w:t xml:space="preserve">   （1）聚氨酯塑胶材料的施工过程最怕水、胶浆在初步固化前碰到一滴水就会产生大气泡，因此施工员在高温作业时要准备毛巾擦汗，一定要掌握好天气，做好突降雨的应急措施。铺胶时间要避开早晨大气中和地面湿度较大的时刻，即使是在天气晴朗的正常工作日，一般最好在上午九点以后正式塑胶铺装；</w:t>
      </w:r>
    </w:p>
    <w:p>
      <w:pPr>
        <w:spacing w:line="400" w:lineRule="exact"/>
        <w:rPr>
          <w:rFonts w:ascii="宋体" w:hAnsi="宋体"/>
          <w:szCs w:val="21"/>
        </w:rPr>
      </w:pPr>
      <w:r>
        <w:rPr>
          <w:rFonts w:hint="eastAsia" w:ascii="宋体" w:hAnsi="宋体"/>
          <w:szCs w:val="21"/>
        </w:rPr>
        <w:t xml:space="preserve">    （2）保证地面的平整度，雨后无积水。</w:t>
      </w:r>
    </w:p>
    <w:p>
      <w:pPr>
        <w:snapToGrid w:val="0"/>
        <w:spacing w:line="360" w:lineRule="exact"/>
        <w:jc w:val="left"/>
        <w:rPr>
          <w:rFonts w:ascii="宋体" w:hAnsi="宋体"/>
          <w:sz w:val="22"/>
        </w:rPr>
      </w:pPr>
      <w:r>
        <w:rPr>
          <w:rFonts w:hint="eastAsia" w:ascii="宋体" w:hAnsi="宋体"/>
          <w:szCs w:val="21"/>
        </w:rPr>
        <w:t>三、道路技术要求：严格按照《城市道路工程技术规范(GB51286-2018)》执行。</w:t>
      </w:r>
    </w:p>
    <w:p>
      <w:pPr>
        <w:pStyle w:val="13"/>
      </w:pPr>
      <w:r>
        <w:rPr>
          <w:rFonts w:ascii="宋体" w:hAnsi="宋体"/>
          <w:sz w:val="22"/>
          <w:szCs w:val="22"/>
        </w:rPr>
        <w:br w:type="page"/>
      </w:r>
      <w:bookmarkStart w:id="79" w:name="_Toc450630564"/>
      <w:bookmarkStart w:id="80" w:name="_Toc275274581"/>
      <w:r>
        <w:t>第</w:t>
      </w:r>
      <w:r>
        <w:rPr>
          <w:rFonts w:hint="eastAsia"/>
        </w:rPr>
        <w:t>六</w:t>
      </w:r>
      <w:r>
        <w:t xml:space="preserve">章  </w:t>
      </w:r>
      <w:r>
        <w:rPr>
          <w:rFonts w:hint="eastAsia"/>
        </w:rPr>
        <w:t>评标办法及标准</w:t>
      </w:r>
      <w:bookmarkEnd w:id="79"/>
    </w:p>
    <w:p>
      <w:pPr>
        <w:pStyle w:val="7"/>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7"/>
        <w:spacing w:line="360" w:lineRule="exact"/>
        <w:rPr>
          <w:rFonts w:hAnsi="宋体" w:cs="Calibri"/>
          <w:b/>
          <w:bCs/>
          <w:sz w:val="22"/>
          <w:szCs w:val="22"/>
        </w:rPr>
      </w:pPr>
      <w:r>
        <w:rPr>
          <w:rFonts w:hAnsi="宋体" w:cs="Calibri"/>
          <w:b/>
          <w:bCs/>
          <w:sz w:val="22"/>
          <w:szCs w:val="22"/>
        </w:rPr>
        <w:t>一、评标原则</w:t>
      </w:r>
    </w:p>
    <w:p>
      <w:pPr>
        <w:pStyle w:val="7"/>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7"/>
        <w:spacing w:line="360" w:lineRule="exact"/>
        <w:rPr>
          <w:rFonts w:hAnsi="宋体" w:cs="Calibri"/>
          <w:b/>
          <w:bCs/>
          <w:sz w:val="22"/>
          <w:szCs w:val="22"/>
        </w:rPr>
      </w:pPr>
      <w:r>
        <w:rPr>
          <w:rFonts w:hAnsi="宋体" w:cs="Calibri"/>
          <w:b/>
          <w:bCs/>
          <w:sz w:val="22"/>
          <w:szCs w:val="22"/>
        </w:rPr>
        <w:t>二、评标组织</w:t>
      </w:r>
    </w:p>
    <w:p>
      <w:pPr>
        <w:pStyle w:val="7"/>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评标委员会成员由招标人自行组建。</w:t>
      </w:r>
    </w:p>
    <w:p>
      <w:pPr>
        <w:pStyle w:val="7"/>
        <w:spacing w:line="360" w:lineRule="exact"/>
        <w:rPr>
          <w:rFonts w:hAnsi="宋体" w:cs="Calibri"/>
          <w:b/>
          <w:bCs/>
          <w:sz w:val="22"/>
          <w:szCs w:val="22"/>
        </w:rPr>
      </w:pPr>
      <w:r>
        <w:rPr>
          <w:rFonts w:hAnsi="宋体" w:cs="Calibri"/>
          <w:b/>
          <w:bCs/>
          <w:sz w:val="22"/>
          <w:szCs w:val="22"/>
        </w:rPr>
        <w:t>三、投标文件的评审</w:t>
      </w:r>
    </w:p>
    <w:p>
      <w:pPr>
        <w:pStyle w:val="7"/>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7"/>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7"/>
        <w:numPr>
          <w:ilvl w:val="0"/>
          <w:numId w:val="5"/>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7"/>
        <w:numPr>
          <w:ilvl w:val="0"/>
          <w:numId w:val="5"/>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7"/>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7"/>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7"/>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7"/>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7"/>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7"/>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7"/>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7"/>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7"/>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2、技术评分   12-30分</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17"/>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szCs w:val="22"/>
              </w:rPr>
            </w:pPr>
            <w:r>
              <w:rPr>
                <w:rFonts w:ascii="宋体" w:hAnsi="宋体"/>
                <w:b/>
                <w:sz w:val="22"/>
                <w:szCs w:val="22"/>
              </w:rPr>
              <w:t>评</w:t>
            </w:r>
            <w:r>
              <w:rPr>
                <w:rFonts w:hint="eastAsia" w:ascii="宋体" w:hAnsi="宋体"/>
                <w:b/>
                <w:sz w:val="22"/>
                <w:szCs w:val="22"/>
              </w:rPr>
              <w:t>定项目</w:t>
            </w:r>
          </w:p>
        </w:tc>
        <w:tc>
          <w:tcPr>
            <w:tcW w:w="1701" w:type="dxa"/>
            <w:vAlign w:val="center"/>
          </w:tcPr>
          <w:p>
            <w:pPr>
              <w:snapToGrid w:val="0"/>
              <w:jc w:val="center"/>
              <w:rPr>
                <w:rFonts w:ascii="宋体" w:hAnsi="宋体"/>
                <w:b/>
                <w:sz w:val="22"/>
                <w:szCs w:val="22"/>
              </w:rPr>
            </w:pPr>
            <w:r>
              <w:rPr>
                <w:rFonts w:hint="eastAsia" w:ascii="宋体" w:hAnsi="宋体"/>
                <w:b/>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6"/>
              <w:snapToGrid w:val="0"/>
              <w:spacing w:after="0"/>
              <w:jc w:val="left"/>
              <w:rPr>
                <w:rFonts w:ascii="宋体" w:hAnsi="宋体"/>
                <w:sz w:val="22"/>
                <w:szCs w:val="22"/>
              </w:rPr>
            </w:pPr>
            <w:r>
              <w:rPr>
                <w:rFonts w:hint="eastAsia" w:ascii="宋体" w:hAnsi="宋体"/>
                <w:sz w:val="22"/>
                <w:szCs w:val="22"/>
              </w:rPr>
              <w:t>施工方案的合理性</w:t>
            </w:r>
          </w:p>
        </w:tc>
        <w:tc>
          <w:tcPr>
            <w:tcW w:w="1701" w:type="dxa"/>
            <w:vAlign w:val="center"/>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6"/>
              <w:snapToGrid w:val="0"/>
              <w:spacing w:after="0"/>
              <w:jc w:val="left"/>
              <w:rPr>
                <w:rFonts w:ascii="宋体" w:hAnsi="宋体"/>
                <w:sz w:val="22"/>
                <w:szCs w:val="22"/>
              </w:rPr>
            </w:pPr>
            <w:r>
              <w:rPr>
                <w:rFonts w:hint="eastAsia" w:ascii="宋体" w:hAnsi="宋体"/>
                <w:sz w:val="22"/>
                <w:szCs w:val="22"/>
              </w:rPr>
              <w:t>施工质量的控制和检验手段是否科学、可靠；</w:t>
            </w:r>
          </w:p>
        </w:tc>
        <w:tc>
          <w:tcPr>
            <w:tcW w:w="1701" w:type="dxa"/>
          </w:tcPr>
          <w:p>
            <w:pPr>
              <w:snapToGrid w:val="0"/>
              <w:jc w:val="center"/>
              <w:rPr>
                <w:rFonts w:ascii="宋体" w:hAnsi="宋体"/>
                <w:sz w:val="22"/>
                <w:szCs w:val="22"/>
              </w:rPr>
            </w:pPr>
            <w:r>
              <w:rPr>
                <w:rFonts w:ascii="宋体" w:hAnsi="宋体"/>
                <w:sz w:val="22"/>
                <w:szCs w:val="22"/>
              </w:rPr>
              <w:t>2</w:t>
            </w:r>
            <w:r>
              <w:rPr>
                <w:rFonts w:hint="eastAsia" w:ascii="宋体" w:hAnsi="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6"/>
              <w:snapToGrid w:val="0"/>
              <w:spacing w:after="0"/>
              <w:jc w:val="left"/>
              <w:rPr>
                <w:rFonts w:ascii="宋体" w:hAnsi="宋体"/>
                <w:sz w:val="22"/>
                <w:szCs w:val="22"/>
              </w:rPr>
            </w:pPr>
            <w:r>
              <w:rPr>
                <w:rFonts w:hint="eastAsia" w:ascii="宋体" w:hAnsi="宋体"/>
                <w:sz w:val="22"/>
                <w:szCs w:val="22"/>
              </w:rPr>
              <w:t>施工进度计划、关键节点是否具有针对性和可行性</w:t>
            </w:r>
          </w:p>
        </w:tc>
        <w:tc>
          <w:tcPr>
            <w:tcW w:w="1701" w:type="dxa"/>
          </w:tcPr>
          <w:p>
            <w:pPr>
              <w:pStyle w:val="6"/>
              <w:snapToGrid w:val="0"/>
              <w:spacing w:after="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6"/>
              <w:snapToGrid w:val="0"/>
              <w:spacing w:after="0"/>
              <w:jc w:val="left"/>
              <w:rPr>
                <w:rFonts w:ascii="宋体" w:hAnsi="宋体"/>
                <w:sz w:val="22"/>
                <w:szCs w:val="22"/>
              </w:rPr>
            </w:pPr>
            <w:r>
              <w:rPr>
                <w:rFonts w:hint="eastAsia" w:ascii="宋体" w:hAnsi="宋体"/>
                <w:sz w:val="22"/>
                <w:szCs w:val="22"/>
              </w:rPr>
              <w:t>工期承诺的可行性、合理性</w:t>
            </w:r>
          </w:p>
        </w:tc>
        <w:tc>
          <w:tcPr>
            <w:tcW w:w="1701" w:type="dxa"/>
          </w:tcPr>
          <w:p>
            <w:pPr>
              <w:pStyle w:val="6"/>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6"/>
              <w:snapToGrid w:val="0"/>
              <w:spacing w:after="0"/>
              <w:jc w:val="left"/>
              <w:rPr>
                <w:rFonts w:ascii="宋体" w:hAnsi="宋体"/>
                <w:sz w:val="22"/>
                <w:szCs w:val="22"/>
              </w:rPr>
            </w:pPr>
            <w:r>
              <w:rPr>
                <w:rFonts w:hint="eastAsia" w:ascii="宋体" w:hAnsi="宋体"/>
                <w:sz w:val="22"/>
                <w:szCs w:val="22"/>
              </w:rPr>
              <w:t>原材料、半成品、外购件的质量保证措施是否可靠</w:t>
            </w:r>
          </w:p>
        </w:tc>
        <w:tc>
          <w:tcPr>
            <w:tcW w:w="1701" w:type="dxa"/>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6"/>
              <w:snapToGrid w:val="0"/>
              <w:spacing w:after="0"/>
              <w:jc w:val="left"/>
              <w:rPr>
                <w:rFonts w:ascii="宋体" w:hAnsi="宋体"/>
                <w:sz w:val="22"/>
                <w:szCs w:val="22"/>
              </w:rPr>
            </w:pPr>
            <w:r>
              <w:rPr>
                <w:rFonts w:hint="eastAsia" w:ascii="宋体" w:hAnsi="宋体"/>
                <w:sz w:val="22"/>
                <w:szCs w:val="22"/>
              </w:rPr>
              <w:t>提供的器材是否能满足要求</w:t>
            </w:r>
          </w:p>
        </w:tc>
        <w:tc>
          <w:tcPr>
            <w:tcW w:w="1701" w:type="dxa"/>
            <w:vAlign w:val="center"/>
          </w:tcPr>
          <w:p>
            <w:pPr>
              <w:snapToGrid w:val="0"/>
              <w:jc w:val="center"/>
              <w:rPr>
                <w:rFonts w:ascii="宋体" w:hAnsi="宋体"/>
                <w:b/>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6"/>
              <w:snapToGrid w:val="0"/>
              <w:spacing w:after="0"/>
              <w:jc w:val="left"/>
              <w:rPr>
                <w:rFonts w:ascii="宋体" w:hAnsi="宋体"/>
                <w:sz w:val="22"/>
                <w:szCs w:val="22"/>
                <w:highlight w:val="yellow"/>
              </w:rPr>
            </w:pPr>
            <w:r>
              <w:rPr>
                <w:rFonts w:hint="eastAsia" w:ascii="宋体" w:hAnsi="宋体"/>
                <w:sz w:val="22"/>
                <w:szCs w:val="22"/>
              </w:rPr>
              <w:t>各专业工种的配置和劳动力的投入是否能满足工程的需要</w:t>
            </w:r>
          </w:p>
        </w:tc>
        <w:tc>
          <w:tcPr>
            <w:tcW w:w="1701"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6"/>
              <w:snapToGrid w:val="0"/>
              <w:spacing w:after="0"/>
              <w:jc w:val="left"/>
              <w:rPr>
                <w:rFonts w:ascii="宋体" w:hAnsi="宋体"/>
                <w:sz w:val="22"/>
                <w:szCs w:val="22"/>
              </w:rPr>
            </w:pPr>
            <w:r>
              <w:rPr>
                <w:rFonts w:hint="eastAsia" w:ascii="宋体" w:hAnsi="宋体"/>
                <w:sz w:val="22"/>
                <w:szCs w:val="22"/>
              </w:rPr>
              <w:t>工程关键部位的施工方案及保证措施是否具有针对性、科学合理</w:t>
            </w:r>
          </w:p>
        </w:tc>
        <w:tc>
          <w:tcPr>
            <w:tcW w:w="1701" w:type="dxa"/>
            <w:vAlign w:val="center"/>
          </w:tcPr>
          <w:p>
            <w:pPr>
              <w:snapToGrid w:val="0"/>
              <w:jc w:val="center"/>
              <w:rPr>
                <w:rFonts w:ascii="宋体" w:hAnsi="宋体"/>
                <w:sz w:val="22"/>
                <w:szCs w:val="22"/>
                <w:highlight w:val="yellow"/>
              </w:rPr>
            </w:pPr>
            <w:r>
              <w:rPr>
                <w:rFonts w:ascii="宋体" w:hAnsi="宋体"/>
                <w:sz w:val="22"/>
                <w:szCs w:val="22"/>
              </w:rPr>
              <w:t>2</w:t>
            </w:r>
            <w:r>
              <w:rPr>
                <w:rFonts w:hint="eastAsia" w:ascii="宋体" w:hAnsi="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6"/>
              <w:snapToGrid w:val="0"/>
              <w:spacing w:after="0"/>
              <w:jc w:val="left"/>
              <w:rPr>
                <w:rFonts w:ascii="宋体" w:hAnsi="宋体"/>
                <w:sz w:val="22"/>
                <w:szCs w:val="22"/>
              </w:rPr>
            </w:pPr>
            <w:r>
              <w:rPr>
                <w:rFonts w:hint="eastAsia" w:ascii="宋体" w:hAnsi="宋体"/>
                <w:sz w:val="22"/>
                <w:szCs w:val="22"/>
              </w:rPr>
              <w:t>安全、文明施工及市政、市容、环保、消防等的保证措施是否科学、合理、到位</w:t>
            </w:r>
          </w:p>
        </w:tc>
        <w:tc>
          <w:tcPr>
            <w:tcW w:w="1701"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6"/>
              <w:snapToGrid w:val="0"/>
              <w:spacing w:after="0"/>
              <w:jc w:val="left"/>
              <w:rPr>
                <w:rFonts w:ascii="宋体" w:hAnsi="宋体"/>
                <w:sz w:val="22"/>
                <w:szCs w:val="22"/>
              </w:rPr>
            </w:pPr>
            <w:r>
              <w:rPr>
                <w:rFonts w:hint="eastAsia" w:ascii="宋体" w:hAnsi="宋体"/>
                <w:sz w:val="22"/>
                <w:szCs w:val="22"/>
              </w:rPr>
              <w:t>项目班子配备力量的合理性、技术管理人员专业配置的全面合理性</w:t>
            </w:r>
          </w:p>
        </w:tc>
        <w:tc>
          <w:tcPr>
            <w:tcW w:w="1701" w:type="dxa"/>
            <w:vAlign w:val="center"/>
          </w:tcPr>
          <w:p>
            <w:pPr>
              <w:widowControl/>
              <w:snapToGrid w:val="0"/>
              <w:jc w:val="center"/>
              <w:rPr>
                <w:rFonts w:ascii="宋体" w:hAnsi="宋体"/>
                <w:sz w:val="22"/>
                <w:szCs w:val="22"/>
              </w:rPr>
            </w:pPr>
            <w:r>
              <w:rPr>
                <w:rFonts w:hint="eastAsia" w:ascii="宋体" w:hAnsi="宋体"/>
                <w:sz w:val="22"/>
                <w:szCs w:val="22"/>
              </w:rPr>
              <w:t>1—3分</w:t>
            </w:r>
          </w:p>
        </w:tc>
      </w:tr>
    </w:tbl>
    <w:p>
      <w:pPr>
        <w:pStyle w:val="7"/>
        <w:spacing w:line="360" w:lineRule="exact"/>
        <w:rPr>
          <w:rFonts w:hAnsi="宋体" w:cs="Calibri"/>
          <w:b/>
          <w:sz w:val="22"/>
          <w:szCs w:val="22"/>
        </w:rPr>
      </w:pPr>
      <w:r>
        <w:rPr>
          <w:rFonts w:hAnsi="宋体" w:cs="Calibri"/>
          <w:b/>
          <w:sz w:val="22"/>
          <w:szCs w:val="22"/>
        </w:rPr>
        <w:t>3.4推荐中标候选人</w:t>
      </w:r>
    </w:p>
    <w:p>
      <w:pPr>
        <w:pStyle w:val="7"/>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7"/>
        <w:adjustRightInd w:val="0"/>
        <w:snapToGrid w:val="0"/>
        <w:spacing w:line="360" w:lineRule="exact"/>
        <w:ind w:firstLine="440" w:firstLineChars="200"/>
        <w:rPr>
          <w:rFonts w:hAnsi="宋体" w:cs="Calibri"/>
          <w:sz w:val="22"/>
          <w:szCs w:val="22"/>
        </w:rPr>
      </w:pPr>
      <w:r>
        <w:rPr>
          <w:rFonts w:hAnsi="宋体" w:cs="Calibri"/>
          <w:sz w:val="22"/>
          <w:szCs w:val="22"/>
        </w:rPr>
        <w:t>3.4.</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7"/>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7"/>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7"/>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7"/>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7"/>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4.4 招标人对评标、定标结果不负责解释。</w:t>
      </w:r>
    </w:p>
    <w:p>
      <w:pPr>
        <w:widowControl/>
        <w:jc w:val="left"/>
        <w:rPr>
          <w:rFonts w:eastAsia="黑体" w:cs="Times New Roman"/>
          <w:b/>
          <w:bCs/>
          <w:kern w:val="0"/>
          <w:sz w:val="32"/>
          <w:szCs w:val="32"/>
        </w:rPr>
      </w:pPr>
      <w:r>
        <w:br w:type="page"/>
      </w:r>
    </w:p>
    <w:p>
      <w:pPr>
        <w:pStyle w:val="13"/>
      </w:pPr>
      <w:bookmarkStart w:id="81" w:name="_Toc450630565"/>
      <w:r>
        <w:t>第</w:t>
      </w:r>
      <w:r>
        <w:rPr>
          <w:rFonts w:hint="eastAsia"/>
        </w:rPr>
        <w:t>七</w:t>
      </w:r>
      <w:r>
        <w:t>章  投标文件格式</w:t>
      </w:r>
      <w:bookmarkEnd w:id="80"/>
      <w:bookmarkEnd w:id="81"/>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二、</w:t>
      </w:r>
      <w:r>
        <w:rPr>
          <w:rFonts w:ascii="宋体" w:hAnsi="宋体" w:cs="Calibri"/>
          <w:color w:val="000000"/>
          <w:sz w:val="22"/>
          <w:szCs w:val="22"/>
        </w:rPr>
        <w:t>法定代表人资格证明书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三、</w:t>
      </w:r>
      <w:r>
        <w:rPr>
          <w:rFonts w:ascii="宋体" w:hAnsi="宋体" w:cs="Calibri"/>
          <w:color w:val="000000"/>
          <w:sz w:val="22"/>
          <w:szCs w:val="22"/>
        </w:rPr>
        <w:t>授权委托书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四、已标价工程量清单</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五、施工组织设计</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六、项目管理机构</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七、资格审查资料</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八、投标人认为</w:t>
      </w:r>
      <w:r>
        <w:rPr>
          <w:rFonts w:ascii="宋体" w:hAnsi="宋体" w:cs="Calibri"/>
          <w:color w:val="000000"/>
          <w:sz w:val="22"/>
          <w:szCs w:val="22"/>
        </w:rPr>
        <w:t>应该提供的其他材料</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82" w:name="_Toc171421958"/>
      <w:r>
        <w:rPr>
          <w:rFonts w:cs="Calibri"/>
          <w:color w:val="000000"/>
        </w:rPr>
        <w:t>封面</w:t>
      </w:r>
      <w:bookmarkEnd w:id="82"/>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spacing w:line="440" w:lineRule="exact"/>
        <w:ind w:firstLine="376" w:firstLineChars="171"/>
        <w:rPr>
          <w:rFonts w:ascii="宋体" w:hAnsi="宋体"/>
          <w:sz w:val="22"/>
          <w:szCs w:val="22"/>
        </w:rPr>
      </w:pPr>
      <w:r>
        <w:rPr>
          <w:rFonts w:ascii="宋体" w:hAnsi="宋体"/>
          <w:sz w:val="22"/>
          <w:szCs w:val="22"/>
        </w:rPr>
        <w:t>1．我方已仔细研究了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u w:val="single"/>
        </w:rPr>
        <w:t xml:space="preserve">           </w:t>
      </w:r>
      <w:r>
        <w:rPr>
          <w:rFonts w:ascii="宋体" w:hAnsi="宋体"/>
          <w:sz w:val="22"/>
          <w:szCs w:val="22"/>
        </w:rPr>
        <w:t>）的投标总报价，</w:t>
      </w:r>
      <w:r>
        <w:rPr>
          <w:rFonts w:hint="eastAsia" w:ascii="宋体" w:hAnsi="宋体"/>
          <w:sz w:val="22"/>
          <w:szCs w:val="22"/>
        </w:rPr>
        <w:t>工期</w:t>
      </w:r>
      <w:r>
        <w:rPr>
          <w:rFonts w:hint="eastAsia" w:ascii="宋体" w:hAnsi="宋体"/>
          <w:sz w:val="22"/>
          <w:szCs w:val="22"/>
          <w:u w:val="single"/>
        </w:rPr>
        <w:t xml:space="preserve">      </w:t>
      </w:r>
      <w:r>
        <w:rPr>
          <w:rFonts w:hint="eastAsia" w:ascii="宋体" w:hAnsi="宋体"/>
          <w:sz w:val="22"/>
          <w:szCs w:val="22"/>
        </w:rPr>
        <w:t>日历天，</w:t>
      </w:r>
      <w:r>
        <w:rPr>
          <w:rFonts w:ascii="宋体" w:hAnsi="宋体"/>
          <w:sz w:val="22"/>
          <w:szCs w:val="22"/>
        </w:rPr>
        <w:t>按合同约定实施和完成承包工程，修补工程中的任何缺陷，工程质量达到</w:t>
      </w:r>
      <w:r>
        <w:rPr>
          <w:rFonts w:hint="eastAsia" w:ascii="宋体" w:hAnsi="宋体"/>
          <w:sz w:val="22"/>
          <w:szCs w:val="22"/>
        </w:rPr>
        <w:t>一次验收合格</w:t>
      </w:r>
      <w:r>
        <w:rPr>
          <w:rFonts w:ascii="宋体" w:hAnsi="宋体"/>
          <w:sz w:val="22"/>
          <w:szCs w:val="22"/>
        </w:rPr>
        <w:t xml:space="preserve"> </w:t>
      </w:r>
      <w:r>
        <w:rPr>
          <w:rFonts w:hint="eastAsia" w:ascii="宋体" w:hAnsi="宋体"/>
          <w:sz w:val="22"/>
          <w:szCs w:val="22"/>
        </w:rPr>
        <w:t>，负责本项目的项目经理是</w:t>
      </w:r>
      <w:r>
        <w:rPr>
          <w:rFonts w:hint="eastAsia" w:ascii="宋体" w:hAnsi="宋体"/>
          <w:sz w:val="22"/>
          <w:szCs w:val="22"/>
          <w:u w:val="single"/>
        </w:rPr>
        <w:t xml:space="preserve">           </w:t>
      </w:r>
      <w:r>
        <w:rPr>
          <w:rFonts w:hint="eastAsia" w:ascii="宋体" w:hAnsi="宋体"/>
          <w:sz w:val="22"/>
          <w:szCs w:val="22"/>
        </w:rPr>
        <w:t>（身份证号：</w:t>
      </w:r>
      <w:r>
        <w:rPr>
          <w:rFonts w:hint="eastAsia" w:ascii="宋体" w:hAnsi="宋体"/>
          <w:sz w:val="22"/>
          <w:szCs w:val="22"/>
          <w:u w:val="single"/>
        </w:rPr>
        <w:t xml:space="preserve">                            </w:t>
      </w:r>
      <w:r>
        <w:rPr>
          <w:rFonts w:hint="eastAsia" w:ascii="宋体" w:hAnsi="宋体"/>
          <w:sz w:val="22"/>
          <w:szCs w:val="22"/>
        </w:rPr>
        <w:t>）</w:t>
      </w:r>
      <w:r>
        <w:rPr>
          <w:rFonts w:ascii="宋体" w:hAnsi="宋体"/>
          <w:sz w:val="22"/>
          <w:szCs w:val="22"/>
        </w:rPr>
        <w:t>。</w:t>
      </w:r>
    </w:p>
    <w:p>
      <w:pPr>
        <w:spacing w:line="440" w:lineRule="exact"/>
        <w:ind w:firstLine="440" w:firstLineChars="200"/>
        <w:rPr>
          <w:rFonts w:ascii="宋体" w:hAnsi="宋体"/>
          <w:sz w:val="22"/>
          <w:szCs w:val="22"/>
        </w:rPr>
      </w:pPr>
      <w:r>
        <w:rPr>
          <w:rFonts w:ascii="宋体" w:hAnsi="宋体"/>
          <w:sz w:val="22"/>
          <w:szCs w:val="22"/>
        </w:rPr>
        <w:t>2．我方承诺在投标有效期内不修改、撤销投标文件。</w:t>
      </w:r>
    </w:p>
    <w:p>
      <w:pPr>
        <w:spacing w:line="440" w:lineRule="exact"/>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．如我方中标：</w:t>
      </w:r>
    </w:p>
    <w:p>
      <w:pPr>
        <w:spacing w:line="440" w:lineRule="exact"/>
        <w:ind w:firstLine="752" w:firstLineChars="342"/>
        <w:rPr>
          <w:rFonts w:ascii="宋体" w:hAnsi="宋体"/>
          <w:sz w:val="22"/>
          <w:szCs w:val="22"/>
        </w:rPr>
      </w:pPr>
      <w:r>
        <w:rPr>
          <w:rFonts w:ascii="宋体" w:hAnsi="宋体"/>
          <w:sz w:val="22"/>
          <w:szCs w:val="22"/>
        </w:rPr>
        <w:t>（1）我方承诺在收到中标通知书后，在中标通知书规定的期限内与你方签订合同。</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2</w:t>
      </w:r>
      <w:r>
        <w:rPr>
          <w:rFonts w:ascii="宋体" w:hAnsi="宋体"/>
          <w:sz w:val="22"/>
          <w:szCs w:val="22"/>
        </w:rPr>
        <w:t>）我方承诺按照招标文件</w:t>
      </w:r>
      <w:r>
        <w:rPr>
          <w:rFonts w:hint="eastAsia" w:ascii="宋体" w:hAnsi="宋体"/>
          <w:sz w:val="22"/>
          <w:szCs w:val="22"/>
        </w:rPr>
        <w:t>及合同</w:t>
      </w:r>
      <w:r>
        <w:rPr>
          <w:rFonts w:ascii="宋体" w:hAnsi="宋体"/>
          <w:sz w:val="22"/>
          <w:szCs w:val="22"/>
        </w:rPr>
        <w:t>规定向你方递交履约</w:t>
      </w:r>
      <w:r>
        <w:rPr>
          <w:rFonts w:hint="eastAsia" w:ascii="宋体" w:hAnsi="宋体"/>
          <w:sz w:val="22"/>
          <w:szCs w:val="22"/>
        </w:rPr>
        <w:t>保证金</w:t>
      </w:r>
      <w:r>
        <w:rPr>
          <w:rFonts w:ascii="宋体" w:hAnsi="宋体"/>
          <w:sz w:val="22"/>
          <w:szCs w:val="22"/>
        </w:rPr>
        <w:t>。</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3</w:t>
      </w:r>
      <w:r>
        <w:rPr>
          <w:rFonts w:ascii="宋体" w:hAnsi="宋体"/>
          <w:sz w:val="22"/>
          <w:szCs w:val="22"/>
        </w:rPr>
        <w:t>）我方承诺在合同约定的期限内完成并移交全部合同工程。</w:t>
      </w:r>
    </w:p>
    <w:p>
      <w:pPr>
        <w:spacing w:line="440" w:lineRule="exact"/>
        <w:ind w:firstLine="440" w:firstLineChars="200"/>
        <w:rPr>
          <w:rFonts w:ascii="宋体" w:hAnsi="宋体"/>
          <w:sz w:val="22"/>
          <w:szCs w:val="22"/>
        </w:rPr>
      </w:pPr>
      <w:r>
        <w:rPr>
          <w:rFonts w:hint="eastAsia" w:ascii="宋体" w:hAnsi="宋体"/>
          <w:sz w:val="22"/>
          <w:szCs w:val="22"/>
        </w:rPr>
        <w:t>4</w:t>
      </w:r>
      <w:r>
        <w:rPr>
          <w:rFonts w:ascii="宋体" w:hAnsi="宋体"/>
          <w:sz w:val="22"/>
          <w:szCs w:val="22"/>
        </w:rPr>
        <w:t>．</w:t>
      </w:r>
      <w:r>
        <w:rPr>
          <w:rFonts w:hint="eastAsia" w:ascii="宋体" w:hAnsi="宋体"/>
          <w:sz w:val="22"/>
          <w:szCs w:val="22"/>
        </w:rPr>
        <w:t>我方在此声明，所递交的投标文件及有关资料内容完整、真实和准确。</w:t>
      </w:r>
    </w:p>
    <w:p>
      <w:pPr>
        <w:spacing w:line="440" w:lineRule="exact"/>
        <w:ind w:firstLine="440" w:firstLineChars="200"/>
        <w:rPr>
          <w:rFonts w:ascii="宋体" w:hAnsi="宋体"/>
          <w:sz w:val="22"/>
          <w:szCs w:val="22"/>
        </w:rPr>
      </w:pPr>
      <w:r>
        <w:rPr>
          <w:rFonts w:hint="eastAsia" w:ascii="宋体" w:hAnsi="宋体"/>
          <w:sz w:val="22"/>
          <w:szCs w:val="22"/>
        </w:rPr>
        <w:t>5．</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其他</w:t>
      </w:r>
      <w:r>
        <w:rPr>
          <w:rFonts w:ascii="宋体" w:hAnsi="宋体"/>
          <w:sz w:val="22"/>
          <w:szCs w:val="22"/>
        </w:rPr>
        <w:t>补充说明）。</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投标人：（盖单位章）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法定代表人或其委托代理人：（签字或盖章）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地    址：</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邮政编码：</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电    话：</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传    真：</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开户银行：</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账    号：</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7"/>
        <w:spacing w:after="120" w:afterLines="50" w:line="360" w:lineRule="auto"/>
        <w:jc w:val="left"/>
        <w:rPr>
          <w:rFonts w:hAnsi="宋体" w:cs="宋体"/>
          <w:b/>
        </w:rPr>
      </w:pPr>
      <w:r>
        <w:rPr>
          <w:rFonts w:hAnsi="宋体" w:cs="宋体"/>
          <w:b/>
        </w:rPr>
        <w:br w:type="page"/>
      </w:r>
      <w:bookmarkStart w:id="83" w:name="_Toc137373398"/>
      <w:bookmarkStart w:id="84" w:name="_Toc133214309"/>
      <w:bookmarkStart w:id="85" w:name="_Toc133470542"/>
      <w:bookmarkStart w:id="86" w:name="_Toc133214102"/>
      <w:bookmarkStart w:id="87" w:name="_Toc144265958"/>
    </w:p>
    <w:p>
      <w:pPr>
        <w:pStyle w:val="7"/>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7"/>
        <w:spacing w:after="120" w:afterLines="50" w:line="360" w:lineRule="auto"/>
        <w:jc w:val="center"/>
        <w:rPr>
          <w:rFonts w:hAnsi="宋体" w:cs="宋体"/>
        </w:rPr>
      </w:pPr>
    </w:p>
    <w:bookmarkEnd w:id="83"/>
    <w:bookmarkEnd w:id="84"/>
    <w:bookmarkEnd w:id="85"/>
    <w:bookmarkEnd w:id="86"/>
    <w:bookmarkEnd w:id="87"/>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1. </w:t>
      </w:r>
      <w:r>
        <w:rPr>
          <w:rFonts w:hint="eastAsia" w:ascii="宋体" w:hAnsi="宋体"/>
          <w:sz w:val="22"/>
          <w:szCs w:val="22"/>
        </w:rPr>
        <w:tab/>
      </w:r>
      <w:r>
        <w:rPr>
          <w:rFonts w:hint="eastAsia" w:ascii="宋体" w:hAnsi="宋体"/>
          <w:sz w:val="22"/>
          <w:szCs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2. </w:t>
      </w:r>
      <w:r>
        <w:rPr>
          <w:rFonts w:hint="eastAsia" w:ascii="宋体" w:hAnsi="宋体"/>
          <w:sz w:val="22"/>
          <w:szCs w:val="22"/>
        </w:rPr>
        <w:tab/>
      </w:r>
      <w:r>
        <w:rPr>
          <w:rFonts w:hint="eastAsia" w:ascii="宋体" w:hAnsi="宋体"/>
          <w:sz w:val="22"/>
          <w:szCs w:val="22"/>
        </w:rPr>
        <w:t>施工组织设计除采用文字表述外可附下列图表，图表及格式要求附后。</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附表一  拟投入本标段的主要施工设备表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附表二  拟配备本标段的试验和检测仪器设备表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附表三  劳动力计划表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附表四  计划开、竣工日期和施工进度网络图</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23"/>
        <w:rPr>
          <w:rFonts w:ascii="宋体" w:hAnsi="宋体" w:eastAsia="宋体"/>
          <w:szCs w:val="23"/>
        </w:rPr>
      </w:pPr>
      <w:bookmarkStart w:id="88" w:name="_Toc144974865"/>
      <w:bookmarkStart w:id="89" w:name="_Toc152042586"/>
      <w:bookmarkStart w:id="90" w:name="_Toc152045797"/>
      <w:bookmarkStart w:id="91" w:name="_Toc179632817"/>
      <w:bookmarkStart w:id="92" w:name="_Toc246392155"/>
      <w:bookmarkStart w:id="93" w:name="_Toc11710"/>
      <w:r>
        <w:rPr>
          <w:rFonts w:hint="eastAsia" w:ascii="宋体" w:hAnsi="宋体" w:eastAsia="宋体"/>
        </w:rPr>
        <w:t>附表一：</w:t>
      </w:r>
      <w:r>
        <w:rPr>
          <w:rFonts w:hint="eastAsia" w:ascii="宋体" w:hAnsi="宋体" w:eastAsia="宋体"/>
          <w:szCs w:val="23"/>
        </w:rPr>
        <w:t>拟投入本标段的主要施工设备表</w:t>
      </w:r>
      <w:bookmarkEnd w:id="88"/>
      <w:bookmarkEnd w:id="89"/>
      <w:bookmarkEnd w:id="90"/>
      <w:bookmarkEnd w:id="91"/>
      <w:bookmarkEnd w:id="92"/>
      <w:bookmarkEnd w:id="93"/>
    </w:p>
    <w:p>
      <w:pPr>
        <w:spacing w:line="440" w:lineRule="exact"/>
        <w:rPr>
          <w:rFonts w:ascii="宋体" w:hAnsi="宋体"/>
          <w:sz w:val="20"/>
          <w:szCs w:val="20"/>
        </w:rPr>
      </w:pPr>
    </w:p>
    <w:tbl>
      <w:tblPr>
        <w:tblStyle w:val="1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23"/>
        <w:rPr>
          <w:rFonts w:ascii="宋体" w:hAnsi="宋体" w:eastAsia="宋体"/>
        </w:rPr>
      </w:pPr>
      <w:bookmarkStart w:id="94" w:name="_Toc152042587"/>
      <w:bookmarkStart w:id="95" w:name="_Toc4957"/>
      <w:bookmarkStart w:id="96" w:name="_Toc144974866"/>
      <w:bookmarkStart w:id="97" w:name="_Toc179632818"/>
      <w:bookmarkStart w:id="98" w:name="_Toc246392156"/>
      <w:bookmarkStart w:id="99" w:name="_Toc152045798"/>
      <w:r>
        <w:rPr>
          <w:rFonts w:hint="eastAsia" w:ascii="宋体" w:hAnsi="宋体" w:eastAsia="宋体"/>
        </w:rPr>
        <w:t>附表二：拟配备本标段的试验和检测仪器设备表</w:t>
      </w:r>
      <w:bookmarkEnd w:id="94"/>
      <w:bookmarkEnd w:id="95"/>
      <w:bookmarkEnd w:id="96"/>
      <w:bookmarkEnd w:id="97"/>
      <w:bookmarkEnd w:id="98"/>
      <w:bookmarkEnd w:id="99"/>
    </w:p>
    <w:p>
      <w:pPr>
        <w:spacing w:line="440" w:lineRule="exact"/>
        <w:rPr>
          <w:rFonts w:ascii="宋体" w:hAnsi="宋体"/>
          <w:sz w:val="20"/>
          <w:szCs w:val="20"/>
        </w:rPr>
      </w:pPr>
    </w:p>
    <w:tbl>
      <w:tblPr>
        <w:tblStyle w:val="1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23"/>
        <w:rPr>
          <w:rFonts w:ascii="宋体" w:hAnsi="宋体" w:eastAsia="宋体"/>
        </w:rPr>
      </w:pPr>
      <w:bookmarkStart w:id="100" w:name="_Toc8928"/>
      <w:bookmarkStart w:id="101" w:name="_Toc179632819"/>
      <w:bookmarkStart w:id="102" w:name="_Toc246392157"/>
      <w:bookmarkStart w:id="103" w:name="_Toc144974867"/>
      <w:bookmarkStart w:id="104" w:name="_Toc152045799"/>
      <w:bookmarkStart w:id="105" w:name="_Toc152042588"/>
      <w:r>
        <w:rPr>
          <w:rFonts w:hint="eastAsia" w:ascii="宋体" w:hAnsi="宋体" w:eastAsia="宋体"/>
        </w:rPr>
        <w:t>附表三：劳动力计划表</w:t>
      </w:r>
      <w:bookmarkEnd w:id="100"/>
      <w:bookmarkEnd w:id="101"/>
      <w:bookmarkEnd w:id="102"/>
      <w:bookmarkEnd w:id="103"/>
      <w:bookmarkEnd w:id="104"/>
      <w:bookmarkEnd w:id="105"/>
    </w:p>
    <w:p>
      <w:pPr>
        <w:spacing w:line="440" w:lineRule="exact"/>
        <w:ind w:right="200"/>
        <w:jc w:val="right"/>
        <w:rPr>
          <w:rFonts w:ascii="宋体" w:hAnsi="宋体"/>
          <w:szCs w:val="21"/>
        </w:rPr>
      </w:pPr>
      <w:r>
        <w:rPr>
          <w:rFonts w:hint="eastAsia" w:ascii="宋体" w:hAnsi="宋体"/>
          <w:szCs w:val="21"/>
        </w:rPr>
        <w:t>单位：人</w:t>
      </w:r>
    </w:p>
    <w:tbl>
      <w:tblPr>
        <w:tblStyle w:val="1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23"/>
        <w:rPr>
          <w:rFonts w:ascii="宋体" w:hAnsi="宋体" w:eastAsia="宋体"/>
          <w:sz w:val="22"/>
          <w:szCs w:val="22"/>
        </w:rPr>
      </w:pPr>
      <w:bookmarkStart w:id="106" w:name="_Toc152042589"/>
      <w:bookmarkStart w:id="107" w:name="_Toc3750"/>
      <w:bookmarkStart w:id="108" w:name="_Toc246392158"/>
      <w:bookmarkStart w:id="109" w:name="_Toc152045800"/>
      <w:bookmarkStart w:id="110" w:name="_Toc144974868"/>
      <w:bookmarkStart w:id="111" w:name="_Toc179632820"/>
      <w:r>
        <w:rPr>
          <w:rFonts w:hint="eastAsia" w:ascii="宋体" w:hAnsi="宋体" w:eastAsia="宋体"/>
          <w:sz w:val="22"/>
          <w:szCs w:val="22"/>
        </w:rPr>
        <w:t>附表四：计划开、竣工日期和施工进度网络图</w:t>
      </w:r>
      <w:bookmarkEnd w:id="106"/>
      <w:bookmarkEnd w:id="107"/>
      <w:bookmarkEnd w:id="108"/>
      <w:bookmarkEnd w:id="109"/>
      <w:bookmarkEnd w:id="110"/>
      <w:bookmarkEnd w:id="111"/>
    </w:p>
    <w:p>
      <w:pPr>
        <w:spacing w:line="440" w:lineRule="exact"/>
        <w:rPr>
          <w:rFonts w:ascii="宋体" w:hAnsi="宋体"/>
          <w:sz w:val="22"/>
          <w:szCs w:val="22"/>
        </w:rPr>
      </w:pPr>
    </w:p>
    <w:p>
      <w:pPr>
        <w:spacing w:line="440" w:lineRule="exact"/>
        <w:ind w:firstLine="440" w:firstLineChars="200"/>
        <w:rPr>
          <w:rFonts w:ascii="宋体" w:hAnsi="宋体"/>
          <w:sz w:val="22"/>
          <w:szCs w:val="22"/>
        </w:rPr>
      </w:pPr>
      <w:r>
        <w:rPr>
          <w:rFonts w:hint="eastAsia" w:ascii="宋体" w:hAnsi="宋体"/>
          <w:sz w:val="22"/>
          <w:szCs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szCs w:val="22"/>
        </w:rPr>
      </w:pPr>
      <w:r>
        <w:rPr>
          <w:rFonts w:hint="eastAsia" w:ascii="宋体" w:hAnsi="宋体"/>
          <w:sz w:val="22"/>
          <w:szCs w:val="22"/>
        </w:rPr>
        <w:t>2. 施工进度表可采用网络图（或横道图）表示。</w:t>
      </w: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bookmarkStart w:id="112" w:name="_Toc152042590"/>
      <w:bookmarkStart w:id="113" w:name="_Toc144974869"/>
      <w:bookmarkStart w:id="114" w:name="_Toc152045801"/>
      <w:bookmarkStart w:id="115" w:name="_Toc179632821"/>
      <w:bookmarkStart w:id="116" w:name="_Toc246392159"/>
      <w:r>
        <w:rPr>
          <w:rFonts w:hint="eastAsia" w:ascii="宋体" w:hAnsi="宋体"/>
          <w:sz w:val="22"/>
          <w:szCs w:val="22"/>
        </w:rPr>
        <w:t>附表五：施工总平面图</w:t>
      </w:r>
      <w:bookmarkEnd w:id="112"/>
      <w:bookmarkEnd w:id="113"/>
      <w:bookmarkEnd w:id="114"/>
      <w:bookmarkEnd w:id="115"/>
      <w:bookmarkEnd w:id="116"/>
    </w:p>
    <w:p>
      <w:pPr>
        <w:spacing w:line="440" w:lineRule="exact"/>
        <w:rPr>
          <w:rFonts w:ascii="宋体" w:hAnsi="宋体"/>
          <w:sz w:val="22"/>
          <w:szCs w:val="22"/>
        </w:rPr>
      </w:pPr>
      <w:r>
        <w:rPr>
          <w:rFonts w:hint="eastAsia" w:ascii="宋体" w:hAnsi="宋体"/>
          <w:sz w:val="22"/>
          <w:szCs w:val="22"/>
        </w:rPr>
        <w:tab/>
      </w:r>
    </w:p>
    <w:p>
      <w:pPr>
        <w:spacing w:line="440" w:lineRule="exact"/>
        <w:ind w:firstLine="440" w:firstLineChars="200"/>
        <w:rPr>
          <w:rFonts w:ascii="宋体" w:hAnsi="宋体"/>
          <w:sz w:val="22"/>
          <w:szCs w:val="22"/>
        </w:rPr>
      </w:pPr>
      <w:r>
        <w:rPr>
          <w:rFonts w:hint="eastAsia" w:ascii="宋体" w:hAnsi="宋体"/>
          <w:sz w:val="22"/>
          <w:szCs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23"/>
        <w:rPr>
          <w:rFonts w:ascii="宋体" w:hAnsi="宋体" w:eastAsia="宋体"/>
          <w:szCs w:val="23"/>
        </w:rPr>
      </w:pPr>
      <w:bookmarkStart w:id="117" w:name="_Toc152042593"/>
      <w:bookmarkStart w:id="118" w:name="_Toc29304"/>
      <w:bookmarkStart w:id="119" w:name="_Toc179632824"/>
      <w:bookmarkStart w:id="120" w:name="_Toc152045804"/>
      <w:bookmarkStart w:id="121" w:name="_Toc144974872"/>
      <w:bookmarkStart w:id="122" w:name="_Toc246392161"/>
      <w:r>
        <w:rPr>
          <w:rFonts w:hint="eastAsia" w:ascii="宋体" w:hAnsi="宋体" w:eastAsia="宋体"/>
          <w:szCs w:val="23"/>
        </w:rPr>
        <w:t>（一）项目管理机构组成表</w:t>
      </w:r>
      <w:bookmarkEnd w:id="117"/>
      <w:bookmarkEnd w:id="118"/>
      <w:bookmarkEnd w:id="119"/>
      <w:bookmarkEnd w:id="120"/>
      <w:bookmarkEnd w:id="121"/>
      <w:bookmarkEnd w:id="122"/>
    </w:p>
    <w:tbl>
      <w:tblPr>
        <w:tblStyle w:val="1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23"/>
        <w:rPr>
          <w:rFonts w:ascii="宋体" w:hAnsi="宋体" w:eastAsia="宋体"/>
          <w:szCs w:val="23"/>
        </w:rPr>
      </w:pPr>
      <w:bookmarkStart w:id="123" w:name="_Toc152042594"/>
      <w:bookmarkStart w:id="124" w:name="_Toc179632825"/>
      <w:bookmarkStart w:id="125" w:name="_Toc144974873"/>
      <w:bookmarkStart w:id="126" w:name="_Toc246392162"/>
      <w:bookmarkStart w:id="127" w:name="_Toc152045805"/>
      <w:bookmarkStart w:id="128" w:name="_Toc25718"/>
      <w:r>
        <w:rPr>
          <w:rFonts w:hint="eastAsia" w:ascii="宋体" w:hAnsi="宋体" w:eastAsia="宋体"/>
          <w:szCs w:val="23"/>
        </w:rPr>
        <w:t>（二）主要人员简历表</w:t>
      </w:r>
      <w:bookmarkEnd w:id="123"/>
      <w:bookmarkEnd w:id="124"/>
      <w:bookmarkEnd w:id="125"/>
      <w:bookmarkEnd w:id="126"/>
      <w:bookmarkEnd w:id="127"/>
      <w:bookmarkEnd w:id="128"/>
    </w:p>
    <w:p>
      <w:pPr>
        <w:spacing w:line="400" w:lineRule="exact"/>
        <w:ind w:firstLine="480" w:firstLineChars="200"/>
        <w:rPr>
          <w:rFonts w:ascii="宋体" w:hAnsi="宋体"/>
        </w:rPr>
      </w:pPr>
    </w:p>
    <w:p>
      <w:pPr>
        <w:spacing w:line="400" w:lineRule="exact"/>
        <w:ind w:firstLine="48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17"/>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姓  名</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年 龄</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学历</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职  称</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职 务</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拟在本合同任职</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毕业学校</w:t>
            </w:r>
          </w:p>
        </w:tc>
        <w:tc>
          <w:tcPr>
            <w:tcW w:w="6990" w:type="dxa"/>
            <w:gridSpan w:val="8"/>
          </w:tcPr>
          <w:p>
            <w:pPr>
              <w:spacing w:line="440" w:lineRule="exact"/>
              <w:rPr>
                <w:rFonts w:ascii="宋体" w:hAnsi="宋体"/>
                <w:sz w:val="22"/>
                <w:szCs w:val="22"/>
              </w:rPr>
            </w:pPr>
            <w:r>
              <w:rPr>
                <w:rFonts w:hint="eastAsia" w:ascii="宋体" w:hAnsi="宋体"/>
                <w:sz w:val="22"/>
                <w:szCs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szCs w:val="22"/>
              </w:rPr>
            </w:pPr>
            <w:r>
              <w:rPr>
                <w:rFonts w:hint="eastAsia" w:ascii="宋体" w:hAnsi="宋体"/>
                <w:sz w:val="22"/>
                <w:szCs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szCs w:val="22"/>
              </w:rPr>
            </w:pPr>
            <w:r>
              <w:rPr>
                <w:rFonts w:hint="eastAsia" w:ascii="宋体" w:hAnsi="宋体"/>
                <w:sz w:val="22"/>
                <w:szCs w:val="22"/>
              </w:rPr>
              <w:t>时  间</w:t>
            </w:r>
          </w:p>
        </w:tc>
        <w:tc>
          <w:tcPr>
            <w:tcW w:w="3074" w:type="dxa"/>
            <w:gridSpan w:val="4"/>
            <w:vAlign w:val="center"/>
          </w:tcPr>
          <w:p>
            <w:pPr>
              <w:spacing w:line="440" w:lineRule="exact"/>
              <w:rPr>
                <w:rFonts w:ascii="宋体" w:hAnsi="宋体"/>
                <w:sz w:val="22"/>
                <w:szCs w:val="22"/>
              </w:rPr>
            </w:pPr>
            <w:r>
              <w:rPr>
                <w:rFonts w:hint="eastAsia" w:ascii="宋体" w:hAnsi="宋体"/>
                <w:sz w:val="22"/>
                <w:szCs w:val="22"/>
              </w:rPr>
              <w:t>参加过的类似项目</w:t>
            </w:r>
          </w:p>
        </w:tc>
        <w:tc>
          <w:tcPr>
            <w:tcW w:w="1261" w:type="dxa"/>
            <w:vAlign w:val="center"/>
          </w:tcPr>
          <w:p>
            <w:pPr>
              <w:spacing w:line="440" w:lineRule="exact"/>
              <w:rPr>
                <w:rFonts w:ascii="宋体" w:hAnsi="宋体"/>
                <w:sz w:val="22"/>
                <w:szCs w:val="22"/>
              </w:rPr>
            </w:pPr>
            <w:r>
              <w:rPr>
                <w:rFonts w:hint="eastAsia" w:ascii="宋体" w:hAnsi="宋体"/>
                <w:sz w:val="22"/>
                <w:szCs w:val="22"/>
              </w:rPr>
              <w:t>担任职务</w:t>
            </w:r>
          </w:p>
        </w:tc>
        <w:tc>
          <w:tcPr>
            <w:tcW w:w="2296" w:type="dxa"/>
            <w:gridSpan w:val="2"/>
            <w:vAlign w:val="center"/>
          </w:tcPr>
          <w:p>
            <w:pPr>
              <w:spacing w:line="440" w:lineRule="exact"/>
              <w:rPr>
                <w:rFonts w:ascii="宋体" w:hAnsi="宋体"/>
                <w:sz w:val="22"/>
                <w:szCs w:val="22"/>
              </w:rPr>
            </w:pPr>
            <w:r>
              <w:rPr>
                <w:rFonts w:hint="eastAsia" w:ascii="宋体" w:hAnsi="宋体"/>
                <w:sz w:val="22"/>
                <w:szCs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29" w:name="_Toc245036711"/>
      <w:bookmarkStart w:id="130" w:name="_Toc7025"/>
      <w:r>
        <w:rPr>
          <w:rFonts w:hint="eastAsia" w:ascii="Calibri" w:hAnsi="Calibri" w:eastAsia="黑体" w:cs="Calibri"/>
          <w:color w:val="000000"/>
          <w:sz w:val="32"/>
          <w:szCs w:val="32"/>
        </w:rPr>
        <w:t>七、资格审查资料</w:t>
      </w:r>
      <w:bookmarkEnd w:id="129"/>
      <w:bookmarkEnd w:id="130"/>
    </w:p>
    <w:p>
      <w:pPr>
        <w:topLinePunct/>
        <w:spacing w:line="440" w:lineRule="exact"/>
        <w:jc w:val="center"/>
        <w:rPr>
          <w:rFonts w:ascii="宋体" w:hAnsi="宋体"/>
          <w:sz w:val="27"/>
          <w:szCs w:val="27"/>
        </w:rPr>
      </w:pPr>
    </w:p>
    <w:p>
      <w:pPr>
        <w:pStyle w:val="23"/>
        <w:rPr>
          <w:rFonts w:ascii="宋体" w:hAnsi="宋体" w:eastAsia="宋体"/>
          <w:szCs w:val="23"/>
        </w:rPr>
      </w:pPr>
      <w:bookmarkStart w:id="131" w:name="_Toc144974876"/>
      <w:bookmarkStart w:id="132" w:name="_Toc152042597"/>
      <w:bookmarkStart w:id="133" w:name="_Toc152045808"/>
      <w:bookmarkStart w:id="134" w:name="_Toc17487"/>
      <w:bookmarkStart w:id="135" w:name="_Toc245036712"/>
      <w:r>
        <w:rPr>
          <w:rFonts w:hint="eastAsia" w:ascii="宋体" w:hAnsi="宋体" w:eastAsia="宋体"/>
          <w:szCs w:val="23"/>
        </w:rPr>
        <w:t>（一）投标人基本情况表</w:t>
      </w:r>
      <w:bookmarkEnd w:id="131"/>
      <w:bookmarkEnd w:id="132"/>
      <w:bookmarkEnd w:id="133"/>
      <w:bookmarkEnd w:id="134"/>
      <w:bookmarkEnd w:id="135"/>
    </w:p>
    <w:p>
      <w:pPr>
        <w:topLinePunct/>
        <w:spacing w:line="440" w:lineRule="exact"/>
        <w:jc w:val="center"/>
        <w:rPr>
          <w:rFonts w:ascii="宋体" w:hAnsi="宋体"/>
          <w:sz w:val="23"/>
          <w:szCs w:val="23"/>
        </w:rPr>
      </w:pPr>
    </w:p>
    <w:tbl>
      <w:tblPr>
        <w:tblStyle w:val="17"/>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szCs w:val="22"/>
              </w:rPr>
            </w:pPr>
            <w:r>
              <w:rPr>
                <w:rFonts w:hint="eastAsia" w:ascii="宋体" w:hAnsi="宋体"/>
                <w:sz w:val="22"/>
                <w:szCs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11"/>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szCs w:val="22"/>
              </w:rPr>
            </w:pPr>
            <w:r>
              <w:rPr>
                <w:rFonts w:hint="eastAsia" w:ascii="宋体" w:hAnsi="宋体"/>
                <w:sz w:val="22"/>
                <w:szCs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bl>
    <w:p>
      <w:pPr>
        <w:spacing w:line="400" w:lineRule="exact"/>
        <w:ind w:firstLine="48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23"/>
        <w:rPr>
          <w:rFonts w:ascii="宋体" w:hAnsi="宋体" w:eastAsia="宋体"/>
          <w:szCs w:val="23"/>
        </w:rPr>
      </w:pPr>
      <w:bookmarkStart w:id="136" w:name="_Toc144974877"/>
      <w:bookmarkStart w:id="137" w:name="_Toc152042598"/>
      <w:bookmarkStart w:id="138" w:name="_Toc152045809"/>
      <w:bookmarkStart w:id="139" w:name="_Toc16950"/>
      <w:bookmarkStart w:id="140" w:name="_Toc245036713"/>
      <w:r>
        <w:rPr>
          <w:rFonts w:hint="eastAsia" w:ascii="宋体" w:hAnsi="宋体" w:eastAsia="宋体"/>
        </w:rPr>
        <w:br w:type="page"/>
      </w:r>
      <w:r>
        <w:rPr>
          <w:rFonts w:hint="eastAsia" w:ascii="宋体" w:hAnsi="宋体" w:eastAsia="宋体"/>
        </w:rPr>
        <w:t>（二）近年财务状况表</w:t>
      </w:r>
      <w:bookmarkEnd w:id="136"/>
      <w:bookmarkEnd w:id="137"/>
      <w:bookmarkEnd w:id="138"/>
      <w:bookmarkEnd w:id="139"/>
      <w:bookmarkEnd w:id="140"/>
    </w:p>
    <w:p>
      <w:pPr>
        <w:spacing w:line="440" w:lineRule="exact"/>
        <w:rPr>
          <w:rFonts w:ascii="宋体" w:hAnsi="宋体"/>
          <w:sz w:val="23"/>
          <w:szCs w:val="23"/>
        </w:rPr>
      </w:pPr>
    </w:p>
    <w:p>
      <w:pPr>
        <w:pStyle w:val="23"/>
        <w:rPr>
          <w:rFonts w:ascii="宋体" w:hAnsi="宋体" w:eastAsia="宋体"/>
          <w:szCs w:val="23"/>
        </w:rPr>
      </w:pPr>
      <w:bookmarkStart w:id="141" w:name="_Toc144974878"/>
      <w:bookmarkStart w:id="142" w:name="_Toc152042599"/>
      <w:bookmarkStart w:id="143" w:name="_Toc31021"/>
      <w:bookmarkStart w:id="144" w:name="_Toc152045810"/>
      <w:bookmarkStart w:id="145" w:name="_Toc245036714"/>
      <w:r>
        <w:rPr>
          <w:rFonts w:hint="eastAsia" w:ascii="宋体" w:hAnsi="宋体" w:eastAsia="宋体"/>
          <w:szCs w:val="23"/>
        </w:rPr>
        <w:t>（三）近年完成的类似项目情况表</w:t>
      </w:r>
      <w:bookmarkEnd w:id="141"/>
      <w:bookmarkEnd w:id="142"/>
      <w:bookmarkEnd w:id="143"/>
      <w:bookmarkEnd w:id="144"/>
      <w:bookmarkEnd w:id="145"/>
    </w:p>
    <w:p>
      <w:pPr>
        <w:spacing w:line="440" w:lineRule="exact"/>
        <w:jc w:val="center"/>
        <w:rPr>
          <w:rFonts w:ascii="宋体" w:hAnsi="宋体"/>
          <w:sz w:val="23"/>
          <w:szCs w:val="23"/>
        </w:rPr>
      </w:pPr>
    </w:p>
    <w:tbl>
      <w:tblPr>
        <w:tblStyle w:val="17"/>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46" w:name="_Toc13233"/>
            <w:r>
              <w:rPr>
                <w:rFonts w:hint="eastAsia" w:ascii="宋体" w:hAnsi="宋体"/>
                <w:szCs w:val="21"/>
              </w:rPr>
              <w:t>项目所在地</w:t>
            </w:r>
            <w:bookmarkEnd w:id="146"/>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47" w:name="_Toc20896"/>
            <w:r>
              <w:rPr>
                <w:rFonts w:hint="eastAsia" w:ascii="宋体" w:hAnsi="宋体"/>
                <w:szCs w:val="21"/>
              </w:rPr>
              <w:t>发包人地址</w:t>
            </w:r>
            <w:bookmarkEnd w:id="147"/>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48" w:name="_Toc3155"/>
            <w:r>
              <w:rPr>
                <w:rFonts w:hint="eastAsia" w:ascii="宋体" w:hAnsi="宋体"/>
                <w:szCs w:val="21"/>
              </w:rPr>
              <w:t>承担的工作</w:t>
            </w:r>
            <w:bookmarkEnd w:id="148"/>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23"/>
        <w:rPr>
          <w:rFonts w:ascii="宋体" w:hAnsi="宋体" w:eastAsia="宋体"/>
          <w:szCs w:val="23"/>
        </w:rPr>
      </w:pPr>
      <w:bookmarkStart w:id="149" w:name="_Toc26600"/>
      <w:bookmarkStart w:id="150" w:name="_Toc144974879"/>
      <w:bookmarkStart w:id="151" w:name="_Toc152042600"/>
      <w:bookmarkStart w:id="152" w:name="_Toc245036715"/>
      <w:bookmarkStart w:id="153" w:name="_Toc152045811"/>
      <w:r>
        <w:rPr>
          <w:rFonts w:hint="eastAsia" w:ascii="宋体" w:hAnsi="宋体" w:eastAsia="宋体"/>
          <w:szCs w:val="23"/>
        </w:rPr>
        <w:br w:type="page"/>
      </w:r>
      <w:r>
        <w:rPr>
          <w:rFonts w:hint="eastAsia" w:ascii="宋体" w:hAnsi="宋体" w:eastAsia="宋体"/>
          <w:szCs w:val="23"/>
        </w:rPr>
        <w:t>（四）正在施工的和新承接的项目情况表</w:t>
      </w:r>
      <w:bookmarkEnd w:id="149"/>
      <w:bookmarkEnd w:id="150"/>
      <w:bookmarkEnd w:id="151"/>
      <w:bookmarkEnd w:id="152"/>
      <w:bookmarkEnd w:id="153"/>
    </w:p>
    <w:p>
      <w:pPr>
        <w:keepNext/>
        <w:keepLines/>
        <w:topLinePunct/>
        <w:spacing w:before="240" w:beforeLines="100" w:line="280" w:lineRule="exact"/>
        <w:outlineLvl w:val="2"/>
        <w:rPr>
          <w:rFonts w:ascii="宋体" w:hAnsi="宋体"/>
          <w:b/>
          <w:bCs/>
          <w:szCs w:val="21"/>
        </w:rPr>
      </w:pPr>
    </w:p>
    <w:tbl>
      <w:tblPr>
        <w:tblStyle w:val="1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54" w:name="_Toc5773"/>
            <w:bookmarkStart w:id="155" w:name="_Toc144974880"/>
            <w:bookmarkStart w:id="156" w:name="_Toc152042601"/>
            <w:bookmarkStart w:id="157" w:name="_Toc152045812"/>
            <w:bookmarkStart w:id="158" w:name="_Toc245036716"/>
            <w:r>
              <w:rPr>
                <w:rFonts w:hint="eastAsia" w:ascii="宋体" w:hAnsi="宋体"/>
                <w:szCs w:val="21"/>
              </w:rPr>
              <w:t>项目名称</w:t>
            </w:r>
            <w:bookmarkEnd w:id="154"/>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155"/>
      <w:bookmarkEnd w:id="156"/>
      <w:bookmarkEnd w:id="157"/>
      <w:bookmarkEnd w:id="158"/>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59" w:name="_Toc152045813"/>
      <w:bookmarkStart w:id="160" w:name="_Toc152042602"/>
      <w:bookmarkStart w:id="161" w:name="_Toc144974881"/>
      <w:bookmarkStart w:id="162" w:name="_Toc675"/>
      <w:bookmarkStart w:id="163" w:name="_Toc245036717"/>
      <w:r>
        <w:rPr>
          <w:rFonts w:hint="eastAsia" w:ascii="宋体" w:hAnsi="宋体"/>
        </w:rPr>
        <w:br w:type="page"/>
      </w:r>
      <w:r>
        <w:rPr>
          <w:rFonts w:hint="eastAsia" w:ascii="Calibri" w:hAnsi="Calibri" w:eastAsia="黑体" w:cs="Calibri"/>
          <w:color w:val="000000"/>
          <w:sz w:val="32"/>
          <w:szCs w:val="32"/>
        </w:rPr>
        <w:t>八、</w:t>
      </w:r>
      <w:bookmarkStart w:id="164" w:name="_Toc21221"/>
      <w:bookmarkEnd w:id="159"/>
      <w:bookmarkEnd w:id="160"/>
      <w:bookmarkEnd w:id="161"/>
      <w:bookmarkEnd w:id="162"/>
      <w:bookmarkEnd w:id="163"/>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64"/>
    <w:p>
      <w:pPr>
        <w:overflowPunct w:val="0"/>
        <w:autoSpaceDE w:val="0"/>
        <w:autoSpaceDN w:val="0"/>
        <w:spacing w:line="440" w:lineRule="exact"/>
        <w:ind w:left="839" w:hanging="839"/>
        <w:jc w:val="center"/>
        <w:rPr>
          <w:rFonts w:ascii="宋体" w:hAnsi="宋体" w:cs="宋体"/>
          <w:b/>
          <w:sz w:val="32"/>
          <w:szCs w:val="32"/>
        </w:rPr>
      </w:pPr>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w:t>
    </w:r>
    <w:r>
      <w:t xml:space="preserve"> 41 -</w:t>
    </w:r>
    <w:r>
      <w:fldChar w:fldCharType="end"/>
    </w:r>
  </w:p>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40</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杭州萧山国际机场员工集体宿舍绿化环境改造工程施工招标文件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5D6F6E64"/>
    <w:multiLevelType w:val="singleLevel"/>
    <w:tmpl w:val="5D6F6E64"/>
    <w:lvl w:ilvl="0" w:tentative="0">
      <w:start w:val="3"/>
      <w:numFmt w:val="chineseCounting"/>
      <w:suff w:val="nothing"/>
      <w:lvlText w:val="%1、"/>
      <w:lvlJc w:val="left"/>
    </w:lvl>
  </w:abstractNum>
  <w:abstractNum w:abstractNumId="4">
    <w:nsid w:val="5D773BFF"/>
    <w:multiLevelType w:val="singleLevel"/>
    <w:tmpl w:val="5D773BFF"/>
    <w:lvl w:ilvl="0" w:tentative="0">
      <w:start w:val="1"/>
      <w:numFmt w:val="chineseCounting"/>
      <w:suff w:val="nothing"/>
      <w:lvlText w:val="%1、"/>
      <w:lvlJc w:val="left"/>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FC016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黑体"/>
      <w:kern w:val="2"/>
      <w:sz w:val="24"/>
      <w:szCs w:val="24"/>
      <w:lang w:val="en-US" w:eastAsia="zh-CN" w:bidi="ar-SA"/>
    </w:rPr>
  </w:style>
  <w:style w:type="paragraph" w:styleId="2">
    <w:name w:val="heading 1"/>
    <w:basedOn w:val="1"/>
    <w:next w:val="1"/>
    <w:qFormat/>
    <w:uiPriority w:val="0"/>
    <w:pPr>
      <w:keepNext/>
      <w:keepLines/>
      <w:spacing w:before="340" w:after="330" w:line="700" w:lineRule="exact"/>
      <w:jc w:val="center"/>
      <w:outlineLvl w:val="0"/>
    </w:pPr>
    <w:rPr>
      <w:rFonts w:ascii="Calibri" w:hAnsi="Calibri" w:eastAsia="方正小标宋简体" w:cs="Times New Roman"/>
      <w:b/>
      <w:kern w:val="44"/>
      <w:sz w:val="44"/>
    </w:rPr>
  </w:style>
  <w:style w:type="paragraph" w:styleId="3">
    <w:name w:val="heading 2"/>
    <w:basedOn w:val="1"/>
    <w:next w:val="1"/>
    <w:unhideWhenUsed/>
    <w:qFormat/>
    <w:uiPriority w:val="0"/>
    <w:pPr>
      <w:keepNext/>
      <w:keepLines/>
      <w:spacing w:before="260" w:after="260" w:line="360" w:lineRule="auto"/>
      <w:jc w:val="center"/>
      <w:outlineLvl w:val="1"/>
    </w:pPr>
    <w:rPr>
      <w:rFonts w:ascii="Arial" w:hAnsi="Arial" w:cs="Times New Roman"/>
      <w:b/>
      <w:bCs/>
      <w:kern w:val="0"/>
      <w:sz w:val="28"/>
      <w:szCs w:val="32"/>
    </w:rPr>
  </w:style>
  <w:style w:type="paragraph" w:styleId="4">
    <w:name w:val="heading 3"/>
    <w:basedOn w:val="1"/>
    <w:next w:val="1"/>
    <w:unhideWhenUsed/>
    <w:qFormat/>
    <w:uiPriority w:val="0"/>
    <w:pPr>
      <w:keepNext/>
      <w:numPr>
        <w:ilvl w:val="0"/>
        <w:numId w:val="1"/>
      </w:numPr>
      <w:spacing w:line="216" w:lineRule="auto"/>
      <w:outlineLvl w:val="2"/>
    </w:pPr>
    <w:rPr>
      <w:rFonts w:ascii="宋体" w:hAnsi="Times New Roman" w:cs="Times New Roman"/>
      <w:b/>
      <w:kern w:val="0"/>
      <w:sz w:val="28"/>
      <w:szCs w:val="20"/>
    </w:rPr>
  </w:style>
  <w:style w:type="character" w:default="1" w:styleId="14">
    <w:name w:val="Default Paragraph Font"/>
    <w:semiHidden/>
    <w:qFormat/>
    <w:uiPriority w:val="0"/>
  </w:style>
  <w:style w:type="table" w:default="1" w:styleId="17">
    <w:name w:val="Normal Table"/>
    <w:unhideWhenUsed/>
    <w:qFormat/>
    <w:uiPriority w:val="0"/>
    <w:tblPr>
      <w:tblLayout w:type="fixed"/>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3"/>
    <w:basedOn w:val="1"/>
    <w:qFormat/>
    <w:uiPriority w:val="0"/>
    <w:pPr>
      <w:adjustRightInd w:val="0"/>
      <w:spacing w:after="120" w:line="360" w:lineRule="atLeast"/>
      <w:textAlignment w:val="baseline"/>
    </w:pPr>
    <w:rPr>
      <w:rFonts w:ascii="Times New Roman" w:hAnsi="Times New Roman" w:cs="Times New Roman"/>
      <w:kern w:val="0"/>
      <w:sz w:val="16"/>
      <w:szCs w:val="16"/>
    </w:rPr>
  </w:style>
  <w:style w:type="paragraph" w:styleId="7">
    <w:name w:val="Plain Text"/>
    <w:basedOn w:val="1"/>
    <w:qFormat/>
    <w:uiPriority w:val="0"/>
    <w:rPr>
      <w:rFonts w:ascii="宋体" w:hAnsi="Courier New" w:cs="Times New Roman"/>
      <w:kern w:val="0"/>
      <w:sz w:val="20"/>
      <w:szCs w:val="21"/>
    </w:rPr>
  </w:style>
  <w:style w:type="paragraph" w:styleId="8">
    <w:name w:val="Body Text Indent 2"/>
    <w:basedOn w:val="1"/>
    <w:qFormat/>
    <w:uiPriority w:val="0"/>
    <w:pPr>
      <w:spacing w:after="120" w:line="480" w:lineRule="auto"/>
      <w:ind w:left="420" w:leftChars="200"/>
    </w:pPr>
    <w:rPr>
      <w:rFonts w:ascii="Times New Roman" w:hAnsi="Times New Roman" w:cs="Times New Roman"/>
      <w:kern w:val="0"/>
      <w:sz w:val="20"/>
    </w:rPr>
  </w:style>
  <w:style w:type="paragraph" w:styleId="9">
    <w:name w:val="footer"/>
    <w:basedOn w:val="1"/>
    <w:qFormat/>
    <w:uiPriority w:val="0"/>
    <w:pPr>
      <w:tabs>
        <w:tab w:val="center" w:pos="4153"/>
        <w:tab w:val="right" w:pos="8306"/>
      </w:tabs>
      <w:snapToGrid w:val="0"/>
      <w:jc w:val="left"/>
    </w:pPr>
    <w:rPr>
      <w:rFonts w:ascii="Times New Roman" w:hAnsi="Times New Roman" w:cs="Times New Roman"/>
      <w:kern w:val="0"/>
      <w:sz w:val="18"/>
      <w:szCs w:val="20"/>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kern w:val="0"/>
      <w:sz w:val="18"/>
      <w:szCs w:val="20"/>
    </w:rPr>
  </w:style>
  <w:style w:type="paragraph" w:styleId="11">
    <w:name w:val="toc 1"/>
    <w:basedOn w:val="1"/>
    <w:next w:val="1"/>
    <w:qFormat/>
    <w:uiPriority w:val="0"/>
    <w:pPr>
      <w:adjustRightInd w:val="0"/>
      <w:snapToGrid w:val="0"/>
    </w:pPr>
    <w:rPr>
      <w:rFonts w:ascii="Times New Roman" w:hAnsi="Times New Roman" w:eastAsia="仿宋" w:cs="Times New Roman"/>
      <w:sz w:val="21"/>
    </w:rPr>
  </w:style>
  <w:style w:type="paragraph" w:styleId="12">
    <w:name w:val="index 1"/>
    <w:basedOn w:val="1"/>
    <w:next w:val="1"/>
    <w:qFormat/>
    <w:uiPriority w:val="0"/>
    <w:pPr>
      <w:adjustRightInd w:val="0"/>
      <w:snapToGrid w:val="0"/>
      <w:jc w:val="center"/>
    </w:pPr>
    <w:rPr>
      <w:rFonts w:ascii="Times New Roman" w:hAnsi="Times New Roman" w:cs="Times New Roman"/>
      <w:sz w:val="21"/>
      <w:szCs w:val="20"/>
    </w:rPr>
  </w:style>
  <w:style w:type="paragraph" w:styleId="13">
    <w:name w:val="Title"/>
    <w:basedOn w:val="1"/>
    <w:next w:val="1"/>
    <w:qFormat/>
    <w:uiPriority w:val="0"/>
    <w:pPr>
      <w:spacing w:before="60" w:after="60"/>
      <w:jc w:val="center"/>
      <w:outlineLvl w:val="0"/>
    </w:pPr>
    <w:rPr>
      <w:rFonts w:eastAsia="黑体" w:cs="Times New Roman"/>
      <w:b/>
      <w:bCs/>
      <w:kern w:val="0"/>
      <w:sz w:val="32"/>
      <w:szCs w:val="32"/>
    </w:rPr>
  </w:style>
  <w:style w:type="character" w:styleId="15">
    <w:name w:val="page number"/>
    <w:basedOn w:val="14"/>
    <w:qFormat/>
    <w:uiPriority w:val="0"/>
    <w:rPr>
      <w:rFonts w:asciiTheme="minorHAnsi" w:hAnsiTheme="minorHAnsi" w:eastAsiaTheme="minorEastAsia" w:cstheme="minorBidi"/>
      <w:lang w:val="en-US" w:eastAsia="zh-CN" w:bidi="ar-SA"/>
    </w:rPr>
  </w:style>
  <w:style w:type="character" w:styleId="16">
    <w:name w:val="Hyperlink"/>
    <w:qFormat/>
    <w:uiPriority w:val="0"/>
    <w:rPr>
      <w:rFonts w:asciiTheme="minorHAnsi" w:hAnsiTheme="minorHAnsi" w:eastAsiaTheme="minorEastAsia" w:cstheme="minorBidi"/>
      <w:color w:val="0000FF"/>
      <w:u w:val="single"/>
      <w:lang w:val="en-US" w:eastAsia="zh-CN" w:bidi="ar-SA"/>
    </w:rPr>
  </w:style>
  <w:style w:type="paragraph" w:customStyle="1" w:styleId="18">
    <w:name w:val="列出段落2"/>
    <w:basedOn w:val="1"/>
    <w:qFormat/>
    <w:uiPriority w:val="34"/>
    <w:pPr>
      <w:ind w:firstLine="420" w:firstLineChars="200"/>
    </w:pPr>
  </w:style>
  <w:style w:type="character" w:customStyle="1" w:styleId="19">
    <w:name w:val="zbggmain style9"/>
    <w:basedOn w:val="14"/>
    <w:qFormat/>
    <w:uiPriority w:val="0"/>
    <w:rPr>
      <w:rFonts w:asciiTheme="minorHAnsi" w:hAnsiTheme="minorHAnsi" w:eastAsiaTheme="minorEastAsia" w:cstheme="minorBidi"/>
      <w:lang w:val="en-US" w:eastAsia="zh-CN" w:bidi="ar-SA"/>
    </w:rPr>
  </w:style>
  <w:style w:type="paragraph" w:customStyle="1" w:styleId="20">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21">
    <w:name w:val="样式 正文文本"/>
    <w:basedOn w:val="1"/>
    <w:qFormat/>
    <w:uiPriority w:val="0"/>
    <w:pPr>
      <w:adjustRightInd w:val="0"/>
      <w:snapToGrid w:val="0"/>
      <w:spacing w:line="400" w:lineRule="exact"/>
      <w:ind w:firstLine="200" w:firstLineChars="200"/>
    </w:pPr>
    <w:rPr>
      <w:rFonts w:ascii="Arial" w:hAnsi="Arial" w:cs="Times New Roman"/>
      <w:color w:val="000000"/>
      <w:sz w:val="21"/>
      <w:szCs w:val="20"/>
    </w:rPr>
  </w:style>
  <w:style w:type="paragraph" w:customStyle="1" w:styleId="22">
    <w:name w:val="样式 样式1 + 首行缩进:  2 字符"/>
    <w:basedOn w:val="1"/>
    <w:qFormat/>
    <w:uiPriority w:val="0"/>
    <w:pPr>
      <w:spacing w:line="360" w:lineRule="exact"/>
      <w:ind w:firstLine="420" w:firstLineChars="200"/>
    </w:pPr>
    <w:rPr>
      <w:rFonts w:ascii="Arial" w:hAnsi="Arial" w:cs="Times New Roman"/>
      <w:sz w:val="21"/>
      <w:szCs w:val="20"/>
    </w:rPr>
  </w:style>
  <w:style w:type="paragraph" w:customStyle="1" w:styleId="23">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杭州机场</Company>
  <Pages>56</Pages>
  <Words>6109</Words>
  <Characters>34826</Characters>
  <Lines>290</Lines>
  <Paragraphs>81</Paragraphs>
  <TotalTime>0</TotalTime>
  <ScaleCrop>false</ScaleCrop>
  <LinksUpToDate>false</LinksUpToDate>
  <CharactersWithSpaces>40854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袁柳祥</dc:creator>
  <cp:lastModifiedBy>zbzx-jsx</cp:lastModifiedBy>
  <dcterms:modified xsi:type="dcterms:W3CDTF">2019-09-17T08:58:37Z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