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EPS和直流屏系统维保</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33"/>
        <w:spacing w:line="480" w:lineRule="auto"/>
        <w:jc w:val="center"/>
        <w:rPr>
          <w:rFonts w:ascii="Calibri" w:hAnsi="Calibri" w:eastAsia="隶书" w:cs="Calibri"/>
          <w:sz w:val="32"/>
        </w:rPr>
      </w:pPr>
    </w:p>
    <w:p>
      <w:pPr>
        <w:pStyle w:val="33"/>
        <w:spacing w:line="480" w:lineRule="auto"/>
        <w:jc w:val="center"/>
        <w:rPr>
          <w:rFonts w:ascii="Calibri" w:hAnsi="Calibri" w:eastAsia="隶书" w:cs="Calibri"/>
          <w:sz w:val="32"/>
        </w:rPr>
      </w:pPr>
    </w:p>
    <w:p>
      <w:pPr>
        <w:pStyle w:val="33"/>
        <w:spacing w:line="480" w:lineRule="auto"/>
        <w:jc w:val="center"/>
        <w:rPr>
          <w:rFonts w:ascii="Calibri" w:hAnsi="Calibri" w:eastAsia="隶书" w:cs="Calibri"/>
          <w:sz w:val="32"/>
        </w:rPr>
      </w:pPr>
    </w:p>
    <w:p>
      <w:pPr>
        <w:pStyle w:val="33"/>
        <w:spacing w:line="480" w:lineRule="auto"/>
        <w:jc w:val="center"/>
        <w:rPr>
          <w:rFonts w:ascii="Calibri" w:hAnsi="Calibri" w:eastAsia="隶书" w:cs="Calibri"/>
          <w:sz w:val="32"/>
        </w:rPr>
      </w:pPr>
    </w:p>
    <w:p>
      <w:pPr>
        <w:pStyle w:val="33"/>
        <w:spacing w:line="480" w:lineRule="auto"/>
        <w:jc w:val="center"/>
        <w:rPr>
          <w:rFonts w:ascii="Calibri" w:hAnsi="Calibri" w:eastAsia="隶书" w:cs="Calibri"/>
          <w:sz w:val="32"/>
        </w:rPr>
      </w:pPr>
    </w:p>
    <w:p>
      <w:pPr>
        <w:pStyle w:val="33"/>
        <w:spacing w:line="480" w:lineRule="auto"/>
        <w:rPr>
          <w:rFonts w:ascii="Calibri" w:hAnsi="Calibri" w:eastAsia="隶书" w:cs="Calibri"/>
          <w:sz w:val="32"/>
        </w:rPr>
      </w:pPr>
    </w:p>
    <w:p>
      <w:pPr>
        <w:pStyle w:val="33"/>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3"/>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二零一九年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九</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42"/>
        <w:tabs>
          <w:tab w:val="right" w:leader="dot" w:pos="8659"/>
        </w:tabs>
        <w:rPr>
          <w:rFonts w:ascii="Calibri" w:cs="Calibri"/>
          <w:b/>
          <w:color w:val="000000"/>
          <w:sz w:val="44"/>
        </w:rPr>
      </w:pPr>
      <w:bookmarkStart w:id="3" w:name="_Toc386363314"/>
      <w:bookmarkStart w:id="4" w:name="_Toc386359390"/>
      <w:bookmarkStart w:id="5" w:name="_Toc349007685"/>
      <w:bookmarkStart w:id="6" w:name="_Toc349011855"/>
      <w:r>
        <w:rPr>
          <w:rFonts w:hint="eastAsia" w:ascii="Calibri" w:cs="Calibri"/>
          <w:b/>
          <w:color w:val="000000"/>
          <w:sz w:val="44"/>
        </w:rPr>
        <w:t xml:space="preserve"> </w:t>
      </w:r>
    </w:p>
    <w:p>
      <w:pPr>
        <w:pStyle w:val="42"/>
        <w:tabs>
          <w:tab w:val="right" w:leader="dot" w:pos="8659"/>
        </w:tabs>
        <w:rPr>
          <w:rFonts w:ascii="Calibri" w:hAnsi="Calibri" w:cs="Calibri"/>
          <w:b/>
          <w:color w:val="000000"/>
          <w:sz w:val="44"/>
        </w:rPr>
      </w:pPr>
      <w:bookmarkStart w:id="7" w:name="_Toc444811406"/>
      <w:bookmarkStart w:id="8" w:name="_Toc400369182"/>
      <w:bookmarkStart w:id="9" w:name="_Toc448002981"/>
      <w:bookmarkStart w:id="10" w:name="_Toc444174976"/>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42"/>
        <w:tabs>
          <w:tab w:val="right" w:leader="dot" w:pos="8659"/>
        </w:tabs>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42"/>
        <w:tabs>
          <w:tab w:val="right" w:leader="dot" w:pos="8659"/>
        </w:tabs>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6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42"/>
        <w:tabs>
          <w:tab w:val="right" w:leader="dot" w:pos="8659"/>
        </w:tabs>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6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42"/>
        <w:tabs>
          <w:tab w:val="right" w:leader="dot" w:pos="8659"/>
        </w:tabs>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6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42"/>
        <w:tabs>
          <w:tab w:val="right" w:leader="dot" w:pos="8659"/>
        </w:tabs>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6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42"/>
        <w:tabs>
          <w:tab w:val="right" w:leader="dot" w:pos="8659"/>
        </w:tabs>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6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42"/>
        <w:tabs>
          <w:tab w:val="right" w:leader="dot" w:pos="8659"/>
        </w:tabs>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61"/>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14628"/>
      <w:bookmarkStart w:id="14" w:name="_Toc24932"/>
      <w:bookmarkStart w:id="15" w:name="_Toc8110"/>
      <w:bookmarkStart w:id="16" w:name="_Toc6581"/>
      <w:bookmarkStart w:id="17" w:name="_Toc7641"/>
      <w:bookmarkStart w:id="18" w:name="_Toc6832"/>
      <w:bookmarkStart w:id="19" w:name="_Toc22293"/>
      <w:bookmarkStart w:id="20" w:name="_Toc1864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26"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EPS和直流屏系统维保</w:t>
      </w:r>
      <w:r>
        <w:rPr>
          <w:rFonts w:ascii="宋体" w:hAnsi="宋体" w:cs="Arial"/>
          <w:kern w:val="0"/>
          <w:sz w:val="22"/>
        </w:rPr>
        <w:t>项目</w:t>
      </w:r>
      <w:r>
        <w:rPr>
          <w:rFonts w:hint="eastAsia" w:ascii="宋体" w:hAnsi="宋体" w:cs="Arial"/>
          <w:kern w:val="0"/>
          <w:sz w:val="22"/>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对杭州萧山国际机场场内共38台EPS电源（总容量为847KW）和19面直流屏的维保工作进行公开招标</w:t>
      </w:r>
      <w:r>
        <w:rPr>
          <w:rFonts w:ascii="宋体" w:hAnsi="宋体" w:cs="Arial"/>
          <w:kern w:val="0"/>
          <w:sz w:val="22"/>
        </w:rPr>
        <w:t>，</w:t>
      </w:r>
      <w:r>
        <w:rPr>
          <w:rFonts w:hint="eastAsia" w:ascii="宋体" w:hAnsi="宋体" w:cs="Arial"/>
          <w:kern w:val="0"/>
          <w:sz w:val="22"/>
        </w:rPr>
        <w:t>包括负责对所有EPS和直流屏系统进行日常维护保养、故障维修和应急情况处置，每年四次定期对所有EPS进行系统检查、测试维护工作等服务内容和每年一次对所有直流屏系统进行系统检查、测试维护工作等服务内容，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（3）服务期：三年，自2019年11月1日至2022年10月31日。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1）具有独立法人资格的制造商或代理商，制造商注册资金不少于人民币200万元或等值外币(按投标截止日当天中国银行公布的外汇牌价的中间价换算)，代理商注册资金不少于人民币200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color w:val="FF0000"/>
          <w:kern w:val="0"/>
          <w:sz w:val="22"/>
        </w:rPr>
        <w:t>（5）</w:t>
      </w:r>
      <w:r>
        <w:rPr>
          <w:rFonts w:hint="eastAsia" w:ascii="宋体" w:hAnsi="宋体" w:cs="Arial"/>
          <w:kern w:val="0"/>
          <w:sz w:val="22"/>
        </w:rPr>
        <w:t>2016年1月1日起至投标截止日承担过30万元及以上EPS系统或直流电源系统维保的业绩，需提供中标通知书或合同复印件并加盖投标人公章作为证明材料，原件备查。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w:t>
      </w:r>
      <w:r>
        <w:rPr>
          <w:rFonts w:hint="eastAsia" w:ascii="宋体" w:hAnsi="宋体" w:cs="Arial"/>
          <w:kern w:val="0"/>
          <w:sz w:val="22"/>
          <w:lang w:val="zh-CN"/>
        </w:rPr>
        <w:t>，</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逾期送达或者未送达指定地点的投标文件，招标方不予受理。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投标联系人：贾思勰     联系电话：0571-</w:t>
      </w:r>
      <w:r>
        <w:rPr>
          <w:rFonts w:asciiTheme="minorEastAsia" w:hAnsiTheme="minorEastAsia"/>
          <w:sz w:val="22"/>
        </w:rPr>
        <w:t>83837612</w:t>
      </w:r>
      <w:r>
        <w:rPr>
          <w:rFonts w:hint="eastAsia" w:asciiTheme="minorEastAsia" w:hAnsiTheme="minorEastAsia"/>
          <w:sz w:val="22"/>
        </w:rPr>
        <w:t xml:space="preserve"> </w:t>
      </w:r>
    </w:p>
    <w:p>
      <w:pPr>
        <w:widowControl/>
        <w:adjustRightInd w:val="0"/>
        <w:snapToGrid w:val="0"/>
        <w:spacing w:line="340" w:lineRule="exact"/>
        <w:ind w:firstLine="440" w:firstLineChars="200"/>
        <w:rPr>
          <w:rFonts w:ascii="宋体" w:hAnsi="宋体"/>
          <w:sz w:val="22"/>
        </w:rPr>
      </w:pPr>
      <w:r>
        <w:rPr>
          <w:rFonts w:hint="eastAsia" w:asciiTheme="minorEastAsia" w:hAnsiTheme="minorEastAsia"/>
          <w:bCs/>
          <w:sz w:val="22"/>
        </w:rPr>
        <w:t>招标监督人：阮周长      联系电话：0571-86662133</w:t>
      </w:r>
    </w:p>
    <w:bookmarkEnd w:id="126"/>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217"/>
        <w:jc w:val="center"/>
        <w:rPr>
          <w:rFonts w:ascii="Calibri" w:hAnsi="Calibri" w:eastAsia="黑体" w:cs="Calibri"/>
          <w:kern w:val="2"/>
          <w:sz w:val="28"/>
          <w:szCs w:val="32"/>
        </w:rPr>
      </w:pPr>
      <w:bookmarkStart w:id="26" w:name="_Toc349011858"/>
      <w:bookmarkStart w:id="27" w:name="_Toc444174979"/>
      <w:bookmarkStart w:id="28" w:name="_Toc448002984"/>
      <w:bookmarkStart w:id="29" w:name="_Toc386359393"/>
      <w:bookmarkStart w:id="30" w:name="_Toc400369185"/>
      <w:bookmarkStart w:id="31" w:name="_Toc444173459"/>
      <w:bookmarkStart w:id="32" w:name="_Toc386363317"/>
      <w:bookmarkStart w:id="33" w:name="_Toc444811409"/>
      <w:bookmarkStart w:id="34" w:name="_Toc349007688"/>
      <w:bookmarkStart w:id="35" w:name="_Toc118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6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cs="Arial" w:asciiTheme="minorEastAsia" w:hAnsiTheme="minorEastAsia"/>
                <w:kern w:val="0"/>
                <w:sz w:val="22"/>
              </w:rPr>
              <w:t>EPS及直流屏系统维保</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14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rPr>
              <w:t>三年，自2019年11月1日至2022年10月31日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相关</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kern w:val="0"/>
                <w:sz w:val="22"/>
              </w:rPr>
              <w:t>2019</w:t>
            </w:r>
            <w:r>
              <w:rPr>
                <w:rFonts w:cs="Calibri" w:asciiTheme="minorEastAsia" w:hAnsiTheme="minorEastAsia"/>
                <w:kern w:val="0"/>
                <w:sz w:val="22"/>
              </w:rPr>
              <w:t>年</w:t>
            </w:r>
            <w:r>
              <w:rPr>
                <w:rFonts w:hint="eastAsia" w:cs="Calibri" w:asciiTheme="minorEastAsia" w:hAnsiTheme="minorEastAsia"/>
                <w:kern w:val="0"/>
                <w:sz w:val="22"/>
                <w:lang w:val="en-US" w:eastAsia="zh-CN"/>
              </w:rPr>
              <w:t>9</w:t>
            </w:r>
            <w:r>
              <w:rPr>
                <w:rFonts w:cs="Calibri" w:asciiTheme="minorEastAsia" w:hAnsiTheme="minorEastAsia"/>
                <w:kern w:val="0"/>
                <w:sz w:val="22"/>
              </w:rPr>
              <w:t>月</w:t>
            </w:r>
            <w:r>
              <w:rPr>
                <w:rFonts w:hint="eastAsia" w:cs="Calibri" w:asciiTheme="minorEastAsia" w:hAnsiTheme="minorEastAsia"/>
                <w:kern w:val="0"/>
                <w:sz w:val="22"/>
                <w:lang w:val="en-US" w:eastAsia="zh-CN"/>
              </w:rPr>
              <w:t>30</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招标方</w:t>
            </w:r>
            <w:r>
              <w:rPr>
                <w:rFonts w:cs="Calibri" w:asciiTheme="minorEastAsia" w:hAnsiTheme="minorEastAsia"/>
                <w:kern w:val="0"/>
                <w:sz w:val="22"/>
              </w:rPr>
              <w:t>（</w:t>
            </w:r>
            <w:r>
              <w:rPr>
                <w:rFonts w:hint="eastAsia" w:cs="Calibri" w:asciiTheme="minorEastAsia" w:hAnsiTheme="minorEastAsia"/>
                <w:kern w:val="0"/>
                <w:sz w:val="22"/>
              </w:rPr>
              <w:t>投标联系人：贾思勰；电话</w:t>
            </w:r>
            <w:r>
              <w:rPr>
                <w:rFonts w:cs="Calibri" w:asciiTheme="minorEastAsia" w:hAnsiTheme="minorEastAsia"/>
                <w:kern w:val="0"/>
                <w:sz w:val="22"/>
              </w:rPr>
              <w:t>：0571-</w:t>
            </w:r>
            <w:r>
              <w:rPr>
                <w:rFonts w:asciiTheme="minorEastAsia" w:hAnsiTheme="minorEastAsia"/>
                <w:sz w:val="22"/>
              </w:rPr>
              <w:t>83837612</w:t>
            </w:r>
            <w:r>
              <w:rPr>
                <w:rFonts w:cs="Calibri" w:asciiTheme="minorEastAsia" w:hAnsiTheme="minorEastAsia"/>
                <w:kern w:val="0"/>
                <w:sz w:val="22"/>
              </w:rPr>
              <w:t>；</w:t>
            </w:r>
            <w:r>
              <w:rPr>
                <w:rFonts w:hint="eastAsia" w:cs="Calibri" w:asciiTheme="minorEastAsia" w:hAnsiTheme="minorEastAsia"/>
                <w:kern w:val="0"/>
                <w:sz w:val="22"/>
              </w:rPr>
              <w:t>传真：</w:t>
            </w:r>
            <w:r>
              <w:rPr>
                <w:rFonts w:cs="Calibri" w:asciiTheme="minorEastAsia" w:hAnsiTheme="minorEastAsia"/>
                <w:kern w:val="0"/>
                <w:sz w:val="22"/>
              </w:rPr>
              <w:t>0571-</w:t>
            </w:r>
            <w:r>
              <w:rPr>
                <w:rFonts w:asciiTheme="minorEastAsia" w:hAnsiTheme="minorEastAsia"/>
                <w:sz w:val="22"/>
              </w:rPr>
              <w:t>83837612</w:t>
            </w:r>
            <w:r>
              <w:rPr>
                <w:rFonts w:hint="eastAsia" w:asciiTheme="minorEastAsia" w:hAnsiTheme="minorEastAsia"/>
                <w:sz w:val="22"/>
              </w:rPr>
              <w:t>；</w:t>
            </w:r>
            <w:r>
              <w:rPr>
                <w:rFonts w:cs="Calibri" w:asciiTheme="minorEastAsia" w:hAnsiTheme="minorEastAsia"/>
                <w:kern w:val="0"/>
                <w:sz w:val="22"/>
              </w:rPr>
              <w:t>邮箱：</w:t>
            </w:r>
            <w:r>
              <w:rPr>
                <w:rFonts w:hint="eastAsia" w:cs="Calibri" w:asciiTheme="minorEastAsia" w:hAnsiTheme="minorEastAsia"/>
                <w:kern w:val="0"/>
                <w:sz w:val="22"/>
              </w:rPr>
              <w:t>zbzx@hzairport.com</w:t>
            </w:r>
            <w:r>
              <w:rPr>
                <w:rFonts w:cs="Calibri" w:asciiTheme="minorEastAsia" w:hAnsiTheme="minorEastAsia"/>
                <w:kern w:val="0"/>
                <w:sz w:val="22"/>
              </w:rPr>
              <w:t>）投标人必须在规定时间前提出对招标文件的疑问，否则</w:t>
            </w:r>
            <w:r>
              <w:rPr>
                <w:rFonts w:hint="eastAsia" w:cs="Calibri" w:asciiTheme="minorEastAsia" w:hAnsiTheme="minorEastAsia"/>
                <w:kern w:val="0"/>
                <w:sz w:val="22"/>
              </w:rPr>
              <w:t>招标方</w:t>
            </w:r>
            <w:r>
              <w:rPr>
                <w:rFonts w:cs="Calibri" w:asciiTheme="minorEastAsia" w:hAnsiTheme="minorEastAsia"/>
                <w:kern w:val="0"/>
                <w:sz w:val="22"/>
              </w:rPr>
              <w:t>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10</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13</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45</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招标方可主动地或在解答投标人提出的澄清问题时对招标文件进行修改，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对招标文件的修改将以补充公告的形式发布，所有获得招标文件的投标人应自行关注网站公告，招标方不再一一通知。投标人因自身贻误行为导致投标失败的，责任自负。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kern w:val="0"/>
                <w:sz w:val="22"/>
                <w:u w:val="single"/>
              </w:rPr>
              <w:t>杭州萧山国际机场</w:t>
            </w:r>
            <w:r>
              <w:rPr>
                <w:rFonts w:hint="eastAsia" w:cs="Arial" w:asciiTheme="minorEastAsia" w:hAnsiTheme="minorEastAsia"/>
                <w:kern w:val="0"/>
                <w:sz w:val="22"/>
                <w:u w:val="single"/>
              </w:rPr>
              <w:t>EPS及直流屏系统维保</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评标委员会由招标方自行组建。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w:t>
            </w:r>
            <w:r>
              <w:rPr>
                <w:rFonts w:hint="eastAsia" w:cs="Calibri" w:asciiTheme="minorEastAsia" w:hAnsiTheme="minorEastAsia" w:eastAsiaTheme="minorEastAsia"/>
                <w:kern w:val="0"/>
                <w:sz w:val="22"/>
              </w:rPr>
              <w:t>中标方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首年</w:t>
            </w:r>
            <w:r>
              <w:rPr>
                <w:rFonts w:asciiTheme="minorEastAsia" w:hAnsiTheme="minorEastAsia" w:eastAsiaTheme="minorEastAsia"/>
                <w:sz w:val="22"/>
              </w:rPr>
              <w:t>合同金额</w:t>
            </w:r>
            <w:r>
              <w:rPr>
                <w:rFonts w:hint="eastAsia" w:asciiTheme="minorEastAsia" w:hAnsiTheme="minorEastAsia" w:eastAsiaTheme="minorEastAsia"/>
                <w:sz w:val="22"/>
              </w:rPr>
              <w:t>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55"/>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w:t>
            </w:r>
            <w:r>
              <w:rPr>
                <w:rFonts w:hint="eastAsia" w:cs="Calibri" w:asciiTheme="minorEastAsia" w:hAnsiTheme="minorEastAsia" w:eastAsiaTheme="minorEastAsia"/>
                <w:snapToGrid w:val="0"/>
                <w:kern w:val="0"/>
                <w:sz w:val="22"/>
              </w:rPr>
              <w:t>招标方</w:t>
            </w:r>
            <w:r>
              <w:rPr>
                <w:rFonts w:cs="Calibri" w:asciiTheme="minorEastAsia" w:hAnsiTheme="minorEastAsia" w:eastAsiaTheme="minorEastAsia"/>
                <w:snapToGrid w:val="0"/>
                <w:kern w:val="0"/>
                <w:sz w:val="22"/>
              </w:rPr>
              <w:t>书面反映，逾期不得再对招标文件的条款提出质疑。</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55"/>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 xml:space="preserve">.4 </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向投标人提供的有关现场的数据和资料，仅供投标人在编制投标文件时参考，</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ascii="宋体" w:hAnsi="宋体" w:cs="宋体"/>
          <w:sz w:val="22"/>
        </w:rPr>
        <w:t>本项目涉及到其它专业的部分分项工作允许分包</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w:t>
      </w:r>
      <w:r>
        <w:rPr>
          <w:rFonts w:hint="eastAsia" w:cs="Calibri" w:asciiTheme="minorEastAsia" w:hAnsiTheme="minorEastAsia"/>
          <w:color w:val="000000"/>
          <w:sz w:val="22"/>
        </w:rPr>
        <w:t>招标方</w:t>
      </w:r>
      <w:r>
        <w:rPr>
          <w:rFonts w:cs="Calibri" w:asciiTheme="minorEastAsia" w:hAnsiTheme="minorEastAsia"/>
          <w:color w:val="000000"/>
          <w:sz w:val="22"/>
        </w:rPr>
        <w:t>提出，以便补齐。如有疑问，应在投标人须知前附表规定的时间前以书面形式（包括信函、电报、传真等可以有形地表现所载内容的形式、下同），要求</w:t>
      </w:r>
      <w:r>
        <w:rPr>
          <w:rFonts w:hint="eastAsia" w:cs="Calibri" w:asciiTheme="minorEastAsia" w:hAnsiTheme="minorEastAsia"/>
          <w:color w:val="000000"/>
          <w:sz w:val="22"/>
        </w:rPr>
        <w:t>招标方</w:t>
      </w:r>
      <w:r>
        <w:rPr>
          <w:rFonts w:cs="Calibri" w:asciiTheme="minorEastAsia" w:hAnsiTheme="minorEastAsia"/>
          <w:color w:val="000000"/>
          <w:sz w:val="22"/>
        </w:rPr>
        <w:t>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招标方将视情况采用补充公告的方式予以澄清。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bCs/>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asciiTheme="minorEastAsia" w:hAnsiTheme="minorEastAsia" w:eastAsiaTheme="minorEastAsia"/>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中标方的投标保证金，将在与招标方签订合同后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方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hint="eastAsia" w:cs="Calibri" w:asciiTheme="minorEastAsia" w:hAnsiTheme="minorEastAsia"/>
          <w:color w:val="000000"/>
          <w:kern w:val="0"/>
          <w:sz w:val="22"/>
        </w:rPr>
        <w:t>中标方</w:t>
      </w:r>
      <w:r>
        <w:rPr>
          <w:rFonts w:cs="Calibri" w:asciiTheme="minorEastAsia" w:hAnsiTheme="minorEastAsia"/>
          <w:color w:val="000000"/>
          <w:kern w:val="0"/>
          <w:sz w:val="22"/>
        </w:rPr>
        <w:t>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w:t>
      </w:r>
      <w:r>
        <w:rPr>
          <w:rFonts w:hint="eastAsia" w:ascii="宋体" w:hAnsi="宋体" w:cs="Calibri"/>
          <w:kern w:val="0"/>
          <w:sz w:val="22"/>
        </w:rPr>
        <w:t>招标方</w:t>
      </w:r>
      <w:r>
        <w:rPr>
          <w:rFonts w:ascii="宋体" w:hAnsi="宋体" w:cs="Calibri"/>
          <w:kern w:val="0"/>
          <w:sz w:val="22"/>
        </w:rPr>
        <w:t>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w:t>
      </w:r>
      <w:r>
        <w:rPr>
          <w:rFonts w:hint="eastAsia" w:cs="Calibri" w:asciiTheme="minorEastAsia" w:hAnsiTheme="minorEastAsia" w:eastAsiaTheme="minorEastAsia"/>
          <w:sz w:val="22"/>
        </w:rPr>
        <w:t>招标方</w:t>
      </w:r>
      <w:r>
        <w:rPr>
          <w:rFonts w:cs="Calibri" w:asciiTheme="minorEastAsia" w:hAnsiTheme="minorEastAsia" w:eastAsiaTheme="minorEastAsia"/>
          <w:sz w:val="22"/>
        </w:rPr>
        <w:t>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w:t>
      </w:r>
      <w:r>
        <w:rPr>
          <w:rFonts w:hint="eastAsia" w:cs="Calibri" w:asciiTheme="minorEastAsia" w:hAnsiTheme="minorEastAsia" w:eastAsiaTheme="minorEastAsia"/>
          <w:sz w:val="22"/>
        </w:rPr>
        <w:t>招标方</w:t>
      </w:r>
      <w:r>
        <w:rPr>
          <w:rFonts w:cs="Calibri" w:asciiTheme="minorEastAsia" w:hAnsiTheme="minorEastAsia" w:eastAsiaTheme="minorEastAsia"/>
          <w:sz w:val="22"/>
        </w:rPr>
        <w:t>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hint="eastAsia" w:ascii="宋体" w:hAnsi="宋体" w:cs="Calibri" w:eastAsiaTheme="minorEastAsia"/>
          <w:sz w:val="22"/>
        </w:rPr>
        <w:t>招标方</w:t>
      </w:r>
      <w:r>
        <w:rPr>
          <w:rFonts w:ascii="宋体" w:hAnsi="宋体" w:cs="Calibri"/>
          <w:sz w:val="22"/>
        </w:rPr>
        <w:t>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w:t>
      </w:r>
      <w:r>
        <w:rPr>
          <w:rFonts w:hint="eastAsia" w:cs="Calibri" w:asciiTheme="minorEastAsia" w:hAnsiTheme="minorEastAsia" w:eastAsiaTheme="minorEastAsia"/>
          <w:color w:val="000000"/>
          <w:sz w:val="22"/>
        </w:rPr>
        <w:t>招标方</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w:t>
      </w: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w:t>
      </w:r>
      <w:r>
        <w:rPr>
          <w:rFonts w:hint="eastAsia" w:cs="Calibri" w:asciiTheme="minorEastAsia" w:hAnsiTheme="minorEastAsia" w:eastAsiaTheme="minorEastAsia"/>
          <w:color w:val="000000"/>
          <w:sz w:val="22"/>
        </w:rPr>
        <w:t>中标方</w:t>
      </w:r>
      <w:r>
        <w:rPr>
          <w:rFonts w:cs="Calibri" w:asciiTheme="minorEastAsia" w:hAnsiTheme="minorEastAsia" w:eastAsiaTheme="minorEastAsia"/>
          <w:color w:val="000000"/>
          <w:sz w:val="22"/>
        </w:rPr>
        <w:t>外，</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依据评标委员会推荐的中标候选人确定</w:t>
      </w:r>
      <w:r>
        <w:rPr>
          <w:rFonts w:hint="eastAsia" w:cs="Calibri" w:asciiTheme="minorEastAsia" w:hAnsiTheme="minorEastAsia" w:eastAsiaTheme="minorEastAsia"/>
          <w:color w:val="000000"/>
          <w:sz w:val="22"/>
        </w:rPr>
        <w:t>中标方</w:t>
      </w:r>
      <w:r>
        <w:rPr>
          <w:rFonts w:cs="Calibri" w:asciiTheme="minorEastAsia" w:hAnsiTheme="minorEastAsia" w:eastAsiaTheme="minorEastAsia"/>
          <w:color w:val="000000"/>
          <w:sz w:val="22"/>
        </w:rPr>
        <w:t>，评标委员会推荐中标候选人的人数见投标人须知前附表。</w:t>
      </w:r>
      <w:r>
        <w:rPr>
          <w:rFonts w:hint="eastAsia" w:cs="Calibri" w:asciiTheme="minorEastAsia" w:hAnsiTheme="minorEastAsia" w:eastAsiaTheme="minorEastAsia"/>
          <w:color w:val="000000"/>
          <w:sz w:val="22"/>
        </w:rPr>
        <w:t>招标方对评标、定标结果不负责解释。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以书面形式向</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w:t>
      </w:r>
      <w:r>
        <w:rPr>
          <w:rFonts w:hint="eastAsia" w:cs="Calibri" w:asciiTheme="minorEastAsia" w:hAnsiTheme="minorEastAsia" w:eastAsiaTheme="minorEastAsia"/>
          <w:kern w:val="0"/>
          <w:sz w:val="22"/>
        </w:rPr>
        <w:t>中标方</w:t>
      </w:r>
      <w:r>
        <w:rPr>
          <w:rFonts w:cs="Calibri" w:asciiTheme="minorEastAsia" w:hAnsiTheme="minorEastAsia" w:eastAsiaTheme="minorEastAsia"/>
          <w:kern w:val="0"/>
          <w:sz w:val="22"/>
        </w:rPr>
        <w:t>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w:t>
      </w: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7.3.2 </w:t>
      </w:r>
      <w:r>
        <w:rPr>
          <w:rFonts w:hint="eastAsia" w:cs="Calibri" w:asciiTheme="minorEastAsia" w:hAnsiTheme="minorEastAsia" w:eastAsiaTheme="minorEastAsia"/>
          <w:kern w:val="0"/>
          <w:sz w:val="22"/>
        </w:rPr>
        <w:t>中标方</w:t>
      </w:r>
      <w:r>
        <w:rPr>
          <w:rFonts w:cs="Calibri" w:asciiTheme="minorEastAsia" w:hAnsiTheme="minorEastAsia" w:eastAsiaTheme="minorEastAsia"/>
          <w:kern w:val="0"/>
          <w:sz w:val="22"/>
        </w:rPr>
        <w:t>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w:t>
      </w: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造成的损失超过投标保证金数额的，</w:t>
      </w:r>
      <w:r>
        <w:rPr>
          <w:rFonts w:hint="eastAsia" w:cs="Calibri" w:asciiTheme="minorEastAsia" w:hAnsiTheme="minorEastAsia" w:eastAsiaTheme="minorEastAsia"/>
          <w:kern w:val="0"/>
          <w:sz w:val="22"/>
        </w:rPr>
        <w:t>中标方</w:t>
      </w:r>
      <w:r>
        <w:rPr>
          <w:rFonts w:cs="Calibri" w:asciiTheme="minorEastAsia" w:hAnsiTheme="minorEastAsia" w:eastAsiaTheme="minorEastAsia"/>
          <w:kern w:val="0"/>
          <w:sz w:val="22"/>
        </w:rPr>
        <w:t>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20123241"/>
      <w:bookmarkStart w:id="82" w:name="_Toc11806"/>
      <w:bookmarkStart w:id="83" w:name="_Toc219809801"/>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和</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无正当理由拒签协议的，</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取消其中标资格，其投标保证金不予退还；给</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造成的损失超过投标保证金数额的，</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无正当理由拒签合同的，</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向</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退还投标保证金；给</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22012324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所有投标人的报价均偏高，招标方无法接受的；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18806"/>
      <w:bookmarkStart w:id="88" w:name="_Toc219809803"/>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19809804"/>
      <w:bookmarkStart w:id="92" w:name="_Toc21594125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w:t>
      </w:r>
      <w:r>
        <w:rPr>
          <w:rFonts w:hint="eastAsia" w:cs="Calibri" w:asciiTheme="minorEastAsia" w:hAnsiTheme="minorEastAsia" w:eastAsiaTheme="minorEastAsia"/>
          <w:b/>
          <w:bCs/>
          <w:kern w:val="0"/>
          <w:sz w:val="22"/>
        </w:rPr>
        <w:t>招标方</w:t>
      </w:r>
      <w:r>
        <w:rPr>
          <w:rFonts w:cs="Calibri" w:asciiTheme="minorEastAsia" w:hAnsiTheme="minorEastAsia" w:eastAsiaTheme="minorEastAsia"/>
          <w:b/>
          <w:bCs/>
          <w:kern w:val="0"/>
          <w:sz w:val="22"/>
        </w:rPr>
        <w:t>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19809806"/>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串通投标，不得向</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若投标人存在串通投标或弄虚作假或有其他违法行为的，招标方有权没收投标人的投标保证金，2年内禁止参与招标方所有招标项目的投标，给招标方造成损失的，还需承担赔偿责任。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756"/>
      <w:bookmarkStart w:id="101" w:name="_Toc219809807"/>
      <w:bookmarkStart w:id="102" w:name="_Toc22012324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20123248"/>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0" w:name="_Toc213036227"/>
      <w:bookmarkStart w:id="111" w:name="_Toc2233275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utoSpaceDE w:val="0"/>
        <w:autoSpaceDN w:val="0"/>
        <w:adjustRightInd w:val="0"/>
        <w:snapToGrid w:val="0"/>
        <w:spacing w:line="360" w:lineRule="exact"/>
        <w:jc w:val="left"/>
        <w:rPr>
          <w:rFonts w:ascii="宋体" w:hAnsi="宋体" w:cs="宋体"/>
          <w:b/>
          <w:bCs/>
          <w:color w:val="000000"/>
          <w:sz w:val="22"/>
        </w:rPr>
      </w:pPr>
      <w:r>
        <w:rPr>
          <w:rFonts w:hint="eastAsia" w:ascii="宋体" w:hAnsi="宋体" w:cs="宋体"/>
          <w:b/>
          <w:bCs/>
          <w:color w:val="000000"/>
          <w:sz w:val="22"/>
        </w:rPr>
        <w:t>1.项目概况</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EPS紧急电力供给是当今重要建筑物中应急照明、事故照明、消防设施而采用的一种应急电源。是突发断电之后确保展开应急工作的重要保障设施。为确保机场EPS系统安全、可靠地正常运行。直流屏是供电系统二次操作电源和保护装置的重要保障电源。杭州萧山国际机场对机场场内共38台EPS电源和19面直流屏的维保工作进行公开招标，招标内容包括负责对所有EPS和直流屏系统进行日常维护保养、故障维修和应急情况处置。</w:t>
      </w:r>
    </w:p>
    <w:p>
      <w:pPr>
        <w:adjustRightInd w:val="0"/>
        <w:snapToGrid w:val="0"/>
        <w:spacing w:line="360" w:lineRule="exact"/>
        <w:rPr>
          <w:rFonts w:ascii="宋体" w:hAnsi="宋体" w:cs="宋体"/>
          <w:b/>
          <w:bCs/>
          <w:color w:val="000000"/>
          <w:sz w:val="22"/>
        </w:rPr>
      </w:pPr>
      <w:r>
        <w:rPr>
          <w:rFonts w:hint="eastAsia" w:ascii="宋体" w:hAnsi="宋体" w:cs="宋体"/>
          <w:b/>
          <w:bCs/>
          <w:color w:val="000000"/>
          <w:sz w:val="22"/>
        </w:rPr>
        <w:t>2.招标内容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对杭州萧山国际机场场内共38台EPS电源（总容量为847KW）和19面直流屏系统进行为期三年的维保工作，包括负责对所有EPS和直流屏系统进行日常维护保养、故障维修和应急情况处置，每年四次定期对所有EPS进行系统检查、测试维护工作等服务内容和每年一次对所有直流屏系统进行系统检查、测试维护工作等服务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（1）EPS设备型号及数量如下：</w:t>
      </w:r>
    </w:p>
    <w:tbl>
      <w:tblPr>
        <w:tblStyle w:val="63"/>
        <w:tblW w:w="89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043"/>
        <w:gridCol w:w="1134"/>
        <w:gridCol w:w="1134"/>
        <w:gridCol w:w="1345"/>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61" w:type="dxa"/>
            <w:gridSpan w:val="6"/>
            <w:vAlign w:val="center"/>
          </w:tcPr>
          <w:p>
            <w:pPr>
              <w:adjustRightInd w:val="0"/>
              <w:snapToGrid w:val="0"/>
              <w:jc w:val="center"/>
              <w:rPr>
                <w:rFonts w:ascii="宋体" w:hAnsi="宋体" w:cs="宋体"/>
                <w:b/>
                <w:sz w:val="22"/>
              </w:rPr>
            </w:pPr>
            <w:r>
              <w:rPr>
                <w:rFonts w:hint="eastAsia" w:ascii="宋体" w:hAnsi="宋体" w:cs="宋体"/>
                <w:b/>
                <w:sz w:val="22"/>
              </w:rPr>
              <w:t>EPS维保清单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84" w:type="dxa"/>
            <w:vAlign w:val="center"/>
          </w:tcPr>
          <w:p>
            <w:pPr>
              <w:snapToGrid w:val="0"/>
              <w:jc w:val="center"/>
              <w:rPr>
                <w:rFonts w:ascii="宋体" w:hAnsi="宋体" w:cs="宋体"/>
                <w:b/>
                <w:color w:val="000000"/>
                <w:sz w:val="22"/>
              </w:rPr>
            </w:pPr>
            <w:r>
              <w:rPr>
                <w:rFonts w:hint="eastAsia" w:ascii="宋体" w:hAnsi="宋体" w:cs="宋体"/>
                <w:b/>
                <w:color w:val="000000"/>
                <w:sz w:val="22"/>
              </w:rPr>
              <w:t>安装位置</w:t>
            </w:r>
          </w:p>
        </w:tc>
        <w:tc>
          <w:tcPr>
            <w:tcW w:w="2043" w:type="dxa"/>
            <w:vAlign w:val="center"/>
          </w:tcPr>
          <w:p>
            <w:pPr>
              <w:snapToGrid w:val="0"/>
              <w:jc w:val="center"/>
              <w:rPr>
                <w:rFonts w:ascii="宋体" w:hAnsi="宋体" w:cs="宋体"/>
                <w:b/>
                <w:bCs/>
                <w:sz w:val="22"/>
              </w:rPr>
            </w:pPr>
            <w:r>
              <w:rPr>
                <w:rFonts w:hint="eastAsia" w:ascii="宋体" w:hAnsi="宋体" w:cs="宋体"/>
                <w:b/>
                <w:bCs/>
                <w:sz w:val="22"/>
              </w:rPr>
              <w:t>品牌/型号</w:t>
            </w:r>
          </w:p>
        </w:tc>
        <w:tc>
          <w:tcPr>
            <w:tcW w:w="1134" w:type="dxa"/>
            <w:vAlign w:val="center"/>
          </w:tcPr>
          <w:p>
            <w:pPr>
              <w:snapToGrid w:val="0"/>
              <w:jc w:val="center"/>
              <w:rPr>
                <w:rFonts w:ascii="宋体" w:hAnsi="宋体" w:cs="宋体"/>
                <w:b/>
                <w:bCs/>
                <w:sz w:val="22"/>
              </w:rPr>
            </w:pPr>
            <w:r>
              <w:rPr>
                <w:rFonts w:hint="eastAsia" w:ascii="宋体" w:hAnsi="宋体" w:cs="宋体"/>
                <w:b/>
                <w:bCs/>
                <w:sz w:val="22"/>
              </w:rPr>
              <w:t>数量(台)</w:t>
            </w:r>
          </w:p>
        </w:tc>
        <w:tc>
          <w:tcPr>
            <w:tcW w:w="1134" w:type="dxa"/>
            <w:vAlign w:val="center"/>
          </w:tcPr>
          <w:p>
            <w:pPr>
              <w:snapToGrid w:val="0"/>
              <w:jc w:val="center"/>
              <w:rPr>
                <w:rFonts w:ascii="宋体" w:hAnsi="宋体" w:cs="宋体"/>
                <w:b/>
                <w:bCs/>
                <w:sz w:val="22"/>
              </w:rPr>
            </w:pPr>
            <w:r>
              <w:rPr>
                <w:rFonts w:hint="eastAsia" w:ascii="宋体" w:hAnsi="宋体" w:cs="宋体"/>
                <w:b/>
                <w:bCs/>
                <w:sz w:val="22"/>
              </w:rPr>
              <w:t>单台容量</w:t>
            </w:r>
          </w:p>
        </w:tc>
        <w:tc>
          <w:tcPr>
            <w:tcW w:w="1345" w:type="dxa"/>
            <w:vAlign w:val="center"/>
          </w:tcPr>
          <w:p>
            <w:pPr>
              <w:adjustRightInd w:val="0"/>
              <w:snapToGrid w:val="0"/>
              <w:jc w:val="center"/>
              <w:rPr>
                <w:rFonts w:ascii="宋体" w:hAnsi="宋体" w:cs="宋体"/>
                <w:b/>
                <w:sz w:val="22"/>
              </w:rPr>
            </w:pPr>
            <w:r>
              <w:rPr>
                <w:rFonts w:hint="eastAsia" w:ascii="宋体" w:hAnsi="宋体" w:cs="宋体"/>
                <w:b/>
                <w:sz w:val="22"/>
              </w:rPr>
              <w:t>年限</w:t>
            </w:r>
          </w:p>
        </w:tc>
        <w:tc>
          <w:tcPr>
            <w:tcW w:w="1121" w:type="dxa"/>
            <w:vAlign w:val="center"/>
          </w:tcPr>
          <w:p>
            <w:pPr>
              <w:adjustRightInd w:val="0"/>
              <w:snapToGrid w:val="0"/>
              <w:jc w:val="center"/>
              <w:rPr>
                <w:rFonts w:ascii="宋体" w:hAnsi="宋体" w:cs="宋体"/>
                <w:b/>
                <w:sz w:val="22"/>
              </w:rPr>
            </w:pPr>
            <w:r>
              <w:rPr>
                <w:rFonts w:hint="eastAsia" w:ascii="宋体" w:hAnsi="宋体" w:cs="宋体"/>
                <w:b/>
                <w:sz w:val="22"/>
              </w:rPr>
              <w:t>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东区变电站B020</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西区变电站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1068房间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1154房间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1034房间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6KW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1009房间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1043房间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2054房间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2070、3070房间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3027房间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3084房间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3089房间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3054房间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1#变电站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100KW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2#变电站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3#变电站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240KW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5#变电站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隧道变</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B7变电所</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嘉溢阁一楼</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老国际到达夹层E2026</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老国际到达1M4房间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国内到达夹层E2009</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国内E1152</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B13登机口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B11登机口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B10登机口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B09登机口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B08登机口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B07登机口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B05-06登机口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B04登机口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B03登机口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值机C岛</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值机D岛</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值机E1岛</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专机楼西侧</w:t>
            </w:r>
          </w:p>
        </w:tc>
        <w:tc>
          <w:tcPr>
            <w:tcW w:w="2043" w:type="dxa"/>
            <w:vAlign w:val="center"/>
          </w:tcPr>
          <w:p>
            <w:pPr>
              <w:snapToGrid w:val="0"/>
              <w:jc w:val="center"/>
              <w:rPr>
                <w:rFonts w:ascii="宋体" w:hAnsi="宋体" w:cs="宋体"/>
                <w:bCs/>
                <w:sz w:val="22"/>
              </w:rPr>
            </w:pPr>
            <w:r>
              <w:rPr>
                <w:rFonts w:hint="eastAsia" w:ascii="宋体" w:hAnsi="宋体" w:cs="宋体"/>
                <w:bCs/>
                <w:sz w:val="22"/>
              </w:rPr>
              <w:t>西奥根SA-D-5KVA</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专机楼东侧</w:t>
            </w:r>
          </w:p>
        </w:tc>
        <w:tc>
          <w:tcPr>
            <w:tcW w:w="2043" w:type="dxa"/>
            <w:vAlign w:val="center"/>
          </w:tcPr>
          <w:p>
            <w:pPr>
              <w:snapToGrid w:val="0"/>
              <w:jc w:val="center"/>
              <w:rPr>
                <w:rFonts w:ascii="宋体" w:hAnsi="宋体" w:cs="宋体"/>
                <w:bCs/>
                <w:sz w:val="22"/>
              </w:rPr>
            </w:pPr>
            <w:r>
              <w:rPr>
                <w:rFonts w:hint="eastAsia" w:ascii="宋体" w:hAnsi="宋体" w:cs="宋体"/>
                <w:bCs/>
                <w:sz w:val="22"/>
              </w:rPr>
              <w:t>西奥根SA-D-5KVA</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合计</w:t>
            </w:r>
          </w:p>
        </w:tc>
        <w:tc>
          <w:tcPr>
            <w:tcW w:w="6777" w:type="dxa"/>
            <w:gridSpan w:val="5"/>
            <w:vAlign w:val="center"/>
          </w:tcPr>
          <w:p>
            <w:pPr>
              <w:snapToGrid w:val="0"/>
              <w:rPr>
                <w:rFonts w:ascii="宋体" w:hAnsi="宋体" w:cs="宋体"/>
                <w:bCs/>
                <w:sz w:val="22"/>
              </w:rPr>
            </w:pPr>
            <w:r>
              <w:rPr>
                <w:rFonts w:hint="eastAsia" w:ascii="宋体" w:hAnsi="宋体" w:cs="宋体"/>
                <w:bCs/>
                <w:sz w:val="22"/>
              </w:rPr>
              <w:t>共38台EPS，总容量为847kW</w:t>
            </w:r>
          </w:p>
        </w:tc>
      </w:tr>
    </w:tbl>
    <w:p>
      <w:pPr>
        <w:adjustRightInd w:val="0"/>
        <w:snapToGrid w:val="0"/>
        <w:spacing w:line="360" w:lineRule="exact"/>
        <w:rPr>
          <w:rFonts w:ascii="宋体" w:hAnsi="宋体" w:cs="宋体"/>
          <w:kern w:val="0"/>
          <w:sz w:val="22"/>
        </w:rPr>
      </w:pPr>
    </w:p>
    <w:p>
      <w:pPr>
        <w:numPr>
          <w:ilvl w:val="0"/>
          <w:numId w:val="5"/>
        </w:num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直流屏设备型号及数量如下：</w:t>
      </w:r>
    </w:p>
    <w:tbl>
      <w:tblPr>
        <w:tblStyle w:val="63"/>
        <w:tblW w:w="92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781"/>
        <w:gridCol w:w="1135"/>
        <w:gridCol w:w="1349"/>
        <w:gridCol w:w="1161"/>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69" w:type="dxa"/>
            <w:gridSpan w:val="6"/>
            <w:vAlign w:val="center"/>
          </w:tcPr>
          <w:p>
            <w:pPr>
              <w:adjustRightInd w:val="0"/>
              <w:snapToGrid w:val="0"/>
              <w:jc w:val="center"/>
              <w:rPr>
                <w:rFonts w:ascii="宋体" w:hAnsi="宋体" w:cs="宋体"/>
                <w:b/>
                <w:sz w:val="22"/>
              </w:rPr>
            </w:pPr>
            <w:r>
              <w:rPr>
                <w:rFonts w:hint="eastAsia" w:ascii="宋体" w:hAnsi="宋体" w:cs="宋体"/>
                <w:b/>
                <w:sz w:val="22"/>
              </w:rPr>
              <w:t>直流屏维保清单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
                <w:color w:val="000000"/>
                <w:sz w:val="22"/>
              </w:rPr>
            </w:pPr>
            <w:r>
              <w:rPr>
                <w:rFonts w:hint="eastAsia" w:ascii="宋体" w:hAnsi="宋体" w:cs="宋体"/>
                <w:b/>
                <w:color w:val="000000"/>
                <w:sz w:val="22"/>
              </w:rPr>
              <w:t>安装位置</w:t>
            </w:r>
          </w:p>
        </w:tc>
        <w:tc>
          <w:tcPr>
            <w:tcW w:w="2781" w:type="dxa"/>
            <w:vAlign w:val="center"/>
          </w:tcPr>
          <w:p>
            <w:pPr>
              <w:snapToGrid w:val="0"/>
              <w:jc w:val="center"/>
              <w:rPr>
                <w:rFonts w:ascii="宋体" w:hAnsi="宋体" w:cs="宋体"/>
                <w:b/>
                <w:bCs/>
                <w:sz w:val="22"/>
              </w:rPr>
            </w:pPr>
            <w:r>
              <w:rPr>
                <w:rFonts w:hint="eastAsia" w:ascii="宋体" w:hAnsi="宋体" w:cs="宋体"/>
                <w:b/>
                <w:bCs/>
                <w:sz w:val="22"/>
              </w:rPr>
              <w:t>品牌/型号</w:t>
            </w:r>
          </w:p>
        </w:tc>
        <w:tc>
          <w:tcPr>
            <w:tcW w:w="1135" w:type="dxa"/>
            <w:vAlign w:val="center"/>
          </w:tcPr>
          <w:p>
            <w:pPr>
              <w:snapToGrid w:val="0"/>
              <w:jc w:val="center"/>
              <w:rPr>
                <w:rFonts w:ascii="宋体" w:hAnsi="宋体" w:cs="宋体"/>
                <w:b/>
                <w:bCs/>
                <w:sz w:val="22"/>
              </w:rPr>
            </w:pPr>
            <w:r>
              <w:rPr>
                <w:rFonts w:hint="eastAsia" w:ascii="宋体" w:hAnsi="宋体" w:cs="宋体"/>
                <w:b/>
                <w:bCs/>
                <w:sz w:val="22"/>
              </w:rPr>
              <w:t>数量(台)</w:t>
            </w:r>
          </w:p>
        </w:tc>
        <w:tc>
          <w:tcPr>
            <w:tcW w:w="1349" w:type="dxa"/>
            <w:vAlign w:val="center"/>
          </w:tcPr>
          <w:p>
            <w:pPr>
              <w:snapToGrid w:val="0"/>
              <w:jc w:val="center"/>
              <w:rPr>
                <w:rFonts w:ascii="宋体" w:hAnsi="宋体" w:cs="宋体"/>
                <w:b/>
                <w:bCs/>
                <w:sz w:val="22"/>
              </w:rPr>
            </w:pPr>
            <w:r>
              <w:rPr>
                <w:rFonts w:hint="eastAsia" w:ascii="宋体" w:hAnsi="宋体" w:cs="宋体"/>
                <w:b/>
                <w:bCs/>
                <w:sz w:val="22"/>
              </w:rPr>
              <w:t>规格</w:t>
            </w:r>
          </w:p>
        </w:tc>
        <w:tc>
          <w:tcPr>
            <w:tcW w:w="1161" w:type="dxa"/>
            <w:vAlign w:val="center"/>
          </w:tcPr>
          <w:p>
            <w:pPr>
              <w:adjustRightInd w:val="0"/>
              <w:snapToGrid w:val="0"/>
              <w:jc w:val="center"/>
              <w:rPr>
                <w:rFonts w:ascii="宋体" w:hAnsi="宋体" w:cs="宋体"/>
                <w:b/>
                <w:sz w:val="22"/>
              </w:rPr>
            </w:pPr>
            <w:r>
              <w:rPr>
                <w:rFonts w:hint="eastAsia" w:ascii="宋体" w:hAnsi="宋体" w:cs="宋体"/>
                <w:b/>
                <w:sz w:val="22"/>
              </w:rPr>
              <w:t>年限</w:t>
            </w:r>
          </w:p>
        </w:tc>
        <w:tc>
          <w:tcPr>
            <w:tcW w:w="1259" w:type="dxa"/>
            <w:vAlign w:val="center"/>
          </w:tcPr>
          <w:p>
            <w:pPr>
              <w:adjustRightInd w:val="0"/>
              <w:snapToGrid w:val="0"/>
              <w:jc w:val="center"/>
              <w:rPr>
                <w:rFonts w:ascii="宋体" w:hAnsi="宋体" w:cs="宋体"/>
                <w:b/>
                <w:sz w:val="22"/>
              </w:rPr>
            </w:pPr>
            <w:r>
              <w:rPr>
                <w:rFonts w:hint="eastAsia" w:ascii="宋体" w:hAnsi="宋体" w:cs="宋体"/>
                <w:b/>
                <w:sz w:val="22"/>
              </w:rPr>
              <w:t>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color w:val="000000"/>
                <w:sz w:val="22"/>
              </w:rPr>
            </w:pPr>
            <w:bookmarkStart w:id="113" w:name="OLE_LINK2" w:colFirst="3" w:colLast="3"/>
            <w:r>
              <w:rPr>
                <w:rFonts w:hint="eastAsia" w:ascii="宋体" w:hAnsi="宋体" w:cs="宋体"/>
                <w:bCs/>
                <w:color w:val="000000"/>
                <w:sz w:val="22"/>
              </w:rPr>
              <w:t>110kV变电站</w:t>
            </w:r>
          </w:p>
        </w:tc>
        <w:tc>
          <w:tcPr>
            <w:tcW w:w="2781" w:type="dxa"/>
            <w:vAlign w:val="center"/>
          </w:tcPr>
          <w:p>
            <w:pPr>
              <w:snapToGrid w:val="0"/>
              <w:jc w:val="center"/>
              <w:rPr>
                <w:rFonts w:ascii="宋体" w:hAnsi="宋体" w:cs="宋体"/>
                <w:bCs/>
                <w:color w:val="000000"/>
                <w:sz w:val="22"/>
              </w:rPr>
            </w:pPr>
            <w:r>
              <w:rPr>
                <w:rFonts w:hint="eastAsia" w:ascii="宋体" w:hAnsi="宋体" w:cs="宋体"/>
                <w:color w:val="000000"/>
                <w:sz w:val="22"/>
                <w:shd w:val="clear" w:color="auto" w:fill="FFFFFF"/>
              </w:rPr>
              <w:t>中恒 ZHDCS1101220</w:t>
            </w:r>
          </w:p>
        </w:tc>
        <w:tc>
          <w:tcPr>
            <w:tcW w:w="1135" w:type="dxa"/>
            <w:vAlign w:val="center"/>
          </w:tcPr>
          <w:p>
            <w:pPr>
              <w:snapToGrid w:val="0"/>
              <w:jc w:val="center"/>
              <w:rPr>
                <w:rFonts w:ascii="宋体" w:hAnsi="宋体" w:cs="宋体"/>
                <w:bCs/>
                <w:color w:val="000000"/>
                <w:sz w:val="22"/>
              </w:rPr>
            </w:pPr>
            <w:r>
              <w:rPr>
                <w:rFonts w:hint="eastAsia" w:ascii="宋体" w:hAnsi="宋体" w:cs="宋体"/>
                <w:bCs/>
                <w:color w:val="000000"/>
                <w:sz w:val="22"/>
              </w:rPr>
              <w:t>4</w:t>
            </w:r>
          </w:p>
        </w:tc>
        <w:tc>
          <w:tcPr>
            <w:tcW w:w="1349" w:type="dxa"/>
            <w:vAlign w:val="center"/>
          </w:tcPr>
          <w:p>
            <w:pPr>
              <w:snapToGrid w:val="0"/>
              <w:jc w:val="center"/>
              <w:rPr>
                <w:rFonts w:ascii="宋体" w:hAnsi="宋体" w:cs="宋体"/>
                <w:bCs/>
                <w:color w:val="000000"/>
                <w:sz w:val="22"/>
              </w:rPr>
            </w:pPr>
            <w:r>
              <w:rPr>
                <w:rFonts w:hint="eastAsia" w:ascii="宋体" w:hAnsi="宋体" w:cs="宋体"/>
                <w:bCs/>
                <w:color w:val="000000"/>
                <w:sz w:val="22"/>
              </w:rPr>
              <w:t>110V/120A</w:t>
            </w:r>
          </w:p>
        </w:tc>
        <w:tc>
          <w:tcPr>
            <w:tcW w:w="1161" w:type="dxa"/>
            <w:vAlign w:val="center"/>
          </w:tcPr>
          <w:p>
            <w:pPr>
              <w:snapToGrid w:val="0"/>
              <w:jc w:val="center"/>
              <w:rPr>
                <w:rFonts w:ascii="宋体" w:hAnsi="宋体" w:cs="宋体"/>
                <w:bCs/>
                <w:color w:val="000000"/>
                <w:sz w:val="22"/>
              </w:rPr>
            </w:pPr>
            <w:r>
              <w:rPr>
                <w:rFonts w:hint="eastAsia" w:ascii="宋体" w:hAnsi="宋体" w:cs="宋体"/>
                <w:bCs/>
                <w:color w:val="000000"/>
                <w:sz w:val="22"/>
              </w:rPr>
              <w:t>2011.08</w:t>
            </w:r>
          </w:p>
        </w:tc>
        <w:tc>
          <w:tcPr>
            <w:tcW w:w="1259" w:type="dxa"/>
            <w:vAlign w:val="center"/>
          </w:tcPr>
          <w:p>
            <w:pPr>
              <w:snapToGrid w:val="0"/>
              <w:jc w:val="center"/>
              <w:rPr>
                <w:rFonts w:ascii="宋体" w:hAnsi="宋体" w:cs="宋体"/>
                <w:bCs/>
                <w:color w:val="000000"/>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color w:val="000000"/>
                <w:sz w:val="22"/>
              </w:rPr>
            </w:pPr>
            <w:r>
              <w:rPr>
                <w:rFonts w:hint="eastAsia" w:ascii="宋体" w:hAnsi="宋体" w:cs="宋体"/>
                <w:bCs/>
                <w:color w:val="000000"/>
                <w:sz w:val="22"/>
              </w:rPr>
              <w:t>35kV变电站</w:t>
            </w:r>
          </w:p>
        </w:tc>
        <w:tc>
          <w:tcPr>
            <w:tcW w:w="2781" w:type="dxa"/>
            <w:vAlign w:val="center"/>
          </w:tcPr>
          <w:p>
            <w:pPr>
              <w:snapToGrid w:val="0"/>
              <w:jc w:val="center"/>
              <w:rPr>
                <w:rFonts w:ascii="宋体" w:hAnsi="宋体" w:cs="宋体"/>
                <w:bCs/>
                <w:color w:val="000000"/>
                <w:sz w:val="22"/>
              </w:rPr>
            </w:pPr>
            <w:r>
              <w:rPr>
                <w:rFonts w:hint="eastAsia" w:ascii="宋体" w:hAnsi="宋体" w:cs="宋体"/>
                <w:color w:val="000000"/>
                <w:sz w:val="22"/>
                <w:shd w:val="clear" w:color="auto" w:fill="FFFFFF"/>
              </w:rPr>
              <w:t>中恒 GZDW35-60/220/10</w:t>
            </w:r>
          </w:p>
        </w:tc>
        <w:tc>
          <w:tcPr>
            <w:tcW w:w="1135" w:type="dxa"/>
            <w:vAlign w:val="center"/>
          </w:tcPr>
          <w:p>
            <w:pPr>
              <w:snapToGrid w:val="0"/>
              <w:jc w:val="center"/>
              <w:rPr>
                <w:rFonts w:ascii="宋体" w:hAnsi="宋体" w:cs="宋体"/>
                <w:bCs/>
                <w:color w:val="000000"/>
                <w:sz w:val="22"/>
              </w:rPr>
            </w:pPr>
            <w:r>
              <w:rPr>
                <w:rFonts w:hint="eastAsia" w:ascii="宋体" w:hAnsi="宋体" w:cs="宋体"/>
                <w:bCs/>
                <w:color w:val="000000"/>
                <w:sz w:val="22"/>
              </w:rPr>
              <w:t>1</w:t>
            </w:r>
          </w:p>
        </w:tc>
        <w:tc>
          <w:tcPr>
            <w:tcW w:w="1349" w:type="dxa"/>
            <w:vAlign w:val="center"/>
          </w:tcPr>
          <w:p>
            <w:pPr>
              <w:snapToGrid w:val="0"/>
              <w:jc w:val="center"/>
              <w:rPr>
                <w:rFonts w:ascii="宋体" w:hAnsi="宋体" w:cs="宋体"/>
                <w:bCs/>
                <w:color w:val="000000"/>
                <w:sz w:val="22"/>
              </w:rPr>
            </w:pPr>
            <w:r>
              <w:rPr>
                <w:rFonts w:hint="eastAsia" w:ascii="宋体" w:hAnsi="宋体" w:cs="宋体"/>
                <w:bCs/>
                <w:color w:val="000000"/>
                <w:sz w:val="22"/>
              </w:rPr>
              <w:t>220V/40A</w:t>
            </w:r>
          </w:p>
        </w:tc>
        <w:tc>
          <w:tcPr>
            <w:tcW w:w="1161" w:type="dxa"/>
            <w:vAlign w:val="center"/>
          </w:tcPr>
          <w:p>
            <w:pPr>
              <w:snapToGrid w:val="0"/>
              <w:jc w:val="center"/>
              <w:rPr>
                <w:rFonts w:ascii="宋体" w:hAnsi="宋体" w:cs="宋体"/>
                <w:bCs/>
                <w:color w:val="000000"/>
                <w:sz w:val="22"/>
              </w:rPr>
            </w:pPr>
            <w:r>
              <w:rPr>
                <w:rFonts w:hint="eastAsia" w:ascii="宋体" w:hAnsi="宋体" w:cs="宋体"/>
                <w:bCs/>
                <w:color w:val="000000"/>
                <w:sz w:val="22"/>
              </w:rPr>
              <w:t>2000.12</w:t>
            </w:r>
          </w:p>
        </w:tc>
        <w:tc>
          <w:tcPr>
            <w:tcW w:w="1259" w:type="dxa"/>
            <w:vAlign w:val="center"/>
          </w:tcPr>
          <w:p>
            <w:pPr>
              <w:snapToGrid w:val="0"/>
              <w:jc w:val="center"/>
              <w:rPr>
                <w:rFonts w:ascii="宋体" w:hAnsi="宋体" w:cs="宋体"/>
                <w:bCs/>
                <w:color w:val="000000"/>
                <w:sz w:val="22"/>
              </w:rPr>
            </w:pPr>
            <w:r>
              <w:rPr>
                <w:rFonts w:hint="eastAsia" w:ascii="宋体" w:hAnsi="宋体" w:cs="宋体"/>
                <w:bCs/>
                <w:sz w:val="22"/>
              </w:rPr>
              <w:t>良好</w:t>
            </w:r>
          </w:p>
        </w:tc>
      </w:tr>
      <w:bookmarkEnd w:id="1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东区开闭所</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ZHDCS11060/100</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110V/60A</w:t>
            </w:r>
          </w:p>
        </w:tc>
        <w:tc>
          <w:tcPr>
            <w:tcW w:w="1161" w:type="dxa"/>
            <w:vAlign w:val="center"/>
          </w:tcPr>
          <w:p>
            <w:pPr>
              <w:snapToGrid w:val="0"/>
              <w:jc w:val="center"/>
              <w:rPr>
                <w:rFonts w:ascii="宋体" w:hAnsi="宋体" w:cs="宋体"/>
                <w:bCs/>
                <w:sz w:val="22"/>
              </w:rPr>
            </w:pPr>
            <w:r>
              <w:rPr>
                <w:rFonts w:hint="eastAsia" w:ascii="宋体" w:hAnsi="宋体" w:cs="宋体"/>
                <w:bCs/>
                <w:sz w:val="22"/>
              </w:rPr>
              <w:t>2012.06</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color w:val="000000"/>
                <w:sz w:val="22"/>
              </w:rPr>
            </w:pPr>
            <w:r>
              <w:rPr>
                <w:rFonts w:hint="eastAsia" w:ascii="宋体" w:hAnsi="宋体" w:cs="宋体"/>
                <w:bCs/>
                <w:color w:val="000000"/>
                <w:sz w:val="22"/>
              </w:rPr>
              <w:t>T3-B2变电站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ZHDCS11020/65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2011.09</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color w:val="000000"/>
                <w:sz w:val="22"/>
              </w:rPr>
              <w:t>T3-B3变电站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ZHDCS11020/65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2011.09</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color w:val="000000"/>
                <w:sz w:val="22"/>
              </w:rPr>
              <w:t>T3-B5变电站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ZHDCS11020/65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2011.09</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T1-B7变电站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ZHDCS11040/65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2015.03</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T2东区变</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2009.11</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T2西区变</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ZHDCS110/20</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2009.11</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T2桥载变</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ZHDCS11040/65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2016.09</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专机楼变电站</w:t>
            </w:r>
          </w:p>
        </w:tc>
        <w:tc>
          <w:tcPr>
            <w:tcW w:w="2781"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福斯特 GZDW-110V/20AH</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color w:val="FF0000"/>
                <w:sz w:val="22"/>
              </w:rPr>
            </w:pPr>
            <w:r>
              <w:rPr>
                <w:rFonts w:hint="eastAsia" w:ascii="宋体" w:hAnsi="宋体" w:cs="宋体"/>
                <w:color w:val="000000"/>
                <w:sz w:val="22"/>
                <w:shd w:val="clear" w:color="auto" w:fill="FFFFFF"/>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2016.03</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武警变电站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ZHDCS11040/55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2016.08</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西南角变电站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ZHDCS11040/40</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2018.05</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应保楼变电站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ZHDCS11040/65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2016.05</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南消防变电站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 ZHDCS11040/65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2019.06</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业务变电站</w:t>
            </w:r>
          </w:p>
        </w:tc>
        <w:tc>
          <w:tcPr>
            <w:tcW w:w="2781" w:type="dxa"/>
            <w:vAlign w:val="center"/>
          </w:tcPr>
          <w:p>
            <w:pPr>
              <w:snapToGrid w:val="0"/>
              <w:jc w:val="center"/>
              <w:rPr>
                <w:rFonts w:ascii="宋体" w:hAnsi="宋体" w:cs="宋体"/>
                <w:bCs/>
                <w:sz w:val="22"/>
              </w:rPr>
            </w:pPr>
            <w:r>
              <w:rPr>
                <w:rFonts w:hint="eastAsia" w:ascii="宋体" w:hAnsi="宋体" w:cs="宋体"/>
                <w:bCs/>
                <w:sz w:val="22"/>
              </w:rPr>
              <w:t>中恒ZHDCS11040/65</w:t>
            </w:r>
          </w:p>
        </w:tc>
        <w:tc>
          <w:tcPr>
            <w:tcW w:w="1135" w:type="dxa"/>
            <w:vAlign w:val="center"/>
          </w:tcPr>
          <w:p>
            <w:pPr>
              <w:snapToGrid w:val="0"/>
              <w:jc w:val="center"/>
              <w:rPr>
                <w:rFonts w:ascii="宋体" w:hAnsi="宋体" w:cs="宋体"/>
                <w:bCs/>
                <w:sz w:val="22"/>
              </w:rPr>
            </w:pPr>
            <w:r>
              <w:rPr>
                <w:rFonts w:hint="eastAsia" w:ascii="宋体" w:hAnsi="宋体" w:cs="宋体"/>
                <w:bCs/>
                <w:sz w:val="22"/>
              </w:rPr>
              <w:t>1</w:t>
            </w:r>
          </w:p>
        </w:tc>
        <w:tc>
          <w:tcPr>
            <w:tcW w:w="1349" w:type="dxa"/>
            <w:vAlign w:val="center"/>
          </w:tcPr>
          <w:p>
            <w:pPr>
              <w:snapToGrid w:val="0"/>
              <w:jc w:val="center"/>
              <w:rPr>
                <w:rFonts w:ascii="宋体" w:hAnsi="宋体" w:cs="宋体"/>
                <w:bCs/>
                <w:sz w:val="22"/>
              </w:rPr>
            </w:pPr>
            <w:r>
              <w:rPr>
                <w:rFonts w:hint="eastAsia" w:ascii="宋体" w:hAnsi="宋体" w:cs="宋体"/>
                <w:bCs/>
                <w:sz w:val="22"/>
              </w:rPr>
              <w:t>110V/20A</w:t>
            </w:r>
          </w:p>
        </w:tc>
        <w:tc>
          <w:tcPr>
            <w:tcW w:w="1161" w:type="dxa"/>
            <w:vAlign w:val="center"/>
          </w:tcPr>
          <w:p>
            <w:pPr>
              <w:snapToGrid w:val="0"/>
              <w:jc w:val="center"/>
              <w:rPr>
                <w:rFonts w:ascii="宋体" w:hAnsi="宋体" w:cs="宋体"/>
                <w:bCs/>
                <w:sz w:val="22"/>
              </w:rPr>
            </w:pPr>
            <w:r>
              <w:rPr>
                <w:rFonts w:hint="eastAsia" w:ascii="宋体" w:hAnsi="宋体" w:cs="宋体"/>
                <w:bCs/>
                <w:sz w:val="22"/>
              </w:rPr>
              <w:t>2019.06</w:t>
            </w:r>
          </w:p>
        </w:tc>
        <w:tc>
          <w:tcPr>
            <w:tcW w:w="1259"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合计</w:t>
            </w:r>
          </w:p>
        </w:tc>
        <w:tc>
          <w:tcPr>
            <w:tcW w:w="7685" w:type="dxa"/>
            <w:gridSpan w:val="5"/>
            <w:vAlign w:val="center"/>
          </w:tcPr>
          <w:p>
            <w:pPr>
              <w:snapToGrid w:val="0"/>
              <w:rPr>
                <w:rFonts w:ascii="宋体" w:hAnsi="宋体" w:cs="宋体"/>
                <w:bCs/>
                <w:sz w:val="22"/>
              </w:rPr>
            </w:pPr>
            <w:r>
              <w:rPr>
                <w:rFonts w:hint="eastAsia" w:ascii="宋体" w:hAnsi="宋体" w:cs="宋体"/>
                <w:bCs/>
                <w:sz w:val="22"/>
              </w:rPr>
              <w:t>共计19面直流屏</w:t>
            </w:r>
          </w:p>
        </w:tc>
      </w:tr>
    </w:tbl>
    <w:p>
      <w:pPr>
        <w:adjustRightInd w:val="0"/>
        <w:snapToGrid w:val="0"/>
        <w:spacing w:line="360" w:lineRule="exact"/>
        <w:rPr>
          <w:rFonts w:ascii="宋体" w:hAnsi="宋体" w:cs="宋体"/>
          <w:kern w:val="0"/>
          <w:sz w:val="22"/>
        </w:rPr>
      </w:pP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3.招标方式</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本次招标实行公开招标，采用总价报价的形式。</w:t>
      </w: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4.报价的要求</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4.1投标人根据标书要求以总价包干形式报价。因招标方要求投标人报价时需根据两种设备清单要求分别按一年和三年总价报价。</w:t>
      </w:r>
    </w:p>
    <w:p>
      <w:pPr>
        <w:adjustRightInd w:val="0"/>
        <w:snapToGrid w:val="0"/>
        <w:spacing w:line="360" w:lineRule="exact"/>
        <w:ind w:firstLine="440" w:firstLineChars="200"/>
        <w:rPr>
          <w:rFonts w:ascii="宋体" w:hAnsi="宋体" w:cs="宋体"/>
          <w:kern w:val="0"/>
          <w:sz w:val="22"/>
        </w:rPr>
      </w:pPr>
      <w:r>
        <w:rPr>
          <w:rFonts w:hint="eastAsia" w:ascii="宋体" w:hAnsi="宋体" w:cs="Calibri"/>
          <w:sz w:val="22"/>
        </w:rPr>
        <w:t>▲</w:t>
      </w:r>
      <w:r>
        <w:rPr>
          <w:rFonts w:hint="eastAsia" w:ascii="宋体" w:hAnsi="宋体" w:cs="宋体"/>
          <w:kern w:val="0"/>
          <w:sz w:val="22"/>
        </w:rPr>
        <w:t>4.2投标人根据下方“维修常用备品备件（例表）”清单内容要求，需按招标内容设备容量大小等参数要求增加备品备件的类别，且投标方须保证所供备品备件均为招标设备同品牌同系列正品原产件（招标方特别说明的除外），所有更换的配件（不含耗材）质保期为一年，在质保期内如出现质量问题，应免费更换。最后完善的常用备品备件报价清单作为合同附件，不含在投标报价总价中，仅作为以后单价2000以上维修费用支付依据。若未提供将作否决投标处理。如下例表：</w:t>
      </w:r>
    </w:p>
    <w:tbl>
      <w:tblPr>
        <w:tblStyle w:val="63"/>
        <w:tblW w:w="95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043"/>
        <w:gridCol w:w="672"/>
        <w:gridCol w:w="1948"/>
        <w:gridCol w:w="1591"/>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54" w:type="dxa"/>
            <w:gridSpan w:val="6"/>
            <w:vAlign w:val="center"/>
          </w:tcPr>
          <w:p>
            <w:pPr>
              <w:snapToGrid w:val="0"/>
              <w:jc w:val="center"/>
              <w:rPr>
                <w:bCs/>
                <w:sz w:val="22"/>
              </w:rPr>
            </w:pPr>
            <w:r>
              <w:rPr>
                <w:rFonts w:hint="eastAsia"/>
                <w:bCs/>
                <w:sz w:val="22"/>
              </w:rPr>
              <w:t>维修常用备品备件（例表）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备件名称</w:t>
            </w:r>
          </w:p>
        </w:tc>
        <w:tc>
          <w:tcPr>
            <w:tcW w:w="2043" w:type="dxa"/>
            <w:vAlign w:val="center"/>
          </w:tcPr>
          <w:p>
            <w:pPr>
              <w:snapToGrid w:val="0"/>
              <w:jc w:val="center"/>
              <w:rPr>
                <w:bCs/>
                <w:sz w:val="22"/>
              </w:rPr>
            </w:pPr>
            <w:r>
              <w:rPr>
                <w:rFonts w:hint="eastAsia"/>
                <w:bCs/>
                <w:sz w:val="22"/>
              </w:rPr>
              <w:t>型号</w:t>
            </w:r>
          </w:p>
        </w:tc>
        <w:tc>
          <w:tcPr>
            <w:tcW w:w="672" w:type="dxa"/>
            <w:vAlign w:val="center"/>
          </w:tcPr>
          <w:p>
            <w:pPr>
              <w:snapToGrid w:val="0"/>
              <w:jc w:val="center"/>
              <w:rPr>
                <w:bCs/>
                <w:sz w:val="22"/>
              </w:rPr>
            </w:pPr>
            <w:r>
              <w:rPr>
                <w:rFonts w:hint="eastAsia"/>
                <w:bCs/>
                <w:sz w:val="22"/>
              </w:rPr>
              <w:t>数量</w:t>
            </w:r>
          </w:p>
        </w:tc>
        <w:tc>
          <w:tcPr>
            <w:tcW w:w="1948" w:type="dxa"/>
            <w:vAlign w:val="center"/>
          </w:tcPr>
          <w:p>
            <w:pPr>
              <w:snapToGrid w:val="0"/>
              <w:jc w:val="center"/>
              <w:rPr>
                <w:bCs/>
                <w:sz w:val="22"/>
              </w:rPr>
            </w:pPr>
            <w:r>
              <w:rPr>
                <w:rFonts w:hint="eastAsia"/>
                <w:bCs/>
                <w:sz w:val="22"/>
              </w:rPr>
              <w:t>功率</w:t>
            </w:r>
          </w:p>
        </w:tc>
        <w:tc>
          <w:tcPr>
            <w:tcW w:w="1591" w:type="dxa"/>
            <w:vAlign w:val="center"/>
          </w:tcPr>
          <w:p>
            <w:pPr>
              <w:snapToGrid w:val="0"/>
              <w:jc w:val="center"/>
              <w:rPr>
                <w:bCs/>
                <w:sz w:val="22"/>
              </w:rPr>
            </w:pPr>
            <w:r>
              <w:rPr>
                <w:rFonts w:hint="eastAsia"/>
                <w:bCs/>
                <w:sz w:val="22"/>
              </w:rPr>
              <w:t>单价（元）</w:t>
            </w:r>
          </w:p>
        </w:tc>
        <w:tc>
          <w:tcPr>
            <w:tcW w:w="1583" w:type="dxa"/>
            <w:vAlign w:val="center"/>
          </w:tcPr>
          <w:p>
            <w:pPr>
              <w:snapToGrid w:val="0"/>
              <w:jc w:val="center"/>
              <w:rPr>
                <w:bCs/>
                <w:sz w:val="22"/>
              </w:rPr>
            </w:pPr>
            <w:r>
              <w:rPr>
                <w:rFonts w:hint="eastAsia"/>
                <w:bCs/>
                <w:sz w:val="22"/>
              </w:rPr>
              <w:t>用途备注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EA-YJS-20KW（例）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20KW及以下</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EA-YJS-100KW（例）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25-120KW</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EA-YJS-240KW（例）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240KW及以上</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显示屏</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显示屏</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直流屏备件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电源板</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AC风机</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电解电容器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CBB电容器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717" w:type="dxa"/>
            <w:vAlign w:val="center"/>
          </w:tcPr>
          <w:p>
            <w:pPr>
              <w:snapToGrid w:val="0"/>
              <w:jc w:val="center"/>
              <w:rPr>
                <w:bCs/>
                <w:sz w:val="22"/>
              </w:rPr>
            </w:pPr>
            <w:r>
              <w:rPr>
                <w:rFonts w:hint="eastAsia"/>
                <w:bCs/>
                <w:sz w:val="22"/>
              </w:rPr>
              <w:t>IGBT模块</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快速熔断器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辅助电源板</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
                <w:bCs/>
                <w:sz w:val="22"/>
              </w:rPr>
            </w:pPr>
            <w:r>
              <w:rPr>
                <w:b/>
                <w:bCs/>
                <w:sz w:val="22"/>
              </w:rPr>
              <w:t>……</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bl>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投标人在报价中的标价应包括完成该业务的设备投入、损耗材料购买、技术人员的配备、投标人维护人员的各种证件办理费、劳务费、差旅费、保险费、备件运费等一切保养维护费以及税费等所有费用，因投标人报价漏算少计，中标后不予追加。</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ascii="宋体" w:hAnsi="宋体" w:cs="宋体"/>
          <w:kern w:val="0"/>
          <w:sz w:val="22"/>
        </w:rPr>
        <w:t>4</w:t>
      </w:r>
      <w:r>
        <w:rPr>
          <w:rFonts w:hint="eastAsia" w:ascii="宋体" w:hAnsi="宋体" w:cs="宋体"/>
          <w:kern w:val="0"/>
          <w:sz w:val="22"/>
        </w:rPr>
        <w:t>投标中应充分考虑到维保过程中特殊情况需要，特殊情况处理的费用应列入总报价中。</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ascii="宋体" w:hAnsi="宋体" w:cs="宋体"/>
          <w:kern w:val="0"/>
          <w:sz w:val="22"/>
        </w:rPr>
        <w:t>5</w:t>
      </w:r>
      <w:r>
        <w:rPr>
          <w:rFonts w:hint="eastAsia" w:ascii="宋体" w:hAnsi="宋体" w:cs="宋体"/>
          <w:kern w:val="0"/>
          <w:sz w:val="22"/>
        </w:rPr>
        <w:t>因市场设备、材料、劳动力等因素发生变化均不予调整。</w:t>
      </w:r>
    </w:p>
    <w:p>
      <w:pPr>
        <w:adjustRightInd w:val="0"/>
        <w:snapToGrid w:val="0"/>
        <w:spacing w:line="360" w:lineRule="exact"/>
        <w:ind w:firstLine="440" w:firstLineChars="200"/>
        <w:rPr>
          <w:rFonts w:ascii="宋体" w:hAnsi="宋体" w:cs="宋体"/>
          <w:kern w:val="0"/>
          <w:sz w:val="22"/>
        </w:rPr>
      </w:pPr>
      <w:r>
        <w:rPr>
          <w:rFonts w:hint="eastAsia" w:hAnsi="宋体" w:cs="Calibri"/>
          <w:sz w:val="22"/>
        </w:rPr>
        <w:t>▲</w:t>
      </w:r>
      <w:r>
        <w:rPr>
          <w:rFonts w:hint="eastAsia" w:ascii="宋体" w:hAnsi="宋体" w:cs="宋体"/>
          <w:kern w:val="0"/>
          <w:sz w:val="22"/>
        </w:rPr>
        <w:t>4.</w:t>
      </w:r>
      <w:r>
        <w:rPr>
          <w:rFonts w:ascii="宋体" w:hAnsi="宋体" w:cs="宋体"/>
          <w:kern w:val="0"/>
          <w:sz w:val="22"/>
        </w:rPr>
        <w:t>6</w:t>
      </w:r>
      <w:r>
        <w:rPr>
          <w:rFonts w:hint="eastAsia" w:ascii="宋体" w:hAnsi="宋体" w:cs="宋体"/>
          <w:kern w:val="0"/>
          <w:sz w:val="22"/>
        </w:rPr>
        <w:t>本次报价要求均为含税价，并注明税率，如遇税率不一致的情况，按不含税价进行评审。</w:t>
      </w: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5.服务要求</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5.1每年年初提供年度维护保养计划，节假日等特殊期间需提供保障人员的名单和直接联系方式。</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5.2负责对所有EPS（总容量为847KW）和直流屏系统进行日常维护保养、故障维修和应急情况处置，每年四次定期对所有EPS和每年一次对所有直流屏进行系统检查、测试维护工作。</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5.3具体维修保养内容包括：</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（1）进行EPS(直流屏)内、外部的清洁和除尘；</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（2）进行EPS(直流屏)在市电和电池状态下的工作检测，并进行逆变转换实验；</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（3）进行主机各工作点和控制点的数据检测和调整；</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（4）对EPS(直流屏)的使用环境包括放置位置、温度、湿度、输入电压、输出电压、零地电压、接地、配线布线等状况进行检测；</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（5）进行电池总电压及端电压的在线或离线检测；</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（6）进行电池的内阻、电导测试；</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（7）进行电池的充放电实验；</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（8）建立EPS(直流屏)档案，提供综合报告和更换、更新、重组方案。</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（9）其他服务内容：</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a）进行EPS(直流屏)系统设备快速维修；</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b）提供EPS(直流屏)使用、维护、基本原理、故障判断、应急措施实施等培训；</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c）EPS(直流屏)重新利用组合方案，EPS(直流屏)选型、配置、安装等技术咨询。</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5.4技术服务要求：中标方保证以快速的响应、熟练的维护技术向机场提供优质的设备维护保养服务，具体包括设备的定期检查保养、故障及时修复、备件保障供应，以及提供相应的技术咨询、交流和培训等方面的服务，配合机场完成相关硬件搬迁、设备更换、应急预案演练等工作。</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5.5根据招标方设备储备易损和常用备件，及时对招标方设备进行维护保养服务。当维保范围内的设备发生故障时，单次维修所产生的维修费金额小于等于2000元时费用由中标方承担，单次维修所产生的维修费金额大于2000元时费用由招标方负责。</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5.6备品备件的要求：</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在维保服务期内，投标方须保证所供备品备件均为招标设备同品牌同系列正品原产件（招标方特别说明或本公司无同类产品的除外），所有更换的配件（不含耗材）质保期为一年，在质保期内如出现质量问题，应免费更换。</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（2）在招标方有特别说明或本公司无招标设备同类产品的配件时，替代产品的标准不得低于招标设备同品牌的标准（开具官方证明文件并经招标方同意）。</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（3）本项目所供备品备件、材料，应以书面形式向招标方提交一份产品合格证及质量保证书。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5.7人员要求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（1）要求维保人员身体健康，无不良嗜好，无重大疾病或身体缺陷，本人及直系亲属无违法犯罪纪录（办理禁区通行证的前提）等。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（2）维保项目负责人应具有较丰富的EPS、交流/直流设备检修专业知识并得到招标方认可。</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（3）维保人员应熟悉电力生产的基本过程及EPS、交流/直流电源系统设备的工作原理及结构，掌握EPS、交流/直流电源系统设备的检修技能。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（4）要求维保人员有国家能源局或安监局颁发的低压进网作业许可证（或工作证）。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（5）进场维保人员着装应规范，应穿全棉长袖工作服，穿绝缘鞋，安全帽符合相关要求，进入机坪必须穿戴反光背心。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（6）所有进场维保人员必须服从招标方的指挥，遵守招标方的安全规定。</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5.8培训要求：中标方每年需组织安排由招标设备品牌之一的技术服务人员对招标方进行一次业务培训。</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5.9 维保服务期内若有新投运直流屏数量不超过2面，EPS数量不超过2组且每组的单台容量不大于300kW，中标方需纳入合同范围，并提供与招标设备同样的维护服务。</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5.10中标方须在杭州设有长期固定的完善的售后服务及维修机构，并配有较强的技术队伍，须提供联系地址、电话，接到招标方通知须3小时内到达现场，出具相关承诺书。</w:t>
      </w: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6.服务方式</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6.1服务热线电话支持：中标方提供7*24小时服务热线电话支持，对机场发现设备发生异常或遇到难于解决的疑难问题给予及时的服务响应。</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6.2到现场维护服务：当中标方接到机场设备故障要求维护的通知（电话、传真）后，应积极响应，并立即派有经验的EPS(直流屏)专业工程师到机场指定的设备现场进行设备维护或更换设备部件来排除故障，保障设备及时地恢复正常进行。</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6.3到现场时间限定：接到机场通知后到达机场指定现场的时间为</w:t>
      </w:r>
      <w:r>
        <w:rPr>
          <w:rFonts w:hint="eastAsia" w:ascii="宋体" w:hAnsi="宋体" w:cs="宋体"/>
          <w:kern w:val="0"/>
          <w:sz w:val="22"/>
        </w:rPr>
        <w:t>3</w:t>
      </w:r>
      <w:r>
        <w:rPr>
          <w:rFonts w:ascii="宋体" w:hAnsi="宋体" w:cs="宋体"/>
          <w:kern w:val="0"/>
          <w:sz w:val="22"/>
        </w:rPr>
        <w:t>小时。维护范围内发生重大故障造成EPS(直流屏)系统不能正常运行的，中标方应在接到通知后1.5小时内到达现场，6小时内给予恢复。</w:t>
      </w:r>
    </w:p>
    <w:p>
      <w:pPr>
        <w:adjustRightInd w:val="0"/>
        <w:snapToGrid w:val="0"/>
        <w:spacing w:line="360" w:lineRule="exact"/>
        <w:rPr>
          <w:rFonts w:ascii="宋体" w:hAnsi="宋体" w:cs="宋体"/>
          <w:b/>
          <w:bCs/>
          <w:kern w:val="0"/>
          <w:sz w:val="22"/>
        </w:rPr>
      </w:pPr>
      <w:r>
        <w:rPr>
          <w:rFonts w:ascii="宋体" w:hAnsi="宋体" w:cs="宋体"/>
          <w:b/>
          <w:bCs/>
          <w:kern w:val="0"/>
          <w:sz w:val="22"/>
        </w:rPr>
        <w:t>7.服务质量</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7.1中标方对招标方设备所进行的设备故障保养及</w:t>
      </w:r>
      <w:r>
        <w:rPr>
          <w:rFonts w:hint="eastAsia" w:ascii="宋体" w:hAnsi="宋体" w:cs="宋体"/>
          <w:kern w:val="0"/>
          <w:sz w:val="22"/>
        </w:rPr>
        <w:t>定期巡检</w:t>
      </w:r>
      <w:r>
        <w:rPr>
          <w:rFonts w:ascii="宋体" w:hAnsi="宋体" w:cs="宋体"/>
          <w:kern w:val="0"/>
          <w:sz w:val="22"/>
        </w:rPr>
        <w:t>维护中，应及时更换受损部件，在保养、维护结束后，必须出具维修结果报告的电子和书面文档交招标方维修设备所在部门有关人员确认，以备案待查。服务期满后，中标方应提供详细的年度维护报告资料，并通过招标方验收。</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7.2所有维保人员必须服从机场的指挥，遵守机场的安全规定。</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7.3中标方承诺在中国境内备有充足的耗材及备件以满足招标人的维修更换需要，耗材及备件的运输10天内运达招标人指定地点，做到及时、快捷。</w:t>
      </w:r>
    </w:p>
    <w:p>
      <w:pPr>
        <w:adjustRightInd w:val="0"/>
        <w:snapToGrid w:val="0"/>
        <w:spacing w:line="360" w:lineRule="exact"/>
        <w:rPr>
          <w:rFonts w:ascii="宋体" w:hAnsi="宋体" w:cs="宋体"/>
          <w:b/>
          <w:bCs/>
          <w:kern w:val="0"/>
          <w:sz w:val="22"/>
        </w:rPr>
      </w:pPr>
      <w:r>
        <w:rPr>
          <w:rFonts w:ascii="宋体" w:hAnsi="宋体" w:cs="宋体"/>
          <w:b/>
          <w:bCs/>
          <w:kern w:val="0"/>
          <w:sz w:val="22"/>
        </w:rPr>
        <w:t>8.合同期限</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合同期限为三年，2019年11月1日至2022年10月31日。</w:t>
      </w:r>
    </w:p>
    <w:p>
      <w:pPr>
        <w:adjustRightInd w:val="0"/>
        <w:snapToGrid w:val="0"/>
        <w:spacing w:line="360" w:lineRule="exact"/>
        <w:rPr>
          <w:rFonts w:ascii="宋体" w:hAnsi="宋体" w:cs="宋体"/>
          <w:b/>
          <w:bCs/>
          <w:kern w:val="0"/>
          <w:sz w:val="22"/>
        </w:rPr>
      </w:pPr>
      <w:r>
        <w:rPr>
          <w:rFonts w:ascii="宋体" w:hAnsi="宋体" w:cs="宋体"/>
          <w:b/>
          <w:bCs/>
          <w:kern w:val="0"/>
          <w:sz w:val="22"/>
        </w:rPr>
        <w:t>9.付款方式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每年度的合同费用支付：每年支付一次。每年完成服务后，招标方根据中标方的季度考核结果以及中标方年度考核结果支付每年的费用，招标方应在下一年度开始后的两个月内根据中标方开具的发票以转账形式向中标方支付相应的维护保养服务费用。每次付款前中标方提供正式的增值税专用发票。</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在合同有效期限内，若因国家税收政策调整而引起的增值税税率变化的，应按照国家税收政策调整，合同总金额变更为原合同不含增值税货物或劳务价格与调整后税率计算税额的合计金额。</w:t>
      </w:r>
    </w:p>
    <w:p>
      <w:pPr>
        <w:pStyle w:val="2"/>
        <w:pageBreakBefore/>
        <w:spacing w:before="0" w:after="0" w:line="360" w:lineRule="auto"/>
        <w:jc w:val="center"/>
        <w:rPr>
          <w:rFonts w:ascii="Calibri" w:hAnsi="Calibri" w:eastAsia="黑体" w:cs="Calibri"/>
          <w:kern w:val="0"/>
          <w:sz w:val="32"/>
        </w:rPr>
      </w:pPr>
      <w:bookmarkStart w:id="114"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4"/>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甲方（委托方）: 杭州萧山国际机场有限公司</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住所地：杭州萧山国际机场            </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乙方（受委托方）: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住所地： </w:t>
      </w:r>
    </w:p>
    <w:p>
      <w:pPr>
        <w:adjustRightInd w:val="0"/>
        <w:snapToGrid w:val="0"/>
        <w:spacing w:line="360" w:lineRule="exact"/>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乙双方根据《中华人民共和国合同法》等相关法律法规，就杭州萧山国际机场使用的EPS（直流屏）系统产品，在互利、平等的原则基础上，经协商一致达成如下维护保养技术有偿服务条款事宜，特签订本合同，以共同遵守。</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一、服务内容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对杭州萧山国际机场内共38台EPS电源（总容量为847KW）进行为期三年的维保工作，包括负责对所有EPS系统进行维护保养、故障维修和应急情况处置，每年四次定期对所有EPS进行系统检查、测试维护工作，每年安排一次EPS电源厂家培训等服务内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EPS设备型号及数量如下：</w:t>
      </w:r>
    </w:p>
    <w:tbl>
      <w:tblPr>
        <w:tblStyle w:val="63"/>
        <w:tblW w:w="89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043"/>
        <w:gridCol w:w="1134"/>
        <w:gridCol w:w="1134"/>
        <w:gridCol w:w="1345"/>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61" w:type="dxa"/>
            <w:gridSpan w:val="6"/>
            <w:vAlign w:val="center"/>
          </w:tcPr>
          <w:p>
            <w:pPr>
              <w:adjustRightInd w:val="0"/>
              <w:snapToGrid w:val="0"/>
              <w:jc w:val="center"/>
              <w:rPr>
                <w:rFonts w:ascii="宋体" w:hAnsi="宋体" w:cs="宋体"/>
                <w:b/>
                <w:sz w:val="22"/>
              </w:rPr>
            </w:pPr>
            <w:r>
              <w:rPr>
                <w:rFonts w:hint="eastAsia" w:ascii="宋体" w:hAnsi="宋体" w:cs="宋体"/>
                <w:b/>
                <w:sz w:val="22"/>
              </w:rPr>
              <w:t>EPS维保清单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84" w:type="dxa"/>
            <w:vAlign w:val="center"/>
          </w:tcPr>
          <w:p>
            <w:pPr>
              <w:snapToGrid w:val="0"/>
              <w:jc w:val="center"/>
              <w:rPr>
                <w:rFonts w:ascii="宋体" w:hAnsi="宋体" w:cs="宋体"/>
                <w:b/>
                <w:color w:val="000000"/>
                <w:sz w:val="22"/>
              </w:rPr>
            </w:pPr>
            <w:r>
              <w:rPr>
                <w:rFonts w:hint="eastAsia" w:ascii="宋体" w:hAnsi="宋体" w:cs="宋体"/>
                <w:b/>
                <w:color w:val="000000"/>
                <w:sz w:val="22"/>
              </w:rPr>
              <w:t>安装位置</w:t>
            </w:r>
          </w:p>
        </w:tc>
        <w:tc>
          <w:tcPr>
            <w:tcW w:w="2043" w:type="dxa"/>
            <w:vAlign w:val="center"/>
          </w:tcPr>
          <w:p>
            <w:pPr>
              <w:snapToGrid w:val="0"/>
              <w:jc w:val="center"/>
              <w:rPr>
                <w:rFonts w:ascii="宋体" w:hAnsi="宋体" w:cs="宋体"/>
                <w:b/>
                <w:bCs/>
                <w:sz w:val="22"/>
              </w:rPr>
            </w:pPr>
            <w:r>
              <w:rPr>
                <w:rFonts w:hint="eastAsia" w:ascii="宋体" w:hAnsi="宋体" w:cs="宋体"/>
                <w:b/>
                <w:bCs/>
                <w:sz w:val="22"/>
              </w:rPr>
              <w:t>品牌/型号</w:t>
            </w:r>
          </w:p>
        </w:tc>
        <w:tc>
          <w:tcPr>
            <w:tcW w:w="1134" w:type="dxa"/>
            <w:vAlign w:val="center"/>
          </w:tcPr>
          <w:p>
            <w:pPr>
              <w:snapToGrid w:val="0"/>
              <w:jc w:val="center"/>
              <w:rPr>
                <w:rFonts w:ascii="宋体" w:hAnsi="宋体" w:cs="宋体"/>
                <w:b/>
                <w:bCs/>
                <w:sz w:val="22"/>
              </w:rPr>
            </w:pPr>
            <w:r>
              <w:rPr>
                <w:rFonts w:hint="eastAsia" w:ascii="宋体" w:hAnsi="宋体" w:cs="宋体"/>
                <w:b/>
                <w:bCs/>
                <w:sz w:val="22"/>
              </w:rPr>
              <w:t>数量(台)</w:t>
            </w:r>
          </w:p>
        </w:tc>
        <w:tc>
          <w:tcPr>
            <w:tcW w:w="1134" w:type="dxa"/>
            <w:vAlign w:val="center"/>
          </w:tcPr>
          <w:p>
            <w:pPr>
              <w:snapToGrid w:val="0"/>
              <w:jc w:val="center"/>
              <w:rPr>
                <w:rFonts w:ascii="宋体" w:hAnsi="宋体" w:cs="宋体"/>
                <w:b/>
                <w:bCs/>
                <w:sz w:val="22"/>
              </w:rPr>
            </w:pPr>
            <w:r>
              <w:rPr>
                <w:rFonts w:hint="eastAsia" w:ascii="宋体" w:hAnsi="宋体" w:cs="宋体"/>
                <w:b/>
                <w:bCs/>
                <w:sz w:val="22"/>
              </w:rPr>
              <w:t>单台容量</w:t>
            </w:r>
          </w:p>
        </w:tc>
        <w:tc>
          <w:tcPr>
            <w:tcW w:w="1345" w:type="dxa"/>
            <w:vAlign w:val="center"/>
          </w:tcPr>
          <w:p>
            <w:pPr>
              <w:adjustRightInd w:val="0"/>
              <w:snapToGrid w:val="0"/>
              <w:jc w:val="center"/>
              <w:rPr>
                <w:rFonts w:ascii="宋体" w:hAnsi="宋体" w:cs="宋体"/>
                <w:b/>
                <w:sz w:val="22"/>
              </w:rPr>
            </w:pPr>
            <w:r>
              <w:rPr>
                <w:rFonts w:hint="eastAsia" w:ascii="宋体" w:hAnsi="宋体" w:cs="宋体"/>
                <w:b/>
                <w:sz w:val="22"/>
              </w:rPr>
              <w:t>年限</w:t>
            </w:r>
          </w:p>
        </w:tc>
        <w:tc>
          <w:tcPr>
            <w:tcW w:w="1121" w:type="dxa"/>
            <w:vAlign w:val="center"/>
          </w:tcPr>
          <w:p>
            <w:pPr>
              <w:adjustRightInd w:val="0"/>
              <w:snapToGrid w:val="0"/>
              <w:jc w:val="center"/>
              <w:rPr>
                <w:rFonts w:ascii="宋体" w:hAnsi="宋体" w:cs="宋体"/>
                <w:b/>
                <w:sz w:val="22"/>
              </w:rPr>
            </w:pPr>
            <w:r>
              <w:rPr>
                <w:rFonts w:hint="eastAsia" w:ascii="宋体" w:hAnsi="宋体" w:cs="宋体"/>
                <w:b/>
                <w:sz w:val="22"/>
              </w:rPr>
              <w:t>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东区变电站B020</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西区变电站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1068房间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1154房间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1034房间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6KW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1009房间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1043房间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2054房间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2070、3070房间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3027房间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3084房间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3089房间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T2航站楼</w:t>
            </w:r>
          </w:p>
          <w:p>
            <w:pPr>
              <w:snapToGrid w:val="0"/>
              <w:jc w:val="center"/>
              <w:rPr>
                <w:rFonts w:ascii="宋体" w:hAnsi="宋体" w:cs="宋体"/>
                <w:bCs/>
                <w:sz w:val="22"/>
              </w:rPr>
            </w:pPr>
            <w:r>
              <w:rPr>
                <w:rFonts w:hint="eastAsia" w:ascii="宋体" w:hAnsi="宋体" w:cs="宋体"/>
                <w:bCs/>
                <w:sz w:val="22"/>
              </w:rPr>
              <w:t>3054房间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2010年投运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1#变电站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100KW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2#变电站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3#变电站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240KW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T3航站楼</w:t>
            </w:r>
          </w:p>
          <w:p>
            <w:pPr>
              <w:snapToGrid w:val="0"/>
              <w:jc w:val="center"/>
              <w:rPr>
                <w:rFonts w:ascii="宋体" w:hAnsi="宋体" w:cs="宋体"/>
                <w:bCs/>
                <w:sz w:val="22"/>
              </w:rPr>
            </w:pPr>
            <w:r>
              <w:rPr>
                <w:rFonts w:hint="eastAsia" w:ascii="宋体" w:hAnsi="宋体" w:cs="宋体"/>
                <w:bCs/>
                <w:sz w:val="22"/>
              </w:rPr>
              <w:t>5#变电站</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120KW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隧道变</w:t>
            </w:r>
          </w:p>
        </w:tc>
        <w:tc>
          <w:tcPr>
            <w:tcW w:w="2043" w:type="dxa"/>
            <w:vAlign w:val="center"/>
          </w:tcPr>
          <w:p>
            <w:pPr>
              <w:snapToGrid w:val="0"/>
              <w:jc w:val="center"/>
              <w:rPr>
                <w:rFonts w:ascii="宋体" w:hAnsi="宋体" w:cs="宋体"/>
                <w:bCs/>
                <w:sz w:val="22"/>
              </w:rPr>
            </w:pPr>
            <w:r>
              <w:rPr>
                <w:rFonts w:hint="eastAsia" w:ascii="宋体" w:hAnsi="宋体" w:cs="宋体"/>
                <w:bCs/>
                <w:sz w:val="22"/>
              </w:rPr>
              <w:t>易事特EA-YJS</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20KW</w:t>
            </w:r>
          </w:p>
        </w:tc>
        <w:tc>
          <w:tcPr>
            <w:tcW w:w="1345" w:type="dxa"/>
            <w:vAlign w:val="center"/>
          </w:tcPr>
          <w:p>
            <w:pPr>
              <w:snapToGrid w:val="0"/>
              <w:jc w:val="center"/>
              <w:rPr>
                <w:rFonts w:ascii="宋体" w:hAnsi="宋体" w:cs="宋体"/>
                <w:bCs/>
                <w:sz w:val="22"/>
              </w:rPr>
            </w:pPr>
            <w:r>
              <w:rPr>
                <w:rFonts w:hint="eastAsia" w:ascii="宋体" w:hAnsi="宋体" w:cs="宋体"/>
                <w:bCs/>
                <w:sz w:val="22"/>
              </w:rPr>
              <w:t>2012年投运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B7变电所</w:t>
            </w:r>
          </w:p>
        </w:tc>
        <w:tc>
          <w:tcPr>
            <w:tcW w:w="2043" w:type="dxa"/>
            <w:vAlign w:val="center"/>
          </w:tcPr>
          <w:p>
            <w:pPr>
              <w:snapToGrid w:val="0"/>
              <w:jc w:val="center"/>
              <w:rPr>
                <w:rFonts w:ascii="宋体" w:hAnsi="宋体" w:cs="宋体"/>
                <w:bCs/>
                <w:sz w:val="22"/>
              </w:rPr>
            </w:pPr>
            <w:bookmarkStart w:id="115" w:name="OLE_LINK1"/>
            <w:r>
              <w:rPr>
                <w:rFonts w:hint="eastAsia" w:ascii="宋体" w:hAnsi="宋体" w:cs="宋体"/>
                <w:bCs/>
                <w:sz w:val="22"/>
              </w:rPr>
              <w:t>创统</w:t>
            </w:r>
            <w:bookmarkEnd w:id="115"/>
            <w:r>
              <w:rPr>
                <w:rFonts w:hint="eastAsia" w:ascii="宋体" w:hAnsi="宋体" w:cs="宋体"/>
                <w:bCs/>
                <w:sz w:val="22"/>
              </w:rPr>
              <w:t>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嘉溢阁一楼</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老国际到达夹层E2026</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老国际到达1M4房间</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国内到达夹层E2009</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国内E1152</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创统YJ-5KW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B13登机口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B11登机口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B10登机口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B09登机口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B08登机口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B07登机口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B05-06登机口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B04登机口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B03登机口</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值机C岛</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值机D岛</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值机E1岛</w:t>
            </w:r>
          </w:p>
        </w:tc>
        <w:tc>
          <w:tcPr>
            <w:tcW w:w="2043" w:type="dxa"/>
            <w:vAlign w:val="center"/>
          </w:tcPr>
          <w:p>
            <w:pPr>
              <w:snapToGrid w:val="0"/>
              <w:jc w:val="center"/>
              <w:rPr>
                <w:rFonts w:ascii="宋体" w:hAnsi="宋体" w:cs="宋体"/>
                <w:bCs/>
                <w:sz w:val="22"/>
              </w:rPr>
            </w:pPr>
            <w:r>
              <w:rPr>
                <w:rFonts w:hint="eastAsia" w:ascii="宋体" w:hAnsi="宋体" w:cs="宋体"/>
                <w:bCs/>
                <w:sz w:val="22"/>
              </w:rPr>
              <w:t>创统YJ-500W</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500W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专机楼西侧</w:t>
            </w:r>
          </w:p>
        </w:tc>
        <w:tc>
          <w:tcPr>
            <w:tcW w:w="2043" w:type="dxa"/>
            <w:vAlign w:val="center"/>
          </w:tcPr>
          <w:p>
            <w:pPr>
              <w:snapToGrid w:val="0"/>
              <w:jc w:val="center"/>
              <w:rPr>
                <w:rFonts w:ascii="宋体" w:hAnsi="宋体" w:cs="宋体"/>
                <w:bCs/>
                <w:sz w:val="22"/>
              </w:rPr>
            </w:pPr>
            <w:r>
              <w:rPr>
                <w:rFonts w:hint="eastAsia" w:ascii="宋体" w:hAnsi="宋体" w:cs="宋体"/>
                <w:bCs/>
                <w:sz w:val="22"/>
              </w:rPr>
              <w:t>西奥根SA-D-5KVA</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专机楼东侧</w:t>
            </w:r>
          </w:p>
        </w:tc>
        <w:tc>
          <w:tcPr>
            <w:tcW w:w="2043" w:type="dxa"/>
            <w:vAlign w:val="center"/>
          </w:tcPr>
          <w:p>
            <w:pPr>
              <w:snapToGrid w:val="0"/>
              <w:jc w:val="center"/>
              <w:rPr>
                <w:rFonts w:ascii="宋体" w:hAnsi="宋体" w:cs="宋体"/>
                <w:bCs/>
                <w:sz w:val="22"/>
              </w:rPr>
            </w:pPr>
            <w:r>
              <w:rPr>
                <w:rFonts w:hint="eastAsia" w:ascii="宋体" w:hAnsi="宋体" w:cs="宋体"/>
                <w:bCs/>
                <w:sz w:val="22"/>
              </w:rPr>
              <w:t>西奥根SA-D-5KVA</w:t>
            </w:r>
          </w:p>
        </w:tc>
        <w:tc>
          <w:tcPr>
            <w:tcW w:w="1134" w:type="dxa"/>
            <w:vAlign w:val="center"/>
          </w:tcPr>
          <w:p>
            <w:pPr>
              <w:snapToGrid w:val="0"/>
              <w:jc w:val="center"/>
              <w:rPr>
                <w:rFonts w:ascii="宋体" w:hAnsi="宋体" w:cs="宋体"/>
                <w:bCs/>
                <w:sz w:val="22"/>
              </w:rPr>
            </w:pPr>
            <w:r>
              <w:rPr>
                <w:rFonts w:hint="eastAsia" w:ascii="宋体" w:hAnsi="宋体" w:cs="宋体"/>
                <w:bCs/>
                <w:sz w:val="22"/>
              </w:rPr>
              <w:t>1</w:t>
            </w:r>
          </w:p>
        </w:tc>
        <w:tc>
          <w:tcPr>
            <w:tcW w:w="1134" w:type="dxa"/>
            <w:vAlign w:val="center"/>
          </w:tcPr>
          <w:p>
            <w:pPr>
              <w:snapToGrid w:val="0"/>
              <w:jc w:val="center"/>
              <w:rPr>
                <w:rFonts w:ascii="宋体" w:hAnsi="宋体" w:cs="宋体"/>
                <w:bCs/>
                <w:sz w:val="22"/>
              </w:rPr>
            </w:pPr>
            <w:r>
              <w:rPr>
                <w:rFonts w:hint="eastAsia" w:ascii="宋体" w:hAnsi="宋体" w:cs="宋体"/>
                <w:bCs/>
                <w:sz w:val="22"/>
              </w:rPr>
              <w:t>5KW</w:t>
            </w:r>
          </w:p>
        </w:tc>
        <w:tc>
          <w:tcPr>
            <w:tcW w:w="1345" w:type="dxa"/>
            <w:vAlign w:val="center"/>
          </w:tcPr>
          <w:p>
            <w:pPr>
              <w:snapToGrid w:val="0"/>
              <w:jc w:val="center"/>
              <w:rPr>
                <w:rFonts w:ascii="宋体" w:hAnsi="宋体" w:cs="宋体"/>
                <w:bCs/>
                <w:sz w:val="22"/>
              </w:rPr>
            </w:pPr>
            <w:r>
              <w:rPr>
                <w:rFonts w:hint="eastAsia" w:ascii="宋体" w:hAnsi="宋体" w:cs="宋体"/>
                <w:bCs/>
                <w:sz w:val="22"/>
              </w:rPr>
              <w:t>2016年投运</w:t>
            </w:r>
          </w:p>
        </w:tc>
        <w:tc>
          <w:tcPr>
            <w:tcW w:w="1121"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84" w:type="dxa"/>
            <w:vAlign w:val="center"/>
          </w:tcPr>
          <w:p>
            <w:pPr>
              <w:snapToGrid w:val="0"/>
              <w:jc w:val="center"/>
              <w:rPr>
                <w:rFonts w:ascii="宋体" w:hAnsi="宋体" w:cs="宋体"/>
                <w:bCs/>
                <w:sz w:val="22"/>
              </w:rPr>
            </w:pPr>
            <w:r>
              <w:rPr>
                <w:rFonts w:hint="eastAsia" w:ascii="宋体" w:hAnsi="宋体" w:cs="宋体"/>
                <w:bCs/>
                <w:sz w:val="22"/>
              </w:rPr>
              <w:t>合计</w:t>
            </w:r>
          </w:p>
        </w:tc>
        <w:tc>
          <w:tcPr>
            <w:tcW w:w="6777" w:type="dxa"/>
            <w:gridSpan w:val="5"/>
            <w:vAlign w:val="center"/>
          </w:tcPr>
          <w:p>
            <w:pPr>
              <w:snapToGrid w:val="0"/>
              <w:rPr>
                <w:rFonts w:ascii="宋体" w:hAnsi="宋体" w:cs="宋体"/>
                <w:bCs/>
                <w:sz w:val="22"/>
              </w:rPr>
            </w:pPr>
            <w:r>
              <w:rPr>
                <w:rFonts w:hint="eastAsia" w:ascii="宋体" w:hAnsi="宋体" w:cs="宋体"/>
                <w:bCs/>
                <w:sz w:val="22"/>
              </w:rPr>
              <w:t>共38台EPS，总容量为847kW</w:t>
            </w:r>
          </w:p>
        </w:tc>
      </w:tr>
    </w:tbl>
    <w:p>
      <w:pPr>
        <w:adjustRightInd w:val="0"/>
        <w:snapToGrid w:val="0"/>
        <w:spacing w:line="360" w:lineRule="exact"/>
        <w:ind w:firstLine="442" w:firstLineChars="200"/>
        <w:rPr>
          <w:rFonts w:ascii="宋体" w:hAnsi="宋体" w:cs="Calibri"/>
          <w:b/>
          <w:bCs/>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2.对杭州萧山国际机场内共19面直流屏系统进行为期三年的维保工作，包括负责对所有直流屏系统进行维护保养、故障维修和应急情况处置，每年一次对所有直流屏系统进行系统检查、测试维护工作等服务内容。</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直流屏设备型号及数量如下：</w:t>
      </w:r>
    </w:p>
    <w:tbl>
      <w:tblPr>
        <w:tblStyle w:val="63"/>
        <w:tblW w:w="92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993"/>
        <w:gridCol w:w="1170"/>
        <w:gridCol w:w="1155"/>
        <w:gridCol w:w="1035"/>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69" w:type="dxa"/>
            <w:gridSpan w:val="6"/>
            <w:vAlign w:val="center"/>
          </w:tcPr>
          <w:p>
            <w:pPr>
              <w:adjustRightInd w:val="0"/>
              <w:snapToGrid w:val="0"/>
              <w:jc w:val="center"/>
              <w:rPr>
                <w:rFonts w:ascii="宋体" w:hAnsi="宋体" w:cs="宋体"/>
                <w:b/>
                <w:sz w:val="22"/>
              </w:rPr>
            </w:pPr>
            <w:r>
              <w:rPr>
                <w:rFonts w:hint="eastAsia" w:ascii="宋体" w:hAnsi="宋体" w:cs="宋体"/>
                <w:b/>
                <w:sz w:val="22"/>
              </w:rPr>
              <w:t>直流屏维保清单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
                <w:color w:val="000000"/>
                <w:sz w:val="22"/>
              </w:rPr>
            </w:pPr>
            <w:r>
              <w:rPr>
                <w:rFonts w:hint="eastAsia" w:ascii="宋体" w:hAnsi="宋体" w:cs="宋体"/>
                <w:b/>
                <w:color w:val="000000"/>
                <w:sz w:val="22"/>
              </w:rPr>
              <w:t>安装位置</w:t>
            </w:r>
          </w:p>
        </w:tc>
        <w:tc>
          <w:tcPr>
            <w:tcW w:w="1993" w:type="dxa"/>
            <w:vAlign w:val="center"/>
          </w:tcPr>
          <w:p>
            <w:pPr>
              <w:snapToGrid w:val="0"/>
              <w:jc w:val="center"/>
              <w:rPr>
                <w:rFonts w:ascii="宋体" w:hAnsi="宋体" w:cs="宋体"/>
                <w:b/>
                <w:bCs/>
                <w:sz w:val="22"/>
              </w:rPr>
            </w:pPr>
            <w:r>
              <w:rPr>
                <w:rFonts w:hint="eastAsia" w:ascii="宋体" w:hAnsi="宋体" w:cs="宋体"/>
                <w:b/>
                <w:bCs/>
                <w:sz w:val="22"/>
              </w:rPr>
              <w:t>品牌/型号</w:t>
            </w:r>
          </w:p>
        </w:tc>
        <w:tc>
          <w:tcPr>
            <w:tcW w:w="1170" w:type="dxa"/>
            <w:vAlign w:val="center"/>
          </w:tcPr>
          <w:p>
            <w:pPr>
              <w:snapToGrid w:val="0"/>
              <w:jc w:val="center"/>
              <w:rPr>
                <w:rFonts w:ascii="宋体" w:hAnsi="宋体" w:cs="宋体"/>
                <w:b/>
                <w:bCs/>
                <w:sz w:val="22"/>
              </w:rPr>
            </w:pPr>
            <w:r>
              <w:rPr>
                <w:rFonts w:hint="eastAsia" w:ascii="宋体" w:hAnsi="宋体" w:cs="宋体"/>
                <w:b/>
                <w:bCs/>
                <w:sz w:val="22"/>
              </w:rPr>
              <w:t>数量(台)</w:t>
            </w:r>
          </w:p>
        </w:tc>
        <w:tc>
          <w:tcPr>
            <w:tcW w:w="1155" w:type="dxa"/>
            <w:vAlign w:val="center"/>
          </w:tcPr>
          <w:p>
            <w:pPr>
              <w:snapToGrid w:val="0"/>
              <w:jc w:val="center"/>
              <w:rPr>
                <w:rFonts w:ascii="宋体" w:hAnsi="宋体" w:cs="宋体"/>
                <w:b/>
                <w:bCs/>
                <w:sz w:val="22"/>
              </w:rPr>
            </w:pPr>
            <w:r>
              <w:rPr>
                <w:rFonts w:hint="eastAsia" w:ascii="宋体" w:hAnsi="宋体" w:cs="宋体"/>
                <w:b/>
                <w:bCs/>
                <w:sz w:val="22"/>
              </w:rPr>
              <w:t>规格</w:t>
            </w:r>
          </w:p>
        </w:tc>
        <w:tc>
          <w:tcPr>
            <w:tcW w:w="1035" w:type="dxa"/>
            <w:vAlign w:val="center"/>
          </w:tcPr>
          <w:p>
            <w:pPr>
              <w:adjustRightInd w:val="0"/>
              <w:snapToGrid w:val="0"/>
              <w:jc w:val="center"/>
              <w:rPr>
                <w:rFonts w:ascii="宋体" w:hAnsi="宋体" w:cs="宋体"/>
                <w:b/>
                <w:sz w:val="22"/>
              </w:rPr>
            </w:pPr>
            <w:r>
              <w:rPr>
                <w:rFonts w:hint="eastAsia" w:ascii="宋体" w:hAnsi="宋体" w:cs="宋体"/>
                <w:b/>
                <w:sz w:val="22"/>
              </w:rPr>
              <w:t>年限</w:t>
            </w:r>
          </w:p>
        </w:tc>
        <w:tc>
          <w:tcPr>
            <w:tcW w:w="2332" w:type="dxa"/>
            <w:vAlign w:val="center"/>
          </w:tcPr>
          <w:p>
            <w:pPr>
              <w:adjustRightInd w:val="0"/>
              <w:snapToGrid w:val="0"/>
              <w:jc w:val="center"/>
              <w:rPr>
                <w:rFonts w:ascii="宋体" w:hAnsi="宋体" w:cs="宋体"/>
                <w:b/>
                <w:sz w:val="22"/>
              </w:rPr>
            </w:pPr>
            <w:r>
              <w:rPr>
                <w:rFonts w:hint="eastAsia" w:ascii="宋体" w:hAnsi="宋体" w:cs="宋体"/>
                <w:b/>
                <w:sz w:val="22"/>
              </w:rPr>
              <w:t>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color w:val="000000"/>
                <w:sz w:val="22"/>
              </w:rPr>
            </w:pPr>
            <w:bookmarkStart w:id="116" w:name="OLE_LINK6" w:colFirst="1" w:colLast="1"/>
            <w:bookmarkStart w:id="117" w:name="OLE_LINK8" w:colFirst="4" w:colLast="4"/>
            <w:bookmarkStart w:id="118" w:name="OLE_LINK7" w:colFirst="3" w:colLast="3"/>
            <w:bookmarkStart w:id="119" w:name="OLE_LINK5" w:colFirst="0" w:colLast="0"/>
            <w:r>
              <w:rPr>
                <w:rFonts w:hint="eastAsia" w:ascii="宋体" w:hAnsi="宋体" w:cs="宋体"/>
                <w:bCs/>
                <w:color w:val="000000"/>
                <w:sz w:val="22"/>
              </w:rPr>
              <w:t>110kV变电站</w:t>
            </w:r>
          </w:p>
        </w:tc>
        <w:tc>
          <w:tcPr>
            <w:tcW w:w="1993" w:type="dxa"/>
            <w:vAlign w:val="center"/>
          </w:tcPr>
          <w:p>
            <w:pPr>
              <w:snapToGrid w:val="0"/>
              <w:jc w:val="center"/>
              <w:rPr>
                <w:rFonts w:ascii="宋体" w:hAnsi="宋体" w:cs="宋体"/>
                <w:bCs/>
                <w:color w:val="000000"/>
                <w:sz w:val="22"/>
              </w:rPr>
            </w:pPr>
            <w:bookmarkStart w:id="120" w:name="OLE_LINK4"/>
            <w:r>
              <w:rPr>
                <w:rFonts w:hint="eastAsia" w:ascii="宋体" w:hAnsi="宋体" w:cs="宋体"/>
                <w:color w:val="000000"/>
                <w:sz w:val="22"/>
                <w:shd w:val="clear" w:color="auto" w:fill="FFFFFF"/>
              </w:rPr>
              <w:t>中恒</w:t>
            </w:r>
            <w:bookmarkEnd w:id="120"/>
            <w:r>
              <w:rPr>
                <w:rFonts w:hint="eastAsia" w:ascii="宋体" w:hAnsi="宋体" w:cs="宋体"/>
                <w:color w:val="000000"/>
                <w:sz w:val="22"/>
                <w:shd w:val="clear" w:color="auto" w:fill="FFFFFF"/>
              </w:rPr>
              <w:t>ZHDCS1101220</w:t>
            </w:r>
          </w:p>
        </w:tc>
        <w:tc>
          <w:tcPr>
            <w:tcW w:w="1170" w:type="dxa"/>
            <w:vAlign w:val="center"/>
          </w:tcPr>
          <w:p>
            <w:pPr>
              <w:snapToGrid w:val="0"/>
              <w:jc w:val="center"/>
              <w:rPr>
                <w:rFonts w:ascii="宋体" w:hAnsi="宋体" w:cs="宋体"/>
                <w:bCs/>
                <w:color w:val="000000"/>
                <w:sz w:val="22"/>
              </w:rPr>
            </w:pPr>
            <w:r>
              <w:rPr>
                <w:rFonts w:hint="eastAsia" w:ascii="宋体" w:hAnsi="宋体" w:cs="宋体"/>
                <w:bCs/>
                <w:color w:val="000000"/>
                <w:sz w:val="22"/>
              </w:rPr>
              <w:t>4</w:t>
            </w:r>
          </w:p>
        </w:tc>
        <w:tc>
          <w:tcPr>
            <w:tcW w:w="1155" w:type="dxa"/>
            <w:vAlign w:val="center"/>
          </w:tcPr>
          <w:p>
            <w:pPr>
              <w:snapToGrid w:val="0"/>
              <w:jc w:val="center"/>
              <w:rPr>
                <w:rFonts w:ascii="宋体" w:hAnsi="宋体" w:cs="宋体"/>
                <w:bCs/>
                <w:color w:val="000000"/>
                <w:sz w:val="22"/>
              </w:rPr>
            </w:pPr>
            <w:r>
              <w:rPr>
                <w:rFonts w:hint="eastAsia" w:ascii="宋体" w:hAnsi="宋体" w:cs="宋体"/>
                <w:bCs/>
                <w:color w:val="000000"/>
                <w:sz w:val="22"/>
              </w:rPr>
              <w:t>110V/120A</w:t>
            </w:r>
          </w:p>
        </w:tc>
        <w:tc>
          <w:tcPr>
            <w:tcW w:w="1035" w:type="dxa"/>
            <w:vAlign w:val="center"/>
          </w:tcPr>
          <w:p>
            <w:pPr>
              <w:snapToGrid w:val="0"/>
              <w:jc w:val="center"/>
              <w:rPr>
                <w:rFonts w:ascii="宋体" w:hAnsi="宋体" w:cs="宋体"/>
                <w:bCs/>
                <w:color w:val="000000"/>
                <w:sz w:val="22"/>
              </w:rPr>
            </w:pPr>
            <w:r>
              <w:rPr>
                <w:rFonts w:hint="eastAsia" w:ascii="宋体" w:hAnsi="宋体" w:cs="宋体"/>
                <w:bCs/>
                <w:color w:val="000000"/>
                <w:sz w:val="22"/>
              </w:rPr>
              <w:t>2011.08</w:t>
            </w:r>
          </w:p>
        </w:tc>
        <w:tc>
          <w:tcPr>
            <w:tcW w:w="2332" w:type="dxa"/>
            <w:vAlign w:val="center"/>
          </w:tcPr>
          <w:p>
            <w:pPr>
              <w:snapToGrid w:val="0"/>
              <w:jc w:val="center"/>
              <w:rPr>
                <w:rFonts w:ascii="宋体" w:hAnsi="宋体" w:cs="宋体"/>
                <w:bCs/>
                <w:color w:val="000000"/>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color w:val="000000"/>
                <w:sz w:val="22"/>
              </w:rPr>
            </w:pPr>
            <w:r>
              <w:rPr>
                <w:rFonts w:hint="eastAsia" w:ascii="宋体" w:hAnsi="宋体" w:cs="宋体"/>
                <w:bCs/>
                <w:color w:val="000000"/>
                <w:sz w:val="22"/>
              </w:rPr>
              <w:t>35kV变电站</w:t>
            </w:r>
          </w:p>
        </w:tc>
        <w:tc>
          <w:tcPr>
            <w:tcW w:w="1993" w:type="dxa"/>
            <w:vAlign w:val="center"/>
          </w:tcPr>
          <w:p>
            <w:pPr>
              <w:snapToGrid w:val="0"/>
              <w:jc w:val="center"/>
              <w:rPr>
                <w:rFonts w:ascii="宋体" w:hAnsi="宋体" w:cs="宋体"/>
                <w:bCs/>
                <w:color w:val="000000"/>
                <w:sz w:val="22"/>
              </w:rPr>
            </w:pPr>
            <w:r>
              <w:rPr>
                <w:rFonts w:hint="eastAsia" w:ascii="宋体" w:hAnsi="宋体" w:cs="宋体"/>
                <w:color w:val="000000"/>
                <w:sz w:val="22"/>
                <w:shd w:val="clear" w:color="auto" w:fill="FFFFFF"/>
              </w:rPr>
              <w:t>中恒GZDW35-60/220/10</w:t>
            </w:r>
          </w:p>
        </w:tc>
        <w:tc>
          <w:tcPr>
            <w:tcW w:w="1170" w:type="dxa"/>
            <w:vAlign w:val="center"/>
          </w:tcPr>
          <w:p>
            <w:pPr>
              <w:snapToGrid w:val="0"/>
              <w:jc w:val="center"/>
              <w:rPr>
                <w:rFonts w:ascii="宋体" w:hAnsi="宋体" w:cs="宋体"/>
                <w:bCs/>
                <w:color w:val="000000"/>
                <w:sz w:val="22"/>
              </w:rPr>
            </w:pPr>
            <w:r>
              <w:rPr>
                <w:rFonts w:hint="eastAsia" w:ascii="宋体" w:hAnsi="宋体" w:cs="宋体"/>
                <w:bCs/>
                <w:color w:val="000000"/>
                <w:sz w:val="22"/>
              </w:rPr>
              <w:t>1</w:t>
            </w:r>
          </w:p>
        </w:tc>
        <w:tc>
          <w:tcPr>
            <w:tcW w:w="1155" w:type="dxa"/>
            <w:vAlign w:val="center"/>
          </w:tcPr>
          <w:p>
            <w:pPr>
              <w:snapToGrid w:val="0"/>
              <w:jc w:val="center"/>
              <w:rPr>
                <w:rFonts w:ascii="宋体" w:hAnsi="宋体" w:cs="宋体"/>
                <w:bCs/>
                <w:color w:val="000000"/>
                <w:sz w:val="22"/>
              </w:rPr>
            </w:pPr>
            <w:r>
              <w:rPr>
                <w:rFonts w:hint="eastAsia" w:ascii="宋体" w:hAnsi="宋体" w:cs="宋体"/>
                <w:bCs/>
                <w:color w:val="000000"/>
                <w:sz w:val="22"/>
              </w:rPr>
              <w:t>220V/40A</w:t>
            </w:r>
          </w:p>
        </w:tc>
        <w:tc>
          <w:tcPr>
            <w:tcW w:w="1035" w:type="dxa"/>
            <w:vAlign w:val="center"/>
          </w:tcPr>
          <w:p>
            <w:pPr>
              <w:snapToGrid w:val="0"/>
              <w:jc w:val="center"/>
              <w:rPr>
                <w:rFonts w:ascii="宋体" w:hAnsi="宋体" w:cs="宋体"/>
                <w:bCs/>
                <w:color w:val="000000"/>
                <w:sz w:val="22"/>
              </w:rPr>
            </w:pPr>
            <w:r>
              <w:rPr>
                <w:rFonts w:hint="eastAsia" w:ascii="宋体" w:hAnsi="宋体" w:cs="宋体"/>
                <w:bCs/>
                <w:color w:val="000000"/>
                <w:sz w:val="22"/>
              </w:rPr>
              <w:t>2000.12</w:t>
            </w:r>
          </w:p>
        </w:tc>
        <w:tc>
          <w:tcPr>
            <w:tcW w:w="2332" w:type="dxa"/>
            <w:vAlign w:val="center"/>
          </w:tcPr>
          <w:p>
            <w:pPr>
              <w:snapToGrid w:val="0"/>
              <w:jc w:val="center"/>
              <w:rPr>
                <w:rFonts w:ascii="宋体" w:hAnsi="宋体" w:cs="宋体"/>
                <w:bCs/>
                <w:color w:val="000000"/>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东区开闭所</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ZHDCS11060/100</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110V/60A</w:t>
            </w:r>
          </w:p>
        </w:tc>
        <w:tc>
          <w:tcPr>
            <w:tcW w:w="1035" w:type="dxa"/>
            <w:vAlign w:val="center"/>
          </w:tcPr>
          <w:p>
            <w:pPr>
              <w:snapToGrid w:val="0"/>
              <w:jc w:val="center"/>
              <w:rPr>
                <w:rFonts w:ascii="宋体" w:hAnsi="宋体" w:cs="宋体"/>
                <w:bCs/>
                <w:sz w:val="22"/>
              </w:rPr>
            </w:pPr>
            <w:r>
              <w:rPr>
                <w:rFonts w:hint="eastAsia" w:ascii="宋体" w:hAnsi="宋体" w:cs="宋体"/>
                <w:bCs/>
                <w:sz w:val="22"/>
              </w:rPr>
              <w:t>2012.06</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color w:val="000000"/>
                <w:sz w:val="22"/>
              </w:rPr>
            </w:pPr>
            <w:r>
              <w:rPr>
                <w:rFonts w:hint="eastAsia" w:ascii="宋体" w:hAnsi="宋体" w:cs="宋体"/>
                <w:bCs/>
                <w:color w:val="000000"/>
                <w:sz w:val="22"/>
              </w:rPr>
              <w:t>T3-B2变电站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ZHDCS11020/65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2011.09</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color w:val="000000"/>
                <w:sz w:val="22"/>
              </w:rPr>
              <w:t>T3-B3变电站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ZHDCS11020/65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2011.09</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color w:val="000000"/>
                <w:sz w:val="22"/>
              </w:rPr>
              <w:t>T3-B5变电站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ZHDCS11020/65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2011.09</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T1-B7变电站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2015.03</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T2东区变</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2009.11</w:t>
            </w:r>
          </w:p>
        </w:tc>
        <w:tc>
          <w:tcPr>
            <w:tcW w:w="2332" w:type="dxa"/>
            <w:vAlign w:val="center"/>
          </w:tcPr>
          <w:p>
            <w:pPr>
              <w:snapToGrid w:val="0"/>
              <w:jc w:val="center"/>
              <w:rPr>
                <w:rFonts w:ascii="宋体" w:hAnsi="宋体" w:cs="宋体"/>
                <w:bCs/>
                <w:color w:val="FF0000"/>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T2西区变</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ZHDCS110/20</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2009.11</w:t>
            </w:r>
          </w:p>
        </w:tc>
        <w:tc>
          <w:tcPr>
            <w:tcW w:w="2332" w:type="dxa"/>
            <w:vAlign w:val="center"/>
          </w:tcPr>
          <w:p>
            <w:pPr>
              <w:snapToGrid w:val="0"/>
              <w:jc w:val="center"/>
              <w:rPr>
                <w:rFonts w:ascii="宋体" w:hAnsi="宋体" w:cs="宋体"/>
                <w:bCs/>
                <w:color w:val="FF0000"/>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T2桥载变</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2016.09</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专机楼变电站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福斯特GZDW-110V/20AH</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2016.03</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武警变电站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ZHDCS11040/55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2016.08</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西南角变电站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ZHDCS11040/40</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2018.05</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应保楼变电站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2016.05</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南消防变电站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bookmarkStart w:id="121" w:name="OLE_LINK3"/>
            <w:r>
              <w:rPr>
                <w:rFonts w:hint="eastAsia" w:ascii="宋体" w:hAnsi="宋体" w:cs="宋体"/>
                <w:bCs/>
                <w:sz w:val="22"/>
              </w:rPr>
              <w:t>110V/20A</w:t>
            </w:r>
            <w:bookmarkEnd w:id="121"/>
          </w:p>
        </w:tc>
        <w:tc>
          <w:tcPr>
            <w:tcW w:w="1035" w:type="dxa"/>
            <w:vAlign w:val="center"/>
          </w:tcPr>
          <w:p>
            <w:pPr>
              <w:snapToGrid w:val="0"/>
              <w:jc w:val="center"/>
              <w:rPr>
                <w:rFonts w:ascii="宋体" w:hAnsi="宋体" w:cs="宋体"/>
                <w:bCs/>
                <w:sz w:val="22"/>
              </w:rPr>
            </w:pPr>
            <w:r>
              <w:rPr>
                <w:rFonts w:hint="eastAsia" w:ascii="宋体" w:hAnsi="宋体" w:cs="宋体"/>
                <w:bCs/>
                <w:sz w:val="22"/>
              </w:rPr>
              <w:t>2019.06</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业务变电站</w:t>
            </w:r>
          </w:p>
        </w:tc>
        <w:tc>
          <w:tcPr>
            <w:tcW w:w="1993" w:type="dxa"/>
            <w:vAlign w:val="center"/>
          </w:tcPr>
          <w:p>
            <w:pPr>
              <w:snapToGrid w:val="0"/>
              <w:jc w:val="center"/>
              <w:rPr>
                <w:rFonts w:ascii="宋体" w:hAnsi="宋体" w:cs="宋体"/>
                <w:bCs/>
                <w:sz w:val="22"/>
              </w:rPr>
            </w:pPr>
            <w:r>
              <w:rPr>
                <w:rFonts w:hint="eastAsia" w:ascii="宋体" w:hAnsi="宋体" w:cs="宋体"/>
                <w:color w:val="000000"/>
                <w:sz w:val="22"/>
                <w:shd w:val="clear" w:color="auto" w:fill="FFFFFF"/>
              </w:rPr>
              <w:t>中恒</w:t>
            </w:r>
            <w:r>
              <w:rPr>
                <w:rFonts w:hint="eastAsia" w:ascii="宋体" w:hAnsi="宋体" w:cs="宋体"/>
                <w:bCs/>
                <w:sz w:val="22"/>
              </w:rPr>
              <w:t>ZHDCS11040/65</w:t>
            </w:r>
          </w:p>
        </w:tc>
        <w:tc>
          <w:tcPr>
            <w:tcW w:w="1170" w:type="dxa"/>
            <w:vAlign w:val="center"/>
          </w:tcPr>
          <w:p>
            <w:pPr>
              <w:snapToGrid w:val="0"/>
              <w:jc w:val="center"/>
              <w:rPr>
                <w:rFonts w:ascii="宋体" w:hAnsi="宋体" w:cs="宋体"/>
                <w:bCs/>
                <w:sz w:val="22"/>
              </w:rPr>
            </w:pPr>
            <w:r>
              <w:rPr>
                <w:rFonts w:hint="eastAsia" w:ascii="宋体" w:hAnsi="宋体" w:cs="宋体"/>
                <w:bCs/>
                <w:sz w:val="22"/>
              </w:rPr>
              <w:t>1</w:t>
            </w:r>
          </w:p>
        </w:tc>
        <w:tc>
          <w:tcPr>
            <w:tcW w:w="1155" w:type="dxa"/>
            <w:vAlign w:val="center"/>
          </w:tcPr>
          <w:p>
            <w:pPr>
              <w:snapToGrid w:val="0"/>
              <w:jc w:val="center"/>
              <w:rPr>
                <w:rFonts w:ascii="宋体" w:hAnsi="宋体" w:cs="宋体"/>
                <w:bCs/>
                <w:sz w:val="22"/>
              </w:rPr>
            </w:pPr>
            <w:r>
              <w:rPr>
                <w:rFonts w:hint="eastAsia" w:ascii="宋体" w:hAnsi="宋体" w:cs="宋体"/>
                <w:bCs/>
                <w:sz w:val="22"/>
              </w:rPr>
              <w:t>110V/20A</w:t>
            </w:r>
          </w:p>
        </w:tc>
        <w:tc>
          <w:tcPr>
            <w:tcW w:w="1035" w:type="dxa"/>
            <w:vAlign w:val="center"/>
          </w:tcPr>
          <w:p>
            <w:pPr>
              <w:snapToGrid w:val="0"/>
              <w:jc w:val="center"/>
              <w:rPr>
                <w:rFonts w:ascii="宋体" w:hAnsi="宋体" w:cs="宋体"/>
                <w:bCs/>
                <w:sz w:val="22"/>
              </w:rPr>
            </w:pPr>
            <w:r>
              <w:rPr>
                <w:rFonts w:hint="eastAsia" w:ascii="宋体" w:hAnsi="宋体" w:cs="宋体"/>
                <w:bCs/>
                <w:sz w:val="22"/>
              </w:rPr>
              <w:t>2019.06</w:t>
            </w:r>
          </w:p>
        </w:tc>
        <w:tc>
          <w:tcPr>
            <w:tcW w:w="2332" w:type="dxa"/>
            <w:vAlign w:val="center"/>
          </w:tcPr>
          <w:p>
            <w:pPr>
              <w:snapToGrid w:val="0"/>
              <w:jc w:val="center"/>
              <w:rPr>
                <w:rFonts w:ascii="宋体" w:hAnsi="宋体" w:cs="宋体"/>
                <w:bCs/>
                <w:sz w:val="22"/>
              </w:rPr>
            </w:pPr>
            <w:r>
              <w:rPr>
                <w:rFonts w:hint="eastAsia" w:ascii="宋体" w:hAnsi="宋体" w:cs="宋体"/>
                <w:bCs/>
                <w:sz w:val="22"/>
              </w:rPr>
              <w:t>良好</w:t>
            </w:r>
          </w:p>
        </w:tc>
      </w:tr>
      <w:bookmarkEnd w:id="116"/>
      <w:bookmarkEnd w:id="117"/>
      <w:bookmarkEnd w:id="118"/>
      <w:bookmarkEnd w:id="1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84" w:type="dxa"/>
            <w:vAlign w:val="center"/>
          </w:tcPr>
          <w:p>
            <w:pPr>
              <w:snapToGrid w:val="0"/>
              <w:jc w:val="center"/>
              <w:rPr>
                <w:rFonts w:ascii="宋体" w:hAnsi="宋体" w:cs="宋体"/>
                <w:bCs/>
                <w:sz w:val="22"/>
              </w:rPr>
            </w:pPr>
            <w:r>
              <w:rPr>
                <w:rFonts w:hint="eastAsia" w:ascii="宋体" w:hAnsi="宋体" w:cs="宋体"/>
                <w:bCs/>
                <w:sz w:val="22"/>
              </w:rPr>
              <w:t>合计</w:t>
            </w:r>
          </w:p>
        </w:tc>
        <w:tc>
          <w:tcPr>
            <w:tcW w:w="7685" w:type="dxa"/>
            <w:gridSpan w:val="5"/>
            <w:vAlign w:val="center"/>
          </w:tcPr>
          <w:p>
            <w:pPr>
              <w:snapToGrid w:val="0"/>
              <w:rPr>
                <w:rFonts w:ascii="宋体" w:hAnsi="宋体" w:cs="宋体"/>
                <w:bCs/>
                <w:sz w:val="22"/>
              </w:rPr>
            </w:pPr>
            <w:r>
              <w:rPr>
                <w:rFonts w:hint="eastAsia" w:ascii="宋体" w:hAnsi="宋体" w:cs="宋体"/>
                <w:bCs/>
                <w:sz w:val="22"/>
              </w:rPr>
              <w:t>共计19面直流屏</w:t>
            </w:r>
          </w:p>
        </w:tc>
      </w:tr>
    </w:tbl>
    <w:p>
      <w:pPr>
        <w:adjustRightInd w:val="0"/>
        <w:snapToGrid w:val="0"/>
        <w:spacing w:line="360" w:lineRule="exact"/>
        <w:rPr>
          <w:rFonts w:ascii="宋体" w:hAnsi="宋体" w:cs="Calibri"/>
          <w:sz w:val="22"/>
        </w:rPr>
      </w:pP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二、合同金额</w:t>
      </w:r>
    </w:p>
    <w:p>
      <w:pPr>
        <w:spacing w:line="360" w:lineRule="exact"/>
        <w:ind w:firstLine="440" w:firstLineChars="200"/>
        <w:rPr>
          <w:rFonts w:ascii="宋体" w:hAnsi="宋体" w:cs="Calibri"/>
          <w:sz w:val="22"/>
        </w:rPr>
      </w:pPr>
      <w:r>
        <w:rPr>
          <w:rFonts w:hint="eastAsia" w:ascii="宋体" w:hAnsi="宋体" w:cs="Calibri"/>
          <w:sz w:val="22"/>
        </w:rPr>
        <w:t>在符合本合同规定的考核标准和要求的前提下，本合同总价，即三年维保费总额为（大写）   元整（小写￥ 元）人民币，其中，合同期限内每年维保费为（大写）  元整（小写￥  元）人民币。合同费用包括乙方人员的各种证件办理费、劳务费、差旅费、设备的备件费、备件运费等一切完成本合同项下维护、维修及保养服务的保养维护费以及税费等。甲方不再额外承担任何费用。</w:t>
      </w:r>
    </w:p>
    <w:p>
      <w:pPr>
        <w:spacing w:line="360" w:lineRule="exact"/>
        <w:ind w:firstLine="440" w:firstLineChars="200"/>
        <w:rPr>
          <w:rFonts w:ascii="宋体" w:hAnsi="宋体" w:cs="Calibri"/>
          <w:sz w:val="22"/>
        </w:rPr>
      </w:pPr>
      <w:r>
        <w:rPr>
          <w:rFonts w:hint="eastAsia" w:ascii="宋体" w:hAnsi="宋体" w:cs="Calibri"/>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三、服务要求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为确保甲方EPS和直流屏系统安全、可靠地正常运行，乙方承担甲方上述EPS和直流屏系统设备的维护保养技术服务。乙方保证以快速的响应、熟练的维护技术向甲方提供优质的设备维护保养服务，具体包括设备的定期检查保养、故障及时修复、备件保障供应，以及提供相应的技术咨询、交流和培训等方面的服务，配合甲方完成相关硬件搬迁、设备更换、应急预案演练等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2.培训要求：乙方每年需组织安排由合同范围内设备品牌生产商的技术服务人员对甲方进行一次业务培训。</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3.合同服务期内若有新投运直流屏数量不超过2面，EPS数量不超过2组且每组的单台容量不大于300kW，乙方需纳入合同范围，提供与合同范围内设备同样的维护服务。</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每年年初提供年度维护保养计划，节假日等特殊期间需提供保障人员的名单和直接联系方式。在国家重大事件或其他特殊保障任务期间，需中标方加派至少一人驻场保障设备运行，保障期间产生的差旅和住宿等费用需乙方自理。</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根据甲方设备储备易损和常用备件，乙方需出具一份维修常用备品备件清单作为合同附件，并要求乙方及时对甲方设备进行维护保养服务，单价2000元（含）以下的EPS(直流屏)维修发生的材料费用、维修厂家和维护人员的劳务费、差旅费、保险费、备件运费等一切保养维修维护费以及税费等所有费用均由乙方承担，单价2000元以上的EPS(直流屏)维修发生地材料费用由甲方负责。</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6.备品备件的要求：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在合同服务期内，乙方须保证所供备品备件均为合同范围内设备同品牌同系列正品原产件（甲方特别说明或本公司无同类产品的除外），所有更换的配件（不含耗材）质保期为一年，在质保期内如出现质量问题，应免费更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（2）在甲方有特别说明或本公司无合同范围设备同类产品的配件时，替代产品的标准不得低于合同范围内设备同品牌的标准（开具官方证明文件并经甲方同意）。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（3）本合同范围内所供备品备件件、材料，应以书面形式向甲方提交一份产品合格证及质量保证书。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7.人员要求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（1）要求维保人员身体健康，无不良嗜好，无重大疾病或身体缺陷，本人及直系亲属无违法犯罪纪录（办理禁区通行证的前提）等。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（2）维保项目负责人应具有较丰富的EPS、交流/直流设备检修专业知识并得到甲方认可。</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（3）维保人员应熟悉电力生产的基本过程及EPS、交流/直流电源系统设备的工作原理及结构，掌握EPS、交流/直流电源系统设备的检修技能。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（4）要求维保人员有国家能源局或安监局颁发的低压进网作业许可证（或工作证）。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（5）进场维保人员着装应规范，应穿全棉长袖工作服，穿绝缘鞋，安全帽符合相关要求，进入机坪必须穿戴反光背心。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（6）所有进场维保人员必须服从甲方的指挥，遵守甲方的安全规定。</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8.乙方须在杭州设有长期固定的完善的售后服务及维修机构，并配有较强的技术队伍，须提供联系地址、电话，接到甲方通知须3小时内到达现场。</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四、设备维护保养内容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乙方向甲方提供的维修保养服务内容包括：</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1.负责对所有EPS（总容量为847kW）系统进行维护保养、故障维修和应急情况处置，每年四次（即每季度一次）定期对所有EPS进行系统检查、测试维护工作。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2.负责对所有直流屏系统进行维护保养、故障维修和应急情况处置，每年一次对所有直流屏进行系统检查、测试维护工作。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3.每次具体维修保养情况包括：</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3.1进行EPS(直流屏)内、外部的清洁和除尘；</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3.2进行EPS(直流屏)在市电和电池状态下的工作检测，并进行逆变转换实验；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3.3进行主机各工作点和控制点的数据检测和调整；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3.4对EPS(直流屏)的使用环境包括放置位置、温度、湿度、输入电压、输出电压、零地电压、接地、配线布线等状况进行检测；</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3.5进行电池总电压及端电压的在线或离线检测；</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3.6进行电池的内阻、电导测试；</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3.7进行电池的充放电实验；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3.8建立EPS(直流屏)档案，提供综合报告和更换、更新、重组方案。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3.9其他服务内容：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a）进行EPS(直流屏)系统设备快速维修；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b）提供EPS(直流屏)使用、维护、基本原理、故障判断、应急措施实施等培训；</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c）EPS(直流屏)重新利用组合方案，EPS(直流屏)选型、配置、安装等技术咨询。</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五、设备维护保养服务方式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1.服务热线电话支持：乙方提供7*24小时服务热线电话支持，对甲方发现设备发生异常或遇到难于解决的疑难问题给予及时的服务响应。</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到现场维护服务：当乙方接到甲方设备故障要求维护的通知（电话、传真）后，应积极响应，并立即派有经验的EPS（直流屏）专业工程师到甲方指定的设备现场进行设备维护或更换设备部件来排除故障，保障设备及时地恢复正常进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3.到现场时间限定：一般接到甲方通知后到达甲方指定现场的时间为3小时，发生重大故障造成EPS（直流屏）系统不能正常运行的，乙方应在接到通知后1.5小时内到达现场。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故障修复时间要求：不影响EPS（直流屏）系统运行的一般常见故障，要求平均修复时间小于24小时，需要调用不常用配件的故障修复时间小于5天；发生重大故障造成EPS（直流屏）系统不能正常运行的，且短时内无法修复的，要求专业人员到达现场后在2小时内可脱开系统先给予恢复供电。</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六、设备维护保养服务质量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乙方对甲方设备所进行的设备故障保养及定期巡检维护中，应及时更换受损部件，在保养、维护结束后，每次须出具相应维修结果报告的电子和书面文档交甲方维修设备所在部门有关人员确认，以备案待查。服务期满后，乙方应提供详细的年度维护报告资料，并通过甲方验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2.乙方所有维保人员必须服从甲方的指挥，遵守甲方的安全规定。</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3.乙方承诺在中国境内备有充足的耗材及备件以满足甲方的维修更换需要，耗材及备件的运输7天内运达甲方指定地点，做到及时、快捷。</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七、合同期限</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合同期限为三年，2019年11月1日至2022年10月31日。</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八、付款方式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每年度的合同费用支付：每年支付一次。每年完成服务后，甲方根据乙方的季度考核结果以及乙方年度考核结果支付每年的费用，甲方应在下一年度开始后的两个月内根据乙方开具的发票以转账形式向乙方支付相应的维护保养服务费用。每次付款前乙方提供正式的增值税专用发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本合同签订后，甲方将根据附件《机场公司业务外包项目考核标准》按季度对乙方进行考核，该季度内每月考核的最低得分即为该季度考核得分，且考核表中单项扣分不设上限，年度考核得分即由季度平均值得出。该年度考核得分达到 95 分以上（含 95 分），视为考核合格，支付该年度全年维保费；该年度考核得分 95 分以下，视为考核不合格，每减少1分，扣除该年度维保费的 1%；一个自然外包年度内共计两个季度考核得分低于90分（不含90分），扣除全年维保费的10%；一个自然外包年度内共计有三个季度考核得分低于 85 分（不含 85 分），或发生因承包商责任原因造成的各类治安群体性事件、空防不安全事件、消防及其他不安全事件、事故症候、事故和严重影响航班正常性造成航班业务等情况的，实行一票否决，甲方有权提前中止合约，并拒绝支付当年年度维保费用，且乙方须向甲方支付本合同该年度维保费用10%的违约金，如造成甲方损失超过违约金的，超出部分由乙方继续承担赔偿责任。</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九、税费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本合同执行中相关的一切税费均由乙方负担。</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十、违约责任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1．甲方无正当理由拒收接受服务的，甲方向乙方偿付合同款项百分之五作为违约金。</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乙方未能如期提供服务的，每日向甲方支付合同款项的0.6%作为违约金。乙方超过约定日期10个工作日仍不能提供服务的，甲方可解除本合同。乙方因未能如期提供服务或因其他违约行为导致甲方解除合同的，乙方应向甲方支付合同总价10%的违约金，如造成甲方损失超过违约金的，超出部分由乙方继续承担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3.乙方应保证提供服务过程中不会侵犯任何第三方的知识产权。如因乙方违反本条保证并导致甲方损失的，乙方须向甲方承担赔偿责任。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4．因乙方提供服务导致甲方或第三方人身、财产损害的，乙方须依法承担全部赔偿责任；如因该等损害导致甲方向第三方承担赔偿责任的，乙方须在甲方赔偿范围内全额向甲方作出赔偿。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6．除本合同另有规定外，乙方违反其在本合同项下其他义务并给甲方造成损失的，须向甲方支付年度合同维保费10%的违约金，如造成甲方损失超过违约金的，超出部分由乙方继续承担赔偿责任。</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十一、履约保证金</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乙方应向甲方缴付履约保证金，以保证乙方遵守本合同的一切条款、条件和承诺。乙方应在收到合同签订之日前5日内向甲方缴纳年度合同价的10%作为履约保证金，履约保证金的形式为：银行转账。如果逾期未缴纳，视为乙方违约，甲方有权不予签订合同，并有权追究乙方的违约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十二、双方责任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1.甲方责任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1.1首先保证EPS（直流屏）系统处于正常运行工作状态环境下。</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1.2监督和督促乙方履行本项目下乙方承担的义务和责任。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1.3依据中标报价清单中“维修常用备品备件报价清单”表（详见附件二），只负责单价2000元以上的EPS（直流屏）维修发生的材料费用，及时支付维保费用。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1.4 对乙方维保服务不符合相关要求，有权提出建议与意见，同时有权要求乙方及时更换不认真进行维保工作的工作人员，在收到甲方通知之日起【3】个工作日内，乙方不及时更换人员，甲方有权扣除当年年度维保费用的1%。</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2.乙方责任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2.1严格履行本合同乙方承担的义务和责任。若有违约，甲方有权向乙方提出整改意见，乙方在3个工作日内做出回复并进行整改。整改2次仍达不到甲方要求，甲方有权扣除当年维保费用的10%或终止合同。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2.2根据甲方设备储备易损和常用备件，及时对甲方设备进行维护保养服务。依据中标报价中的“维修常用备品备件报价清单”清单（详见附件二），单价2000元（含）以下的维修发生地材料费用、维修厂家和维护人员</w:t>
      </w:r>
      <w:r>
        <w:rPr>
          <w:rFonts w:hint="eastAsia" w:ascii="宋体" w:hAnsi="宋体" w:cs="宋体"/>
          <w:kern w:val="0"/>
          <w:sz w:val="22"/>
        </w:rPr>
        <w:t>的劳务费、差旅费、保险费、备件运费等一切保养维修维护费以及税费等所有费用</w:t>
      </w:r>
      <w:r>
        <w:rPr>
          <w:rFonts w:hint="eastAsia" w:ascii="宋体" w:hAnsi="宋体" w:cs="Calibri"/>
          <w:sz w:val="22"/>
        </w:rPr>
        <w:t>由乙方承担。</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 </w:t>
      </w:r>
      <w:r>
        <w:rPr>
          <w:rFonts w:hint="eastAsia" w:ascii="宋体" w:hAnsi="宋体" w:cs="Calibri"/>
          <w:sz w:val="22"/>
        </w:rPr>
        <w:t>2.3在合同服务期内，乙方须保证所供备品备件均为合同范围内设备同品牌同系列正品原产件（甲方特别说明或本公司无同类产品的除外），所有更换的配件（不含耗材）质保期为一年，在质保期内如出现质量问题，应免费更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2.4现场疑难问题解答及有条件情况下的场地培训。</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2.5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2.6乙方员工与乙方发生的一切劳动纠纷及其它纠纷乙方必须妥善处理，并且此等纠纷与甲方无任何关系。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2.7乙方必须有足够的人员配备负责本合同范围内约定的维护工作。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2.8乙方应向员工提供培训专业技能的途径，保证员工有较高的业务能力，满足甲方的合理需求。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2.9乙方必须遵守甲方的有关规定，并接受有关部门的监督与检查。</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十三、争议解决</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在合同履行中产生的争议，甲乙双方应友好协商解决，协商不成的双方均可向甲方所在地的人民法院起诉。</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十四、合同生效及其它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1.合同经双方法定代表人或授权代表签字并加盖单位公章后之日起生效。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3.本合同正本一式陆份，具有同等法律效力，甲方执肆份，乙方执贰份，经双方签字盖章后生效。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4.附件：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附件一  机场公司业务外包项目考核标准</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附件二  维修常用备品备件报价清单</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附件三  杭州萧山国际机场有限公司廉洁自律承诺书</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r>
        <w:rPr>
          <w:rFonts w:hint="eastAsia" w:ascii="宋体" w:hAnsi="宋体" w:cs="Calibri"/>
          <w:sz w:val="22"/>
        </w:rPr>
        <w:t>甲方：杭州萧山国际机场有限公司       乙方：</w:t>
      </w:r>
    </w:p>
    <w:p>
      <w:pPr>
        <w:adjustRightInd w:val="0"/>
        <w:snapToGrid w:val="0"/>
        <w:spacing w:line="360" w:lineRule="exact"/>
        <w:rPr>
          <w:rFonts w:ascii="宋体" w:hAnsi="宋体" w:cs="Calibri"/>
          <w:sz w:val="22"/>
        </w:rPr>
      </w:pPr>
      <w:r>
        <w:rPr>
          <w:rFonts w:hint="eastAsia" w:ascii="宋体" w:hAnsi="宋体" w:cs="Calibri"/>
          <w:sz w:val="22"/>
        </w:rPr>
        <w:t>（签章）                             （签章）</w:t>
      </w:r>
    </w:p>
    <w:p>
      <w:pPr>
        <w:adjustRightInd w:val="0"/>
        <w:snapToGrid w:val="0"/>
        <w:spacing w:line="360" w:lineRule="exact"/>
        <w:rPr>
          <w:rFonts w:ascii="宋体" w:hAnsi="宋体" w:cs="Calibri"/>
          <w:sz w:val="22"/>
        </w:rPr>
      </w:pPr>
      <w:r>
        <w:rPr>
          <w:rFonts w:hint="eastAsia" w:ascii="宋体" w:hAnsi="宋体" w:cs="Calibri"/>
          <w:sz w:val="22"/>
        </w:rPr>
        <w:t>法定（授权）代表人：                 法定（授权）代表人：</w:t>
      </w:r>
    </w:p>
    <w:p>
      <w:pPr>
        <w:adjustRightInd w:val="0"/>
        <w:snapToGrid w:val="0"/>
        <w:spacing w:line="360" w:lineRule="exact"/>
        <w:rPr>
          <w:rFonts w:ascii="宋体" w:hAnsi="宋体" w:cs="Calibri"/>
          <w:sz w:val="22"/>
        </w:rPr>
      </w:pPr>
      <w:r>
        <w:rPr>
          <w:rFonts w:hint="eastAsia" w:ascii="宋体" w:hAnsi="宋体" w:cs="Calibri"/>
          <w:sz w:val="22"/>
        </w:rPr>
        <w:t>（签字）                             （签字）</w:t>
      </w:r>
    </w:p>
    <w:p>
      <w:pPr>
        <w:adjustRightInd w:val="0"/>
        <w:snapToGrid w:val="0"/>
        <w:spacing w:line="360" w:lineRule="exact"/>
        <w:rPr>
          <w:rFonts w:ascii="宋体" w:hAnsi="宋体" w:cs="Calibri"/>
          <w:sz w:val="22"/>
        </w:rPr>
      </w:pPr>
      <w:r>
        <w:rPr>
          <w:rFonts w:hint="eastAsia" w:ascii="宋体" w:hAnsi="宋体" w:cs="Calibri"/>
          <w:sz w:val="22"/>
        </w:rPr>
        <w:t>地址：杭州萧山国际机场               地址：</w:t>
      </w:r>
    </w:p>
    <w:p>
      <w:pPr>
        <w:adjustRightInd w:val="0"/>
        <w:snapToGrid w:val="0"/>
        <w:spacing w:line="360" w:lineRule="exact"/>
        <w:rPr>
          <w:rFonts w:ascii="宋体" w:hAnsi="宋体" w:cs="Calibri"/>
          <w:sz w:val="22"/>
        </w:rPr>
      </w:pPr>
      <w:r>
        <w:rPr>
          <w:rFonts w:hint="eastAsia" w:ascii="宋体" w:hAnsi="宋体" w:cs="Calibri"/>
          <w:sz w:val="22"/>
        </w:rPr>
        <w:t>电话：0571-86662361                  电话：</w:t>
      </w:r>
    </w:p>
    <w:p>
      <w:pPr>
        <w:adjustRightInd w:val="0"/>
        <w:snapToGrid w:val="0"/>
        <w:spacing w:line="360" w:lineRule="exact"/>
        <w:rPr>
          <w:rFonts w:ascii="宋体" w:hAnsi="宋体" w:cs="Calibri"/>
          <w:sz w:val="22"/>
        </w:rPr>
      </w:pPr>
      <w:r>
        <w:rPr>
          <w:rFonts w:hint="eastAsia" w:ascii="宋体" w:hAnsi="宋体" w:cs="Calibri"/>
          <w:sz w:val="22"/>
        </w:rPr>
        <w:t>传真：0571-86661149                  传真：</w:t>
      </w:r>
    </w:p>
    <w:p>
      <w:pPr>
        <w:adjustRightInd w:val="0"/>
        <w:snapToGrid w:val="0"/>
        <w:spacing w:line="360" w:lineRule="exact"/>
        <w:rPr>
          <w:rFonts w:ascii="宋体" w:hAnsi="宋体" w:cs="Calibri"/>
          <w:sz w:val="22"/>
        </w:rPr>
      </w:pPr>
      <w:r>
        <w:rPr>
          <w:rFonts w:hint="eastAsia" w:ascii="宋体" w:hAnsi="宋体" w:cs="Calibri"/>
          <w:sz w:val="22"/>
        </w:rPr>
        <w:t>开户行：工行杭州空港城支行           开户行：</w:t>
      </w:r>
    </w:p>
    <w:p>
      <w:pPr>
        <w:adjustRightInd w:val="0"/>
        <w:snapToGrid w:val="0"/>
        <w:spacing w:line="360" w:lineRule="exact"/>
        <w:rPr>
          <w:rFonts w:ascii="宋体" w:hAnsi="宋体" w:cs="Calibri"/>
          <w:sz w:val="22"/>
        </w:rPr>
      </w:pPr>
      <w:r>
        <w:rPr>
          <w:rFonts w:hint="eastAsia" w:ascii="宋体" w:hAnsi="宋体" w:cs="Calibri"/>
          <w:sz w:val="22"/>
        </w:rPr>
        <w:t>账号：1202050209904601740            账号：</w:t>
      </w:r>
    </w:p>
    <w:p>
      <w:pPr>
        <w:adjustRightInd w:val="0"/>
        <w:snapToGrid w:val="0"/>
        <w:spacing w:line="360" w:lineRule="exact"/>
        <w:rPr>
          <w:rFonts w:ascii="宋体" w:hAnsi="宋体" w:cs="Calibri"/>
          <w:sz w:val="22"/>
        </w:rPr>
      </w:pPr>
      <w:r>
        <w:rPr>
          <w:rFonts w:hint="eastAsia" w:ascii="宋体" w:hAnsi="宋体" w:cs="Calibri"/>
          <w:sz w:val="22"/>
        </w:rPr>
        <w:t>签订日期：2019年   月   日          2019年   月   日</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
    <w:p/>
    <w:p/>
    <w:p/>
    <w:p>
      <w:pPr>
        <w:pageBreakBefore/>
        <w:numPr>
          <w:ilvl w:val="255"/>
          <w:numId w:val="0"/>
        </w:numPr>
        <w:rPr>
          <w:rFonts w:ascii="宋体" w:hAnsi="宋体" w:cs="宋体"/>
          <w:b/>
          <w:bCs/>
          <w:sz w:val="28"/>
          <w:szCs w:val="28"/>
        </w:rPr>
      </w:pPr>
      <w:r>
        <w:rPr>
          <w:rFonts w:hint="eastAsia" w:ascii="宋体" w:hAnsi="宋体" w:cs="宋体"/>
          <w:b/>
          <w:bCs/>
          <w:sz w:val="28"/>
          <w:szCs w:val="28"/>
        </w:rPr>
        <w:t>附件：</w:t>
      </w:r>
    </w:p>
    <w:p>
      <w:pPr>
        <w:numPr>
          <w:ilvl w:val="255"/>
          <w:numId w:val="0"/>
        </w:numPr>
        <w:jc w:val="center"/>
        <w:rPr>
          <w:rFonts w:ascii="宋体" w:hAnsi="宋体" w:cs="宋体"/>
          <w:b/>
          <w:bCs/>
          <w:sz w:val="28"/>
          <w:szCs w:val="28"/>
        </w:rPr>
      </w:pPr>
      <w:r>
        <w:rPr>
          <w:rFonts w:hint="eastAsia" w:ascii="宋体" w:hAnsi="宋体" w:cs="宋体"/>
          <w:b/>
          <w:bCs/>
          <w:sz w:val="28"/>
          <w:szCs w:val="28"/>
        </w:rPr>
        <w:t>机场公司业务外包项目考核标准</w:t>
      </w:r>
    </w:p>
    <w:tbl>
      <w:tblPr>
        <w:tblStyle w:val="6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jc w:val="center"/>
              <w:rPr>
                <w:rFonts w:ascii="宋体" w:hAnsi="宋体"/>
                <w:b/>
                <w:color w:val="000000"/>
              </w:rPr>
            </w:pPr>
            <w:r>
              <w:rPr>
                <w:rFonts w:hint="eastAsia" w:ascii="宋体" w:hAnsi="宋体"/>
                <w:b/>
                <w:color w:val="000000"/>
              </w:rPr>
              <w:t>考核内容</w:t>
            </w:r>
          </w:p>
        </w:tc>
        <w:tc>
          <w:tcPr>
            <w:tcW w:w="5812" w:type="dxa"/>
            <w:vMerge w:val="restart"/>
            <w:shd w:val="clear" w:color="auto" w:fill="auto"/>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ind w:right="30"/>
              <w:jc w:val="center"/>
              <w:rPr>
                <w:rFonts w:ascii="宋体" w:hAnsi="宋体" w:cs="微软雅黑"/>
                <w:b/>
                <w:color w:val="000000"/>
              </w:rPr>
            </w:pPr>
            <w:r>
              <w:rPr>
                <w:rFonts w:hint="eastAsia" w:ascii="宋体" w:hAnsi="宋体" w:cs="微软雅黑"/>
                <w:b/>
                <w:color w:val="000000"/>
              </w:rPr>
              <w:t>安全及否定指标</w:t>
            </w:r>
          </w:p>
        </w:tc>
        <w:tc>
          <w:tcPr>
            <w:tcW w:w="5812" w:type="dxa"/>
            <w:vMerge w:val="continue"/>
            <w:shd w:val="clear" w:color="auto" w:fill="auto"/>
            <w:vAlign w:val="center"/>
          </w:tcPr>
          <w:p>
            <w:pPr>
              <w:spacing w:line="259" w:lineRule="auto"/>
              <w:jc w:val="center"/>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承包商存在责任原因造成的恐怖事件、生产安全事故、消防安全事故等重大事件，给甲方造成损失</w:t>
            </w:r>
          </w:p>
        </w:tc>
        <w:tc>
          <w:tcPr>
            <w:tcW w:w="5812" w:type="dxa"/>
            <w:vMerge w:val="restart"/>
            <w:shd w:val="clear" w:color="auto" w:fill="auto"/>
            <w:vAlign w:val="center"/>
          </w:tcPr>
          <w:p>
            <w:pPr>
              <w:spacing w:line="259" w:lineRule="auto"/>
              <w:rPr>
                <w:rFonts w:ascii="宋体" w:hAnsi="宋体"/>
                <w:color w:val="000000"/>
              </w:rPr>
            </w:pPr>
            <w:r>
              <w:rPr>
                <w:rFonts w:hint="eastAsia" w:ascii="宋体" w:hAnsi="宋体"/>
                <w:color w:val="000000"/>
              </w:rPr>
              <w:t>1.承包商承担主要责任的，一票否决，得0分。</w:t>
            </w:r>
          </w:p>
          <w:p>
            <w:pPr>
              <w:spacing w:line="259" w:lineRule="auto"/>
              <w:rPr>
                <w:rFonts w:ascii="宋体" w:hAnsi="宋体"/>
                <w:color w:val="000000"/>
              </w:rPr>
            </w:pPr>
            <w:r>
              <w:rPr>
                <w:rFonts w:hint="eastAsia" w:ascii="宋体" w:hAnsi="宋体"/>
                <w:color w:val="000000"/>
              </w:rPr>
              <w:t>2.承包商承担次要责任的，视情扣5-20分。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承包商责任原因造成各类不安全事件，事故症候等影响机场形象及造成甲方损失</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承包商责任原因造成的恶劣事件</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公司行为被查处的违法违纪事件</w:t>
            </w:r>
          </w:p>
        </w:tc>
        <w:tc>
          <w:tcPr>
            <w:tcW w:w="5812" w:type="dxa"/>
            <w:vMerge w:val="restart"/>
            <w:shd w:val="clear" w:color="auto" w:fill="auto"/>
            <w:vAlign w:val="center"/>
          </w:tcPr>
          <w:p>
            <w:pPr>
              <w:spacing w:line="259" w:lineRule="auto"/>
              <w:rPr>
                <w:rFonts w:ascii="宋体" w:hAnsi="宋体"/>
                <w:color w:val="000000"/>
              </w:rPr>
            </w:pPr>
            <w:r>
              <w:rPr>
                <w:rFonts w:hint="eastAsia" w:ascii="宋体" w:hAnsi="宋体"/>
                <w:color w:val="000000"/>
              </w:rPr>
              <w:t>1.承包商承担主要责任的，视情扣5-15分。</w:t>
            </w:r>
          </w:p>
          <w:p>
            <w:pPr>
              <w:spacing w:line="259" w:lineRule="auto"/>
              <w:rPr>
                <w:rFonts w:ascii="宋体" w:hAnsi="宋体"/>
                <w:color w:val="000000"/>
              </w:rPr>
            </w:pPr>
            <w:r>
              <w:rPr>
                <w:rFonts w:hint="eastAsia" w:ascii="宋体" w:hAnsi="宋体"/>
                <w:color w:val="000000"/>
              </w:rPr>
              <w:t>2承包商承担次要责任的，视情扣1-10分。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机场公司或上级主管单位或监管科室开具的各类整改单、告知书</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因承包商责任原因造成航班延误、复飞等影响航班生产正常性的事件</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人员管理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技术能力与资质</w:t>
            </w:r>
          </w:p>
        </w:tc>
        <w:tc>
          <w:tcPr>
            <w:tcW w:w="5812" w:type="dxa"/>
            <w:shd w:val="clear" w:color="auto" w:fill="auto"/>
            <w:vAlign w:val="center"/>
          </w:tcPr>
          <w:p>
            <w:pPr>
              <w:spacing w:line="259" w:lineRule="auto"/>
              <w:rPr>
                <w:rFonts w:ascii="宋体" w:hAnsi="宋体"/>
                <w:color w:val="000000"/>
              </w:rPr>
            </w:pPr>
            <w:r>
              <w:rPr>
                <w:rFonts w:hint="eastAsia"/>
              </w:rPr>
              <w:t>维保人员</w:t>
            </w:r>
            <w:r>
              <w:rPr>
                <w:rFonts w:hint="eastAsia" w:ascii="宋体" w:hAnsi="宋体"/>
                <w:color w:val="000000"/>
              </w:rPr>
              <w:t>技术能力不达要求，查证时发现资格证书</w:t>
            </w:r>
            <w:r>
              <w:rPr>
                <w:rFonts w:ascii="宋体" w:hAnsi="宋体"/>
                <w:color w:val="000000"/>
              </w:rPr>
              <w:t>过期</w:t>
            </w:r>
            <w:r>
              <w:rPr>
                <w:rFonts w:hint="eastAsia" w:ascii="宋体" w:hAnsi="宋体"/>
                <w:color w:val="000000"/>
              </w:rPr>
              <w:t>的，每次发生扣1分。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widowControl/>
              <w:spacing w:line="276" w:lineRule="auto"/>
              <w:rPr>
                <w:rFonts w:ascii="宋体" w:hAnsi="宋体"/>
                <w:color w:val="000000"/>
              </w:rPr>
            </w:pPr>
            <w:r>
              <w:rPr>
                <w:rFonts w:hint="eastAsia" w:ascii="宋体" w:hAnsi="宋体"/>
                <w:color w:val="000000"/>
              </w:rPr>
              <w:t>精神面貌与形象</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维保人员工作中态度消极，未按规定着工作服装，仪表不</w:t>
            </w:r>
            <w:r>
              <w:rPr>
                <w:rFonts w:ascii="宋体" w:hAnsi="宋体"/>
                <w:color w:val="000000"/>
              </w:rPr>
              <w:t>得体</w:t>
            </w:r>
            <w:r>
              <w:rPr>
                <w:rFonts w:hint="eastAsia" w:ascii="宋体" w:hAnsi="宋体"/>
                <w:color w:val="000000"/>
              </w:rPr>
              <w:t>，进入隔离区未穿反光背心，每次扣1分。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人员培训及上岗考核</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承包商未对来机场的维保人员进行岗前培训考核或安全、消防和应急相关培训的，每次扣1分。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人员行为规范</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发现承包商或维保人员存在廉洁，或违反基本的道德准则，或违反法律法规和机场相关规章制度的，每次扣2分。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人员作业安排情况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未按合约要求或未根据监管单位需要进行及时调整维保人员的作业安排，每次扣1分。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人员工作配合情况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承包商或维保人员不服从监管单位管理的，或不配合监管单位完成其他工作任务的，每次扣2分。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质量管理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jc w:val="center"/>
              <w:rPr>
                <w:rFonts w:ascii="宋体" w:hAnsi="宋体"/>
                <w:color w:val="000000"/>
              </w:rPr>
            </w:pPr>
            <w:r>
              <w:rPr>
                <w:rFonts w:hint="eastAsia" w:ascii="宋体" w:hAnsi="宋体" w:cs="微软雅黑"/>
                <w:b/>
                <w:color w:val="000000"/>
              </w:rPr>
              <w:t>设备维保类</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台账、资料管理质量</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未对维保设备的台账、资料进行合理管理或未按要求填写台账（漏填、不填等），或未按时提交符合实际情况的季度、年度设备运行数据分析报告，每次发生扣1分。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设备修复率</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设备的修复率未达到合约要求的，每次扣2分。若出现责任原因造成的重复故障，则每次扣1分。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现场工作环境维护</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未对作业后的场所或区域进行卫生打扫的，每次发生扣1分。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维修标准</w:t>
            </w:r>
            <w:r>
              <w:rPr>
                <w:rFonts w:ascii="宋体" w:hAnsi="宋体" w:cs="微软雅黑"/>
                <w:color w:val="000000"/>
              </w:rPr>
              <w:t>/</w:t>
            </w:r>
            <w:r>
              <w:rPr>
                <w:rFonts w:hint="eastAsia" w:ascii="宋体" w:hAnsi="宋体" w:cs="微软雅黑"/>
                <w:color w:val="000000"/>
              </w:rPr>
              <w:t>设备正常率</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设备的</w:t>
            </w:r>
            <w:r>
              <w:rPr>
                <w:rFonts w:hint="eastAsia" w:ascii="宋体" w:hAnsi="宋体" w:cs="微软雅黑"/>
                <w:color w:val="000000"/>
              </w:rPr>
              <w:t>维修标准</w:t>
            </w:r>
            <w:r>
              <w:rPr>
                <w:rFonts w:ascii="宋体" w:hAnsi="宋体" w:cs="微软雅黑"/>
                <w:color w:val="000000"/>
              </w:rPr>
              <w:t>/</w:t>
            </w:r>
            <w:r>
              <w:rPr>
                <w:rFonts w:hint="eastAsia" w:ascii="宋体" w:hAnsi="宋体" w:cs="微软雅黑"/>
                <w:color w:val="000000"/>
              </w:rPr>
              <w:t>设备正常率</w:t>
            </w:r>
            <w:r>
              <w:rPr>
                <w:rFonts w:hint="eastAsia" w:ascii="宋体" w:hAnsi="宋体"/>
                <w:color w:val="000000"/>
              </w:rPr>
              <w:t>未达到合约要求的，每次扣5分。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设备修复速度</w:t>
            </w:r>
          </w:p>
        </w:tc>
        <w:tc>
          <w:tcPr>
            <w:tcW w:w="5812" w:type="dxa"/>
            <w:shd w:val="clear" w:color="auto" w:fill="auto"/>
            <w:vAlign w:val="center"/>
          </w:tcPr>
          <w:p>
            <w:pPr>
              <w:spacing w:line="259" w:lineRule="auto"/>
              <w:ind w:right="45"/>
              <w:rPr>
                <w:rFonts w:ascii="宋体" w:hAnsi="宋体" w:cs="微软雅黑"/>
                <w:color w:val="000000"/>
              </w:rPr>
            </w:pPr>
            <w:r>
              <w:rPr>
                <w:rFonts w:hint="eastAsia" w:ascii="宋体" w:hAnsi="宋体"/>
                <w:color w:val="000000"/>
              </w:rPr>
              <w:t>设备的修复速度未达到合约要求的，每次扣2分。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应急事件处理质量</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对应急事件处理未达到规定要求或不够及时的，第一次发生扣2分，若发生处置不当造成损失的，则视情扣3-5分。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安全管理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人员证件管理</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未重视安全工作，未对领取的通行证件进行有效保管的或取用后未按时归还的，每次扣1分。发生通行证相关不安全或治安事件的，视情扣5-10分，特别严重的按照“安全及否定指标”执行。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安保测试及应急演练情况</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组织安保测试和应急演练，或在机场公司组织的安保测试和应急演练中承包商表现良好的视情加0.5-2分（不累加），其中受到表彰的加2分。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安全文件制度管理</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未针对机场维保作业制定或及时更新相关安全管理制度的，扣0.5分。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过程管理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s="微软雅黑"/>
                <w:color w:val="000000"/>
              </w:rPr>
            </w:pPr>
            <w:r>
              <w:rPr>
                <w:rFonts w:hint="eastAsia" w:ascii="宋体" w:hAnsi="宋体" w:cs="微软雅黑"/>
                <w:color w:val="000000"/>
              </w:rPr>
              <w:t>工作计划方案制定、更新及执行</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未根据监管单位要求制定具体工作计划的，每次扣0.5分。</w:t>
            </w:r>
          </w:p>
          <w:p>
            <w:pPr>
              <w:spacing w:line="259" w:lineRule="auto"/>
              <w:ind w:left="2"/>
              <w:rPr>
                <w:rFonts w:ascii="宋体" w:hAnsi="宋体"/>
                <w:color w:val="000000"/>
              </w:rPr>
            </w:pPr>
            <w:r>
              <w:rPr>
                <w:rFonts w:hint="eastAsia" w:ascii="宋体" w:hAnsi="宋体"/>
                <w:color w:val="000000"/>
              </w:rPr>
              <w:t>未按计划执行的，每次扣0.5分。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设备巡视检查情况</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未建立工作巡查机制或工作巡查不尽职，走形式，不到位，每次扣0.5分。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设备周期性维保作业情况</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维保作业不认真、不到位，每次扣1分。</w:t>
            </w:r>
          </w:p>
          <w:p>
            <w:pPr>
              <w:spacing w:line="259" w:lineRule="auto"/>
              <w:ind w:left="2"/>
              <w:rPr>
                <w:rFonts w:ascii="宋体" w:hAnsi="宋体"/>
                <w:color w:val="000000"/>
              </w:rPr>
            </w:pPr>
            <w:r>
              <w:rPr>
                <w:rFonts w:hint="eastAsia" w:ascii="宋体" w:hAnsi="宋体"/>
                <w:color w:val="000000"/>
              </w:rPr>
              <w:t>未按合约或计划如期进行设备维保，每次扣2分。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s="微软雅黑"/>
                <w:color w:val="000000"/>
              </w:rPr>
            </w:pPr>
            <w:r>
              <w:rPr>
                <w:rFonts w:hint="eastAsia" w:ascii="宋体" w:hAnsi="宋体" w:cs="微软雅黑"/>
                <w:color w:val="000000"/>
              </w:rPr>
              <w:t>工作进展及工作质量汇总情况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未给监管单位按时提交工作进展或工作季报、年度汇总的，每次扣0.5分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s="微软雅黑"/>
                <w:color w:val="000000"/>
              </w:rPr>
            </w:pPr>
            <w:r>
              <w:rPr>
                <w:rFonts w:hint="eastAsia" w:ascii="宋体" w:hAnsi="宋体" w:cs="微软雅黑"/>
                <w:color w:val="000000"/>
              </w:rPr>
              <w:t>现场发现的问题的处理和后续整改</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未及时和按要求对整改要求进行整改的，每次扣0.5分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资源配备管理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根据投标承诺足额配备人员</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未按照要求配备规定人数或不满足工作需求的扣1分。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根据投标承诺提供设备及耗材等</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未按照要求配备对</w:t>
            </w:r>
            <w:r>
              <w:rPr>
                <w:rFonts w:hint="eastAsia" w:ascii="宋体" w:hAnsi="宋体" w:cs="微软雅黑"/>
                <w:color w:val="000000"/>
              </w:rPr>
              <w:t>常用具、消耗品、器材等进行配备的，每次扣1分。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耗材出入库管理和甲方托管设备维保</w:t>
            </w:r>
          </w:p>
        </w:tc>
        <w:tc>
          <w:tcPr>
            <w:tcW w:w="5812" w:type="dxa"/>
            <w:shd w:val="clear" w:color="auto" w:fill="auto"/>
            <w:vAlign w:val="center"/>
          </w:tcPr>
          <w:p>
            <w:pPr>
              <w:spacing w:line="259" w:lineRule="auto"/>
              <w:ind w:right="3"/>
              <w:rPr>
                <w:rFonts w:ascii="宋体" w:hAnsi="宋体"/>
                <w:color w:val="000000"/>
              </w:rPr>
            </w:pPr>
            <w:r>
              <w:rPr>
                <w:rFonts w:hint="eastAsia" w:ascii="宋体" w:hAnsi="宋体"/>
                <w:color w:val="000000"/>
              </w:rPr>
              <w:t>未按照要求建立配件仓库，并进行有效管理的，对进出库进行跟踪登记的，每次扣0.5分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项目资料和关键数据管理</w:t>
            </w:r>
          </w:p>
        </w:tc>
        <w:tc>
          <w:tcPr>
            <w:tcW w:w="5812" w:type="dxa"/>
            <w:shd w:val="clear" w:color="auto" w:fill="auto"/>
            <w:vAlign w:val="center"/>
          </w:tcPr>
          <w:p>
            <w:pPr>
              <w:spacing w:line="259" w:lineRule="auto"/>
              <w:ind w:right="3"/>
              <w:rPr>
                <w:rFonts w:ascii="宋体" w:hAnsi="宋体"/>
                <w:color w:val="000000"/>
              </w:rPr>
            </w:pPr>
            <w:r>
              <w:rPr>
                <w:rFonts w:hint="eastAsia" w:ascii="宋体" w:hAnsi="宋体"/>
                <w:color w:val="000000"/>
              </w:rPr>
              <w:t>未及时将履约中涉及到的技术资料变更提交监管单位的，每次扣1分。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用户满意度</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年度满意度得分高于95分的，视情加2-5分。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服务投诉</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承包商发生投诉，每次扣1分。造成不良影响的，根据情况视情扣2-5分。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上季度问题或监管提示整改情况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上季度问题或监管提示整改无故未完成的每次扣2分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承包商联系会议制度及沟通机制</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召开各类联系会议或建立有效联络机制，视情加0.5-2分。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olor w:val="000000"/>
              </w:rPr>
            </w:pPr>
            <w:r>
              <w:rPr>
                <w:rFonts w:hint="eastAsia" w:ascii="宋体" w:hAnsi="宋体" w:cs="微软雅黑"/>
                <w:b/>
                <w:color w:val="000000"/>
              </w:rPr>
              <w:t>加分项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好人好事及表扬</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外包监管过程中，受到表彰表扬，每次加1分。获评年度优秀承包商的，年度考核得分加 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提出可行性建议</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承包商提出的可行性方案最终落地的，每次加2分。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提前发现隐患并予以改正</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承包商发现隐患并及时对其进行改进的，每次加2分。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其他管理创新、特色模式</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承包商在针对机场维保工作中有创新创优，提出有特色的管理方式并被采用的，视情加1-10分。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其他加减分规定</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每季度承包商因培训、演练、会议相关内容加分不超过3分。</w:t>
            </w:r>
          </w:p>
          <w:p>
            <w:pPr>
              <w:spacing w:line="259" w:lineRule="auto"/>
              <w:rPr>
                <w:rFonts w:ascii="宋体" w:hAnsi="宋体"/>
                <w:color w:val="000000"/>
              </w:rPr>
            </w:pPr>
            <w:r>
              <w:rPr>
                <w:rFonts w:hint="eastAsia" w:ascii="宋体" w:hAnsi="宋体"/>
                <w:color w:val="000000"/>
              </w:rPr>
              <w:t>考核表中单项扣分不设上限。</w:t>
            </w:r>
          </w:p>
        </w:tc>
      </w:tr>
    </w:tbl>
    <w:p>
      <w:pPr>
        <w:numPr>
          <w:ilvl w:val="255"/>
          <w:numId w:val="0"/>
        </w:numPr>
        <w:rPr>
          <w:rFonts w:ascii="宋体" w:hAnsi="宋体" w:cs="宋体"/>
          <w:b/>
          <w:bCs/>
          <w:sz w:val="28"/>
          <w:szCs w:val="28"/>
        </w:rPr>
      </w:pPr>
    </w:p>
    <w:p>
      <w:pPr>
        <w:numPr>
          <w:ilvl w:val="255"/>
          <w:numId w:val="0"/>
        </w:numPr>
        <w:rPr>
          <w:rFonts w:ascii="宋体" w:hAnsi="宋体" w:cs="宋体"/>
          <w:b/>
          <w:bCs/>
          <w:sz w:val="28"/>
          <w:szCs w:val="28"/>
        </w:rPr>
      </w:pPr>
    </w:p>
    <w:p>
      <w:pPr>
        <w:pageBreakBefore/>
        <w:spacing w:line="440" w:lineRule="exact"/>
        <w:rPr>
          <w:rFonts w:eastAsia="黑体" w:cs="Calibri"/>
          <w:color w:val="000000"/>
          <w:sz w:val="32"/>
          <w:szCs w:val="32"/>
        </w:rPr>
      </w:pPr>
      <w:r>
        <w:rPr>
          <w:rFonts w:hint="eastAsia" w:eastAsia="黑体" w:cs="Calibri"/>
          <w:color w:val="000000"/>
          <w:sz w:val="32"/>
          <w:szCs w:val="32"/>
        </w:rPr>
        <w:t>附件：</w:t>
      </w:r>
    </w:p>
    <w:p>
      <w:pPr>
        <w:spacing w:line="440" w:lineRule="exact"/>
        <w:jc w:val="center"/>
        <w:rPr>
          <w:rFonts w:eastAsia="黑体" w:cs="Calibri"/>
          <w:color w:val="000000"/>
          <w:sz w:val="32"/>
          <w:szCs w:val="32"/>
        </w:rPr>
      </w:pPr>
      <w:r>
        <w:rPr>
          <w:rFonts w:hint="eastAsia" w:eastAsia="黑体" w:cs="Calibri"/>
          <w:color w:val="000000"/>
          <w:sz w:val="32"/>
          <w:szCs w:val="32"/>
        </w:rPr>
        <w:t>维修常用备品备件报价清单</w:t>
      </w:r>
    </w:p>
    <w:p>
      <w:pPr>
        <w:adjustRightInd w:val="0"/>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投标人根据下方“维修常用备品备件（例表）”清单内容要求，需按招标内容设备容量大小等参数要求增加备品备件的类别，最后完善的常用备品备件报价清单作为合同附件，不含在投标报价总价中，仅作为以后2000以上维修费用支付依据。如下例表：</w:t>
      </w:r>
    </w:p>
    <w:tbl>
      <w:tblPr>
        <w:tblStyle w:val="63"/>
        <w:tblW w:w="95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043"/>
        <w:gridCol w:w="672"/>
        <w:gridCol w:w="1948"/>
        <w:gridCol w:w="1591"/>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54" w:type="dxa"/>
            <w:gridSpan w:val="6"/>
            <w:vAlign w:val="center"/>
          </w:tcPr>
          <w:p>
            <w:pPr>
              <w:snapToGrid w:val="0"/>
              <w:jc w:val="center"/>
              <w:rPr>
                <w:bCs/>
                <w:sz w:val="22"/>
              </w:rPr>
            </w:pPr>
            <w:r>
              <w:rPr>
                <w:rFonts w:hint="eastAsia"/>
                <w:bCs/>
                <w:sz w:val="22"/>
              </w:rPr>
              <w:t>维修常用备品备件（例表）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备件名称</w:t>
            </w:r>
          </w:p>
        </w:tc>
        <w:tc>
          <w:tcPr>
            <w:tcW w:w="2043" w:type="dxa"/>
            <w:vAlign w:val="center"/>
          </w:tcPr>
          <w:p>
            <w:pPr>
              <w:snapToGrid w:val="0"/>
              <w:jc w:val="center"/>
              <w:rPr>
                <w:bCs/>
                <w:sz w:val="22"/>
              </w:rPr>
            </w:pPr>
            <w:r>
              <w:rPr>
                <w:rFonts w:hint="eastAsia"/>
                <w:bCs/>
                <w:sz w:val="22"/>
              </w:rPr>
              <w:t>型号</w:t>
            </w:r>
          </w:p>
        </w:tc>
        <w:tc>
          <w:tcPr>
            <w:tcW w:w="672" w:type="dxa"/>
            <w:vAlign w:val="center"/>
          </w:tcPr>
          <w:p>
            <w:pPr>
              <w:snapToGrid w:val="0"/>
              <w:jc w:val="center"/>
              <w:rPr>
                <w:bCs/>
                <w:sz w:val="22"/>
              </w:rPr>
            </w:pPr>
            <w:r>
              <w:rPr>
                <w:rFonts w:hint="eastAsia"/>
                <w:bCs/>
                <w:sz w:val="22"/>
              </w:rPr>
              <w:t>数量</w:t>
            </w:r>
          </w:p>
        </w:tc>
        <w:tc>
          <w:tcPr>
            <w:tcW w:w="1948" w:type="dxa"/>
            <w:vAlign w:val="center"/>
          </w:tcPr>
          <w:p>
            <w:pPr>
              <w:snapToGrid w:val="0"/>
              <w:jc w:val="center"/>
              <w:rPr>
                <w:bCs/>
                <w:sz w:val="22"/>
              </w:rPr>
            </w:pPr>
            <w:r>
              <w:rPr>
                <w:rFonts w:hint="eastAsia"/>
                <w:bCs/>
                <w:sz w:val="22"/>
              </w:rPr>
              <w:t>功率</w:t>
            </w:r>
          </w:p>
        </w:tc>
        <w:tc>
          <w:tcPr>
            <w:tcW w:w="1591" w:type="dxa"/>
            <w:vAlign w:val="center"/>
          </w:tcPr>
          <w:p>
            <w:pPr>
              <w:snapToGrid w:val="0"/>
              <w:jc w:val="center"/>
              <w:rPr>
                <w:bCs/>
                <w:sz w:val="22"/>
              </w:rPr>
            </w:pPr>
            <w:r>
              <w:rPr>
                <w:rFonts w:hint="eastAsia"/>
                <w:bCs/>
                <w:sz w:val="22"/>
              </w:rPr>
              <w:t>单价（元）</w:t>
            </w:r>
          </w:p>
        </w:tc>
        <w:tc>
          <w:tcPr>
            <w:tcW w:w="1583" w:type="dxa"/>
            <w:vAlign w:val="center"/>
          </w:tcPr>
          <w:p>
            <w:pPr>
              <w:snapToGrid w:val="0"/>
              <w:jc w:val="center"/>
              <w:rPr>
                <w:bCs/>
                <w:sz w:val="22"/>
              </w:rPr>
            </w:pPr>
            <w:r>
              <w:rPr>
                <w:rFonts w:hint="eastAsia"/>
                <w:bCs/>
                <w:sz w:val="22"/>
              </w:rPr>
              <w:t>用途备注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EA-YJS-20KW（例）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20KW及以下</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EA-YJS-100KW（例）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25-120KW</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EA-YJS-240KW（例）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240KW及以上</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显示屏</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显示屏</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直流屏备件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电源板</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AC风机</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电解电容器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CBB电容器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717" w:type="dxa"/>
            <w:vAlign w:val="center"/>
          </w:tcPr>
          <w:p>
            <w:pPr>
              <w:snapToGrid w:val="0"/>
              <w:jc w:val="center"/>
              <w:rPr>
                <w:bCs/>
                <w:sz w:val="22"/>
              </w:rPr>
            </w:pPr>
            <w:r>
              <w:rPr>
                <w:rFonts w:hint="eastAsia"/>
                <w:bCs/>
                <w:sz w:val="22"/>
              </w:rPr>
              <w:t>IGBT模块</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快速熔断器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辅助电源板</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
                <w:bCs/>
                <w:sz w:val="22"/>
              </w:rPr>
            </w:pPr>
            <w:r>
              <w:rPr>
                <w:b/>
                <w:bCs/>
                <w:sz w:val="22"/>
              </w:rPr>
              <w:t>……</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bl>
    <w:p>
      <w:pPr>
        <w:adjustRightInd w:val="0"/>
        <w:snapToGrid w:val="0"/>
        <w:jc w:val="left"/>
        <w:rPr>
          <w:rFonts w:cs="Calibri"/>
          <w:b/>
          <w:szCs w:val="21"/>
        </w:rPr>
      </w:pPr>
    </w:p>
    <w:p>
      <w:pPr>
        <w:pageBreakBefore/>
        <w:numPr>
          <w:ilvl w:val="255"/>
          <w:numId w:val="0"/>
        </w:numPr>
        <w:rPr>
          <w:rFonts w:ascii="宋体" w:hAnsi="宋体" w:cs="宋体"/>
          <w:b/>
          <w:bCs/>
          <w:sz w:val="28"/>
          <w:szCs w:val="28"/>
        </w:rPr>
      </w:pPr>
      <w:r>
        <w:rPr>
          <w:rFonts w:hint="eastAsia" w:ascii="宋体" w:hAnsi="宋体" w:cs="宋体"/>
          <w:b/>
          <w:bCs/>
          <w:sz w:val="28"/>
          <w:szCs w:val="28"/>
        </w:rPr>
        <w:t>附件：</w:t>
      </w:r>
    </w:p>
    <w:p>
      <w:pPr>
        <w:jc w:val="center"/>
        <w:rPr>
          <w:rFonts w:ascii="宋体" w:hAns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rPr>
          <w:rFonts w:ascii="宋体" w:hAns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立即取消我单位投标、中标或在建项目的实施资格；</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拒绝我单位在一定时期内进入贵公司进行项目建设或其它经营活动；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由此引起的相应损失均由我单位承担。</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承诺人单位名称（盖章）：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法定代表人 ：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或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委托代理人：                   </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签订日期：　年  月  日</w:t>
      </w:r>
    </w:p>
    <w:p>
      <w:pPr>
        <w:adjustRightInd w:val="0"/>
        <w:snapToGrid w:val="0"/>
        <w:spacing w:line="360" w:lineRule="exact"/>
        <w:rPr>
          <w:rFonts w:ascii="宋体" w:hAnsi="宋体" w:cs="Calibri"/>
          <w:sz w:val="22"/>
        </w:rPr>
      </w:pPr>
    </w:p>
    <w:p/>
    <w:p/>
    <w:p/>
    <w:p>
      <w:pPr>
        <w:pStyle w:val="33"/>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22"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2"/>
    </w:p>
    <w:p>
      <w:pPr>
        <w:pStyle w:val="33"/>
        <w:spacing w:line="360" w:lineRule="exact"/>
        <w:ind w:firstLine="420"/>
        <w:rPr>
          <w:rFonts w:hAnsi="宋体" w:cs="Calibri"/>
          <w:bCs/>
          <w:sz w:val="22"/>
          <w:szCs w:val="22"/>
        </w:rPr>
      </w:pPr>
      <w:bookmarkStart w:id="123"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3"/>
        <w:spacing w:line="360" w:lineRule="exact"/>
        <w:rPr>
          <w:rFonts w:hAnsi="宋体" w:cs="Calibri"/>
          <w:b/>
          <w:bCs/>
          <w:sz w:val="22"/>
          <w:szCs w:val="22"/>
        </w:rPr>
      </w:pPr>
      <w:r>
        <w:rPr>
          <w:rFonts w:hAnsi="宋体" w:cs="Calibri"/>
          <w:b/>
          <w:bCs/>
          <w:sz w:val="22"/>
          <w:szCs w:val="22"/>
        </w:rPr>
        <w:t>一、评标原则</w:t>
      </w:r>
    </w:p>
    <w:p>
      <w:pPr>
        <w:pStyle w:val="33"/>
        <w:spacing w:line="360" w:lineRule="exact"/>
        <w:ind w:firstLine="420"/>
        <w:rPr>
          <w:rFonts w:hAnsi="宋体" w:cs="Calibri"/>
          <w:sz w:val="22"/>
          <w:szCs w:val="22"/>
        </w:rPr>
      </w:pPr>
      <w:r>
        <w:rPr>
          <w:rFonts w:hAnsi="宋体" w:cs="Calibri"/>
          <w:bCs/>
          <w:sz w:val="22"/>
          <w:szCs w:val="22"/>
        </w:rPr>
        <w:t>评标应遵循公平、公正、科学、择优的原则。</w:t>
      </w:r>
    </w:p>
    <w:p>
      <w:pPr>
        <w:pStyle w:val="33"/>
        <w:spacing w:line="360" w:lineRule="exact"/>
        <w:rPr>
          <w:rFonts w:hAnsi="宋体" w:cs="Calibri"/>
          <w:b/>
          <w:bCs/>
          <w:sz w:val="22"/>
          <w:szCs w:val="22"/>
        </w:rPr>
      </w:pPr>
      <w:r>
        <w:rPr>
          <w:rFonts w:hAnsi="宋体" w:cs="Calibri"/>
          <w:b/>
          <w:bCs/>
          <w:sz w:val="22"/>
          <w:szCs w:val="22"/>
        </w:rPr>
        <w:t>二、评标组织</w:t>
      </w:r>
    </w:p>
    <w:p>
      <w:pPr>
        <w:pStyle w:val="33"/>
        <w:spacing w:line="360" w:lineRule="exact"/>
        <w:ind w:firstLine="420"/>
        <w:rPr>
          <w:rFonts w:hAnsi="宋体" w:cs="Calibri"/>
          <w:sz w:val="22"/>
          <w:szCs w:val="22"/>
        </w:rPr>
      </w:pPr>
      <w:r>
        <w:rPr>
          <w:rFonts w:hAnsi="宋体" w:cs="Calibri"/>
          <w:sz w:val="22"/>
          <w:szCs w:val="22"/>
        </w:rPr>
        <w:t>评标工作由</w:t>
      </w:r>
      <w:r>
        <w:rPr>
          <w:rFonts w:hint="eastAsia" w:hAnsi="宋体" w:cs="Calibri"/>
          <w:sz w:val="22"/>
          <w:szCs w:val="22"/>
        </w:rPr>
        <w:t>招标方</w:t>
      </w:r>
      <w:r>
        <w:rPr>
          <w:rFonts w:hAnsi="宋体" w:cs="Calibri"/>
          <w:sz w:val="22"/>
          <w:szCs w:val="22"/>
        </w:rPr>
        <w:t>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评标委员会由招标方自行组建。</w:t>
      </w:r>
    </w:p>
    <w:p>
      <w:pPr>
        <w:pStyle w:val="33"/>
        <w:spacing w:line="360" w:lineRule="exact"/>
        <w:rPr>
          <w:rFonts w:hAnsi="宋体" w:cs="Calibri"/>
          <w:b/>
          <w:bCs/>
          <w:sz w:val="22"/>
          <w:szCs w:val="22"/>
        </w:rPr>
      </w:pPr>
      <w:r>
        <w:rPr>
          <w:rFonts w:hAnsi="宋体" w:cs="Calibri"/>
          <w:b/>
          <w:bCs/>
          <w:sz w:val="22"/>
          <w:szCs w:val="22"/>
        </w:rPr>
        <w:t>三、投标文件的评审</w:t>
      </w:r>
    </w:p>
    <w:p>
      <w:pPr>
        <w:pStyle w:val="33"/>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w:t>
      </w:r>
      <w:r>
        <w:rPr>
          <w:rFonts w:hint="eastAsia" w:ascii="宋体" w:hAnsi="宋体" w:cs="Calibri"/>
          <w:sz w:val="22"/>
        </w:rPr>
        <w:t>▲</w:t>
      </w:r>
      <w:r>
        <w:rPr>
          <w:rFonts w:ascii="宋体" w:hAnsi="宋体" w:cs="Calibri"/>
          <w:kern w:val="0"/>
          <w:sz w:val="22"/>
        </w:rPr>
        <w:t>”标示的）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3"/>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3"/>
        <w:adjustRightInd w:val="0"/>
        <w:spacing w:line="360" w:lineRule="exact"/>
        <w:ind w:left="420" w:leftChars="20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33"/>
        <w:adjustRightInd w:val="0"/>
        <w:spacing w:line="360" w:lineRule="exact"/>
        <w:ind w:firstLine="440" w:firstLineChars="20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33"/>
        <w:spacing w:line="360" w:lineRule="exact"/>
        <w:ind w:firstLine="440" w:firstLineChars="200"/>
        <w:rPr>
          <w:rFonts w:hAnsi="宋体" w:cs="Calibri"/>
          <w:b/>
          <w:sz w:val="22"/>
          <w:szCs w:val="22"/>
        </w:rPr>
      </w:pPr>
      <w:r>
        <w:rPr>
          <w:rFonts w:hint="eastAsia" w:hAnsi="宋体" w:cs="Calibri"/>
          <w:sz w:val="22"/>
          <w:szCs w:val="22"/>
        </w:rPr>
        <w:t>▲</w:t>
      </w: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Cs/>
          <w:sz w:val="22"/>
          <w:szCs w:val="22"/>
        </w:rPr>
        <w:t>处理</w:t>
      </w:r>
      <w:r>
        <w:rPr>
          <w:rFonts w:hAnsi="宋体" w:cs="Calibri"/>
          <w:sz w:val="22"/>
          <w:szCs w:val="22"/>
        </w:rPr>
        <w:t>。</w:t>
      </w:r>
    </w:p>
    <w:p>
      <w:pPr>
        <w:pStyle w:val="33"/>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3"/>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3"/>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3"/>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3"/>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本次报价要求均为含税价，并注明税率。如遇税率不一致的情况，按不含税价进行评审。</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3.3.2资信及技术评分（40分）</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Pr>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评定项目</w:t>
            </w:r>
          </w:p>
        </w:tc>
        <w:tc>
          <w:tcPr>
            <w:tcW w:w="1562" w:type="dxa"/>
          </w:tcPr>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hAnsi="宋体" w:cs="Calibri"/>
                <w:sz w:val="22"/>
              </w:rPr>
            </w:pPr>
            <w:r>
              <w:rPr>
                <w:rFonts w:hint="eastAsia" w:ascii="宋体" w:hAnsi="宋体"/>
                <w:szCs w:val="21"/>
              </w:rPr>
              <w:t>投标人的企业规模横向对比：注册资金为200万元得0分、200-500万元得2分、500万元及以上的得4分。</w:t>
            </w:r>
          </w:p>
        </w:tc>
        <w:tc>
          <w:tcPr>
            <w:tcW w:w="1562" w:type="dxa"/>
            <w:vAlign w:val="center"/>
          </w:tcPr>
          <w:p>
            <w:pPr>
              <w:widowControl/>
              <w:snapToGrid w:val="0"/>
              <w:spacing w:line="360" w:lineRule="exact"/>
              <w:jc w:val="center"/>
              <w:rPr>
                <w:rFonts w:hAnsi="宋体" w:cs="Calibri"/>
                <w:sz w:val="22"/>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szCs w:val="21"/>
              </w:rPr>
            </w:pPr>
            <w:r>
              <w:rPr>
                <w:rFonts w:hint="eastAsia" w:ascii="宋体" w:hAnsi="宋体" w:cs="Arial"/>
                <w:kern w:val="0"/>
                <w:sz w:val="22"/>
              </w:rPr>
              <w:t>自2016年1月1日起至投标截止日</w:t>
            </w:r>
            <w:r>
              <w:rPr>
                <w:rFonts w:hint="eastAsia" w:ascii="宋体" w:hAnsi="宋体"/>
                <w:szCs w:val="21"/>
              </w:rPr>
              <w:t>符合招标文件要求的相关业绩：1个业绩0分、2个业绩2分、3个及以上业绩4分。需提供中标通知书或合同复印件并加盖公章作为证明材料，原件备查。</w:t>
            </w:r>
          </w:p>
        </w:tc>
        <w:tc>
          <w:tcPr>
            <w:tcW w:w="1562"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szCs w:val="21"/>
              </w:rPr>
            </w:pPr>
            <w:r>
              <w:rPr>
                <w:rFonts w:hint="eastAsia" w:ascii="宋体" w:hAnsi="宋体"/>
                <w:szCs w:val="21"/>
              </w:rPr>
              <w:t>投标人具有招标设备品牌制造商授权的维保资质的全面性比较，</w:t>
            </w:r>
            <w:r>
              <w:rPr>
                <w:rFonts w:hint="eastAsia" w:ascii="宋体" w:hAnsi="宋体" w:cs="Arial"/>
                <w:color w:val="FF0000"/>
                <w:kern w:val="0"/>
                <w:sz w:val="22"/>
              </w:rPr>
              <w:t>出具相应的授权资质文件复印件。</w:t>
            </w:r>
          </w:p>
        </w:tc>
        <w:tc>
          <w:tcPr>
            <w:tcW w:w="1562"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szCs w:val="21"/>
              </w:rPr>
            </w:pPr>
            <w:r>
              <w:rPr>
                <w:rFonts w:hint="eastAsia" w:cs="Calibri" w:asciiTheme="minorEastAsia" w:hAnsiTheme="minorEastAsia" w:eastAsiaTheme="minorEastAsia"/>
                <w:color w:val="000000"/>
                <w:sz w:val="22"/>
              </w:rPr>
              <w:t>现场</w:t>
            </w:r>
            <w:r>
              <w:rPr>
                <w:rFonts w:hint="eastAsia" w:ascii="宋体" w:hAnsi="宋体" w:cs="Calibri"/>
                <w:kern w:val="0"/>
                <w:sz w:val="22"/>
              </w:rPr>
              <w:t>拟派项目负责人和主要参与服务人员配备情况（人员数量及资质方面的比较）</w:t>
            </w:r>
          </w:p>
        </w:tc>
        <w:tc>
          <w:tcPr>
            <w:tcW w:w="1562"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cs="Calibri"/>
                <w:kern w:val="0"/>
                <w:sz w:val="22"/>
              </w:rPr>
            </w:pPr>
            <w:r>
              <w:rPr>
                <w:rFonts w:hint="eastAsia" w:cs="Calibri" w:asciiTheme="minorEastAsia" w:hAnsiTheme="minorEastAsia" w:eastAsiaTheme="minorEastAsia"/>
                <w:color w:val="000000"/>
                <w:sz w:val="22"/>
              </w:rPr>
              <w:t>维保工作计划：维保</w:t>
            </w:r>
            <w:r>
              <w:rPr>
                <w:rFonts w:cs="Calibri" w:asciiTheme="minorEastAsia" w:hAnsiTheme="minorEastAsia" w:eastAsiaTheme="minorEastAsia"/>
                <w:color w:val="000000"/>
                <w:sz w:val="22"/>
              </w:rPr>
              <w:t>人员的作业安排和进场计划</w:t>
            </w:r>
          </w:p>
        </w:tc>
        <w:tc>
          <w:tcPr>
            <w:tcW w:w="1562" w:type="dxa"/>
            <w:vAlign w:val="center"/>
          </w:tcPr>
          <w:p>
            <w:pPr>
              <w:widowControl/>
              <w:snapToGrid w:val="0"/>
              <w:spacing w:line="360" w:lineRule="exact"/>
              <w:jc w:val="center"/>
              <w:rPr>
                <w:rFonts w:ascii="宋体" w:hAnsi="宋体" w:cs="Calibri"/>
                <w:kern w:val="0"/>
                <w:sz w:val="22"/>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cs="Calibri"/>
                <w:kern w:val="0"/>
                <w:sz w:val="22"/>
              </w:rPr>
            </w:pPr>
            <w:r>
              <w:rPr>
                <w:rFonts w:hint="eastAsia" w:cs="Calibri" w:asciiTheme="minorEastAsia" w:hAnsiTheme="minorEastAsia" w:eastAsiaTheme="minorEastAsia"/>
                <w:color w:val="000000"/>
                <w:sz w:val="22"/>
              </w:rPr>
              <w:t>运行、安全、服务等相关管理方案</w:t>
            </w:r>
          </w:p>
        </w:tc>
        <w:tc>
          <w:tcPr>
            <w:tcW w:w="1562" w:type="dxa"/>
            <w:vAlign w:val="center"/>
          </w:tcPr>
          <w:p>
            <w:pPr>
              <w:widowControl/>
              <w:snapToGrid w:val="0"/>
              <w:spacing w:line="360" w:lineRule="exact"/>
              <w:jc w:val="center"/>
              <w:rPr>
                <w:rFonts w:ascii="宋体" w:hAnsi="宋体" w:cs="Calibri"/>
                <w:kern w:val="0"/>
                <w:sz w:val="22"/>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kern w:val="0"/>
                <w:sz w:val="22"/>
              </w:rPr>
            </w:pPr>
            <w:r>
              <w:rPr>
                <w:rFonts w:hint="eastAsia" w:ascii="宋体" w:hAnsi="宋体" w:cs="Calibri"/>
                <w:kern w:val="0"/>
                <w:sz w:val="22"/>
              </w:rPr>
              <w:t>工具及配件：设备投入及提供的备品备件、配件的全面性、性能、价格比较</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Calibri"/>
                <w:color w:val="FF0000"/>
                <w:kern w:val="0"/>
                <w:sz w:val="22"/>
              </w:rPr>
            </w:pPr>
            <w:r>
              <w:rPr>
                <w:rFonts w:hint="eastAsia" w:ascii="宋体" w:hAnsi="宋体" w:cs="宋体"/>
                <w:color w:val="FF0000"/>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kern w:val="0"/>
                <w:sz w:val="22"/>
              </w:rPr>
            </w:pPr>
            <w:r>
              <w:rPr>
                <w:rFonts w:hint="eastAsia" w:cs="Calibri" w:asciiTheme="minorEastAsia" w:hAnsiTheme="minorEastAsia" w:eastAsiaTheme="minorEastAsia"/>
                <w:color w:val="000000"/>
                <w:sz w:val="22"/>
              </w:rPr>
              <w:t>对特殊情况的承诺以及灾害性、突发事件的应急预案</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Calibri"/>
                <w:kern w:val="0"/>
                <w:sz w:val="22"/>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hint="eastAsia" w:ascii="宋体" w:hAnsi="宋体"/>
                <w:szCs w:val="21"/>
              </w:rPr>
              <w:t>保持员工队伍稳定性的承诺及有效措施</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cs="Calibri"/>
                <w:kern w:val="0"/>
                <w:sz w:val="22"/>
              </w:rPr>
            </w:pPr>
            <w:r>
              <w:rPr>
                <w:rFonts w:hint="eastAsia" w:ascii="宋体" w:hAnsi="宋体" w:cs="Calibri"/>
                <w:kern w:val="0"/>
                <w:sz w:val="22"/>
              </w:rPr>
              <w:t>其他服务的安排及保证措施：提供的业务培训计划及免费增值服务的合理性比较</w:t>
            </w:r>
          </w:p>
        </w:tc>
        <w:tc>
          <w:tcPr>
            <w:tcW w:w="1562" w:type="dxa"/>
            <w:vAlign w:val="center"/>
          </w:tcPr>
          <w:p>
            <w:pPr>
              <w:widowControl/>
              <w:snapToGrid w:val="0"/>
              <w:spacing w:line="360" w:lineRule="exact"/>
              <w:jc w:val="center"/>
              <w:rPr>
                <w:rFonts w:ascii="宋体" w:hAnsi="宋体" w:cs="Calibri"/>
                <w:kern w:val="0"/>
                <w:sz w:val="22"/>
              </w:rPr>
            </w:pPr>
            <w:r>
              <w:rPr>
                <w:rFonts w:hint="eastAsia" w:ascii="宋体" w:hAnsi="宋体" w:cs="宋体"/>
                <w:kern w:val="0"/>
                <w:szCs w:val="21"/>
              </w:rPr>
              <w:t>0-2</w:t>
            </w:r>
          </w:p>
        </w:tc>
      </w:tr>
    </w:tbl>
    <w:p>
      <w:pPr>
        <w:pStyle w:val="33"/>
        <w:spacing w:line="360" w:lineRule="exact"/>
        <w:rPr>
          <w:rFonts w:hAnsi="宋体" w:cs="Calibri"/>
          <w:b/>
          <w:sz w:val="22"/>
          <w:szCs w:val="22"/>
        </w:rPr>
      </w:pPr>
      <w:r>
        <w:rPr>
          <w:rFonts w:hAnsi="宋体" w:cs="Calibri"/>
          <w:b/>
          <w:sz w:val="22"/>
          <w:szCs w:val="22"/>
        </w:rPr>
        <w:t>3.4推荐中标候选人</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3"/>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w:t>
      </w:r>
      <w:r>
        <w:rPr>
          <w:rFonts w:hint="eastAsia" w:hAnsi="宋体" w:cs="Calibri"/>
          <w:sz w:val="22"/>
          <w:szCs w:val="22"/>
        </w:rPr>
        <w:t>招标方</w:t>
      </w:r>
      <w:r>
        <w:rPr>
          <w:rFonts w:hAnsi="宋体" w:cs="Calibri"/>
          <w:sz w:val="22"/>
          <w:szCs w:val="22"/>
        </w:rPr>
        <w:t>提交书面评标报告。评标报告由评标委员会起草，按少数服从多数的原则通过。评标委员会全体成员应在评标报告上签字认可，评标专家如有保留意见可以在评标报告中阐明。</w:t>
      </w:r>
    </w:p>
    <w:p>
      <w:pPr>
        <w:pStyle w:val="33"/>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1招标方</w:t>
      </w:r>
      <w:r>
        <w:rPr>
          <w:rFonts w:hAnsi="宋体" w:cs="Calibri"/>
          <w:sz w:val="22"/>
          <w:szCs w:val="22"/>
        </w:rPr>
        <w:t>将确定评标委员会推荐的</w:t>
      </w:r>
      <w:r>
        <w:rPr>
          <w:rFonts w:hint="eastAsia" w:hAnsi="宋体" w:cs="Calibri"/>
          <w:sz w:val="22"/>
          <w:szCs w:val="22"/>
        </w:rPr>
        <w:t>第一</w:t>
      </w:r>
      <w:r>
        <w:rPr>
          <w:rFonts w:hAnsi="宋体" w:cs="Calibri"/>
          <w:sz w:val="22"/>
          <w:szCs w:val="22"/>
        </w:rPr>
        <w:t>中标候选人为</w:t>
      </w:r>
      <w:r>
        <w:rPr>
          <w:rFonts w:hint="eastAsia" w:hAnsi="宋体" w:cs="Calibri"/>
          <w:sz w:val="22"/>
          <w:szCs w:val="22"/>
        </w:rPr>
        <w:t>中标方</w:t>
      </w:r>
      <w:r>
        <w:rPr>
          <w:rFonts w:hAnsi="宋体" w:cs="Calibri"/>
          <w:sz w:val="22"/>
          <w:szCs w:val="22"/>
        </w:rPr>
        <w:t>。</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w:t>
      </w:r>
      <w:r>
        <w:rPr>
          <w:rFonts w:hint="eastAsia" w:hAnsi="宋体" w:cs="Calibri"/>
          <w:sz w:val="22"/>
          <w:szCs w:val="22"/>
        </w:rPr>
        <w:t>招标方</w:t>
      </w:r>
      <w:r>
        <w:rPr>
          <w:rFonts w:hAnsi="宋体" w:cs="Calibri"/>
          <w:sz w:val="22"/>
          <w:szCs w:val="22"/>
        </w:rPr>
        <w:t>可以在其他中标候选人中按照推荐的排序确定</w:t>
      </w:r>
      <w:r>
        <w:rPr>
          <w:rFonts w:hint="eastAsia" w:hAnsi="宋体" w:cs="Calibri"/>
          <w:sz w:val="22"/>
          <w:szCs w:val="22"/>
        </w:rPr>
        <w:t>中标方或</w:t>
      </w:r>
      <w:r>
        <w:rPr>
          <w:rFonts w:hAnsi="宋体" w:cs="Calibri"/>
          <w:sz w:val="22"/>
          <w:szCs w:val="22"/>
        </w:rPr>
        <w:t>重新招标。</w:t>
      </w:r>
    </w:p>
    <w:p>
      <w:pPr>
        <w:pStyle w:val="33"/>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w:t>
      </w:r>
      <w:r>
        <w:rPr>
          <w:rFonts w:hint="eastAsia" w:hAnsi="宋体" w:cs="Calibri"/>
          <w:sz w:val="22"/>
          <w:szCs w:val="22"/>
        </w:rPr>
        <w:t>招标方</w:t>
      </w:r>
      <w:r>
        <w:rPr>
          <w:rFonts w:hAnsi="宋体" w:cs="Calibri"/>
          <w:sz w:val="22"/>
          <w:szCs w:val="22"/>
        </w:rPr>
        <w:t>造成报价的差额部分，由放弃中标权的中标候选人承担。</w:t>
      </w:r>
    </w:p>
    <w:p>
      <w:pPr>
        <w:pStyle w:val="33"/>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w:t>
      </w:r>
      <w:r>
        <w:rPr>
          <w:rFonts w:hint="eastAsia" w:hAnsi="宋体" w:cs="Calibri"/>
          <w:sz w:val="22"/>
          <w:szCs w:val="22"/>
        </w:rPr>
        <w:t>招标方</w:t>
      </w:r>
      <w:r>
        <w:rPr>
          <w:rFonts w:hAnsi="宋体" w:cs="Calibri"/>
          <w:sz w:val="22"/>
          <w:szCs w:val="22"/>
        </w:rPr>
        <w:t>可以在其他中标候选人中按照推荐的排序确定</w:t>
      </w:r>
      <w:r>
        <w:rPr>
          <w:rFonts w:hint="eastAsia" w:hAnsi="宋体" w:cs="Calibri"/>
          <w:sz w:val="22"/>
          <w:szCs w:val="22"/>
        </w:rPr>
        <w:t>中标方或</w:t>
      </w:r>
      <w:r>
        <w:rPr>
          <w:rFonts w:hAnsi="宋体" w:cs="Calibri"/>
          <w:sz w:val="22"/>
          <w:szCs w:val="22"/>
        </w:rPr>
        <w:t>重新招标。</w:t>
      </w:r>
    </w:p>
    <w:p>
      <w:pPr>
        <w:pStyle w:val="33"/>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4.4招标方对评标、定标结果不负责解释。</w:t>
      </w:r>
    </w:p>
    <w:bookmarkEnd w:id="123"/>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24"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24"/>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、中国裁判文书网http://wenshu.court.gov.cn查询结果证材料。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（3）现场机构、人力、物资设备配置；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（5）运行、安全、服务等相关管理方案；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（6）对本项目的实施意见及重点、难点控制；</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（8）投入到本项目的项目负责人、其他人员的情况汇总表及业绩、经历、能力介绍、资格证明材料及人员到位率的承诺；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（9）投入本项目服务的仪器、仪表、设备及交通工具汇总表。</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5" w:name="_Toc171421958"/>
      <w:r>
        <w:rPr>
          <w:rFonts w:cs="Calibri"/>
          <w:color w:val="000000"/>
        </w:rPr>
        <w:t>封面</w:t>
      </w:r>
      <w:bookmarkEnd w:id="12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账    号：</w:t>
      </w:r>
    </w:p>
    <w:p>
      <w:pPr>
        <w:snapToGrid w:val="0"/>
        <w:spacing w:line="360" w:lineRule="auto"/>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日    期：    年     月     日</w:t>
      </w:r>
    </w:p>
    <w:p>
      <w:pPr>
        <w:pageBreakBefore/>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8"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9"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jc w:val="right"/>
        <w:rPr>
          <w:rFonts w:ascii="宋体" w:hAnsi="宋体" w:cs="宋体"/>
          <w:bCs/>
          <w:sz w:val="24"/>
          <w:szCs w:val="24"/>
        </w:rPr>
      </w:pPr>
      <w:r>
        <w:rPr>
          <w:rFonts w:hint="eastAsia" w:ascii="宋体" w:hAnsi="宋体" w:cs="宋体"/>
          <w:bCs/>
          <w:sz w:val="24"/>
          <w:szCs w:val="24"/>
        </w:rPr>
        <w:t>单位：万元</w:t>
      </w:r>
    </w:p>
    <w:tbl>
      <w:tblPr>
        <w:tblStyle w:val="63"/>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29"/>
        <w:gridCol w:w="1788"/>
        <w:gridCol w:w="1781"/>
        <w:gridCol w:w="1719"/>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序号</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费用名称</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数量</w:t>
            </w: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单价（元）</w:t>
            </w: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总价（元）</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维护维修人工费（一年四次维保）</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备品备件材料费用（2000元含以下）</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其他</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05"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一年总报价</w:t>
            </w:r>
            <w:r>
              <w:rPr>
                <w:rFonts w:hint="eastAsia" w:ascii="宋体" w:hAnsi="宋体" w:cs="宋体"/>
                <w:sz w:val="24"/>
                <w:szCs w:val="24"/>
                <w:lang w:val="zh-CN"/>
              </w:rPr>
              <w:t xml:space="preserve">（万元）大写：                       </w:t>
            </w:r>
            <w:r>
              <w:rPr>
                <w:rFonts w:hint="eastAsia" w:ascii="宋体" w:hAnsi="宋体" w:cs="宋体"/>
                <w:sz w:val="24"/>
                <w:szCs w:val="24"/>
              </w:rPr>
              <w:t xml:space="preserve">  </w:t>
            </w:r>
            <w:r>
              <w:rPr>
                <w:rFonts w:hint="eastAsia" w:ascii="宋体" w:hAnsi="宋体" w:cs="宋体"/>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05"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三年总报价</w:t>
            </w:r>
            <w:r>
              <w:rPr>
                <w:rFonts w:hint="eastAsia" w:ascii="宋体" w:hAnsi="宋体" w:cs="宋体"/>
                <w:sz w:val="24"/>
                <w:szCs w:val="24"/>
                <w:lang w:val="zh-CN"/>
              </w:rPr>
              <w:t xml:space="preserve">（万元）大写：                       </w:t>
            </w:r>
            <w:r>
              <w:rPr>
                <w:rFonts w:hint="eastAsia" w:ascii="宋体" w:hAnsi="宋体" w:cs="宋体"/>
                <w:sz w:val="24"/>
                <w:szCs w:val="24"/>
              </w:rPr>
              <w:t xml:space="preserve">  </w:t>
            </w:r>
            <w:r>
              <w:rPr>
                <w:rFonts w:hint="eastAsia" w:ascii="宋体" w:hAnsi="宋体" w:cs="宋体"/>
                <w:sz w:val="24"/>
                <w:szCs w:val="24"/>
                <w:lang w:val="zh-CN"/>
              </w:rPr>
              <w:t xml:space="preserve"> ￥：</w:t>
            </w:r>
          </w:p>
        </w:tc>
      </w:tr>
    </w:tbl>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sz w:val="24"/>
          <w:szCs w:val="24"/>
        </w:rPr>
      </w:pPr>
      <w:r>
        <w:rPr>
          <w:rFonts w:hint="eastAsia" w:ascii="宋体" w:hAnsi="宋体" w:cs="宋体"/>
          <w:sz w:val="24"/>
          <w:szCs w:val="24"/>
        </w:rPr>
        <w:t>备注：</w:t>
      </w:r>
    </w:p>
    <w:p>
      <w:pPr>
        <w:adjustRightInd w:val="0"/>
        <w:snapToGrid w:val="0"/>
        <w:jc w:val="left"/>
        <w:rPr>
          <w:rFonts w:ascii="宋体" w:hAnsi="宋体" w:cs="宋体"/>
          <w:sz w:val="24"/>
          <w:szCs w:val="24"/>
        </w:rPr>
      </w:pPr>
      <w:r>
        <w:rPr>
          <w:rFonts w:hint="eastAsia" w:ascii="宋体" w:hAnsi="宋体" w:cs="宋体"/>
          <w:sz w:val="24"/>
          <w:szCs w:val="24"/>
        </w:rPr>
        <w:t>1.请投标单位另行附表明确“单次人工费”中所需的人数、维保所需时间以及“备品备件材料费”中所需的配件名称、数量、价格。</w:t>
      </w:r>
    </w:p>
    <w:p>
      <w:pPr>
        <w:adjustRightInd w:val="0"/>
        <w:snapToGrid w:val="0"/>
        <w:jc w:val="left"/>
        <w:rPr>
          <w:rFonts w:ascii="宋体" w:hAnsi="宋体" w:cs="宋体"/>
          <w:sz w:val="24"/>
          <w:szCs w:val="24"/>
        </w:rPr>
      </w:pPr>
      <w:r>
        <w:rPr>
          <w:rFonts w:hint="eastAsia" w:ascii="宋体" w:hAnsi="宋体" w:cs="宋体"/>
          <w:sz w:val="24"/>
          <w:szCs w:val="24"/>
        </w:rPr>
        <w:t>2.2000元以下（含）的备品备件计入投标总价，2000元以上的备品备件不计入投标总价。</w:t>
      </w:r>
    </w:p>
    <w:p>
      <w:pPr>
        <w:adjustRightInd w:val="0"/>
        <w:snapToGrid w:val="0"/>
        <w:jc w:val="left"/>
        <w:rPr>
          <w:rFonts w:ascii="宋体" w:hAnsi="宋体" w:cs="宋体"/>
          <w:sz w:val="24"/>
          <w:szCs w:val="24"/>
        </w:rPr>
      </w:pPr>
      <w:r>
        <w:rPr>
          <w:rFonts w:hint="eastAsia" w:ascii="宋体" w:hAnsi="宋体" w:cs="宋体"/>
          <w:sz w:val="24"/>
          <w:szCs w:val="24"/>
        </w:rPr>
        <w:t>3.本次报价要求均为含税价，并注明税率。</w:t>
      </w: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snapToGrid w:val="0"/>
        <w:spacing w:line="440" w:lineRule="exact"/>
        <w:ind w:firstLine="4320" w:firstLineChars="1800"/>
        <w:rPr>
          <w:rFonts w:cs="Calibri"/>
          <w:color w:val="000000"/>
          <w:sz w:val="24"/>
          <w:szCs w:val="24"/>
        </w:rPr>
      </w:pPr>
      <w:r>
        <w:rPr>
          <w:rFonts w:cs="Calibri"/>
          <w:color w:val="000000"/>
          <w:sz w:val="24"/>
          <w:szCs w:val="24"/>
        </w:rPr>
        <w:t>投标人：（盖单位章）</w:t>
      </w:r>
    </w:p>
    <w:p>
      <w:pPr>
        <w:snapToGrid w:val="0"/>
        <w:spacing w:line="440" w:lineRule="exact"/>
        <w:ind w:firstLine="4320" w:firstLineChars="1800"/>
        <w:rPr>
          <w:rFonts w:cs="Calibri"/>
          <w:color w:val="000000"/>
          <w:sz w:val="24"/>
          <w:szCs w:val="24"/>
        </w:rPr>
      </w:pPr>
      <w:r>
        <w:rPr>
          <w:rFonts w:cs="Calibri"/>
          <w:color w:val="000000"/>
          <w:sz w:val="24"/>
          <w:szCs w:val="24"/>
        </w:rPr>
        <w:t>法定代表人或其委托代理人：（签字或盖章）</w:t>
      </w:r>
    </w:p>
    <w:p>
      <w:pPr>
        <w:snapToGrid w:val="0"/>
        <w:spacing w:line="440" w:lineRule="exact"/>
        <w:ind w:firstLine="4320" w:firstLineChars="1800"/>
        <w:rPr>
          <w:rFonts w:cs="Calibri"/>
          <w:color w:val="000000"/>
          <w:sz w:val="24"/>
          <w:szCs w:val="24"/>
        </w:rPr>
      </w:pPr>
      <w:r>
        <w:rPr>
          <w:rFonts w:cs="Calibri"/>
          <w:color w:val="000000"/>
          <w:sz w:val="24"/>
          <w:szCs w:val="24"/>
        </w:rPr>
        <w:t>日期：    年     月     日</w:t>
      </w:r>
    </w:p>
    <w:p>
      <w:pPr>
        <w:adjustRightInd w:val="0"/>
        <w:snapToGrid w:val="0"/>
        <w:jc w:val="left"/>
        <w:rPr>
          <w:rFonts w:ascii="宋体" w:hAnsi="宋体" w:cs="宋体"/>
          <w:b/>
          <w:sz w:val="24"/>
          <w:szCs w:val="24"/>
        </w:rPr>
      </w:pPr>
    </w:p>
    <w:p>
      <w:pPr>
        <w:pageBreakBefore/>
        <w:spacing w:line="440" w:lineRule="exact"/>
        <w:jc w:val="center"/>
        <w:rPr>
          <w:rFonts w:eastAsia="黑体" w:cs="Calibri"/>
          <w:color w:val="000000"/>
          <w:sz w:val="32"/>
          <w:szCs w:val="32"/>
        </w:rPr>
      </w:pPr>
      <w:r>
        <w:rPr>
          <w:rFonts w:hint="eastAsia" w:eastAsia="黑体" w:cs="Calibri"/>
          <w:color w:val="000000"/>
          <w:sz w:val="32"/>
          <w:szCs w:val="32"/>
        </w:rPr>
        <w:t>维修常用备品备件报价清单</w:t>
      </w:r>
    </w:p>
    <w:p>
      <w:pPr>
        <w:adjustRightInd w:val="0"/>
        <w:snapToGrid w:val="0"/>
        <w:spacing w:line="360" w:lineRule="exact"/>
        <w:ind w:firstLine="480" w:firstLineChars="200"/>
        <w:rPr>
          <w:rFonts w:ascii="宋体" w:hAnsi="宋体" w:cs="宋体"/>
          <w:kern w:val="0"/>
          <w:sz w:val="24"/>
          <w:szCs w:val="24"/>
        </w:rPr>
      </w:pPr>
      <w:r>
        <w:rPr>
          <w:rFonts w:hint="eastAsia" w:ascii="宋体" w:hAnsi="宋体" w:cs="宋体"/>
          <w:kern w:val="0"/>
          <w:sz w:val="24"/>
          <w:szCs w:val="24"/>
        </w:rPr>
        <w:t>投标人根据下方“维修常用备品备件（例表）”清单内容要求，需按招标内容设备容量大小等参数要求增加备品备件的类别，最后完善的常用备品备件报价清单作为合同附件，不含在投标报价总价中，仅作为以后2000以上维修费用支付依据。如下例表：</w:t>
      </w:r>
    </w:p>
    <w:tbl>
      <w:tblPr>
        <w:tblStyle w:val="63"/>
        <w:tblW w:w="95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043"/>
        <w:gridCol w:w="672"/>
        <w:gridCol w:w="1948"/>
        <w:gridCol w:w="1591"/>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54" w:type="dxa"/>
            <w:gridSpan w:val="6"/>
            <w:vAlign w:val="center"/>
          </w:tcPr>
          <w:p>
            <w:pPr>
              <w:snapToGrid w:val="0"/>
              <w:jc w:val="center"/>
              <w:rPr>
                <w:bCs/>
                <w:sz w:val="22"/>
              </w:rPr>
            </w:pPr>
            <w:r>
              <w:rPr>
                <w:rFonts w:hint="eastAsia"/>
                <w:bCs/>
                <w:sz w:val="22"/>
              </w:rPr>
              <w:t>维修常用备品备件（例表）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备件名称</w:t>
            </w:r>
          </w:p>
        </w:tc>
        <w:tc>
          <w:tcPr>
            <w:tcW w:w="2043" w:type="dxa"/>
            <w:vAlign w:val="center"/>
          </w:tcPr>
          <w:p>
            <w:pPr>
              <w:snapToGrid w:val="0"/>
              <w:jc w:val="center"/>
              <w:rPr>
                <w:bCs/>
                <w:sz w:val="22"/>
              </w:rPr>
            </w:pPr>
            <w:r>
              <w:rPr>
                <w:rFonts w:hint="eastAsia"/>
                <w:bCs/>
                <w:sz w:val="22"/>
              </w:rPr>
              <w:t>型号</w:t>
            </w:r>
          </w:p>
        </w:tc>
        <w:tc>
          <w:tcPr>
            <w:tcW w:w="672" w:type="dxa"/>
            <w:vAlign w:val="center"/>
          </w:tcPr>
          <w:p>
            <w:pPr>
              <w:snapToGrid w:val="0"/>
              <w:jc w:val="center"/>
              <w:rPr>
                <w:bCs/>
                <w:sz w:val="22"/>
              </w:rPr>
            </w:pPr>
            <w:r>
              <w:rPr>
                <w:rFonts w:hint="eastAsia"/>
                <w:bCs/>
                <w:sz w:val="22"/>
              </w:rPr>
              <w:t>数量</w:t>
            </w:r>
          </w:p>
        </w:tc>
        <w:tc>
          <w:tcPr>
            <w:tcW w:w="1948" w:type="dxa"/>
            <w:vAlign w:val="center"/>
          </w:tcPr>
          <w:p>
            <w:pPr>
              <w:snapToGrid w:val="0"/>
              <w:jc w:val="center"/>
              <w:rPr>
                <w:bCs/>
                <w:sz w:val="22"/>
              </w:rPr>
            </w:pPr>
            <w:r>
              <w:rPr>
                <w:rFonts w:hint="eastAsia"/>
                <w:bCs/>
                <w:sz w:val="22"/>
              </w:rPr>
              <w:t>功率</w:t>
            </w:r>
          </w:p>
        </w:tc>
        <w:tc>
          <w:tcPr>
            <w:tcW w:w="1591" w:type="dxa"/>
            <w:vAlign w:val="center"/>
          </w:tcPr>
          <w:p>
            <w:pPr>
              <w:snapToGrid w:val="0"/>
              <w:jc w:val="center"/>
              <w:rPr>
                <w:bCs/>
                <w:sz w:val="22"/>
              </w:rPr>
            </w:pPr>
            <w:r>
              <w:rPr>
                <w:rFonts w:hint="eastAsia"/>
                <w:bCs/>
                <w:sz w:val="22"/>
              </w:rPr>
              <w:t>单价（元）</w:t>
            </w:r>
          </w:p>
        </w:tc>
        <w:tc>
          <w:tcPr>
            <w:tcW w:w="1583" w:type="dxa"/>
            <w:vAlign w:val="center"/>
          </w:tcPr>
          <w:p>
            <w:pPr>
              <w:snapToGrid w:val="0"/>
              <w:jc w:val="center"/>
              <w:rPr>
                <w:bCs/>
                <w:sz w:val="22"/>
              </w:rPr>
            </w:pPr>
            <w:r>
              <w:rPr>
                <w:rFonts w:hint="eastAsia"/>
                <w:bCs/>
                <w:sz w:val="22"/>
              </w:rPr>
              <w:t>用途备注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EA-YJS-20KW（例）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20KW及以下</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EA-YJS-100KW（例）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25-120KW</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主控板（例）</w:t>
            </w:r>
          </w:p>
        </w:tc>
        <w:tc>
          <w:tcPr>
            <w:tcW w:w="2043" w:type="dxa"/>
            <w:vAlign w:val="center"/>
          </w:tcPr>
          <w:p>
            <w:pPr>
              <w:snapToGrid w:val="0"/>
              <w:jc w:val="center"/>
              <w:rPr>
                <w:bCs/>
                <w:sz w:val="22"/>
              </w:rPr>
            </w:pPr>
            <w:r>
              <w:rPr>
                <w:rFonts w:hint="eastAsia"/>
                <w:bCs/>
                <w:sz w:val="22"/>
              </w:rPr>
              <w:t>EA-YJS-240KW（例）</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240KW及以上</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显示屏</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EPS备件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显示屏</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直流屏备件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电源板</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AC风机</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电解电容器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CBB电容器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717" w:type="dxa"/>
            <w:vAlign w:val="center"/>
          </w:tcPr>
          <w:p>
            <w:pPr>
              <w:snapToGrid w:val="0"/>
              <w:jc w:val="center"/>
              <w:rPr>
                <w:bCs/>
                <w:sz w:val="22"/>
              </w:rPr>
            </w:pPr>
            <w:r>
              <w:rPr>
                <w:rFonts w:hint="eastAsia"/>
                <w:bCs/>
                <w:sz w:val="22"/>
              </w:rPr>
              <w:t>IGBT模块</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快速熔断器</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Cs/>
                <w:sz w:val="22"/>
              </w:rPr>
            </w:pPr>
            <w:r>
              <w:rPr>
                <w:rFonts w:hint="eastAsia"/>
                <w:bCs/>
                <w:sz w:val="22"/>
              </w:rPr>
              <w:t>辅助电源板</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717" w:type="dxa"/>
            <w:vAlign w:val="center"/>
          </w:tcPr>
          <w:p>
            <w:pPr>
              <w:snapToGrid w:val="0"/>
              <w:jc w:val="center"/>
              <w:rPr>
                <w:b/>
                <w:bCs/>
                <w:sz w:val="22"/>
              </w:rPr>
            </w:pPr>
            <w:r>
              <w:rPr>
                <w:b/>
                <w:bCs/>
                <w:sz w:val="22"/>
              </w:rPr>
              <w:t>……</w:t>
            </w:r>
          </w:p>
        </w:tc>
        <w:tc>
          <w:tcPr>
            <w:tcW w:w="2043" w:type="dxa"/>
            <w:vAlign w:val="center"/>
          </w:tcPr>
          <w:p>
            <w:pPr>
              <w:snapToGrid w:val="0"/>
              <w:jc w:val="center"/>
              <w:rPr>
                <w:bCs/>
                <w:sz w:val="22"/>
              </w:rPr>
            </w:pPr>
            <w:r>
              <w:rPr>
                <w:rFonts w:hint="eastAsia"/>
                <w:bCs/>
                <w:sz w:val="22"/>
              </w:rPr>
              <w:t>……</w:t>
            </w:r>
          </w:p>
        </w:tc>
        <w:tc>
          <w:tcPr>
            <w:tcW w:w="672" w:type="dxa"/>
            <w:vAlign w:val="center"/>
          </w:tcPr>
          <w:p>
            <w:pPr>
              <w:snapToGrid w:val="0"/>
              <w:jc w:val="center"/>
              <w:rPr>
                <w:bCs/>
                <w:sz w:val="22"/>
              </w:rPr>
            </w:pPr>
            <w:r>
              <w:rPr>
                <w:rFonts w:hint="eastAsia"/>
                <w:bCs/>
                <w:sz w:val="22"/>
              </w:rPr>
              <w:t>1</w:t>
            </w:r>
          </w:p>
        </w:tc>
        <w:tc>
          <w:tcPr>
            <w:tcW w:w="1948" w:type="dxa"/>
            <w:vAlign w:val="center"/>
          </w:tcPr>
          <w:p>
            <w:pPr>
              <w:snapToGrid w:val="0"/>
              <w:jc w:val="center"/>
              <w:rPr>
                <w:bCs/>
                <w:sz w:val="22"/>
              </w:rPr>
            </w:pPr>
            <w:r>
              <w:rPr>
                <w:rFonts w:hint="eastAsia"/>
                <w:bCs/>
                <w:sz w:val="22"/>
              </w:rPr>
              <w:t>……</w:t>
            </w:r>
          </w:p>
        </w:tc>
        <w:tc>
          <w:tcPr>
            <w:tcW w:w="1591" w:type="dxa"/>
            <w:vAlign w:val="center"/>
          </w:tcPr>
          <w:p>
            <w:pPr>
              <w:snapToGrid w:val="0"/>
              <w:jc w:val="center"/>
              <w:rPr>
                <w:bCs/>
                <w:sz w:val="22"/>
              </w:rPr>
            </w:pPr>
            <w:r>
              <w:rPr>
                <w:rFonts w:hint="eastAsia"/>
                <w:bCs/>
                <w:sz w:val="22"/>
              </w:rPr>
              <w:t>……</w:t>
            </w:r>
          </w:p>
        </w:tc>
        <w:tc>
          <w:tcPr>
            <w:tcW w:w="1583" w:type="dxa"/>
            <w:vAlign w:val="center"/>
          </w:tcPr>
          <w:p>
            <w:pPr>
              <w:snapToGrid w:val="0"/>
              <w:jc w:val="center"/>
              <w:rPr>
                <w:bCs/>
                <w:sz w:val="22"/>
              </w:rPr>
            </w:pPr>
            <w:r>
              <w:rPr>
                <w:rFonts w:hint="eastAsia"/>
                <w:bCs/>
                <w:sz w:val="22"/>
              </w:rPr>
              <w:t>……</w:t>
            </w:r>
          </w:p>
        </w:tc>
      </w:tr>
    </w:tbl>
    <w:p>
      <w:pPr>
        <w:adjustRightInd w:val="0"/>
        <w:snapToGrid w:val="0"/>
        <w:jc w:val="left"/>
        <w:rPr>
          <w:rFonts w:cs="Calibri"/>
          <w:b/>
          <w:szCs w:val="21"/>
        </w:rPr>
      </w:pPr>
    </w:p>
    <w:p>
      <w:pPr>
        <w:snapToGrid w:val="0"/>
        <w:spacing w:line="440" w:lineRule="exact"/>
        <w:ind w:firstLine="4320" w:firstLineChars="1800"/>
        <w:rPr>
          <w:rFonts w:cs="Calibri"/>
          <w:color w:val="000000"/>
          <w:sz w:val="24"/>
          <w:szCs w:val="24"/>
        </w:rPr>
      </w:pPr>
    </w:p>
    <w:p>
      <w:pPr>
        <w:snapToGrid w:val="0"/>
        <w:spacing w:line="440" w:lineRule="exact"/>
        <w:ind w:firstLine="4320" w:firstLineChars="1800"/>
        <w:rPr>
          <w:rFonts w:cs="Calibri"/>
          <w:color w:val="000000"/>
          <w:sz w:val="24"/>
          <w:szCs w:val="24"/>
        </w:rPr>
      </w:pPr>
      <w:r>
        <w:rPr>
          <w:rFonts w:cs="Calibri"/>
          <w:color w:val="000000"/>
          <w:sz w:val="24"/>
          <w:szCs w:val="24"/>
        </w:rPr>
        <w:t>投标人：（盖单位章）</w:t>
      </w:r>
    </w:p>
    <w:p>
      <w:pPr>
        <w:snapToGrid w:val="0"/>
        <w:spacing w:line="440" w:lineRule="exact"/>
        <w:ind w:firstLine="4320" w:firstLineChars="1800"/>
        <w:rPr>
          <w:rFonts w:cs="Calibri"/>
          <w:color w:val="000000"/>
          <w:sz w:val="24"/>
          <w:szCs w:val="24"/>
        </w:rPr>
      </w:pPr>
      <w:r>
        <w:rPr>
          <w:rFonts w:cs="Calibri"/>
          <w:color w:val="000000"/>
          <w:sz w:val="24"/>
          <w:szCs w:val="24"/>
        </w:rPr>
        <w:t>法定代表人或其委托代理人：（签字或盖章）</w:t>
      </w:r>
    </w:p>
    <w:p>
      <w:pPr>
        <w:snapToGrid w:val="0"/>
        <w:spacing w:line="440" w:lineRule="exact"/>
        <w:ind w:firstLine="4320" w:firstLineChars="1800"/>
        <w:rPr>
          <w:rFonts w:cs="Calibri"/>
          <w:color w:val="000000"/>
          <w:sz w:val="24"/>
          <w:szCs w:val="24"/>
        </w:rPr>
      </w:pPr>
      <w:r>
        <w:rPr>
          <w:rFonts w:cs="Calibri"/>
          <w:color w:val="000000"/>
          <w:sz w:val="24"/>
          <w:szCs w:val="24"/>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6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6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3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6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3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6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9"/>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9"/>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9"/>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241"/>
              <w:jc w:val="center"/>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9"/>
              <w:snapToGrid w:val="0"/>
              <w:ind w:firstLine="0"/>
              <w:rPr>
                <w:rFonts w:ascii="Calibri" w:hAnsi="Calibri" w:cs="Calibri"/>
                <w:sz w:val="21"/>
                <w:szCs w:val="21"/>
              </w:rPr>
            </w:pPr>
          </w:p>
        </w:tc>
        <w:tc>
          <w:tcPr>
            <w:tcW w:w="1540" w:type="dxa"/>
          </w:tcPr>
          <w:p>
            <w:pPr>
              <w:pStyle w:val="19"/>
              <w:snapToGrid w:val="0"/>
              <w:ind w:firstLine="241"/>
              <w:jc w:val="center"/>
              <w:rPr>
                <w:rFonts w:ascii="Calibri" w:hAnsi="Calibri" w:cs="Calibri"/>
                <w:sz w:val="21"/>
                <w:szCs w:val="21"/>
              </w:rPr>
            </w:pPr>
          </w:p>
        </w:tc>
        <w:tc>
          <w:tcPr>
            <w:tcW w:w="1520" w:type="dxa"/>
          </w:tcPr>
          <w:p>
            <w:pPr>
              <w:pStyle w:val="19"/>
              <w:snapToGrid w:val="0"/>
              <w:ind w:firstLine="241"/>
              <w:jc w:val="center"/>
              <w:rPr>
                <w:rFonts w:ascii="Calibri" w:hAnsi="Calibri" w:cs="Calibri"/>
                <w:sz w:val="21"/>
                <w:szCs w:val="21"/>
              </w:rPr>
            </w:pPr>
          </w:p>
        </w:tc>
        <w:tc>
          <w:tcPr>
            <w:tcW w:w="1620" w:type="dxa"/>
          </w:tcPr>
          <w:p>
            <w:pPr>
              <w:pStyle w:val="19"/>
              <w:snapToGrid w:val="0"/>
              <w:ind w:firstLine="241"/>
              <w:jc w:val="center"/>
              <w:rPr>
                <w:rFonts w:ascii="Calibri" w:hAnsi="Calibri" w:cs="Calibri"/>
                <w:sz w:val="21"/>
                <w:szCs w:val="21"/>
              </w:rPr>
            </w:pPr>
          </w:p>
        </w:tc>
        <w:tc>
          <w:tcPr>
            <w:tcW w:w="2880" w:type="dxa"/>
          </w:tcPr>
          <w:p>
            <w:pPr>
              <w:pStyle w:val="19"/>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p/>
    <w:p/>
    <w:sectPr>
      <w:footerReference r:id="rId10" w:type="first"/>
      <w:headerReference r:id="rId8" w:type="default"/>
      <w:footerReference r:id="rId9" w:type="default"/>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utura Bk">
    <w:altName w:val="Arial"/>
    <w:panose1 w:val="00000000000000000000"/>
    <w:charset w:val="00"/>
    <w:family w:val="swiss"/>
    <w:pitch w:val="default"/>
    <w:sig w:usb0="00000003" w:usb1="00000000" w:usb2="00000000" w:usb3="00000000" w:csb0="00000001" w:csb1="00000000"/>
  </w:font>
  <w:font w:name="Tms Rmn">
    <w:altName w:val="Segoe Print"/>
    <w:panose1 w:val="02020603040505020304"/>
    <w:charset w:val="00"/>
    <w:family w:val="roman"/>
    <w:pitch w:val="default"/>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Heiti SC Light">
    <w:altName w:val="微软雅黑"/>
    <w:panose1 w:val="00000000000000000000"/>
    <w:charset w:val="50"/>
    <w:family w:val="auto"/>
    <w:pitch w:val="default"/>
    <w:sig w:usb0="00000001" w:usb1="00000000" w:usb2="00000000" w:usb3="00000000" w:csb0="00000000" w:csb1="00000000"/>
  </w:font>
  <w:font w:name="Courier">
    <w:altName w:val="Courier New"/>
    <w:panose1 w:val="02070409020205020404"/>
    <w:charset w:val="00"/>
    <w:family w:val="modern"/>
    <w:pitch w:val="default"/>
    <w:sig w:usb0="00000003"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39"/>
          <w:jc w:val="center"/>
        </w:pPr>
        <w:r>
          <w:fldChar w:fldCharType="begin"/>
        </w:r>
        <w:r>
          <w:instrText xml:space="preserve"> PAGE   \* MERGEFORMAT </w:instrText>
        </w:r>
        <w:r>
          <w:fldChar w:fldCharType="separate"/>
        </w:r>
        <w:r>
          <w:rPr>
            <w:lang w:val="zh-CN"/>
          </w:rPr>
          <w:t>-</w:t>
        </w:r>
        <w:r>
          <w:t xml:space="preserve"> 35 -</w:t>
        </w:r>
        <w:r>
          <w:fldChar w:fldCharType="end"/>
        </w:r>
      </w:p>
    </w:sdtContent>
  </w:sdt>
  <w:p>
    <w:pPr>
      <w:pStyle w:val="3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1"/>
      <w:rPr>
        <w:rStyle w:val="59"/>
      </w:rPr>
    </w:pPr>
    <w:r>
      <w:fldChar w:fldCharType="begin"/>
    </w:r>
    <w:r>
      <w:rPr>
        <w:rStyle w:val="59"/>
      </w:rPr>
      <w:instrText xml:space="preserve">PAGE  </w:instrText>
    </w:r>
    <w:r>
      <w:fldChar w:fldCharType="separate"/>
    </w:r>
    <w:r>
      <w:rPr>
        <w:rStyle w:val="59"/>
      </w:rPr>
      <w:t>0</w:t>
    </w:r>
    <w:r>
      <w:fldChar w:fldCharType="end"/>
    </w:r>
  </w:p>
  <w:p>
    <w:pPr>
      <w:pStyle w:val="3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p>
  <w:p>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pPr>
    <w:r>
      <w:fldChar w:fldCharType="begin"/>
    </w:r>
    <w:r>
      <w:instrText xml:space="preserve">PAGE   \* MERGEFORMAT</w:instrText>
    </w:r>
    <w:r>
      <w:fldChar w:fldCharType="separate"/>
    </w:r>
    <w:r>
      <w:rPr>
        <w:lang w:val="zh-CN"/>
      </w:rPr>
      <w:t>111</w:t>
    </w:r>
    <w:r>
      <w:fldChar w:fldCharType="end"/>
    </w:r>
  </w:p>
  <w:p>
    <w:pPr>
      <w:pStyle w:val="39"/>
      <w:ind w:right="360"/>
      <w:rPr>
        <w:rFonts w:ascii="宋体"/>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59"/>
      </w:rPr>
    </w:pPr>
    <w:r>
      <w:fldChar w:fldCharType="begin"/>
    </w:r>
    <w:r>
      <w:rPr>
        <w:rStyle w:val="59"/>
      </w:rPr>
      <w:instrText xml:space="preserve">PAGE  </w:instrText>
    </w:r>
    <w:r>
      <w:fldChar w:fldCharType="separate"/>
    </w:r>
    <w:r>
      <w:rPr>
        <w:rStyle w:val="59"/>
      </w:rPr>
      <w:t>40</w:t>
    </w:r>
    <w:r>
      <w:fldChar w:fldCharType="end"/>
    </w:r>
  </w:p>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pPr>
    <w:r>
      <w:rPr>
        <w:rFonts w:hint="eastAsia"/>
      </w:rPr>
      <w:t>杭州萧山国际机场EPS及直流屏系统维保</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rPr>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563BB"/>
    <w:multiLevelType w:val="singleLevel"/>
    <w:tmpl w:val="BB6563BB"/>
    <w:lvl w:ilvl="0" w:tentative="0">
      <w:start w:val="2"/>
      <w:numFmt w:val="decimal"/>
      <w:suff w:val="nothing"/>
      <w:lvlText w:val="（%1）"/>
      <w:lvlJc w:val="left"/>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2">
    <w:nsid w:val="5D80A2C0"/>
    <w:multiLevelType w:val="singleLevel"/>
    <w:tmpl w:val="5D80A2C0"/>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
    <w:nsid w:val="5D80A2E1"/>
    <w:multiLevelType w:val="singleLevel"/>
    <w:tmpl w:val="5D80A2E1"/>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88"/>
      <w:lvlText w:val=""/>
      <w:lvlJc w:val="left"/>
      <w:pPr>
        <w:tabs>
          <w:tab w:val="left" w:pos="3780"/>
        </w:tabs>
        <w:ind w:left="3780" w:hanging="42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0D"/>
    <w:rsid w:val="000D2FC7"/>
    <w:rsid w:val="000D6860"/>
    <w:rsid w:val="0025151C"/>
    <w:rsid w:val="002956E8"/>
    <w:rsid w:val="003428C7"/>
    <w:rsid w:val="00462B3B"/>
    <w:rsid w:val="00536BB3"/>
    <w:rsid w:val="00596180"/>
    <w:rsid w:val="00635323"/>
    <w:rsid w:val="008A490D"/>
    <w:rsid w:val="00900C5D"/>
    <w:rsid w:val="00A9463B"/>
    <w:rsid w:val="00AD1B1F"/>
    <w:rsid w:val="00B30702"/>
    <w:rsid w:val="00B60D46"/>
    <w:rsid w:val="00C464B6"/>
    <w:rsid w:val="00D153BA"/>
    <w:rsid w:val="00D21706"/>
    <w:rsid w:val="00D239EE"/>
    <w:rsid w:val="00D92F8D"/>
    <w:rsid w:val="00E91481"/>
    <w:rsid w:val="00F1002C"/>
    <w:rsid w:val="00FE50E0"/>
    <w:rsid w:val="342E3D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1"/>
    <w:qFormat/>
    <w:uiPriority w:val="0"/>
    <w:pPr>
      <w:keepNext/>
      <w:keepLines/>
      <w:spacing w:before="340" w:after="330" w:line="360" w:lineRule="auto"/>
      <w:jc w:val="center"/>
      <w:outlineLvl w:val="0"/>
    </w:pPr>
    <w:rPr>
      <w:rFonts w:ascii="Times New Roman" w:hAnsi="Times New Roman" w:eastAsia="宋体" w:cs="Times New Roman"/>
      <w:b/>
      <w:bCs/>
      <w:kern w:val="44"/>
      <w:sz w:val="44"/>
      <w:szCs w:val="44"/>
    </w:rPr>
  </w:style>
  <w:style w:type="paragraph" w:styleId="3">
    <w:name w:val="heading 2"/>
    <w:basedOn w:val="1"/>
    <w:next w:val="1"/>
    <w:link w:val="102"/>
    <w:unhideWhenUsed/>
    <w:qFormat/>
    <w:uiPriority w:val="0"/>
    <w:pPr>
      <w:keepNext/>
      <w:keepLines/>
      <w:spacing w:before="260" w:after="260" w:line="360" w:lineRule="auto"/>
      <w:jc w:val="center"/>
      <w:outlineLvl w:val="1"/>
    </w:pPr>
    <w:rPr>
      <w:rFonts w:ascii="Arial" w:hAnsi="Arial" w:eastAsia="宋体" w:cs="Times New Roman"/>
      <w:b/>
      <w:bCs/>
      <w:kern w:val="0"/>
      <w:sz w:val="32"/>
      <w:szCs w:val="32"/>
    </w:rPr>
  </w:style>
  <w:style w:type="paragraph" w:styleId="4">
    <w:name w:val="heading 3"/>
    <w:basedOn w:val="1"/>
    <w:next w:val="1"/>
    <w:link w:val="103"/>
    <w:unhideWhenUsed/>
    <w:qFormat/>
    <w:uiPriority w:val="0"/>
    <w:pPr>
      <w:keepNext/>
      <w:numPr>
        <w:ilvl w:val="0"/>
        <w:numId w:val="1"/>
      </w:numPr>
      <w:spacing w:line="216" w:lineRule="auto"/>
      <w:outlineLvl w:val="2"/>
    </w:pPr>
    <w:rPr>
      <w:rFonts w:ascii="宋体" w:hAnsi="Calibri" w:eastAsia="宋体" w:cs="Times New Roman"/>
      <w:b/>
      <w:kern w:val="0"/>
      <w:sz w:val="28"/>
      <w:szCs w:val="20"/>
    </w:rPr>
  </w:style>
  <w:style w:type="paragraph" w:styleId="5">
    <w:name w:val="heading 4"/>
    <w:basedOn w:val="1"/>
    <w:next w:val="1"/>
    <w:link w:val="104"/>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171"/>
    <w:unhideWhenUsed/>
    <w:qFormat/>
    <w:uiPriority w:val="0"/>
    <w:pPr>
      <w:keepNext/>
      <w:keepLines/>
      <w:spacing w:before="280" w:after="290" w:line="376" w:lineRule="auto"/>
      <w:outlineLvl w:val="4"/>
    </w:pPr>
    <w:rPr>
      <w:rFonts w:ascii="Calibri" w:hAnsi="Calibri" w:eastAsia="宋体" w:cs="Times New Roman"/>
      <w:b/>
      <w:sz w:val="28"/>
      <w:szCs w:val="28"/>
    </w:rPr>
  </w:style>
  <w:style w:type="paragraph" w:styleId="7">
    <w:name w:val="heading 6"/>
    <w:basedOn w:val="1"/>
    <w:next w:val="1"/>
    <w:link w:val="106"/>
    <w:unhideWhenUsed/>
    <w:qFormat/>
    <w:uiPriority w:val="0"/>
    <w:pPr>
      <w:keepNext/>
      <w:keepLines/>
      <w:spacing w:before="240" w:after="64" w:line="320" w:lineRule="auto"/>
      <w:outlineLvl w:val="5"/>
    </w:pPr>
    <w:rPr>
      <w:rFonts w:ascii="Arial" w:hAnsi="Arial" w:eastAsia="黑体" w:cs="Times New Roman"/>
      <w:b/>
      <w:bCs/>
      <w:kern w:val="0"/>
      <w:sz w:val="20"/>
      <w:szCs w:val="20"/>
    </w:rPr>
  </w:style>
  <w:style w:type="paragraph" w:styleId="8">
    <w:name w:val="heading 7"/>
    <w:basedOn w:val="1"/>
    <w:next w:val="1"/>
    <w:link w:val="107"/>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0"/>
      <w:szCs w:val="20"/>
    </w:rPr>
  </w:style>
  <w:style w:type="paragraph" w:styleId="9">
    <w:name w:val="heading 8"/>
    <w:basedOn w:val="1"/>
    <w:next w:val="1"/>
    <w:link w:val="108"/>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0"/>
      <w:szCs w:val="20"/>
    </w:rPr>
  </w:style>
  <w:style w:type="paragraph" w:styleId="10">
    <w:name w:val="heading 9"/>
    <w:basedOn w:val="1"/>
    <w:next w:val="1"/>
    <w:link w:val="109"/>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Cs w:val="21"/>
    </w:rPr>
  </w:style>
  <w:style w:type="character" w:default="1" w:styleId="57">
    <w:name w:val="Default Paragraph Font"/>
    <w:unhideWhenUsed/>
    <w:uiPriority w:val="1"/>
  </w:style>
  <w:style w:type="table" w:default="1" w:styleId="63">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220"/>
    <w:qFormat/>
    <w:uiPriority w:val="0"/>
    <w:rPr>
      <w:rFonts w:ascii="Times New Roman" w:hAnsi="Times New Roman" w:eastAsia="宋体"/>
      <w:b/>
      <w:kern w:val="0"/>
      <w:sz w:val="20"/>
    </w:rPr>
  </w:style>
  <w:style w:type="paragraph" w:styleId="13">
    <w:name w:val="annotation text"/>
    <w:basedOn w:val="1"/>
    <w:link w:val="219"/>
    <w:unhideWhenUsed/>
    <w:qFormat/>
    <w:uiPriority w:val="99"/>
    <w:pPr>
      <w:jc w:val="left"/>
    </w:pPr>
  </w:style>
  <w:style w:type="paragraph" w:styleId="14">
    <w:name w:val="toc 7"/>
    <w:basedOn w:val="1"/>
    <w:next w:val="1"/>
    <w:uiPriority w:val="0"/>
    <w:pPr>
      <w:ind w:left="1260"/>
      <w:jc w:val="left"/>
    </w:pPr>
    <w:rPr>
      <w:rFonts w:ascii="Times New Roman" w:hAnsi="Times New Roman" w:eastAsia="宋体" w:cs="Times New Roman"/>
      <w:sz w:val="20"/>
      <w:szCs w:val="20"/>
    </w:rPr>
  </w:style>
  <w:style w:type="paragraph" w:styleId="15">
    <w:name w:val="Body Text First Indent"/>
    <w:basedOn w:val="16"/>
    <w:link w:val="133"/>
    <w:uiPriority w:val="0"/>
    <w:pPr>
      <w:ind w:firstLine="420" w:firstLineChars="100"/>
    </w:pPr>
    <w:rPr>
      <w:rFonts w:ascii="Times New Roman" w:hAnsi="Times New Roman" w:eastAsia="宋体" w:cs="Times New Roman"/>
      <w:kern w:val="0"/>
      <w:sz w:val="24"/>
      <w:szCs w:val="24"/>
    </w:rPr>
  </w:style>
  <w:style w:type="paragraph" w:styleId="16">
    <w:name w:val="Body Text"/>
    <w:basedOn w:val="1"/>
    <w:link w:val="202"/>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Cs w:val="24"/>
    </w:rPr>
  </w:style>
  <w:style w:type="paragraph" w:styleId="18">
    <w:name w:val="Note Heading"/>
    <w:basedOn w:val="1"/>
    <w:next w:val="1"/>
    <w:link w:val="151"/>
    <w:uiPriority w:val="0"/>
    <w:pPr>
      <w:spacing w:line="240" w:lineRule="exact"/>
    </w:pPr>
    <w:rPr>
      <w:rFonts w:ascii="Calibri" w:hAnsi="Calibri" w:eastAsia="宋体"/>
      <w:kern w:val="15"/>
      <w:sz w:val="24"/>
    </w:rPr>
  </w:style>
  <w:style w:type="paragraph" w:styleId="19">
    <w:name w:val="Normal Indent"/>
    <w:basedOn w:val="1"/>
    <w:link w:val="176"/>
    <w:qFormat/>
    <w:uiPriority w:val="0"/>
    <w:pPr>
      <w:ind w:firstLine="420"/>
    </w:pPr>
    <w:rPr>
      <w:rFonts w:eastAsia="宋体"/>
    </w:rPr>
  </w:style>
  <w:style w:type="paragraph" w:styleId="20">
    <w:name w:val="caption"/>
    <w:basedOn w:val="1"/>
    <w:next w:val="1"/>
    <w:unhideWhenUsed/>
    <w:qFormat/>
    <w:uiPriority w:val="0"/>
    <w:rPr>
      <w:rFonts w:ascii="Arial" w:hAnsi="Arial" w:eastAsia="黑体" w:cs="Arial"/>
      <w:sz w:val="20"/>
      <w:szCs w:val="20"/>
    </w:rPr>
  </w:style>
  <w:style w:type="paragraph" w:styleId="21">
    <w:name w:val="index 5"/>
    <w:basedOn w:val="1"/>
    <w:next w:val="1"/>
    <w:uiPriority w:val="0"/>
    <w:pPr>
      <w:ind w:left="800" w:leftChars="800"/>
    </w:pPr>
    <w:rPr>
      <w:rFonts w:ascii="Times New Roman" w:hAnsi="Times New Roman" w:eastAsia="宋体" w:cs="Times New Roman"/>
      <w:szCs w:val="24"/>
    </w:rPr>
  </w:style>
  <w:style w:type="paragraph" w:styleId="22">
    <w:name w:val="List Bullet"/>
    <w:basedOn w:val="1"/>
    <w:uiPriority w:val="0"/>
    <w:pPr>
      <w:numPr>
        <w:ilvl w:val="0"/>
        <w:numId w:val="2"/>
      </w:numPr>
    </w:pPr>
  </w:style>
  <w:style w:type="paragraph" w:styleId="23">
    <w:name w:val="Document Map"/>
    <w:basedOn w:val="1"/>
    <w:link w:val="130"/>
    <w:uiPriority w:val="0"/>
    <w:pPr>
      <w:shd w:val="clear" w:color="auto" w:fill="000080"/>
    </w:pPr>
    <w:rPr>
      <w:rFonts w:ascii="Times New Roman" w:hAnsi="Times New Roman" w:eastAsia="宋体"/>
      <w:kern w:val="0"/>
      <w:sz w:val="20"/>
    </w:rPr>
  </w:style>
  <w:style w:type="paragraph" w:styleId="24">
    <w:name w:val="Salutation"/>
    <w:basedOn w:val="1"/>
    <w:next w:val="1"/>
    <w:link w:val="181"/>
    <w:uiPriority w:val="0"/>
    <w:rPr>
      <w:rFonts w:eastAsia="宋体"/>
    </w:rPr>
  </w:style>
  <w:style w:type="paragraph" w:styleId="25">
    <w:name w:val="Body Text 3"/>
    <w:basedOn w:val="1"/>
    <w:link w:val="179"/>
    <w:uiPriority w:val="0"/>
    <w:pPr>
      <w:adjustRightInd w:val="0"/>
      <w:spacing w:after="120" w:line="360" w:lineRule="atLeast"/>
      <w:textAlignment w:val="baseline"/>
    </w:pPr>
    <w:rPr>
      <w:rFonts w:ascii="Times New Roman" w:hAnsi="Times New Roman" w:eastAsia="宋体"/>
      <w:kern w:val="0"/>
      <w:sz w:val="16"/>
    </w:rPr>
  </w:style>
  <w:style w:type="paragraph" w:styleId="26">
    <w:name w:val="Body Text Indent"/>
    <w:basedOn w:val="1"/>
    <w:link w:val="193"/>
    <w:uiPriority w:val="0"/>
    <w:pPr>
      <w:spacing w:after="120"/>
      <w:ind w:left="420" w:leftChars="200"/>
    </w:pPr>
  </w:style>
  <w:style w:type="paragraph" w:styleId="27">
    <w:name w:val="List 2"/>
    <w:basedOn w:val="1"/>
    <w:uiPriority w:val="0"/>
    <w:pPr>
      <w:ind w:left="100" w:leftChars="200" w:hanging="200" w:hangingChars="200"/>
    </w:pPr>
    <w:rPr>
      <w:rFonts w:ascii="Times New Roman" w:hAnsi="Times New Roman" w:eastAsia="宋体" w:cs="Times New Roman"/>
      <w:szCs w:val="24"/>
    </w:rPr>
  </w:style>
  <w:style w:type="paragraph" w:styleId="28">
    <w:name w:val="List Continue"/>
    <w:basedOn w:val="1"/>
    <w:uiPriority w:val="0"/>
    <w:pPr>
      <w:spacing w:after="120"/>
      <w:ind w:left="420" w:leftChars="200"/>
    </w:pPr>
    <w:rPr>
      <w:rFonts w:ascii="Times New Roman" w:hAnsi="Times New Roman" w:eastAsia="宋体" w:cs="Times New Roman"/>
      <w:szCs w:val="24"/>
    </w:rPr>
  </w:style>
  <w:style w:type="paragraph" w:styleId="29">
    <w:name w:val="Block Text"/>
    <w:basedOn w:val="1"/>
    <w:uiPriority w:val="0"/>
    <w:pPr>
      <w:spacing w:before="120" w:after="120" w:line="360" w:lineRule="auto"/>
      <w:ind w:left="525" w:right="202"/>
    </w:pPr>
    <w:rPr>
      <w:rFonts w:ascii="宋体" w:hAnsi="宋体" w:eastAsia="宋体" w:cs="Times New Roman"/>
      <w:spacing w:val="-4"/>
      <w:sz w:val="24"/>
      <w:szCs w:val="24"/>
    </w:rPr>
  </w:style>
  <w:style w:type="paragraph" w:styleId="30">
    <w:name w:val="List Bullet 2"/>
    <w:basedOn w:val="1"/>
    <w:uiPriority w:val="0"/>
    <w:pPr>
      <w:numPr>
        <w:ilvl w:val="0"/>
        <w:numId w:val="3"/>
      </w:numPr>
    </w:pPr>
  </w:style>
  <w:style w:type="paragraph" w:styleId="31">
    <w:name w:val="toc 5"/>
    <w:basedOn w:val="1"/>
    <w:next w:val="1"/>
    <w:uiPriority w:val="0"/>
    <w:pPr>
      <w:ind w:left="840"/>
      <w:jc w:val="left"/>
    </w:pPr>
    <w:rPr>
      <w:rFonts w:ascii="Times New Roman" w:hAnsi="Times New Roman" w:eastAsia="宋体" w:cs="Times New Roman"/>
      <w:sz w:val="20"/>
      <w:szCs w:val="20"/>
    </w:rPr>
  </w:style>
  <w:style w:type="paragraph" w:styleId="32">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3">
    <w:name w:val="Plain Text"/>
    <w:basedOn w:val="1"/>
    <w:link w:val="111"/>
    <w:qFormat/>
    <w:uiPriority w:val="0"/>
    <w:rPr>
      <w:rFonts w:ascii="宋体" w:hAnsi="Courier New" w:eastAsia="宋体"/>
      <w:kern w:val="0"/>
    </w:rPr>
  </w:style>
  <w:style w:type="paragraph" w:styleId="34">
    <w:name w:val="toc 8"/>
    <w:basedOn w:val="1"/>
    <w:next w:val="1"/>
    <w:uiPriority w:val="0"/>
    <w:pPr>
      <w:ind w:left="1470"/>
      <w:jc w:val="left"/>
    </w:pPr>
    <w:rPr>
      <w:rFonts w:ascii="Times New Roman" w:hAnsi="Times New Roman" w:eastAsia="宋体" w:cs="Times New Roman"/>
      <w:sz w:val="20"/>
      <w:szCs w:val="20"/>
    </w:rPr>
  </w:style>
  <w:style w:type="paragraph" w:styleId="35">
    <w:name w:val="Date"/>
    <w:basedOn w:val="1"/>
    <w:next w:val="1"/>
    <w:link w:val="131"/>
    <w:qFormat/>
    <w:uiPriority w:val="0"/>
    <w:pPr>
      <w:ind w:left="100" w:leftChars="2500"/>
    </w:pPr>
    <w:rPr>
      <w:rFonts w:ascii="Times New Roman" w:hAnsi="Times New Roman" w:eastAsia="宋体"/>
      <w:kern w:val="0"/>
      <w:sz w:val="20"/>
    </w:rPr>
  </w:style>
  <w:style w:type="paragraph" w:styleId="36">
    <w:name w:val="Body Text Indent 2"/>
    <w:basedOn w:val="1"/>
    <w:link w:val="168"/>
    <w:uiPriority w:val="0"/>
    <w:pPr>
      <w:spacing w:after="120" w:line="480" w:lineRule="auto"/>
      <w:ind w:left="420" w:leftChars="200"/>
    </w:pPr>
    <w:rPr>
      <w:rFonts w:ascii="Times New Roman" w:hAnsi="Times New Roman" w:eastAsia="宋体"/>
      <w:kern w:val="0"/>
      <w:sz w:val="20"/>
    </w:rPr>
  </w:style>
  <w:style w:type="paragraph" w:styleId="37">
    <w:name w:val="endnote text"/>
    <w:basedOn w:val="1"/>
    <w:link w:val="170"/>
    <w:uiPriority w:val="0"/>
    <w:pPr>
      <w:snapToGrid w:val="0"/>
      <w:jc w:val="left"/>
    </w:pPr>
    <w:rPr>
      <w:rFonts w:eastAsia="宋体"/>
    </w:rPr>
  </w:style>
  <w:style w:type="paragraph" w:styleId="38">
    <w:name w:val="Balloon Text"/>
    <w:basedOn w:val="1"/>
    <w:link w:val="218"/>
    <w:qFormat/>
    <w:uiPriority w:val="0"/>
    <w:rPr>
      <w:rFonts w:ascii="Times New Roman" w:hAnsi="Times New Roman" w:eastAsia="宋体"/>
      <w:kern w:val="0"/>
      <w:sz w:val="18"/>
    </w:rPr>
  </w:style>
  <w:style w:type="paragraph" w:styleId="39">
    <w:name w:val="footer"/>
    <w:basedOn w:val="1"/>
    <w:link w:val="152"/>
    <w:qFormat/>
    <w:uiPriority w:val="0"/>
    <w:pPr>
      <w:tabs>
        <w:tab w:val="center" w:pos="4153"/>
        <w:tab w:val="right" w:pos="8306"/>
      </w:tabs>
      <w:snapToGrid w:val="0"/>
      <w:jc w:val="left"/>
    </w:pPr>
    <w:rPr>
      <w:rFonts w:ascii="Times New Roman" w:hAnsi="Times New Roman" w:eastAsia="宋体"/>
      <w:kern w:val="0"/>
      <w:sz w:val="20"/>
    </w:rPr>
  </w:style>
  <w:style w:type="paragraph" w:styleId="40">
    <w:name w:val="Body Text First Indent 2"/>
    <w:basedOn w:val="26"/>
    <w:link w:val="136"/>
    <w:uiPriority w:val="0"/>
    <w:pPr>
      <w:ind w:firstLine="420" w:firstLineChars="200"/>
    </w:pPr>
    <w:rPr>
      <w:rFonts w:ascii="宋体" w:hAnsi="宋体" w:eastAsia="宋体"/>
      <w:kern w:val="0"/>
      <w:sz w:val="28"/>
    </w:rPr>
  </w:style>
  <w:style w:type="paragraph" w:styleId="41">
    <w:name w:val="header"/>
    <w:basedOn w:val="1"/>
    <w:link w:val="1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kern w:val="0"/>
      <w:sz w:val="20"/>
    </w:rPr>
  </w:style>
  <w:style w:type="paragraph" w:styleId="42">
    <w:name w:val="toc 1"/>
    <w:basedOn w:val="2"/>
    <w:next w:val="1"/>
    <w:qFormat/>
    <w:uiPriority w:val="0"/>
    <w:pPr>
      <w:adjustRightInd w:val="0"/>
      <w:snapToGrid w:val="0"/>
    </w:pPr>
    <w:rPr>
      <w:rFonts w:ascii="Times New Roman" w:hAnsi="Times New Roman" w:eastAsia="仿宋" w:cs="Times New Roman"/>
      <w:szCs w:val="24"/>
    </w:rPr>
  </w:style>
  <w:style w:type="paragraph" w:styleId="43">
    <w:name w:val="toc 4"/>
    <w:basedOn w:val="1"/>
    <w:next w:val="1"/>
    <w:uiPriority w:val="0"/>
    <w:pPr>
      <w:ind w:left="630"/>
      <w:jc w:val="left"/>
    </w:pPr>
    <w:rPr>
      <w:rFonts w:ascii="楷体_GB2312" w:hAnsi="Times New Roman" w:eastAsia="楷体_GB2312" w:cs="Times New Roman"/>
      <w:sz w:val="28"/>
      <w:szCs w:val="20"/>
    </w:rPr>
  </w:style>
  <w:style w:type="paragraph" w:styleId="44">
    <w:name w:val="List"/>
    <w:basedOn w:val="1"/>
    <w:uiPriority w:val="0"/>
    <w:pPr>
      <w:ind w:left="200" w:hanging="200" w:hangingChars="200"/>
    </w:pPr>
    <w:rPr>
      <w:rFonts w:ascii="Times New Roman" w:hAnsi="Times New Roman" w:eastAsia="宋体" w:cs="Times New Roman"/>
      <w:szCs w:val="24"/>
    </w:rPr>
  </w:style>
  <w:style w:type="paragraph" w:styleId="45">
    <w:name w:val="footnote text"/>
    <w:basedOn w:val="1"/>
    <w:link w:val="139"/>
    <w:uiPriority w:val="0"/>
    <w:pPr>
      <w:snapToGrid w:val="0"/>
      <w:jc w:val="left"/>
    </w:pPr>
    <w:rPr>
      <w:rFonts w:eastAsia="宋体"/>
    </w:rPr>
  </w:style>
  <w:style w:type="paragraph" w:styleId="46">
    <w:name w:val="toc 6"/>
    <w:basedOn w:val="1"/>
    <w:next w:val="1"/>
    <w:uiPriority w:val="0"/>
    <w:pPr>
      <w:ind w:left="1050"/>
      <w:jc w:val="left"/>
    </w:pPr>
    <w:rPr>
      <w:rFonts w:ascii="Times New Roman" w:hAnsi="Times New Roman" w:eastAsia="宋体" w:cs="Times New Roman"/>
      <w:sz w:val="20"/>
      <w:szCs w:val="20"/>
    </w:rPr>
  </w:style>
  <w:style w:type="paragraph" w:styleId="47">
    <w:name w:val="Body Text Indent 3"/>
    <w:basedOn w:val="1"/>
    <w:link w:val="159"/>
    <w:uiPriority w:val="0"/>
    <w:pPr>
      <w:spacing w:after="120"/>
      <w:ind w:left="420" w:leftChars="200"/>
    </w:pPr>
    <w:rPr>
      <w:rFonts w:ascii="Times New Roman" w:hAnsi="Times New Roman" w:eastAsia="宋体"/>
      <w:kern w:val="0"/>
      <w:sz w:val="16"/>
    </w:rPr>
  </w:style>
  <w:style w:type="paragraph" w:styleId="48">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9">
    <w:name w:val="toc 9"/>
    <w:basedOn w:val="1"/>
    <w:next w:val="1"/>
    <w:uiPriority w:val="0"/>
    <w:pPr>
      <w:ind w:left="1680"/>
      <w:jc w:val="left"/>
    </w:pPr>
    <w:rPr>
      <w:rFonts w:ascii="Times New Roman" w:hAnsi="Times New Roman" w:eastAsia="宋体" w:cs="Times New Roman"/>
      <w:sz w:val="20"/>
      <w:szCs w:val="20"/>
    </w:rPr>
  </w:style>
  <w:style w:type="paragraph" w:styleId="50">
    <w:name w:val="Body Text 2"/>
    <w:basedOn w:val="1"/>
    <w:link w:val="164"/>
    <w:uiPriority w:val="0"/>
    <w:pPr>
      <w:spacing w:after="120" w:line="480" w:lineRule="auto"/>
    </w:pPr>
    <w:rPr>
      <w:rFonts w:ascii="Times New Roman" w:hAnsi="Times New Roman" w:eastAsia="宋体"/>
      <w:kern w:val="0"/>
      <w:sz w:val="20"/>
    </w:rPr>
  </w:style>
  <w:style w:type="paragraph" w:styleId="51">
    <w:name w:val="List 4"/>
    <w:basedOn w:val="1"/>
    <w:uiPriority w:val="0"/>
    <w:pPr>
      <w:ind w:left="100" w:leftChars="600" w:hanging="200" w:hangingChars="200"/>
    </w:pPr>
    <w:rPr>
      <w:rFonts w:ascii="Times New Roman" w:hAnsi="Times New Roman" w:eastAsia="宋体" w:cs="Times New Roman"/>
      <w:szCs w:val="24"/>
    </w:rPr>
  </w:style>
  <w:style w:type="paragraph" w:styleId="52">
    <w:name w:val="List Continue 2"/>
    <w:basedOn w:val="1"/>
    <w:uiPriority w:val="0"/>
    <w:pPr>
      <w:spacing w:after="120"/>
      <w:ind w:left="840" w:leftChars="400"/>
    </w:pPr>
    <w:rPr>
      <w:rFonts w:ascii="Times New Roman" w:hAnsi="Times New Roman" w:eastAsia="宋体" w:cs="Times New Roman"/>
      <w:szCs w:val="24"/>
    </w:rPr>
  </w:style>
  <w:style w:type="paragraph" w:styleId="53">
    <w:name w:val="HTML Preformatted"/>
    <w:basedOn w:val="1"/>
    <w:link w:val="15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sz w:val="24"/>
    </w:rPr>
  </w:style>
  <w:style w:type="paragraph" w:styleId="54">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5">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6">
    <w:name w:val="Title"/>
    <w:basedOn w:val="1"/>
    <w:next w:val="1"/>
    <w:link w:val="138"/>
    <w:qFormat/>
    <w:uiPriority w:val="0"/>
    <w:pPr>
      <w:spacing w:before="60" w:after="60"/>
      <w:jc w:val="center"/>
      <w:outlineLvl w:val="0"/>
    </w:pPr>
    <w:rPr>
      <w:rFonts w:ascii="Cambria" w:hAnsi="Cambria" w:eastAsia="黑体"/>
      <w:b/>
      <w:kern w:val="0"/>
      <w:sz w:val="32"/>
    </w:rPr>
  </w:style>
  <w:style w:type="character" w:styleId="58">
    <w:name w:val="Strong"/>
    <w:qFormat/>
    <w:uiPriority w:val="0"/>
    <w:rPr>
      <w:rFonts w:ascii="等线" w:hAnsi="等线" w:eastAsia="等线" w:cs="Times New Roman"/>
      <w:b/>
    </w:rPr>
  </w:style>
  <w:style w:type="character" w:styleId="59">
    <w:name w:val="page number"/>
    <w:qFormat/>
    <w:uiPriority w:val="0"/>
    <w:rPr>
      <w:rFonts w:ascii="等线" w:hAnsi="等线" w:eastAsia="等线" w:cs="Times New Roman"/>
    </w:rPr>
  </w:style>
  <w:style w:type="character" w:styleId="60">
    <w:name w:val="FollowedHyperlink"/>
    <w:uiPriority w:val="0"/>
    <w:rPr>
      <w:rFonts w:ascii="等线" w:hAnsi="等线" w:eastAsia="等线" w:cs="Times New Roman"/>
      <w:color w:val="800080"/>
      <w:u w:val="single"/>
    </w:rPr>
  </w:style>
  <w:style w:type="character" w:styleId="61">
    <w:name w:val="Hyperlink"/>
    <w:qFormat/>
    <w:uiPriority w:val="0"/>
    <w:rPr>
      <w:rFonts w:ascii="等线" w:hAnsi="等线" w:eastAsia="等线" w:cs="Times New Roman"/>
      <w:color w:val="0000FF"/>
      <w:u w:val="single"/>
    </w:rPr>
  </w:style>
  <w:style w:type="character" w:styleId="62">
    <w:name w:val="annotation reference"/>
    <w:basedOn w:val="57"/>
    <w:qFormat/>
    <w:uiPriority w:val="0"/>
    <w:rPr>
      <w:rFonts w:ascii="等线" w:hAnsi="等线" w:eastAsia="等线" w:cs="Times New Roman"/>
      <w:sz w:val="21"/>
    </w:rPr>
  </w:style>
  <w:style w:type="table" w:styleId="64">
    <w:name w:val="Table Grid"/>
    <w:basedOn w:val="63"/>
    <w:unhideWhenUsed/>
    <w:uiPriority w:val="0"/>
    <w:pPr>
      <w:widowControl w:val="0"/>
      <w:jc w:val="both"/>
    </w:pPr>
    <w:rPr>
      <w:rFonts w:ascii="Calibri" w:hAnsi="Calibri" w:eastAsia="宋体" w:cs="Times New Roman"/>
      <w:kern w:val="0"/>
      <w:sz w:val="20"/>
      <w:szCs w:val="20"/>
    </w:rPr>
    <w:tblPr>
      <w:tblStyle w:val="6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5">
    <w:name w:val="_Style 10"/>
    <w:basedOn w:val="1"/>
    <w:uiPriority w:val="0"/>
    <w:pPr>
      <w:ind w:firstLine="420" w:firstLineChars="200"/>
    </w:pPr>
    <w:rPr>
      <w:rFonts w:ascii="Calibri" w:hAnsi="Calibri" w:eastAsia="宋体" w:cs="Times New Roman"/>
    </w:rPr>
  </w:style>
  <w:style w:type="paragraph" w:customStyle="1" w:styleId="66">
    <w:name w:val="样式 样式1 + 首行缩进:  2 字符"/>
    <w:basedOn w:val="1"/>
    <w:uiPriority w:val="0"/>
    <w:pPr>
      <w:spacing w:line="360" w:lineRule="exact"/>
      <w:ind w:firstLine="420" w:firstLineChars="200"/>
    </w:pPr>
    <w:rPr>
      <w:rFonts w:ascii="Arial" w:hAnsi="Arial" w:eastAsia="宋体" w:cs="Times New Roman"/>
      <w:szCs w:val="20"/>
    </w:rPr>
  </w:style>
  <w:style w:type="paragraph" w:customStyle="1" w:styleId="67">
    <w:name w:val="列出段落1"/>
    <w:basedOn w:val="1"/>
    <w:uiPriority w:val="0"/>
    <w:pPr>
      <w:ind w:firstLine="420" w:firstLineChars="200"/>
    </w:pPr>
    <w:rPr>
      <w:rFonts w:ascii="Calibri" w:hAnsi="Calibri" w:eastAsia="宋体" w:cs="Times New Roman"/>
    </w:rPr>
  </w:style>
  <w:style w:type="paragraph" w:customStyle="1" w:styleId="68">
    <w:name w:val="样式5"/>
    <w:basedOn w:val="4"/>
    <w:link w:val="157"/>
    <w:uiPriority w:val="0"/>
    <w:pPr>
      <w:keepLines/>
      <w:numPr>
        <w:ilvl w:val="0"/>
        <w:numId w:val="0"/>
      </w:numPr>
      <w:spacing w:before="260" w:after="260" w:line="400" w:lineRule="exact"/>
      <w:ind w:firstLine="420" w:firstLineChars="200"/>
    </w:pPr>
    <w:rPr>
      <w:rFonts w:ascii="黑体" w:hAnsi="等线" w:eastAsia="黑体" w:cs="Times New Roman"/>
      <w:b w:val="0"/>
      <w:kern w:val="2"/>
      <w:sz w:val="21"/>
      <w:szCs w:val="22"/>
    </w:rPr>
  </w:style>
  <w:style w:type="paragraph" w:customStyle="1" w:styleId="69">
    <w:name w:val="Legal 5"/>
    <w:basedOn w:val="70"/>
    <w:next w:val="70"/>
    <w:uiPriority w:val="0"/>
    <w:pPr>
      <w:spacing w:after="120"/>
    </w:pPr>
    <w:rPr>
      <w:rFonts w:cs="Times New Roman"/>
      <w:color w:val="auto"/>
    </w:rPr>
  </w:style>
  <w:style w:type="paragraph" w:customStyle="1" w:styleId="70">
    <w:name w:val="Default"/>
    <w:link w:val="163"/>
    <w:uiPriority w:val="0"/>
    <w:pPr>
      <w:widowControl w:val="0"/>
      <w:autoSpaceDE w:val="0"/>
      <w:autoSpaceDN w:val="0"/>
      <w:adjustRightInd w:val="0"/>
    </w:pPr>
    <w:rPr>
      <w:rFonts w:ascii="宋体" w:hAnsi="等线" w:eastAsia="等线" w:cs="宋体"/>
      <w:color w:val="000000"/>
      <w:kern w:val="2"/>
      <w:sz w:val="24"/>
      <w:szCs w:val="24"/>
      <w:lang w:val="en-US" w:eastAsia="zh-CN" w:bidi="ar-SA"/>
    </w:rPr>
  </w:style>
  <w:style w:type="paragraph" w:customStyle="1" w:styleId="71">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样式 标题 2 + Times New Roman 四号 非加粗 段前: 5 磅 段后: 0 磅 行距: 固定值 20..."/>
    <w:basedOn w:val="3"/>
    <w:uiPriority w:val="0"/>
    <w:pPr>
      <w:spacing w:before="100" w:after="0" w:line="400" w:lineRule="exact"/>
      <w:jc w:val="both"/>
    </w:pPr>
    <w:rPr>
      <w:rFonts w:ascii="Times New Roman" w:hAnsi="Times New Roman" w:eastAsia="黑体" w:cs="宋体"/>
      <w:b w:val="0"/>
      <w:bCs w:val="0"/>
      <w:kern w:val="2"/>
      <w:szCs w:val="24"/>
    </w:rPr>
  </w:style>
  <w:style w:type="paragraph" w:customStyle="1" w:styleId="73">
    <w:name w:val="样式"/>
    <w:basedOn w:val="1"/>
    <w:next w:val="74"/>
    <w:uiPriority w:val="0"/>
    <w:pPr>
      <w:ind w:firstLine="420" w:firstLineChars="200"/>
    </w:pPr>
    <w:rPr>
      <w:rFonts w:ascii="Calibri" w:hAnsi="Calibri" w:eastAsia="宋体" w:cs="Times New Roman"/>
    </w:rPr>
  </w:style>
  <w:style w:type="paragraph" w:customStyle="1" w:styleId="74">
    <w:name w:val="List Paragraph"/>
    <w:basedOn w:val="1"/>
    <w:uiPriority w:val="0"/>
    <w:pPr>
      <w:ind w:firstLine="420" w:firstLineChars="200"/>
    </w:pPr>
    <w:rPr>
      <w:rFonts w:ascii="Calibri" w:hAnsi="Calibri" w:eastAsia="宋体" w:cs="Times New Roman"/>
      <w:sz w:val="24"/>
      <w:szCs w:val="24"/>
    </w:rPr>
  </w:style>
  <w:style w:type="paragraph" w:customStyle="1" w:styleId="75">
    <w:name w:val="p0"/>
    <w:basedOn w:val="1"/>
    <w:uiPriority w:val="0"/>
    <w:pPr>
      <w:widowControl/>
    </w:pPr>
    <w:rPr>
      <w:rFonts w:ascii="Times New Roman" w:hAnsi="Times New Roman" w:eastAsia="宋体" w:cs="Times New Roman"/>
      <w:kern w:val="0"/>
      <w:szCs w:val="21"/>
    </w:rPr>
  </w:style>
  <w:style w:type="paragraph" w:customStyle="1" w:styleId="76">
    <w:name w:val="样式1"/>
    <w:basedOn w:val="5"/>
    <w:uiPriority w:val="0"/>
    <w:pPr>
      <w:numPr>
        <w:ilvl w:val="3"/>
        <w:numId w:val="0"/>
      </w:numPr>
      <w:tabs>
        <w:tab w:val="left" w:pos="864"/>
      </w:tabs>
      <w:spacing w:before="120" w:after="120" w:line="360" w:lineRule="auto"/>
      <w:ind w:left="864" w:hanging="864"/>
    </w:pPr>
    <w:rPr>
      <w:b w:val="0"/>
      <w:bCs w:val="0"/>
    </w:rPr>
  </w:style>
  <w:style w:type="paragraph" w:customStyle="1" w:styleId="77">
    <w:name w:val="Char"/>
    <w:basedOn w:val="1"/>
    <w:uiPriority w:val="0"/>
    <w:rPr>
      <w:rFonts w:ascii="仿宋_GB2312" w:hAnsi="Times New Roman" w:eastAsia="仿宋_GB2312" w:cs="Times New Roman"/>
      <w:b/>
      <w:sz w:val="32"/>
      <w:szCs w:val="32"/>
    </w:rPr>
  </w:style>
  <w:style w:type="paragraph" w:customStyle="1" w:styleId="78">
    <w:name w:val="表内文字"/>
    <w:basedOn w:val="1"/>
    <w:uiPriority w:val="0"/>
    <w:pPr>
      <w:widowControl/>
      <w:ind w:firstLine="120" w:firstLineChars="50"/>
    </w:pPr>
    <w:rPr>
      <w:rFonts w:ascii="宋体" w:hAnsi="宋体" w:eastAsia="宋体" w:cs="Times New Roman"/>
      <w:sz w:val="24"/>
      <w:szCs w:val="20"/>
    </w:rPr>
  </w:style>
  <w:style w:type="paragraph" w:customStyle="1" w:styleId="79">
    <w:name w:val="legal 2"/>
    <w:basedOn w:val="70"/>
    <w:next w:val="70"/>
    <w:uiPriority w:val="0"/>
    <w:pPr>
      <w:spacing w:after="120"/>
    </w:pPr>
    <w:rPr>
      <w:rFonts w:cs="Times New Roman"/>
      <w:color w:val="auto"/>
    </w:rPr>
  </w:style>
  <w:style w:type="paragraph" w:customStyle="1" w:styleId="80">
    <w:name w:val="Legal 4"/>
    <w:basedOn w:val="70"/>
    <w:next w:val="70"/>
    <w:uiPriority w:val="0"/>
    <w:pPr>
      <w:spacing w:after="120"/>
    </w:pPr>
    <w:rPr>
      <w:rFonts w:cs="Times New Roman"/>
      <w:color w:val="auto"/>
    </w:rPr>
  </w:style>
  <w:style w:type="paragraph" w:customStyle="1" w:styleId="81">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82">
    <w:name w:val="表格非标题文字"/>
    <w:link w:val="128"/>
    <w:uiPriority w:val="0"/>
    <w:pPr>
      <w:snapToGrid w:val="0"/>
      <w:spacing w:before="80" w:after="40"/>
    </w:pPr>
    <w:rPr>
      <w:rFonts w:ascii="Futura Bk" w:hAnsi="Futura Bk" w:eastAsia="Times New Roman" w:cs="Times New Roman"/>
      <w:kern w:val="2"/>
      <w:sz w:val="18"/>
      <w:szCs w:val="21"/>
      <w:lang w:val="en-US" w:eastAsia="zh-CN" w:bidi="ar-SA"/>
    </w:rPr>
  </w:style>
  <w:style w:type="paragraph" w:customStyle="1" w:styleId="83">
    <w:name w:val="TOC Heading"/>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84">
    <w:name w:val="样式 正文文本"/>
    <w:basedOn w:val="1"/>
    <w:link w:val="162"/>
    <w:uiPriority w:val="0"/>
    <w:pPr>
      <w:adjustRightInd w:val="0"/>
      <w:snapToGrid w:val="0"/>
      <w:spacing w:line="400" w:lineRule="exact"/>
      <w:ind w:firstLine="200" w:firstLineChars="200"/>
    </w:pPr>
    <w:rPr>
      <w:rFonts w:ascii="Arial" w:hAnsi="Arial" w:eastAsia="宋体"/>
      <w:color w:val="000000"/>
    </w:rPr>
  </w:style>
  <w:style w:type="paragraph" w:customStyle="1" w:styleId="85">
    <w:name w:val="Char Char Char1 Char Char Char Char"/>
    <w:basedOn w:val="1"/>
    <w:uiPriority w:val="0"/>
    <w:rPr>
      <w:rFonts w:ascii="Times New Roman" w:hAnsi="Times New Roman" w:eastAsia="宋体" w:cs="Times New Roman"/>
      <w:szCs w:val="24"/>
    </w:rPr>
  </w:style>
  <w:style w:type="paragraph" w:customStyle="1" w:styleId="86">
    <w:name w:val="样式 样式1 + Arial"/>
    <w:basedOn w:val="1"/>
    <w:link w:val="125"/>
    <w:uiPriority w:val="0"/>
    <w:pPr>
      <w:widowControl/>
      <w:tabs>
        <w:tab w:val="left" w:pos="1245"/>
      </w:tabs>
      <w:adjustRightInd w:val="0"/>
      <w:snapToGrid w:val="0"/>
      <w:spacing w:line="400" w:lineRule="exact"/>
      <w:ind w:left="1245" w:hanging="720"/>
    </w:pPr>
    <w:rPr>
      <w:rFonts w:ascii="Arial" w:hAnsi="Arial"/>
      <w:sz w:val="32"/>
    </w:rPr>
  </w:style>
  <w:style w:type="paragraph" w:customStyle="1" w:styleId="87">
    <w:name w:val="图表标题"/>
    <w:basedOn w:val="1"/>
    <w:next w:val="16"/>
    <w:uiPriority w:val="0"/>
    <w:rPr>
      <w:rFonts w:ascii="Times New Roman" w:hAnsi="Times New Roman" w:eastAsia="宋体" w:cs="Times New Roman"/>
      <w:sz w:val="30"/>
      <w:szCs w:val="20"/>
    </w:rPr>
  </w:style>
  <w:style w:type="paragraph" w:customStyle="1" w:styleId="88">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8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har Char Char Char Char Char"/>
    <w:basedOn w:val="1"/>
    <w:uiPriority w:val="0"/>
    <w:rPr>
      <w:rFonts w:ascii="Times New Roman" w:hAnsi="Times New Roman" w:eastAsia="宋体" w:cs="Times New Roman"/>
      <w:szCs w:val="24"/>
    </w:rPr>
  </w:style>
  <w:style w:type="paragraph" w:customStyle="1" w:styleId="91">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92">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Char Char Char"/>
    <w:basedOn w:val="1"/>
    <w:uiPriority w:val="0"/>
    <w:pPr>
      <w:ind w:firstLine="360" w:firstLineChars="150"/>
    </w:pPr>
    <w:rPr>
      <w:rFonts w:ascii="Tahoma" w:hAnsi="Tahoma" w:eastAsia="宋体" w:cs="Times New Roman"/>
      <w:sz w:val="24"/>
      <w:szCs w:val="20"/>
    </w:rPr>
  </w:style>
  <w:style w:type="paragraph" w:customStyle="1" w:styleId="94">
    <w:name w:val="Char4 Char Char Char"/>
    <w:basedOn w:val="23"/>
    <w:uiPriority w:val="0"/>
    <w:rPr>
      <w:rFonts w:ascii="Tahoma" w:hAnsi="Tahoma"/>
      <w:sz w:val="24"/>
    </w:rPr>
  </w:style>
  <w:style w:type="paragraph" w:customStyle="1" w:styleId="95">
    <w:name w:val="样式 标题 3 + (中文) 黑体 小四 非加粗 段前: 7.8 磅 段后: 0 磅 行距: 固定值 20 磅"/>
    <w:basedOn w:val="4"/>
    <w:uiPriority w:val="0"/>
    <w:pPr>
      <w:keepLines/>
      <w:numPr>
        <w:ilvl w:val="0"/>
        <w:numId w:val="0"/>
      </w:numPr>
      <w:spacing w:line="400" w:lineRule="exact"/>
    </w:pPr>
    <w:rPr>
      <w:rFonts w:ascii="Times New Roman" w:eastAsia="黑体" w:cs="宋体"/>
      <w:b w:val="0"/>
      <w:kern w:val="2"/>
      <w:sz w:val="24"/>
    </w:rPr>
  </w:style>
  <w:style w:type="paragraph" w:customStyle="1" w:styleId="96">
    <w:name w:val="List Paragraph1"/>
    <w:basedOn w:val="1"/>
    <w:uiPriority w:val="0"/>
    <w:pPr>
      <w:ind w:firstLine="420" w:firstLineChars="200"/>
    </w:pPr>
    <w:rPr>
      <w:rFonts w:ascii="Times New Roman" w:hAnsi="Times New Roman" w:eastAsia="宋体" w:cs="Times New Roman"/>
      <w:szCs w:val="21"/>
    </w:rPr>
  </w:style>
  <w:style w:type="paragraph" w:customStyle="1" w:styleId="97">
    <w:name w:val="Legal 3"/>
    <w:basedOn w:val="70"/>
    <w:next w:val="70"/>
    <w:uiPriority w:val="0"/>
    <w:pPr>
      <w:spacing w:after="120"/>
    </w:pPr>
    <w:rPr>
      <w:rFonts w:cs="Times New Roman"/>
      <w:color w:val="auto"/>
    </w:rPr>
  </w:style>
  <w:style w:type="paragraph" w:customStyle="1" w:styleId="98">
    <w:name w:val="列出段落3"/>
    <w:basedOn w:val="1"/>
    <w:uiPriority w:val="0"/>
    <w:pPr>
      <w:ind w:firstLine="420" w:firstLineChars="200"/>
    </w:pPr>
    <w:rPr>
      <w:rFonts w:ascii="Times New Roman" w:hAnsi="Times New Roman" w:eastAsia="宋体" w:cs="Times New Roman"/>
      <w:szCs w:val="24"/>
    </w:rPr>
  </w:style>
  <w:style w:type="paragraph" w:customStyle="1" w:styleId="99">
    <w:name w:val="1"/>
    <w:basedOn w:val="1"/>
    <w:uiPriority w:val="0"/>
    <w:rPr>
      <w:rFonts w:ascii="仿宋_GB2312" w:hAnsi="Times New Roman" w:eastAsia="仿宋_GB2312" w:cs="Times New Roman"/>
      <w:b/>
      <w:sz w:val="32"/>
      <w:szCs w:val="32"/>
    </w:rPr>
  </w:style>
  <w:style w:type="paragraph" w:customStyle="1" w:styleId="100">
    <w:name w:val="Char Char Char Char"/>
    <w:basedOn w:val="1"/>
    <w:uiPriority w:val="0"/>
    <w:rPr>
      <w:rFonts w:ascii="Times New Roman" w:hAnsi="Times New Roman" w:eastAsia="宋体" w:cs="Times New Roman"/>
      <w:szCs w:val="24"/>
    </w:rPr>
  </w:style>
  <w:style w:type="character" w:customStyle="1" w:styleId="101">
    <w:name w:val="标题 1 字符"/>
    <w:link w:val="2"/>
    <w:uiPriority w:val="0"/>
    <w:rPr>
      <w:rFonts w:ascii="Times New Roman" w:hAnsi="Times New Roman" w:eastAsia="宋体" w:cs="Times New Roman"/>
      <w:b/>
      <w:bCs/>
      <w:kern w:val="44"/>
      <w:sz w:val="44"/>
      <w:szCs w:val="44"/>
    </w:rPr>
  </w:style>
  <w:style w:type="character" w:customStyle="1" w:styleId="102">
    <w:name w:val="标题 2 字符"/>
    <w:link w:val="3"/>
    <w:uiPriority w:val="0"/>
    <w:rPr>
      <w:rFonts w:ascii="Arial" w:hAnsi="Arial" w:eastAsia="宋体" w:cs="Times New Roman"/>
      <w:b/>
      <w:bCs/>
      <w:kern w:val="0"/>
      <w:sz w:val="32"/>
      <w:szCs w:val="32"/>
    </w:rPr>
  </w:style>
  <w:style w:type="character" w:customStyle="1" w:styleId="103">
    <w:name w:val="标题 3 字符"/>
    <w:link w:val="4"/>
    <w:uiPriority w:val="0"/>
    <w:rPr>
      <w:rFonts w:ascii="宋体" w:hAnsi="Calibri" w:eastAsia="宋体" w:cs="Times New Roman"/>
      <w:b/>
      <w:kern w:val="0"/>
      <w:sz w:val="28"/>
      <w:szCs w:val="20"/>
    </w:rPr>
  </w:style>
  <w:style w:type="character" w:customStyle="1" w:styleId="104">
    <w:name w:val="标题 4 字符"/>
    <w:link w:val="5"/>
    <w:uiPriority w:val="0"/>
    <w:rPr>
      <w:rFonts w:ascii="Arial" w:hAnsi="Arial" w:eastAsia="黑体" w:cs="Times New Roman"/>
      <w:b/>
      <w:bCs/>
      <w:kern w:val="0"/>
      <w:sz w:val="28"/>
      <w:szCs w:val="28"/>
    </w:rPr>
  </w:style>
  <w:style w:type="character" w:customStyle="1" w:styleId="105">
    <w:name w:val="标题 5 字符"/>
    <w:uiPriority w:val="0"/>
    <w:rPr>
      <w:rFonts w:ascii="等线" w:hAnsi="等线" w:eastAsia="等线" w:cs="Times New Roman"/>
      <w:b/>
      <w:bCs/>
      <w:sz w:val="28"/>
      <w:szCs w:val="28"/>
    </w:rPr>
  </w:style>
  <w:style w:type="character" w:customStyle="1" w:styleId="106">
    <w:name w:val="标题 6 字符"/>
    <w:link w:val="7"/>
    <w:uiPriority w:val="0"/>
    <w:rPr>
      <w:rFonts w:ascii="Arial" w:hAnsi="Arial" w:eastAsia="黑体" w:cs="Times New Roman"/>
      <w:b/>
      <w:bCs/>
      <w:kern w:val="0"/>
      <w:sz w:val="20"/>
      <w:szCs w:val="20"/>
    </w:rPr>
  </w:style>
  <w:style w:type="character" w:customStyle="1" w:styleId="107">
    <w:name w:val="标题 7 字符"/>
    <w:link w:val="8"/>
    <w:uiPriority w:val="0"/>
    <w:rPr>
      <w:rFonts w:ascii="Times New Roman" w:hAnsi="Times New Roman" w:eastAsia="宋体" w:cs="Times New Roman"/>
      <w:b/>
      <w:bCs/>
      <w:kern w:val="0"/>
      <w:sz w:val="20"/>
      <w:szCs w:val="20"/>
    </w:rPr>
  </w:style>
  <w:style w:type="character" w:customStyle="1" w:styleId="108">
    <w:name w:val="标题 8 字符"/>
    <w:link w:val="9"/>
    <w:uiPriority w:val="0"/>
    <w:rPr>
      <w:rFonts w:ascii="Arial" w:hAnsi="Arial" w:eastAsia="黑体" w:cs="Times New Roman"/>
      <w:kern w:val="0"/>
      <w:sz w:val="20"/>
      <w:szCs w:val="20"/>
    </w:rPr>
  </w:style>
  <w:style w:type="character" w:customStyle="1" w:styleId="109">
    <w:name w:val="标题 9 字符"/>
    <w:link w:val="10"/>
    <w:uiPriority w:val="0"/>
    <w:rPr>
      <w:rFonts w:ascii="Arial" w:hAnsi="Arial" w:eastAsia="黑体" w:cs="Times New Roman"/>
      <w:kern w:val="0"/>
      <w:szCs w:val="21"/>
    </w:rPr>
  </w:style>
  <w:style w:type="character" w:customStyle="1" w:styleId="110">
    <w:name w:val="正文文本缩进 字符"/>
    <w:uiPriority w:val="0"/>
    <w:rPr>
      <w:rFonts w:ascii="宋体" w:hAnsi="宋体" w:eastAsia="宋体" w:cs="Times New Roman"/>
      <w:kern w:val="0"/>
      <w:sz w:val="28"/>
    </w:rPr>
  </w:style>
  <w:style w:type="character" w:customStyle="1" w:styleId="111">
    <w:name w:val="纯文本 字符"/>
    <w:aliases w:val="普通文字 Char 字符,纯文本 Char Char 字符,普通文字1 字符,普通文字2 字符,普通文字3 字符,普通文字4 字符,普通文字5 字符,普通文字6 字符,普通文字11 字符,普通文字21 字符,普通文字31 字符,普通文字41 字符,普通文字7 字符,正 文 1 字符"/>
    <w:link w:val="33"/>
    <w:uiPriority w:val="0"/>
    <w:rPr>
      <w:rFonts w:ascii="宋体" w:hAnsi="Courier New" w:eastAsia="宋体" w:cs="Times New Roman"/>
      <w:kern w:val="0"/>
    </w:rPr>
  </w:style>
  <w:style w:type="character" w:customStyle="1" w:styleId="112">
    <w:name w:val="Char Char2"/>
    <w:uiPriority w:val="0"/>
    <w:rPr>
      <w:rFonts w:ascii="等线" w:hAnsi="等线" w:eastAsia="宋体" w:cs="Times New Roman"/>
      <w:kern w:val="2"/>
      <w:sz w:val="18"/>
      <w:lang w:val="en-US" w:eastAsia="zh-CN"/>
    </w:rPr>
  </w:style>
  <w:style w:type="character" w:customStyle="1" w:styleId="113">
    <w:name w:val="批注框文本字符1"/>
    <w:semiHidden/>
    <w:uiPriority w:val="0"/>
    <w:rPr>
      <w:rFonts w:ascii="Heiti SC Light" w:hAnsi="等线" w:eastAsia="Times New Roman" w:cs="Times New Roman"/>
      <w:sz w:val="18"/>
      <w:szCs w:val="18"/>
    </w:rPr>
  </w:style>
  <w:style w:type="character" w:customStyle="1" w:styleId="114">
    <w:name w:val="注释标题 字符1"/>
    <w:semiHidden/>
    <w:uiPriority w:val="99"/>
    <w:rPr>
      <w:rFonts w:ascii="等线" w:hAnsi="等线" w:eastAsia="等线" w:cs="Times New Roman"/>
    </w:rPr>
  </w:style>
  <w:style w:type="character" w:customStyle="1" w:styleId="115">
    <w:name w:val="font61"/>
    <w:uiPriority w:val="0"/>
    <w:rPr>
      <w:rFonts w:ascii="Times New Roman" w:hAnsi="Times New Roman" w:eastAsia="等线" w:cs="Times New Roman"/>
      <w:color w:val="000000"/>
      <w:sz w:val="24"/>
      <w:u w:val="none"/>
    </w:rPr>
  </w:style>
  <w:style w:type="character" w:customStyle="1" w:styleId="116">
    <w:name w:val="HTML 预设格式 字符1"/>
    <w:semiHidden/>
    <w:uiPriority w:val="99"/>
    <w:rPr>
      <w:rFonts w:ascii="Courier New" w:hAnsi="Courier New" w:eastAsia="等线" w:cs="Courier New"/>
      <w:sz w:val="20"/>
      <w:szCs w:val="20"/>
    </w:rPr>
  </w:style>
  <w:style w:type="character" w:customStyle="1" w:styleId="117">
    <w:name w:val="页眉 字符1"/>
    <w:semiHidden/>
    <w:uiPriority w:val="99"/>
    <w:rPr>
      <w:rFonts w:ascii="等线" w:hAnsi="等线" w:eastAsia="等线" w:cs="Times New Roman"/>
      <w:sz w:val="18"/>
      <w:szCs w:val="18"/>
    </w:rPr>
  </w:style>
  <w:style w:type="character" w:customStyle="1" w:styleId="118">
    <w:name w:val="脚注文本 字符1"/>
    <w:semiHidden/>
    <w:uiPriority w:val="99"/>
    <w:rPr>
      <w:rFonts w:ascii="等线" w:hAnsi="等线" w:eastAsia="等线" w:cs="Times New Roman"/>
      <w:sz w:val="18"/>
      <w:szCs w:val="18"/>
    </w:rPr>
  </w:style>
  <w:style w:type="character" w:customStyle="1" w:styleId="119">
    <w:name w:val="font11"/>
    <w:uiPriority w:val="0"/>
    <w:rPr>
      <w:rFonts w:ascii="Times New Roman" w:hAnsi="Times New Roman" w:eastAsia="等线" w:cs="Times New Roman"/>
      <w:color w:val="000000"/>
      <w:sz w:val="21"/>
      <w:u w:val="none"/>
    </w:rPr>
  </w:style>
  <w:style w:type="character" w:customStyle="1" w:styleId="120">
    <w:name w:val="日期 字符1"/>
    <w:semiHidden/>
    <w:uiPriority w:val="99"/>
    <w:rPr>
      <w:rFonts w:ascii="等线" w:hAnsi="等线" w:eastAsia="等线" w:cs="Times New Roman"/>
    </w:rPr>
  </w:style>
  <w:style w:type="character" w:customStyle="1" w:styleId="121">
    <w:name w:val="注释文本字符"/>
    <w:semiHidden/>
    <w:uiPriority w:val="0"/>
    <w:rPr>
      <w:rFonts w:ascii="Times New Roman" w:hAnsi="Times New Roman" w:eastAsia="宋体" w:cs="Times New Roman"/>
      <w:kern w:val="0"/>
      <w:sz w:val="24"/>
    </w:rPr>
  </w:style>
  <w:style w:type="character" w:customStyle="1" w:styleId="122">
    <w:name w:val="正文文本 字符1"/>
    <w:semiHidden/>
    <w:uiPriority w:val="99"/>
    <w:rPr>
      <w:rFonts w:ascii="等线" w:hAnsi="等线" w:eastAsia="等线" w:cs="Times New Roman"/>
    </w:rPr>
  </w:style>
  <w:style w:type="character" w:customStyle="1" w:styleId="123">
    <w:name w:val="正文文本缩进 3字符1"/>
    <w:semiHidden/>
    <w:uiPriority w:val="0"/>
    <w:rPr>
      <w:rFonts w:ascii="等线" w:hAnsi="等线" w:eastAsia="等线" w:cs="Times New Roman"/>
      <w:sz w:val="16"/>
      <w:szCs w:val="16"/>
    </w:rPr>
  </w:style>
  <w:style w:type="character" w:customStyle="1" w:styleId="124">
    <w:name w:val="批注文字 字符1"/>
    <w:semiHidden/>
    <w:uiPriority w:val="99"/>
    <w:rPr>
      <w:rFonts w:ascii="等线" w:hAnsi="等线" w:eastAsia="等线" w:cs="Times New Roman"/>
    </w:rPr>
  </w:style>
  <w:style w:type="character" w:customStyle="1" w:styleId="125">
    <w:name w:val="样式 样式1 + Arial Char"/>
    <w:link w:val="86"/>
    <w:uiPriority w:val="0"/>
    <w:rPr>
      <w:rFonts w:ascii="Arial" w:hAnsi="Arial" w:eastAsia="等线" w:cs="Times New Roman"/>
      <w:sz w:val="32"/>
    </w:rPr>
  </w:style>
  <w:style w:type="character" w:customStyle="1" w:styleId="126">
    <w:name w:val="正文文本缩进 2字符1"/>
    <w:semiHidden/>
    <w:uiPriority w:val="0"/>
    <w:rPr>
      <w:rFonts w:ascii="等线" w:hAnsi="等线" w:eastAsia="等线" w:cs="Times New Roman"/>
    </w:rPr>
  </w:style>
  <w:style w:type="character" w:customStyle="1" w:styleId="127">
    <w:name w:val="font41"/>
    <w:uiPriority w:val="0"/>
    <w:rPr>
      <w:rFonts w:ascii="宋体" w:hAnsi="宋体" w:eastAsia="宋体" w:cs="Times New Roman"/>
      <w:b/>
      <w:color w:val="000000"/>
      <w:sz w:val="24"/>
      <w:u w:val="none"/>
    </w:rPr>
  </w:style>
  <w:style w:type="character" w:customStyle="1" w:styleId="128">
    <w:name w:val="表格非标题文字 Char"/>
    <w:link w:val="82"/>
    <w:uiPriority w:val="0"/>
    <w:rPr>
      <w:rFonts w:ascii="Futura Bk" w:hAnsi="Futura Bk" w:eastAsia="Times New Roman" w:cs="Times New Roman"/>
      <w:sz w:val="18"/>
      <w:szCs w:val="21"/>
    </w:rPr>
  </w:style>
  <w:style w:type="character" w:customStyle="1" w:styleId="129">
    <w:name w:val="正文首行缩进 2字符1"/>
    <w:semiHidden/>
    <w:uiPriority w:val="0"/>
    <w:rPr>
      <w:rFonts w:ascii="等线" w:hAnsi="等线" w:eastAsia="等线" w:cs="Times New Roman"/>
    </w:rPr>
  </w:style>
  <w:style w:type="character" w:customStyle="1" w:styleId="130">
    <w:name w:val="文档结构图 字符"/>
    <w:link w:val="23"/>
    <w:uiPriority w:val="0"/>
    <w:rPr>
      <w:rFonts w:ascii="Times New Roman" w:hAnsi="Times New Roman" w:eastAsia="宋体" w:cs="Times New Roman"/>
      <w:kern w:val="0"/>
      <w:sz w:val="20"/>
      <w:shd w:val="clear" w:color="auto" w:fill="000080"/>
    </w:rPr>
  </w:style>
  <w:style w:type="character" w:customStyle="1" w:styleId="131">
    <w:name w:val="日期 字符"/>
    <w:link w:val="35"/>
    <w:uiPriority w:val="0"/>
    <w:rPr>
      <w:rFonts w:ascii="Times New Roman" w:hAnsi="Times New Roman" w:eastAsia="宋体" w:cs="Times New Roman"/>
      <w:kern w:val="0"/>
      <w:sz w:val="20"/>
    </w:rPr>
  </w:style>
  <w:style w:type="character" w:customStyle="1" w:styleId="132">
    <w:name w:val="Char Char3"/>
    <w:uiPriority w:val="0"/>
    <w:rPr>
      <w:rFonts w:ascii="等线" w:hAnsi="等线" w:eastAsia="宋体" w:cs="Times New Roman"/>
      <w:kern w:val="2"/>
      <w:sz w:val="18"/>
      <w:lang w:val="en-US" w:eastAsia="zh-CN"/>
    </w:rPr>
  </w:style>
  <w:style w:type="character" w:customStyle="1" w:styleId="133">
    <w:name w:val="正文首行缩进 字符"/>
    <w:link w:val="15"/>
    <w:uiPriority w:val="0"/>
    <w:rPr>
      <w:rFonts w:ascii="Times New Roman" w:hAnsi="Times New Roman" w:eastAsia="宋体" w:cs="Times New Roman"/>
      <w:kern w:val="0"/>
      <w:sz w:val="24"/>
      <w:szCs w:val="24"/>
    </w:rPr>
  </w:style>
  <w:style w:type="character" w:customStyle="1" w:styleId="134">
    <w:name w:val="纯文本 字符1"/>
    <w:semiHidden/>
    <w:uiPriority w:val="99"/>
    <w:rPr>
      <w:rFonts w:ascii="等线" w:hAnsi="Courier New" w:eastAsia="等线" w:cs="Courier New"/>
    </w:rPr>
  </w:style>
  <w:style w:type="character" w:customStyle="1" w:styleId="135">
    <w:name w:val="正文文本缩进 字符1"/>
    <w:semiHidden/>
    <w:uiPriority w:val="99"/>
    <w:rPr>
      <w:rFonts w:ascii="等线" w:hAnsi="等线" w:eastAsia="等线" w:cs="Times New Roman"/>
    </w:rPr>
  </w:style>
  <w:style w:type="character" w:customStyle="1" w:styleId="136">
    <w:name w:val="正文首行缩进 2 字符"/>
    <w:link w:val="40"/>
    <w:uiPriority w:val="0"/>
    <w:rPr>
      <w:rFonts w:ascii="宋体" w:hAnsi="宋体" w:eastAsia="宋体" w:cs="Times New Roman"/>
      <w:kern w:val="0"/>
      <w:sz w:val="28"/>
    </w:rPr>
  </w:style>
  <w:style w:type="character" w:customStyle="1" w:styleId="137">
    <w:name w:val="纯文本字符1"/>
    <w:semiHidden/>
    <w:uiPriority w:val="0"/>
    <w:rPr>
      <w:rFonts w:ascii="宋体" w:hAnsi="Courier" w:eastAsia="宋体" w:cs="Times New Roman"/>
    </w:rPr>
  </w:style>
  <w:style w:type="character" w:customStyle="1" w:styleId="138">
    <w:name w:val="标题 字符"/>
    <w:link w:val="56"/>
    <w:uiPriority w:val="0"/>
    <w:rPr>
      <w:rFonts w:ascii="Cambria" w:hAnsi="Cambria" w:eastAsia="黑体" w:cs="Times New Roman"/>
      <w:b/>
      <w:kern w:val="0"/>
      <w:sz w:val="32"/>
    </w:rPr>
  </w:style>
  <w:style w:type="character" w:customStyle="1" w:styleId="139">
    <w:name w:val="脚注文本 字符"/>
    <w:link w:val="45"/>
    <w:uiPriority w:val="0"/>
    <w:rPr>
      <w:rFonts w:ascii="等线" w:hAnsi="等线" w:eastAsia="宋体" w:cs="Times New Roman"/>
    </w:rPr>
  </w:style>
  <w:style w:type="character" w:customStyle="1" w:styleId="140">
    <w:name w:val="正文首行缩进字符1"/>
    <w:semiHidden/>
    <w:uiPriority w:val="0"/>
    <w:rPr>
      <w:rFonts w:ascii="等线" w:hAnsi="等线" w:eastAsia="等线" w:cs="Times New Roman"/>
    </w:rPr>
  </w:style>
  <w:style w:type="character" w:customStyle="1" w:styleId="141">
    <w:name w:val="font01"/>
    <w:uiPriority w:val="0"/>
    <w:rPr>
      <w:rFonts w:ascii="宋体" w:hAnsi="宋体" w:eastAsia="宋体" w:cs="Times New Roman"/>
      <w:color w:val="000000"/>
      <w:sz w:val="21"/>
      <w:u w:val="none"/>
    </w:rPr>
  </w:style>
  <w:style w:type="character" w:customStyle="1" w:styleId="142">
    <w:name w:val=" Char Char2"/>
    <w:uiPriority w:val="0"/>
    <w:rPr>
      <w:rFonts w:ascii="Cambria" w:hAnsi="Cambria" w:eastAsia="黑体" w:cs="Times New Roman"/>
      <w:b/>
      <w:kern w:val="0"/>
      <w:sz w:val="32"/>
    </w:rPr>
  </w:style>
  <w:style w:type="character" w:customStyle="1" w:styleId="143">
    <w:name w:val="批注文字 字符"/>
    <w:semiHidden/>
    <w:uiPriority w:val="0"/>
    <w:rPr>
      <w:rFonts w:ascii="等线" w:hAnsi="等线" w:eastAsia="等线" w:cs="Times New Roman"/>
    </w:rPr>
  </w:style>
  <w:style w:type="character" w:customStyle="1" w:styleId="144">
    <w:name w:val="zbggmain style9"/>
    <w:uiPriority w:val="0"/>
    <w:rPr>
      <w:rFonts w:ascii="等线" w:hAnsi="等线" w:eastAsia="等线" w:cs="Times New Roman"/>
    </w:rPr>
  </w:style>
  <w:style w:type="character" w:customStyle="1" w:styleId="145">
    <w:name w:val="批注框文本 字符1"/>
    <w:semiHidden/>
    <w:uiPriority w:val="99"/>
    <w:rPr>
      <w:rFonts w:ascii="等线" w:hAnsi="等线" w:eastAsia="等线" w:cs="Times New Roman"/>
      <w:sz w:val="18"/>
      <w:szCs w:val="18"/>
    </w:rPr>
  </w:style>
  <w:style w:type="character" w:customStyle="1" w:styleId="146">
    <w:name w:val="正文文本 3 字符1"/>
    <w:semiHidden/>
    <w:uiPriority w:val="99"/>
    <w:rPr>
      <w:rFonts w:ascii="等线" w:hAnsi="等线" w:eastAsia="等线" w:cs="Times New Roman"/>
      <w:sz w:val="16"/>
      <w:szCs w:val="16"/>
    </w:rPr>
  </w:style>
  <w:style w:type="character" w:customStyle="1" w:styleId="147">
    <w:name w:val="批注主题 字符1"/>
    <w:semiHidden/>
    <w:uiPriority w:val="99"/>
    <w:rPr>
      <w:rFonts w:ascii="等线" w:hAnsi="等线" w:eastAsia="等线" w:cs="Times New Roman"/>
      <w:b/>
      <w:bCs/>
    </w:rPr>
  </w:style>
  <w:style w:type="character" w:customStyle="1" w:styleId="148">
    <w:name w:val="正文文本 字符"/>
    <w:uiPriority w:val="0"/>
    <w:rPr>
      <w:rFonts w:ascii="等线" w:hAnsi="等线" w:eastAsia="等线" w:cs="Times New Roman"/>
    </w:rPr>
  </w:style>
  <w:style w:type="character" w:customStyle="1" w:styleId="149">
    <w:name w:val="Char Char"/>
    <w:uiPriority w:val="0"/>
    <w:rPr>
      <w:rFonts w:ascii="宋体" w:hAnsi="Courier New" w:eastAsia="宋体" w:cs="Times New Roman"/>
      <w:kern w:val="2"/>
      <w:sz w:val="21"/>
      <w:lang w:val="en-US" w:eastAsia="zh-CN"/>
    </w:rPr>
  </w:style>
  <w:style w:type="character" w:customStyle="1" w:styleId="150">
    <w:name w:val="文档结构图 字符1"/>
    <w:semiHidden/>
    <w:uiPriority w:val="0"/>
    <w:rPr>
      <w:rFonts w:ascii="Heiti SC Light" w:hAnsi="等线" w:eastAsia="Times New Roman" w:cs="Times New Roman"/>
    </w:rPr>
  </w:style>
  <w:style w:type="character" w:customStyle="1" w:styleId="151">
    <w:name w:val="注释标题 字符"/>
    <w:link w:val="18"/>
    <w:uiPriority w:val="0"/>
    <w:rPr>
      <w:rFonts w:ascii="Calibri" w:hAnsi="Calibri" w:eastAsia="宋体" w:cs="Times New Roman"/>
      <w:kern w:val="15"/>
      <w:sz w:val="24"/>
    </w:rPr>
  </w:style>
  <w:style w:type="character" w:customStyle="1" w:styleId="152">
    <w:name w:val="页脚 字符"/>
    <w:link w:val="39"/>
    <w:uiPriority w:val="0"/>
    <w:rPr>
      <w:rFonts w:ascii="Times New Roman" w:hAnsi="Times New Roman" w:eastAsia="宋体" w:cs="Times New Roman"/>
      <w:kern w:val="0"/>
      <w:sz w:val="20"/>
    </w:rPr>
  </w:style>
  <w:style w:type="character" w:customStyle="1" w:styleId="153">
    <w:name w:val="页眉 字符"/>
    <w:link w:val="41"/>
    <w:uiPriority w:val="0"/>
    <w:rPr>
      <w:rFonts w:ascii="Times New Roman" w:hAnsi="Times New Roman" w:eastAsia="宋体" w:cs="Times New Roman"/>
      <w:kern w:val="0"/>
      <w:sz w:val="20"/>
    </w:rPr>
  </w:style>
  <w:style w:type="character" w:customStyle="1" w:styleId="154">
    <w:name w:val="标题 字符1"/>
    <w:uiPriority w:val="10"/>
    <w:rPr>
      <w:rFonts w:ascii="等线 Light" w:hAnsi="等线 Light" w:eastAsia="等线 Light" w:cs="Times New Roman"/>
      <w:b/>
      <w:bCs/>
      <w:sz w:val="32"/>
      <w:szCs w:val="32"/>
    </w:rPr>
  </w:style>
  <w:style w:type="character" w:customStyle="1" w:styleId="155">
    <w:name w:val="HTML 预设格式 字符"/>
    <w:link w:val="53"/>
    <w:uiPriority w:val="0"/>
    <w:rPr>
      <w:rFonts w:ascii="宋体" w:hAnsi="宋体" w:eastAsia="宋体" w:cs="Times New Roman"/>
      <w:sz w:val="24"/>
    </w:rPr>
  </w:style>
  <w:style w:type="character" w:customStyle="1" w:styleId="156">
    <w:name w:val="正文文本缩进字符1"/>
    <w:semiHidden/>
    <w:uiPriority w:val="0"/>
    <w:rPr>
      <w:rFonts w:ascii="等线" w:hAnsi="等线" w:eastAsia="等线" w:cs="Times New Roman"/>
    </w:rPr>
  </w:style>
  <w:style w:type="character" w:customStyle="1" w:styleId="157">
    <w:name w:val="样式5 Char"/>
    <w:link w:val="68"/>
    <w:uiPriority w:val="0"/>
    <w:rPr>
      <w:rFonts w:ascii="黑体" w:hAnsi="等线" w:eastAsia="黑体" w:cs="Times New Roman"/>
    </w:rPr>
  </w:style>
  <w:style w:type="character" w:customStyle="1" w:styleId="158">
    <w:name w:val="页眉字符1"/>
    <w:semiHidden/>
    <w:uiPriority w:val="0"/>
    <w:rPr>
      <w:rFonts w:ascii="等线" w:hAnsi="等线" w:eastAsia="等线" w:cs="Times New Roman"/>
      <w:sz w:val="18"/>
      <w:szCs w:val="18"/>
    </w:rPr>
  </w:style>
  <w:style w:type="character" w:customStyle="1" w:styleId="159">
    <w:name w:val="正文文本缩进 3 字符"/>
    <w:link w:val="47"/>
    <w:uiPriority w:val="0"/>
    <w:rPr>
      <w:rFonts w:ascii="Times New Roman" w:hAnsi="Times New Roman" w:eastAsia="宋体" w:cs="Times New Roman"/>
      <w:kern w:val="0"/>
      <w:sz w:val="16"/>
    </w:rPr>
  </w:style>
  <w:style w:type="character" w:customStyle="1" w:styleId="160">
    <w:name w:val="文档结构图 字符2"/>
    <w:semiHidden/>
    <w:uiPriority w:val="99"/>
    <w:rPr>
      <w:rFonts w:ascii="Microsoft YaHei UI" w:hAnsi="等线" w:eastAsia="Microsoft YaHei UI" w:cs="Times New Roman"/>
      <w:sz w:val="18"/>
      <w:szCs w:val="18"/>
    </w:rPr>
  </w:style>
  <w:style w:type="character" w:customStyle="1" w:styleId="161">
    <w:name w:val="font21"/>
    <w:uiPriority w:val="0"/>
    <w:rPr>
      <w:rFonts w:ascii="Times New Roman" w:hAnsi="Times New Roman" w:eastAsia="等线" w:cs="Times New Roman"/>
      <w:color w:val="000000"/>
      <w:sz w:val="24"/>
      <w:u w:val="none"/>
      <w:vertAlign w:val="superscript"/>
    </w:rPr>
  </w:style>
  <w:style w:type="character" w:customStyle="1" w:styleId="162">
    <w:name w:val="样式 正文文本 Char"/>
    <w:link w:val="84"/>
    <w:uiPriority w:val="0"/>
    <w:rPr>
      <w:rFonts w:ascii="Arial" w:hAnsi="Arial" w:eastAsia="宋体" w:cs="Times New Roman"/>
      <w:color w:val="000000"/>
    </w:rPr>
  </w:style>
  <w:style w:type="character" w:customStyle="1" w:styleId="163">
    <w:name w:val="Default Char"/>
    <w:link w:val="70"/>
    <w:uiPriority w:val="0"/>
    <w:rPr>
      <w:rFonts w:ascii="宋体" w:hAnsi="等线" w:eastAsia="等线" w:cs="宋体"/>
      <w:color w:val="000000"/>
      <w:sz w:val="24"/>
      <w:szCs w:val="24"/>
    </w:rPr>
  </w:style>
  <w:style w:type="character" w:customStyle="1" w:styleId="164">
    <w:name w:val="正文文本 2 字符"/>
    <w:link w:val="50"/>
    <w:uiPriority w:val="0"/>
    <w:rPr>
      <w:rFonts w:ascii="Times New Roman" w:hAnsi="Times New Roman" w:eastAsia="宋体" w:cs="Times New Roman"/>
      <w:kern w:val="0"/>
      <w:sz w:val="20"/>
    </w:rPr>
  </w:style>
  <w:style w:type="character" w:customStyle="1" w:styleId="165">
    <w:name w:val="font71"/>
    <w:uiPriority w:val="0"/>
    <w:rPr>
      <w:rFonts w:ascii="宋体" w:hAnsi="宋体" w:eastAsia="宋体" w:cs="Times New Roman"/>
      <w:color w:val="000000"/>
      <w:sz w:val="24"/>
      <w:u w:val="none"/>
    </w:rPr>
  </w:style>
  <w:style w:type="character" w:customStyle="1" w:styleId="166">
    <w:name w:val="正文文本 2字符1"/>
    <w:semiHidden/>
    <w:uiPriority w:val="0"/>
    <w:rPr>
      <w:rFonts w:ascii="等线" w:hAnsi="等线" w:eastAsia="等线" w:cs="Times New Roman"/>
    </w:rPr>
  </w:style>
  <w:style w:type="character" w:customStyle="1" w:styleId="167">
    <w:name w:val="正文文本字符"/>
    <w:uiPriority w:val="0"/>
    <w:rPr>
      <w:rFonts w:ascii="Times New Roman" w:hAnsi="Times New Roman" w:eastAsia="宋体" w:cs="Times New Roman"/>
      <w:kern w:val="0"/>
      <w:sz w:val="24"/>
    </w:rPr>
  </w:style>
  <w:style w:type="character" w:customStyle="1" w:styleId="168">
    <w:name w:val="正文文本缩进 2 字符"/>
    <w:link w:val="36"/>
    <w:uiPriority w:val="0"/>
    <w:rPr>
      <w:rFonts w:ascii="Times New Roman" w:hAnsi="Times New Roman" w:eastAsia="宋体" w:cs="Times New Roman"/>
      <w:kern w:val="0"/>
      <w:sz w:val="20"/>
    </w:rPr>
  </w:style>
  <w:style w:type="character" w:customStyle="1" w:styleId="169">
    <w:name w:val="页脚字符1"/>
    <w:semiHidden/>
    <w:uiPriority w:val="0"/>
    <w:rPr>
      <w:rFonts w:ascii="等线" w:hAnsi="等线" w:eastAsia="等线" w:cs="Times New Roman"/>
      <w:sz w:val="18"/>
      <w:szCs w:val="18"/>
    </w:rPr>
  </w:style>
  <w:style w:type="character" w:customStyle="1" w:styleId="170">
    <w:name w:val="尾注文本 字符"/>
    <w:link w:val="37"/>
    <w:uiPriority w:val="0"/>
    <w:rPr>
      <w:rFonts w:ascii="等线" w:hAnsi="等线" w:eastAsia="宋体" w:cs="Times New Roman"/>
    </w:rPr>
  </w:style>
  <w:style w:type="character" w:customStyle="1" w:styleId="171">
    <w:name w:val="标题 5 字符1"/>
    <w:link w:val="6"/>
    <w:uiPriority w:val="0"/>
    <w:rPr>
      <w:rFonts w:ascii="Calibri" w:hAnsi="Calibri" w:eastAsia="宋体" w:cs="Times New Roman"/>
      <w:b/>
      <w:sz w:val="28"/>
      <w:szCs w:val="28"/>
    </w:rPr>
  </w:style>
  <w:style w:type="character" w:customStyle="1" w:styleId="172">
    <w:name w:val="标题字符1"/>
    <w:uiPriority w:val="0"/>
    <w:rPr>
      <w:rFonts w:ascii="Calibri" w:hAnsi="Calibri" w:eastAsia="宋体" w:cs="Times New Roman"/>
      <w:b/>
      <w:bCs/>
      <w:sz w:val="32"/>
      <w:szCs w:val="32"/>
    </w:rPr>
  </w:style>
  <w:style w:type="character" w:customStyle="1" w:styleId="173">
    <w:name w:val="正文文本 3字符1"/>
    <w:semiHidden/>
    <w:uiPriority w:val="0"/>
    <w:rPr>
      <w:rFonts w:ascii="等线" w:hAnsi="等线" w:eastAsia="等线" w:cs="Times New Roman"/>
      <w:sz w:val="16"/>
      <w:szCs w:val="16"/>
    </w:rPr>
  </w:style>
  <w:style w:type="character" w:customStyle="1" w:styleId="174">
    <w:name w:val="Heading 5 Char"/>
    <w:uiPriority w:val="0"/>
    <w:rPr>
      <w:rFonts w:ascii="Times New Roman" w:hAnsi="Times New Roman" w:eastAsia="宋体" w:cs="Times New Roman"/>
      <w:b/>
      <w:bCs/>
      <w:kern w:val="0"/>
      <w:sz w:val="28"/>
      <w:szCs w:val="28"/>
    </w:rPr>
  </w:style>
  <w:style w:type="character" w:customStyle="1" w:styleId="175">
    <w:name w:val="font51"/>
    <w:uiPriority w:val="0"/>
    <w:rPr>
      <w:rFonts w:ascii="Times New Roman" w:hAnsi="Times New Roman" w:eastAsia="等线" w:cs="Times New Roman"/>
      <w:b/>
      <w:color w:val="000000"/>
      <w:sz w:val="24"/>
      <w:u w:val="none"/>
    </w:rPr>
  </w:style>
  <w:style w:type="character" w:customStyle="1" w:styleId="176">
    <w:name w:val="正文缩进 字符"/>
    <w:link w:val="19"/>
    <w:uiPriority w:val="0"/>
    <w:rPr>
      <w:rFonts w:ascii="等线" w:hAnsi="等线" w:eastAsia="宋体" w:cs="Times New Roman"/>
    </w:rPr>
  </w:style>
  <w:style w:type="character" w:customStyle="1" w:styleId="177">
    <w:name w:val="px1233"/>
    <w:uiPriority w:val="0"/>
    <w:rPr>
      <w:rFonts w:ascii="等线" w:hAnsi="等线" w:eastAsia="等线" w:cs="Times New Roman"/>
    </w:rPr>
  </w:style>
  <w:style w:type="character" w:customStyle="1" w:styleId="178">
    <w:name w:val="批注框文本 字符"/>
    <w:link w:val="38"/>
    <w:semiHidden/>
    <w:uiPriority w:val="0"/>
    <w:rPr>
      <w:rFonts w:ascii="Times New Roman" w:hAnsi="Times New Roman" w:eastAsia="宋体" w:cs="Times New Roman"/>
      <w:kern w:val="0"/>
      <w:sz w:val="18"/>
    </w:rPr>
  </w:style>
  <w:style w:type="character" w:customStyle="1" w:styleId="179">
    <w:name w:val="正文文本 3 字符"/>
    <w:link w:val="25"/>
    <w:uiPriority w:val="0"/>
    <w:rPr>
      <w:rFonts w:ascii="Times New Roman" w:hAnsi="Times New Roman" w:eastAsia="宋体" w:cs="Times New Roman"/>
      <w:kern w:val="0"/>
      <w:sz w:val="16"/>
    </w:rPr>
  </w:style>
  <w:style w:type="character" w:customStyle="1" w:styleId="180">
    <w:name w:val="批注主题字符1"/>
    <w:semiHidden/>
    <w:uiPriority w:val="0"/>
    <w:rPr>
      <w:rFonts w:ascii="等线" w:hAnsi="等线" w:eastAsia="等线" w:cs="Times New Roman"/>
      <w:b/>
      <w:bCs/>
    </w:rPr>
  </w:style>
  <w:style w:type="character" w:customStyle="1" w:styleId="181">
    <w:name w:val="称呼 字符"/>
    <w:link w:val="24"/>
    <w:uiPriority w:val="0"/>
    <w:rPr>
      <w:rFonts w:ascii="等线" w:hAnsi="等线" w:eastAsia="宋体" w:cs="Times New Roman"/>
    </w:rPr>
  </w:style>
  <w:style w:type="character" w:customStyle="1" w:styleId="182">
    <w:name w:val="批注主题 字符"/>
    <w:link w:val="12"/>
    <w:semiHidden/>
    <w:uiPriority w:val="0"/>
    <w:rPr>
      <w:rFonts w:ascii="Times New Roman" w:hAnsi="Times New Roman" w:eastAsia="宋体" w:cs="Times New Roman"/>
      <w:b/>
      <w:kern w:val="0"/>
      <w:sz w:val="20"/>
    </w:rPr>
  </w:style>
  <w:style w:type="character" w:customStyle="1" w:styleId="183">
    <w:name w:val="正文首行缩进 2 字符1"/>
    <w:semiHidden/>
    <w:uiPriority w:val="99"/>
    <w:rPr>
      <w:rFonts w:ascii="等线" w:hAnsi="等线" w:eastAsia="等线" w:cs="Times New Roman"/>
    </w:rPr>
  </w:style>
  <w:style w:type="character" w:customStyle="1" w:styleId="184">
    <w:name w:val="日期字符1"/>
    <w:semiHidden/>
    <w:uiPriority w:val="0"/>
    <w:rPr>
      <w:rFonts w:ascii="等线" w:hAnsi="等线" w:eastAsia="等线" w:cs="Times New Roman"/>
    </w:rPr>
  </w:style>
  <w:style w:type="character" w:customStyle="1" w:styleId="185">
    <w:name w:val="正文文本 2 字符1"/>
    <w:semiHidden/>
    <w:uiPriority w:val="99"/>
    <w:rPr>
      <w:rFonts w:ascii="等线" w:hAnsi="等线" w:eastAsia="等线" w:cs="Times New Roman"/>
    </w:rPr>
  </w:style>
  <w:style w:type="character" w:customStyle="1" w:styleId="186">
    <w:name w:val="称呼 字符1"/>
    <w:semiHidden/>
    <w:uiPriority w:val="99"/>
    <w:rPr>
      <w:rFonts w:ascii="等线" w:hAnsi="等线" w:eastAsia="等线" w:cs="Times New Roman"/>
    </w:rPr>
  </w:style>
  <w:style w:type="character" w:customStyle="1" w:styleId="187">
    <w:name w:val="页脚 字符1"/>
    <w:semiHidden/>
    <w:uiPriority w:val="99"/>
    <w:rPr>
      <w:rFonts w:ascii="等线" w:hAnsi="等线" w:eastAsia="等线" w:cs="Times New Roman"/>
      <w:sz w:val="18"/>
      <w:szCs w:val="18"/>
    </w:rPr>
  </w:style>
  <w:style w:type="character" w:customStyle="1" w:styleId="188">
    <w:name w:val="正文文本缩进 2 字符1"/>
    <w:semiHidden/>
    <w:uiPriority w:val="99"/>
    <w:rPr>
      <w:rFonts w:ascii="等线" w:hAnsi="等线" w:eastAsia="等线" w:cs="Times New Roman"/>
    </w:rPr>
  </w:style>
  <w:style w:type="character" w:customStyle="1" w:styleId="189">
    <w:name w:val="尾注文本 字符1"/>
    <w:semiHidden/>
    <w:uiPriority w:val="99"/>
    <w:rPr>
      <w:rFonts w:ascii="等线" w:hAnsi="等线" w:eastAsia="等线" w:cs="Times New Roman"/>
    </w:rPr>
  </w:style>
  <w:style w:type="character" w:customStyle="1" w:styleId="190">
    <w:name w:val="正文文本缩进 3 字符1"/>
    <w:semiHidden/>
    <w:uiPriority w:val="99"/>
    <w:rPr>
      <w:rFonts w:ascii="等线" w:hAnsi="等线" w:eastAsia="等线" w:cs="Times New Roman"/>
      <w:sz w:val="16"/>
      <w:szCs w:val="16"/>
    </w:rPr>
  </w:style>
  <w:style w:type="character" w:customStyle="1" w:styleId="191">
    <w:name w:val="正文首行缩进 字符1"/>
    <w:semiHidden/>
    <w:uiPriority w:val="99"/>
    <w:rPr>
      <w:rFonts w:ascii="等线" w:hAnsi="等线" w:eastAsia="等线" w:cs="Times New Roman"/>
    </w:rPr>
  </w:style>
  <w:style w:type="character" w:customStyle="1" w:styleId="192">
    <w:name w:val="纯文本 字符2"/>
    <w:semiHidden/>
    <w:uiPriority w:val="99"/>
    <w:rPr>
      <w:rFonts w:ascii="等线" w:hAnsi="Courier New" w:eastAsia="等线" w:cs="Courier New"/>
    </w:rPr>
  </w:style>
  <w:style w:type="character" w:customStyle="1" w:styleId="193">
    <w:name w:val="正文文本缩进 字符2"/>
    <w:basedOn w:val="57"/>
    <w:link w:val="26"/>
    <w:semiHidden/>
    <w:uiPriority w:val="99"/>
    <w:rPr>
      <w:rFonts w:ascii="等线" w:hAnsi="等线" w:eastAsia="等线" w:cs="Times New Roman"/>
    </w:rPr>
  </w:style>
  <w:style w:type="character" w:customStyle="1" w:styleId="194">
    <w:name w:val="正文首行缩进 2 字符2"/>
    <w:basedOn w:val="193"/>
    <w:semiHidden/>
    <w:uiPriority w:val="99"/>
  </w:style>
  <w:style w:type="character" w:customStyle="1" w:styleId="195">
    <w:name w:val="正文文本缩进 3 字符2"/>
    <w:semiHidden/>
    <w:uiPriority w:val="99"/>
    <w:rPr>
      <w:rFonts w:ascii="等线" w:hAnsi="等线" w:eastAsia="等线" w:cs="Times New Roman"/>
      <w:sz w:val="16"/>
      <w:szCs w:val="16"/>
    </w:rPr>
  </w:style>
  <w:style w:type="character" w:customStyle="1" w:styleId="196">
    <w:name w:val="批注文字 字符2"/>
    <w:basedOn w:val="57"/>
    <w:link w:val="13"/>
    <w:semiHidden/>
    <w:uiPriority w:val="99"/>
    <w:rPr>
      <w:rFonts w:ascii="等线" w:hAnsi="等线" w:eastAsia="等线" w:cs="Times New Roman"/>
    </w:rPr>
  </w:style>
  <w:style w:type="character" w:customStyle="1" w:styleId="197">
    <w:name w:val="批注主题 字符2"/>
    <w:semiHidden/>
    <w:uiPriority w:val="99"/>
    <w:rPr>
      <w:rFonts w:ascii="等线" w:hAnsi="等线" w:eastAsia="等线" w:cs="Times New Roman"/>
      <w:b/>
      <w:bCs/>
    </w:rPr>
  </w:style>
  <w:style w:type="character" w:customStyle="1" w:styleId="198">
    <w:name w:val="脚注文本 字符2"/>
    <w:semiHidden/>
    <w:uiPriority w:val="99"/>
    <w:rPr>
      <w:rFonts w:ascii="等线" w:hAnsi="等线" w:eastAsia="等线" w:cs="Times New Roman"/>
      <w:sz w:val="18"/>
      <w:szCs w:val="18"/>
    </w:rPr>
  </w:style>
  <w:style w:type="character" w:customStyle="1" w:styleId="199">
    <w:name w:val="页脚 字符2"/>
    <w:semiHidden/>
    <w:uiPriority w:val="99"/>
    <w:rPr>
      <w:rFonts w:ascii="等线" w:hAnsi="等线" w:eastAsia="等线" w:cs="Times New Roman"/>
      <w:sz w:val="18"/>
      <w:szCs w:val="18"/>
    </w:rPr>
  </w:style>
  <w:style w:type="character" w:customStyle="1" w:styleId="200">
    <w:name w:val="尾注文本 字符2"/>
    <w:basedOn w:val="57"/>
    <w:semiHidden/>
    <w:uiPriority w:val="99"/>
    <w:rPr>
      <w:rFonts w:ascii="等线" w:hAnsi="等线" w:eastAsia="等线" w:cs="Times New Roman"/>
    </w:rPr>
  </w:style>
  <w:style w:type="character" w:customStyle="1" w:styleId="201">
    <w:name w:val="文档结构图 字符3"/>
    <w:semiHidden/>
    <w:uiPriority w:val="99"/>
    <w:rPr>
      <w:rFonts w:ascii="Microsoft YaHei UI" w:hAnsi="等线" w:eastAsia="Microsoft YaHei UI" w:cs="Times New Roman"/>
      <w:sz w:val="18"/>
      <w:szCs w:val="18"/>
    </w:rPr>
  </w:style>
  <w:style w:type="character" w:customStyle="1" w:styleId="202">
    <w:name w:val="正文文本 字符2"/>
    <w:basedOn w:val="57"/>
    <w:link w:val="16"/>
    <w:semiHidden/>
    <w:uiPriority w:val="99"/>
    <w:rPr>
      <w:rFonts w:ascii="等线" w:hAnsi="等线" w:eastAsia="等线" w:cs="Times New Roman"/>
    </w:rPr>
  </w:style>
  <w:style w:type="character" w:customStyle="1" w:styleId="203">
    <w:name w:val="正文首行缩进 字符2"/>
    <w:basedOn w:val="202"/>
    <w:semiHidden/>
    <w:uiPriority w:val="99"/>
  </w:style>
  <w:style w:type="character" w:customStyle="1" w:styleId="204">
    <w:name w:val="正文文本 3 字符2"/>
    <w:semiHidden/>
    <w:uiPriority w:val="99"/>
    <w:rPr>
      <w:rFonts w:ascii="等线" w:hAnsi="等线" w:eastAsia="等线" w:cs="Times New Roman"/>
      <w:sz w:val="16"/>
      <w:szCs w:val="16"/>
    </w:rPr>
  </w:style>
  <w:style w:type="character" w:customStyle="1" w:styleId="205">
    <w:name w:val="日期 字符2"/>
    <w:basedOn w:val="57"/>
    <w:semiHidden/>
    <w:uiPriority w:val="99"/>
    <w:rPr>
      <w:rFonts w:ascii="等线" w:hAnsi="等线" w:eastAsia="等线" w:cs="Times New Roman"/>
    </w:rPr>
  </w:style>
  <w:style w:type="character" w:customStyle="1" w:styleId="206">
    <w:name w:val="正文文本 2 字符2"/>
    <w:basedOn w:val="57"/>
    <w:semiHidden/>
    <w:uiPriority w:val="99"/>
    <w:rPr>
      <w:rFonts w:ascii="等线" w:hAnsi="等线" w:eastAsia="等线" w:cs="Times New Roman"/>
    </w:rPr>
  </w:style>
  <w:style w:type="character" w:customStyle="1" w:styleId="207">
    <w:name w:val="页眉 字符2"/>
    <w:semiHidden/>
    <w:uiPriority w:val="99"/>
    <w:rPr>
      <w:rFonts w:ascii="等线" w:hAnsi="等线" w:eastAsia="等线" w:cs="Times New Roman"/>
      <w:sz w:val="18"/>
      <w:szCs w:val="18"/>
    </w:rPr>
  </w:style>
  <w:style w:type="character" w:customStyle="1" w:styleId="208">
    <w:name w:val="批注框文本 字符2"/>
    <w:semiHidden/>
    <w:uiPriority w:val="99"/>
    <w:rPr>
      <w:rFonts w:ascii="等线" w:hAnsi="等线" w:eastAsia="等线" w:cs="Times New Roman"/>
      <w:sz w:val="18"/>
      <w:szCs w:val="18"/>
    </w:rPr>
  </w:style>
  <w:style w:type="character" w:customStyle="1" w:styleId="209">
    <w:name w:val="注释标题 字符2"/>
    <w:basedOn w:val="57"/>
    <w:semiHidden/>
    <w:uiPriority w:val="99"/>
    <w:rPr>
      <w:rFonts w:ascii="等线" w:hAnsi="等线" w:eastAsia="等线" w:cs="Times New Roman"/>
    </w:rPr>
  </w:style>
  <w:style w:type="character" w:customStyle="1" w:styleId="210">
    <w:name w:val="HTML 预设格式 字符2"/>
    <w:semiHidden/>
    <w:uiPriority w:val="99"/>
    <w:rPr>
      <w:rFonts w:ascii="Courier New" w:hAnsi="Courier New" w:eastAsia="等线" w:cs="Courier New"/>
      <w:sz w:val="20"/>
      <w:szCs w:val="20"/>
    </w:rPr>
  </w:style>
  <w:style w:type="character" w:customStyle="1" w:styleId="211">
    <w:name w:val="正文文本缩进 2 字符2"/>
    <w:basedOn w:val="57"/>
    <w:semiHidden/>
    <w:uiPriority w:val="99"/>
    <w:rPr>
      <w:rFonts w:ascii="等线" w:hAnsi="等线" w:eastAsia="等线" w:cs="Times New Roman"/>
    </w:rPr>
  </w:style>
  <w:style w:type="character" w:customStyle="1" w:styleId="212">
    <w:name w:val="标题 字符2"/>
    <w:uiPriority w:val="10"/>
    <w:rPr>
      <w:rFonts w:ascii="等线 Light" w:hAnsi="等线 Light" w:eastAsia="等线 Light" w:cs="Times New Roman"/>
      <w:b/>
      <w:bCs/>
      <w:sz w:val="32"/>
      <w:szCs w:val="32"/>
    </w:rPr>
  </w:style>
  <w:style w:type="character" w:customStyle="1" w:styleId="213">
    <w:name w:val="称呼 字符2"/>
    <w:basedOn w:val="57"/>
    <w:semiHidden/>
    <w:uiPriority w:val="99"/>
    <w:rPr>
      <w:rFonts w:ascii="等线" w:hAnsi="等线" w:eastAsia="等线" w:cs="Times New Roman"/>
    </w:rPr>
  </w:style>
  <w:style w:type="character" w:customStyle="1" w:styleId="214">
    <w:name w:val=" Char Char33"/>
    <w:uiPriority w:val="0"/>
    <w:rPr>
      <w:rFonts w:ascii="Times New Roman" w:hAnsi="Times New Roman" w:eastAsia="宋体" w:cs="Times New Roman"/>
      <w:b/>
      <w:bCs/>
      <w:kern w:val="44"/>
      <w:sz w:val="44"/>
      <w:szCs w:val="44"/>
    </w:rPr>
  </w:style>
  <w:style w:type="character" w:customStyle="1" w:styleId="215">
    <w:name w:val="普通文字 Char Char"/>
    <w:aliases w:val="纯文本 Char Char Char,普通文字1 Char,普通文字2 Char,普通文字3 Char,普通文字4 Char,普通文字5 Char,普通文字6 Char,普通文字11 Char,普通文字21 Char,普通文字31 Char,普通文字41 Char,普通文字7 Char,正 文 1 Char Char"/>
    <w:uiPriority w:val="0"/>
    <w:rPr>
      <w:rFonts w:ascii="宋体" w:hAnsi="Courier New" w:eastAsia="宋体" w:cs="Times New Roman"/>
      <w:kern w:val="0"/>
      <w:sz w:val="21"/>
    </w:rPr>
  </w:style>
  <w:style w:type="character" w:customStyle="1" w:styleId="216">
    <w:name w:val="标题 5 Char1"/>
    <w:uiPriority w:val="0"/>
    <w:rPr>
      <w:rFonts w:ascii="Times New Roman" w:hAnsi="Times New Roman" w:eastAsia="等线" w:cs="Times New Roman"/>
      <w:b/>
      <w:bCs/>
      <w:sz w:val="28"/>
      <w:szCs w:val="28"/>
    </w:rPr>
  </w:style>
  <w:style w:type="paragraph" w:customStyle="1" w:styleId="217">
    <w:name w:val="样式 标题 1 + (符号) Arial 三号"/>
    <w:basedOn w:val="2"/>
    <w:qFormat/>
    <w:uiPriority w:val="0"/>
    <w:pPr>
      <w:snapToGrid w:val="0"/>
      <w:spacing w:before="0" w:after="0" w:line="360" w:lineRule="auto"/>
      <w:jc w:val="both"/>
    </w:pPr>
    <w:rPr>
      <w:sz w:val="32"/>
    </w:rPr>
  </w:style>
  <w:style w:type="character" w:customStyle="1" w:styleId="218">
    <w:name w:val="批注框文本 Char"/>
    <w:basedOn w:val="57"/>
    <w:link w:val="38"/>
    <w:qFormat/>
    <w:uiPriority w:val="0"/>
    <w:rPr>
      <w:rFonts w:ascii="Calibri" w:hAnsi="Calibri" w:eastAsia="宋体" w:cs="Times New Roman"/>
      <w:kern w:val="2"/>
      <w:sz w:val="18"/>
      <w:szCs w:val="18"/>
      <w:lang w:val="en-US" w:eastAsia="zh-CN" w:bidi="ar-SA"/>
    </w:rPr>
  </w:style>
  <w:style w:type="character" w:customStyle="1" w:styleId="219">
    <w:name w:val="批注文字 Char"/>
    <w:basedOn w:val="57"/>
    <w:link w:val="13"/>
    <w:semiHidden/>
    <w:qFormat/>
    <w:uiPriority w:val="99"/>
    <w:rPr>
      <w:rFonts w:ascii="Calibri" w:hAnsi="Calibri" w:eastAsia="宋体" w:cs="Times New Roman"/>
      <w:kern w:val="2"/>
      <w:sz w:val="21"/>
      <w:szCs w:val="22"/>
      <w:lang w:val="en-US" w:eastAsia="zh-CN" w:bidi="ar-SA"/>
    </w:rPr>
  </w:style>
  <w:style w:type="character" w:customStyle="1" w:styleId="220">
    <w:name w:val="批注主题 Char"/>
    <w:basedOn w:val="219"/>
    <w:link w:val="12"/>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5224</Words>
  <Characters>29780</Characters>
  <Lines>248</Lines>
  <Paragraphs>69</Paragraphs>
  <TotalTime>0</TotalTime>
  <ScaleCrop>false</ScaleCrop>
  <LinksUpToDate>false</LinksUpToDate>
  <CharactersWithSpaces>34935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2018-03-02T01:42:00Z</dcterms:created>
  <dc:creator>囍庆の可晕</dc:creator>
  <cp:lastModifiedBy>zbzx-jsx</cp:lastModifiedBy>
  <dcterms:modified xsi:type="dcterms:W3CDTF">2019-09-17T09:13:32Z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