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u w:val="single"/>
        </w:rPr>
        <w:t>软隔离设施</w:t>
      </w:r>
      <w:r>
        <w:rPr>
          <w:rFonts w:hint="eastAsia" w:ascii="黑体" w:hAnsi="黑体" w:eastAsia="黑体"/>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6"/>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十</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tabs>
          <w:tab w:val="right" w:leader="dot" w:pos="8290"/>
        </w:tabs>
        <w:spacing w:line="480" w:lineRule="auto"/>
        <w:ind w:firstLine="442"/>
        <w:rPr>
          <w:rFonts w:ascii="黑体" w:hAnsi="黑体" w:eastAsia="黑体"/>
          <w:sz w:val="22"/>
        </w:rPr>
      </w:pPr>
      <w:r>
        <w:rPr>
          <w:rFonts w:hint="eastAsia" w:ascii="黑体" w:hAnsi="黑体" w:eastAsia="黑体"/>
          <w:b/>
          <w:sz w:val="22"/>
        </w:rPr>
        <w:fldChar w:fldCharType="begin"/>
      </w:r>
      <w:r>
        <w:rPr>
          <w:rFonts w:hint="eastAsia" w:ascii="黑体" w:hAnsi="黑体" w:eastAsia="黑体"/>
          <w:b/>
          <w:sz w:val="22"/>
        </w:rPr>
        <w:instrText xml:space="preserve"> TOC \o "1-1" \h \z \u </w:instrText>
      </w:r>
      <w:r>
        <w:rPr>
          <w:rFonts w:hint="eastAsia" w:ascii="黑体" w:hAnsi="黑体" w:eastAsia="黑体"/>
          <w:b/>
          <w:sz w:val="22"/>
        </w:rPr>
        <w:fldChar w:fldCharType="separate"/>
      </w:r>
      <w:r>
        <w:rPr>
          <w:rFonts w:hint="eastAsia" w:ascii="黑体" w:hAnsi="黑体" w:eastAsia="黑体"/>
          <w:sz w:val="22"/>
        </w:rPr>
        <w:t>第一章  招标公告</w:t>
      </w:r>
      <w:r>
        <w:rPr>
          <w:rFonts w:hint="eastAsia" w:ascii="黑体" w:hAnsi="黑体" w:eastAsia="黑体"/>
          <w:sz w:val="22"/>
        </w:rPr>
        <w:tab/>
      </w:r>
      <w:r>
        <w:rPr>
          <w:rFonts w:hint="eastAsia" w:ascii="黑体" w:hAnsi="黑体" w:eastAsia="黑体"/>
          <w:sz w:val="22"/>
        </w:rPr>
        <w:fldChar w:fldCharType="begin"/>
      </w:r>
      <w:r>
        <w:rPr>
          <w:rFonts w:hint="eastAsia" w:ascii="黑体" w:hAnsi="黑体" w:eastAsia="黑体"/>
          <w:sz w:val="22"/>
        </w:rPr>
        <w:instrText xml:space="preserve"> PAGEREF _Toc321925451 \h </w:instrText>
      </w:r>
      <w:r>
        <w:rPr>
          <w:rFonts w:hint="eastAsia" w:ascii="黑体" w:hAnsi="黑体" w:eastAsia="黑体"/>
          <w:sz w:val="22"/>
        </w:rPr>
        <w:fldChar w:fldCharType="separate"/>
      </w:r>
      <w:r>
        <w:rPr>
          <w:rFonts w:ascii="黑体" w:hAnsi="黑体" w:eastAsia="黑体"/>
          <w:sz w:val="22"/>
        </w:rPr>
        <w:t>- 2 -</w:t>
      </w:r>
      <w:r>
        <w:rPr>
          <w:rFonts w:hint="eastAsia" w:ascii="黑体" w:hAnsi="黑体" w:eastAsia="黑体"/>
          <w:sz w:val="22"/>
        </w:rPr>
        <w:fldChar w:fldCharType="end"/>
      </w:r>
    </w:p>
    <w:p>
      <w:pPr>
        <w:tabs>
          <w:tab w:val="right" w:leader="dot" w:pos="8290"/>
        </w:tabs>
        <w:spacing w:line="480" w:lineRule="auto"/>
        <w:ind w:firstLine="440"/>
        <w:rPr>
          <w:rFonts w:ascii="黑体" w:hAnsi="黑体" w:eastAsia="黑体"/>
          <w:sz w:val="22"/>
        </w:rPr>
      </w:pPr>
      <w:r>
        <w:rPr>
          <w:rFonts w:hint="eastAsia" w:ascii="黑体" w:hAnsi="黑体" w:eastAsia="黑体"/>
          <w:sz w:val="22"/>
        </w:rPr>
        <w:t>第二章  投标人须知</w:t>
      </w:r>
      <w:r>
        <w:rPr>
          <w:rFonts w:hint="eastAsia" w:ascii="黑体" w:hAnsi="黑体" w:eastAsia="黑体"/>
          <w:sz w:val="22"/>
        </w:rPr>
        <w:tab/>
      </w:r>
      <w:r>
        <w:rPr>
          <w:rFonts w:hint="eastAsia" w:ascii="黑体" w:hAnsi="黑体" w:eastAsia="黑体"/>
          <w:sz w:val="22"/>
        </w:rPr>
        <w:fldChar w:fldCharType="begin"/>
      </w:r>
      <w:r>
        <w:rPr>
          <w:rFonts w:hint="eastAsia" w:ascii="黑体" w:hAnsi="黑体" w:eastAsia="黑体"/>
          <w:sz w:val="22"/>
        </w:rPr>
        <w:instrText xml:space="preserve"> PAGEREF _Toc321925452 \h </w:instrText>
      </w:r>
      <w:r>
        <w:rPr>
          <w:rFonts w:hint="eastAsia" w:ascii="黑体" w:hAnsi="黑体" w:eastAsia="黑体"/>
          <w:sz w:val="22"/>
        </w:rPr>
        <w:fldChar w:fldCharType="separate"/>
      </w:r>
      <w:r>
        <w:rPr>
          <w:rFonts w:ascii="黑体" w:hAnsi="黑体" w:eastAsia="黑体"/>
          <w:sz w:val="22"/>
        </w:rPr>
        <w:t>- 4 -</w:t>
      </w:r>
      <w:r>
        <w:rPr>
          <w:rFonts w:hint="eastAsia" w:ascii="黑体" w:hAnsi="黑体" w:eastAsia="黑体"/>
          <w:sz w:val="22"/>
        </w:rPr>
        <w:fldChar w:fldCharType="end"/>
      </w:r>
    </w:p>
    <w:p>
      <w:pPr>
        <w:tabs>
          <w:tab w:val="right" w:leader="dot" w:pos="8290"/>
        </w:tabs>
        <w:spacing w:line="480" w:lineRule="auto"/>
        <w:ind w:firstLine="440"/>
        <w:rPr>
          <w:rFonts w:ascii="黑体" w:hAnsi="黑体" w:eastAsia="黑体"/>
          <w:sz w:val="22"/>
        </w:rPr>
      </w:pPr>
      <w:r>
        <w:rPr>
          <w:rFonts w:hint="eastAsia" w:ascii="黑体" w:hAnsi="黑体" w:eastAsia="黑体"/>
          <w:sz w:val="22"/>
        </w:rPr>
        <w:t>第三章  货物需求一览表及技术规格</w:t>
      </w:r>
      <w:r>
        <w:rPr>
          <w:rFonts w:hint="eastAsia" w:ascii="黑体" w:hAnsi="黑体" w:eastAsia="黑体"/>
          <w:sz w:val="22"/>
        </w:rPr>
        <w:tab/>
      </w:r>
      <w:r>
        <w:rPr>
          <w:rFonts w:hint="eastAsia" w:ascii="黑体" w:hAnsi="黑体" w:eastAsia="黑体"/>
          <w:sz w:val="22"/>
        </w:rPr>
        <w:fldChar w:fldCharType="begin"/>
      </w:r>
      <w:r>
        <w:rPr>
          <w:rFonts w:hint="eastAsia" w:ascii="黑体" w:hAnsi="黑体" w:eastAsia="黑体"/>
          <w:sz w:val="22"/>
        </w:rPr>
        <w:instrText xml:space="preserve"> PAGEREF _Toc321925453 \h </w:instrText>
      </w:r>
      <w:r>
        <w:rPr>
          <w:rFonts w:hint="eastAsia" w:ascii="黑体" w:hAnsi="黑体" w:eastAsia="黑体"/>
          <w:sz w:val="22"/>
        </w:rPr>
        <w:fldChar w:fldCharType="separate"/>
      </w:r>
      <w:r>
        <w:rPr>
          <w:rFonts w:ascii="黑体" w:hAnsi="黑体" w:eastAsia="黑体"/>
          <w:sz w:val="22"/>
        </w:rPr>
        <w:t>- 13 -</w:t>
      </w:r>
      <w:r>
        <w:rPr>
          <w:rFonts w:hint="eastAsia" w:ascii="黑体" w:hAnsi="黑体" w:eastAsia="黑体"/>
          <w:sz w:val="22"/>
        </w:rPr>
        <w:fldChar w:fldCharType="end"/>
      </w:r>
    </w:p>
    <w:p>
      <w:pPr>
        <w:tabs>
          <w:tab w:val="right" w:leader="dot" w:pos="8290"/>
        </w:tabs>
        <w:spacing w:line="480" w:lineRule="auto"/>
        <w:ind w:firstLine="440"/>
        <w:rPr>
          <w:rFonts w:ascii="黑体" w:hAnsi="黑体" w:eastAsia="黑体"/>
          <w:sz w:val="22"/>
        </w:rPr>
      </w:pPr>
      <w:r>
        <w:rPr>
          <w:rFonts w:hint="eastAsia" w:ascii="黑体" w:hAnsi="黑体" w:eastAsia="黑体"/>
          <w:sz w:val="22"/>
        </w:rPr>
        <w:t xml:space="preserve">第四章  </w:t>
      </w:r>
      <w:r>
        <w:rPr>
          <w:rFonts w:ascii="黑体" w:hAnsi="黑体" w:eastAsia="黑体"/>
          <w:sz w:val="22"/>
        </w:rPr>
        <w:t>合同条款</w:t>
      </w:r>
      <w:r>
        <w:rPr>
          <w:rFonts w:hint="eastAsia" w:ascii="黑体" w:hAnsi="黑体" w:eastAsia="黑体"/>
          <w:sz w:val="22"/>
        </w:rPr>
        <w:tab/>
      </w:r>
      <w:r>
        <w:rPr>
          <w:rFonts w:hint="eastAsia" w:ascii="黑体" w:hAnsi="黑体" w:eastAsia="黑体"/>
          <w:sz w:val="22"/>
        </w:rPr>
        <w:fldChar w:fldCharType="begin"/>
      </w:r>
      <w:r>
        <w:rPr>
          <w:rFonts w:hint="eastAsia" w:ascii="黑体" w:hAnsi="黑体" w:eastAsia="黑体"/>
          <w:sz w:val="22"/>
        </w:rPr>
        <w:instrText xml:space="preserve"> PAGEREF _Toc321925454 \h </w:instrText>
      </w:r>
      <w:r>
        <w:rPr>
          <w:rFonts w:hint="eastAsia" w:ascii="黑体" w:hAnsi="黑体" w:eastAsia="黑体"/>
          <w:sz w:val="22"/>
        </w:rPr>
        <w:fldChar w:fldCharType="separate"/>
      </w:r>
      <w:r>
        <w:rPr>
          <w:rFonts w:ascii="黑体" w:hAnsi="黑体" w:eastAsia="黑体"/>
          <w:sz w:val="22"/>
        </w:rPr>
        <w:t>- 15 -</w:t>
      </w:r>
      <w:r>
        <w:rPr>
          <w:rFonts w:hint="eastAsia" w:ascii="黑体" w:hAnsi="黑体" w:eastAsia="黑体"/>
          <w:sz w:val="22"/>
        </w:rPr>
        <w:fldChar w:fldCharType="end"/>
      </w:r>
    </w:p>
    <w:p>
      <w:pPr>
        <w:tabs>
          <w:tab w:val="right" w:leader="dot" w:pos="8290"/>
        </w:tabs>
        <w:spacing w:line="480" w:lineRule="auto"/>
        <w:ind w:firstLine="440"/>
        <w:rPr>
          <w:rFonts w:ascii="黑体" w:hAnsi="黑体" w:eastAsia="黑体"/>
          <w:sz w:val="22"/>
        </w:rPr>
      </w:pPr>
      <w:r>
        <w:rPr>
          <w:rFonts w:hint="eastAsia" w:ascii="黑体" w:hAnsi="黑体" w:eastAsia="黑体" w:cs="Calibri"/>
          <w:kern w:val="0"/>
          <w:sz w:val="22"/>
        </w:rPr>
        <w:t>第五章  评标方法及标准</w:t>
      </w:r>
      <w:r>
        <w:rPr>
          <w:rFonts w:hint="eastAsia" w:ascii="黑体" w:hAnsi="黑体" w:eastAsia="黑体"/>
          <w:sz w:val="22"/>
        </w:rPr>
        <w:tab/>
      </w:r>
      <w:r>
        <w:rPr>
          <w:rFonts w:hint="eastAsia" w:ascii="黑体" w:hAnsi="黑体" w:eastAsia="黑体"/>
          <w:sz w:val="22"/>
        </w:rPr>
        <w:fldChar w:fldCharType="begin"/>
      </w:r>
      <w:r>
        <w:rPr>
          <w:rFonts w:hint="eastAsia" w:ascii="黑体" w:hAnsi="黑体" w:eastAsia="黑体"/>
          <w:sz w:val="22"/>
        </w:rPr>
        <w:instrText xml:space="preserve"> PAGEREF _Toc321925456 \h </w:instrText>
      </w:r>
      <w:r>
        <w:rPr>
          <w:rFonts w:hint="eastAsia" w:ascii="黑体" w:hAnsi="黑体" w:eastAsia="黑体"/>
          <w:sz w:val="22"/>
        </w:rPr>
        <w:fldChar w:fldCharType="separate"/>
      </w:r>
      <w:r>
        <w:rPr>
          <w:rFonts w:ascii="黑体" w:hAnsi="黑体" w:eastAsia="黑体"/>
          <w:sz w:val="22"/>
        </w:rPr>
        <w:t>- 19 -</w:t>
      </w:r>
      <w:r>
        <w:rPr>
          <w:rFonts w:hint="eastAsia" w:ascii="黑体" w:hAnsi="黑体" w:eastAsia="黑体"/>
          <w:sz w:val="22"/>
        </w:rPr>
        <w:fldChar w:fldCharType="end"/>
      </w:r>
    </w:p>
    <w:p>
      <w:pPr>
        <w:tabs>
          <w:tab w:val="right" w:leader="dot" w:pos="8290"/>
        </w:tabs>
        <w:spacing w:line="480" w:lineRule="auto"/>
        <w:ind w:firstLine="440"/>
        <w:rPr>
          <w:rFonts w:ascii="黑体" w:hAnsi="黑体" w:eastAsia="黑体"/>
          <w:sz w:val="22"/>
        </w:rPr>
      </w:pPr>
      <w:r>
        <w:rPr>
          <w:rFonts w:hint="eastAsia" w:ascii="黑体" w:hAnsi="黑体" w:eastAsia="黑体"/>
          <w:sz w:val="22"/>
        </w:rPr>
        <w:t>第六章  投标文件格式</w:t>
      </w:r>
      <w:r>
        <w:rPr>
          <w:rFonts w:hint="eastAsia" w:ascii="黑体" w:hAnsi="黑体" w:eastAsia="黑体"/>
          <w:sz w:val="22"/>
        </w:rPr>
        <w:tab/>
      </w:r>
      <w:r>
        <w:rPr>
          <w:rFonts w:hint="eastAsia" w:ascii="黑体" w:hAnsi="黑体" w:eastAsia="黑体"/>
          <w:sz w:val="22"/>
        </w:rPr>
        <w:fldChar w:fldCharType="begin"/>
      </w:r>
      <w:r>
        <w:rPr>
          <w:rFonts w:hint="eastAsia" w:ascii="黑体" w:hAnsi="黑体" w:eastAsia="黑体"/>
          <w:sz w:val="22"/>
        </w:rPr>
        <w:instrText xml:space="preserve"> PAGEREF _Toc321925457 \h </w:instrText>
      </w:r>
      <w:r>
        <w:rPr>
          <w:rFonts w:hint="eastAsia" w:ascii="黑体" w:hAnsi="黑体" w:eastAsia="黑体"/>
          <w:sz w:val="22"/>
        </w:rPr>
        <w:fldChar w:fldCharType="separate"/>
      </w:r>
      <w:r>
        <w:rPr>
          <w:rFonts w:ascii="黑体" w:hAnsi="黑体" w:eastAsia="黑体"/>
          <w:sz w:val="22"/>
        </w:rPr>
        <w:t>- 22 -</w:t>
      </w:r>
      <w:r>
        <w:rPr>
          <w:rFonts w:hint="eastAsia" w:ascii="黑体" w:hAnsi="黑体" w:eastAsia="黑体"/>
          <w:sz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39"/>
      </w:pPr>
      <w:bookmarkStart w:id="0" w:name="_Toc321925451"/>
      <w:r>
        <w:rPr>
          <w:rFonts w:hint="eastAsia"/>
        </w:rPr>
        <w:t>第一章 招标公告</w:t>
      </w:r>
      <w:bookmarkEnd w:id="0"/>
    </w:p>
    <w:p>
      <w:pPr>
        <w:widowControl/>
        <w:snapToGrid w:val="0"/>
        <w:spacing w:line="360" w:lineRule="exact"/>
        <w:jc w:val="left"/>
        <w:rPr>
          <w:rFonts w:ascii="宋体" w:hAnsi="宋体" w:cs="Arial"/>
          <w:b/>
          <w:bCs/>
          <w:kern w:val="0"/>
          <w:sz w:val="22"/>
        </w:rPr>
      </w:pPr>
    </w:p>
    <w:p>
      <w:pPr>
        <w:widowControl/>
        <w:snapToGrid w:val="0"/>
        <w:spacing w:line="360" w:lineRule="exact"/>
        <w:jc w:val="left"/>
        <w:rPr>
          <w:rFonts w:ascii="宋体" w:hAnsi="宋体" w:cs="Arial"/>
          <w:kern w:val="0"/>
          <w:sz w:val="22"/>
        </w:rPr>
      </w:pPr>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w:t>
      </w:r>
      <w:r>
        <w:rPr>
          <w:rFonts w:ascii="宋体" w:hAnsi="宋体" w:cs="Arial"/>
          <w:kern w:val="0"/>
          <w:sz w:val="22"/>
        </w:rPr>
        <w:t>杭州萧山国际机场</w:t>
      </w:r>
      <w:r>
        <w:rPr>
          <w:rFonts w:hint="eastAsia" w:ascii="宋体" w:hAnsi="宋体"/>
          <w:color w:val="000000"/>
          <w:szCs w:val="18"/>
        </w:rPr>
        <w:t>软隔离设施采购项目</w:t>
      </w:r>
      <w:r>
        <w:rPr>
          <w:rFonts w:hint="eastAsia" w:ascii="宋体" w:hAnsi="宋体" w:cs="Arial"/>
          <w:kern w:val="0"/>
          <w:sz w:val="22"/>
        </w:rPr>
        <w:t>进行公开招标，欢迎符合资格要求的供应商参与投标。</w:t>
      </w:r>
    </w:p>
    <w:p>
      <w:pPr>
        <w:widowControl/>
        <w:snapToGrid w:val="0"/>
        <w:spacing w:line="340" w:lineRule="exact"/>
        <w:ind w:firstLine="440" w:firstLineChars="200"/>
        <w:jc w:val="left"/>
        <w:rPr>
          <w:rFonts w:ascii="宋体" w:hAnsi="宋体" w:cs="Arial"/>
          <w:kern w:val="0"/>
          <w:sz w:val="22"/>
        </w:rPr>
      </w:pPr>
      <w:r>
        <w:rPr>
          <w:rFonts w:hint="eastAsia" w:ascii="宋体" w:hAnsi="宋体" w:cs="Arial"/>
          <w:kern w:val="0"/>
          <w:sz w:val="22"/>
        </w:rPr>
        <w:t>招标货物名称、数量及主要技术规格（设备型号）</w:t>
      </w:r>
    </w:p>
    <w:tbl>
      <w:tblPr>
        <w:tblStyle w:val="43"/>
        <w:tblW w:w="92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1409"/>
        <w:gridCol w:w="2118"/>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1" w:type="dxa"/>
            <w:vAlign w:val="center"/>
          </w:tcPr>
          <w:p>
            <w:pPr>
              <w:widowControl/>
              <w:jc w:val="left"/>
              <w:rPr>
                <w:rFonts w:ascii="宋体" w:hAnsi="宋体"/>
              </w:rPr>
            </w:pPr>
            <w:r>
              <w:rPr>
                <w:rFonts w:hint="eastAsia" w:ascii="宋体" w:hAnsi="宋体"/>
                <w:sz w:val="22"/>
              </w:rPr>
              <w:t>货物名称</w:t>
            </w:r>
          </w:p>
        </w:tc>
        <w:tc>
          <w:tcPr>
            <w:tcW w:w="1409" w:type="dxa"/>
            <w:vAlign w:val="center"/>
          </w:tcPr>
          <w:p>
            <w:pPr>
              <w:widowControl/>
              <w:jc w:val="left"/>
              <w:rPr>
                <w:rFonts w:ascii="宋体" w:hAnsi="宋体"/>
              </w:rPr>
            </w:pPr>
            <w:r>
              <w:rPr>
                <w:rFonts w:hint="eastAsia" w:ascii="宋体" w:hAnsi="宋体"/>
                <w:sz w:val="22"/>
              </w:rPr>
              <w:t>数量</w:t>
            </w:r>
          </w:p>
        </w:tc>
        <w:tc>
          <w:tcPr>
            <w:tcW w:w="2118" w:type="dxa"/>
            <w:vAlign w:val="center"/>
          </w:tcPr>
          <w:p>
            <w:pPr>
              <w:widowControl/>
              <w:jc w:val="left"/>
              <w:rPr>
                <w:rFonts w:ascii="宋体" w:hAnsi="宋体"/>
              </w:rPr>
            </w:pPr>
            <w:r>
              <w:rPr>
                <w:rFonts w:hint="eastAsia" w:ascii="宋体" w:hAnsi="宋体"/>
                <w:sz w:val="22"/>
              </w:rPr>
              <w:t>交货日期</w:t>
            </w:r>
          </w:p>
        </w:tc>
        <w:tc>
          <w:tcPr>
            <w:tcW w:w="2151" w:type="dxa"/>
            <w:vAlign w:val="center"/>
          </w:tcPr>
          <w:p>
            <w:pPr>
              <w:widowControl/>
              <w:jc w:val="left"/>
              <w:rPr>
                <w:rFonts w:ascii="宋体" w:hAnsi="宋体"/>
              </w:rPr>
            </w:pPr>
            <w:r>
              <w:rPr>
                <w:rFonts w:ascii="宋体" w:hAnsi="宋体"/>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1" w:type="dxa"/>
            <w:vAlign w:val="center"/>
          </w:tcPr>
          <w:p>
            <w:pPr>
              <w:widowControl/>
              <w:jc w:val="left"/>
              <w:rPr>
                <w:rFonts w:ascii="宋体" w:hAnsi="宋体"/>
              </w:rPr>
            </w:pPr>
            <w:r>
              <w:rPr>
                <w:rFonts w:hint="eastAsia" w:ascii="宋体" w:hAnsi="宋体"/>
                <w:sz w:val="22"/>
              </w:rPr>
              <w:t>软隔离设施</w:t>
            </w:r>
          </w:p>
        </w:tc>
        <w:tc>
          <w:tcPr>
            <w:tcW w:w="1409" w:type="dxa"/>
            <w:vAlign w:val="center"/>
          </w:tcPr>
          <w:p>
            <w:pPr>
              <w:widowControl/>
              <w:jc w:val="left"/>
              <w:rPr>
                <w:rFonts w:ascii="宋体" w:hAnsi="宋体"/>
              </w:rPr>
            </w:pPr>
            <w:r>
              <w:rPr>
                <w:rFonts w:hint="eastAsia" w:ascii="宋体" w:hAnsi="宋体"/>
                <w:sz w:val="22"/>
              </w:rPr>
              <w:t>500套</w:t>
            </w:r>
          </w:p>
        </w:tc>
        <w:tc>
          <w:tcPr>
            <w:tcW w:w="2118" w:type="dxa"/>
            <w:vAlign w:val="center"/>
          </w:tcPr>
          <w:p>
            <w:pPr>
              <w:widowControl/>
              <w:jc w:val="left"/>
              <w:rPr>
                <w:rFonts w:ascii="宋体" w:hAnsi="宋体"/>
              </w:rPr>
            </w:pPr>
            <w:r>
              <w:rPr>
                <w:rFonts w:hint="eastAsia" w:ascii="宋体" w:hAnsi="宋体"/>
                <w:sz w:val="22"/>
              </w:rPr>
              <w:t>签订合同后3</w:t>
            </w:r>
            <w:r>
              <w:rPr>
                <w:rFonts w:ascii="宋体" w:hAnsi="宋体"/>
                <w:sz w:val="22"/>
              </w:rPr>
              <w:t>0</w:t>
            </w:r>
            <w:r>
              <w:rPr>
                <w:rFonts w:hint="eastAsia" w:ascii="宋体" w:hAnsi="宋体"/>
                <w:sz w:val="22"/>
              </w:rPr>
              <w:t>日历天内</w:t>
            </w:r>
          </w:p>
        </w:tc>
        <w:tc>
          <w:tcPr>
            <w:tcW w:w="2151" w:type="dxa"/>
            <w:vAlign w:val="center"/>
          </w:tcPr>
          <w:p>
            <w:pPr>
              <w:widowControl/>
              <w:jc w:val="left"/>
              <w:rPr>
                <w:rFonts w:ascii="宋体" w:hAnsi="宋体"/>
              </w:rPr>
            </w:pPr>
            <w:r>
              <w:rPr>
                <w:rFonts w:hint="eastAsia" w:ascii="宋体" w:hAnsi="宋体"/>
                <w:sz w:val="22"/>
              </w:rPr>
              <w:t>杭州萧山国际机场航站楼内指定仓库</w:t>
            </w:r>
          </w:p>
        </w:tc>
      </w:tr>
    </w:tbl>
    <w:p>
      <w:pPr>
        <w:widowControl/>
        <w:snapToGrid w:val="0"/>
        <w:spacing w:line="340" w:lineRule="exact"/>
        <w:ind w:firstLine="440" w:firstLineChars="200"/>
        <w:jc w:val="left"/>
        <w:rPr>
          <w:rFonts w:ascii="宋体" w:hAnsi="宋体" w:cs="Arial"/>
          <w:kern w:val="0"/>
          <w:sz w:val="22"/>
        </w:rPr>
      </w:pP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Style w:val="83"/>
          <w:rFonts w:hint="eastAsia" w:ascii="宋体" w:hAnsi="宋体" w:cs="宋体"/>
          <w:sz w:val="22"/>
        </w:rPr>
        <w:t>具有独立法人资格，注册资金不少于人民币</w:t>
      </w:r>
      <w:r>
        <w:rPr>
          <w:rStyle w:val="83"/>
          <w:rFonts w:cs="宋体"/>
          <w:sz w:val="22"/>
          <w:u w:val="single"/>
        </w:rPr>
        <w:t>100</w:t>
      </w:r>
      <w:r>
        <w:rPr>
          <w:rStyle w:val="83"/>
          <w:rFonts w:hint="eastAsia" w:ascii="宋体" w:hAnsi="宋体" w:cs="宋体"/>
          <w:sz w:val="22"/>
        </w:rPr>
        <w:t>万元或等值外币(按投标截止日中国人民银行公布的汇率中间价换算)</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，可提供增值税专用发票</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w:t>
      </w:r>
      <w:r>
        <w:rPr>
          <w:rFonts w:hint="eastAsia" w:ascii="宋体" w:hAnsi="宋体" w:cs="Arial"/>
          <w:kern w:val="0"/>
          <w:sz w:val="22"/>
        </w:rPr>
        <w:t>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w:t>
      </w:r>
      <w:r>
        <w:rPr>
          <w:rFonts w:hint="eastAsia" w:ascii="宋体" w:hAnsi="宋体" w:cs="Arial"/>
          <w:kern w:val="0"/>
          <w:sz w:val="22"/>
        </w:rPr>
        <w:t>前投递至杭州萧山国际机场翔越路综合服务楼园区招标中心，逾期无效。</w:t>
      </w:r>
    </w:p>
    <w:p>
      <w:pPr>
        <w:widowControl/>
        <w:adjustRightInd w:val="0"/>
        <w:snapToGrid w:val="0"/>
        <w:spacing w:line="340" w:lineRule="exact"/>
        <w:ind w:firstLine="440" w:firstLineChars="200"/>
        <w:rPr>
          <w:rFonts w:ascii="宋体" w:hAnsi="宋体"/>
          <w:sz w:val="22"/>
        </w:rPr>
      </w:pPr>
      <w:r>
        <w:rPr>
          <w:rFonts w:hint="eastAsia" w:ascii="宋体" w:hAnsi="宋体" w:cs="Arial"/>
          <w:kern w:val="0"/>
          <w:sz w:val="22"/>
        </w:rPr>
        <w:t>（2）</w:t>
      </w:r>
      <w:r>
        <w:rPr>
          <w:rFonts w:hint="eastAsia" w:ascii="宋体" w:hAnsi="宋体"/>
          <w:sz w:val="22"/>
        </w:rPr>
        <w:t>逾期送达或者未送达指定地点的投标文件，招标人有权不予受理。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 xml:space="preserve">六、联系方式 </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投标联系人：朱少华       联系电话：</w:t>
      </w:r>
      <w:r>
        <w:rPr>
          <w:rFonts w:hint="eastAsia" w:ascii="宋体" w:hAnsi="宋体"/>
        </w:rPr>
        <w:t>0571-</w:t>
      </w:r>
      <w:r>
        <w:rPr>
          <w:rFonts w:ascii="宋体" w:hAnsi="宋体"/>
        </w:rPr>
        <w:t>8383</w:t>
      </w:r>
      <w:r>
        <w:rPr>
          <w:rFonts w:hint="eastAsia" w:ascii="宋体" w:hAnsi="宋体"/>
        </w:rPr>
        <w:t>700</w:t>
      </w:r>
      <w:r>
        <w:rPr>
          <w:rFonts w:ascii="宋体" w:hAnsi="宋体"/>
        </w:rPr>
        <w:t>2</w:t>
      </w:r>
    </w:p>
    <w:p>
      <w:pPr>
        <w:widowControl/>
        <w:adjustRightInd w:val="0"/>
        <w:snapToGrid w:val="0"/>
        <w:spacing w:line="340" w:lineRule="exact"/>
        <w:ind w:firstLine="440" w:firstLineChars="200"/>
        <w:rPr>
          <w:rFonts w:ascii="宋体" w:hAnsi="宋体"/>
        </w:rPr>
      </w:pPr>
      <w:r>
        <w:rPr>
          <w:rFonts w:hint="eastAsia" w:ascii="宋体" w:hAnsi="宋体"/>
          <w:bCs/>
          <w:sz w:val="22"/>
        </w:rPr>
        <w:t>招标监督人：朱  伟       联系电话：</w:t>
      </w:r>
      <w:r>
        <w:rPr>
          <w:rFonts w:hint="eastAsia" w:ascii="宋体" w:hAnsi="宋体"/>
        </w:rPr>
        <w:t>0571-83837713</w:t>
      </w:r>
    </w:p>
    <w:p>
      <w:pPr>
        <w:widowControl/>
        <w:adjustRightInd w:val="0"/>
        <w:snapToGrid w:val="0"/>
        <w:spacing w:line="340" w:lineRule="exact"/>
        <w:ind w:firstLine="420" w:firstLineChars="200"/>
        <w:rPr>
          <w:rFonts w:ascii="宋体" w:hAnsi="宋体"/>
        </w:rPr>
      </w:pPr>
    </w:p>
    <w:p>
      <w:pPr>
        <w:widowControl/>
        <w:adjustRightInd w:val="0"/>
        <w:snapToGrid w:val="0"/>
        <w:spacing w:line="340" w:lineRule="exact"/>
        <w:ind w:firstLine="420" w:firstLineChars="200"/>
        <w:rPr>
          <w:rFonts w:ascii="宋体" w:hAnsi="宋体"/>
        </w:rPr>
      </w:pPr>
    </w:p>
    <w:p>
      <w:pPr>
        <w:widowControl/>
        <w:adjustRightInd w:val="0"/>
        <w:snapToGrid w:val="0"/>
        <w:spacing w:line="340" w:lineRule="exact"/>
        <w:ind w:firstLine="420" w:firstLineChars="200"/>
        <w:rPr>
          <w:rFonts w:ascii="宋体" w:hAnsi="宋体"/>
        </w:rPr>
      </w:pPr>
    </w:p>
    <w:p>
      <w:pPr>
        <w:widowControl/>
        <w:adjustRightInd w:val="0"/>
        <w:snapToGrid w:val="0"/>
        <w:spacing w:line="340" w:lineRule="exact"/>
        <w:ind w:firstLine="440" w:firstLineChars="200"/>
        <w:rPr>
          <w:rFonts w:ascii="宋体" w:hAnsi="宋体"/>
          <w:bCs/>
          <w:sz w:val="22"/>
        </w:rPr>
      </w:pPr>
    </w:p>
    <w:p>
      <w:pPr>
        <w:pStyle w:val="39"/>
      </w:pPr>
      <w:r>
        <w:rPr>
          <w:rFonts w:hint="eastAsia" w:ascii="宋体" w:hAnsi="宋体"/>
          <w:bCs w:val="0"/>
          <w:sz w:val="22"/>
          <w:szCs w:val="22"/>
        </w:rPr>
        <w:t xml:space="preserve"> </w:t>
      </w:r>
      <w:bookmarkStart w:id="1" w:name="_Toc321925452"/>
      <w:r>
        <w:t>第</w:t>
      </w:r>
      <w:r>
        <w:rPr>
          <w:rFonts w:hint="eastAsia"/>
        </w:rPr>
        <w:t>二</w:t>
      </w:r>
      <w:r>
        <w:t>章  投标</w:t>
      </w:r>
      <w:r>
        <w:rPr>
          <w:rFonts w:hint="eastAsia"/>
        </w:rPr>
        <w:t>人须知</w:t>
      </w:r>
      <w:bookmarkEnd w:id="1"/>
    </w:p>
    <w:p>
      <w:pPr>
        <w:pStyle w:val="28"/>
        <w:spacing w:line="240" w:lineRule="auto"/>
        <w:jc w:val="center"/>
        <w:rPr>
          <w:b/>
          <w:sz w:val="28"/>
          <w:szCs w:val="28"/>
        </w:rPr>
      </w:pPr>
      <w:r>
        <w:rPr>
          <w:rFonts w:hint="eastAsia"/>
          <w:b/>
          <w:sz w:val="28"/>
          <w:szCs w:val="28"/>
        </w:rPr>
        <w:t>投标人须知前附表</w:t>
      </w:r>
    </w:p>
    <w:tbl>
      <w:tblPr>
        <w:tblStyle w:val="4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rPr>
            </w:pPr>
            <w:r>
              <w:rPr>
                <w:rFonts w:ascii="宋体" w:hAnsi="宋体" w:cs="Arial"/>
                <w:kern w:val="0"/>
                <w:sz w:val="22"/>
              </w:rPr>
              <w:t>杭州萧山国际机场</w:t>
            </w:r>
            <w:r>
              <w:rPr>
                <w:rFonts w:hint="eastAsia" w:ascii="宋体" w:hAnsi="宋体"/>
                <w:color w:val="000000"/>
                <w:szCs w:val="18"/>
              </w:rPr>
              <w:t>软隔离设施</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杭州萧山国际机场</w:t>
            </w:r>
            <w:r>
              <w:rPr>
                <w:rFonts w:hint="eastAsia" w:ascii="宋体" w:hAnsi="宋体" w:cs="Calibri"/>
                <w:kern w:val="0"/>
                <w:sz w:val="22"/>
              </w:rPr>
              <w:t>航站楼</w:t>
            </w:r>
            <w:r>
              <w:rPr>
                <w:rFonts w:ascii="宋体" w:hAnsi="宋体" w:cs="Calibri"/>
                <w:sz w:val="22"/>
              </w:rPr>
              <w:t>内</w:t>
            </w:r>
            <w:r>
              <w:rPr>
                <w:rFonts w:hint="eastAsia" w:ascii="宋体" w:hAnsi="宋体" w:cs="Calibri"/>
                <w:sz w:val="22"/>
              </w:rPr>
              <w:t>指定仓库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rPr>
            </w:pPr>
            <w:r>
              <w:rPr>
                <w:rStyle w:val="8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rPr>
            </w:pPr>
            <w:r>
              <w:rPr>
                <w:rFonts w:ascii="宋体" w:hAnsi="宋体" w:cs="Calibri"/>
                <w:kern w:val="0"/>
                <w:sz w:val="22"/>
              </w:rPr>
              <w:t>□组织，踏勘时间：</w:t>
            </w:r>
          </w:p>
          <w:p>
            <w:pPr>
              <w:autoSpaceDE w:val="0"/>
              <w:autoSpaceDN w:val="0"/>
              <w:adjustRightInd w:val="0"/>
              <w:snapToGrid w:val="0"/>
              <w:rPr>
                <w:rFonts w:ascii="宋体" w:hAnsi="宋体" w:cs="Calibri"/>
                <w:kern w:val="0"/>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rPr>
            </w:pPr>
            <w:r>
              <w:rPr>
                <w:rFonts w:ascii="宋体" w:hAnsi="宋体" w:cs="Calibri"/>
                <w:kern w:val="0"/>
                <w:sz w:val="22"/>
              </w:rPr>
              <w:t>□召开，召开时间：</w:t>
            </w:r>
          </w:p>
          <w:p>
            <w:pPr>
              <w:autoSpaceDE w:val="0"/>
              <w:autoSpaceDN w:val="0"/>
              <w:adjustRightInd w:val="0"/>
              <w:snapToGrid w:val="0"/>
              <w:rPr>
                <w:rFonts w:ascii="宋体" w:hAnsi="宋体" w:cs="Calibri"/>
                <w:kern w:val="0"/>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201</w:t>
            </w:r>
            <w:r>
              <w:rPr>
                <w:rFonts w:hint="eastAsia" w:ascii="宋体" w:hAnsi="宋体" w:cs="Calibri"/>
                <w:kern w:val="0"/>
                <w:sz w:val="22"/>
              </w:rPr>
              <w:t>9</w:t>
            </w:r>
            <w:r>
              <w:rPr>
                <w:rFonts w:ascii="宋体" w:hAnsi="宋体" w:cs="Calibri"/>
                <w:kern w:val="0"/>
                <w:sz w:val="22"/>
              </w:rPr>
              <w:t>年</w:t>
            </w:r>
            <w:r>
              <w:rPr>
                <w:rFonts w:hint="eastAsia" w:ascii="宋体" w:hAnsi="宋体" w:cs="Calibri"/>
                <w:kern w:val="0"/>
                <w:sz w:val="22"/>
                <w:lang w:val="en-US" w:eastAsia="zh-CN"/>
              </w:rPr>
              <w:t>10</w:t>
            </w:r>
            <w:r>
              <w:rPr>
                <w:rFonts w:ascii="宋体" w:hAnsi="宋体" w:cs="Calibri"/>
                <w:kern w:val="0"/>
                <w:sz w:val="22"/>
              </w:rPr>
              <w:t>月</w:t>
            </w:r>
            <w:r>
              <w:rPr>
                <w:rFonts w:hint="eastAsia" w:ascii="宋体" w:hAnsi="宋体" w:cs="Calibri"/>
                <w:kern w:val="0"/>
                <w:sz w:val="22"/>
                <w:lang w:val="en-US" w:eastAsia="zh-CN"/>
              </w:rPr>
              <w:t>12</w:t>
            </w:r>
            <w:r>
              <w:rPr>
                <w:rFonts w:ascii="宋体" w:hAnsi="宋体" w:cs="Calibri"/>
                <w:kern w:val="0"/>
                <w:sz w:val="22"/>
              </w:rPr>
              <w:t>日</w:t>
            </w:r>
            <w:r>
              <w:rPr>
                <w:rFonts w:hint="eastAsia" w:ascii="宋体" w:hAnsi="宋体" w:cs="Calibri"/>
                <w:kern w:val="0"/>
                <w:sz w:val="22"/>
                <w:lang w:val="en-US" w:eastAsia="zh-CN"/>
              </w:rPr>
              <w:t>11:30</w:t>
            </w:r>
            <w:r>
              <w:rPr>
                <w:rFonts w:ascii="宋体" w:hAnsi="宋体" w:cs="Calibri"/>
                <w:kern w:val="0"/>
                <w:sz w:val="22"/>
              </w:rPr>
              <w:t>前，</w:t>
            </w:r>
            <w:r>
              <w:rPr>
                <w:rFonts w:hint="eastAsia" w:ascii="宋体" w:hAnsi="宋体" w:cs="Calibri"/>
                <w:kern w:val="0"/>
                <w:sz w:val="22"/>
              </w:rPr>
              <w:t>以书面加盖公章的形式通过</w:t>
            </w:r>
            <w:r>
              <w:rPr>
                <w:rFonts w:ascii="宋体" w:hAnsi="宋体" w:cs="Calibri"/>
                <w:kern w:val="0"/>
                <w:sz w:val="22"/>
              </w:rPr>
              <w:t>E-mail或传真提交给招标人（投标联系人:</w:t>
            </w:r>
            <w:r>
              <w:rPr>
                <w:rFonts w:hint="eastAsia" w:ascii="宋体" w:hAnsi="宋体" w:cs="Calibri"/>
                <w:kern w:val="0"/>
                <w:sz w:val="22"/>
              </w:rPr>
              <w:t>贾思勰</w:t>
            </w:r>
            <w:r>
              <w:rPr>
                <w:rFonts w:ascii="宋体" w:hAnsi="宋体" w:cs="Calibri"/>
                <w:kern w:val="0"/>
                <w:sz w:val="22"/>
              </w:rPr>
              <w:t>，电话0571-83837612；传真：0571-83837612；电子邮箱：zbzx@hzairport.com）投标人必须在规定时间前提出对招标文件的疑问，否则招标人有权拒绝接收和拒绝回答未在截止时间前提出的疑问。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rPr>
            </w:pPr>
            <w:r>
              <w:rPr>
                <w:rFonts w:hint="eastAsia" w:ascii="宋体" w:hAnsi="宋体" w:cs="Calibri"/>
                <w:b/>
                <w:kern w:val="0"/>
              </w:rPr>
              <w:t>2019年</w:t>
            </w:r>
            <w:r>
              <w:rPr>
                <w:rFonts w:hint="eastAsia" w:ascii="宋体" w:hAnsi="宋体" w:cs="Calibri"/>
                <w:b/>
                <w:kern w:val="0"/>
                <w:lang w:val="en-US" w:eastAsia="zh-CN"/>
              </w:rPr>
              <w:t>10</w:t>
            </w:r>
            <w:r>
              <w:rPr>
                <w:rFonts w:hint="eastAsia" w:ascii="宋体" w:hAnsi="宋体" w:cs="Calibri"/>
                <w:b/>
                <w:kern w:val="0"/>
              </w:rPr>
              <w:t>月</w:t>
            </w:r>
            <w:r>
              <w:rPr>
                <w:rFonts w:hint="eastAsia" w:ascii="宋体" w:hAnsi="宋体" w:cs="Calibri"/>
                <w:b/>
                <w:kern w:val="0"/>
                <w:lang w:val="en-US" w:eastAsia="zh-CN"/>
              </w:rPr>
              <w:t>15</w:t>
            </w:r>
            <w:r>
              <w:rPr>
                <w:rFonts w:hint="eastAsia" w:ascii="宋体" w:hAnsi="宋体" w:cs="Calibri"/>
                <w:b/>
                <w:kern w:val="0"/>
              </w:rPr>
              <w:t>日</w:t>
            </w:r>
            <w:r>
              <w:rPr>
                <w:rFonts w:hint="eastAsia" w:ascii="宋体" w:hAnsi="宋体" w:cs="Calibri"/>
                <w:b/>
                <w:kern w:val="0"/>
                <w:lang w:eastAsia="zh-CN"/>
              </w:rPr>
              <w:t>下午</w:t>
            </w:r>
            <w:r>
              <w:rPr>
                <w:rFonts w:hint="eastAsia" w:ascii="宋体" w:hAnsi="宋体" w:cs="Calibri"/>
                <w:b/>
                <w:kern w:val="0"/>
                <w:lang w:val="en-US" w:eastAsia="zh-CN"/>
              </w:rPr>
              <w:t>14</w:t>
            </w:r>
            <w:r>
              <w:rPr>
                <w:rFonts w:hint="eastAsia" w:ascii="宋体" w:hAnsi="宋体" w:cs="Calibri"/>
                <w:b/>
                <w:kern w:val="0"/>
              </w:rPr>
              <w:t>时</w:t>
            </w:r>
            <w:r>
              <w:rPr>
                <w:rFonts w:hint="eastAsia" w:ascii="宋体" w:hAnsi="宋体" w:cs="Calibri"/>
                <w:b/>
                <w:kern w:val="0"/>
                <w:lang w:val="en-US" w:eastAsia="zh-CN"/>
              </w:rPr>
              <w:t>00</w:t>
            </w:r>
            <w:r>
              <w:rPr>
                <w:rFonts w:hint="eastAsia" w:ascii="宋体" w:hAnsi="宋体" w:cs="Calibri"/>
                <w:b/>
                <w:kern w:val="0"/>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投标保证金</w:t>
            </w:r>
          </w:p>
        </w:tc>
        <w:tc>
          <w:tcPr>
            <w:tcW w:w="6487" w:type="dxa"/>
            <w:vAlign w:val="center"/>
          </w:tcPr>
          <w:p>
            <w:pPr>
              <w:snapToGrid w:val="0"/>
              <w:rPr>
                <w:rFonts w:ascii="宋体" w:hAnsi="宋体"/>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rPr>
            </w:pPr>
            <w:r>
              <w:rPr>
                <w:rFonts w:ascii="宋体" w:hAnsi="宋体" w:cs="Calibri"/>
                <w:kern w:val="0"/>
                <w:sz w:val="22"/>
              </w:rPr>
              <w:t>□分册装订</w:t>
            </w:r>
          </w:p>
          <w:p>
            <w:pPr>
              <w:autoSpaceDE w:val="0"/>
              <w:autoSpaceDN w:val="0"/>
              <w:adjustRightInd w:val="0"/>
              <w:snapToGrid w:val="0"/>
              <w:rPr>
                <w:rFonts w:ascii="宋体" w:hAnsi="宋体" w:cs="Calibri"/>
                <w:kern w:val="0"/>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olor w:val="000000"/>
                <w:szCs w:val="18"/>
                <w:u w:val="single"/>
              </w:rPr>
              <w:t>拼接式采购项目</w:t>
            </w:r>
            <w:r>
              <w:rPr>
                <w:rFonts w:hint="eastAsia" w:ascii="宋体" w:hAnsi="宋体" w:cs="宋体"/>
                <w:sz w:val="22"/>
                <w:u w:val="single"/>
              </w:rPr>
              <w:t>投标文件</w:t>
            </w:r>
          </w:p>
          <w:p>
            <w:pPr>
              <w:autoSpaceDE w:val="0"/>
              <w:autoSpaceDN w:val="0"/>
              <w:adjustRightInd w:val="0"/>
              <w:snapToGrid w:val="0"/>
              <w:rPr>
                <w:rFonts w:ascii="宋体" w:hAnsi="宋体" w:cs="Calibri"/>
                <w:kern w:val="0"/>
              </w:rPr>
            </w:pPr>
            <w:r>
              <w:rPr>
                <w:rFonts w:ascii="宋体" w:hAnsi="宋体" w:cs="Calibri"/>
                <w:kern w:val="0"/>
                <w:sz w:val="22"/>
              </w:rPr>
              <w:t>在</w:t>
            </w:r>
            <w:r>
              <w:rPr>
                <w:rFonts w:hint="eastAsia" w:ascii="宋体" w:hAnsi="宋体" w:cs="Calibri"/>
                <w:kern w:val="0"/>
                <w:sz w:val="22"/>
                <w:u w:val="single"/>
              </w:rPr>
              <w:t xml:space="preserve"> 2019年</w:t>
            </w:r>
            <w:r>
              <w:rPr>
                <w:rFonts w:hint="eastAsia" w:ascii="宋体" w:hAnsi="宋体" w:cs="Calibri"/>
                <w:kern w:val="0"/>
                <w:sz w:val="22"/>
                <w:u w:val="single"/>
                <w:lang w:val="en-US" w:eastAsia="zh-CN"/>
              </w:rPr>
              <w:t>10</w:t>
            </w:r>
            <w:r>
              <w:rPr>
                <w:rFonts w:hint="eastAsia" w:ascii="宋体" w:hAnsi="宋体" w:cs="Calibri"/>
                <w:kern w:val="0"/>
                <w:sz w:val="22"/>
                <w:u w:val="single"/>
              </w:rPr>
              <w:t>月</w:t>
            </w:r>
            <w:r>
              <w:rPr>
                <w:rFonts w:hint="eastAsia" w:ascii="宋体" w:hAnsi="宋体" w:cs="Calibri"/>
                <w:kern w:val="0"/>
                <w:sz w:val="22"/>
                <w:u w:val="single"/>
                <w:lang w:val="en-US" w:eastAsia="zh-CN"/>
              </w:rPr>
              <w:t>15</w:t>
            </w:r>
            <w:r>
              <w:rPr>
                <w:rFonts w:hint="eastAsia" w:ascii="宋体" w:hAnsi="宋体" w:cs="Calibri"/>
                <w:kern w:val="0"/>
                <w:sz w:val="22"/>
                <w:u w:val="single"/>
              </w:rPr>
              <w:t>日</w:t>
            </w:r>
            <w:r>
              <w:rPr>
                <w:rFonts w:hint="eastAsia" w:ascii="宋体" w:hAnsi="宋体" w:cs="Calibri"/>
                <w:kern w:val="0"/>
                <w:sz w:val="22"/>
                <w:u w:val="single"/>
                <w:lang w:eastAsia="zh-CN"/>
              </w:rPr>
              <w:t>下午</w:t>
            </w:r>
            <w:r>
              <w:rPr>
                <w:rFonts w:hint="eastAsia" w:ascii="宋体" w:hAnsi="宋体" w:cs="Calibri"/>
                <w:kern w:val="0"/>
                <w:sz w:val="22"/>
                <w:u w:val="single"/>
                <w:lang w:val="en-US" w:eastAsia="zh-CN"/>
              </w:rPr>
              <w:t>14</w:t>
            </w:r>
            <w:r>
              <w:rPr>
                <w:rFonts w:hint="eastAsia" w:ascii="宋体" w:hAnsi="宋体" w:cs="Calibri"/>
                <w:kern w:val="0"/>
                <w:sz w:val="22"/>
                <w:u w:val="single"/>
              </w:rPr>
              <w:t>时</w:t>
            </w:r>
            <w:r>
              <w:rPr>
                <w:rFonts w:hint="eastAsia" w:ascii="宋体" w:hAnsi="宋体" w:cs="Calibri"/>
                <w:kern w:val="0"/>
                <w:sz w:val="22"/>
                <w:u w:val="single"/>
                <w:lang w:val="en-US" w:eastAsia="zh-CN"/>
              </w:rPr>
              <w:t>00</w:t>
            </w:r>
            <w:r>
              <w:rPr>
                <w:rFonts w:hint="eastAsia" w:ascii="宋体" w:hAnsi="宋体" w:cs="Calibri"/>
                <w:kern w:val="0"/>
                <w:sz w:val="22"/>
                <w:u w:val="single"/>
              </w:rPr>
              <w:t>分</w:t>
            </w:r>
            <w:bookmarkStart w:id="86" w:name="_GoBack"/>
            <w:bookmarkEnd w:id="86"/>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rPr>
            </w:pPr>
            <w:r>
              <w:rPr>
                <w:rFonts w:hint="eastAsia" w:ascii="宋体" w:hAnsi="宋体"/>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□是</w:t>
            </w:r>
          </w:p>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3</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rPr>
            </w:pPr>
            <w:r>
              <w:rPr>
                <w:rFonts w:hint="eastAsia" w:ascii="宋体" w:hAnsi="宋体" w:cs="Calibri"/>
                <w:kern w:val="0"/>
                <w:sz w:val="22"/>
              </w:rPr>
              <w:t>10.2</w:t>
            </w:r>
          </w:p>
        </w:tc>
        <w:tc>
          <w:tcPr>
            <w:tcW w:w="2004" w:type="dxa"/>
            <w:shd w:val="clear" w:color="auto" w:fill="auto"/>
            <w:vAlign w:val="center"/>
          </w:tcPr>
          <w:p>
            <w:pPr>
              <w:pStyle w:val="38"/>
              <w:rPr>
                <w:rFonts w:ascii="宋体" w:hAnsi="宋体" w:cs="Calibri"/>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rPr>
            </w:pPr>
            <w:r>
              <w:rPr>
                <w:rFonts w:hint="eastAsia" w:ascii="宋体" w:hAnsi="宋体" w:cs="Calibri"/>
                <w:kern w:val="0"/>
                <w:sz w:val="22"/>
              </w:rPr>
              <w:t>10.3</w:t>
            </w:r>
          </w:p>
        </w:tc>
        <w:tc>
          <w:tcPr>
            <w:tcW w:w="2004" w:type="dxa"/>
            <w:shd w:val="clear" w:color="auto" w:fill="auto"/>
            <w:vAlign w:val="center"/>
          </w:tcPr>
          <w:p>
            <w:pPr>
              <w:pStyle w:val="38"/>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bookmarkEnd w:id="2"/>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43421657"/>
      <w:bookmarkStart w:id="14" w:name="_Toc15241"/>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Calibri"/>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ind w:firstLine="442" w:firstLineChars="200"/>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无</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11806"/>
      <w:bookmarkStart w:id="44" w:name="_Toc220123241"/>
      <w:bookmarkStart w:id="45"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7.4.3 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7.4.4 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20123242"/>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986"/>
      <w:bookmarkStart w:id="53" w:name="_Toc220123244"/>
      <w:bookmarkStart w:id="54" w:name="_Toc219809804"/>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5509"/>
      <w:bookmarkStart w:id="57" w:name="_Toc220123245"/>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10820"/>
      <w:bookmarkStart w:id="60" w:name="_Toc220123246"/>
      <w:bookmarkStart w:id="61" w:name="_Toc21980980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10756"/>
      <w:bookmarkStart w:id="63" w:name="_Toc220123247"/>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12792"/>
      <w:bookmarkStart w:id="66" w:name="_Toc220123248"/>
      <w:bookmarkStart w:id="67" w:name="_Toc21980980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2012324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39"/>
      </w:pPr>
      <w:r>
        <w:rPr>
          <w:sz w:val="24"/>
        </w:rPr>
        <w:br w:type="page"/>
      </w:r>
      <w:bookmarkStart w:id="72" w:name="_Toc321925453"/>
      <w:r>
        <w:t>第</w:t>
      </w:r>
      <w:r>
        <w:rPr>
          <w:rFonts w:hint="eastAsia"/>
        </w:rPr>
        <w:t>三</w:t>
      </w:r>
      <w:r>
        <w:t>章  货物需求一览表及技术规格</w:t>
      </w:r>
      <w:bookmarkEnd w:id="72"/>
    </w:p>
    <w:p>
      <w:pPr>
        <w:widowControl/>
        <w:jc w:val="left"/>
        <w:rPr>
          <w:rFonts w:ascii="宋体" w:hAnsi="宋体"/>
          <w:b/>
          <w:sz w:val="22"/>
        </w:rPr>
      </w:pPr>
      <w:r>
        <w:rPr>
          <w:rFonts w:hint="eastAsia" w:ascii="宋体" w:hAnsi="宋体"/>
          <w:b/>
          <w:sz w:val="22"/>
        </w:rPr>
        <w:t>一、招标内容</w:t>
      </w:r>
    </w:p>
    <w:p>
      <w:pPr>
        <w:widowControl/>
        <w:jc w:val="left"/>
        <w:rPr>
          <w:rFonts w:ascii="宋体" w:hAnsi="宋体"/>
          <w:b/>
          <w:sz w:val="22"/>
        </w:rPr>
      </w:pPr>
      <w:r>
        <w:rPr>
          <w:rFonts w:hint="eastAsia" w:ascii="宋体" w:hAnsi="宋体"/>
          <w:sz w:val="22"/>
        </w:rPr>
        <w:t>软隔离设施</w:t>
      </w:r>
    </w:p>
    <w:p>
      <w:pPr>
        <w:widowControl/>
        <w:jc w:val="left"/>
        <w:rPr>
          <w:rFonts w:ascii="宋体" w:hAnsi="宋体"/>
          <w:b/>
          <w:sz w:val="22"/>
        </w:rPr>
      </w:pPr>
      <w:r>
        <w:rPr>
          <w:rFonts w:hint="eastAsia" w:ascii="宋体" w:hAnsi="宋体"/>
          <w:b/>
          <w:sz w:val="22"/>
        </w:rPr>
        <w:t>二</w:t>
      </w:r>
      <w:r>
        <w:rPr>
          <w:rFonts w:ascii="宋体" w:hAnsi="宋体"/>
          <w:b/>
          <w:sz w:val="22"/>
        </w:rPr>
        <w:t>、货物需求一览表</w:t>
      </w:r>
    </w:p>
    <w:tbl>
      <w:tblPr>
        <w:tblStyle w:val="43"/>
        <w:tblW w:w="92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1409"/>
        <w:gridCol w:w="2118"/>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1" w:type="dxa"/>
            <w:vAlign w:val="center"/>
          </w:tcPr>
          <w:p>
            <w:pPr>
              <w:widowControl/>
              <w:jc w:val="left"/>
              <w:rPr>
                <w:rFonts w:ascii="宋体" w:hAnsi="宋体"/>
              </w:rPr>
            </w:pPr>
            <w:r>
              <w:rPr>
                <w:rFonts w:hint="eastAsia" w:ascii="宋体" w:hAnsi="宋体"/>
                <w:sz w:val="22"/>
              </w:rPr>
              <w:t>货物名称</w:t>
            </w:r>
          </w:p>
        </w:tc>
        <w:tc>
          <w:tcPr>
            <w:tcW w:w="1409" w:type="dxa"/>
            <w:vAlign w:val="center"/>
          </w:tcPr>
          <w:p>
            <w:pPr>
              <w:widowControl/>
              <w:jc w:val="left"/>
              <w:rPr>
                <w:rFonts w:ascii="宋体" w:hAnsi="宋体"/>
              </w:rPr>
            </w:pPr>
            <w:r>
              <w:rPr>
                <w:rFonts w:hint="eastAsia" w:ascii="宋体" w:hAnsi="宋体"/>
                <w:sz w:val="22"/>
              </w:rPr>
              <w:t>数量</w:t>
            </w:r>
          </w:p>
        </w:tc>
        <w:tc>
          <w:tcPr>
            <w:tcW w:w="2118" w:type="dxa"/>
            <w:vAlign w:val="center"/>
          </w:tcPr>
          <w:p>
            <w:pPr>
              <w:widowControl/>
              <w:jc w:val="left"/>
              <w:rPr>
                <w:rFonts w:ascii="宋体" w:hAnsi="宋体"/>
              </w:rPr>
            </w:pPr>
            <w:r>
              <w:rPr>
                <w:rFonts w:hint="eastAsia" w:ascii="宋体" w:hAnsi="宋体"/>
                <w:sz w:val="22"/>
              </w:rPr>
              <w:t>交货日期</w:t>
            </w:r>
          </w:p>
        </w:tc>
        <w:tc>
          <w:tcPr>
            <w:tcW w:w="2151" w:type="dxa"/>
            <w:vAlign w:val="center"/>
          </w:tcPr>
          <w:p>
            <w:pPr>
              <w:widowControl/>
              <w:jc w:val="left"/>
              <w:rPr>
                <w:rFonts w:ascii="宋体" w:hAnsi="宋体"/>
              </w:rPr>
            </w:pPr>
            <w:r>
              <w:rPr>
                <w:rFonts w:ascii="宋体" w:hAnsi="宋体"/>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1" w:type="dxa"/>
            <w:vAlign w:val="center"/>
          </w:tcPr>
          <w:p>
            <w:pPr>
              <w:widowControl/>
              <w:jc w:val="left"/>
              <w:rPr>
                <w:rFonts w:ascii="宋体" w:hAnsi="宋体"/>
              </w:rPr>
            </w:pPr>
            <w:r>
              <w:rPr>
                <w:rFonts w:hint="eastAsia" w:ascii="宋体" w:hAnsi="宋体"/>
                <w:sz w:val="22"/>
              </w:rPr>
              <w:t>软隔离设施</w:t>
            </w:r>
          </w:p>
        </w:tc>
        <w:tc>
          <w:tcPr>
            <w:tcW w:w="1409" w:type="dxa"/>
            <w:vAlign w:val="center"/>
          </w:tcPr>
          <w:p>
            <w:pPr>
              <w:widowControl/>
              <w:jc w:val="left"/>
              <w:rPr>
                <w:rFonts w:ascii="宋体" w:hAnsi="宋体"/>
              </w:rPr>
            </w:pPr>
            <w:r>
              <w:rPr>
                <w:rFonts w:hint="eastAsia" w:ascii="宋体" w:hAnsi="宋体"/>
                <w:sz w:val="22"/>
              </w:rPr>
              <w:t>500套</w:t>
            </w:r>
          </w:p>
        </w:tc>
        <w:tc>
          <w:tcPr>
            <w:tcW w:w="2118" w:type="dxa"/>
            <w:vAlign w:val="center"/>
          </w:tcPr>
          <w:p>
            <w:pPr>
              <w:widowControl/>
              <w:jc w:val="left"/>
              <w:rPr>
                <w:rFonts w:ascii="宋体" w:hAnsi="宋体"/>
              </w:rPr>
            </w:pPr>
            <w:r>
              <w:rPr>
                <w:rFonts w:hint="eastAsia" w:ascii="宋体" w:hAnsi="宋体"/>
                <w:sz w:val="22"/>
              </w:rPr>
              <w:t>签订合同后30个日历天内</w:t>
            </w:r>
          </w:p>
        </w:tc>
        <w:tc>
          <w:tcPr>
            <w:tcW w:w="2151" w:type="dxa"/>
            <w:vAlign w:val="center"/>
          </w:tcPr>
          <w:p>
            <w:pPr>
              <w:widowControl/>
              <w:jc w:val="left"/>
              <w:rPr>
                <w:rFonts w:ascii="宋体" w:hAnsi="宋体"/>
              </w:rPr>
            </w:pPr>
            <w:r>
              <w:rPr>
                <w:rFonts w:hint="eastAsia" w:ascii="宋体" w:hAnsi="宋体"/>
                <w:sz w:val="22"/>
              </w:rPr>
              <w:t>杭州萧山国际机场航站楼内指定仓库</w:t>
            </w:r>
          </w:p>
        </w:tc>
      </w:tr>
    </w:tbl>
    <w:p>
      <w:pPr>
        <w:spacing w:line="560" w:lineRule="exact"/>
        <w:rPr>
          <w:rFonts w:ascii="宋体" w:hAnsi="宋体"/>
          <w:b/>
          <w:sz w:val="22"/>
        </w:rPr>
      </w:pPr>
      <w:r>
        <w:rPr>
          <w:rFonts w:hint="eastAsia" w:ascii="宋体" w:hAnsi="宋体"/>
          <w:sz w:val="22"/>
        </w:rPr>
        <w:t>备注：投标人报价为杭州萧山国际机场内交货价，包含但不限于产品价格、运输费、包装费、安装费保险费、税费等所有费用。甲方不再承担其他任何费用。</w:t>
      </w:r>
    </w:p>
    <w:p>
      <w:pPr>
        <w:widowControl/>
        <w:spacing w:line="560" w:lineRule="exact"/>
        <w:jc w:val="left"/>
        <w:rPr>
          <w:rFonts w:ascii="宋体" w:hAnsi="宋体"/>
          <w:sz w:val="22"/>
        </w:rPr>
      </w:pPr>
      <w:r>
        <w:rPr>
          <w:rFonts w:hint="eastAsia" w:ascii="宋体" w:hAnsi="宋体"/>
          <w:b/>
          <w:sz w:val="22"/>
        </w:rPr>
        <w:t>三、</w:t>
      </w:r>
      <w:r>
        <w:rPr>
          <w:rFonts w:ascii="宋体" w:hAnsi="宋体"/>
          <w:b/>
          <w:sz w:val="22"/>
        </w:rPr>
        <w:t>产品</w:t>
      </w:r>
      <w:r>
        <w:rPr>
          <w:rFonts w:hint="eastAsia" w:ascii="宋体" w:hAnsi="宋体"/>
          <w:b/>
          <w:sz w:val="22"/>
        </w:rPr>
        <w:t>需满足的</w:t>
      </w:r>
      <w:r>
        <w:rPr>
          <w:rFonts w:ascii="宋体" w:hAnsi="宋体"/>
          <w:b/>
          <w:sz w:val="22"/>
        </w:rPr>
        <w:t>标准和规范</w:t>
      </w:r>
    </w:p>
    <w:p>
      <w:pPr>
        <w:spacing w:line="560" w:lineRule="exact"/>
        <w:ind w:firstLine="440" w:firstLineChars="200"/>
        <w:rPr>
          <w:rFonts w:ascii="宋体" w:hAnsi="宋体" w:cs="Calibri"/>
          <w:kern w:val="0"/>
          <w:sz w:val="22"/>
        </w:rPr>
      </w:pPr>
      <w:r>
        <w:rPr>
          <w:rFonts w:hint="eastAsia" w:ascii="宋体" w:hAnsi="宋体" w:cs="Calibri"/>
          <w:kern w:val="0"/>
          <w:sz w:val="22"/>
        </w:rPr>
        <w:t>（1）立  柱：碳钢，表面喷漆颜色为黑色亚光。直径63毫米，厚度1.0毫米，总高1米（含底座）。</w:t>
      </w:r>
    </w:p>
    <w:p>
      <w:pPr>
        <w:spacing w:line="560" w:lineRule="exact"/>
        <w:ind w:firstLine="440" w:firstLineChars="200"/>
        <w:rPr>
          <w:rFonts w:ascii="宋体" w:hAnsi="宋体" w:cs="Calibri"/>
          <w:kern w:val="0"/>
          <w:sz w:val="22"/>
        </w:rPr>
      </w:pPr>
      <w:r>
        <w:rPr>
          <w:rFonts w:hint="eastAsia" w:ascii="宋体" w:hAnsi="宋体" w:cs="Calibri"/>
          <w:kern w:val="0"/>
          <w:sz w:val="22"/>
        </w:rPr>
        <w:t>（2）底  座：铸铁，直径348毫米，重量不少于8.5公斤。</w:t>
      </w:r>
    </w:p>
    <w:p>
      <w:pPr>
        <w:spacing w:line="560" w:lineRule="exact"/>
        <w:ind w:firstLine="440" w:firstLineChars="200"/>
        <w:rPr>
          <w:rFonts w:ascii="宋体" w:hAnsi="宋体" w:cs="Calibri"/>
          <w:kern w:val="0"/>
          <w:sz w:val="22"/>
        </w:rPr>
      </w:pPr>
      <w:r>
        <w:rPr>
          <w:rFonts w:hint="eastAsia" w:ascii="宋体" w:hAnsi="宋体" w:cs="Calibri"/>
          <w:kern w:val="0"/>
          <w:sz w:val="22"/>
        </w:rPr>
        <w:t>（3）底座盖：碳钢，表面喷漆颜色为黑色亚光。直径350毫米，厚度0.8毫米。</w:t>
      </w:r>
    </w:p>
    <w:p>
      <w:pPr>
        <w:spacing w:line="560" w:lineRule="exact"/>
        <w:ind w:firstLine="220" w:firstLineChars="100"/>
        <w:rPr>
          <w:rFonts w:ascii="宋体" w:hAnsi="宋体" w:cs="Calibri"/>
          <w:kern w:val="0"/>
          <w:sz w:val="22"/>
        </w:rPr>
      </w:pPr>
      <w:r>
        <w:rPr>
          <w:rFonts w:ascii="宋体" w:hAnsi="宋体" w:cs="Calibri"/>
          <w:kern w:val="0"/>
          <w:sz w:val="22"/>
        </w:rPr>
        <w:t>★</w:t>
      </w:r>
      <w:r>
        <w:rPr>
          <w:rFonts w:hint="eastAsia" w:ascii="宋体" w:hAnsi="宋体" w:cs="Calibri"/>
          <w:kern w:val="0"/>
          <w:sz w:val="22"/>
        </w:rPr>
        <w:t>（4）立柱、底座、底座盖款式需与现有款式保持一致。样图如下：</w:t>
      </w:r>
    </w:p>
    <w:p>
      <w:pPr>
        <w:spacing w:line="560" w:lineRule="exact"/>
        <w:ind w:firstLine="330" w:firstLineChars="150"/>
        <w:rPr>
          <w:rFonts w:ascii="宋体" w:hAnsi="宋体" w:cs="Calibri"/>
          <w:kern w:val="0"/>
          <w:sz w:val="22"/>
        </w:rPr>
      </w:pPr>
      <w:r>
        <w:rPr>
          <w:rFonts w:ascii="宋体" w:hAnsi="宋体" w:cs="Calibri"/>
          <w:kern w:val="0"/>
          <w:sz w:val="22"/>
        </w:rPr>
        <w:pict>
          <v:rect id="_x0000_s1029" o:spid="_x0000_s1029" o:spt="1" style="position:absolute;left:0pt;margin-left:161.15pt;margin-top:7.4pt;height:170.25pt;width:151.5pt;z-index:251663360;mso-width-relative:page;mso-height-relative:page;" filled="t" coordsize="21600,21600">
            <v:path/>
            <v:fill type="frame" on="t" o:title="微信图片_20181026152433" focussize="0,0" recolor="t" rotate="t" r:id="rId9"/>
            <v:stroke/>
            <v:imagedata o:title=""/>
            <o:lock v:ext="edit"/>
          </v:rect>
        </w:pict>
      </w:r>
    </w:p>
    <w:p>
      <w:pPr>
        <w:spacing w:line="560" w:lineRule="exact"/>
        <w:ind w:firstLine="330" w:firstLineChars="150"/>
        <w:rPr>
          <w:rFonts w:ascii="宋体" w:hAnsi="宋体" w:cs="Calibri"/>
          <w:kern w:val="0"/>
          <w:sz w:val="22"/>
        </w:rPr>
      </w:pPr>
    </w:p>
    <w:p>
      <w:pPr>
        <w:spacing w:line="560" w:lineRule="exact"/>
        <w:ind w:firstLine="330" w:firstLineChars="150"/>
        <w:rPr>
          <w:rFonts w:ascii="宋体" w:hAnsi="宋体" w:cs="Calibri"/>
          <w:kern w:val="0"/>
          <w:sz w:val="22"/>
        </w:rPr>
      </w:pPr>
    </w:p>
    <w:p>
      <w:pPr>
        <w:spacing w:line="560" w:lineRule="exact"/>
        <w:ind w:firstLine="330" w:firstLineChars="150"/>
        <w:rPr>
          <w:rFonts w:ascii="宋体" w:hAnsi="宋体" w:cs="Calibri"/>
          <w:kern w:val="0"/>
          <w:sz w:val="22"/>
        </w:rPr>
      </w:pPr>
    </w:p>
    <w:p>
      <w:pPr>
        <w:spacing w:line="560" w:lineRule="exact"/>
        <w:ind w:firstLine="330" w:firstLineChars="150"/>
        <w:rPr>
          <w:rFonts w:ascii="宋体" w:hAnsi="宋体" w:cs="Calibri"/>
          <w:kern w:val="0"/>
          <w:sz w:val="22"/>
        </w:rPr>
      </w:pPr>
    </w:p>
    <w:p>
      <w:pPr>
        <w:spacing w:line="560" w:lineRule="exact"/>
        <w:ind w:firstLine="330" w:firstLineChars="150"/>
        <w:rPr>
          <w:rFonts w:ascii="宋体" w:hAnsi="宋体" w:cs="Calibri"/>
          <w:kern w:val="0"/>
          <w:sz w:val="22"/>
        </w:rPr>
      </w:pPr>
    </w:p>
    <w:p>
      <w:pPr>
        <w:spacing w:line="560" w:lineRule="exact"/>
        <w:ind w:firstLine="330" w:firstLineChars="150"/>
        <w:rPr>
          <w:rFonts w:ascii="宋体" w:hAnsi="宋体" w:cs="Calibri"/>
          <w:kern w:val="0"/>
          <w:sz w:val="22"/>
        </w:rPr>
      </w:pPr>
    </w:p>
    <w:p>
      <w:pPr>
        <w:spacing w:line="560" w:lineRule="exact"/>
        <w:ind w:firstLine="330" w:firstLineChars="150"/>
        <w:rPr>
          <w:rFonts w:ascii="宋体" w:hAnsi="宋体" w:cs="Calibri"/>
          <w:kern w:val="0"/>
          <w:sz w:val="22"/>
        </w:rPr>
      </w:pPr>
    </w:p>
    <w:p>
      <w:pPr>
        <w:spacing w:line="560" w:lineRule="exact"/>
        <w:ind w:firstLine="330" w:firstLineChars="150"/>
        <w:rPr>
          <w:rFonts w:ascii="宋体" w:hAnsi="宋体" w:cs="Calibri"/>
          <w:kern w:val="0"/>
          <w:sz w:val="22"/>
        </w:rPr>
      </w:pPr>
    </w:p>
    <w:p>
      <w:pPr>
        <w:spacing w:line="560" w:lineRule="exact"/>
        <w:ind w:firstLine="330" w:firstLineChars="150"/>
        <w:rPr>
          <w:rFonts w:ascii="宋体" w:hAnsi="宋体" w:cs="Calibri"/>
          <w:kern w:val="0"/>
          <w:sz w:val="22"/>
        </w:rPr>
      </w:pPr>
    </w:p>
    <w:p>
      <w:pPr>
        <w:spacing w:line="560" w:lineRule="exact"/>
        <w:ind w:firstLine="330" w:firstLineChars="150"/>
        <w:rPr>
          <w:rFonts w:ascii="宋体" w:hAnsi="宋体" w:cs="Calibri"/>
          <w:kern w:val="0"/>
          <w:sz w:val="22"/>
        </w:rPr>
      </w:pPr>
    </w:p>
    <w:p>
      <w:pPr>
        <w:spacing w:line="560" w:lineRule="exact"/>
        <w:ind w:firstLine="440" w:firstLineChars="200"/>
        <w:rPr>
          <w:rFonts w:ascii="宋体" w:hAnsi="宋体" w:cs="Calibri"/>
          <w:kern w:val="0"/>
          <w:sz w:val="22"/>
        </w:rPr>
      </w:pPr>
    </w:p>
    <w:p>
      <w:pPr>
        <w:spacing w:line="560" w:lineRule="exact"/>
        <w:ind w:firstLine="440" w:firstLineChars="200"/>
        <w:rPr>
          <w:rFonts w:ascii="宋体" w:hAnsi="宋体" w:cs="Calibri"/>
          <w:kern w:val="0"/>
          <w:sz w:val="22"/>
        </w:rPr>
      </w:pPr>
    </w:p>
    <w:p>
      <w:pPr>
        <w:spacing w:line="560" w:lineRule="exact"/>
        <w:ind w:firstLine="440" w:firstLineChars="200"/>
        <w:rPr>
          <w:rFonts w:ascii="宋体" w:hAnsi="宋体" w:cs="Calibri"/>
          <w:kern w:val="0"/>
          <w:sz w:val="22"/>
        </w:rPr>
      </w:pPr>
      <w:r>
        <w:rPr>
          <w:rFonts w:hint="eastAsia" w:ascii="宋体" w:hAnsi="宋体" w:cs="Calibri"/>
          <w:kern w:val="0"/>
          <w:sz w:val="22"/>
        </w:rPr>
        <w:t>（5） 机  芯（卷带机构）：铝合金，卷簧疲劳阈值不少于2万次。</w:t>
      </w:r>
    </w:p>
    <w:p>
      <w:pPr>
        <w:widowControl/>
        <w:adjustRightInd w:val="0"/>
        <w:snapToGrid w:val="0"/>
        <w:spacing w:line="560" w:lineRule="exact"/>
        <w:ind w:firstLine="440" w:firstLineChars="200"/>
        <w:rPr>
          <w:rFonts w:ascii="宋体" w:hAnsi="宋体" w:cs="Calibri"/>
          <w:kern w:val="0"/>
          <w:sz w:val="22"/>
        </w:rPr>
      </w:pPr>
      <w:r>
        <w:rPr>
          <w:rFonts w:hint="eastAsia" w:ascii="宋体" w:hAnsi="宋体" w:cs="Calibri"/>
          <w:kern w:val="0"/>
          <w:sz w:val="22"/>
        </w:rPr>
        <w:t>（6） 档  带：高强涤纶，高温高压定型。厚度0.7毫米，宽度80毫米，长度不少于2000毫米。于档带上丝印杭州萧山国际机场LOGO，档带颜色以招标方所提供颜色为准。样图如下：</w:t>
      </w:r>
    </w:p>
    <w:p>
      <w:pPr>
        <w:widowControl/>
        <w:tabs>
          <w:tab w:val="left" w:pos="1185"/>
        </w:tabs>
        <w:adjustRightInd w:val="0"/>
        <w:snapToGrid w:val="0"/>
        <w:spacing w:line="560" w:lineRule="exact"/>
        <w:ind w:firstLine="440" w:firstLineChars="200"/>
        <w:rPr>
          <w:rFonts w:ascii="宋体" w:hAnsi="宋体" w:cs="Calibri"/>
          <w:kern w:val="0"/>
          <w:sz w:val="22"/>
        </w:rPr>
      </w:pPr>
      <w:r>
        <w:rPr>
          <w:rFonts w:ascii="宋体" w:hAnsi="宋体" w:cs="Calibri"/>
          <w:kern w:val="0"/>
          <w:sz w:val="22"/>
        </w:rPr>
        <w:tab/>
      </w:r>
    </w:p>
    <w:p>
      <w:pPr>
        <w:widowControl/>
        <w:tabs>
          <w:tab w:val="left" w:pos="1185"/>
        </w:tabs>
        <w:adjustRightInd w:val="0"/>
        <w:snapToGrid w:val="0"/>
        <w:spacing w:line="560" w:lineRule="exact"/>
        <w:ind w:firstLine="440" w:firstLineChars="200"/>
        <w:rPr>
          <w:rFonts w:ascii="宋体" w:hAnsi="宋体" w:cs="Calibri"/>
          <w:kern w:val="0"/>
          <w:sz w:val="22"/>
        </w:rPr>
      </w:pPr>
      <w:r>
        <w:rPr>
          <w:rFonts w:hint="eastAsia" w:ascii="宋体" w:hAnsi="宋体" w:cs="Calibri"/>
          <w:kern w:val="0"/>
          <w:sz w:val="22"/>
        </w:rPr>
        <w:drawing>
          <wp:anchor distT="0" distB="0" distL="114300" distR="114300" simplePos="0" relativeHeight="251662336" behindDoc="1" locked="0" layoutInCell="1" allowOverlap="1">
            <wp:simplePos x="0" y="0"/>
            <wp:positionH relativeFrom="column">
              <wp:posOffset>274955</wp:posOffset>
            </wp:positionH>
            <wp:positionV relativeFrom="paragraph">
              <wp:posOffset>119380</wp:posOffset>
            </wp:positionV>
            <wp:extent cx="5286375" cy="1781175"/>
            <wp:effectExtent l="19050" t="0" r="9525" b="0"/>
            <wp:wrapTight wrapText="bothSides">
              <wp:wrapPolygon>
                <wp:start x="-78" y="0"/>
                <wp:lineTo x="-78" y="21484"/>
                <wp:lineTo x="21639" y="21484"/>
                <wp:lineTo x="21639" y="0"/>
                <wp:lineTo x="-78" y="0"/>
              </wp:wrapPolygon>
            </wp:wrapTight>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noChangeArrowheads="1"/>
                    </pic:cNvPicPr>
                  </pic:nvPicPr>
                  <pic:blipFill>
                    <a:blip r:embed="rId10" cstate="print"/>
                    <a:srcRect/>
                    <a:stretch>
                      <a:fillRect/>
                    </a:stretch>
                  </pic:blipFill>
                  <pic:spPr>
                    <a:xfrm>
                      <a:off x="0" y="0"/>
                      <a:ext cx="5286375" cy="1781175"/>
                    </a:xfrm>
                    <a:prstGeom prst="rect">
                      <a:avLst/>
                    </a:prstGeom>
                    <a:noFill/>
                    <a:ln w="9525">
                      <a:noFill/>
                      <a:miter lim="800000"/>
                      <a:headEnd/>
                      <a:tailEnd/>
                    </a:ln>
                  </pic:spPr>
                </pic:pic>
              </a:graphicData>
            </a:graphic>
          </wp:anchor>
        </w:drawing>
      </w:r>
    </w:p>
    <w:p>
      <w:pPr>
        <w:widowControl/>
        <w:tabs>
          <w:tab w:val="left" w:pos="1185"/>
        </w:tabs>
        <w:adjustRightInd w:val="0"/>
        <w:snapToGrid w:val="0"/>
        <w:spacing w:line="560" w:lineRule="exact"/>
        <w:ind w:firstLine="440" w:firstLineChars="200"/>
        <w:rPr>
          <w:rFonts w:ascii="宋体" w:hAnsi="宋体" w:cs="Calibri"/>
          <w:kern w:val="0"/>
          <w:sz w:val="22"/>
        </w:rPr>
      </w:pPr>
    </w:p>
    <w:p>
      <w:pPr>
        <w:widowControl/>
        <w:tabs>
          <w:tab w:val="left" w:pos="1185"/>
        </w:tabs>
        <w:adjustRightInd w:val="0"/>
        <w:snapToGrid w:val="0"/>
        <w:spacing w:line="560" w:lineRule="exact"/>
        <w:rPr>
          <w:rFonts w:ascii="宋体" w:hAnsi="宋体" w:cs="Calibri"/>
          <w:kern w:val="0"/>
          <w:sz w:val="22"/>
        </w:rPr>
      </w:pPr>
    </w:p>
    <w:p>
      <w:pPr>
        <w:widowControl/>
        <w:tabs>
          <w:tab w:val="left" w:pos="1185"/>
        </w:tabs>
        <w:adjustRightInd w:val="0"/>
        <w:snapToGrid w:val="0"/>
        <w:spacing w:line="560" w:lineRule="exact"/>
        <w:ind w:firstLine="440" w:firstLineChars="200"/>
        <w:rPr>
          <w:rFonts w:ascii="宋体" w:hAnsi="宋体" w:cs="Calibri"/>
          <w:kern w:val="0"/>
          <w:sz w:val="22"/>
        </w:rPr>
      </w:pPr>
    </w:p>
    <w:p>
      <w:pPr>
        <w:widowControl/>
        <w:adjustRightInd w:val="0"/>
        <w:snapToGrid w:val="0"/>
        <w:spacing w:line="560" w:lineRule="exact"/>
        <w:ind w:firstLine="330" w:firstLineChars="150"/>
        <w:rPr>
          <w:rFonts w:ascii="宋体" w:hAnsi="宋体" w:cs="Calibri"/>
          <w:kern w:val="0"/>
          <w:sz w:val="22"/>
        </w:rPr>
      </w:pPr>
    </w:p>
    <w:p>
      <w:pPr>
        <w:widowControl/>
        <w:adjustRightInd w:val="0"/>
        <w:snapToGrid w:val="0"/>
        <w:spacing w:line="560" w:lineRule="exact"/>
        <w:rPr>
          <w:rFonts w:ascii="宋体" w:hAnsi="宋体" w:cs="Calibri"/>
          <w:kern w:val="0"/>
          <w:sz w:val="22"/>
        </w:rPr>
      </w:pPr>
    </w:p>
    <w:p>
      <w:pPr>
        <w:widowControl/>
        <w:adjustRightInd w:val="0"/>
        <w:snapToGrid w:val="0"/>
        <w:spacing w:line="560" w:lineRule="exact"/>
        <w:ind w:firstLine="330" w:firstLineChars="150"/>
        <w:rPr>
          <w:rFonts w:ascii="宋体" w:hAnsi="宋体" w:cs="Calibri"/>
          <w:kern w:val="0"/>
          <w:sz w:val="22"/>
        </w:rPr>
      </w:pPr>
      <w:r>
        <w:rPr>
          <w:rFonts w:ascii="宋体" w:hAnsi="宋体" w:cs="Calibri"/>
          <w:kern w:val="0"/>
          <w:sz w:val="22"/>
        </w:rPr>
        <w:t>★</w:t>
      </w:r>
      <w:r>
        <w:rPr>
          <w:rFonts w:hint="eastAsia" w:ascii="宋体" w:hAnsi="宋体" w:cs="Calibri"/>
          <w:kern w:val="0"/>
          <w:sz w:val="22"/>
        </w:rPr>
        <w:t>（7）需与航站楼原有软隔离及拉带伸缩器等配件可搭配使用。</w:t>
      </w:r>
    </w:p>
    <w:p>
      <w:pPr>
        <w:widowControl/>
        <w:spacing w:line="560" w:lineRule="exact"/>
        <w:jc w:val="left"/>
        <w:rPr>
          <w:rFonts w:ascii="宋体" w:hAnsi="宋体"/>
          <w:b/>
          <w:sz w:val="22"/>
        </w:rPr>
      </w:pPr>
      <w:r>
        <w:rPr>
          <w:rFonts w:hint="eastAsia" w:ascii="宋体" w:hAnsi="宋体"/>
          <w:b/>
          <w:sz w:val="22"/>
        </w:rPr>
        <w:t>四、 资料要求</w:t>
      </w:r>
    </w:p>
    <w:p>
      <w:pPr>
        <w:widowControl/>
        <w:spacing w:line="560" w:lineRule="exact"/>
        <w:jc w:val="left"/>
        <w:rPr>
          <w:rFonts w:ascii="宋体" w:hAnsi="宋体"/>
          <w:sz w:val="22"/>
        </w:rPr>
      </w:pPr>
      <w:r>
        <w:rPr>
          <w:rFonts w:hint="eastAsia" w:ascii="宋体" w:hAnsi="宋体"/>
          <w:sz w:val="22"/>
        </w:rPr>
        <w:t>1、产品说明书、质量检验证明书、随配附件一并附于货物内</w:t>
      </w:r>
    </w:p>
    <w:p>
      <w:pPr>
        <w:widowControl/>
        <w:spacing w:line="560" w:lineRule="exact"/>
        <w:jc w:val="left"/>
        <w:rPr>
          <w:rFonts w:ascii="宋体" w:hAnsi="宋体"/>
          <w:sz w:val="22"/>
        </w:rPr>
      </w:pPr>
      <w:r>
        <w:rPr>
          <w:rFonts w:hint="eastAsia" w:ascii="宋体" w:hAnsi="宋体"/>
          <w:sz w:val="22"/>
        </w:rPr>
        <w:t>2、参与投标产品的外形图片或外形技术图纸。</w:t>
      </w:r>
    </w:p>
    <w:p>
      <w:pPr>
        <w:widowControl/>
        <w:spacing w:line="560" w:lineRule="exact"/>
        <w:jc w:val="left"/>
        <w:rPr>
          <w:rFonts w:ascii="宋体" w:hAnsi="宋体"/>
          <w:b/>
          <w:sz w:val="22"/>
        </w:rPr>
      </w:pPr>
      <w:r>
        <w:rPr>
          <w:rFonts w:hint="eastAsia" w:ascii="宋体" w:hAnsi="宋体"/>
          <w:b/>
          <w:sz w:val="22"/>
        </w:rPr>
        <w:t>五、运输和包装要求</w:t>
      </w:r>
    </w:p>
    <w:p>
      <w:pPr>
        <w:widowControl/>
        <w:spacing w:line="560" w:lineRule="exact"/>
        <w:jc w:val="left"/>
        <w:rPr>
          <w:rFonts w:ascii="宋体" w:hAnsi="宋体"/>
          <w:sz w:val="22"/>
        </w:rPr>
      </w:pPr>
      <w:r>
        <w:rPr>
          <w:rFonts w:hint="eastAsia" w:ascii="宋体" w:hAnsi="宋体"/>
          <w:sz w:val="22"/>
        </w:rPr>
        <w:t>1、中标人负责将全部货物运送到杭州萧山国际机场内指定地点，并承担一切费用及风险。</w:t>
      </w:r>
    </w:p>
    <w:p>
      <w:pPr>
        <w:widowControl/>
        <w:spacing w:line="560" w:lineRule="exact"/>
        <w:jc w:val="left"/>
        <w:rPr>
          <w:rFonts w:ascii="宋体" w:hAnsi="宋体"/>
          <w:sz w:val="22"/>
        </w:rPr>
      </w:pPr>
      <w:r>
        <w:rPr>
          <w:rFonts w:hint="eastAsia" w:ascii="宋体" w:hAnsi="宋体"/>
          <w:sz w:val="22"/>
        </w:rPr>
        <w:t>2、运输方式中标人自定，但必须确保运输方式适合货物特性及质量要求。</w:t>
      </w:r>
    </w:p>
    <w:p>
      <w:pPr>
        <w:widowControl/>
        <w:spacing w:line="560" w:lineRule="exact"/>
        <w:jc w:val="left"/>
        <w:rPr>
          <w:rFonts w:ascii="宋体" w:hAnsi="宋体"/>
          <w:sz w:val="22"/>
        </w:rPr>
      </w:pPr>
      <w:r>
        <w:rPr>
          <w:rFonts w:hint="eastAsia" w:ascii="宋体" w:hAnsi="宋体"/>
          <w:sz w:val="22"/>
        </w:rPr>
        <w:t>3、包装：符合产品性质及质量要求的原厂包装，完好无破损、无刮痕。</w:t>
      </w:r>
    </w:p>
    <w:p>
      <w:pPr>
        <w:widowControl/>
        <w:spacing w:line="560" w:lineRule="exact"/>
        <w:jc w:val="left"/>
        <w:rPr>
          <w:rFonts w:ascii="宋体" w:hAnsi="宋体"/>
          <w:sz w:val="22"/>
        </w:rPr>
      </w:pPr>
      <w:r>
        <w:rPr>
          <w:rFonts w:hint="eastAsia" w:ascii="宋体" w:hAnsi="宋体"/>
          <w:b/>
          <w:sz w:val="22"/>
        </w:rPr>
        <w:t>六、验收</w:t>
      </w:r>
    </w:p>
    <w:p>
      <w:pPr>
        <w:widowControl/>
        <w:spacing w:line="560" w:lineRule="exact"/>
        <w:jc w:val="left"/>
        <w:rPr>
          <w:rFonts w:ascii="宋体" w:hAnsi="宋体"/>
          <w:sz w:val="22"/>
        </w:rPr>
      </w:pPr>
      <w:r>
        <w:rPr>
          <w:rFonts w:hint="eastAsia" w:ascii="宋体" w:hAnsi="宋体"/>
          <w:sz w:val="22"/>
        </w:rPr>
        <w:t>验收标准：现场验收。</w:t>
      </w:r>
    </w:p>
    <w:p>
      <w:pPr>
        <w:widowControl/>
        <w:spacing w:line="560" w:lineRule="exact"/>
        <w:jc w:val="left"/>
        <w:rPr>
          <w:rFonts w:ascii="宋体" w:hAnsi="宋体"/>
          <w:b/>
          <w:sz w:val="22"/>
        </w:rPr>
      </w:pPr>
      <w:r>
        <w:rPr>
          <w:rFonts w:hint="eastAsia" w:ascii="宋体" w:hAnsi="宋体"/>
          <w:b/>
          <w:sz w:val="22"/>
        </w:rPr>
        <w:t>七、售后服务</w:t>
      </w:r>
    </w:p>
    <w:p>
      <w:pPr>
        <w:widowControl/>
        <w:spacing w:line="560" w:lineRule="exact"/>
        <w:jc w:val="left"/>
        <w:rPr>
          <w:rFonts w:ascii="宋体" w:hAnsi="宋体"/>
          <w:sz w:val="22"/>
        </w:rPr>
      </w:pPr>
      <w:r>
        <w:rPr>
          <w:rFonts w:hint="eastAsia" w:ascii="宋体" w:hAnsi="宋体"/>
          <w:sz w:val="22"/>
        </w:rPr>
        <w:t xml:space="preserve">     投标人应提供至少具备但不限于以下服务内容，投标人可提出更加优惠的服务项目或承诺，招标人将积极予以考虑：</w:t>
      </w:r>
    </w:p>
    <w:p>
      <w:pPr>
        <w:widowControl/>
        <w:spacing w:line="560" w:lineRule="exact"/>
        <w:jc w:val="left"/>
        <w:rPr>
          <w:rFonts w:ascii="宋体" w:hAnsi="宋体"/>
          <w:sz w:val="22"/>
        </w:rPr>
      </w:pPr>
      <w:r>
        <w:rPr>
          <w:rFonts w:hint="eastAsia" w:ascii="宋体" w:hAnsi="宋体"/>
          <w:sz w:val="22"/>
        </w:rPr>
        <w:t>1.在质保期内由于产品本身质量原因造成的任何损伤和损坏，中标人须免费负责处理，质保期时间为2年。</w:t>
      </w:r>
    </w:p>
    <w:p>
      <w:pPr>
        <w:widowControl/>
        <w:spacing w:line="560" w:lineRule="exact"/>
        <w:jc w:val="left"/>
        <w:rPr>
          <w:rFonts w:ascii="宋体" w:hAnsi="宋体"/>
          <w:sz w:val="22"/>
        </w:rPr>
      </w:pPr>
      <w:r>
        <w:rPr>
          <w:rFonts w:hint="eastAsia" w:ascii="宋体" w:hAnsi="宋体"/>
          <w:sz w:val="22"/>
        </w:rPr>
        <w:t>2.中标人承诺在接到招标人售后需求24小时内给出相应解决方案，48小时内解决。</w:t>
      </w:r>
    </w:p>
    <w:p>
      <w:pPr>
        <w:pStyle w:val="37"/>
        <w:snapToGrid w:val="0"/>
        <w:spacing w:before="0" w:beforeAutospacing="0" w:after="0" w:afterAutospacing="0" w:line="560" w:lineRule="exact"/>
        <w:jc w:val="both"/>
        <w:rPr>
          <w:rFonts w:ascii="宋体" w:hAnsi="宋体" w:eastAsia="宋体" w:cs="Times New Roman"/>
          <w:color w:val="auto"/>
          <w:kern w:val="2"/>
          <w:sz w:val="22"/>
          <w:szCs w:val="22"/>
        </w:rPr>
      </w:pPr>
      <w:r>
        <w:rPr>
          <w:rFonts w:hint="eastAsia" w:ascii="宋体" w:hAnsi="宋体"/>
          <w:sz w:val="22"/>
        </w:rPr>
        <w:t>3</w:t>
      </w:r>
      <w:r>
        <w:rPr>
          <w:rFonts w:hint="eastAsia" w:ascii="宋体" w:hAnsi="宋体" w:eastAsia="宋体" w:cs="宋体"/>
          <w:sz w:val="22"/>
        </w:rPr>
        <w:t>、</w:t>
      </w:r>
      <w:r>
        <w:rPr>
          <w:rFonts w:hint="eastAsia" w:ascii="宋体" w:hAnsi="宋体" w:eastAsia="宋体" w:cs="Times New Roman"/>
          <w:color w:val="auto"/>
          <w:kern w:val="2"/>
          <w:sz w:val="22"/>
          <w:szCs w:val="22"/>
        </w:rPr>
        <w:t>免费质保期结束的【30】天前，乙方负责对货物进行一次全面的返修，并由甲方验收认可。</w:t>
      </w:r>
    </w:p>
    <w:p>
      <w:pPr>
        <w:widowControl/>
        <w:spacing w:line="560" w:lineRule="exact"/>
        <w:jc w:val="left"/>
        <w:rPr>
          <w:rFonts w:ascii="宋体" w:hAnsi="宋体"/>
          <w:sz w:val="22"/>
        </w:rPr>
      </w:pPr>
      <w:r>
        <w:rPr>
          <w:rFonts w:hint="eastAsia" w:ascii="宋体" w:hAnsi="宋体"/>
          <w:sz w:val="22"/>
        </w:rPr>
        <w:t>4.生产周期：订单确认后3</w:t>
      </w:r>
      <w:r>
        <w:rPr>
          <w:rFonts w:ascii="宋体" w:hAnsi="宋体"/>
          <w:sz w:val="22"/>
        </w:rPr>
        <w:t>0</w:t>
      </w:r>
      <w:r>
        <w:rPr>
          <w:rFonts w:hint="eastAsia" w:ascii="宋体" w:hAnsi="宋体"/>
          <w:sz w:val="22"/>
        </w:rPr>
        <w:t>日历天内完成制作，并运送至订单指定地点。</w:t>
      </w:r>
    </w:p>
    <w:p>
      <w:pPr>
        <w:widowControl/>
        <w:spacing w:line="560" w:lineRule="exact"/>
        <w:jc w:val="left"/>
        <w:rPr>
          <w:rFonts w:ascii="宋体" w:hAnsi="宋体"/>
          <w:szCs w:val="21"/>
        </w:rPr>
      </w:pPr>
      <w:r>
        <w:rPr>
          <w:rFonts w:hint="eastAsia" w:ascii="宋体" w:hAnsi="宋体"/>
          <w:szCs w:val="21"/>
        </w:rPr>
        <w:t>5、中标人承诺对设备安装、保养等给予技术支持，根据招标人要求组织培训。</w:t>
      </w:r>
    </w:p>
    <w:p>
      <w:pPr>
        <w:widowControl/>
        <w:spacing w:line="560" w:lineRule="exact"/>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Cambria" w:hAnsi="Cambria" w:eastAsia="黑体"/>
          <w:b/>
          <w:bCs/>
          <w:kern w:val="0"/>
          <w:sz w:val="32"/>
          <w:szCs w:val="32"/>
        </w:rPr>
      </w:pPr>
    </w:p>
    <w:p>
      <w:pPr>
        <w:pStyle w:val="39"/>
      </w:pPr>
      <w:bookmarkStart w:id="73" w:name="_Toc321925454"/>
    </w:p>
    <w:p>
      <w:pPr>
        <w:pStyle w:val="39"/>
      </w:pPr>
    </w:p>
    <w:p/>
    <w:p/>
    <w:p/>
    <w:p/>
    <w:p/>
    <w:p/>
    <w:p/>
    <w:p/>
    <w:p/>
    <w:p/>
    <w:p/>
    <w:p/>
    <w:p/>
    <w:p/>
    <w:p/>
    <w:p/>
    <w:p/>
    <w:p/>
    <w:p/>
    <w:p>
      <w:pPr>
        <w:sectPr>
          <w:footerReference r:id="rId7" w:type="first"/>
          <w:pgSz w:w="11906" w:h="16838"/>
          <w:pgMar w:top="1134" w:right="1247" w:bottom="1134" w:left="1247" w:header="851" w:footer="992" w:gutter="0"/>
          <w:pgNumType w:fmt="numberInDash"/>
          <w:cols w:space="720" w:num="1"/>
          <w:docGrid w:linePitch="312" w:charSpace="0"/>
        </w:sectPr>
      </w:pPr>
    </w:p>
    <w:p/>
    <w:p>
      <w:pPr>
        <w:pStyle w:val="39"/>
        <w:jc w:val="both"/>
      </w:pPr>
    </w:p>
    <w:bookmarkEnd w:id="73"/>
    <w:p>
      <w:pPr>
        <w:spacing w:line="560" w:lineRule="exact"/>
        <w:ind w:firstLine="880" w:firstLineChars="200"/>
        <w:jc w:val="center"/>
        <w:rPr>
          <w:rFonts w:ascii="黑体" w:hAnsi="黑体" w:eastAsia="黑体"/>
          <w:sz w:val="44"/>
          <w:szCs w:val="44"/>
        </w:rPr>
      </w:pPr>
      <w:r>
        <w:rPr>
          <w:rFonts w:hint="eastAsia" w:ascii="黑体" w:hAnsi="黑体" w:eastAsia="黑体"/>
          <w:sz w:val="44"/>
          <w:szCs w:val="44"/>
        </w:rPr>
        <w:t>杭州萧山国际机场【】采购合同</w:t>
      </w:r>
    </w:p>
    <w:p>
      <w:pPr>
        <w:spacing w:line="560" w:lineRule="exact"/>
        <w:ind w:firstLine="562" w:firstLineChars="200"/>
        <w:jc w:val="center"/>
        <w:rPr>
          <w:rFonts w:ascii="黑体" w:hAnsi="黑体" w:eastAsia="黑体"/>
          <w:b/>
          <w:sz w:val="28"/>
          <w:szCs w:val="28"/>
        </w:rPr>
      </w:pP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甲方：杭州萧山国际机场有限公司</w:t>
      </w: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住所地：杭州萧山国际机场内</w:t>
      </w:r>
    </w:p>
    <w:p>
      <w:pPr>
        <w:adjustRightInd w:val="0"/>
        <w:snapToGrid w:val="0"/>
        <w:spacing w:line="560" w:lineRule="exact"/>
        <w:rPr>
          <w:rFonts w:ascii="黑体" w:hAnsi="黑体" w:eastAsia="黑体"/>
          <w:b/>
          <w:sz w:val="28"/>
          <w:szCs w:val="28"/>
        </w:rPr>
      </w:pP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乙方:</w:t>
      </w:r>
    </w:p>
    <w:p>
      <w:pPr>
        <w:adjustRightInd w:val="0"/>
        <w:snapToGrid w:val="0"/>
        <w:spacing w:line="560" w:lineRule="exact"/>
        <w:ind w:firstLine="452"/>
        <w:rPr>
          <w:rFonts w:ascii="黑体" w:hAnsi="黑体" w:eastAsia="黑体"/>
          <w:sz w:val="28"/>
          <w:szCs w:val="28"/>
        </w:rPr>
      </w:pPr>
      <w:r>
        <w:rPr>
          <w:rFonts w:hint="eastAsia" w:ascii="黑体" w:hAnsi="黑体" w:eastAsia="黑体"/>
          <w:b/>
          <w:sz w:val="28"/>
          <w:szCs w:val="28"/>
        </w:rPr>
        <w:t>住所地:</w:t>
      </w:r>
    </w:p>
    <w:p>
      <w:pPr>
        <w:adjustRightInd w:val="0"/>
        <w:snapToGrid w:val="0"/>
        <w:spacing w:line="560" w:lineRule="exact"/>
        <w:ind w:firstLine="450"/>
        <w:rPr>
          <w:rFonts w:ascii="黑体" w:hAnsi="黑体" w:eastAsia="黑体"/>
          <w:sz w:val="28"/>
          <w:szCs w:val="28"/>
        </w:rPr>
      </w:pP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甲、乙双方根据《中华人民共和国合同法》等相关法律法规，就相关货物采购事宜，在互利、平等的原则基础上，经协商一致，特签订本合同，以共同遵守。</w:t>
      </w:r>
    </w:p>
    <w:p>
      <w:pPr>
        <w:spacing w:line="560" w:lineRule="exact"/>
        <w:ind w:firstLine="593"/>
        <w:rPr>
          <w:rFonts w:ascii="仿宋_GB2312" w:hAnsi="黑体" w:eastAsia="仿宋_GB2312"/>
          <w:b/>
          <w:bCs/>
          <w:sz w:val="32"/>
          <w:szCs w:val="32"/>
        </w:rPr>
      </w:pPr>
      <w:r>
        <w:rPr>
          <w:rFonts w:hint="eastAsia" w:ascii="仿宋_GB2312" w:hAnsi="黑体" w:eastAsia="仿宋_GB2312"/>
          <w:b/>
          <w:bCs/>
          <w:sz w:val="32"/>
          <w:szCs w:val="32"/>
        </w:rPr>
        <w:t>一、货物规格型号及参数</w:t>
      </w:r>
    </w:p>
    <w:tbl>
      <w:tblPr>
        <w:tblStyle w:val="43"/>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23"/>
              <w:spacing w:line="560" w:lineRule="exact"/>
              <w:jc w:val="center"/>
              <w:rPr>
                <w:rFonts w:ascii="仿宋_GB2312" w:hAnsi="黑体" w:eastAsia="仿宋_GB2312"/>
                <w:b/>
                <w:sz w:val="32"/>
                <w:szCs w:val="32"/>
              </w:rPr>
            </w:pPr>
            <w:r>
              <w:rPr>
                <w:rFonts w:hint="eastAsia" w:ascii="仿宋_GB2312" w:hAnsi="黑体" w:eastAsia="仿宋_GB2312"/>
                <w:b/>
                <w:sz w:val="32"/>
                <w:szCs w:val="32"/>
              </w:rPr>
              <w:t>序号</w:t>
            </w:r>
          </w:p>
        </w:tc>
        <w:tc>
          <w:tcPr>
            <w:tcW w:w="1559" w:type="dxa"/>
            <w:vAlign w:val="center"/>
          </w:tcPr>
          <w:p>
            <w:pPr>
              <w:pStyle w:val="123"/>
              <w:spacing w:line="560" w:lineRule="exact"/>
              <w:jc w:val="center"/>
              <w:rPr>
                <w:rFonts w:ascii="仿宋_GB2312" w:hAnsi="黑体" w:eastAsia="仿宋_GB2312"/>
                <w:b/>
                <w:sz w:val="32"/>
                <w:szCs w:val="32"/>
              </w:rPr>
            </w:pPr>
            <w:r>
              <w:rPr>
                <w:rFonts w:hint="eastAsia" w:ascii="仿宋_GB2312" w:hAnsi="黑体" w:eastAsia="仿宋_GB2312"/>
                <w:b/>
                <w:sz w:val="32"/>
                <w:szCs w:val="32"/>
              </w:rPr>
              <w:t>货物名称</w:t>
            </w:r>
          </w:p>
        </w:tc>
        <w:tc>
          <w:tcPr>
            <w:tcW w:w="1820" w:type="dxa"/>
            <w:vAlign w:val="center"/>
          </w:tcPr>
          <w:p>
            <w:pPr>
              <w:pStyle w:val="123"/>
              <w:spacing w:line="560" w:lineRule="exact"/>
              <w:jc w:val="center"/>
              <w:rPr>
                <w:rFonts w:ascii="仿宋_GB2312" w:hAnsi="黑体" w:eastAsia="仿宋_GB2312"/>
                <w:b/>
                <w:sz w:val="32"/>
                <w:szCs w:val="32"/>
              </w:rPr>
            </w:pPr>
            <w:r>
              <w:rPr>
                <w:rFonts w:hint="eastAsia" w:ascii="仿宋_GB2312" w:hAnsi="黑体" w:eastAsia="仿宋_GB2312"/>
                <w:b/>
                <w:sz w:val="32"/>
                <w:szCs w:val="32"/>
              </w:rPr>
              <w:t>品牌型号</w:t>
            </w:r>
          </w:p>
        </w:tc>
        <w:tc>
          <w:tcPr>
            <w:tcW w:w="2150" w:type="dxa"/>
            <w:vAlign w:val="center"/>
          </w:tcPr>
          <w:p>
            <w:pPr>
              <w:pStyle w:val="123"/>
              <w:spacing w:line="560" w:lineRule="exact"/>
              <w:jc w:val="center"/>
              <w:rPr>
                <w:rFonts w:ascii="仿宋_GB2312" w:hAnsi="黑体" w:eastAsia="仿宋_GB2312"/>
                <w:b/>
                <w:sz w:val="32"/>
                <w:szCs w:val="32"/>
              </w:rPr>
            </w:pPr>
            <w:r>
              <w:rPr>
                <w:rFonts w:hint="eastAsia" w:ascii="仿宋_GB2312" w:hAnsi="黑体" w:eastAsia="仿宋_GB2312"/>
                <w:b/>
                <w:sz w:val="32"/>
                <w:szCs w:val="32"/>
              </w:rPr>
              <w:t>单位</w:t>
            </w:r>
          </w:p>
        </w:tc>
        <w:tc>
          <w:tcPr>
            <w:tcW w:w="1180" w:type="dxa"/>
            <w:vAlign w:val="center"/>
          </w:tcPr>
          <w:p>
            <w:pPr>
              <w:pStyle w:val="123"/>
              <w:spacing w:line="560" w:lineRule="exact"/>
              <w:jc w:val="center"/>
              <w:rPr>
                <w:rFonts w:ascii="仿宋_GB2312" w:hAnsi="黑体" w:eastAsia="仿宋_GB2312"/>
                <w:b/>
                <w:sz w:val="32"/>
                <w:szCs w:val="32"/>
              </w:rPr>
            </w:pPr>
            <w:r>
              <w:rPr>
                <w:rFonts w:hint="eastAsia" w:ascii="仿宋_GB2312" w:hAnsi="黑体" w:eastAsia="仿宋_GB2312"/>
                <w:b/>
                <w:sz w:val="32"/>
                <w:szCs w:val="32"/>
              </w:rPr>
              <w:t>数量</w:t>
            </w:r>
          </w:p>
        </w:tc>
        <w:tc>
          <w:tcPr>
            <w:tcW w:w="1134" w:type="dxa"/>
            <w:vAlign w:val="center"/>
          </w:tcPr>
          <w:p>
            <w:pPr>
              <w:pStyle w:val="123"/>
              <w:spacing w:line="560" w:lineRule="exact"/>
              <w:jc w:val="center"/>
              <w:rPr>
                <w:rFonts w:ascii="仿宋_GB2312" w:hAnsi="黑体" w:eastAsia="仿宋_GB2312"/>
                <w:b/>
                <w:sz w:val="32"/>
                <w:szCs w:val="32"/>
              </w:rPr>
            </w:pPr>
            <w:r>
              <w:rPr>
                <w:rFonts w:hint="eastAsia" w:ascii="仿宋_GB2312" w:hAnsi="黑体" w:eastAsia="仿宋_GB2312"/>
                <w:b/>
                <w:sz w:val="32"/>
                <w:szCs w:val="32"/>
              </w:rPr>
              <w:t>单价</w:t>
            </w:r>
          </w:p>
        </w:tc>
        <w:tc>
          <w:tcPr>
            <w:tcW w:w="1476" w:type="dxa"/>
            <w:vAlign w:val="center"/>
          </w:tcPr>
          <w:p>
            <w:pPr>
              <w:pStyle w:val="123"/>
              <w:spacing w:line="560" w:lineRule="exact"/>
              <w:jc w:val="center"/>
              <w:rPr>
                <w:rFonts w:ascii="仿宋_GB2312" w:hAnsi="黑体" w:eastAsia="仿宋_GB2312"/>
                <w:b/>
                <w:sz w:val="32"/>
                <w:szCs w:val="32"/>
              </w:rPr>
            </w:pPr>
            <w:r>
              <w:rPr>
                <w:rFonts w:hint="eastAsia" w:ascii="仿宋_GB2312" w:hAnsi="黑体" w:eastAsia="仿宋_GB2312"/>
                <w:b/>
                <w:sz w:val="32"/>
                <w:szCs w:val="3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23"/>
              <w:spacing w:line="560" w:lineRule="exact"/>
              <w:jc w:val="center"/>
              <w:rPr>
                <w:rFonts w:ascii="仿宋_GB2312" w:hAnsi="黑体" w:eastAsia="仿宋_GB2312"/>
                <w:sz w:val="32"/>
                <w:szCs w:val="32"/>
              </w:rPr>
            </w:pPr>
            <w:r>
              <w:rPr>
                <w:rFonts w:hint="eastAsia" w:ascii="仿宋_GB2312" w:hAnsi="黑体" w:eastAsia="仿宋_GB2312"/>
                <w:sz w:val="32"/>
                <w:szCs w:val="32"/>
              </w:rPr>
              <w:t>1</w:t>
            </w:r>
          </w:p>
        </w:tc>
        <w:tc>
          <w:tcPr>
            <w:tcW w:w="1559" w:type="dxa"/>
            <w:vAlign w:val="center"/>
          </w:tcPr>
          <w:p>
            <w:pPr>
              <w:pStyle w:val="123"/>
              <w:spacing w:line="560" w:lineRule="exact"/>
              <w:jc w:val="center"/>
              <w:rPr>
                <w:rFonts w:ascii="仿宋_GB2312" w:hAnsi="黑体" w:eastAsia="仿宋_GB2312"/>
                <w:sz w:val="32"/>
                <w:szCs w:val="32"/>
              </w:rPr>
            </w:pPr>
            <w:r>
              <w:rPr>
                <w:rFonts w:hint="eastAsia" w:ascii="仿宋_GB2312" w:hAnsi="黑体" w:eastAsia="仿宋_GB2312"/>
                <w:sz w:val="32"/>
                <w:szCs w:val="32"/>
              </w:rPr>
              <w:t>软隔离设施</w:t>
            </w:r>
          </w:p>
        </w:tc>
        <w:tc>
          <w:tcPr>
            <w:tcW w:w="1820" w:type="dxa"/>
            <w:vAlign w:val="center"/>
          </w:tcPr>
          <w:p>
            <w:pPr>
              <w:pStyle w:val="123"/>
              <w:spacing w:line="560" w:lineRule="exact"/>
              <w:jc w:val="center"/>
              <w:rPr>
                <w:rFonts w:ascii="仿宋_GB2312" w:hAnsi="黑体" w:eastAsia="仿宋_GB2312"/>
                <w:sz w:val="32"/>
                <w:szCs w:val="32"/>
              </w:rPr>
            </w:pPr>
          </w:p>
        </w:tc>
        <w:tc>
          <w:tcPr>
            <w:tcW w:w="2150" w:type="dxa"/>
            <w:vAlign w:val="center"/>
          </w:tcPr>
          <w:p>
            <w:pPr>
              <w:pStyle w:val="123"/>
              <w:spacing w:line="560" w:lineRule="exact"/>
              <w:jc w:val="center"/>
              <w:rPr>
                <w:rFonts w:ascii="仿宋_GB2312" w:hAnsi="黑体" w:eastAsia="仿宋_GB2312"/>
                <w:sz w:val="32"/>
                <w:szCs w:val="32"/>
              </w:rPr>
            </w:pPr>
            <w:r>
              <w:rPr>
                <w:rFonts w:hint="eastAsia" w:ascii="仿宋_GB2312" w:hAnsi="黑体" w:eastAsia="仿宋_GB2312"/>
                <w:sz w:val="32"/>
                <w:szCs w:val="32"/>
              </w:rPr>
              <w:t>套</w:t>
            </w:r>
          </w:p>
        </w:tc>
        <w:tc>
          <w:tcPr>
            <w:tcW w:w="1180" w:type="dxa"/>
            <w:vAlign w:val="center"/>
          </w:tcPr>
          <w:p>
            <w:pPr>
              <w:pStyle w:val="123"/>
              <w:spacing w:line="560" w:lineRule="exact"/>
              <w:ind w:firstLine="160" w:firstLineChars="50"/>
              <w:jc w:val="center"/>
              <w:rPr>
                <w:rFonts w:ascii="仿宋_GB2312" w:hAnsi="黑体" w:eastAsia="仿宋_GB2312"/>
                <w:sz w:val="32"/>
                <w:szCs w:val="32"/>
              </w:rPr>
            </w:pPr>
            <w:r>
              <w:rPr>
                <w:rFonts w:hint="eastAsia" w:ascii="仿宋_GB2312" w:hAnsi="黑体" w:eastAsia="仿宋_GB2312"/>
                <w:sz w:val="32"/>
                <w:szCs w:val="32"/>
              </w:rPr>
              <w:t>500</w:t>
            </w:r>
          </w:p>
        </w:tc>
        <w:tc>
          <w:tcPr>
            <w:tcW w:w="1134" w:type="dxa"/>
            <w:vAlign w:val="center"/>
          </w:tcPr>
          <w:p>
            <w:pPr>
              <w:pStyle w:val="123"/>
              <w:spacing w:line="560" w:lineRule="exact"/>
              <w:jc w:val="center"/>
              <w:rPr>
                <w:rFonts w:ascii="仿宋_GB2312" w:hAnsi="黑体" w:eastAsia="仿宋_GB2312"/>
                <w:sz w:val="32"/>
                <w:szCs w:val="32"/>
              </w:rPr>
            </w:pPr>
          </w:p>
        </w:tc>
        <w:tc>
          <w:tcPr>
            <w:tcW w:w="1476" w:type="dxa"/>
            <w:vAlign w:val="center"/>
          </w:tcPr>
          <w:p>
            <w:pPr>
              <w:pStyle w:val="123"/>
              <w:spacing w:line="560" w:lineRule="exact"/>
              <w:ind w:firstLine="105" w:firstLineChars="50"/>
              <w:rPr>
                <w:rFonts w:ascii="仿宋_GB2312" w:hAnsi="黑体" w:eastAsia="仿宋_GB2312"/>
                <w:szCs w:val="21"/>
              </w:rPr>
            </w:pPr>
            <w:r>
              <w:rPr>
                <w:rFonts w:hint="eastAsia" w:ascii="仿宋_GB2312" w:hAnsi="黑体" w:eastAsia="仿宋_GB2312"/>
                <w:szCs w:val="21"/>
              </w:rPr>
              <w:t>含税价：</w:t>
            </w:r>
          </w:p>
          <w:p>
            <w:pPr>
              <w:pStyle w:val="123"/>
              <w:spacing w:line="560" w:lineRule="exact"/>
              <w:ind w:firstLine="105" w:firstLineChars="50"/>
              <w:rPr>
                <w:rFonts w:ascii="仿宋_GB2312" w:hAnsi="黑体" w:eastAsia="仿宋_GB2312"/>
                <w:szCs w:val="21"/>
              </w:rPr>
            </w:pPr>
            <w:r>
              <w:rPr>
                <w:rFonts w:hint="eastAsia" w:ascii="仿宋_GB2312" w:hAnsi="黑体" w:eastAsia="仿宋_GB2312"/>
                <w:szCs w:val="21"/>
              </w:rPr>
              <w:t>不含税价：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23"/>
              <w:spacing w:line="560" w:lineRule="exact"/>
              <w:jc w:val="center"/>
              <w:rPr>
                <w:rFonts w:ascii="仿宋_GB2312" w:hAnsi="黑体" w:eastAsia="仿宋_GB2312"/>
                <w:sz w:val="32"/>
                <w:szCs w:val="32"/>
              </w:rPr>
            </w:pPr>
            <w:r>
              <w:rPr>
                <w:rFonts w:hint="eastAsia" w:ascii="仿宋_GB2312" w:hAnsi="黑体" w:eastAsia="仿宋_GB2312"/>
                <w:sz w:val="32"/>
                <w:szCs w:val="32"/>
              </w:rPr>
              <w:t>合计</w:t>
            </w:r>
          </w:p>
        </w:tc>
        <w:tc>
          <w:tcPr>
            <w:tcW w:w="9319" w:type="dxa"/>
            <w:gridSpan w:val="6"/>
          </w:tcPr>
          <w:p>
            <w:pPr>
              <w:pStyle w:val="123"/>
              <w:spacing w:line="560" w:lineRule="exact"/>
              <w:jc w:val="right"/>
              <w:rPr>
                <w:rFonts w:ascii="仿宋_GB2312" w:hAnsi="黑体" w:eastAsia="仿宋_GB2312"/>
                <w:sz w:val="32"/>
                <w:szCs w:val="32"/>
              </w:rPr>
            </w:pPr>
          </w:p>
        </w:tc>
      </w:tr>
    </w:tbl>
    <w:p>
      <w:pPr>
        <w:adjustRightInd w:val="0"/>
        <w:snapToGrid w:val="0"/>
        <w:spacing w:line="560" w:lineRule="exact"/>
        <w:ind w:firstLine="602"/>
        <w:rPr>
          <w:rFonts w:ascii="仿宋_GB2312" w:hAnsi="黑体" w:eastAsia="仿宋_GB2312"/>
          <w:b/>
          <w:sz w:val="32"/>
          <w:szCs w:val="32"/>
        </w:rPr>
      </w:pPr>
      <w:r>
        <w:rPr>
          <w:rFonts w:hint="eastAsia" w:ascii="仿宋_GB2312" w:hAnsi="黑体" w:eastAsia="仿宋_GB2312"/>
          <w:b/>
          <w:sz w:val="32"/>
          <w:szCs w:val="32"/>
        </w:rPr>
        <w:t>二、合同金额</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本合同金额为固定总价合同，合同金额为（大写）：人民币    ，（小写）</w:t>
      </w:r>
      <w:r>
        <w:rPr>
          <w:rFonts w:hint="eastAsia" w:ascii="宋体" w:hAnsi="宋体" w:eastAsia="仿宋_GB2312" w:cs="Arial Unicode MS"/>
          <w:kern w:val="0"/>
          <w:sz w:val="32"/>
          <w:szCs w:val="32"/>
        </w:rPr>
        <w:t>¥</w:t>
      </w:r>
      <w:r>
        <w:rPr>
          <w:rFonts w:hint="eastAsia" w:ascii="仿宋_GB2312" w:hAnsi="宋体" w:eastAsia="仿宋_GB2312" w:cs="Arial Unicode MS"/>
          <w:kern w:val="0"/>
          <w:sz w:val="32"/>
          <w:szCs w:val="32"/>
        </w:rPr>
        <w:t xml:space="preserve">       。本合同价为杭州萧山国际机场内交货价，含货物价格、运输费、包装费、保险费、增值税费</w:t>
      </w:r>
      <w:r>
        <w:rPr>
          <w:rFonts w:hint="eastAsia" w:ascii="仿宋_GB2312" w:hAnsi="宋体" w:eastAsia="仿宋_GB2312" w:cs="Arial Unicode MS"/>
          <w:kern w:val="0"/>
          <w:sz w:val="32"/>
          <w:szCs w:val="32"/>
          <w:u w:val="single"/>
        </w:rPr>
        <w:t xml:space="preserve"> 13% </w:t>
      </w:r>
      <w:r>
        <w:rPr>
          <w:rFonts w:hint="eastAsia" w:ascii="仿宋_GB2312" w:hAnsi="宋体" w:eastAsia="仿宋_GB2312" w:cs="Arial Unicode MS"/>
          <w:kern w:val="0"/>
          <w:sz w:val="32"/>
          <w:szCs w:val="32"/>
        </w:rPr>
        <w:t>等所有费用。甲方不再承担其他任何费用。</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黑体" w:eastAsia="仿宋_GB2312"/>
          <w:sz w:val="32"/>
          <w:szCs w:val="32"/>
        </w:rPr>
      </w:pPr>
      <w:r>
        <w:rPr>
          <w:rFonts w:hint="eastAsia" w:ascii="仿宋_GB2312" w:hAnsi="黑体" w:eastAsia="仿宋_GB2312"/>
          <w:sz w:val="32"/>
          <w:szCs w:val="32"/>
        </w:rPr>
        <w:t>三、技术资料</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1.乙方应在交付合同货物时同时向甲方提供使用货物的有关技术资料。</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黑体" w:eastAsia="仿宋_GB2312"/>
          <w:sz w:val="32"/>
          <w:szCs w:val="32"/>
        </w:rPr>
      </w:pPr>
      <w:r>
        <w:rPr>
          <w:rFonts w:hint="eastAsia" w:ascii="仿宋_GB2312" w:hAnsi="黑体" w:eastAsia="仿宋_GB2312"/>
          <w:sz w:val="32"/>
          <w:szCs w:val="32"/>
        </w:rPr>
        <w:t>四、知识产权</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仿宋_GB2312" w:hAnsi="黑体" w:eastAsia="仿宋_GB2312"/>
          <w:sz w:val="32"/>
          <w:szCs w:val="32"/>
        </w:rPr>
      </w:pPr>
      <w:r>
        <w:rPr>
          <w:rFonts w:hint="eastAsia" w:ascii="仿宋_GB2312" w:hAnsi="黑体" w:eastAsia="仿宋_GB2312"/>
          <w:sz w:val="32"/>
          <w:szCs w:val="32"/>
        </w:rPr>
        <w:t>五、产权担保</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仿宋_GB2312" w:hAnsi="黑体" w:eastAsia="仿宋_GB2312"/>
          <w:sz w:val="32"/>
          <w:szCs w:val="32"/>
        </w:rPr>
      </w:pPr>
      <w:r>
        <w:rPr>
          <w:rFonts w:hint="eastAsia" w:ascii="仿宋_GB2312" w:hAnsi="黑体" w:eastAsia="仿宋_GB2312"/>
          <w:sz w:val="32"/>
          <w:szCs w:val="32"/>
        </w:rPr>
        <w:t>六、转包或分包</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2.如有未经甲方书面同意的转让和分包行为，甲方有权解除合同，并有权要求乙方承担合同暂定总额【5%】的违约金。</w:t>
      </w:r>
    </w:p>
    <w:p>
      <w:pPr>
        <w:adjustRightInd w:val="0"/>
        <w:snapToGrid w:val="0"/>
        <w:spacing w:line="560" w:lineRule="exact"/>
        <w:ind w:firstLine="602"/>
        <w:rPr>
          <w:rFonts w:ascii="仿宋_GB2312" w:hAnsi="黑体" w:eastAsia="仿宋_GB2312"/>
          <w:sz w:val="32"/>
          <w:szCs w:val="32"/>
        </w:rPr>
      </w:pPr>
      <w:r>
        <w:rPr>
          <w:rFonts w:hint="eastAsia" w:ascii="仿宋_GB2312" w:hAnsi="黑体" w:eastAsia="仿宋_GB2312"/>
          <w:sz w:val="32"/>
          <w:szCs w:val="32"/>
        </w:rPr>
        <w:t>七、货物包装、发货及运输</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1. 乙方应在货物发运前对其按满足运输距离、防潮、防震、防锈和防破损装卸等要求进行包装，以保证货物安全运达甲方指定地点。</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3. 乙方在货物发运手续办理完毕后【48】小时内必须书面通知甲方，以便甲方准备接货。</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4. 货物在本合同规定的交货地点交付甲方前发生的一切风险包括货物运输风险均由乙方负责。</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仿宋_GB2312" w:hAnsi="黑体" w:eastAsia="仿宋_GB2312"/>
          <w:sz w:val="32"/>
          <w:szCs w:val="32"/>
        </w:rPr>
      </w:pPr>
      <w:r>
        <w:rPr>
          <w:rFonts w:hint="eastAsia" w:ascii="仿宋_GB2312" w:hAnsi="黑体" w:eastAsia="仿宋_GB2312"/>
          <w:sz w:val="32"/>
          <w:szCs w:val="32"/>
        </w:rPr>
        <w:t>八、交货期、交货方式及交货地点</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1. 交货期：合同签订之日起30个日历天内</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2. 交货方式：乙方送货上门</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3. 交货地点：杭州萧山国际机场航站楼内指定仓库</w:t>
      </w:r>
    </w:p>
    <w:p>
      <w:pPr>
        <w:adjustRightInd w:val="0"/>
        <w:snapToGrid w:val="0"/>
        <w:spacing w:line="560" w:lineRule="exact"/>
        <w:ind w:firstLine="602"/>
        <w:outlineLvl w:val="0"/>
        <w:rPr>
          <w:rFonts w:ascii="仿宋_GB2312" w:hAnsi="黑体" w:eastAsia="仿宋_GB2312"/>
          <w:b/>
          <w:sz w:val="32"/>
          <w:szCs w:val="32"/>
        </w:rPr>
      </w:pPr>
      <w:r>
        <w:rPr>
          <w:rFonts w:hint="eastAsia" w:ascii="仿宋_GB2312" w:hAnsi="黑体" w:eastAsia="仿宋_GB2312"/>
          <w:b/>
          <w:sz w:val="32"/>
          <w:szCs w:val="32"/>
        </w:rPr>
        <w:t>九、验收</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宋体" w:eastAsia="仿宋_GB2312" w:cs="Arial Unicode MS"/>
          <w:kern w:val="0"/>
          <w:sz w:val="32"/>
          <w:szCs w:val="32"/>
        </w:rPr>
        <w:t>3.甲方签收货物后如发现货物的品种、数量、花色或质量不符合合同约定或相关质量要求，甲方应在签收之日起【3】日内以书面或电话形式向乙方提出异议；乙方应当在收到甲方异议之日起【3】日内作出答复或与甲方协商处理，或在【5】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_GB2312" w:hAnsi="黑体" w:eastAsia="仿宋_GB2312"/>
          <w:b/>
          <w:sz w:val="32"/>
          <w:szCs w:val="32"/>
        </w:rPr>
      </w:pPr>
      <w:r>
        <w:rPr>
          <w:rFonts w:hint="eastAsia" w:ascii="仿宋_GB2312" w:hAnsi="黑体" w:eastAsia="仿宋_GB2312"/>
          <w:b/>
          <w:sz w:val="32"/>
          <w:szCs w:val="32"/>
        </w:rPr>
        <w:t>十、货款支付</w:t>
      </w:r>
    </w:p>
    <w:p>
      <w:pPr>
        <w:pStyle w:val="37"/>
        <w:widowControl w:val="0"/>
        <w:snapToGrid w:val="0"/>
        <w:spacing w:before="0" w:beforeAutospacing="0" w:after="0" w:afterAutospacing="0" w:line="560" w:lineRule="exact"/>
        <w:ind w:firstLine="643" w:firstLineChars="200"/>
        <w:jc w:val="both"/>
        <w:rPr>
          <w:rFonts w:ascii="仿宋_GB2312" w:hAnsi="宋体" w:eastAsia="仿宋_GB2312"/>
          <w:color w:val="auto"/>
          <w:sz w:val="32"/>
          <w:szCs w:val="32"/>
        </w:rPr>
      </w:pPr>
      <w:r>
        <w:rPr>
          <w:rFonts w:hint="eastAsia" w:ascii="仿宋_GB2312" w:hAnsi="宋体" w:eastAsia="仿宋_GB2312"/>
          <w:b/>
          <w:color w:val="auto"/>
          <w:sz w:val="32"/>
          <w:szCs w:val="32"/>
        </w:rPr>
        <w:t>1</w:t>
      </w:r>
      <w:r>
        <w:rPr>
          <w:rFonts w:hint="eastAsia" w:ascii="仿宋_GB2312" w:hAnsi="宋体" w:eastAsia="仿宋_GB2312"/>
          <w:color w:val="auto"/>
          <w:sz w:val="32"/>
          <w:szCs w:val="32"/>
        </w:rPr>
        <w:t>.货物送达甲方指定地点，并经甲方验收合格后【15】个工作日内，支付合同总金额的95%。</w:t>
      </w:r>
    </w:p>
    <w:p>
      <w:pPr>
        <w:pStyle w:val="37"/>
        <w:widowControl w:val="0"/>
        <w:snapToGrid w:val="0"/>
        <w:spacing w:before="0" w:beforeAutospacing="0" w:after="0" w:afterAutospacing="0" w:line="560" w:lineRule="exact"/>
        <w:ind w:left="420" w:leftChars="200"/>
        <w:jc w:val="both"/>
        <w:rPr>
          <w:rFonts w:ascii="仿宋_GB2312" w:hAnsi="宋体" w:eastAsia="仿宋_GB2312"/>
          <w:color w:val="auto"/>
          <w:sz w:val="32"/>
          <w:szCs w:val="32"/>
        </w:rPr>
      </w:pPr>
      <w:r>
        <w:rPr>
          <w:rFonts w:hint="eastAsia" w:ascii="仿宋_GB2312" w:hAnsi="宋体" w:eastAsia="仿宋_GB2312"/>
          <w:b/>
          <w:color w:val="auto"/>
          <w:sz w:val="32"/>
          <w:szCs w:val="32"/>
        </w:rPr>
        <w:t>2.</w:t>
      </w:r>
      <w:r>
        <w:rPr>
          <w:rFonts w:hint="eastAsia" w:ascii="仿宋_GB2312" w:hAnsi="仿宋" w:eastAsia="仿宋_GB2312"/>
          <w:color w:val="auto"/>
          <w:sz w:val="32"/>
          <w:szCs w:val="32"/>
        </w:rPr>
        <w:t xml:space="preserve"> </w:t>
      </w:r>
      <w:r>
        <w:rPr>
          <w:rFonts w:hint="eastAsia" w:ascii="仿宋_GB2312" w:hAnsi="宋体" w:eastAsia="仿宋_GB2312"/>
          <w:color w:val="auto"/>
          <w:sz w:val="32"/>
          <w:szCs w:val="32"/>
        </w:rPr>
        <w:t>质量保证金为合同总价5%，质量保证金于质量保证期满后【十五】工作日内一并无息支付。</w:t>
      </w:r>
      <w:r>
        <w:rPr>
          <w:rFonts w:hint="eastAsia" w:ascii="仿宋_GB2312" w:hAnsi="宋体" w:eastAsia="仿宋_GB2312"/>
          <w:b/>
          <w:color w:val="auto"/>
          <w:sz w:val="32"/>
          <w:szCs w:val="32"/>
        </w:rPr>
        <w:t>3.</w:t>
      </w:r>
      <w:r>
        <w:rPr>
          <w:rFonts w:hint="eastAsia" w:ascii="仿宋_GB2312" w:hAnsi="宋体" w:eastAsia="仿宋_GB2312"/>
          <w:color w:val="auto"/>
          <w:sz w:val="32"/>
          <w:szCs w:val="32"/>
        </w:rPr>
        <w:t>乙方在甲方每次付款前开具增值税专用发票。</w:t>
      </w:r>
    </w:p>
    <w:p>
      <w:pPr>
        <w:adjustRightInd w:val="0"/>
        <w:snapToGrid w:val="0"/>
        <w:spacing w:line="560" w:lineRule="exact"/>
        <w:ind w:firstLine="602"/>
        <w:outlineLvl w:val="0"/>
        <w:rPr>
          <w:rFonts w:ascii="仿宋_GB2312" w:hAnsi="黑体" w:eastAsia="仿宋_GB2312"/>
          <w:b/>
          <w:sz w:val="32"/>
          <w:szCs w:val="32"/>
        </w:rPr>
      </w:pPr>
      <w:bookmarkStart w:id="74" w:name="_Toc321925457"/>
      <w:r>
        <w:rPr>
          <w:rFonts w:hint="eastAsia" w:ascii="仿宋_GB2312" w:hAnsi="黑体" w:eastAsia="仿宋_GB2312"/>
          <w:b/>
          <w:sz w:val="32"/>
          <w:szCs w:val="32"/>
        </w:rPr>
        <w:t>十一、免费质保期及服务内容</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 乙方应为货物提供【24】个月的免费质保期，时间自甲方签署货物验收合格确认书之日起计算。</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4．乙方提供【24】小时售后服务，在接到报修通知后，维修人员应在【24】小时内赶到杭州萧山国际机场，并连续进行维修，直到货物恢复正常。修复部分的质保期自修复之日起重新开始计算。</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5.免费质保期结束的【30】天前，乙方负责对货物进行一次全面的返修，并由甲方验收认可。甲方验收认可并不免除乙方对于验收认可后发生的但尚在质保期限内的货物损坏的维修、退换货义务。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6、若乙方提供的货物属于伪劣货物或者假冒货物或者欺诈甲方，使得甲方遭受损失，乙方应向甲方承担违约责任，同时，甲方可依法寻求其他法律救济。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黑体" w:eastAsia="仿宋_GB2312"/>
          <w:b/>
          <w:sz w:val="32"/>
          <w:szCs w:val="32"/>
        </w:rPr>
      </w:pPr>
      <w:r>
        <w:rPr>
          <w:rFonts w:hint="eastAsia" w:ascii="仿宋_GB2312" w:hAnsi="黑体" w:eastAsia="仿宋_GB2312"/>
          <w:b/>
          <w:sz w:val="32"/>
          <w:szCs w:val="32"/>
        </w:rPr>
        <w:t>十二、违约责任</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 甲方无故逾期支付货款的,甲方应按逾期付款总额每日【0.05】%向乙方支付违约金。</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2. 乙方逾期交付货物和本合同规定的文件资料的，乙方应按合同暂定总额每日【0.05】%向甲方支付违约金，由甲方从货款中扣除。逾期超过约定日期【10】个工作日的，甲方可解除本合同。乙方因逾期交货或因其他违约行为导致甲方解除合同的，乙方应向甲方支付合同暂定总额【5】%的违约金，如造成甲方损失超过违约金的，超出部分由乙方继续承担赔偿责任。 </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3.因乙方更换货物而逾期交货的，按乙方逾期交货处理。乙方拒绝更换货物的，甲方可单方面解除合同，不予支付相应货款。</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 乙方不在约定期限内派人返修或返修质量验收不合格的，甲方可以委托他人修理，费用由乙方承担，甲方与第三方确认后可直接从质量保证金中扣除；质量保证金不足以抵扣的，继续向乙方追偿。</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7．对于本合同项下乙方应支付的赔偿款或违约金，甲方有权从应付乙方的货款及质量保证金中直接扣除，仍不足的部分，继续向乙方追偿。</w:t>
      </w:r>
    </w:p>
    <w:p>
      <w:pPr>
        <w:adjustRightInd w:val="0"/>
        <w:snapToGrid w:val="0"/>
        <w:spacing w:line="560" w:lineRule="exact"/>
        <w:ind w:firstLine="602"/>
        <w:outlineLvl w:val="0"/>
        <w:rPr>
          <w:rFonts w:ascii="仿宋_GB2312" w:hAnsi="黑体" w:eastAsia="仿宋_GB2312"/>
          <w:b/>
          <w:sz w:val="32"/>
          <w:szCs w:val="32"/>
        </w:rPr>
      </w:pPr>
      <w:r>
        <w:rPr>
          <w:rFonts w:hint="eastAsia" w:ascii="仿宋_GB2312" w:hAnsi="黑体" w:eastAsia="仿宋_GB2312"/>
          <w:b/>
          <w:sz w:val="32"/>
          <w:szCs w:val="32"/>
        </w:rPr>
        <w:t>十三、不可抗力事件处理</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 在合同有效期内，任何一方因不可抗力事件导致不能履行合同，则合同履行期可延长，其延长期与不可抗力影响期相同。</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 不可抗力事件发生后，遭遇不可抗力的一方应立即通知对方，并寄送有关官方权威机构出具的证明。</w:t>
      </w:r>
    </w:p>
    <w:p>
      <w:pPr>
        <w:spacing w:line="560" w:lineRule="exact"/>
        <w:ind w:firstLine="608" w:firstLineChars="190"/>
        <w:rPr>
          <w:rFonts w:ascii="仿宋_GB2312" w:hAnsi="黑体" w:eastAsia="仿宋_GB2312"/>
          <w:sz w:val="32"/>
          <w:szCs w:val="32"/>
        </w:rPr>
      </w:pPr>
      <w:r>
        <w:rPr>
          <w:rFonts w:hint="eastAsia" w:ascii="仿宋_GB2312" w:hAnsi="黑体" w:eastAsia="仿宋_GB2312"/>
          <w:sz w:val="32"/>
          <w:szCs w:val="32"/>
        </w:rPr>
        <w:t>3. 不可抗力事件延续【60】天以上，双方应通过友好协商，确定是否继续履行合同；协商无法达成一致的，本合同自动终止，双方互不承担赔偿或违约责任。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黑体" w:eastAsia="仿宋_GB2312"/>
          <w:b/>
          <w:sz w:val="32"/>
          <w:szCs w:val="32"/>
        </w:rPr>
      </w:pPr>
      <w:r>
        <w:rPr>
          <w:rFonts w:hint="eastAsia" w:ascii="仿宋_GB2312" w:hAnsi="黑体" w:eastAsia="仿宋_GB2312"/>
          <w:b/>
          <w:sz w:val="32"/>
          <w:szCs w:val="32"/>
        </w:rPr>
        <w:t>十五、争议解决</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双方在执行合同中所发生的一切争议，应通过协商解决。如协商不成，由甲方所在地的人民法院管辖审理。</w:t>
      </w:r>
    </w:p>
    <w:p>
      <w:pPr>
        <w:adjustRightInd w:val="0"/>
        <w:snapToGrid w:val="0"/>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十六、合同组成文件包含下列内容，且解释顺序如下：</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1.本合同协议书</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2.中标通知书</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3.招标文件</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4.投标书及其附件</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5.标准、规范及有关技术文件</w:t>
      </w:r>
    </w:p>
    <w:p>
      <w:pPr>
        <w:adjustRightInd w:val="0"/>
        <w:snapToGrid w:val="0"/>
        <w:spacing w:line="560" w:lineRule="exact"/>
        <w:ind w:firstLine="602"/>
        <w:outlineLvl w:val="0"/>
        <w:rPr>
          <w:rFonts w:ascii="仿宋_GB2312" w:hAnsi="黑体" w:eastAsia="仿宋_GB2312"/>
          <w:b/>
          <w:sz w:val="32"/>
          <w:szCs w:val="32"/>
        </w:rPr>
      </w:pPr>
      <w:r>
        <w:rPr>
          <w:rFonts w:hint="eastAsia" w:ascii="仿宋_GB2312" w:hAnsi="黑体" w:eastAsia="仿宋_GB2312"/>
          <w:b/>
          <w:sz w:val="32"/>
          <w:szCs w:val="32"/>
        </w:rPr>
        <w:t>十七、合同生效及其它</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 合同经双方法定代表人或授权代表签字（包含签章）并加盖单位公章或者合同章之日起生效。</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2.本合同未尽事宜，双方可签订补充协议予以执行；未达成补充协议的，遵照《合同法》及有关法律法规执行。</w:t>
      </w:r>
    </w:p>
    <w:p>
      <w:pPr>
        <w:tabs>
          <w:tab w:val="right" w:pos="8306"/>
        </w:tabs>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3.本合同一式陆份，甲执四份，乙方持二份，具有同等法律效力。</w:t>
      </w:r>
    </w:p>
    <w:p>
      <w:pPr>
        <w:tabs>
          <w:tab w:val="right" w:pos="8306"/>
        </w:tabs>
        <w:adjustRightInd w:val="0"/>
        <w:snapToGrid w:val="0"/>
        <w:spacing w:line="560" w:lineRule="exact"/>
        <w:rPr>
          <w:rFonts w:ascii="仿宋_GB2312" w:hAnsi="黑体" w:eastAsia="仿宋_GB2312"/>
          <w:sz w:val="32"/>
          <w:szCs w:val="32"/>
        </w:rPr>
      </w:pPr>
    </w:p>
    <w:p>
      <w:pPr>
        <w:tabs>
          <w:tab w:val="right" w:pos="8306"/>
        </w:tabs>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（以下为签署页）</w:t>
      </w:r>
      <w:r>
        <w:rPr>
          <w:rFonts w:hint="eastAsia" w:ascii="仿宋_GB2312" w:hAnsi="黑体" w:eastAsia="仿宋_GB2312"/>
          <w:sz w:val="32"/>
          <w:szCs w:val="32"/>
        </w:rPr>
        <w:tab/>
      </w:r>
    </w:p>
    <w:p>
      <w:pPr>
        <w:adjustRightInd w:val="0"/>
        <w:snapToGrid w:val="0"/>
        <w:spacing w:line="560" w:lineRule="exact"/>
        <w:ind w:left="5120" w:hanging="5120" w:hangingChars="1600"/>
        <w:rPr>
          <w:rFonts w:ascii="仿宋_GB2312" w:hAnsi="黑体" w:eastAsia="仿宋_GB2312"/>
          <w:sz w:val="32"/>
          <w:szCs w:val="32"/>
        </w:rPr>
      </w:pPr>
      <w:r>
        <w:rPr>
          <w:rFonts w:hint="eastAsia" w:ascii="仿宋_GB2312" w:hAnsi="黑体" w:eastAsia="仿宋_GB2312"/>
          <w:sz w:val="32"/>
          <w:szCs w:val="32"/>
        </w:rPr>
        <w:t>甲方：杭州萧山国际机场有限公司  乙方：</w:t>
      </w:r>
    </w:p>
    <w:p>
      <w:pPr>
        <w:adjustRightInd w:val="0"/>
        <w:snapToGrid w:val="0"/>
        <w:spacing w:line="560" w:lineRule="exact"/>
        <w:ind w:left="6750" w:hanging="6750"/>
        <w:rPr>
          <w:rFonts w:ascii="仿宋_GB2312" w:hAnsi="黑体" w:eastAsia="仿宋_GB2312"/>
          <w:sz w:val="32"/>
          <w:szCs w:val="32"/>
        </w:rPr>
      </w:pPr>
      <w:r>
        <w:rPr>
          <w:rFonts w:hint="eastAsia" w:ascii="仿宋_GB2312" w:hAnsi="黑体" w:eastAsia="仿宋_GB2312"/>
          <w:sz w:val="32"/>
          <w:szCs w:val="32"/>
        </w:rPr>
        <w:t>地址：杭州萧山国际机场内        地址：</w:t>
      </w:r>
    </w:p>
    <w:p>
      <w:pPr>
        <w:adjustRightInd w:val="0"/>
        <w:snapToGrid w:val="0"/>
        <w:spacing w:line="560" w:lineRule="exact"/>
        <w:ind w:left="6750" w:hanging="6750"/>
        <w:rPr>
          <w:rFonts w:ascii="仿宋_GB2312" w:hAnsi="黑体" w:eastAsia="仿宋_GB2312"/>
          <w:sz w:val="32"/>
          <w:szCs w:val="32"/>
        </w:rPr>
      </w:pPr>
    </w:p>
    <w:p>
      <w:pPr>
        <w:adjustRightInd w:val="0"/>
        <w:snapToGrid w:val="0"/>
        <w:spacing w:line="560" w:lineRule="exact"/>
        <w:rPr>
          <w:rFonts w:ascii="仿宋_GB2312" w:hAnsi="黑体" w:eastAsia="仿宋_GB2312"/>
          <w:sz w:val="32"/>
          <w:szCs w:val="32"/>
        </w:rPr>
      </w:pPr>
      <w:r>
        <w:rPr>
          <w:rFonts w:hint="eastAsia" w:ascii="仿宋_GB2312" w:hAnsi="黑体" w:eastAsia="仿宋_GB2312"/>
          <w:sz w:val="32"/>
          <w:szCs w:val="32"/>
        </w:rPr>
        <w:t>法定代表人：                     法定代表人：</w:t>
      </w:r>
    </w:p>
    <w:p>
      <w:pPr>
        <w:adjustRightInd w:val="0"/>
        <w:snapToGrid w:val="0"/>
        <w:spacing w:line="560" w:lineRule="exact"/>
        <w:rPr>
          <w:rFonts w:ascii="仿宋_GB2312" w:hAnsi="黑体" w:eastAsia="仿宋_GB2312"/>
          <w:sz w:val="32"/>
          <w:szCs w:val="32"/>
        </w:rPr>
      </w:pPr>
      <w:r>
        <w:rPr>
          <w:rFonts w:hint="eastAsia" w:ascii="仿宋_GB2312" w:hAnsi="黑体" w:eastAsia="仿宋_GB2312"/>
          <w:sz w:val="32"/>
          <w:szCs w:val="32"/>
        </w:rPr>
        <w:t>或                               或</w:t>
      </w:r>
    </w:p>
    <w:p>
      <w:pPr>
        <w:adjustRightInd w:val="0"/>
        <w:snapToGrid w:val="0"/>
        <w:spacing w:line="560" w:lineRule="exact"/>
        <w:rPr>
          <w:rFonts w:ascii="仿宋_GB2312" w:hAnsi="黑体" w:eastAsia="仿宋_GB2312"/>
          <w:sz w:val="32"/>
          <w:szCs w:val="32"/>
        </w:rPr>
      </w:pPr>
      <w:r>
        <w:rPr>
          <w:rFonts w:hint="eastAsia" w:ascii="仿宋_GB2312" w:hAnsi="黑体" w:eastAsia="仿宋_GB2312"/>
          <w:sz w:val="32"/>
          <w:szCs w:val="32"/>
        </w:rPr>
        <w:t>授权代表：                       授权代表：</w:t>
      </w:r>
    </w:p>
    <w:p>
      <w:pPr>
        <w:adjustRightInd w:val="0"/>
        <w:snapToGrid w:val="0"/>
        <w:spacing w:line="560" w:lineRule="exact"/>
        <w:rPr>
          <w:rFonts w:ascii="仿宋_GB2312" w:hAnsi="黑体" w:eastAsia="仿宋_GB2312"/>
          <w:sz w:val="32"/>
          <w:szCs w:val="32"/>
        </w:rPr>
      </w:pPr>
      <w:r>
        <w:rPr>
          <w:rFonts w:hint="eastAsia" w:ascii="仿宋_GB2312" w:hAnsi="黑体" w:eastAsia="仿宋_GB2312"/>
          <w:sz w:val="32"/>
          <w:szCs w:val="32"/>
        </w:rPr>
        <w:t xml:space="preserve">签字日期：                       签字日期： </w:t>
      </w:r>
    </w:p>
    <w:p>
      <w:pPr>
        <w:adjustRightInd w:val="0"/>
        <w:snapToGrid w:val="0"/>
        <w:spacing w:line="560" w:lineRule="exact"/>
        <w:rPr>
          <w:rFonts w:ascii="仿宋_GB2312" w:hAnsi="黑体" w:eastAsia="仿宋_GB2312"/>
          <w:b/>
          <w:sz w:val="32"/>
          <w:szCs w:val="32"/>
        </w:rPr>
      </w:pPr>
    </w:p>
    <w:p>
      <w:pPr>
        <w:adjustRightInd w:val="0"/>
        <w:snapToGrid w:val="0"/>
        <w:spacing w:line="560" w:lineRule="exact"/>
        <w:ind w:firstLine="640" w:firstLineChars="200"/>
        <w:rPr>
          <w:rFonts w:ascii="仿宋_GB2312" w:hAnsi="黑体" w:eastAsia="仿宋_GB2312"/>
          <w:b/>
          <w:sz w:val="32"/>
          <w:szCs w:val="32"/>
        </w:rPr>
        <w:sectPr>
          <w:pgSz w:w="11906" w:h="16838"/>
          <w:pgMar w:top="1134" w:right="1247" w:bottom="1134" w:left="1247" w:header="851" w:footer="992" w:gutter="0"/>
          <w:pgNumType w:fmt="numberInDash"/>
          <w:cols w:space="720" w:num="1"/>
          <w:docGrid w:linePitch="312" w:charSpace="0"/>
        </w:sectPr>
      </w:pPr>
      <w:r>
        <w:rPr>
          <w:rFonts w:hint="eastAsia" w:ascii="仿宋_GB2312" w:hAnsi="黑体" w:eastAsia="仿宋_GB2312"/>
          <w:sz w:val="32"/>
          <w:szCs w:val="32"/>
        </w:rPr>
        <w:t>年  月  日                      年  月</w:t>
      </w:r>
    </w:p>
    <w:p>
      <w:pPr>
        <w:adjustRightInd w:val="0"/>
        <w:snapToGrid w:val="0"/>
        <w:spacing w:line="360" w:lineRule="exact"/>
        <w:jc w:val="left"/>
        <w:rPr>
          <w:rFonts w:ascii="宋体" w:hAnsi="宋体" w:eastAsia="等线"/>
          <w:sz w:val="22"/>
          <w:lang w:bidi="en-US"/>
        </w:rPr>
      </w:pPr>
      <w:r>
        <w:rPr>
          <w:rFonts w:hint="eastAsia" w:ascii="宋体" w:hAnsi="宋体" w:eastAsia="等线"/>
          <w:sz w:val="22"/>
          <w:lang w:bidi="en-US"/>
        </w:rPr>
        <w:t>附件1：</w:t>
      </w:r>
    </w:p>
    <w:p>
      <w:pPr>
        <w:adjustRightInd w:val="0"/>
        <w:snapToGrid w:val="0"/>
        <w:spacing w:line="360" w:lineRule="exact"/>
        <w:ind w:firstLine="452"/>
        <w:jc w:val="center"/>
        <w:rPr>
          <w:rFonts w:ascii="黑体" w:hAnsi="黑体" w:eastAsia="黑体"/>
          <w:sz w:val="30"/>
          <w:szCs w:val="30"/>
          <w:lang w:bidi="en-US"/>
        </w:rPr>
      </w:pPr>
      <w:r>
        <w:rPr>
          <w:rFonts w:hint="eastAsia" w:ascii="黑体" w:hAnsi="黑体" w:eastAsia="黑体"/>
          <w:sz w:val="30"/>
          <w:szCs w:val="30"/>
          <w:lang w:bidi="en-US"/>
        </w:rPr>
        <w:t>杭州萧山国际机场有限公司廉洁自律承诺书</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杭州萧山国际机场有限公司：</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二、不以任何名义为贵公司有关人员或项目第三方人员报销应由贵公司或个人支付的费用；</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三、不向贵公司有关人员或项目第三方人员提供宴请、旅游、和健身娱乐等活动；</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四、不为贵公司有关人员或项目第三方人员出国（境）、旅游等提供方便；</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五、不为贵公司有关人员或项目第三方人员个人装修住房、婚丧嫁娶、配偶子女工作安排等提供好处或便利条件；</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六、严格遵守国家招标投标法、合同法等法律规定，诚实守信，合法经营，坚决杜绝各种违法违纪行为。</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八、如违反上述廉洁自律承诺，贵公司有权：</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（1）立即取消我单位投标、中标或在建项目的实施资格；</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（2）扣除我公司的质量保证金的10%作为违反廉洁自律承诺的违约金。如该违约金不足以弥补贵公司损失的，我单位仍将承担实际损失赔偿责任。</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（3）拒绝我单位在一定时期内进入贵公司进行项目建设或其它经营活动；</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（4）由此引起的相应损失均由我单位承担。</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承诺人单位名称（盖章）：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法定代表人 ：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或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委托代理人：                   </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sectPr>
          <w:pgSz w:w="11906" w:h="16838"/>
          <w:pgMar w:top="1134" w:right="1247" w:bottom="1134" w:left="1247" w:header="851" w:footer="992" w:gutter="0"/>
          <w:pgNumType w:fmt="numberInDash"/>
          <w:cols w:space="720" w:num="1"/>
          <w:docGrid w:linePitch="312" w:charSpace="0"/>
        </w:sectPr>
      </w:pPr>
      <w:r>
        <w:rPr>
          <w:rFonts w:hint="eastAsia" w:ascii="宋体" w:hAnsi="宋体" w:eastAsia="等线"/>
          <w:sz w:val="22"/>
          <w:lang w:bidi="en-US"/>
        </w:rPr>
        <w:t xml:space="preserve">                           年     月     日</w:t>
      </w:r>
    </w:p>
    <w:p>
      <w:pPr>
        <w:adjustRightInd w:val="0"/>
        <w:snapToGrid w:val="0"/>
        <w:spacing w:line="360" w:lineRule="exact"/>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附件2： </w:t>
      </w:r>
    </w:p>
    <w:p>
      <w:pPr>
        <w:adjustRightInd w:val="0"/>
        <w:snapToGrid w:val="0"/>
        <w:spacing w:line="360" w:lineRule="exact"/>
        <w:ind w:firstLine="452"/>
        <w:jc w:val="center"/>
        <w:rPr>
          <w:rFonts w:ascii="宋体" w:hAnsi="宋体" w:eastAsia="等线"/>
          <w:bCs/>
          <w:sz w:val="22"/>
          <w:lang w:bidi="en-US"/>
        </w:rPr>
      </w:pPr>
      <w:r>
        <w:rPr>
          <w:rFonts w:hint="eastAsia" w:ascii="宋体" w:hAnsi="宋体" w:eastAsia="等线"/>
          <w:bCs/>
          <w:sz w:val="22"/>
          <w:lang w:bidi="en-US"/>
        </w:rPr>
        <w:t>保密承诺书</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1.1商业秘密是指机场公司（包括机场公司关联公司）一切专有、不对外公开的资料和信息。包括但不限于以下方面：</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（1）经营信息（发展规划、运营状况、客户资源、货源情报、投融资计划、开发计划、标书等）；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（2）管理信息（管理方法、管理制度、员工管理、合同管理、纠纷管理等）；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（3）产品及技术信息（设计及图纸、样品及服务、技术方案、质量标准、技术标准、计算机程序等）；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（4）财务信息（财务收支、固定资产、流动资金、成本核算等）；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（5）我方单独或机场公司（包括机场公司关联公司）和我方共同为机场公司开发、设计、生产的产品、资料及相关信息；</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1.3、对于上述提及的商业秘密，不能仅因为公开发表的文章或资讯中包含其内容，就认为是可对外公开的特殊情况。</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1.4、以下资料不属于本承诺所指的商业秘密：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（2）已经公开或已成为常识性的资料，且该等公开并非因违反本承诺所致。</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（1）披露、使用或者允许他人以不正当手段获取的商业秘密；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（2）为机场公司以外的第三人窃取、刺探、收买、非法提供商业秘密。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（3）在电子公告系统、聊天系统、电子邮箱、论坛等计算机网络系统上传递、转发、抄送、发布、谈论和传播商业秘密；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（4）在私人交往和通信中，向亲属、朋友以及与工作无关人员泄露商业秘密，或在公共场所谈论商业秘密；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（5）擅自将属于商业秘密的文件、资料和其他物品携带、传递、寄运出机场公司办公场所或国（境）外。</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（6）未经机场公司同意就以任何方式私自保存、截留含有机场公司商业秘密的任何形式资料、文件和物品的复印件、复制品、副本。</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（7）将含有机场公司商业秘密的产品、技术或其他资料、信息向第三人销售、使用或以任何方式提供。</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8、违约责任</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8.1因我方违反保密义务的行为造成机场公司的一切损失，我方应当全部予以赔偿。</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8.2如我方违反本承诺书下保密义务，应当承担违约责任，除赔偿损失外，还应依据合同向机场公司支付相应的违约金；</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9、本承诺书适用中华人民共和国法律，如因履行本承诺书发生争议，则双方均有权向机场公司所在地法院提起诉讼。</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供应商(盖章):</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法定代表人或授权代表：</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电话/传真：</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地址：</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widowControl/>
        <w:jc w:val="left"/>
        <w:rPr>
          <w:rFonts w:ascii="宋体" w:hAnsi="宋体" w:eastAsia="等线"/>
          <w:sz w:val="22"/>
          <w:lang w:bidi="en-US"/>
        </w:rPr>
      </w:pPr>
      <w:r>
        <w:rPr>
          <w:rFonts w:hint="eastAsia" w:ascii="宋体" w:hAnsi="宋体" w:eastAsia="等线"/>
          <w:sz w:val="22"/>
          <w:lang w:bidi="en-US"/>
        </w:rPr>
        <w:t xml:space="preserve">日期：     年     月   </w:t>
      </w:r>
    </w:p>
    <w:p>
      <w:pPr>
        <w:widowControl/>
        <w:jc w:val="left"/>
        <w:rPr>
          <w:rFonts w:ascii="宋体" w:hAnsi="宋体" w:eastAsia="等线"/>
          <w:sz w:val="22"/>
          <w:lang w:bidi="en-US"/>
        </w:rPr>
      </w:pPr>
    </w:p>
    <w:p>
      <w:pPr>
        <w:pStyle w:val="2"/>
        <w:spacing w:before="0" w:after="0"/>
        <w:rPr>
          <w:rFonts w:cs="Calibri"/>
          <w:kern w:val="0"/>
        </w:rPr>
      </w:pPr>
    </w:p>
    <w:p>
      <w:pPr>
        <w:pStyle w:val="2"/>
        <w:spacing w:before="0" w:after="0"/>
        <w:rPr>
          <w:rFonts w:cs="Calibri"/>
          <w:kern w:val="0"/>
        </w:rPr>
      </w:pPr>
    </w:p>
    <w:p/>
    <w:p/>
    <w:p/>
    <w:p/>
    <w:p/>
    <w:p/>
    <w:p/>
    <w:p/>
    <w:p/>
    <w:p/>
    <w:p/>
    <w:p/>
    <w:p/>
    <w:p/>
    <w:p/>
    <w:p/>
    <w:p/>
    <w:p>
      <w:pPr>
        <w:sectPr>
          <w:pgSz w:w="11906" w:h="16838"/>
          <w:pgMar w:top="1134" w:right="1247" w:bottom="1134" w:left="1247" w:header="851" w:footer="992" w:gutter="0"/>
          <w:pgNumType w:fmt="numberInDash"/>
          <w:cols w:space="720" w:num="1"/>
          <w:docGrid w:linePitch="312" w:charSpace="0"/>
        </w:sectPr>
      </w:pPr>
    </w:p>
    <w:p/>
    <w:p>
      <w:pPr>
        <w:pStyle w:val="2"/>
        <w:spacing w:before="0" w:after="0"/>
        <w:jc w:val="center"/>
        <w:rPr>
          <w:rFonts w:cs="Calibri"/>
          <w:kern w:val="0"/>
        </w:rPr>
      </w:pPr>
      <w:r>
        <w:rPr>
          <w:rFonts w:cs="Calibri"/>
          <w:kern w:val="0"/>
        </w:rPr>
        <w:t>第</w:t>
      </w:r>
      <w:r>
        <w:rPr>
          <w:rFonts w:hint="eastAsia" w:cs="Calibri"/>
          <w:kern w:val="0"/>
        </w:rPr>
        <w:t>五</w:t>
      </w:r>
      <w:r>
        <w:rPr>
          <w:rFonts w:cs="Calibri"/>
          <w:kern w:val="0"/>
        </w:rPr>
        <w:t>章  评标方法及标准</w:t>
      </w:r>
    </w:p>
    <w:p>
      <w:pPr>
        <w:pStyle w:val="26"/>
        <w:spacing w:line="360" w:lineRule="exact"/>
        <w:ind w:firstLine="420"/>
        <w:rPr>
          <w:rFonts w:hAnsi="宋体" w:cs="Calibri"/>
          <w:bCs/>
          <w:szCs w:val="22"/>
        </w:rPr>
      </w:pPr>
      <w:r>
        <w:rPr>
          <w:rFonts w:hAnsi="宋体" w:cs="Calibri"/>
          <w:bCs/>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6"/>
        <w:spacing w:line="360" w:lineRule="exact"/>
        <w:rPr>
          <w:rFonts w:hAnsi="宋体" w:cs="Calibri"/>
          <w:b/>
          <w:bCs/>
          <w:szCs w:val="22"/>
        </w:rPr>
      </w:pPr>
      <w:r>
        <w:rPr>
          <w:rFonts w:hAnsi="宋体" w:cs="Calibri"/>
          <w:b/>
          <w:bCs/>
          <w:szCs w:val="22"/>
        </w:rPr>
        <w:t>一、评标原则</w:t>
      </w:r>
    </w:p>
    <w:p>
      <w:pPr>
        <w:pStyle w:val="26"/>
        <w:spacing w:line="360" w:lineRule="exact"/>
        <w:ind w:firstLine="420"/>
        <w:rPr>
          <w:rFonts w:hAnsi="宋体" w:cs="Calibri"/>
          <w:szCs w:val="22"/>
        </w:rPr>
      </w:pPr>
      <w:r>
        <w:rPr>
          <w:rFonts w:hAnsi="宋体" w:cs="Calibri"/>
          <w:bCs/>
          <w:szCs w:val="22"/>
        </w:rPr>
        <w:t>评标应遵循公平、公正、科学、择优的原则。</w:t>
      </w:r>
    </w:p>
    <w:p>
      <w:pPr>
        <w:pStyle w:val="26"/>
        <w:spacing w:line="360" w:lineRule="exact"/>
        <w:rPr>
          <w:rFonts w:hAnsi="宋体" w:cs="Calibri"/>
          <w:b/>
          <w:bCs/>
          <w:szCs w:val="22"/>
        </w:rPr>
      </w:pPr>
      <w:r>
        <w:rPr>
          <w:rFonts w:hAnsi="宋体" w:cs="Calibri"/>
          <w:b/>
          <w:bCs/>
          <w:szCs w:val="22"/>
        </w:rPr>
        <w:t>二、评标组织</w:t>
      </w:r>
    </w:p>
    <w:p>
      <w:pPr>
        <w:pStyle w:val="26"/>
        <w:spacing w:line="360" w:lineRule="exact"/>
        <w:ind w:firstLine="420"/>
        <w:rPr>
          <w:rFonts w:hAnsi="宋体" w:cs="Calibri"/>
          <w:szCs w:val="22"/>
        </w:rPr>
      </w:pPr>
      <w:r>
        <w:rPr>
          <w:rFonts w:hAnsi="宋体" w:cs="Calibri"/>
          <w:szCs w:val="22"/>
        </w:rPr>
        <w:t>评标工作由招标人依法组建的评标委员会（小组）负责。评标委员会成员为</w:t>
      </w:r>
      <w:r>
        <w:rPr>
          <w:rFonts w:hint="eastAsia" w:hAnsi="宋体" w:cs="Calibri"/>
          <w:szCs w:val="22"/>
        </w:rPr>
        <w:t>3</w:t>
      </w:r>
      <w:r>
        <w:rPr>
          <w:rFonts w:hAnsi="宋体" w:cs="Calibri"/>
          <w:szCs w:val="22"/>
        </w:rPr>
        <w:t>人及以上单数，</w:t>
      </w:r>
      <w:r>
        <w:rPr>
          <w:rFonts w:hint="eastAsia" w:hAnsi="宋体"/>
          <w:szCs w:val="22"/>
        </w:rPr>
        <w:t>评标委员会由招标人自行组建。</w:t>
      </w:r>
    </w:p>
    <w:p>
      <w:pPr>
        <w:pStyle w:val="26"/>
        <w:spacing w:line="360" w:lineRule="exact"/>
        <w:rPr>
          <w:rFonts w:hAnsi="宋体" w:cs="Calibri"/>
          <w:b/>
          <w:bCs/>
          <w:szCs w:val="22"/>
        </w:rPr>
      </w:pPr>
      <w:r>
        <w:rPr>
          <w:rFonts w:hAnsi="宋体" w:cs="Calibri"/>
          <w:b/>
          <w:bCs/>
          <w:szCs w:val="22"/>
        </w:rPr>
        <w:t>三、投标文件的评审</w:t>
      </w:r>
    </w:p>
    <w:p>
      <w:pPr>
        <w:pStyle w:val="26"/>
        <w:spacing w:line="360" w:lineRule="exact"/>
        <w:ind w:firstLine="440" w:firstLineChars="200"/>
        <w:rPr>
          <w:rFonts w:hAnsi="宋体" w:cs="Calibri"/>
          <w:b/>
          <w:szCs w:val="22"/>
        </w:rPr>
      </w:pPr>
      <w:r>
        <w:rPr>
          <w:rFonts w:hAnsi="宋体" w:cs="Calibri"/>
          <w:b/>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6"/>
        <w:spacing w:line="360" w:lineRule="exact"/>
        <w:ind w:firstLine="440" w:firstLineChars="200"/>
        <w:rPr>
          <w:rFonts w:hAnsi="宋体" w:cs="Calibri"/>
          <w:szCs w:val="22"/>
        </w:rPr>
      </w:pPr>
      <w:r>
        <w:rPr>
          <w:rFonts w:hAnsi="宋体" w:cs="Calibri"/>
          <w:szCs w:val="22"/>
        </w:rPr>
        <w:t>评标委员会按以下原则对通过符合性审查的投标文件报价进行算术性修正：</w:t>
      </w:r>
    </w:p>
    <w:p>
      <w:pPr>
        <w:pStyle w:val="26"/>
        <w:numPr>
          <w:ilvl w:val="0"/>
          <w:numId w:val="5"/>
        </w:numPr>
        <w:adjustRightInd w:val="0"/>
        <w:spacing w:line="360" w:lineRule="exact"/>
        <w:ind w:left="0" w:firstLine="440" w:firstLineChars="200"/>
        <w:rPr>
          <w:rFonts w:hAnsi="宋体" w:cs="Calibri"/>
          <w:szCs w:val="22"/>
        </w:rPr>
      </w:pPr>
      <w:r>
        <w:rPr>
          <w:rFonts w:hAnsi="宋体" w:cs="Calibri"/>
          <w:szCs w:val="22"/>
        </w:rPr>
        <w:t>投标文件中的大写金额与小写金额不一致的，以大写金额为准；</w:t>
      </w:r>
    </w:p>
    <w:p>
      <w:pPr>
        <w:pStyle w:val="26"/>
        <w:numPr>
          <w:ilvl w:val="0"/>
          <w:numId w:val="5"/>
        </w:numPr>
        <w:adjustRightInd w:val="0"/>
        <w:spacing w:line="360" w:lineRule="exact"/>
        <w:ind w:left="0" w:firstLine="440" w:firstLineChars="200"/>
        <w:rPr>
          <w:rFonts w:hAnsi="宋体" w:cs="Calibri"/>
          <w:szCs w:val="22"/>
        </w:rPr>
      </w:pPr>
      <w:r>
        <w:rPr>
          <w:rFonts w:hAnsi="宋体" w:cs="Calibri"/>
          <w:szCs w:val="22"/>
        </w:rPr>
        <w:t>总价金额与依据单价（或各分项合计）计算出的结果不一致的，以单价金额（或各分项合计）为准修正总价，但单价金额小数点有明显错误的除外。</w:t>
      </w:r>
    </w:p>
    <w:p>
      <w:pPr>
        <w:pStyle w:val="26"/>
        <w:spacing w:line="360" w:lineRule="exact"/>
        <w:ind w:firstLine="440" w:firstLineChars="200"/>
        <w:rPr>
          <w:rFonts w:hAnsi="宋体" w:cs="Calibri"/>
          <w:b/>
          <w:szCs w:val="22"/>
        </w:rPr>
      </w:pPr>
      <w:r>
        <w:rPr>
          <w:rFonts w:hAnsi="宋体" w:cs="Calibri"/>
          <w:szCs w:val="22"/>
        </w:rPr>
        <w:t>★修正的价格经投标人书面确认后具有约束力。投标人不接受修正价格的，其投标作</w:t>
      </w:r>
      <w:r>
        <w:rPr>
          <w:rFonts w:hint="eastAsia" w:hAnsi="宋体" w:cs="Calibri"/>
          <w:b/>
          <w:bCs/>
        </w:rPr>
        <w:t>否决投标</w:t>
      </w:r>
      <w:r>
        <w:rPr>
          <w:rFonts w:hAnsi="宋体" w:cs="Calibri"/>
          <w:b/>
          <w:szCs w:val="22"/>
        </w:rPr>
        <w:t>处理</w:t>
      </w:r>
      <w:r>
        <w:rPr>
          <w:rFonts w:hAnsi="宋体" w:cs="Calibri"/>
          <w:szCs w:val="22"/>
        </w:rPr>
        <w:t>。</w:t>
      </w:r>
    </w:p>
    <w:p>
      <w:pPr>
        <w:pStyle w:val="26"/>
        <w:spacing w:line="360" w:lineRule="exact"/>
        <w:ind w:firstLine="440" w:firstLineChars="200"/>
        <w:rPr>
          <w:rFonts w:hAnsi="宋体" w:cs="Calibri"/>
          <w:b/>
          <w:szCs w:val="22"/>
        </w:rPr>
      </w:pPr>
      <w:r>
        <w:rPr>
          <w:rFonts w:hAnsi="宋体" w:cs="Calibri"/>
          <w:szCs w:val="22"/>
        </w:rPr>
        <w:t>当通过符合性评审的单位少于三家时（不包括三家），应由评标委员会确认是否具有竞争性，如果有竞争性，则评标继续进行。</w:t>
      </w:r>
    </w:p>
    <w:p>
      <w:pPr>
        <w:pStyle w:val="26"/>
        <w:spacing w:line="360" w:lineRule="exact"/>
        <w:ind w:firstLine="440" w:firstLineChars="200"/>
        <w:rPr>
          <w:rFonts w:hAnsi="宋体" w:cs="Calibri"/>
          <w:b/>
          <w:szCs w:val="22"/>
        </w:rPr>
      </w:pPr>
      <w:r>
        <w:rPr>
          <w:rFonts w:hAnsi="宋体" w:cs="Calibri"/>
          <w:b/>
          <w:szCs w:val="22"/>
        </w:rPr>
        <w:t>3.2 投标文件的澄清和补正</w:t>
      </w:r>
    </w:p>
    <w:p>
      <w:pPr>
        <w:pStyle w:val="26"/>
        <w:adjustRightInd w:val="0"/>
        <w:snapToGrid w:val="0"/>
        <w:spacing w:line="360" w:lineRule="exact"/>
        <w:ind w:firstLine="440" w:firstLineChars="200"/>
        <w:rPr>
          <w:rFonts w:hAnsi="宋体" w:cs="Calibri"/>
          <w:szCs w:val="22"/>
        </w:rPr>
      </w:pPr>
      <w:r>
        <w:rPr>
          <w:rFonts w:hAnsi="宋体" w:cs="Calibri"/>
          <w:szCs w:val="22"/>
        </w:rPr>
        <w:t>3.2.1 在评标过程中，评标委员会可以书面形式要求投标人对所提交的投标文件中不明确的内容进行书面澄清、说明或者补正。评标委员会不接受投标人主动提出的澄清、说明或补正。</w:t>
      </w:r>
    </w:p>
    <w:p>
      <w:pPr>
        <w:pStyle w:val="26"/>
        <w:adjustRightInd w:val="0"/>
        <w:snapToGrid w:val="0"/>
        <w:spacing w:line="360" w:lineRule="exact"/>
        <w:ind w:firstLine="440" w:firstLineChars="200"/>
        <w:rPr>
          <w:rFonts w:hAnsi="宋体" w:cs="Calibri"/>
          <w:szCs w:val="22"/>
        </w:rPr>
      </w:pPr>
      <w:r>
        <w:rPr>
          <w:rFonts w:hAnsi="宋体" w:cs="Calibri"/>
          <w:szCs w:val="22"/>
        </w:rPr>
        <w:t>3.2.2澄清、说明和补正不得改变投标文件的实质性内容（算术性错误修正的除外）。投标人的书面澄清、说明和补正属于投标文件的组成部分。</w:t>
      </w:r>
    </w:p>
    <w:p>
      <w:pPr>
        <w:pStyle w:val="26"/>
        <w:adjustRightInd w:val="0"/>
        <w:snapToGrid w:val="0"/>
        <w:spacing w:line="360" w:lineRule="exact"/>
        <w:ind w:firstLine="440" w:firstLineChars="200"/>
        <w:rPr>
          <w:rFonts w:hAnsi="宋体" w:cs="Calibri"/>
          <w:szCs w:val="22"/>
        </w:rPr>
      </w:pPr>
      <w:r>
        <w:rPr>
          <w:rFonts w:hAnsi="宋体" w:cs="Calibri"/>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6"/>
        <w:adjustRightInd w:val="0"/>
        <w:snapToGrid w:val="0"/>
        <w:spacing w:line="360" w:lineRule="exact"/>
        <w:ind w:firstLine="440" w:firstLineChars="200"/>
        <w:rPr>
          <w:rFonts w:hAnsi="宋体" w:cs="Calibri"/>
          <w:szCs w:val="22"/>
        </w:rPr>
      </w:pPr>
      <w:r>
        <w:rPr>
          <w:rFonts w:hint="eastAsia" w:hAnsi="宋体" w:cs="Calibri"/>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6"/>
        <w:adjustRightInd w:val="0"/>
        <w:snapToGrid w:val="0"/>
        <w:spacing w:line="360" w:lineRule="exact"/>
        <w:ind w:firstLine="440" w:firstLineChars="200"/>
        <w:rPr>
          <w:rFonts w:hAnsi="宋体" w:cs="Calibri"/>
          <w:szCs w:val="22"/>
        </w:rPr>
      </w:pPr>
      <w:r>
        <w:rPr>
          <w:rFonts w:hint="eastAsia" w:hAnsi="宋体"/>
          <w:b/>
          <w:color w:val="000000"/>
          <w:szCs w:val="22"/>
        </w:rPr>
        <w:t>每个投标人最终得分=商务报价分+资信及技术分</w:t>
      </w:r>
    </w:p>
    <w:p>
      <w:pPr>
        <w:pStyle w:val="26"/>
        <w:adjustRightInd w:val="0"/>
        <w:snapToGrid w:val="0"/>
        <w:spacing w:line="360" w:lineRule="exact"/>
        <w:ind w:firstLine="440" w:firstLineChars="200"/>
        <w:rPr>
          <w:rFonts w:hAnsi="宋体" w:cs="Arial"/>
          <w:b/>
          <w:szCs w:val="22"/>
        </w:rPr>
      </w:pPr>
      <w:r>
        <w:rPr>
          <w:rFonts w:hint="eastAsia" w:hAnsi="宋体" w:cs="Calibri"/>
          <w:szCs w:val="22"/>
        </w:rPr>
        <w:t>3.3.1商务报价分70分</w:t>
      </w:r>
    </w:p>
    <w:p>
      <w:pPr>
        <w:pStyle w:val="26"/>
        <w:adjustRightInd w:val="0"/>
        <w:snapToGrid w:val="0"/>
        <w:spacing w:line="360" w:lineRule="exact"/>
        <w:ind w:firstLine="440" w:firstLineChars="200"/>
        <w:rPr>
          <w:rFonts w:hAnsi="宋体" w:cs="Calibri"/>
          <w:szCs w:val="22"/>
        </w:rPr>
      </w:pPr>
      <w:r>
        <w:rPr>
          <w:rFonts w:hint="eastAsia" w:hAnsi="宋体"/>
          <w:szCs w:val="22"/>
        </w:rPr>
        <w:t>报价评分应在投标报价响应招标文件要求的基础上，取所有有效投标报价的算数平均值与次低价的算数平均值作为评标基准价，如有效投标报价的数量小于</w:t>
      </w:r>
      <w:r>
        <w:rPr>
          <w:rFonts w:hAnsi="宋体"/>
          <w:szCs w:val="22"/>
        </w:rPr>
        <w:t>4个，则评标基准价为所有有效投标报价的算数平均值与最低价的算数平均值。</w:t>
      </w:r>
      <w:r>
        <w:rPr>
          <w:rFonts w:hint="eastAsia" w:hAnsi="宋体" w:cs="Calibri"/>
          <w:szCs w:val="22"/>
        </w:rPr>
        <w:t>投标人的投标价等于评标基准价的得7</w:t>
      </w:r>
      <w:r>
        <w:rPr>
          <w:rFonts w:hAnsi="宋体" w:cs="Calibri"/>
          <w:szCs w:val="22"/>
        </w:rPr>
        <w:t>0</w:t>
      </w:r>
      <w:r>
        <w:rPr>
          <w:rFonts w:hint="eastAsia" w:hAnsi="宋体" w:cs="Calibri"/>
          <w:szCs w:val="22"/>
        </w:rPr>
        <w:t>分，每高于评标基准价</w:t>
      </w:r>
      <w:r>
        <w:rPr>
          <w:rFonts w:hAnsi="宋体" w:cs="Calibri"/>
          <w:szCs w:val="22"/>
        </w:rPr>
        <w:t>1%</w:t>
      </w:r>
      <w:r>
        <w:rPr>
          <w:rFonts w:hint="eastAsia" w:hAnsi="宋体" w:cs="Calibri"/>
          <w:szCs w:val="22"/>
        </w:rPr>
        <w:t>的扣</w:t>
      </w:r>
      <w:r>
        <w:rPr>
          <w:rFonts w:hAnsi="宋体" w:cs="Calibri"/>
          <w:szCs w:val="22"/>
        </w:rPr>
        <w:t>1</w:t>
      </w:r>
      <w:r>
        <w:rPr>
          <w:rFonts w:hint="eastAsia" w:hAnsi="宋体" w:cs="Calibri"/>
          <w:szCs w:val="22"/>
        </w:rPr>
        <w:t>分，每低于评标基准价</w:t>
      </w:r>
      <w:r>
        <w:rPr>
          <w:rFonts w:hAnsi="宋体" w:cs="Calibri"/>
          <w:szCs w:val="22"/>
        </w:rPr>
        <w:t>1%</w:t>
      </w:r>
      <w:r>
        <w:rPr>
          <w:rFonts w:hint="eastAsia" w:hAnsi="宋体" w:cs="Calibri"/>
          <w:szCs w:val="22"/>
        </w:rPr>
        <w:t>的扣</w:t>
      </w:r>
      <w:r>
        <w:rPr>
          <w:rFonts w:hAnsi="宋体" w:cs="Calibri"/>
          <w:szCs w:val="22"/>
        </w:rPr>
        <w:t>0.5</w:t>
      </w:r>
      <w:r>
        <w:rPr>
          <w:rFonts w:hint="eastAsia" w:hAnsi="宋体" w:cs="Calibri"/>
          <w:szCs w:val="22"/>
        </w:rPr>
        <w:t>分（不足</w:t>
      </w:r>
      <w:r>
        <w:rPr>
          <w:rFonts w:hAnsi="宋体" w:cs="Calibri"/>
          <w:szCs w:val="22"/>
        </w:rPr>
        <w:t>1</w:t>
      </w:r>
      <w:r>
        <w:rPr>
          <w:rFonts w:hint="eastAsia" w:hAnsi="宋体" w:cs="Calibri"/>
          <w:szCs w:val="22"/>
        </w:rPr>
        <w:t>个百分点按插值法计算，小数点后保留二位，四舍五入，商务分最低得分为</w:t>
      </w:r>
      <w:r>
        <w:rPr>
          <w:rFonts w:hAnsi="宋体" w:cs="Calibri"/>
          <w:szCs w:val="22"/>
        </w:rPr>
        <w:t>30</w:t>
      </w:r>
      <w:r>
        <w:rPr>
          <w:rFonts w:hint="eastAsia" w:hAnsi="宋体" w:cs="Calibri"/>
          <w:szCs w:val="22"/>
        </w:rPr>
        <w:t>分）</w:t>
      </w:r>
    </w:p>
    <w:p>
      <w:pPr>
        <w:pStyle w:val="26"/>
        <w:adjustRightInd w:val="0"/>
        <w:snapToGrid w:val="0"/>
        <w:spacing w:line="360" w:lineRule="exact"/>
        <w:ind w:firstLine="440" w:firstLineChars="200"/>
        <w:rPr>
          <w:rFonts w:hAnsi="宋体" w:cs="Calibri"/>
          <w:szCs w:val="22"/>
        </w:rPr>
      </w:pPr>
      <w:r>
        <w:rPr>
          <w:rFonts w:hint="eastAsia" w:hAnsi="宋体" w:cs="Calibri"/>
          <w:szCs w:val="22"/>
        </w:rPr>
        <w:t>此项由评标委员会集体核实后统一打分。</w:t>
      </w:r>
    </w:p>
    <w:p>
      <w:pPr>
        <w:pStyle w:val="26"/>
        <w:adjustRightInd w:val="0"/>
        <w:snapToGrid w:val="0"/>
        <w:spacing w:line="360" w:lineRule="exact"/>
        <w:ind w:firstLine="440" w:firstLineChars="200"/>
        <w:rPr>
          <w:rFonts w:hAnsi="宋体" w:cs="Calibri"/>
          <w:szCs w:val="22"/>
        </w:rPr>
      </w:pPr>
      <w:r>
        <w:rPr>
          <w:rFonts w:hint="eastAsia" w:hAnsi="宋体" w:cs="Calibri"/>
          <w:szCs w:val="22"/>
        </w:rPr>
        <w:t>2、资信及技术评分   0-30分</w:t>
      </w:r>
    </w:p>
    <w:p>
      <w:pPr>
        <w:pStyle w:val="26"/>
        <w:adjustRightInd w:val="0"/>
        <w:snapToGrid w:val="0"/>
        <w:spacing w:line="360" w:lineRule="exact"/>
        <w:ind w:firstLine="440" w:firstLineChars="200"/>
        <w:rPr>
          <w:rFonts w:hAnsi="宋体" w:cs="Calibri"/>
          <w:szCs w:val="22"/>
        </w:rPr>
      </w:pPr>
      <w:r>
        <w:rPr>
          <w:rFonts w:hint="eastAsia" w:hAnsi="宋体" w:cs="Calibri"/>
          <w:szCs w:val="22"/>
        </w:rPr>
        <w:t>该评分分值由评标委员会成员独立打分（具体分值设定详见下表），小数点后保留</w:t>
      </w:r>
      <w:r>
        <w:rPr>
          <w:rFonts w:hAnsi="宋体" w:cs="Calibri"/>
          <w:szCs w:val="22"/>
        </w:rPr>
        <w:t>1</w:t>
      </w:r>
      <w:r>
        <w:rPr>
          <w:rFonts w:hint="eastAsia" w:hAnsi="宋体" w:cs="Calibri"/>
          <w:szCs w:val="22"/>
        </w:rPr>
        <w:t>位小数。每个投标人的最终资信及技术得分为评标委员会打分的算术平均值（小数点后保留</w:t>
      </w:r>
      <w:r>
        <w:rPr>
          <w:rFonts w:hAnsi="宋体" w:cs="Calibri"/>
          <w:szCs w:val="22"/>
        </w:rPr>
        <w:t>2</w:t>
      </w:r>
      <w:r>
        <w:rPr>
          <w:rFonts w:hint="eastAsia" w:hAnsi="宋体" w:cs="Calibri"/>
          <w:szCs w:val="22"/>
        </w:rPr>
        <w:t>位，第三位四舍五入）。</w:t>
      </w:r>
    </w:p>
    <w:p>
      <w:pPr>
        <w:pStyle w:val="26"/>
        <w:adjustRightInd w:val="0"/>
        <w:snapToGrid w:val="0"/>
        <w:spacing w:line="360" w:lineRule="exact"/>
        <w:ind w:firstLine="440" w:firstLineChars="200"/>
        <w:rPr>
          <w:rFonts w:hAnsi="宋体" w:cs="Calibri"/>
          <w:szCs w:val="22"/>
        </w:rPr>
      </w:pPr>
      <w:r>
        <w:rPr>
          <w:rFonts w:hint="eastAsia" w:hAnsi="宋体" w:cs="Calibri"/>
          <w:szCs w:val="22"/>
        </w:rPr>
        <w:t>资信及技术评分分值设定标准</w:t>
      </w:r>
    </w:p>
    <w:tbl>
      <w:tblPr>
        <w:tblStyle w:val="43"/>
        <w:tblW w:w="10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34"/>
        <w:gridCol w:w="1236"/>
        <w:gridCol w:w="6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序号</w:t>
            </w:r>
          </w:p>
        </w:tc>
        <w:tc>
          <w:tcPr>
            <w:tcW w:w="1834"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项目</w:t>
            </w:r>
          </w:p>
        </w:tc>
        <w:tc>
          <w:tcPr>
            <w:tcW w:w="1236"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分值范围</w:t>
            </w:r>
          </w:p>
        </w:tc>
        <w:tc>
          <w:tcPr>
            <w:tcW w:w="6270"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tcBorders>
              <w:top w:val="single" w:color="auto" w:sz="4" w:space="0"/>
              <w:left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1</w:t>
            </w:r>
          </w:p>
        </w:tc>
        <w:tc>
          <w:tcPr>
            <w:tcW w:w="1834" w:type="dxa"/>
            <w:tcBorders>
              <w:top w:val="single" w:color="auto" w:sz="4" w:space="0"/>
              <w:left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资信情况</w:t>
            </w:r>
          </w:p>
          <w:p>
            <w:pPr>
              <w:pStyle w:val="26"/>
              <w:spacing w:line="360" w:lineRule="exact"/>
              <w:jc w:val="center"/>
              <w:rPr>
                <w:rFonts w:hAnsi="宋体" w:cs="宋体"/>
                <w:b/>
              </w:rPr>
            </w:pPr>
            <w:r>
              <w:rPr>
                <w:rFonts w:hint="eastAsia" w:hAnsi="宋体" w:cs="宋体"/>
                <w:b/>
              </w:rPr>
              <w:t>（滿分4分）</w:t>
            </w:r>
          </w:p>
        </w:tc>
        <w:tc>
          <w:tcPr>
            <w:tcW w:w="1236"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0～4分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以往同类产品项目经验0-2分；</w:t>
            </w:r>
          </w:p>
          <w:p>
            <w:pPr>
              <w:pStyle w:val="26"/>
              <w:spacing w:line="360" w:lineRule="exact"/>
              <w:jc w:val="center"/>
              <w:rPr>
                <w:rFonts w:hAnsi="宋体" w:cs="宋体"/>
                <w:b/>
              </w:rPr>
            </w:pPr>
            <w:r>
              <w:rPr>
                <w:rFonts w:hint="eastAsia" w:hAnsi="宋体" w:cs="宋体"/>
                <w:b/>
              </w:rPr>
              <w:t>提供两年内（自</w:t>
            </w:r>
            <w:r>
              <w:rPr>
                <w:rFonts w:hAnsi="宋体" w:cs="宋体"/>
                <w:b/>
              </w:rPr>
              <w:t>2017年1月1日起至投标截止日止）</w:t>
            </w:r>
            <w:r>
              <w:rPr>
                <w:rFonts w:hint="eastAsia" w:hAnsi="宋体" w:cs="宋体"/>
                <w:b/>
              </w:rPr>
              <w:t>类似项目合作成功案例，每一个项目得1分，得分合计不超过4分。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blHeader/>
          <w:jc w:val="center"/>
        </w:trPr>
        <w:tc>
          <w:tcPr>
            <w:tcW w:w="816" w:type="dxa"/>
            <w:tcBorders>
              <w:top w:val="single" w:color="auto" w:sz="4" w:space="0"/>
              <w:left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2</w:t>
            </w:r>
          </w:p>
        </w:tc>
        <w:tc>
          <w:tcPr>
            <w:tcW w:w="1834" w:type="dxa"/>
            <w:tcBorders>
              <w:top w:val="single" w:color="auto" w:sz="4" w:space="0"/>
              <w:left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技术方案</w:t>
            </w:r>
          </w:p>
          <w:p>
            <w:pPr>
              <w:pStyle w:val="26"/>
              <w:spacing w:line="360" w:lineRule="exact"/>
              <w:jc w:val="center"/>
              <w:rPr>
                <w:rFonts w:hAnsi="宋体" w:cs="宋体"/>
                <w:b/>
              </w:rPr>
            </w:pPr>
            <w:r>
              <w:rPr>
                <w:rFonts w:hint="eastAsia" w:hAnsi="宋体" w:cs="宋体"/>
                <w:b/>
              </w:rPr>
              <w:t>（滿分15分）</w:t>
            </w:r>
          </w:p>
        </w:tc>
        <w:tc>
          <w:tcPr>
            <w:tcW w:w="1236" w:type="dxa"/>
            <w:tcBorders>
              <w:top w:val="single" w:color="auto" w:sz="4" w:space="0"/>
              <w:left w:val="single" w:color="auto" w:sz="4" w:space="0"/>
              <w:right w:val="single" w:color="auto" w:sz="4" w:space="0"/>
            </w:tcBorders>
            <w:vAlign w:val="center"/>
          </w:tcPr>
          <w:p>
            <w:pPr>
              <w:pStyle w:val="26"/>
              <w:spacing w:line="360" w:lineRule="exact"/>
              <w:ind w:firstLine="110" w:firstLineChars="50"/>
              <w:rPr>
                <w:rFonts w:hAnsi="宋体" w:cs="宋体"/>
                <w:b/>
              </w:rPr>
            </w:pPr>
          </w:p>
          <w:p>
            <w:pPr>
              <w:pStyle w:val="26"/>
              <w:spacing w:line="360" w:lineRule="exact"/>
              <w:ind w:firstLine="110" w:firstLineChars="50"/>
              <w:rPr>
                <w:rFonts w:hAnsi="宋体" w:cs="宋体"/>
                <w:b/>
              </w:rPr>
            </w:pPr>
            <w:r>
              <w:rPr>
                <w:rFonts w:hint="eastAsia" w:hAnsi="宋体" w:cs="宋体"/>
                <w:b/>
              </w:rPr>
              <w:t>0～15分</w:t>
            </w:r>
          </w:p>
          <w:p>
            <w:pPr>
              <w:pStyle w:val="26"/>
              <w:spacing w:line="360" w:lineRule="exact"/>
              <w:jc w:val="center"/>
              <w:rPr>
                <w:rFonts w:hAnsi="宋体" w:cs="宋体"/>
                <w:b/>
              </w:rPr>
            </w:pPr>
          </w:p>
        </w:tc>
        <w:tc>
          <w:tcPr>
            <w:tcW w:w="6270" w:type="dxa"/>
            <w:tcBorders>
              <w:top w:val="single" w:color="auto" w:sz="4" w:space="0"/>
              <w:left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设计安全、合理，外观、材质、技术标准符合招标文件要求；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3</w:t>
            </w:r>
          </w:p>
        </w:tc>
        <w:tc>
          <w:tcPr>
            <w:tcW w:w="1834"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服务承诺</w:t>
            </w:r>
          </w:p>
          <w:p>
            <w:pPr>
              <w:pStyle w:val="26"/>
              <w:spacing w:line="360" w:lineRule="exact"/>
              <w:jc w:val="center"/>
              <w:rPr>
                <w:rFonts w:hAnsi="宋体" w:cs="宋体"/>
                <w:b/>
              </w:rPr>
            </w:pPr>
            <w:r>
              <w:rPr>
                <w:rFonts w:hint="eastAsia" w:hAnsi="宋体" w:cs="宋体"/>
                <w:b/>
              </w:rPr>
              <w:t>（满分10分）</w:t>
            </w:r>
          </w:p>
        </w:tc>
        <w:tc>
          <w:tcPr>
            <w:tcW w:w="1236"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0～10分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依据投标文件所体现的“三包”、免费保修及售后服务措施和方案情况，横比较后进行评分。其中，质保年限0-5分、服务措施0-5分（包括售后回访、培训教学、本地化服务等）；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4</w:t>
            </w:r>
          </w:p>
        </w:tc>
        <w:tc>
          <w:tcPr>
            <w:tcW w:w="1834"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标书制作</w:t>
            </w:r>
          </w:p>
          <w:p>
            <w:pPr>
              <w:pStyle w:val="26"/>
              <w:spacing w:line="360" w:lineRule="exact"/>
              <w:jc w:val="center"/>
              <w:rPr>
                <w:rFonts w:hAnsi="宋体" w:cs="宋体"/>
                <w:b/>
              </w:rPr>
            </w:pPr>
            <w:r>
              <w:rPr>
                <w:rFonts w:hint="eastAsia" w:hAnsi="宋体" w:cs="宋体"/>
                <w:b/>
              </w:rPr>
              <w:t>（满分1分）</w:t>
            </w:r>
          </w:p>
        </w:tc>
        <w:tc>
          <w:tcPr>
            <w:tcW w:w="1236"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0～1分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b/>
              </w:rPr>
            </w:pPr>
            <w:r>
              <w:rPr>
                <w:rFonts w:hint="eastAsia" w:hAnsi="宋体" w:cs="宋体"/>
                <w:b/>
              </w:rPr>
              <w:t>各投标文件横向比较后酌情评分。</w:t>
            </w:r>
          </w:p>
        </w:tc>
      </w:tr>
    </w:tbl>
    <w:p>
      <w:pPr>
        <w:pStyle w:val="26"/>
        <w:adjustRightInd w:val="0"/>
        <w:snapToGrid w:val="0"/>
        <w:spacing w:line="360" w:lineRule="exact"/>
        <w:ind w:firstLine="440" w:firstLineChars="200"/>
        <w:rPr>
          <w:rFonts w:hAnsi="宋体" w:cs="Calibri"/>
          <w:szCs w:val="22"/>
        </w:rPr>
      </w:pPr>
    </w:p>
    <w:p>
      <w:pPr>
        <w:pStyle w:val="26"/>
        <w:spacing w:line="360" w:lineRule="exact"/>
        <w:rPr>
          <w:rFonts w:hAnsi="宋体" w:cs="Calibri"/>
          <w:b/>
          <w:szCs w:val="22"/>
        </w:rPr>
      </w:pPr>
      <w:r>
        <w:rPr>
          <w:rFonts w:hAnsi="宋体" w:cs="Calibri"/>
          <w:b/>
          <w:szCs w:val="22"/>
        </w:rPr>
        <w:t>3.4推荐中标候选人</w:t>
      </w:r>
    </w:p>
    <w:p>
      <w:pPr>
        <w:pStyle w:val="26"/>
        <w:adjustRightInd w:val="0"/>
        <w:snapToGrid w:val="0"/>
        <w:spacing w:line="360" w:lineRule="exact"/>
        <w:ind w:firstLine="440" w:firstLineChars="200"/>
        <w:rPr>
          <w:rFonts w:hAnsi="宋体" w:cs="Calibri"/>
          <w:szCs w:val="22"/>
        </w:rPr>
      </w:pPr>
      <w:r>
        <w:rPr>
          <w:rFonts w:hAnsi="宋体" w:cs="Calibri"/>
          <w:szCs w:val="22"/>
        </w:rPr>
        <w:t>3.4.1当有效投标文件大于等于二名时，评标委员会</w:t>
      </w:r>
      <w:r>
        <w:rPr>
          <w:rFonts w:hint="eastAsia" w:hAnsi="宋体" w:cs="Calibri"/>
          <w:szCs w:val="22"/>
        </w:rPr>
        <w:t>得分最高、次高的投标人为中标候选人（如果得分相同则按投标人报价从低到高顺序推荐为中标候选人，如果投标报价也相同，则抽签决定）。</w:t>
      </w:r>
    </w:p>
    <w:p>
      <w:pPr>
        <w:pStyle w:val="26"/>
        <w:adjustRightInd w:val="0"/>
        <w:snapToGrid w:val="0"/>
        <w:spacing w:line="360" w:lineRule="exact"/>
        <w:ind w:firstLine="440" w:firstLineChars="200"/>
        <w:rPr>
          <w:rFonts w:hAnsi="宋体" w:cs="Calibri"/>
          <w:szCs w:val="22"/>
        </w:rPr>
      </w:pPr>
      <w:r>
        <w:rPr>
          <w:rFonts w:hAnsi="宋体" w:cs="Calibri"/>
          <w:szCs w:val="22"/>
        </w:rPr>
        <w:t>3.4.2当有效投标文件只有一名时，则由评标委员会确定是否推荐为中标候选人。</w:t>
      </w:r>
    </w:p>
    <w:p>
      <w:pPr>
        <w:pStyle w:val="26"/>
        <w:spacing w:line="360" w:lineRule="exact"/>
        <w:rPr>
          <w:rFonts w:hAnsi="宋体" w:cs="Calibri"/>
          <w:b/>
          <w:szCs w:val="22"/>
        </w:rPr>
      </w:pPr>
      <w:r>
        <w:rPr>
          <w:rFonts w:hAnsi="宋体" w:cs="Calibri"/>
          <w:b/>
          <w:szCs w:val="22"/>
        </w:rPr>
        <w:t>3.</w:t>
      </w:r>
      <w:r>
        <w:rPr>
          <w:rFonts w:hint="eastAsia" w:hAnsi="宋体" w:cs="Calibri"/>
          <w:b/>
          <w:szCs w:val="22"/>
        </w:rPr>
        <w:t>5</w:t>
      </w:r>
      <w:r>
        <w:rPr>
          <w:rFonts w:hAnsi="宋体" w:cs="Calibri"/>
          <w:b/>
          <w:szCs w:val="22"/>
        </w:rPr>
        <w:t>评标报告</w:t>
      </w:r>
    </w:p>
    <w:p>
      <w:pPr>
        <w:pStyle w:val="26"/>
        <w:adjustRightInd w:val="0"/>
        <w:snapToGrid w:val="0"/>
        <w:spacing w:line="360" w:lineRule="exact"/>
        <w:ind w:firstLine="440" w:firstLineChars="200"/>
        <w:rPr>
          <w:rFonts w:hAnsi="宋体" w:cs="Calibri"/>
          <w:szCs w:val="22"/>
        </w:rPr>
      </w:pPr>
      <w:r>
        <w:rPr>
          <w:rFonts w:hAnsi="宋体" w:cs="Calibri"/>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6"/>
        <w:spacing w:line="360" w:lineRule="exact"/>
        <w:rPr>
          <w:rFonts w:hAnsi="宋体" w:cs="Calibri"/>
          <w:b/>
          <w:szCs w:val="22"/>
        </w:rPr>
      </w:pPr>
      <w:r>
        <w:rPr>
          <w:rFonts w:hAnsi="宋体" w:cs="Calibri"/>
          <w:b/>
          <w:szCs w:val="22"/>
        </w:rPr>
        <w:t>四、</w:t>
      </w:r>
      <w:r>
        <w:rPr>
          <w:rFonts w:hint="eastAsia" w:hAnsi="宋体" w:cs="Calibri"/>
          <w:b/>
          <w:szCs w:val="22"/>
        </w:rPr>
        <w:t>定</w:t>
      </w:r>
      <w:r>
        <w:rPr>
          <w:rFonts w:hAnsi="宋体" w:cs="Calibri"/>
          <w:b/>
          <w:szCs w:val="22"/>
        </w:rPr>
        <w:t>标</w:t>
      </w:r>
    </w:p>
    <w:p>
      <w:pPr>
        <w:pStyle w:val="26"/>
        <w:adjustRightInd w:val="0"/>
        <w:snapToGrid w:val="0"/>
        <w:spacing w:line="360" w:lineRule="exact"/>
        <w:ind w:firstLine="440" w:firstLineChars="200"/>
        <w:rPr>
          <w:rFonts w:hAnsi="宋体" w:cs="Calibri"/>
          <w:szCs w:val="22"/>
        </w:rPr>
      </w:pPr>
      <w:r>
        <w:rPr>
          <w:rFonts w:hAnsi="宋体" w:cs="Calibri"/>
          <w:szCs w:val="22"/>
        </w:rPr>
        <w:t>4.</w:t>
      </w:r>
      <w:r>
        <w:rPr>
          <w:rFonts w:hint="eastAsia" w:hAnsi="宋体" w:cs="Calibri"/>
          <w:szCs w:val="22"/>
        </w:rPr>
        <w:t>1</w:t>
      </w:r>
      <w:r>
        <w:rPr>
          <w:rFonts w:hAnsi="宋体" w:cs="Calibri"/>
          <w:szCs w:val="22"/>
        </w:rPr>
        <w:t>招标人将确定评标委员会推荐的</w:t>
      </w:r>
      <w:r>
        <w:rPr>
          <w:rFonts w:hint="eastAsia" w:hAnsi="宋体" w:cs="Calibri"/>
          <w:szCs w:val="22"/>
        </w:rPr>
        <w:t>第一</w:t>
      </w:r>
      <w:r>
        <w:rPr>
          <w:rFonts w:hAnsi="宋体" w:cs="Calibri"/>
          <w:szCs w:val="22"/>
        </w:rPr>
        <w:t>中标候选人为中标人。</w:t>
      </w:r>
      <w:r>
        <w:rPr>
          <w:rFonts w:hint="eastAsia" w:hAnsi="宋体" w:cs="Calibri"/>
          <w:szCs w:val="22"/>
        </w:rPr>
        <w:t>第一</w:t>
      </w:r>
      <w:r>
        <w:rPr>
          <w:rFonts w:hAnsi="宋体" w:cs="Calibri"/>
          <w:szCs w:val="22"/>
        </w:rPr>
        <w:t>中标候选人放弃中标、因不可抗力不能履行合同，或者被查实存在影响中标结果的违法行为等情形，不符合中标条件的，招标人可以在其他中标候选人中按照推荐的排序确定中标人</w:t>
      </w:r>
      <w:r>
        <w:rPr>
          <w:rFonts w:hint="eastAsia" w:hAnsi="宋体" w:cs="Calibri"/>
          <w:szCs w:val="22"/>
        </w:rPr>
        <w:t>或</w:t>
      </w:r>
      <w:r>
        <w:rPr>
          <w:rFonts w:hAnsi="宋体" w:cs="Calibri"/>
          <w:szCs w:val="22"/>
        </w:rPr>
        <w:t>重新招标。</w:t>
      </w:r>
    </w:p>
    <w:p>
      <w:pPr>
        <w:pStyle w:val="26"/>
        <w:adjustRightInd w:val="0"/>
        <w:snapToGrid w:val="0"/>
        <w:spacing w:line="360" w:lineRule="exact"/>
        <w:ind w:firstLine="440" w:firstLineChars="200"/>
        <w:rPr>
          <w:rFonts w:hAnsi="宋体" w:cs="Calibri"/>
          <w:szCs w:val="22"/>
        </w:rPr>
      </w:pPr>
      <w:r>
        <w:rPr>
          <w:rFonts w:hint="eastAsia" w:hAnsi="宋体" w:cs="Calibri"/>
          <w:szCs w:val="22"/>
        </w:rPr>
        <w:t>4.2</w:t>
      </w:r>
      <w:r>
        <w:rPr>
          <w:rFonts w:hAnsi="宋体" w:cs="Calibri"/>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6"/>
        <w:adjustRightInd w:val="0"/>
        <w:snapToGrid w:val="0"/>
        <w:spacing w:line="360" w:lineRule="exact"/>
        <w:ind w:firstLine="440" w:firstLineChars="200"/>
        <w:rPr>
          <w:rFonts w:hAnsi="宋体" w:cs="Calibri"/>
          <w:szCs w:val="22"/>
        </w:rPr>
      </w:pPr>
      <w:r>
        <w:rPr>
          <w:rFonts w:hAnsi="宋体" w:cs="Calibri"/>
          <w:szCs w:val="22"/>
        </w:rPr>
        <w:t>4.</w:t>
      </w:r>
      <w:r>
        <w:rPr>
          <w:rFonts w:hint="eastAsia" w:hAnsi="宋体" w:cs="Calibri"/>
          <w:szCs w:val="22"/>
        </w:rPr>
        <w:t>3</w:t>
      </w:r>
      <w:r>
        <w:rPr>
          <w:rFonts w:hAnsi="宋体" w:cs="Calibri"/>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Cs w:val="22"/>
        </w:rPr>
        <w:t>或</w:t>
      </w:r>
      <w:r>
        <w:rPr>
          <w:rFonts w:hAnsi="宋体" w:cs="Calibri"/>
          <w:szCs w:val="22"/>
        </w:rPr>
        <w:t>重新招标。</w:t>
      </w:r>
    </w:p>
    <w:p>
      <w:pPr>
        <w:pStyle w:val="26"/>
        <w:adjustRightInd w:val="0"/>
        <w:snapToGrid w:val="0"/>
        <w:spacing w:line="360" w:lineRule="exact"/>
        <w:ind w:firstLine="440" w:firstLineChars="200"/>
        <w:rPr>
          <w:rFonts w:hAnsi="宋体" w:cs="Calibri"/>
          <w:b/>
          <w:szCs w:val="22"/>
        </w:rPr>
      </w:pPr>
      <w:r>
        <w:rPr>
          <w:rFonts w:hint="eastAsia" w:hAnsi="宋体" w:cs="Calibri"/>
          <w:b/>
          <w:szCs w:val="22"/>
        </w:rPr>
        <w:t>4.4招标人对评标、定标结果不负责解释。</w:t>
      </w:r>
    </w:p>
    <w:p>
      <w:pPr>
        <w:widowControl/>
        <w:jc w:val="left"/>
      </w:pPr>
      <w:r>
        <w:br w:type="page"/>
      </w:r>
    </w:p>
    <w:p>
      <w:pPr>
        <w:pStyle w:val="2"/>
        <w:spacing w:before="0" w:after="0"/>
      </w:pPr>
      <w:r>
        <w:t>第</w:t>
      </w:r>
      <w:r>
        <w:rPr>
          <w:rFonts w:hint="eastAsia"/>
        </w:rPr>
        <w:t>六</w:t>
      </w:r>
      <w:r>
        <w:t>章  投标文件格式</w:t>
      </w:r>
      <w:bookmarkEnd w:id="74"/>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5" w:name="_Toc171421958"/>
      <w:r>
        <w:rPr>
          <w:rFonts w:cs="Calibri"/>
          <w:color w:val="000000"/>
        </w:rPr>
        <w:t>封面</w:t>
      </w:r>
      <w:bookmarkEnd w:id="75"/>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6"/>
        <w:spacing w:afterLines="50" w:line="360" w:lineRule="auto"/>
        <w:jc w:val="left"/>
        <w:rPr>
          <w:rFonts w:hAnsi="宋体" w:cs="宋体"/>
          <w:b/>
        </w:rPr>
      </w:pPr>
      <w:r>
        <w:rPr>
          <w:rFonts w:hAnsi="宋体" w:cs="宋体"/>
          <w:b/>
        </w:rPr>
        <w:br w:type="page"/>
      </w:r>
      <w:bookmarkStart w:id="76" w:name="_Toc133214102"/>
      <w:bookmarkStart w:id="77" w:name="_Toc133214309"/>
      <w:bookmarkStart w:id="78" w:name="_Toc133470542"/>
      <w:bookmarkStart w:id="79" w:name="_Toc137373398"/>
      <w:bookmarkStart w:id="80" w:name="_Toc144265958"/>
    </w:p>
    <w:p>
      <w:pPr>
        <w:pStyle w:val="26"/>
        <w:spacing w:afterLines="50" w:line="360" w:lineRule="auto"/>
        <w:jc w:val="left"/>
        <w:rPr>
          <w:rFonts w:hAnsi="宋体" w:cs="宋体"/>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6"/>
        <w:spacing w:afterLines="50" w:line="360" w:lineRule="auto"/>
        <w:jc w:val="center"/>
        <w:rPr>
          <w:rFonts w:hAnsi="宋体" w:cs="宋体"/>
        </w:rPr>
      </w:pPr>
    </w:p>
    <w:p>
      <w:pPr>
        <w:pStyle w:val="26"/>
        <w:numPr>
          <w:ilvl w:val="1"/>
          <w:numId w:val="7"/>
        </w:numPr>
        <w:snapToGrid w:val="0"/>
        <w:spacing w:beforeLines="50" w:line="360" w:lineRule="exact"/>
        <w:rPr>
          <w:rFonts w:hAnsi="宋体" w:cs="宋体"/>
          <w:b/>
          <w:szCs w:val="22"/>
        </w:rPr>
      </w:pPr>
      <w:r>
        <w:rPr>
          <w:rFonts w:hint="eastAsia" w:hAnsi="宋体" w:cs="宋体"/>
          <w:b/>
          <w:szCs w:val="22"/>
        </w:rPr>
        <w:t>总则</w:t>
      </w:r>
    </w:p>
    <w:p>
      <w:pPr>
        <w:pStyle w:val="26"/>
        <w:numPr>
          <w:ilvl w:val="1"/>
          <w:numId w:val="8"/>
        </w:numPr>
        <w:snapToGrid w:val="0"/>
        <w:spacing w:beforeLines="50" w:line="360" w:lineRule="exact"/>
        <w:rPr>
          <w:rFonts w:hAnsi="宋体" w:cs="宋体"/>
          <w:szCs w:val="22"/>
        </w:rPr>
      </w:pPr>
      <w:r>
        <w:rPr>
          <w:rFonts w:hint="eastAsia" w:hAnsi="宋体" w:cs="宋体"/>
          <w:szCs w:val="22"/>
        </w:rPr>
        <w:t>一旦投标人对本投标报价表作出报价并为招标人所接纳后，本投标报价表就成为一份具有约束力的合同文件的一部分，用来作为合同付款的依据。</w:t>
      </w:r>
    </w:p>
    <w:p>
      <w:pPr>
        <w:pStyle w:val="26"/>
        <w:numPr>
          <w:ilvl w:val="1"/>
          <w:numId w:val="8"/>
        </w:numPr>
        <w:snapToGrid w:val="0"/>
        <w:spacing w:beforeLines="50" w:line="360" w:lineRule="exact"/>
        <w:rPr>
          <w:rFonts w:hAnsi="宋体" w:cs="宋体"/>
          <w:szCs w:val="22"/>
        </w:rPr>
      </w:pPr>
      <w:r>
        <w:rPr>
          <w:rFonts w:hint="eastAsia" w:hAnsi="宋体" w:cs="宋体"/>
          <w:szCs w:val="22"/>
        </w:rPr>
        <w:t>报价应包含本项目所有税项。如买方根据法规和国家有关规定获减免税或退税，利益完全归买方。</w:t>
      </w:r>
    </w:p>
    <w:p>
      <w:pPr>
        <w:pStyle w:val="26"/>
        <w:numPr>
          <w:ilvl w:val="1"/>
          <w:numId w:val="8"/>
        </w:numPr>
        <w:snapToGrid w:val="0"/>
        <w:spacing w:beforeLines="50" w:line="360" w:lineRule="exact"/>
        <w:rPr>
          <w:rFonts w:hAnsi="宋体" w:cs="宋体"/>
          <w:szCs w:val="22"/>
        </w:rPr>
      </w:pPr>
      <w:r>
        <w:rPr>
          <w:rFonts w:hint="eastAsia" w:hAnsi="宋体" w:cs="宋体"/>
          <w:szCs w:val="22"/>
        </w:rPr>
        <w:t>投标人应仔细阅读所有招标文件，填报自己理解并认为正确的报价。除合同规定的调整外，投标人对实际工作及工作量的差异的索赔将不获考虑。</w:t>
      </w:r>
    </w:p>
    <w:p>
      <w:pPr>
        <w:pStyle w:val="26"/>
        <w:numPr>
          <w:ilvl w:val="1"/>
          <w:numId w:val="8"/>
        </w:numPr>
        <w:snapToGrid w:val="0"/>
        <w:spacing w:beforeLines="50" w:line="360" w:lineRule="exact"/>
        <w:rPr>
          <w:rFonts w:hAnsi="宋体" w:cs="宋体"/>
          <w:szCs w:val="22"/>
        </w:rPr>
      </w:pPr>
      <w:r>
        <w:rPr>
          <w:rFonts w:hint="eastAsia" w:hAnsi="宋体" w:cs="宋体"/>
          <w:szCs w:val="22"/>
        </w:rPr>
        <w:t>本投标报价表中所有金额和单价以人民币结算。</w:t>
      </w:r>
    </w:p>
    <w:p>
      <w:pPr>
        <w:pStyle w:val="26"/>
        <w:numPr>
          <w:ilvl w:val="1"/>
          <w:numId w:val="8"/>
        </w:numPr>
        <w:snapToGrid w:val="0"/>
        <w:spacing w:beforeLines="50" w:line="360" w:lineRule="exact"/>
        <w:rPr>
          <w:rFonts w:hAnsi="宋体" w:cs="宋体"/>
          <w:szCs w:val="22"/>
        </w:rPr>
      </w:pPr>
      <w:r>
        <w:rPr>
          <w:rFonts w:hint="eastAsia" w:hAnsi="宋体" w:cs="宋体"/>
          <w:szCs w:val="22"/>
        </w:rPr>
        <w:t>本投标报价表中的金额应包括在项目整个实施过程中，根据合同所需要的所有成本和费用。</w:t>
      </w:r>
    </w:p>
    <w:p>
      <w:pPr>
        <w:pStyle w:val="26"/>
        <w:numPr>
          <w:ilvl w:val="1"/>
          <w:numId w:val="8"/>
        </w:numPr>
        <w:snapToGrid w:val="0"/>
        <w:spacing w:beforeLines="50" w:line="360" w:lineRule="exact"/>
        <w:rPr>
          <w:rFonts w:hAnsi="宋体" w:cs="宋体"/>
          <w:szCs w:val="22"/>
        </w:rPr>
      </w:pPr>
      <w:r>
        <w:rPr>
          <w:rFonts w:hint="eastAsia" w:hAnsi="宋体" w:cs="宋体"/>
          <w:szCs w:val="22"/>
        </w:rPr>
        <w:t>本总则上列各条中提及的“投标人”在合同执行过程中应作为“卖方”解释。</w:t>
      </w:r>
    </w:p>
    <w:p>
      <w:pPr>
        <w:pStyle w:val="26"/>
        <w:numPr>
          <w:ilvl w:val="1"/>
          <w:numId w:val="7"/>
        </w:numPr>
        <w:snapToGrid w:val="0"/>
        <w:spacing w:beforeLines="50" w:line="360" w:lineRule="exact"/>
        <w:rPr>
          <w:rFonts w:hAnsi="宋体" w:cs="宋体"/>
          <w:szCs w:val="22"/>
        </w:rPr>
      </w:pPr>
      <w:r>
        <w:rPr>
          <w:rFonts w:hint="eastAsia" w:hAnsi="宋体" w:cs="宋体"/>
          <w:szCs w:val="22"/>
        </w:rPr>
        <w:t>投标报价表包含以下各表</w:t>
      </w:r>
    </w:p>
    <w:bookmarkEnd w:id="76"/>
    <w:bookmarkEnd w:id="77"/>
    <w:bookmarkEnd w:id="78"/>
    <w:bookmarkEnd w:id="79"/>
    <w:bookmarkEnd w:id="80"/>
    <w:p>
      <w:pPr>
        <w:snapToGrid w:val="0"/>
        <w:spacing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43"/>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rPr>
            </w:pPr>
            <w:r>
              <w:rPr>
                <w:rFonts w:hint="eastAsia" w:ascii="宋体" w:hAnsi="宋体" w:cs="宋体"/>
                <w:b/>
                <w:sz w:val="22"/>
              </w:rPr>
              <w:t>序 号</w:t>
            </w:r>
          </w:p>
        </w:tc>
        <w:tc>
          <w:tcPr>
            <w:tcW w:w="2976" w:type="dxa"/>
            <w:vAlign w:val="center"/>
          </w:tcPr>
          <w:p>
            <w:pPr>
              <w:snapToGrid w:val="0"/>
              <w:jc w:val="center"/>
              <w:rPr>
                <w:rFonts w:ascii="宋体" w:hAnsi="宋体" w:cs="宋体"/>
                <w:b/>
              </w:rPr>
            </w:pPr>
            <w:r>
              <w:rPr>
                <w:rFonts w:hint="eastAsia" w:ascii="宋体" w:hAnsi="宋体" w:cs="宋体"/>
                <w:b/>
                <w:sz w:val="22"/>
              </w:rPr>
              <w:t>内    容</w:t>
            </w:r>
          </w:p>
        </w:tc>
        <w:tc>
          <w:tcPr>
            <w:tcW w:w="3544" w:type="dxa"/>
            <w:vAlign w:val="center"/>
          </w:tcPr>
          <w:p>
            <w:pPr>
              <w:snapToGrid w:val="0"/>
              <w:jc w:val="center"/>
              <w:rPr>
                <w:rFonts w:ascii="宋体" w:hAnsi="宋体" w:cs="宋体"/>
                <w:b/>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rPr>
            </w:pPr>
            <w:r>
              <w:rPr>
                <w:rFonts w:hint="eastAsia" w:ascii="宋体" w:hAnsi="宋体" w:cs="宋体"/>
                <w:sz w:val="22"/>
              </w:rPr>
              <w:t>1</w:t>
            </w:r>
          </w:p>
        </w:tc>
        <w:tc>
          <w:tcPr>
            <w:tcW w:w="2976" w:type="dxa"/>
            <w:vAlign w:val="center"/>
          </w:tcPr>
          <w:p>
            <w:pPr>
              <w:snapToGrid w:val="0"/>
              <w:jc w:val="center"/>
              <w:rPr>
                <w:rFonts w:ascii="宋体" w:hAnsi="宋体" w:cs="宋体"/>
              </w:rPr>
            </w:pPr>
            <w:r>
              <w:rPr>
                <w:rFonts w:hint="eastAsia" w:ascii="宋体" w:hAnsi="宋体" w:cs="宋体"/>
                <w:sz w:val="22"/>
              </w:rPr>
              <w:t>设备费(表4.2)</w:t>
            </w:r>
          </w:p>
        </w:tc>
        <w:tc>
          <w:tcPr>
            <w:tcW w:w="3544" w:type="dxa"/>
            <w:vAlign w:val="center"/>
          </w:tcPr>
          <w:p>
            <w:pPr>
              <w:snapToGrid w:val="0"/>
              <w:rPr>
                <w:rFonts w:ascii="宋体" w:hAnsi="宋体" w:cs="宋体"/>
              </w:rPr>
            </w:pPr>
          </w:p>
        </w:tc>
        <w:tc>
          <w:tcPr>
            <w:tcW w:w="1423" w:type="dxa"/>
            <w:vAlign w:val="center"/>
          </w:tcPr>
          <w:p>
            <w:pPr>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rPr>
            </w:pPr>
            <w:r>
              <w:rPr>
                <w:rFonts w:hint="eastAsia" w:ascii="宋体" w:hAnsi="宋体" w:cs="宋体"/>
                <w:sz w:val="22"/>
              </w:rPr>
              <w:t>2</w:t>
            </w:r>
          </w:p>
        </w:tc>
        <w:tc>
          <w:tcPr>
            <w:tcW w:w="2976" w:type="dxa"/>
            <w:vAlign w:val="center"/>
          </w:tcPr>
          <w:p>
            <w:pPr>
              <w:snapToGrid w:val="0"/>
              <w:jc w:val="center"/>
              <w:rPr>
                <w:rFonts w:ascii="宋体" w:hAnsi="宋体" w:cs="宋体"/>
              </w:rPr>
            </w:pPr>
            <w:r>
              <w:rPr>
                <w:rFonts w:hint="eastAsia" w:ascii="宋体" w:hAnsi="宋体" w:cs="宋体"/>
                <w:sz w:val="22"/>
              </w:rPr>
              <w:t>随机配件和专用工具(表4.3)</w:t>
            </w:r>
          </w:p>
        </w:tc>
        <w:tc>
          <w:tcPr>
            <w:tcW w:w="3544" w:type="dxa"/>
            <w:vAlign w:val="center"/>
          </w:tcPr>
          <w:p>
            <w:pPr>
              <w:snapToGrid w:val="0"/>
              <w:rPr>
                <w:rFonts w:ascii="宋体" w:hAnsi="宋体" w:cs="宋体"/>
              </w:rPr>
            </w:pPr>
          </w:p>
        </w:tc>
        <w:tc>
          <w:tcPr>
            <w:tcW w:w="1423" w:type="dxa"/>
            <w:vAlign w:val="center"/>
          </w:tcPr>
          <w:p>
            <w:pPr>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rPr>
            </w:pPr>
          </w:p>
        </w:tc>
        <w:tc>
          <w:tcPr>
            <w:tcW w:w="2976" w:type="dxa"/>
            <w:vAlign w:val="center"/>
          </w:tcPr>
          <w:p>
            <w:pPr>
              <w:snapToGrid w:val="0"/>
              <w:jc w:val="center"/>
              <w:rPr>
                <w:rFonts w:ascii="宋体" w:hAnsi="宋体" w:cs="宋体"/>
                <w:b/>
              </w:rPr>
            </w:pPr>
            <w:r>
              <w:rPr>
                <w:rFonts w:hint="eastAsia" w:ascii="宋体" w:hAnsi="宋体" w:cs="宋体"/>
                <w:b/>
                <w:sz w:val="22"/>
              </w:rPr>
              <w:t>总    计</w:t>
            </w:r>
          </w:p>
        </w:tc>
        <w:tc>
          <w:tcPr>
            <w:tcW w:w="3544" w:type="dxa"/>
            <w:vAlign w:val="center"/>
          </w:tcPr>
          <w:p>
            <w:pPr>
              <w:snapToGrid w:val="0"/>
              <w:rPr>
                <w:rFonts w:ascii="宋体" w:hAnsi="宋体" w:cs="宋体"/>
              </w:rPr>
            </w:pPr>
          </w:p>
        </w:tc>
        <w:tc>
          <w:tcPr>
            <w:tcW w:w="1423" w:type="dxa"/>
            <w:vAlign w:val="center"/>
          </w:tcPr>
          <w:p>
            <w:pPr>
              <w:snapToGrid w:val="0"/>
              <w:rPr>
                <w:rFonts w:ascii="宋体" w:hAnsi="宋体" w:cs="宋体"/>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9"/>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Lines="50" w:line="360" w:lineRule="auto"/>
        <w:ind w:firstLine="3960"/>
        <w:rPr>
          <w:rFonts w:ascii="宋体" w:hAnsi="宋体" w:cs="宋体"/>
        </w:rPr>
      </w:pPr>
      <w:bookmarkStart w:id="81" w:name="_Toc133214103"/>
      <w:bookmarkStart w:id="82" w:name="_Toc133214310"/>
      <w:bookmarkStart w:id="83" w:name="_Toc133470544"/>
      <w:bookmarkStart w:id="84" w:name="_Toc137373399"/>
    </w:p>
    <w:p>
      <w:pPr>
        <w:spacing w:line="360" w:lineRule="auto"/>
        <w:jc w:val="center"/>
        <w:rPr>
          <w:rFonts w:ascii="宋体" w:hAnsi="宋体" w:cs="宋体"/>
          <w:b/>
          <w:sz w:val="32"/>
          <w:szCs w:val="32"/>
        </w:rPr>
      </w:pPr>
      <w:bookmarkStart w:id="85" w:name="_Toc144265959"/>
      <w:r>
        <w:rPr>
          <w:rFonts w:hint="eastAsia" w:ascii="宋体" w:hAnsi="宋体" w:cs="宋体"/>
          <w:b/>
          <w:sz w:val="32"/>
          <w:szCs w:val="32"/>
        </w:rPr>
        <w:br w:type="page"/>
      </w:r>
    </w:p>
    <w:bookmarkEnd w:id="81"/>
    <w:bookmarkEnd w:id="82"/>
    <w:bookmarkEnd w:id="83"/>
    <w:bookmarkEnd w:id="84"/>
    <w:bookmarkEnd w:id="85"/>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43"/>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合计（不含税价）</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合计（含税价）</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0"/>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43"/>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43"/>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4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rPr>
            </w:pPr>
          </w:p>
        </w:tc>
        <w:tc>
          <w:tcPr>
            <w:tcW w:w="1748" w:type="dxa"/>
            <w:gridSpan w:val="3"/>
            <w:vAlign w:val="center"/>
          </w:tcPr>
          <w:p>
            <w:pPr>
              <w:snapToGrid w:val="0"/>
              <w:ind w:left="-170" w:right="-170"/>
              <w:jc w:val="center"/>
              <w:rPr>
                <w:rFonts w:ascii="宋体" w:hAnsi="宋体" w:cs="宋体"/>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rPr>
            </w:pPr>
          </w:p>
        </w:tc>
        <w:tc>
          <w:tcPr>
            <w:tcW w:w="1748" w:type="dxa"/>
            <w:gridSpan w:val="3"/>
            <w:vAlign w:val="center"/>
          </w:tcPr>
          <w:p>
            <w:pPr>
              <w:snapToGrid w:val="0"/>
              <w:ind w:left="-170" w:right="-170"/>
              <w:jc w:val="center"/>
              <w:rPr>
                <w:rFonts w:ascii="宋体" w:hAnsi="宋体" w:cs="宋体"/>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单位优势</w:t>
            </w:r>
          </w:p>
          <w:p>
            <w:pPr>
              <w:snapToGrid w:val="0"/>
              <w:ind w:left="-170" w:right="-170"/>
              <w:jc w:val="center"/>
              <w:rPr>
                <w:rFonts w:ascii="宋体" w:hAnsi="宋体" w:cs="宋体"/>
              </w:rPr>
            </w:pPr>
            <w:r>
              <w:rPr>
                <w:rFonts w:hint="eastAsia" w:ascii="宋体" w:hAnsi="宋体" w:cs="宋体"/>
                <w:sz w:val="22"/>
              </w:rPr>
              <w:t>及 特 长</w:t>
            </w:r>
          </w:p>
        </w:tc>
        <w:tc>
          <w:tcPr>
            <w:tcW w:w="7643" w:type="dxa"/>
            <w:gridSpan w:val="10"/>
            <w:vAlign w:val="center"/>
          </w:tcPr>
          <w:p>
            <w:pPr>
              <w:ind w:firstLine="44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740" w:type="dxa"/>
            <w:gridSpan w:val="3"/>
            <w:vAlign w:val="center"/>
          </w:tcPr>
          <w:p>
            <w:pPr>
              <w:snapToGrid w:val="0"/>
              <w:ind w:left="-170" w:right="-170"/>
              <w:jc w:val="center"/>
              <w:rPr>
                <w:rFonts w:ascii="宋体" w:hAnsi="宋体" w:cs="宋体"/>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restart"/>
            <w:vAlign w:val="center"/>
          </w:tcPr>
          <w:p>
            <w:pPr>
              <w:snapToGrid w:val="0"/>
              <w:ind w:left="-170" w:right="-170"/>
              <w:jc w:val="center"/>
              <w:rPr>
                <w:rFonts w:ascii="宋体" w:hAnsi="宋体" w:cs="宋体"/>
              </w:rPr>
            </w:pPr>
            <w:r>
              <w:rPr>
                <w:rFonts w:hint="eastAsia" w:ascii="宋体" w:hAnsi="宋体" w:cs="宋体"/>
                <w:sz w:val="22"/>
              </w:rPr>
              <w:t>固定</w:t>
            </w:r>
          </w:p>
          <w:p>
            <w:pPr>
              <w:snapToGrid w:val="0"/>
              <w:ind w:left="-170" w:right="-170"/>
              <w:jc w:val="center"/>
              <w:rPr>
                <w:rFonts w:ascii="宋体" w:hAnsi="宋体" w:cs="宋体"/>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rPr>
            </w:pPr>
            <w:r>
              <w:rPr>
                <w:rFonts w:hint="eastAsia" w:ascii="宋体" w:hAnsi="宋体" w:cs="宋体"/>
                <w:sz w:val="22"/>
              </w:rPr>
              <w:t>资金</w:t>
            </w:r>
          </w:p>
          <w:p>
            <w:pPr>
              <w:snapToGrid w:val="0"/>
              <w:ind w:left="-170" w:right="-170"/>
              <w:jc w:val="center"/>
              <w:rPr>
                <w:rFonts w:ascii="宋体" w:hAnsi="宋体" w:cs="宋体"/>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continue"/>
            <w:vAlign w:val="center"/>
          </w:tcPr>
          <w:p>
            <w:pPr>
              <w:snapToGrid w:val="0"/>
              <w:ind w:left="-170" w:right="-170"/>
              <w:jc w:val="center"/>
              <w:rPr>
                <w:rFonts w:ascii="宋体" w:hAnsi="宋体" w:cs="宋体"/>
              </w:rPr>
            </w:pPr>
          </w:p>
        </w:tc>
        <w:tc>
          <w:tcPr>
            <w:tcW w:w="1575" w:type="dxa"/>
            <w:gridSpan w:val="3"/>
            <w:vMerge w:val="continue"/>
            <w:vAlign w:val="center"/>
          </w:tcPr>
          <w:p>
            <w:pPr>
              <w:snapToGrid w:val="0"/>
              <w:ind w:left="-170" w:right="-170"/>
              <w:jc w:val="center"/>
              <w:rPr>
                <w:rFonts w:ascii="宋体" w:hAnsi="宋体" w:cs="宋体"/>
              </w:rPr>
            </w:pPr>
          </w:p>
        </w:tc>
        <w:tc>
          <w:tcPr>
            <w:tcW w:w="840" w:type="dxa"/>
            <w:gridSpan w:val="2"/>
            <w:vMerge w:val="continue"/>
            <w:vAlign w:val="center"/>
          </w:tcPr>
          <w:p>
            <w:pPr>
              <w:snapToGrid w:val="0"/>
              <w:ind w:left="-170" w:right="-170"/>
              <w:jc w:val="center"/>
              <w:rPr>
                <w:rFonts w:ascii="宋体" w:hAnsi="宋体" w:cs="宋体"/>
              </w:rPr>
            </w:pPr>
          </w:p>
        </w:tc>
        <w:tc>
          <w:tcPr>
            <w:tcW w:w="1440" w:type="dxa"/>
            <w:vAlign w:val="center"/>
          </w:tcPr>
          <w:p>
            <w:pPr>
              <w:snapToGrid w:val="0"/>
              <w:ind w:left="-170" w:right="-170"/>
              <w:jc w:val="center"/>
              <w:rPr>
                <w:rFonts w:ascii="宋体" w:hAnsi="宋体" w:cs="宋体"/>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restart"/>
            <w:vAlign w:val="center"/>
          </w:tcPr>
          <w:p>
            <w:pPr>
              <w:snapToGrid w:val="0"/>
              <w:ind w:left="-170" w:right="-170"/>
              <w:jc w:val="center"/>
              <w:rPr>
                <w:rFonts w:ascii="宋体" w:hAnsi="宋体" w:cs="宋体"/>
              </w:rPr>
            </w:pPr>
            <w:r>
              <w:rPr>
                <w:rFonts w:hint="eastAsia" w:ascii="宋体" w:hAnsi="宋体" w:cs="宋体"/>
                <w:sz w:val="22"/>
              </w:rPr>
              <w:t>流动</w:t>
            </w:r>
          </w:p>
          <w:p>
            <w:pPr>
              <w:snapToGrid w:val="0"/>
              <w:ind w:left="-170" w:right="-170"/>
              <w:jc w:val="center"/>
              <w:rPr>
                <w:rFonts w:ascii="宋体" w:hAnsi="宋体" w:cs="宋体"/>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rPr>
            </w:pPr>
            <w:r>
              <w:rPr>
                <w:rFonts w:hint="eastAsia" w:ascii="宋体" w:hAnsi="宋体" w:cs="宋体"/>
                <w:sz w:val="22"/>
              </w:rPr>
              <w:t>资金</w:t>
            </w:r>
          </w:p>
          <w:p>
            <w:pPr>
              <w:snapToGrid w:val="0"/>
              <w:ind w:left="-170" w:right="-170"/>
              <w:jc w:val="center"/>
              <w:rPr>
                <w:rFonts w:ascii="宋体" w:hAnsi="宋体" w:cs="宋体"/>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continue"/>
            <w:vAlign w:val="center"/>
          </w:tcPr>
          <w:p>
            <w:pPr>
              <w:snapToGrid w:val="0"/>
              <w:ind w:left="-170" w:right="-170"/>
              <w:jc w:val="center"/>
              <w:rPr>
                <w:rFonts w:ascii="宋体" w:hAnsi="宋体" w:cs="宋体"/>
              </w:rPr>
            </w:pPr>
          </w:p>
        </w:tc>
        <w:tc>
          <w:tcPr>
            <w:tcW w:w="1575" w:type="dxa"/>
            <w:gridSpan w:val="3"/>
            <w:vMerge w:val="continue"/>
            <w:vAlign w:val="center"/>
          </w:tcPr>
          <w:p>
            <w:pPr>
              <w:snapToGrid w:val="0"/>
              <w:ind w:left="-170" w:right="-170"/>
              <w:jc w:val="center"/>
              <w:rPr>
                <w:rFonts w:ascii="宋体" w:hAnsi="宋体" w:cs="宋体"/>
              </w:rPr>
            </w:pPr>
          </w:p>
        </w:tc>
        <w:tc>
          <w:tcPr>
            <w:tcW w:w="840" w:type="dxa"/>
            <w:gridSpan w:val="2"/>
            <w:vMerge w:val="continue"/>
            <w:vAlign w:val="center"/>
          </w:tcPr>
          <w:p>
            <w:pPr>
              <w:snapToGrid w:val="0"/>
              <w:ind w:left="-170" w:right="-170"/>
              <w:jc w:val="center"/>
              <w:rPr>
                <w:rFonts w:ascii="宋体" w:hAnsi="宋体" w:cs="宋体"/>
              </w:rPr>
            </w:pPr>
          </w:p>
        </w:tc>
        <w:tc>
          <w:tcPr>
            <w:tcW w:w="1440" w:type="dxa"/>
            <w:vAlign w:val="center"/>
          </w:tcPr>
          <w:p>
            <w:pPr>
              <w:snapToGrid w:val="0"/>
              <w:ind w:left="-170" w:right="-170"/>
              <w:jc w:val="center"/>
              <w:rPr>
                <w:rFonts w:ascii="宋体" w:hAnsi="宋体" w:cs="宋体"/>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经营</w:t>
            </w:r>
          </w:p>
          <w:p>
            <w:pPr>
              <w:snapToGrid w:val="0"/>
              <w:ind w:left="-170" w:right="-170"/>
              <w:jc w:val="center"/>
              <w:rPr>
                <w:rFonts w:ascii="宋体" w:hAnsi="宋体" w:cs="宋体"/>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rPr>
            </w:pPr>
          </w:p>
          <w:p>
            <w:pPr>
              <w:snapToGrid w:val="0"/>
              <w:ind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rPr>
            </w:pPr>
            <w:r>
              <w:rPr>
                <w:rFonts w:hint="eastAsia" w:ascii="宋体" w:hAnsi="宋体" w:cs="宋体"/>
                <w:sz w:val="22"/>
              </w:rPr>
              <w:t>经 济</w:t>
            </w:r>
          </w:p>
          <w:p>
            <w:pPr>
              <w:snapToGrid w:val="0"/>
              <w:ind w:left="-170" w:right="-170"/>
              <w:jc w:val="center"/>
              <w:rPr>
                <w:rFonts w:ascii="宋体" w:hAnsi="宋体" w:cs="宋体"/>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553" w:type="dxa"/>
            <w:gridSpan w:val="2"/>
            <w:vAlign w:val="center"/>
          </w:tcPr>
          <w:p>
            <w:pPr>
              <w:snapToGrid w:val="0"/>
              <w:ind w:left="-170" w:right="-170"/>
              <w:jc w:val="center"/>
              <w:rPr>
                <w:rFonts w:ascii="宋体" w:hAnsi="宋体" w:cs="宋体"/>
              </w:rPr>
            </w:pPr>
          </w:p>
        </w:tc>
        <w:tc>
          <w:tcPr>
            <w:tcW w:w="6090" w:type="dxa"/>
            <w:gridSpan w:val="8"/>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553" w:type="dxa"/>
            <w:gridSpan w:val="2"/>
            <w:vAlign w:val="center"/>
          </w:tcPr>
          <w:p>
            <w:pPr>
              <w:snapToGrid w:val="0"/>
              <w:ind w:left="-170" w:right="-170"/>
              <w:jc w:val="center"/>
              <w:rPr>
                <w:rFonts w:ascii="宋体" w:hAnsi="宋体" w:cs="宋体"/>
              </w:rPr>
            </w:pPr>
          </w:p>
        </w:tc>
        <w:tc>
          <w:tcPr>
            <w:tcW w:w="6090" w:type="dxa"/>
            <w:gridSpan w:val="8"/>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rPr>
            </w:pPr>
          </w:p>
        </w:tc>
        <w:tc>
          <w:tcPr>
            <w:tcW w:w="1553" w:type="dxa"/>
            <w:gridSpan w:val="2"/>
            <w:tcBorders>
              <w:bottom w:val="single" w:color="auto" w:sz="4" w:space="0"/>
            </w:tcBorders>
            <w:vAlign w:val="center"/>
          </w:tcPr>
          <w:p>
            <w:pPr>
              <w:snapToGrid w:val="0"/>
              <w:ind w:left="-170" w:right="-170"/>
              <w:jc w:val="center"/>
              <w:rPr>
                <w:rFonts w:ascii="宋体" w:hAnsi="宋体" w:cs="宋体"/>
              </w:rPr>
            </w:pPr>
          </w:p>
        </w:tc>
        <w:tc>
          <w:tcPr>
            <w:tcW w:w="6090" w:type="dxa"/>
            <w:gridSpan w:val="8"/>
            <w:tcBorders>
              <w:bottom w:val="single" w:color="auto" w:sz="4" w:space="0"/>
            </w:tcBorders>
            <w:vAlign w:val="center"/>
          </w:tcPr>
          <w:p>
            <w:pPr>
              <w:snapToGrid w:val="0"/>
              <w:ind w:left="-170" w:right="-170"/>
              <w:jc w:val="center"/>
              <w:rPr>
                <w:rFonts w:ascii="宋体" w:hAnsi="宋体" w:cs="宋体"/>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1"/>
        </w:numPr>
        <w:adjustRightInd w:val="0"/>
        <w:spacing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7"/>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5"/>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6"/>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（三）投标产品近三年的销售业绩一览表</w:t>
      </w:r>
    </w:p>
    <w:tbl>
      <w:tblPr>
        <w:tblStyle w:val="4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26"/>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四、技术规格偏离表</w:t>
      </w:r>
    </w:p>
    <w:p>
      <w:pPr>
        <w:spacing w:line="560" w:lineRule="exact"/>
        <w:rPr>
          <w:rFonts w:ascii="宋体" w:hAnsi="宋体"/>
        </w:rPr>
      </w:pPr>
    </w:p>
    <w:tbl>
      <w:tblPr>
        <w:tblStyle w:val="4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26"/>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43"/>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r>
              <w:rPr>
                <w:rFonts w:hAnsi="宋体"/>
              </w:rPr>
              <w:t>序号</w:t>
            </w:r>
          </w:p>
        </w:tc>
        <w:tc>
          <w:tcPr>
            <w:tcW w:w="900" w:type="dxa"/>
            <w:vAlign w:val="center"/>
          </w:tcPr>
          <w:p>
            <w:pPr>
              <w:pStyle w:val="26"/>
              <w:adjustRightInd w:val="0"/>
              <w:snapToGrid w:val="0"/>
              <w:jc w:val="center"/>
              <w:rPr>
                <w:rFonts w:hAnsi="宋体"/>
              </w:rPr>
            </w:pPr>
            <w:r>
              <w:rPr>
                <w:rFonts w:hAnsi="宋体"/>
              </w:rPr>
              <w:t>内容</w:t>
            </w:r>
          </w:p>
        </w:tc>
        <w:tc>
          <w:tcPr>
            <w:tcW w:w="3510" w:type="dxa"/>
            <w:vAlign w:val="center"/>
          </w:tcPr>
          <w:p>
            <w:pPr>
              <w:pStyle w:val="26"/>
              <w:adjustRightInd w:val="0"/>
              <w:snapToGrid w:val="0"/>
              <w:jc w:val="center"/>
              <w:rPr>
                <w:rFonts w:hAnsi="宋体"/>
              </w:rPr>
            </w:pPr>
            <w:r>
              <w:rPr>
                <w:rFonts w:hAnsi="宋体"/>
              </w:rPr>
              <w:t>招标文件要求</w:t>
            </w:r>
          </w:p>
        </w:tc>
        <w:tc>
          <w:tcPr>
            <w:tcW w:w="3510" w:type="dxa"/>
            <w:vAlign w:val="center"/>
          </w:tcPr>
          <w:p>
            <w:pPr>
              <w:pStyle w:val="26"/>
              <w:adjustRightInd w:val="0"/>
              <w:snapToGrid w:val="0"/>
              <w:jc w:val="center"/>
              <w:rPr>
                <w:rFonts w:hAnsi="宋体"/>
              </w:rPr>
            </w:pPr>
            <w:r>
              <w:rPr>
                <w:rFonts w:hAnsi="宋体"/>
              </w:rPr>
              <w:t>投标文件对应内容</w:t>
            </w:r>
          </w:p>
        </w:tc>
        <w:tc>
          <w:tcPr>
            <w:tcW w:w="827" w:type="dxa"/>
            <w:vAlign w:val="center"/>
          </w:tcPr>
          <w:p>
            <w:pPr>
              <w:pStyle w:val="26"/>
              <w:adjustRightInd w:val="0"/>
              <w:snapToGrid w:val="0"/>
              <w:jc w:val="center"/>
              <w:rPr>
                <w:rFonts w:hAnsi="宋体"/>
              </w:rPr>
            </w:pPr>
            <w:r>
              <w:rPr>
                <w:rFonts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bl>
    <w:p>
      <w:pPr>
        <w:pStyle w:val="26"/>
        <w:adjustRightInd w:val="0"/>
        <w:snapToGrid w:val="0"/>
        <w:spacing w:line="560" w:lineRule="exact"/>
        <w:rPr>
          <w:rFonts w:hAnsi="宋体"/>
          <w:bCs/>
          <w:sz w:val="24"/>
          <w:szCs w:val="24"/>
        </w:rPr>
      </w:pPr>
    </w:p>
    <w:p>
      <w:pPr>
        <w:pStyle w:val="26"/>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w:t>
    </w:r>
    <w:r>
      <w:t xml:space="preserve"> 20 -</w:t>
    </w:r>
    <w:r>
      <w:fldChar w:fldCharType="end"/>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6"/>
      </w:rPr>
    </w:pPr>
    <w:r>
      <w:fldChar w:fldCharType="begin"/>
    </w:r>
    <w:r>
      <w:rPr>
        <w:rStyle w:val="46"/>
      </w:rPr>
      <w:instrText xml:space="preserve">PAGE  </w:instrTex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6"/>
      </w:rPr>
    </w:pPr>
    <w:r>
      <w:fldChar w:fldCharType="begin"/>
    </w:r>
    <w:r>
      <w:rPr>
        <w:rStyle w:val="46"/>
      </w:rPr>
      <w:instrText xml:space="preserve">PAGE  </w:instrText>
    </w:r>
    <w:r>
      <w:fldChar w:fldCharType="separate"/>
    </w:r>
    <w:r>
      <w:rPr>
        <w:rStyle w:val="46"/>
      </w:rPr>
      <w:t>40</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textAlignment w:val="bottom"/>
      <w:rPr>
        <w:rFonts w:ascii="宋体" w:hAnsi="宋体"/>
        <w:color w:val="000000"/>
        <w:szCs w:val="18"/>
      </w:rPr>
    </w:pPr>
    <w:r>
      <w:rPr>
        <w:rFonts w:hint="eastAsia" w:ascii="宋体" w:hAnsi="宋体"/>
        <w:color w:val="000000"/>
        <w:szCs w:val="18"/>
      </w:rPr>
      <w:t>杭州萧山国际机场软隔离设施采购项目文件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1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36"/>
      <w:lvlText w:val=""/>
      <w:lvlJc w:val="left"/>
      <w:pPr>
        <w:tabs>
          <w:tab w:val="left" w:pos="360"/>
        </w:tabs>
        <w:ind w:left="360" w:hanging="360"/>
      </w:pPr>
      <w:rPr>
        <w:rFonts w:hint="default" w:ascii="Wingdings" w:hAnsi="Wingdings"/>
      </w:r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7">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9">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0">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1">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2">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21"/>
      <w:lvlText w:val=""/>
      <w:lvlJc w:val="left"/>
      <w:pPr>
        <w:tabs>
          <w:tab w:val="left" w:pos="3780"/>
        </w:tabs>
        <w:ind w:left="3780" w:hanging="420"/>
      </w:pPr>
      <w:rPr>
        <w:rFonts w:hint="default" w:ascii="Wingdings" w:hAnsi="Wingdings"/>
      </w:rPr>
    </w:lvl>
  </w:abstractNum>
  <w:num w:numId="1">
    <w:abstractNumId w:val="16"/>
  </w:num>
  <w:num w:numId="2">
    <w:abstractNumId w:val="1"/>
  </w:num>
  <w:num w:numId="3">
    <w:abstractNumId w:val="17"/>
  </w:num>
  <w:num w:numId="4">
    <w:abstractNumId w:val="0"/>
  </w:num>
  <w:num w:numId="5">
    <w:abstractNumId w:val="4"/>
  </w:num>
  <w:num w:numId="6">
    <w:abstractNumId w:val="15"/>
  </w:num>
  <w:num w:numId="7">
    <w:abstractNumId w:val="13"/>
  </w:num>
  <w:num w:numId="8">
    <w:abstractNumId w:val="7"/>
  </w:num>
  <w:num w:numId="9">
    <w:abstractNumId w:val="14"/>
  </w:num>
  <w:num w:numId="10">
    <w:abstractNumId w:val="3"/>
  </w:num>
  <w:num w:numId="11">
    <w:abstractNumId w:val="8"/>
  </w:num>
  <w:num w:numId="12">
    <w:abstractNumId w:val="10"/>
  </w:num>
  <w:num w:numId="13">
    <w:abstractNumId w:val="6"/>
  </w:num>
  <w:num w:numId="14">
    <w:abstractNumId w:val="2"/>
  </w:num>
  <w:num w:numId="15">
    <w:abstractNumId w:val="5"/>
  </w:num>
  <w:num w:numId="16">
    <w:abstractNumId w:val="12"/>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4C6A88"/>
    <w:rsid w:val="006341E8"/>
    <w:rsid w:val="008B7726"/>
    <w:rsid w:val="00A06A5B"/>
    <w:rsid w:val="00A20F8E"/>
    <w:rsid w:val="00AC14A1"/>
    <w:rsid w:val="00B639FD"/>
    <w:rsid w:val="00D31D50"/>
    <w:rsid w:val="65874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0" w:name="annotation text"/>
    <w:lsdException w:uiPriority="0"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iPriority="99" w:name="macro"/>
    <w:lsdException w:uiPriority="99" w:name="toa heading"/>
    <w:lsdException w:unhideWhenUsed="0" w:uiPriority="0" w:semiHidden="0" w:name="List"/>
    <w:lsdException w:unhideWhenUsed="0" w:uiPriority="0" w:semiHidden="0" w:name="List Bullet"/>
    <w:lsdException w:uiPriority="99" w:name="List Number"/>
    <w:lsdException w:unhideWhenUsed="0" w:uiPriority="0" w:semiHidden="0" w:name="List 2"/>
    <w:lsdException w:unhideWhenUsed="0" w:uiPriority="0" w:semiHidden="0" w:name="List 3"/>
    <w:lsdException w:unhideWhenUsed="0" w:uiPriority="0" w:semiHidden="0"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0" w:semiHidden="0" w:name="Body Text"/>
    <w:lsdException w:uiPriority="0" w:semiHidden="0" w:name="Body Text Indent"/>
    <w:lsdException w:unhideWhenUsed="0" w:uiPriority="0" w:semiHidden="0"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0" w:name="Body Text First Indent"/>
    <w:lsdException w:uiPriority="0" w:name="Body Text First Indent 2"/>
    <w:lsdException w:uiPriority="99" w:name="Note Heading"/>
    <w:lsdException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5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link w:val="52"/>
    <w:qFormat/>
    <w:uiPriority w:val="0"/>
    <w:pPr>
      <w:keepNext/>
      <w:keepLines/>
      <w:spacing w:before="260" w:after="260" w:line="360" w:lineRule="auto"/>
      <w:jc w:val="center"/>
      <w:outlineLvl w:val="1"/>
    </w:pPr>
    <w:rPr>
      <w:rFonts w:ascii="Arial" w:hAnsi="Arial"/>
      <w:b/>
      <w:bCs/>
      <w:kern w:val="0"/>
      <w:sz w:val="28"/>
      <w:szCs w:val="32"/>
    </w:rPr>
  </w:style>
  <w:style w:type="paragraph" w:styleId="4">
    <w:name w:val="heading 3"/>
    <w:basedOn w:val="1"/>
    <w:next w:val="1"/>
    <w:link w:val="53"/>
    <w:qFormat/>
    <w:uiPriority w:val="0"/>
    <w:pPr>
      <w:keepNext/>
      <w:numPr>
        <w:ilvl w:val="0"/>
        <w:numId w:val="1"/>
      </w:numPr>
      <w:spacing w:line="216" w:lineRule="auto"/>
      <w:outlineLvl w:val="2"/>
    </w:pPr>
    <w:rPr>
      <w:rFonts w:ascii="宋体" w:hAnsi="Times New Roman"/>
      <w:b/>
      <w:kern w:val="0"/>
      <w:sz w:val="28"/>
      <w:szCs w:val="20"/>
    </w:rPr>
  </w:style>
  <w:style w:type="paragraph" w:styleId="5">
    <w:name w:val="heading 4"/>
    <w:basedOn w:val="1"/>
    <w:next w:val="1"/>
    <w:link w:val="54"/>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5"/>
    <w:qFormat/>
    <w:uiPriority w:val="0"/>
    <w:pPr>
      <w:keepNext/>
      <w:keepLines/>
      <w:spacing w:before="280" w:after="290" w:line="376" w:lineRule="auto"/>
      <w:outlineLvl w:val="4"/>
    </w:pPr>
    <w:rPr>
      <w:rFonts w:ascii="Times New Roman" w:hAnsi="Times New Roman"/>
      <w:b/>
      <w:bCs/>
      <w:kern w:val="0"/>
      <w:sz w:val="28"/>
      <w:szCs w:val="28"/>
    </w:rPr>
  </w:style>
  <w:style w:type="paragraph" w:styleId="7">
    <w:name w:val="heading 6"/>
    <w:basedOn w:val="1"/>
    <w:next w:val="1"/>
    <w:link w:val="56"/>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7"/>
    <w:qFormat/>
    <w:uiPriority w:val="0"/>
    <w:pPr>
      <w:keepNext/>
      <w:keepLines/>
      <w:tabs>
        <w:tab w:val="left" w:pos="1296"/>
      </w:tabs>
      <w:spacing w:before="240" w:after="64" w:line="320" w:lineRule="auto"/>
      <w:ind w:left="1296" w:hanging="1296"/>
      <w:outlineLvl w:val="6"/>
    </w:pPr>
    <w:rPr>
      <w:rFonts w:ascii="Times New Roman" w:hAnsi="Times New Roman"/>
      <w:b/>
      <w:bCs/>
      <w:kern w:val="0"/>
      <w:sz w:val="24"/>
      <w:szCs w:val="24"/>
    </w:rPr>
  </w:style>
  <w:style w:type="paragraph" w:styleId="9">
    <w:name w:val="heading 8"/>
    <w:basedOn w:val="1"/>
    <w:next w:val="1"/>
    <w:link w:val="58"/>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0">
    <w:name w:val="heading 9"/>
    <w:basedOn w:val="1"/>
    <w:next w:val="1"/>
    <w:link w:val="59"/>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uiPriority w:val="0"/>
    <w:pPr>
      <w:ind w:left="100" w:leftChars="400" w:hanging="200" w:hangingChars="200"/>
    </w:pPr>
    <w:rPr>
      <w:rFonts w:ascii="Times New Roman" w:hAnsi="Times New Roman"/>
      <w:szCs w:val="24"/>
    </w:rPr>
  </w:style>
  <w:style w:type="paragraph" w:styleId="12">
    <w:name w:val="table of authorities"/>
    <w:basedOn w:val="1"/>
    <w:next w:val="1"/>
    <w:uiPriority w:val="0"/>
    <w:pPr>
      <w:ind w:left="420" w:leftChars="200"/>
    </w:pPr>
    <w:rPr>
      <w:rFonts w:ascii="Times New Roman" w:hAnsi="Times New Roman"/>
      <w:szCs w:val="24"/>
    </w:rPr>
  </w:style>
  <w:style w:type="paragraph" w:styleId="13">
    <w:name w:val="Normal Indent"/>
    <w:basedOn w:val="1"/>
    <w:uiPriority w:val="0"/>
    <w:pPr>
      <w:ind w:firstLine="420"/>
    </w:pPr>
    <w:rPr>
      <w:rFonts w:ascii="Times New Roman" w:hAnsi="Times New Roman"/>
      <w:szCs w:val="20"/>
    </w:rPr>
  </w:style>
  <w:style w:type="paragraph" w:styleId="14">
    <w:name w:val="caption"/>
    <w:basedOn w:val="1"/>
    <w:next w:val="1"/>
    <w:qFormat/>
    <w:uiPriority w:val="0"/>
    <w:rPr>
      <w:rFonts w:ascii="Arial" w:hAnsi="Arial" w:eastAsia="黑体" w:cs="Arial"/>
      <w:sz w:val="20"/>
      <w:szCs w:val="20"/>
    </w:rPr>
  </w:style>
  <w:style w:type="paragraph" w:styleId="15">
    <w:name w:val="index 5"/>
    <w:basedOn w:val="1"/>
    <w:next w:val="1"/>
    <w:uiPriority w:val="0"/>
    <w:pPr>
      <w:ind w:left="800" w:leftChars="800"/>
    </w:pPr>
    <w:rPr>
      <w:rFonts w:ascii="Times New Roman" w:hAnsi="Times New Roman"/>
      <w:szCs w:val="24"/>
    </w:rPr>
  </w:style>
  <w:style w:type="paragraph" w:styleId="16">
    <w:name w:val="List Bullet"/>
    <w:basedOn w:val="1"/>
    <w:uiPriority w:val="0"/>
    <w:pPr>
      <w:tabs>
        <w:tab w:val="left" w:pos="360"/>
      </w:tabs>
      <w:ind w:left="360" w:hanging="360"/>
    </w:pPr>
    <w:rPr>
      <w:rFonts w:ascii="Times New Roman" w:hAnsi="Times New Roman"/>
      <w:szCs w:val="24"/>
    </w:rPr>
  </w:style>
  <w:style w:type="paragraph" w:styleId="17">
    <w:name w:val="Document Map"/>
    <w:basedOn w:val="1"/>
    <w:link w:val="71"/>
    <w:uiPriority w:val="0"/>
    <w:pPr>
      <w:shd w:val="clear" w:color="auto" w:fill="000080"/>
    </w:pPr>
    <w:rPr>
      <w:rFonts w:ascii="Times New Roman" w:hAnsi="Times New Roman" w:eastAsia="微软雅黑" w:cstheme="minorBidi"/>
      <w:kern w:val="0"/>
      <w:sz w:val="22"/>
    </w:rPr>
  </w:style>
  <w:style w:type="paragraph" w:styleId="18">
    <w:name w:val="annotation text"/>
    <w:basedOn w:val="1"/>
    <w:link w:val="100"/>
    <w:semiHidden/>
    <w:unhideWhenUsed/>
    <w:uiPriority w:val="0"/>
    <w:pPr>
      <w:jc w:val="left"/>
    </w:pPr>
  </w:style>
  <w:style w:type="paragraph" w:styleId="19">
    <w:name w:val="Body Text 3"/>
    <w:basedOn w:val="1"/>
    <w:link w:val="85"/>
    <w:uiPriority w:val="0"/>
    <w:pPr>
      <w:adjustRightInd w:val="0"/>
      <w:spacing w:after="120" w:line="360" w:lineRule="atLeast"/>
      <w:textAlignment w:val="baseline"/>
    </w:pPr>
    <w:rPr>
      <w:rFonts w:ascii="Times New Roman" w:hAnsi="Times New Roman" w:eastAsia="微软雅黑" w:cstheme="minorBidi"/>
      <w:kern w:val="0"/>
      <w:sz w:val="16"/>
      <w:szCs w:val="16"/>
    </w:rPr>
  </w:style>
  <w:style w:type="paragraph" w:styleId="20">
    <w:name w:val="Body Text"/>
    <w:basedOn w:val="1"/>
    <w:link w:val="92"/>
    <w:unhideWhenUsed/>
    <w:uiPriority w:val="0"/>
    <w:pPr>
      <w:spacing w:after="120"/>
    </w:pPr>
  </w:style>
  <w:style w:type="paragraph" w:styleId="21">
    <w:name w:val="Body Text Indent"/>
    <w:basedOn w:val="1"/>
    <w:link w:val="79"/>
    <w:unhideWhenUsed/>
    <w:uiPriority w:val="0"/>
    <w:pPr>
      <w:spacing w:after="120"/>
      <w:ind w:left="420" w:leftChars="200"/>
    </w:pPr>
  </w:style>
  <w:style w:type="paragraph" w:styleId="22">
    <w:name w:val="List 2"/>
    <w:basedOn w:val="1"/>
    <w:uiPriority w:val="0"/>
    <w:pPr>
      <w:ind w:left="100" w:leftChars="200" w:hanging="200" w:hangingChars="200"/>
    </w:pPr>
    <w:rPr>
      <w:rFonts w:ascii="Times New Roman" w:hAnsi="Times New Roman"/>
      <w:szCs w:val="24"/>
    </w:rPr>
  </w:style>
  <w:style w:type="paragraph" w:styleId="23">
    <w:name w:val="List Continue"/>
    <w:basedOn w:val="1"/>
    <w:uiPriority w:val="0"/>
    <w:pPr>
      <w:spacing w:after="120"/>
      <w:ind w:left="420" w:leftChars="200"/>
    </w:pPr>
    <w:rPr>
      <w:rFonts w:ascii="Times New Roman" w:hAnsi="Times New Roman"/>
      <w:szCs w:val="24"/>
    </w:rPr>
  </w:style>
  <w:style w:type="paragraph" w:styleId="24">
    <w:name w:val="Block Text"/>
    <w:basedOn w:val="1"/>
    <w:uiPriority w:val="0"/>
    <w:pPr>
      <w:spacing w:before="120" w:after="120" w:line="360" w:lineRule="auto"/>
      <w:ind w:left="525" w:right="202"/>
    </w:pPr>
    <w:rPr>
      <w:rFonts w:ascii="宋体" w:hAnsi="宋体"/>
      <w:spacing w:val="-4"/>
      <w:sz w:val="24"/>
      <w:szCs w:val="24"/>
    </w:rPr>
  </w:style>
  <w:style w:type="paragraph" w:styleId="25">
    <w:name w:val="List Bullet 2"/>
    <w:basedOn w:val="1"/>
    <w:uiPriority w:val="0"/>
    <w:pPr>
      <w:tabs>
        <w:tab w:val="left" w:pos="780"/>
      </w:tabs>
      <w:ind w:left="780" w:hanging="360"/>
    </w:pPr>
    <w:rPr>
      <w:rFonts w:ascii="Times New Roman" w:hAnsi="Times New Roman"/>
      <w:szCs w:val="24"/>
    </w:rPr>
  </w:style>
  <w:style w:type="paragraph" w:styleId="26">
    <w:name w:val="Plain Text"/>
    <w:basedOn w:val="1"/>
    <w:link w:val="75"/>
    <w:uiPriority w:val="0"/>
    <w:rPr>
      <w:rFonts w:ascii="宋体" w:hAnsi="Courier New" w:eastAsia="微软雅黑" w:cstheme="minorBidi"/>
      <w:kern w:val="0"/>
      <w:sz w:val="22"/>
      <w:szCs w:val="21"/>
    </w:rPr>
  </w:style>
  <w:style w:type="paragraph" w:styleId="27">
    <w:name w:val="Date"/>
    <w:basedOn w:val="1"/>
    <w:next w:val="1"/>
    <w:link w:val="65"/>
    <w:uiPriority w:val="0"/>
    <w:pPr>
      <w:ind w:left="100" w:leftChars="2500"/>
    </w:pPr>
    <w:rPr>
      <w:rFonts w:ascii="Times New Roman" w:hAnsi="Times New Roman" w:eastAsia="微软雅黑" w:cstheme="minorBidi"/>
      <w:kern w:val="0"/>
      <w:sz w:val="22"/>
    </w:rPr>
  </w:style>
  <w:style w:type="paragraph" w:styleId="28">
    <w:name w:val="Body Text Indent 2"/>
    <w:basedOn w:val="1"/>
    <w:link w:val="98"/>
    <w:uiPriority w:val="0"/>
    <w:pPr>
      <w:spacing w:after="120" w:line="480" w:lineRule="auto"/>
      <w:ind w:left="420" w:leftChars="200"/>
    </w:pPr>
    <w:rPr>
      <w:rFonts w:ascii="Times New Roman" w:hAnsi="Times New Roman" w:eastAsia="微软雅黑" w:cstheme="minorBidi"/>
      <w:kern w:val="0"/>
      <w:sz w:val="22"/>
    </w:rPr>
  </w:style>
  <w:style w:type="paragraph" w:styleId="29">
    <w:name w:val="Balloon Text"/>
    <w:basedOn w:val="1"/>
    <w:link w:val="67"/>
    <w:semiHidden/>
    <w:uiPriority w:val="0"/>
    <w:rPr>
      <w:rFonts w:ascii="Times New Roman" w:hAnsi="Times New Roman" w:eastAsia="微软雅黑" w:cstheme="minorBidi"/>
      <w:kern w:val="0"/>
      <w:sz w:val="18"/>
      <w:szCs w:val="18"/>
    </w:rPr>
  </w:style>
  <w:style w:type="paragraph" w:styleId="30">
    <w:name w:val="footer"/>
    <w:basedOn w:val="1"/>
    <w:link w:val="50"/>
    <w:unhideWhenUsed/>
    <w:uiPriority w:val="99"/>
    <w:pPr>
      <w:tabs>
        <w:tab w:val="center" w:pos="4153"/>
        <w:tab w:val="right" w:pos="8306"/>
      </w:tabs>
    </w:pPr>
    <w:rPr>
      <w:sz w:val="18"/>
      <w:szCs w:val="18"/>
    </w:rPr>
  </w:style>
  <w:style w:type="paragraph" w:styleId="31">
    <w:name w:val="header"/>
    <w:basedOn w:val="1"/>
    <w:link w:val="49"/>
    <w:unhideWhenUsed/>
    <w:uiPriority w:val="0"/>
    <w:pPr>
      <w:pBdr>
        <w:bottom w:val="single" w:color="auto" w:sz="6" w:space="1"/>
      </w:pBdr>
      <w:tabs>
        <w:tab w:val="center" w:pos="4153"/>
        <w:tab w:val="right" w:pos="8306"/>
      </w:tabs>
      <w:jc w:val="center"/>
    </w:pPr>
    <w:rPr>
      <w:sz w:val="18"/>
      <w:szCs w:val="18"/>
    </w:rPr>
  </w:style>
  <w:style w:type="paragraph" w:styleId="32">
    <w:name w:val="List"/>
    <w:basedOn w:val="1"/>
    <w:uiPriority w:val="0"/>
    <w:pPr>
      <w:ind w:left="200" w:hanging="200" w:hangingChars="200"/>
    </w:pPr>
    <w:rPr>
      <w:rFonts w:ascii="Times New Roman" w:hAnsi="Times New Roman"/>
      <w:szCs w:val="24"/>
    </w:rPr>
  </w:style>
  <w:style w:type="paragraph" w:styleId="33">
    <w:name w:val="Body Text Indent 3"/>
    <w:basedOn w:val="1"/>
    <w:link w:val="90"/>
    <w:uiPriority w:val="0"/>
    <w:pPr>
      <w:spacing w:after="120"/>
      <w:ind w:left="420" w:leftChars="200"/>
    </w:pPr>
    <w:rPr>
      <w:rFonts w:ascii="Times New Roman" w:hAnsi="Times New Roman" w:eastAsia="微软雅黑" w:cstheme="minorBidi"/>
      <w:kern w:val="0"/>
      <w:sz w:val="16"/>
      <w:szCs w:val="16"/>
    </w:rPr>
  </w:style>
  <w:style w:type="paragraph" w:styleId="34">
    <w:name w:val="Body Text 2"/>
    <w:basedOn w:val="1"/>
    <w:link w:val="69"/>
    <w:unhideWhenUsed/>
    <w:uiPriority w:val="0"/>
    <w:pPr>
      <w:spacing w:after="120" w:line="480" w:lineRule="auto"/>
    </w:pPr>
    <w:rPr>
      <w:rFonts w:ascii="Times New Roman" w:hAnsi="Times New Roman" w:eastAsia="微软雅黑" w:cstheme="minorBidi"/>
      <w:kern w:val="0"/>
      <w:sz w:val="22"/>
    </w:rPr>
  </w:style>
  <w:style w:type="paragraph" w:styleId="35">
    <w:name w:val="List 4"/>
    <w:basedOn w:val="1"/>
    <w:uiPriority w:val="0"/>
    <w:pPr>
      <w:ind w:left="100" w:leftChars="600" w:hanging="200" w:hangingChars="200"/>
    </w:pPr>
    <w:rPr>
      <w:rFonts w:ascii="Times New Roman" w:hAnsi="Times New Roman"/>
      <w:szCs w:val="24"/>
    </w:rPr>
  </w:style>
  <w:style w:type="paragraph" w:styleId="36">
    <w:name w:val="List Continue 2"/>
    <w:basedOn w:val="1"/>
    <w:uiPriority w:val="0"/>
    <w:pPr>
      <w:numPr>
        <w:ilvl w:val="0"/>
        <w:numId w:val="2"/>
      </w:numPr>
      <w:tabs>
        <w:tab w:val="clear" w:pos="360"/>
      </w:tabs>
      <w:spacing w:after="120"/>
      <w:ind w:left="840" w:leftChars="400" w:firstLine="0"/>
    </w:pPr>
    <w:rPr>
      <w:rFonts w:ascii="Times New Roman" w:hAnsi="Times New Roman"/>
      <w:szCs w:val="24"/>
    </w:rPr>
  </w:style>
  <w:style w:type="paragraph" w:styleId="37">
    <w:name w:val="Normal (Web)"/>
    <w:basedOn w:val="1"/>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38">
    <w:name w:val="index 1"/>
    <w:basedOn w:val="1"/>
    <w:next w:val="1"/>
    <w:uiPriority w:val="0"/>
    <w:pPr>
      <w:adjustRightInd w:val="0"/>
      <w:snapToGrid w:val="0"/>
      <w:jc w:val="center"/>
    </w:pPr>
    <w:rPr>
      <w:rFonts w:ascii="Times New Roman" w:hAnsi="Times New Roman"/>
      <w:szCs w:val="20"/>
    </w:rPr>
  </w:style>
  <w:style w:type="paragraph" w:styleId="39">
    <w:name w:val="Title"/>
    <w:basedOn w:val="1"/>
    <w:next w:val="1"/>
    <w:link w:val="60"/>
    <w:qFormat/>
    <w:uiPriority w:val="0"/>
    <w:pPr>
      <w:spacing w:before="240" w:after="60"/>
      <w:jc w:val="center"/>
      <w:outlineLvl w:val="0"/>
    </w:pPr>
    <w:rPr>
      <w:rFonts w:ascii="Cambria" w:hAnsi="Cambria" w:eastAsia="仿宋_GB2312"/>
      <w:b/>
      <w:bCs/>
      <w:sz w:val="32"/>
      <w:szCs w:val="32"/>
    </w:rPr>
  </w:style>
  <w:style w:type="paragraph" w:styleId="40">
    <w:name w:val="annotation subject"/>
    <w:basedOn w:val="18"/>
    <w:next w:val="18"/>
    <w:link w:val="101"/>
    <w:semiHidden/>
    <w:uiPriority w:val="0"/>
    <w:rPr>
      <w:rFonts w:ascii="Times New Roman" w:hAnsi="Times New Roman" w:eastAsia="微软雅黑" w:cstheme="minorBidi"/>
      <w:b/>
      <w:bCs/>
      <w:kern w:val="0"/>
      <w:sz w:val="22"/>
    </w:rPr>
  </w:style>
  <w:style w:type="paragraph" w:styleId="41">
    <w:name w:val="Body Text First Indent"/>
    <w:basedOn w:val="20"/>
    <w:link w:val="93"/>
    <w:semiHidden/>
    <w:unhideWhenUsed/>
    <w:uiPriority w:val="0"/>
    <w:pPr>
      <w:ind w:firstLine="420" w:firstLineChars="100"/>
    </w:pPr>
    <w:rPr>
      <w:rFonts w:asciiTheme="minorHAnsi" w:hAnsiTheme="minorHAnsi" w:cstheme="minorBidi"/>
    </w:rPr>
  </w:style>
  <w:style w:type="paragraph" w:styleId="42">
    <w:name w:val="Body Text First Indent 2"/>
    <w:basedOn w:val="21"/>
    <w:link w:val="80"/>
    <w:semiHidden/>
    <w:unhideWhenUsed/>
    <w:uiPriority w:val="0"/>
    <w:pPr>
      <w:ind w:firstLine="420" w:firstLineChars="200"/>
    </w:pPr>
    <w:rPr>
      <w:rFonts w:ascii="宋体" w:hAnsi="宋体" w:eastAsia="微软雅黑" w:cstheme="minorBidi"/>
      <w:kern w:val="0"/>
      <w:sz w:val="28"/>
    </w:rPr>
  </w:style>
  <w:style w:type="character" w:styleId="45">
    <w:name w:val="Strong"/>
    <w:qFormat/>
    <w:uiPriority w:val="0"/>
    <w:rPr>
      <w:b/>
      <w:bCs/>
    </w:rPr>
  </w:style>
  <w:style w:type="character" w:styleId="46">
    <w:name w:val="page number"/>
    <w:uiPriority w:val="0"/>
  </w:style>
  <w:style w:type="character" w:styleId="47">
    <w:name w:val="FollowedHyperlink"/>
    <w:unhideWhenUsed/>
    <w:uiPriority w:val="99"/>
    <w:rPr>
      <w:color w:val="800080"/>
      <w:u w:val="single"/>
    </w:rPr>
  </w:style>
  <w:style w:type="character" w:styleId="48">
    <w:name w:val="Hyperlink"/>
    <w:uiPriority w:val="99"/>
    <w:rPr>
      <w:color w:val="0000FF"/>
      <w:u w:val="single"/>
    </w:rPr>
  </w:style>
  <w:style w:type="character" w:customStyle="1" w:styleId="49">
    <w:name w:val="页眉 Char"/>
    <w:basedOn w:val="44"/>
    <w:link w:val="31"/>
    <w:uiPriority w:val="0"/>
    <w:rPr>
      <w:rFonts w:ascii="Tahoma" w:hAnsi="Tahoma"/>
      <w:sz w:val="18"/>
      <w:szCs w:val="18"/>
    </w:rPr>
  </w:style>
  <w:style w:type="character" w:customStyle="1" w:styleId="50">
    <w:name w:val="页脚 Char"/>
    <w:basedOn w:val="44"/>
    <w:link w:val="30"/>
    <w:uiPriority w:val="99"/>
    <w:rPr>
      <w:rFonts w:ascii="Tahoma" w:hAnsi="Tahoma"/>
      <w:sz w:val="18"/>
      <w:szCs w:val="18"/>
    </w:rPr>
  </w:style>
  <w:style w:type="character" w:customStyle="1" w:styleId="51">
    <w:name w:val="标题 1 Char"/>
    <w:basedOn w:val="44"/>
    <w:link w:val="2"/>
    <w:uiPriority w:val="0"/>
    <w:rPr>
      <w:rFonts w:ascii="Calibri" w:hAnsi="Calibri" w:eastAsia="黑体" w:cs="Times New Roman"/>
      <w:b/>
      <w:bCs/>
      <w:kern w:val="44"/>
      <w:sz w:val="32"/>
      <w:szCs w:val="44"/>
    </w:rPr>
  </w:style>
  <w:style w:type="character" w:customStyle="1" w:styleId="52">
    <w:name w:val="标题 2 Char"/>
    <w:basedOn w:val="44"/>
    <w:link w:val="3"/>
    <w:uiPriority w:val="0"/>
    <w:rPr>
      <w:rFonts w:ascii="Arial" w:hAnsi="Arial" w:eastAsia="宋体" w:cs="Times New Roman"/>
      <w:b/>
      <w:bCs/>
      <w:sz w:val="28"/>
      <w:szCs w:val="32"/>
    </w:rPr>
  </w:style>
  <w:style w:type="character" w:customStyle="1" w:styleId="53">
    <w:name w:val="标题 3 Char"/>
    <w:basedOn w:val="44"/>
    <w:link w:val="4"/>
    <w:uiPriority w:val="0"/>
    <w:rPr>
      <w:rFonts w:ascii="宋体" w:hAnsi="Times New Roman" w:eastAsia="宋体" w:cs="Times New Roman"/>
      <w:b/>
      <w:sz w:val="28"/>
      <w:szCs w:val="20"/>
    </w:rPr>
  </w:style>
  <w:style w:type="character" w:customStyle="1" w:styleId="54">
    <w:name w:val="标题 4 Char"/>
    <w:basedOn w:val="44"/>
    <w:link w:val="5"/>
    <w:uiPriority w:val="0"/>
    <w:rPr>
      <w:rFonts w:ascii="Arial" w:hAnsi="Arial" w:eastAsia="黑体" w:cs="Times New Roman"/>
      <w:b/>
      <w:bCs/>
      <w:sz w:val="28"/>
      <w:szCs w:val="28"/>
    </w:rPr>
  </w:style>
  <w:style w:type="character" w:customStyle="1" w:styleId="55">
    <w:name w:val="标题 5 Char"/>
    <w:basedOn w:val="44"/>
    <w:link w:val="6"/>
    <w:uiPriority w:val="0"/>
    <w:rPr>
      <w:rFonts w:ascii="Times New Roman" w:hAnsi="Times New Roman" w:eastAsia="宋体" w:cs="Times New Roman"/>
      <w:b/>
      <w:bCs/>
      <w:sz w:val="28"/>
      <w:szCs w:val="28"/>
    </w:rPr>
  </w:style>
  <w:style w:type="character" w:customStyle="1" w:styleId="56">
    <w:name w:val="标题 6 Char"/>
    <w:basedOn w:val="44"/>
    <w:link w:val="7"/>
    <w:uiPriority w:val="0"/>
    <w:rPr>
      <w:rFonts w:ascii="Arial" w:hAnsi="Arial" w:eastAsia="黑体" w:cs="Times New Roman"/>
      <w:b/>
      <w:bCs/>
      <w:sz w:val="24"/>
      <w:szCs w:val="24"/>
    </w:rPr>
  </w:style>
  <w:style w:type="character" w:customStyle="1" w:styleId="57">
    <w:name w:val="标题 7 Char"/>
    <w:basedOn w:val="44"/>
    <w:link w:val="8"/>
    <w:uiPriority w:val="0"/>
    <w:rPr>
      <w:rFonts w:ascii="Times New Roman" w:hAnsi="Times New Roman" w:eastAsia="宋体" w:cs="Times New Roman"/>
      <w:b/>
      <w:bCs/>
      <w:sz w:val="24"/>
      <w:szCs w:val="24"/>
    </w:rPr>
  </w:style>
  <w:style w:type="character" w:customStyle="1" w:styleId="58">
    <w:name w:val="标题 8 Char"/>
    <w:basedOn w:val="44"/>
    <w:link w:val="9"/>
    <w:uiPriority w:val="0"/>
    <w:rPr>
      <w:rFonts w:ascii="Arial" w:hAnsi="Arial" w:eastAsia="黑体" w:cs="Times New Roman"/>
      <w:sz w:val="24"/>
      <w:szCs w:val="24"/>
    </w:rPr>
  </w:style>
  <w:style w:type="character" w:customStyle="1" w:styleId="59">
    <w:name w:val="标题 9 Char"/>
    <w:basedOn w:val="44"/>
    <w:link w:val="10"/>
    <w:uiPriority w:val="0"/>
    <w:rPr>
      <w:rFonts w:ascii="Arial" w:hAnsi="Arial" w:eastAsia="黑体" w:cs="Times New Roman"/>
      <w:sz w:val="20"/>
      <w:szCs w:val="21"/>
    </w:rPr>
  </w:style>
  <w:style w:type="character" w:customStyle="1" w:styleId="60">
    <w:name w:val="标题 Char"/>
    <w:basedOn w:val="44"/>
    <w:link w:val="39"/>
    <w:uiPriority w:val="0"/>
    <w:rPr>
      <w:rFonts w:ascii="Cambria" w:hAnsi="Cambria" w:eastAsia="仿宋_GB2312" w:cs="Times New Roman"/>
      <w:b/>
      <w:bCs/>
      <w:kern w:val="2"/>
      <w:sz w:val="32"/>
      <w:szCs w:val="32"/>
    </w:rPr>
  </w:style>
  <w:style w:type="paragraph" w:styleId="61">
    <w:name w:val="List Paragraph"/>
    <w:basedOn w:val="1"/>
    <w:qFormat/>
    <w:uiPriority w:val="34"/>
    <w:pPr>
      <w:ind w:firstLine="420" w:firstLineChars="200"/>
    </w:pPr>
  </w:style>
  <w:style w:type="paragraph" w:customStyle="1" w:styleId="62">
    <w:name w:val="列出段落1"/>
    <w:basedOn w:val="1"/>
    <w:qFormat/>
    <w:uiPriority w:val="0"/>
    <w:pPr>
      <w:ind w:firstLine="420" w:firstLineChars="200"/>
    </w:pPr>
    <w:rPr>
      <w:rFonts w:cs="黑体"/>
    </w:rPr>
  </w:style>
  <w:style w:type="character" w:customStyle="1" w:styleId="63">
    <w:name w:val="标题 1 字符"/>
    <w:basedOn w:val="44"/>
    <w:uiPriority w:val="9"/>
    <w:rPr>
      <w:b/>
      <w:bCs/>
      <w:kern w:val="44"/>
      <w:sz w:val="44"/>
      <w:szCs w:val="44"/>
    </w:rPr>
  </w:style>
  <w:style w:type="character" w:customStyle="1" w:styleId="64">
    <w:name w:val="日期 Char"/>
    <w:link w:val="27"/>
    <w:uiPriority w:val="0"/>
    <w:rPr>
      <w:rFonts w:ascii="Times New Roman" w:hAnsi="Times New Roman"/>
    </w:rPr>
  </w:style>
  <w:style w:type="character" w:customStyle="1" w:styleId="65">
    <w:name w:val="日期 Char1"/>
    <w:basedOn w:val="44"/>
    <w:link w:val="27"/>
    <w:semiHidden/>
    <w:uiPriority w:val="99"/>
    <w:rPr>
      <w:rFonts w:ascii="Calibri" w:hAnsi="Calibri" w:eastAsia="宋体" w:cs="Times New Roman"/>
      <w:kern w:val="2"/>
      <w:sz w:val="21"/>
    </w:rPr>
  </w:style>
  <w:style w:type="character" w:customStyle="1" w:styleId="66">
    <w:name w:val="批注框文本 Char"/>
    <w:link w:val="29"/>
    <w:semiHidden/>
    <w:uiPriority w:val="0"/>
    <w:rPr>
      <w:rFonts w:ascii="Times New Roman" w:hAnsi="Times New Roman"/>
      <w:sz w:val="18"/>
      <w:szCs w:val="18"/>
    </w:rPr>
  </w:style>
  <w:style w:type="character" w:customStyle="1" w:styleId="67">
    <w:name w:val="批注框文本 Char1"/>
    <w:basedOn w:val="44"/>
    <w:link w:val="29"/>
    <w:semiHidden/>
    <w:uiPriority w:val="99"/>
    <w:rPr>
      <w:rFonts w:ascii="Calibri" w:hAnsi="Calibri" w:eastAsia="宋体" w:cs="Times New Roman"/>
      <w:kern w:val="2"/>
      <w:sz w:val="18"/>
      <w:szCs w:val="18"/>
    </w:rPr>
  </w:style>
  <w:style w:type="character" w:customStyle="1" w:styleId="68">
    <w:name w:val="正文文本 2 Char"/>
    <w:link w:val="34"/>
    <w:uiPriority w:val="0"/>
    <w:rPr>
      <w:rFonts w:ascii="Times New Roman" w:hAnsi="Times New Roman"/>
    </w:rPr>
  </w:style>
  <w:style w:type="character" w:customStyle="1" w:styleId="69">
    <w:name w:val="正文文本 2 Char1"/>
    <w:basedOn w:val="44"/>
    <w:link w:val="34"/>
    <w:semiHidden/>
    <w:uiPriority w:val="99"/>
    <w:rPr>
      <w:rFonts w:ascii="Calibri" w:hAnsi="Calibri" w:eastAsia="宋体" w:cs="Times New Roman"/>
      <w:kern w:val="2"/>
      <w:sz w:val="21"/>
    </w:rPr>
  </w:style>
  <w:style w:type="character" w:customStyle="1" w:styleId="70">
    <w:name w:val="文档结构图 Char"/>
    <w:link w:val="17"/>
    <w:uiPriority w:val="0"/>
    <w:rPr>
      <w:rFonts w:ascii="Times New Roman" w:hAnsi="Times New Roman"/>
      <w:shd w:val="clear" w:color="auto" w:fill="000080"/>
    </w:rPr>
  </w:style>
  <w:style w:type="character" w:customStyle="1" w:styleId="71">
    <w:name w:val="文档结构图 Char1"/>
    <w:basedOn w:val="44"/>
    <w:link w:val="17"/>
    <w:semiHidden/>
    <w:uiPriority w:val="99"/>
    <w:rPr>
      <w:rFonts w:ascii="宋体" w:hAnsi="Calibri" w:eastAsia="宋体" w:cs="Times New Roman"/>
      <w:kern w:val="2"/>
      <w:sz w:val="18"/>
      <w:szCs w:val="18"/>
    </w:rPr>
  </w:style>
  <w:style w:type="character" w:customStyle="1" w:styleId="72">
    <w:name w:val="font51"/>
    <w:qFormat/>
    <w:uiPriority w:val="0"/>
    <w:rPr>
      <w:rFonts w:hint="default" w:ascii="Times New Roman" w:hAnsi="Times New Roman" w:cs="Times New Roman"/>
      <w:b/>
      <w:color w:val="000000"/>
      <w:sz w:val="24"/>
      <w:szCs w:val="24"/>
      <w:u w:val="none"/>
    </w:rPr>
  </w:style>
  <w:style w:type="character" w:customStyle="1" w:styleId="73">
    <w:name w:val="Char Char"/>
    <w:uiPriority w:val="0"/>
    <w:rPr>
      <w:rFonts w:ascii="宋体" w:hAnsi="Courier New" w:eastAsia="宋体" w:cs="Courier New"/>
      <w:kern w:val="2"/>
      <w:sz w:val="21"/>
      <w:szCs w:val="21"/>
      <w:lang w:val="en-US" w:eastAsia="zh-CN" w:bidi="ar-SA"/>
    </w:rPr>
  </w:style>
  <w:style w:type="character" w:customStyle="1" w:styleId="74">
    <w:name w:val="纯文本 Char"/>
    <w:link w:val="26"/>
    <w:uiPriority w:val="0"/>
    <w:rPr>
      <w:rFonts w:ascii="宋体" w:hAnsi="Courier New"/>
      <w:szCs w:val="21"/>
    </w:rPr>
  </w:style>
  <w:style w:type="character" w:customStyle="1" w:styleId="75">
    <w:name w:val="纯文本 Char1"/>
    <w:basedOn w:val="44"/>
    <w:link w:val="26"/>
    <w:semiHidden/>
    <w:uiPriority w:val="99"/>
    <w:rPr>
      <w:rFonts w:ascii="宋体" w:hAnsi="Courier New" w:eastAsia="宋体" w:cs="Courier New"/>
      <w:kern w:val="2"/>
      <w:sz w:val="21"/>
      <w:szCs w:val="21"/>
    </w:rPr>
  </w:style>
  <w:style w:type="character" w:customStyle="1" w:styleId="76">
    <w:name w:val="Char Char3"/>
    <w:uiPriority w:val="0"/>
    <w:rPr>
      <w:rFonts w:eastAsia="宋体"/>
      <w:kern w:val="2"/>
      <w:sz w:val="18"/>
      <w:szCs w:val="18"/>
      <w:lang w:val="en-US" w:eastAsia="zh-CN" w:bidi="ar-SA"/>
    </w:rPr>
  </w:style>
  <w:style w:type="character" w:customStyle="1" w:styleId="77">
    <w:name w:val="font61"/>
    <w:qFormat/>
    <w:uiPriority w:val="0"/>
    <w:rPr>
      <w:rFonts w:hint="default" w:ascii="Times New Roman" w:hAnsi="Times New Roman" w:cs="Times New Roman"/>
      <w:color w:val="000000"/>
      <w:sz w:val="24"/>
      <w:szCs w:val="24"/>
      <w:u w:val="none"/>
    </w:rPr>
  </w:style>
  <w:style w:type="character" w:customStyle="1" w:styleId="78">
    <w:name w:val="正文首行缩进 2 Char"/>
    <w:link w:val="42"/>
    <w:semiHidden/>
    <w:uiPriority w:val="0"/>
    <w:rPr>
      <w:rFonts w:ascii="宋体" w:hAnsi="宋体"/>
      <w:sz w:val="28"/>
    </w:rPr>
  </w:style>
  <w:style w:type="character" w:customStyle="1" w:styleId="79">
    <w:name w:val="正文文本缩进 Char"/>
    <w:basedOn w:val="44"/>
    <w:link w:val="21"/>
    <w:uiPriority w:val="0"/>
    <w:rPr>
      <w:rFonts w:ascii="Calibri" w:hAnsi="Calibri" w:eastAsia="宋体" w:cs="Times New Roman"/>
      <w:kern w:val="2"/>
      <w:sz w:val="21"/>
    </w:rPr>
  </w:style>
  <w:style w:type="character" w:customStyle="1" w:styleId="80">
    <w:name w:val="正文首行缩进 2 Char1"/>
    <w:basedOn w:val="79"/>
    <w:link w:val="42"/>
    <w:semiHidden/>
    <w:uiPriority w:val="99"/>
  </w:style>
  <w:style w:type="character" w:customStyle="1" w:styleId="81">
    <w:name w:val="font21"/>
    <w:qFormat/>
    <w:uiPriority w:val="0"/>
    <w:rPr>
      <w:rFonts w:hint="default" w:ascii="Times New Roman" w:hAnsi="Times New Roman" w:cs="Times New Roman"/>
      <w:color w:val="000000"/>
      <w:sz w:val="24"/>
      <w:szCs w:val="24"/>
      <w:u w:val="none"/>
      <w:vertAlign w:val="superscript"/>
    </w:rPr>
  </w:style>
  <w:style w:type="character" w:customStyle="1" w:styleId="82">
    <w:name w:val="font71"/>
    <w:qFormat/>
    <w:uiPriority w:val="0"/>
    <w:rPr>
      <w:rFonts w:hint="eastAsia" w:ascii="宋体" w:hAnsi="宋体" w:eastAsia="宋体" w:cs="宋体"/>
      <w:color w:val="000000"/>
      <w:sz w:val="24"/>
      <w:szCs w:val="24"/>
      <w:u w:val="none"/>
    </w:rPr>
  </w:style>
  <w:style w:type="character" w:customStyle="1" w:styleId="83">
    <w:name w:val="zbggmain style9"/>
    <w:uiPriority w:val="0"/>
  </w:style>
  <w:style w:type="character" w:customStyle="1" w:styleId="84">
    <w:name w:val="正文文本 3 Char"/>
    <w:link w:val="19"/>
    <w:uiPriority w:val="0"/>
    <w:rPr>
      <w:rFonts w:ascii="Times New Roman" w:hAnsi="Times New Roman"/>
      <w:sz w:val="16"/>
      <w:szCs w:val="16"/>
    </w:rPr>
  </w:style>
  <w:style w:type="character" w:customStyle="1" w:styleId="85">
    <w:name w:val="正文文本 3 Char1"/>
    <w:basedOn w:val="44"/>
    <w:link w:val="19"/>
    <w:semiHidden/>
    <w:uiPriority w:val="99"/>
    <w:rPr>
      <w:rFonts w:ascii="Calibri" w:hAnsi="Calibri" w:eastAsia="宋体" w:cs="Times New Roman"/>
      <w:kern w:val="2"/>
      <w:sz w:val="16"/>
      <w:szCs w:val="16"/>
    </w:rPr>
  </w:style>
  <w:style w:type="character" w:customStyle="1" w:styleId="86">
    <w:name w:val="px1233"/>
    <w:uiPriority w:val="0"/>
  </w:style>
  <w:style w:type="character" w:customStyle="1" w:styleId="87">
    <w:name w:val="font11"/>
    <w:qFormat/>
    <w:uiPriority w:val="0"/>
    <w:rPr>
      <w:rFonts w:hint="default" w:ascii="Times New Roman" w:hAnsi="Times New Roman" w:cs="Times New Roman"/>
      <w:color w:val="000000"/>
      <w:sz w:val="21"/>
      <w:szCs w:val="21"/>
      <w:u w:val="none"/>
    </w:rPr>
  </w:style>
  <w:style w:type="character" w:customStyle="1" w:styleId="88">
    <w:name w:val="font41"/>
    <w:qFormat/>
    <w:uiPriority w:val="0"/>
    <w:rPr>
      <w:rFonts w:hint="eastAsia" w:ascii="宋体" w:hAnsi="宋体" w:eastAsia="宋体" w:cs="宋体"/>
      <w:b/>
      <w:color w:val="000000"/>
      <w:sz w:val="24"/>
      <w:szCs w:val="24"/>
      <w:u w:val="none"/>
    </w:rPr>
  </w:style>
  <w:style w:type="character" w:customStyle="1" w:styleId="89">
    <w:name w:val="正文文本缩进 3 Char"/>
    <w:link w:val="33"/>
    <w:uiPriority w:val="0"/>
    <w:rPr>
      <w:rFonts w:ascii="Times New Roman" w:hAnsi="Times New Roman"/>
      <w:sz w:val="16"/>
      <w:szCs w:val="16"/>
    </w:rPr>
  </w:style>
  <w:style w:type="character" w:customStyle="1" w:styleId="90">
    <w:name w:val="正文文本缩进 3 Char1"/>
    <w:basedOn w:val="44"/>
    <w:link w:val="33"/>
    <w:semiHidden/>
    <w:uiPriority w:val="99"/>
    <w:rPr>
      <w:rFonts w:ascii="Calibri" w:hAnsi="Calibri" w:eastAsia="宋体" w:cs="Times New Roman"/>
      <w:kern w:val="2"/>
      <w:sz w:val="16"/>
      <w:szCs w:val="16"/>
    </w:rPr>
  </w:style>
  <w:style w:type="character" w:customStyle="1" w:styleId="91">
    <w:name w:val="正文首行缩进 Char"/>
    <w:link w:val="41"/>
    <w:semiHidden/>
    <w:uiPriority w:val="0"/>
    <w:rPr>
      <w:rFonts w:eastAsia="宋体"/>
      <w:kern w:val="2"/>
      <w:sz w:val="21"/>
    </w:rPr>
  </w:style>
  <w:style w:type="character" w:customStyle="1" w:styleId="92">
    <w:name w:val="正文文本 Char"/>
    <w:basedOn w:val="44"/>
    <w:link w:val="20"/>
    <w:uiPriority w:val="0"/>
    <w:rPr>
      <w:rFonts w:ascii="Calibri" w:hAnsi="Calibri" w:eastAsia="宋体" w:cs="Times New Roman"/>
      <w:kern w:val="2"/>
      <w:sz w:val="21"/>
    </w:rPr>
  </w:style>
  <w:style w:type="character" w:customStyle="1" w:styleId="93">
    <w:name w:val="正文首行缩进 Char1"/>
    <w:basedOn w:val="92"/>
    <w:link w:val="41"/>
    <w:semiHidden/>
    <w:uiPriority w:val="99"/>
  </w:style>
  <w:style w:type="character" w:customStyle="1" w:styleId="94">
    <w:name w:val="正文文本字符"/>
    <w:uiPriority w:val="0"/>
    <w:rPr>
      <w:rFonts w:ascii="Times New Roman" w:hAnsi="Times New Roman" w:eastAsia="宋体" w:cs="Times New Roman"/>
      <w:kern w:val="0"/>
      <w:sz w:val="20"/>
      <w:szCs w:val="24"/>
    </w:rPr>
  </w:style>
  <w:style w:type="character" w:customStyle="1" w:styleId="95">
    <w:name w:val="Char Char2"/>
    <w:uiPriority w:val="0"/>
    <w:rPr>
      <w:rFonts w:eastAsia="宋体"/>
      <w:kern w:val="2"/>
      <w:sz w:val="18"/>
      <w:szCs w:val="18"/>
      <w:lang w:val="en-US" w:eastAsia="zh-CN" w:bidi="ar-SA"/>
    </w:rPr>
  </w:style>
  <w:style w:type="character" w:customStyle="1" w:styleId="96">
    <w:name w:val="font01"/>
    <w:qFormat/>
    <w:uiPriority w:val="0"/>
    <w:rPr>
      <w:rFonts w:hint="eastAsia" w:ascii="宋体" w:hAnsi="宋体" w:eastAsia="宋体" w:cs="宋体"/>
      <w:color w:val="000000"/>
      <w:sz w:val="21"/>
      <w:szCs w:val="21"/>
      <w:u w:val="none"/>
    </w:rPr>
  </w:style>
  <w:style w:type="character" w:customStyle="1" w:styleId="97">
    <w:name w:val="正文文本缩进 2 Char"/>
    <w:link w:val="28"/>
    <w:uiPriority w:val="0"/>
    <w:rPr>
      <w:rFonts w:ascii="Times New Roman" w:hAnsi="Times New Roman"/>
    </w:rPr>
  </w:style>
  <w:style w:type="character" w:customStyle="1" w:styleId="98">
    <w:name w:val="正文文本缩进 2 Char1"/>
    <w:basedOn w:val="44"/>
    <w:link w:val="28"/>
    <w:semiHidden/>
    <w:uiPriority w:val="99"/>
    <w:rPr>
      <w:rFonts w:ascii="Calibri" w:hAnsi="Calibri" w:eastAsia="宋体" w:cs="Times New Roman"/>
      <w:kern w:val="2"/>
      <w:sz w:val="21"/>
    </w:rPr>
  </w:style>
  <w:style w:type="character" w:customStyle="1" w:styleId="99">
    <w:name w:val="批注主题 Char"/>
    <w:link w:val="40"/>
    <w:semiHidden/>
    <w:uiPriority w:val="0"/>
    <w:rPr>
      <w:rFonts w:ascii="Times New Roman" w:hAnsi="Times New Roman"/>
      <w:b/>
      <w:bCs/>
    </w:rPr>
  </w:style>
  <w:style w:type="character" w:customStyle="1" w:styleId="100">
    <w:name w:val="批注文字 Char"/>
    <w:basedOn w:val="44"/>
    <w:link w:val="18"/>
    <w:semiHidden/>
    <w:uiPriority w:val="0"/>
    <w:rPr>
      <w:rFonts w:ascii="Calibri" w:hAnsi="Calibri" w:eastAsia="宋体" w:cs="Times New Roman"/>
      <w:kern w:val="2"/>
      <w:sz w:val="21"/>
    </w:rPr>
  </w:style>
  <w:style w:type="character" w:customStyle="1" w:styleId="101">
    <w:name w:val="批注主题 Char1"/>
    <w:basedOn w:val="100"/>
    <w:link w:val="40"/>
    <w:semiHidden/>
    <w:uiPriority w:val="99"/>
    <w:rPr>
      <w:b/>
      <w:bCs/>
    </w:rPr>
  </w:style>
  <w:style w:type="paragraph" w:customStyle="1" w:styleId="102">
    <w:name w:val="样式1"/>
    <w:basedOn w:val="5"/>
    <w:uiPriority w:val="0"/>
    <w:pPr>
      <w:tabs>
        <w:tab w:val="left" w:pos="864"/>
      </w:tabs>
      <w:spacing w:before="120" w:after="120" w:line="360" w:lineRule="auto"/>
      <w:ind w:left="864" w:hanging="864"/>
    </w:pPr>
    <w:rPr>
      <w:b w:val="0"/>
      <w:bCs w:val="0"/>
    </w:rPr>
  </w:style>
  <w:style w:type="paragraph" w:customStyle="1" w:styleId="103">
    <w:name w:val="Char Char Char1 Char Char Char Char"/>
    <w:basedOn w:val="1"/>
    <w:uiPriority w:val="0"/>
    <w:rPr>
      <w:rFonts w:ascii="Times New Roman" w:hAnsi="Times New Roman"/>
      <w:szCs w:val="24"/>
    </w:rPr>
  </w:style>
  <w:style w:type="paragraph" w:customStyle="1" w:styleId="104">
    <w:name w:val="Char Char Char Char Char Char"/>
    <w:basedOn w:val="1"/>
    <w:uiPriority w:val="0"/>
    <w:rPr>
      <w:rFonts w:ascii="Times New Roman" w:hAnsi="Times New Roman"/>
      <w:szCs w:val="24"/>
    </w:rPr>
  </w:style>
  <w:style w:type="paragraph" w:customStyle="1" w:styleId="105">
    <w:name w:val="Char Char Char Char"/>
    <w:basedOn w:val="1"/>
    <w:uiPriority w:val="0"/>
    <w:rPr>
      <w:rFonts w:ascii="Times New Roman" w:hAnsi="Times New Roman"/>
      <w:szCs w:val="24"/>
    </w:rPr>
  </w:style>
  <w:style w:type="paragraph" w:customStyle="1" w:styleId="106">
    <w:name w:val="p0"/>
    <w:basedOn w:val="1"/>
    <w:uiPriority w:val="0"/>
    <w:pPr>
      <w:widowControl/>
    </w:pPr>
    <w:rPr>
      <w:rFonts w:ascii="Times New Roman" w:hAnsi="Times New Roman"/>
      <w:kern w:val="0"/>
      <w:szCs w:val="21"/>
    </w:rPr>
  </w:style>
  <w:style w:type="character" w:customStyle="1" w:styleId="107">
    <w:name w:val="正文文本缩进 Char1"/>
    <w:basedOn w:val="44"/>
    <w:semiHidden/>
    <w:uiPriority w:val="99"/>
    <w:rPr>
      <w:rFonts w:eastAsia="宋体"/>
      <w:kern w:val="2"/>
      <w:sz w:val="21"/>
    </w:rPr>
  </w:style>
  <w:style w:type="paragraph" w:customStyle="1" w:styleId="108">
    <w:name w:val="Legal 3"/>
    <w:basedOn w:val="109"/>
    <w:next w:val="109"/>
    <w:uiPriority w:val="0"/>
    <w:pPr>
      <w:spacing w:after="120"/>
    </w:pPr>
    <w:rPr>
      <w:rFonts w:cs="Times New Roman"/>
      <w:color w:val="auto"/>
    </w:rPr>
  </w:style>
  <w:style w:type="paragraph" w:customStyle="1" w:styleId="109">
    <w:name w:val="Default"/>
    <w:uiPriority w:val="0"/>
    <w:pPr>
      <w:widowControl w:val="0"/>
      <w:autoSpaceDE w:val="0"/>
      <w:autoSpaceDN w:val="0"/>
      <w:adjustRightInd w:val="0"/>
      <w:spacing w:after="0" w:line="240" w:lineRule="auto"/>
    </w:pPr>
    <w:rPr>
      <w:rFonts w:ascii="宋体" w:hAnsi="Times New Roman" w:eastAsia="宋体" w:cs="宋体"/>
      <w:color w:val="000000"/>
      <w:sz w:val="24"/>
      <w:szCs w:val="24"/>
      <w:lang w:val="en-US" w:eastAsia="zh-CN" w:bidi="ar-SA"/>
    </w:rPr>
  </w:style>
  <w:style w:type="character" w:customStyle="1" w:styleId="110">
    <w:name w:val="标题 Char1"/>
    <w:basedOn w:val="44"/>
    <w:uiPriority w:val="10"/>
    <w:rPr>
      <w:rFonts w:ascii="Cambria" w:hAnsi="Cambria" w:eastAsia="宋体" w:cs="Times New Roman"/>
      <w:b/>
      <w:bCs/>
      <w:sz w:val="32"/>
      <w:szCs w:val="32"/>
    </w:rPr>
  </w:style>
  <w:style w:type="character" w:customStyle="1" w:styleId="111">
    <w:name w:val="标题 字符"/>
    <w:basedOn w:val="44"/>
    <w:uiPriority w:val="10"/>
    <w:rPr>
      <w:rFonts w:ascii="Cambria" w:hAnsi="Cambria" w:eastAsia="宋体" w:cs="Times New Roman"/>
      <w:b/>
      <w:bCs/>
      <w:sz w:val="32"/>
      <w:szCs w:val="32"/>
    </w:rPr>
  </w:style>
  <w:style w:type="character" w:customStyle="1" w:styleId="112">
    <w:name w:val="标题字符1"/>
    <w:uiPriority w:val="10"/>
    <w:rPr>
      <w:rFonts w:ascii="Calibri" w:hAnsi="Calibri" w:eastAsia="宋体" w:cs="Times New Roman"/>
      <w:b/>
      <w:bCs/>
      <w:sz w:val="32"/>
      <w:szCs w:val="32"/>
    </w:rPr>
  </w:style>
  <w:style w:type="paragraph" w:customStyle="1" w:styleId="113">
    <w:name w:val="图表标题"/>
    <w:basedOn w:val="1"/>
    <w:next w:val="20"/>
    <w:uiPriority w:val="0"/>
    <w:rPr>
      <w:rFonts w:ascii="Times New Roman" w:hAnsi="Times New Roman"/>
      <w:sz w:val="30"/>
      <w:szCs w:val="20"/>
    </w:rPr>
  </w:style>
  <w:style w:type="paragraph" w:customStyle="1" w:styleId="114">
    <w:name w:val="样式 正文文本"/>
    <w:basedOn w:val="1"/>
    <w:uiPriority w:val="0"/>
    <w:pPr>
      <w:adjustRightInd w:val="0"/>
      <w:snapToGrid w:val="0"/>
      <w:spacing w:line="400" w:lineRule="exact"/>
      <w:ind w:firstLine="200" w:firstLineChars="200"/>
    </w:pPr>
    <w:rPr>
      <w:rFonts w:ascii="Arial" w:hAnsi="Arial"/>
      <w:color w:val="000000"/>
      <w:szCs w:val="20"/>
    </w:rPr>
  </w:style>
  <w:style w:type="paragraph" w:customStyle="1" w:styleId="115">
    <w:name w:val="Char"/>
    <w:basedOn w:val="1"/>
    <w:uiPriority w:val="0"/>
    <w:rPr>
      <w:rFonts w:ascii="仿宋_GB2312" w:hAnsi="Times New Roman" w:eastAsia="仿宋_GB2312"/>
      <w:b/>
      <w:sz w:val="32"/>
      <w:szCs w:val="32"/>
    </w:rPr>
  </w:style>
  <w:style w:type="paragraph" w:customStyle="1" w:styleId="116">
    <w:name w:val="Char4 Char Char Char"/>
    <w:basedOn w:val="17"/>
    <w:uiPriority w:val="0"/>
    <w:rPr>
      <w:rFonts w:ascii="Tahoma" w:hAnsi="Tahoma"/>
      <w:sz w:val="24"/>
    </w:rPr>
  </w:style>
  <w:style w:type="paragraph" w:customStyle="1" w:styleId="117">
    <w:name w:val="表内文字"/>
    <w:basedOn w:val="1"/>
    <w:uiPriority w:val="0"/>
    <w:pPr>
      <w:widowControl/>
      <w:ind w:firstLine="120" w:firstLineChars="50"/>
    </w:pPr>
    <w:rPr>
      <w:rFonts w:ascii="宋体" w:hAnsi="宋体"/>
      <w:sz w:val="24"/>
      <w:szCs w:val="20"/>
    </w:rPr>
  </w:style>
  <w:style w:type="paragraph" w:customStyle="1" w:styleId="118">
    <w:name w:val="Char Char Char"/>
    <w:basedOn w:val="1"/>
    <w:uiPriority w:val="0"/>
    <w:pPr>
      <w:ind w:firstLine="360" w:firstLineChars="150"/>
    </w:pPr>
    <w:rPr>
      <w:rFonts w:ascii="Tahoma" w:hAnsi="Tahoma"/>
      <w:sz w:val="24"/>
      <w:szCs w:val="20"/>
    </w:rPr>
  </w:style>
  <w:style w:type="paragraph" w:customStyle="1" w:styleId="119">
    <w:name w:val="样式 样式1 + 首行缩进:  2 字符"/>
    <w:basedOn w:val="1"/>
    <w:uiPriority w:val="0"/>
    <w:pPr>
      <w:spacing w:line="360" w:lineRule="exact"/>
      <w:ind w:firstLine="420" w:firstLineChars="200"/>
    </w:pPr>
    <w:rPr>
      <w:rFonts w:ascii="Arial" w:hAnsi="Arial"/>
      <w:szCs w:val="20"/>
    </w:rPr>
  </w:style>
  <w:style w:type="paragraph" w:customStyle="1" w:styleId="120">
    <w:name w:val="legal 2"/>
    <w:basedOn w:val="109"/>
    <w:next w:val="109"/>
    <w:uiPriority w:val="0"/>
    <w:pPr>
      <w:spacing w:after="120"/>
    </w:pPr>
    <w:rPr>
      <w:rFonts w:cs="Times New Roman"/>
      <w:color w:val="auto"/>
    </w:rPr>
  </w:style>
  <w:style w:type="paragraph" w:customStyle="1" w:styleId="121">
    <w:name w:val="列表延续"/>
    <w:basedOn w:val="1"/>
    <w:uiPriority w:val="0"/>
    <w:pPr>
      <w:numPr>
        <w:ilvl w:val="8"/>
        <w:numId w:val="3"/>
      </w:numPr>
      <w:adjustRightInd w:val="0"/>
      <w:spacing w:line="360" w:lineRule="auto"/>
      <w:textAlignment w:val="baseline"/>
    </w:pPr>
    <w:rPr>
      <w:rFonts w:ascii="Times New Roman" w:hAnsi="Tms Rmn" w:eastAsia="楷体_GB2312"/>
      <w:kern w:val="28"/>
      <w:sz w:val="28"/>
      <w:szCs w:val="20"/>
    </w:rPr>
  </w:style>
  <w:style w:type="paragraph" w:customStyle="1" w:styleId="122">
    <w:name w:val="Legal 5"/>
    <w:basedOn w:val="109"/>
    <w:next w:val="109"/>
    <w:uiPriority w:val="0"/>
    <w:pPr>
      <w:spacing w:after="120"/>
    </w:pPr>
    <w:rPr>
      <w:rFonts w:cs="Times New Roman"/>
      <w:color w:val="auto"/>
    </w:rPr>
  </w:style>
  <w:style w:type="paragraph" w:customStyle="1" w:styleId="123">
    <w:name w:val="无间隔1"/>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24">
    <w:name w:val="Legal 4"/>
    <w:basedOn w:val="109"/>
    <w:next w:val="109"/>
    <w:uiPriority w:val="0"/>
    <w:pPr>
      <w:spacing w:after="120"/>
    </w:pPr>
    <w:rPr>
      <w:rFonts w:cs="Times New Roman"/>
      <w:color w:val="auto"/>
    </w:rPr>
  </w:style>
  <w:style w:type="paragraph" w:customStyle="1" w:styleId="125">
    <w:name w:val="_Style 41"/>
    <w:next w:val="1"/>
    <w:uiPriority w:val="0"/>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26">
    <w:name w:val="正文文字3"/>
    <w:basedOn w:val="20"/>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27">
    <w:name w:val="1"/>
    <w:basedOn w:val="1"/>
    <w:uiPriority w:val="0"/>
    <w:rPr>
      <w:rFonts w:ascii="仿宋_GB2312" w:hAnsi="Times New Roman" w:eastAsia="仿宋_GB2312"/>
      <w:b/>
      <w:sz w:val="32"/>
      <w:szCs w:val="32"/>
    </w:rPr>
  </w:style>
  <w:style w:type="paragraph" w:customStyle="1" w:styleId="128">
    <w:name w:val="TOC Heading"/>
    <w:basedOn w:val="2"/>
    <w:next w:val="1"/>
    <w:qFormat/>
    <w:uiPriority w:val="0"/>
    <w:pPr>
      <w:numPr>
        <w:ilvl w:val="0"/>
        <w:numId w:val="4"/>
      </w:numPr>
      <w:tabs>
        <w:tab w:val="clear" w:pos="780"/>
      </w:tabs>
      <w:spacing w:before="480" w:after="0" w:line="276" w:lineRule="auto"/>
      <w:ind w:left="0" w:firstLine="0"/>
      <w:outlineLvl w:val="9"/>
    </w:pPr>
    <w:rPr>
      <w:rFonts w:ascii="Cambria" w:hAnsi="Cambria" w:eastAsia="宋体"/>
      <w:color w:val="365F91"/>
      <w:kern w:val="0"/>
      <w:sz w:val="28"/>
      <w:szCs w:val="28"/>
    </w:rPr>
  </w:style>
  <w:style w:type="paragraph" w:customStyle="1" w:styleId="129">
    <w:name w:val="p16"/>
    <w:basedOn w:val="1"/>
    <w:uiPriority w:val="0"/>
    <w:pPr>
      <w:widowControl/>
      <w:spacing w:line="360" w:lineRule="auto"/>
      <w:ind w:left="-2" w:firstLine="2"/>
      <w:jc w:val="left"/>
    </w:pPr>
    <w:rPr>
      <w:rFonts w:ascii="宋体" w:hAnsi="宋体" w:cs="宋体"/>
      <w:kern w:val="0"/>
      <w:sz w:val="30"/>
      <w:szCs w:val="30"/>
    </w:rPr>
  </w:style>
  <w:style w:type="paragraph" w:customStyle="1" w:styleId="130">
    <w:name w:val="正文 New"/>
    <w:uiPriority w:val="0"/>
    <w:pPr>
      <w:widowControl w:val="0"/>
      <w:spacing w:after="0" w:line="400" w:lineRule="atLeast"/>
      <w:jc w:val="both"/>
    </w:pPr>
    <w:rPr>
      <w:rFonts w:ascii="Times New Roman" w:hAnsi="Times New Roman" w:eastAsia="仿宋_GB2312" w:cs="Times New Roman"/>
      <w:kern w:val="2"/>
      <w:sz w:val="24"/>
      <w:szCs w:val="20"/>
      <w:lang w:val="en-US" w:eastAsia="zh-CN" w:bidi="ar-SA"/>
    </w:rPr>
  </w:style>
  <w:style w:type="paragraph" w:customStyle="1" w:styleId="131">
    <w:name w:val="标准有序列表（L1）"/>
    <w:basedOn w:val="13"/>
    <w:uiPriority w:val="0"/>
    <w:pPr>
      <w:tabs>
        <w:tab w:val="left" w:pos="0"/>
      </w:tabs>
      <w:adjustRightInd w:val="0"/>
      <w:snapToGrid w:val="0"/>
      <w:ind w:firstLine="0"/>
      <w:jc w:val="center"/>
    </w:pPr>
    <w:rPr>
      <w:rFonts w:ascii="宋体" w:hAnsi="宋体" w:cs="宋体"/>
      <w:color w:val="000000"/>
      <w:szCs w:val="21"/>
    </w:rPr>
  </w:style>
  <w:style w:type="character" w:customStyle="1" w:styleId="132">
    <w:name w:val="正文首行缩进 2 Char2"/>
    <w:basedOn w:val="107"/>
    <w:semiHidden/>
    <w:uiPriority w:val="99"/>
  </w:style>
  <w:style w:type="character" w:customStyle="1" w:styleId="133">
    <w:name w:val="正文首行缩进 Char2"/>
    <w:basedOn w:val="92"/>
    <w:semiHidden/>
    <w:uiPriority w:val="99"/>
    <w:rPr>
      <w:rFonts w:ascii="Cambria" w:hAnsi="Cambr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3949</Words>
  <Characters>22512</Characters>
  <Lines>187</Lines>
  <Paragraphs>52</Paragraphs>
  <TotalTime>1</TotalTime>
  <ScaleCrop>false</ScaleCrop>
  <LinksUpToDate>false</LinksUpToDate>
  <CharactersWithSpaces>26409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zbzx-jsx</dc:creator>
  <cp:lastModifiedBy>zbzx-jsx</cp:lastModifiedBy>
  <dcterms:modified xsi:type="dcterms:W3CDTF">2019-10-08T10:29:00Z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