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outlineLvl w:val="9"/>
        <w:rPr>
          <w:rFonts w:eastAsia="黑体" w:cs="Calibri"/>
          <w:b/>
          <w:sz w:val="44"/>
          <w:szCs w:val="44"/>
        </w:rPr>
      </w:pP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outlineLvl w:val="9"/>
        <w:rPr>
          <w:rFonts w:hint="eastAsia" w:eastAsia="黑体" w:cs="Calibri"/>
          <w:b/>
          <w:sz w:val="44"/>
          <w:szCs w:val="44"/>
          <w:lang w:eastAsia="zh-CN"/>
        </w:rPr>
      </w:pPr>
      <w:r>
        <w:rPr>
          <w:rFonts w:hint="eastAsia" w:eastAsia="黑体" w:cs="Calibri"/>
          <w:b/>
          <w:sz w:val="44"/>
          <w:szCs w:val="44"/>
        </w:rPr>
        <w:t>杭州萧山国际机场T1、T2、T3航站楼标识提升优化方案设计项目</w:t>
      </w:r>
      <w:r>
        <w:rPr>
          <w:rFonts w:hint="eastAsia" w:eastAsia="黑体" w:cs="Calibri"/>
          <w:b/>
          <w:sz w:val="44"/>
          <w:szCs w:val="44"/>
          <w:lang w:eastAsia="zh-CN"/>
        </w:rPr>
        <w:t>（重新招标）</w:t>
      </w:r>
    </w:p>
    <w:p>
      <w:pPr>
        <w:autoSpaceDE w:val="0"/>
        <w:autoSpaceDN w:val="0"/>
        <w:adjustRightInd w:val="0"/>
        <w:jc w:val="center"/>
        <w:rPr>
          <w:rFonts w:eastAsia="黑体" w:cs="Calibri"/>
          <w:b/>
          <w:bCs/>
          <w:spacing w:val="60"/>
          <w:sz w:val="82"/>
          <w:szCs w:val="82"/>
        </w:rPr>
      </w:pP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4"/>
        <w:spacing w:line="480" w:lineRule="auto"/>
        <w:jc w:val="center"/>
        <w:rPr>
          <w:rFonts w:ascii="Calibri" w:hAnsi="Calibri" w:eastAsia="隶书" w:cs="Calibri"/>
          <w:sz w:val="32"/>
        </w:rPr>
      </w:pPr>
    </w:p>
    <w:p>
      <w:pPr>
        <w:pStyle w:val="4"/>
        <w:spacing w:line="480" w:lineRule="auto"/>
        <w:jc w:val="center"/>
        <w:rPr>
          <w:rFonts w:ascii="Calibri" w:hAnsi="Calibri" w:eastAsia="隶书" w:cs="Calibri"/>
          <w:sz w:val="32"/>
        </w:rPr>
      </w:pPr>
    </w:p>
    <w:p>
      <w:pPr>
        <w:pStyle w:val="4"/>
        <w:spacing w:line="480" w:lineRule="auto"/>
        <w:jc w:val="center"/>
        <w:rPr>
          <w:rFonts w:ascii="Calibri" w:hAnsi="Calibri" w:eastAsia="隶书" w:cs="Calibri"/>
          <w:sz w:val="32"/>
        </w:rPr>
      </w:pPr>
    </w:p>
    <w:p>
      <w:pPr>
        <w:pStyle w:val="4"/>
        <w:spacing w:line="480" w:lineRule="auto"/>
        <w:jc w:val="center"/>
        <w:rPr>
          <w:rFonts w:ascii="Calibri" w:hAnsi="Calibri" w:eastAsia="隶书" w:cs="Calibri"/>
          <w:sz w:val="32"/>
        </w:rPr>
      </w:pPr>
    </w:p>
    <w:p>
      <w:pPr>
        <w:pStyle w:val="4"/>
        <w:spacing w:line="480" w:lineRule="auto"/>
        <w:jc w:val="center"/>
        <w:rPr>
          <w:rFonts w:ascii="Calibri" w:hAnsi="Calibri" w:eastAsia="隶书" w:cs="Calibri"/>
          <w:sz w:val="32"/>
        </w:rPr>
      </w:pPr>
    </w:p>
    <w:p>
      <w:pPr>
        <w:pStyle w:val="4"/>
        <w:spacing w:line="480" w:lineRule="auto"/>
        <w:rPr>
          <w:rFonts w:ascii="Calibri" w:hAnsi="Calibri" w:eastAsia="隶书" w:cs="Calibri"/>
          <w:sz w:val="32"/>
        </w:rPr>
      </w:pPr>
    </w:p>
    <w:p>
      <w:pPr>
        <w:pStyle w:val="4"/>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4"/>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九</w:t>
      </w:r>
      <w:r>
        <w:rPr>
          <w:rFonts w:ascii="Calibri" w:hAnsi="Calibri" w:eastAsia="黑体" w:cs="Calibri"/>
          <w:sz w:val="32"/>
          <w:szCs w:val="32"/>
        </w:rPr>
        <w:t>月</w:t>
      </w:r>
    </w:p>
    <w:p>
      <w:pPr>
        <w:snapToGrid w:val="0"/>
        <w:spacing w:line="360" w:lineRule="auto"/>
        <w:jc w:val="center"/>
        <w:rPr>
          <w:rFonts w:cs="Calibri"/>
          <w:color w:val="000000"/>
          <w:sz w:val="32"/>
          <w:szCs w:val="32"/>
        </w:rPr>
      </w:pPr>
    </w:p>
    <w:p>
      <w:pPr>
        <w:pStyle w:val="9"/>
        <w:rPr>
          <w:rFonts w:ascii="Calibri" w:cs="Calibri"/>
          <w:b/>
          <w:color w:val="000000"/>
          <w:sz w:val="44"/>
        </w:rPr>
      </w:pPr>
      <w:bookmarkStart w:id="0" w:name="_Toc349007685"/>
      <w:bookmarkStart w:id="1" w:name="_Toc386363314"/>
      <w:bookmarkStart w:id="2" w:name="_Toc349011855"/>
      <w:bookmarkStart w:id="3" w:name="_Toc386359390"/>
      <w:r>
        <w:rPr>
          <w:rFonts w:hint="eastAsia" w:ascii="Calibri" w:cs="Calibri"/>
          <w:b/>
          <w:color w:val="000000"/>
          <w:sz w:val="44"/>
        </w:rPr>
        <w:t xml:space="preserve"> </w:t>
      </w:r>
    </w:p>
    <w:p>
      <w:pPr>
        <w:pStyle w:val="9"/>
        <w:rPr>
          <w:rFonts w:ascii="Calibri" w:hAnsi="Calibri" w:cs="Calibri"/>
          <w:b/>
          <w:color w:val="000000"/>
          <w:sz w:val="44"/>
        </w:rPr>
      </w:pPr>
      <w:bookmarkStart w:id="4" w:name="_Toc444173456"/>
      <w:bookmarkStart w:id="5" w:name="_Toc444811406"/>
      <w:bookmarkStart w:id="6" w:name="_Toc400369182"/>
      <w:bookmarkStart w:id="7" w:name="_Toc448002981"/>
      <w:bookmarkStart w:id="8" w:name="_Toc444174976"/>
      <w:r>
        <w:rPr>
          <w:rFonts w:ascii="Calibri" w:cs="Calibri"/>
          <w:b/>
          <w:color w:val="000000"/>
          <w:sz w:val="44"/>
        </w:rPr>
        <w:t>目</w:t>
      </w:r>
      <w:r>
        <w:rPr>
          <w:rFonts w:ascii="Calibri" w:hAnsi="Calibri" w:cs="Calibri"/>
          <w:b/>
          <w:color w:val="000000"/>
          <w:sz w:val="44"/>
        </w:rPr>
        <w:t xml:space="preserve">  </w:t>
      </w:r>
      <w:r>
        <w:rPr>
          <w:rFonts w:ascii="Calibri" w:cs="Calibri"/>
          <w:b/>
          <w:color w:val="000000"/>
          <w:sz w:val="44"/>
        </w:rPr>
        <w:t>录</w:t>
      </w:r>
      <w:bookmarkEnd w:id="0"/>
      <w:bookmarkEnd w:id="1"/>
      <w:bookmarkEnd w:id="2"/>
      <w:bookmarkEnd w:id="3"/>
      <w:bookmarkEnd w:id="4"/>
      <w:bookmarkEnd w:id="5"/>
      <w:bookmarkEnd w:id="6"/>
      <w:bookmarkEnd w:id="7"/>
      <w:bookmarkEnd w:id="8"/>
    </w:p>
    <w:p>
      <w:pPr>
        <w:pStyle w:val="9"/>
        <w:spacing w:line="480" w:lineRule="auto"/>
        <w:rPr>
          <w:rFonts w:ascii="黑体" w:hAnsi="黑体" w:eastAsia="黑体" w:cstheme="minorBidi"/>
          <w:bCs w:val="0"/>
          <w:kern w:val="2"/>
          <w:sz w:val="22"/>
          <w:szCs w:val="22"/>
        </w:rPr>
      </w:pPr>
      <w:r>
        <w:rPr>
          <w:rFonts w:hint="eastAsia" w:ascii="黑体" w:hAnsi="黑体" w:eastAsia="黑体" w:cs="Calibri"/>
          <w:color w:val="000000"/>
          <w:sz w:val="22"/>
          <w:szCs w:val="22"/>
        </w:rPr>
        <w:fldChar w:fldCharType="begin"/>
      </w:r>
      <w:r>
        <w:rPr>
          <w:rFonts w:hint="eastAsia" w:ascii="黑体" w:hAnsi="黑体" w:eastAsia="黑体" w:cs="Calibri"/>
          <w:color w:val="000000"/>
          <w:sz w:val="22"/>
          <w:szCs w:val="22"/>
        </w:rPr>
        <w:instrText xml:space="preserve"> TOC \o "1-3" \h \z \u </w:instrText>
      </w:r>
      <w:r>
        <w:rPr>
          <w:rFonts w:hint="eastAsia" w:ascii="黑体" w:hAnsi="黑体" w:eastAsia="黑体" w:cs="Calibri"/>
          <w:color w:val="000000"/>
          <w:sz w:val="22"/>
          <w:szCs w:val="22"/>
        </w:rPr>
        <w:fldChar w:fldCharType="separate"/>
      </w:r>
    </w:p>
    <w:p>
      <w:pPr>
        <w:pStyle w:val="9"/>
        <w:spacing w:line="480" w:lineRule="auto"/>
        <w:rPr>
          <w:rFonts w:ascii="黑体" w:hAnsi="黑体" w:eastAsia="黑体" w:cstheme="minorBidi"/>
          <w:bCs w:val="0"/>
          <w:kern w:val="2"/>
          <w:sz w:val="22"/>
          <w:szCs w:val="22"/>
        </w:rPr>
      </w:pPr>
      <w:r>
        <w:fldChar w:fldCharType="begin"/>
      </w:r>
      <w:r>
        <w:instrText xml:space="preserve"> HYPERLINK \l "_Toc448002982" </w:instrText>
      </w:r>
      <w:r>
        <w:fldChar w:fldCharType="separate"/>
      </w:r>
      <w:r>
        <w:rPr>
          <w:rStyle w:val="14"/>
          <w:rFonts w:hint="eastAsia" w:ascii="黑体" w:hAnsi="黑体" w:eastAsia="黑体" w:cs="Calibri"/>
          <w:kern w:val="0"/>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_Toc448002982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9"/>
        <w:spacing w:line="480" w:lineRule="auto"/>
        <w:rPr>
          <w:rFonts w:ascii="黑体" w:hAnsi="黑体" w:eastAsia="黑体" w:cstheme="minorBidi"/>
          <w:bCs w:val="0"/>
          <w:kern w:val="2"/>
          <w:sz w:val="22"/>
          <w:szCs w:val="22"/>
        </w:rPr>
      </w:pPr>
      <w:r>
        <w:fldChar w:fldCharType="begin"/>
      </w:r>
      <w:r>
        <w:instrText xml:space="preserve"> HYPERLINK \l "_Toc448002983" </w:instrText>
      </w:r>
      <w:r>
        <w:fldChar w:fldCharType="separate"/>
      </w:r>
      <w:r>
        <w:rPr>
          <w:rStyle w:val="14"/>
          <w:rFonts w:hint="eastAsia" w:ascii="黑体" w:hAnsi="黑体" w:eastAsia="黑体" w:cs="Calibri"/>
          <w:kern w:val="0"/>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_Toc448002983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9"/>
        <w:spacing w:line="480" w:lineRule="auto"/>
        <w:rPr>
          <w:rFonts w:ascii="黑体" w:hAnsi="黑体" w:eastAsia="黑体" w:cstheme="minorBidi"/>
          <w:bCs w:val="0"/>
          <w:kern w:val="2"/>
          <w:sz w:val="22"/>
          <w:szCs w:val="22"/>
        </w:rPr>
      </w:pPr>
      <w:r>
        <w:fldChar w:fldCharType="begin"/>
      </w:r>
      <w:r>
        <w:instrText xml:space="preserve"> HYPERLINK \l "_Toc448002985" </w:instrText>
      </w:r>
      <w:r>
        <w:fldChar w:fldCharType="separate"/>
      </w:r>
      <w:r>
        <w:rPr>
          <w:rStyle w:val="14"/>
          <w:rFonts w:hint="eastAsia" w:ascii="黑体" w:hAnsi="黑体" w:eastAsia="黑体" w:cs="Calibri"/>
          <w:kern w:val="0"/>
          <w:sz w:val="22"/>
          <w:szCs w:val="22"/>
        </w:rPr>
        <w:t>第三章  服务技术标准及要求</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_Toc448002985 \h </w:instrText>
      </w:r>
      <w:r>
        <w:rPr>
          <w:rFonts w:hint="eastAsia" w:ascii="黑体" w:hAnsi="黑体" w:eastAsia="黑体"/>
          <w:sz w:val="22"/>
          <w:szCs w:val="22"/>
        </w:rPr>
        <w:fldChar w:fldCharType="separate"/>
      </w:r>
      <w:r>
        <w:rPr>
          <w:rFonts w:ascii="黑体" w:hAnsi="黑体" w:eastAsia="黑体"/>
          <w:sz w:val="22"/>
          <w:szCs w:val="22"/>
        </w:rPr>
        <w:t>- 11 -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9"/>
        <w:spacing w:line="480" w:lineRule="auto"/>
        <w:rPr>
          <w:rFonts w:ascii="黑体" w:hAnsi="黑体" w:eastAsia="黑体" w:cstheme="minorBidi"/>
          <w:bCs w:val="0"/>
          <w:kern w:val="2"/>
          <w:sz w:val="22"/>
          <w:szCs w:val="22"/>
        </w:rPr>
      </w:pPr>
      <w:r>
        <w:fldChar w:fldCharType="begin"/>
      </w:r>
      <w:r>
        <w:instrText xml:space="preserve"> HYPERLINK \l "_Toc448002986" </w:instrText>
      </w:r>
      <w:r>
        <w:fldChar w:fldCharType="separate"/>
      </w:r>
      <w:r>
        <w:rPr>
          <w:rStyle w:val="14"/>
          <w:rFonts w:hint="eastAsia" w:ascii="黑体" w:hAnsi="黑体" w:eastAsia="黑体" w:cs="Calibri"/>
          <w:kern w:val="0"/>
          <w:sz w:val="22"/>
          <w:szCs w:val="22"/>
        </w:rPr>
        <w:t>第四章  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_Toc448002986 \h </w:instrText>
      </w:r>
      <w:r>
        <w:rPr>
          <w:rFonts w:hint="eastAsia" w:ascii="黑体" w:hAnsi="黑体" w:eastAsia="黑体"/>
          <w:sz w:val="22"/>
          <w:szCs w:val="22"/>
        </w:rPr>
        <w:fldChar w:fldCharType="separate"/>
      </w:r>
      <w:r>
        <w:rPr>
          <w:rFonts w:ascii="黑体" w:hAnsi="黑体" w:eastAsia="黑体"/>
          <w:sz w:val="22"/>
          <w:szCs w:val="22"/>
        </w:rPr>
        <w:t>- 12 -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9"/>
        <w:spacing w:line="480" w:lineRule="auto"/>
        <w:rPr>
          <w:rFonts w:ascii="黑体" w:hAnsi="黑体" w:eastAsia="黑体" w:cstheme="minorBidi"/>
          <w:bCs w:val="0"/>
          <w:kern w:val="2"/>
          <w:sz w:val="22"/>
          <w:szCs w:val="22"/>
        </w:rPr>
      </w:pPr>
      <w:r>
        <w:fldChar w:fldCharType="begin"/>
      </w:r>
      <w:r>
        <w:instrText xml:space="preserve"> HYPERLINK \l "_Toc448002987" </w:instrText>
      </w:r>
      <w:r>
        <w:fldChar w:fldCharType="separate"/>
      </w:r>
      <w:r>
        <w:rPr>
          <w:rStyle w:val="14"/>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_Toc448002987 \h </w:instrText>
      </w:r>
      <w:r>
        <w:rPr>
          <w:rFonts w:hint="eastAsia" w:ascii="黑体" w:hAnsi="黑体" w:eastAsia="黑体"/>
          <w:sz w:val="22"/>
          <w:szCs w:val="22"/>
        </w:rPr>
        <w:fldChar w:fldCharType="separate"/>
      </w:r>
      <w:r>
        <w:rPr>
          <w:rFonts w:ascii="黑体" w:hAnsi="黑体" w:eastAsia="黑体"/>
          <w:sz w:val="22"/>
          <w:szCs w:val="22"/>
        </w:rPr>
        <w:t>- 13 -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9"/>
        <w:spacing w:line="480" w:lineRule="auto"/>
        <w:rPr>
          <w:rFonts w:ascii="黑体" w:hAnsi="黑体" w:eastAsia="黑体" w:cstheme="minorBidi"/>
          <w:bCs w:val="0"/>
          <w:kern w:val="2"/>
          <w:sz w:val="22"/>
          <w:szCs w:val="22"/>
        </w:rPr>
      </w:pPr>
      <w:r>
        <w:fldChar w:fldCharType="begin"/>
      </w:r>
      <w:r>
        <w:instrText xml:space="preserve"> HYPERLINK \l "_Toc448002988" </w:instrText>
      </w:r>
      <w:r>
        <w:fldChar w:fldCharType="separate"/>
      </w:r>
      <w:r>
        <w:rPr>
          <w:rStyle w:val="14"/>
          <w:rFonts w:hint="eastAsia" w:ascii="黑体" w:hAnsi="黑体" w:eastAsia="黑体" w:cs="Calibri"/>
          <w:kern w:val="0"/>
          <w:sz w:val="22"/>
          <w:szCs w:val="22"/>
        </w:rPr>
        <w:t>第五章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_Toc448002988 \h </w:instrText>
      </w:r>
      <w:r>
        <w:rPr>
          <w:rFonts w:hint="eastAsia" w:ascii="黑体" w:hAnsi="黑体" w:eastAsia="黑体"/>
          <w:sz w:val="22"/>
          <w:szCs w:val="22"/>
        </w:rPr>
        <w:fldChar w:fldCharType="separate"/>
      </w:r>
      <w:r>
        <w:rPr>
          <w:rFonts w:ascii="黑体" w:hAnsi="黑体" w:eastAsia="黑体"/>
          <w:sz w:val="22"/>
          <w:szCs w:val="22"/>
        </w:rPr>
        <w:t>- 16 -</w:t>
      </w:r>
      <w:r>
        <w:rPr>
          <w:rFonts w:hint="eastAsia" w:ascii="黑体" w:hAnsi="黑体" w:eastAsia="黑体"/>
          <w:sz w:val="22"/>
          <w:szCs w:val="22"/>
        </w:rPr>
        <w:fldChar w:fldCharType="end"/>
      </w:r>
      <w:r>
        <w:rPr>
          <w:rFonts w:hint="eastAsia" w:ascii="黑体" w:hAnsi="黑体" w:eastAsia="黑体"/>
          <w:sz w:val="22"/>
          <w:szCs w:val="22"/>
        </w:rPr>
        <w:fldChar w:fldCharType="end"/>
      </w:r>
    </w:p>
    <w:p>
      <w:pPr>
        <w:spacing w:line="480" w:lineRule="auto"/>
        <w:jc w:val="center"/>
        <w:rPr>
          <w:rFonts w:cs="Calibri"/>
          <w:color w:val="000000"/>
          <w:sz w:val="24"/>
        </w:rPr>
      </w:pPr>
      <w:r>
        <w:rPr>
          <w:rFonts w:hint="eastAsia" w:ascii="黑体" w:hAnsi="黑体" w:eastAsia="黑体" w:cs="Calibri"/>
          <w:color w:val="000000"/>
          <w:sz w:val="22"/>
        </w:rPr>
        <w:fldChar w:fldCharType="end"/>
      </w:r>
    </w:p>
    <w:p>
      <w:pPr>
        <w:spacing w:line="440" w:lineRule="exact"/>
        <w:ind w:right="480"/>
        <w:rPr>
          <w:rFonts w:cs="Calibri"/>
          <w:color w:val="000000"/>
          <w:sz w:val="24"/>
        </w:rPr>
      </w:pPr>
    </w:p>
    <w:p>
      <w:pPr>
        <w:pStyle w:val="2"/>
        <w:spacing w:before="0" w:after="0" w:line="360" w:lineRule="auto"/>
        <w:jc w:val="center"/>
        <w:rPr>
          <w:rFonts w:ascii="Calibri" w:eastAsia="黑体" w:cs="Calibri"/>
          <w:kern w:val="0"/>
          <w:sz w:val="32"/>
        </w:rPr>
      </w:pPr>
      <w:r>
        <w:rPr>
          <w:rFonts w:ascii="Calibri" w:hAnsi="Calibri" w:cs="Calibri"/>
          <w:color w:val="000000"/>
        </w:rPr>
        <w:br w:type="page"/>
      </w:r>
      <w:bookmarkStart w:id="9" w:name="_Toc24932"/>
      <w:bookmarkStart w:id="10" w:name="_Toc7641"/>
      <w:bookmarkStart w:id="11" w:name="_Toc8110"/>
      <w:bookmarkStart w:id="12" w:name="_Toc24784"/>
      <w:bookmarkStart w:id="13" w:name="_Toc14628"/>
      <w:bookmarkStart w:id="14" w:name="_Toc18642"/>
      <w:bookmarkStart w:id="15" w:name="_Toc22293"/>
      <w:bookmarkStart w:id="16" w:name="_Toc6581"/>
      <w:bookmarkStart w:id="17" w:name="_Toc6832"/>
      <w:bookmarkStart w:id="18" w:name="_Toc448002982"/>
      <w:bookmarkStart w:id="19" w:name="_Toc248766631"/>
      <w:bookmarkStart w:id="20" w:name="_Toc249322950"/>
      <w:r>
        <w:rPr>
          <w:rFonts w:ascii="Calibri" w:eastAsia="黑体" w:cs="Calibri"/>
          <w:kern w:val="0"/>
          <w:sz w:val="32"/>
        </w:rPr>
        <w:t>第一章</w:t>
      </w:r>
      <w:r>
        <w:rPr>
          <w:rFonts w:ascii="Calibri" w:hAnsi="Calibri" w:eastAsia="黑体" w:cs="Calibri"/>
          <w:kern w:val="0"/>
          <w:sz w:val="32"/>
        </w:rPr>
        <w:t xml:space="preserve"> </w:t>
      </w:r>
      <w:bookmarkEnd w:id="9"/>
      <w:bookmarkEnd w:id="10"/>
      <w:bookmarkEnd w:id="11"/>
      <w:bookmarkEnd w:id="12"/>
      <w:bookmarkEnd w:id="13"/>
      <w:bookmarkEnd w:id="14"/>
      <w:bookmarkEnd w:id="15"/>
      <w:bookmarkEnd w:id="16"/>
      <w:bookmarkEnd w:id="17"/>
      <w:r>
        <w:rPr>
          <w:rFonts w:hint="eastAsia" w:ascii="Calibri" w:eastAsia="黑体" w:cs="Calibri"/>
          <w:kern w:val="0"/>
          <w:sz w:val="32"/>
        </w:rPr>
        <w:t>招标公告</w:t>
      </w:r>
      <w:bookmarkEnd w:id="18"/>
    </w:p>
    <w:p>
      <w:pPr>
        <w:widowControl/>
        <w:snapToGrid w:val="0"/>
        <w:spacing w:line="340" w:lineRule="exact"/>
        <w:jc w:val="left"/>
        <w:rPr>
          <w:rFonts w:ascii="Arial" w:hAnsi="Arial" w:cs="Arial"/>
          <w:b/>
          <w:bCs/>
          <w:kern w:val="0"/>
          <w:sz w:val="22"/>
        </w:rPr>
      </w:pPr>
      <w:bookmarkStart w:id="21" w:name="OLE_LINK1"/>
      <w:bookmarkStart w:id="116" w:name="_GoBack"/>
      <w:r>
        <w:rPr>
          <w:rFonts w:hint="eastAsia" w:ascii="Arial" w:hAnsi="Arial" w:cs="Arial"/>
          <w:b/>
          <w:bCs/>
          <w:kern w:val="0"/>
          <w:sz w:val="22"/>
        </w:rPr>
        <w:t>一、招标范围及内容</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（1）杭州萧山国际机场</w:t>
      </w:r>
      <w:r>
        <w:rPr>
          <w:rFonts w:hint="eastAsia" w:ascii="宋体" w:hAnsi="宋体" w:cs="Arial"/>
          <w:kern w:val="0"/>
          <w:sz w:val="22"/>
          <w:u w:val="single"/>
        </w:rPr>
        <w:t>T1、T2、T3航站楼标识提升优化方案设计</w:t>
      </w:r>
      <w:r>
        <w:rPr>
          <w:rFonts w:ascii="宋体" w:hAnsi="宋体" w:cs="Arial"/>
          <w:kern w:val="0"/>
          <w:sz w:val="22"/>
        </w:rPr>
        <w:t>项目</w:t>
      </w:r>
      <w:r>
        <w:rPr>
          <w:rFonts w:hint="eastAsia" w:ascii="宋体" w:hAnsi="宋体" w:cs="Arial"/>
          <w:kern w:val="0"/>
          <w:sz w:val="22"/>
        </w:rPr>
        <w:t>已批准建设，项目业主为杭州萧山国际机场有限公司，建设资金来源为自筹。项目已具备招标条件，现对本项目进行公开招标。</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（2）项目概况：</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本项目具体要求详见第三章“服务技术标准及要求”。</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具有独立法人资格，持有有效营业执照，经营范围须包括标志标牌设计或广告设计等相关内容。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3）近年（201  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4</w:t>
      </w:r>
      <w:r>
        <w:rPr>
          <w:rFonts w:hint="eastAsia" w:ascii="宋体" w:hAnsi="宋体" w:cs="Arial"/>
          <w:kern w:val="0"/>
          <w:sz w:val="22"/>
        </w:rPr>
        <w:t>）具有一般纳税人资格，可提供增值税专用发票（需提供主管税务部门出具的一般纳税人资格认定《税务事项通知书》并加盖投标人公章作为证明材料或在投标函中承诺投标人具有一般纳税人资格，可提供增值税专用发票）。若在中标候选人公示期间发现中标候选人不具有一般纳税人资格，招标人将依法取消其中标候选人资格，并有权没收其投标保证金。（4）近五年（自2014年1月1日起至投标截止日）投标人须具备类似项目业绩：①指面积20万平方米（含）以上同类项目（如机场、港口、汽车站、火车站等大型交通枢纽）建筑的标识系统设计业绩；②具有50万元（含）以上VI视觉识别系统设计类的业绩（①②满足一项即可），须提供中标通知书或合同关键页(封面页、金额页、签字盖章页)复印件并加盖投标人公章作为证明材料。符合①的投标人，若中标通知书或合同关键页无法体现面积参数的，须额外提供业主证明。</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（5）本次招标不接受联合体投标。</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w:t>
      </w:r>
      <w:r>
        <w:rPr>
          <w:rFonts w:hint="eastAsia" w:ascii="宋体" w:hAnsi="宋体" w:cs="Arial"/>
          <w:kern w:val="0"/>
          <w:sz w:val="22"/>
          <w:lang w:eastAsia="zh-CN"/>
        </w:rPr>
        <w:t>2019年10月28日下午14时00分</w:t>
      </w:r>
      <w:r>
        <w:rPr>
          <w:rFonts w:hint="eastAsia" w:ascii="宋体" w:hAnsi="宋体" w:cs="Arial"/>
          <w:kern w:val="0"/>
          <w:sz w:val="22"/>
        </w:rPr>
        <w:t>（北京时间）。投标文件在封口处加盖公章，并派专人于</w:t>
      </w:r>
      <w:r>
        <w:rPr>
          <w:rFonts w:hint="eastAsia" w:ascii="宋体" w:hAnsi="宋体" w:cs="Arial"/>
          <w:kern w:val="0"/>
          <w:sz w:val="22"/>
          <w:lang w:eastAsia="zh-CN"/>
        </w:rPr>
        <w:t>2019年10月28日下午14时00分</w:t>
      </w:r>
      <w:r>
        <w:rPr>
          <w:rFonts w:hint="eastAsia" w:ascii="宋体" w:hAnsi="宋体" w:cs="Arial"/>
          <w:kern w:val="0"/>
          <w:sz w:val="22"/>
        </w:rPr>
        <w:t>（北京时间）前送至杭州萧山国际机场翔越路综合服务楼园区招标中心，逾期无效；若采用投递（邮寄）方式的，请于</w:t>
      </w:r>
      <w:r>
        <w:rPr>
          <w:rFonts w:hint="eastAsia" w:ascii="宋体" w:hAnsi="宋体" w:cs="Arial"/>
          <w:kern w:val="0"/>
          <w:sz w:val="22"/>
          <w:lang w:eastAsia="zh-CN"/>
        </w:rPr>
        <w:t>2019年10月28日下午14时00分</w:t>
      </w:r>
      <w:r>
        <w:rPr>
          <w:rFonts w:hint="eastAsia" w:ascii="宋体" w:hAnsi="宋体" w:cs="Arial"/>
          <w:kern w:val="0"/>
          <w:sz w:val="22"/>
        </w:rPr>
        <w:t>（北京时间）前投递至杭州萧山国际机场翔越路综合服务楼园区招标中心，逾期无效。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Cs w:val="21"/>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投标联系人贾思勰        联系电话： 0571-</w:t>
      </w:r>
      <w:r>
        <w:rPr>
          <w:rFonts w:ascii="宋体" w:hAnsi="宋体"/>
          <w:sz w:val="22"/>
        </w:rPr>
        <w:t>83837612</w:t>
      </w:r>
    </w:p>
    <w:p>
      <w:pPr>
        <w:widowControl/>
        <w:adjustRightInd w:val="0"/>
        <w:snapToGrid w:val="0"/>
        <w:spacing w:line="340" w:lineRule="exact"/>
        <w:ind w:firstLine="440" w:firstLineChars="200"/>
        <w:rPr>
          <w:rFonts w:ascii="宋体" w:hAnsi="宋体"/>
          <w:sz w:val="22"/>
        </w:rPr>
      </w:pPr>
      <w:r>
        <w:rPr>
          <w:rFonts w:hint="eastAsia" w:ascii="宋体" w:hAnsi="宋体"/>
          <w:sz w:val="22"/>
        </w:rPr>
        <w:t xml:space="preserve">招标监督人：阮周长         联系电话： </w:t>
      </w:r>
      <w:r>
        <w:rPr>
          <w:rFonts w:ascii="宋体" w:hAnsi="宋体"/>
          <w:sz w:val="22"/>
        </w:rPr>
        <w:t>0571-86662133</w:t>
      </w:r>
      <w:bookmarkEnd w:id="21"/>
    </w:p>
    <w:bookmarkEnd w:id="116"/>
    <w:p>
      <w:pPr>
        <w:widowControl/>
        <w:adjustRightInd w:val="0"/>
        <w:snapToGrid w:val="0"/>
        <w:spacing w:line="340" w:lineRule="exact"/>
        <w:ind w:firstLine="440" w:firstLineChars="200"/>
        <w:rPr>
          <w:rFonts w:ascii="宋体" w:hAnsi="宋体"/>
          <w:sz w:val="22"/>
        </w:rPr>
      </w:pPr>
    </w:p>
    <w:p>
      <w:pPr>
        <w:pStyle w:val="2"/>
        <w:spacing w:before="0" w:after="0" w:line="360" w:lineRule="auto"/>
        <w:jc w:val="center"/>
        <w:rPr>
          <w:rFonts w:ascii="Calibri" w:hAnsi="Calibri" w:eastAsia="黑体" w:cs="Calibri"/>
          <w:kern w:val="0"/>
          <w:sz w:val="32"/>
        </w:rPr>
      </w:pPr>
      <w:r>
        <w:rPr>
          <w:rFonts w:ascii="宋体" w:hAnsi="宋体" w:cs="Calibri"/>
          <w:kern w:val="0"/>
          <w:highlight w:val="yellow"/>
        </w:rPr>
        <w:br w:type="page"/>
      </w:r>
      <w:bookmarkStart w:id="22" w:name="_Toc448002983"/>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19"/>
      <w:bookmarkEnd w:id="20"/>
      <w:bookmarkEnd w:id="22"/>
      <w:bookmarkStart w:id="23" w:name="_Toc143421654"/>
    </w:p>
    <w:p>
      <w:pPr>
        <w:pStyle w:val="15"/>
        <w:jc w:val="center"/>
        <w:rPr>
          <w:rFonts w:ascii="Calibri" w:hAnsi="Calibri" w:eastAsia="黑体" w:cs="Calibri"/>
          <w:kern w:val="2"/>
          <w:sz w:val="28"/>
          <w:szCs w:val="32"/>
        </w:rPr>
      </w:pPr>
      <w:bookmarkStart w:id="24" w:name="_Toc386363317"/>
      <w:bookmarkStart w:id="25" w:name="_Toc400369185"/>
      <w:bookmarkStart w:id="26" w:name="_Toc448002984"/>
      <w:bookmarkStart w:id="27" w:name="_Toc444174979"/>
      <w:bookmarkStart w:id="28" w:name="_Toc444173459"/>
      <w:bookmarkStart w:id="29" w:name="_Toc11881"/>
      <w:bookmarkStart w:id="30" w:name="_Toc386359393"/>
      <w:bookmarkStart w:id="31" w:name="_Toc444811409"/>
      <w:bookmarkStart w:id="32" w:name="_Toc349007688"/>
      <w:bookmarkStart w:id="33" w:name="_Toc349011858"/>
      <w:r>
        <w:rPr>
          <w:rFonts w:ascii="Calibri" w:hAnsi="Arial" w:eastAsia="黑体" w:cs="Calibri"/>
          <w:kern w:val="2"/>
          <w:sz w:val="28"/>
          <w:szCs w:val="32"/>
        </w:rPr>
        <w:t>投标人须知前附表</w:t>
      </w:r>
      <w:bookmarkEnd w:id="23"/>
      <w:bookmarkEnd w:id="24"/>
      <w:bookmarkEnd w:id="25"/>
      <w:bookmarkEnd w:id="26"/>
      <w:bookmarkEnd w:id="27"/>
      <w:bookmarkEnd w:id="28"/>
      <w:bookmarkEnd w:id="29"/>
      <w:bookmarkEnd w:id="30"/>
      <w:bookmarkEnd w:id="31"/>
      <w:bookmarkEnd w:id="32"/>
      <w:bookmarkEnd w:id="33"/>
    </w:p>
    <w:tbl>
      <w:tblPr>
        <w:tblStyle w:val="11"/>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sz w:val="22"/>
              </w:rPr>
              <w:t>1.1</w:t>
            </w:r>
            <w:r>
              <w:rPr>
                <w:rFonts w:hint="eastAsia" w:cs="Calibri" w:asciiTheme="minorEastAsia" w:hAnsiTheme="minorEastAsia" w:eastAsiaTheme="minorEastAsia"/>
                <w:sz w:val="22"/>
              </w:rPr>
              <w:t>.1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项目名称</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ascii="宋体" w:hAnsi="宋体" w:cs="Arial"/>
                <w:kern w:val="0"/>
                <w:sz w:val="22"/>
              </w:rPr>
              <w:t>杭州萧山国际机场T1、T2、T3航站楼标识提升优化方案设计项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1.1.2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实施</w:t>
            </w:r>
            <w:r>
              <w:rPr>
                <w:rFonts w:cs="Calibri" w:asciiTheme="minorEastAsia" w:hAnsiTheme="minorEastAsia" w:eastAsiaTheme="minorEastAsia"/>
                <w:kern w:val="0"/>
                <w:sz w:val="22"/>
              </w:rPr>
              <w:t>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资金来源</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Style w:val="16"/>
                <w:rFonts w:hint="eastAsia" w:cs="Calibri" w:asciiTheme="minorEastAsia" w:hAnsiTheme="minorEastAsia" w:eastAsiaTheme="minorEastAsia"/>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招标</w:t>
            </w:r>
            <w:r>
              <w:rPr>
                <w:rFonts w:hint="eastAsia" w:cs="Calibri" w:asciiTheme="minorEastAsia" w:hAnsiTheme="minorEastAsia" w:eastAsiaTheme="minorEastAsia"/>
                <w:kern w:val="0"/>
                <w:sz w:val="22"/>
              </w:rPr>
              <w:t>内容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见招标公告，具体要求详见第</w:t>
            </w:r>
            <w:r>
              <w:rPr>
                <w:rFonts w:hint="eastAsia" w:cs="Calibri" w:asciiTheme="minorEastAsia" w:hAnsiTheme="minorEastAsia" w:eastAsiaTheme="minorEastAsia"/>
                <w:kern w:val="0"/>
                <w:sz w:val="22"/>
              </w:rPr>
              <w:t>三</w:t>
            </w:r>
            <w:r>
              <w:rPr>
                <w:rFonts w:cs="Calibri" w:asciiTheme="minorEastAsia" w:hAnsiTheme="minorEastAsia" w:eastAsiaTheme="minorEastAsia"/>
                <w:kern w:val="0"/>
                <w:sz w:val="22"/>
              </w:rPr>
              <w:t>章“</w:t>
            </w:r>
            <w:r>
              <w:rPr>
                <w:rFonts w:hint="eastAsia" w:cs="Calibri" w:asciiTheme="minorEastAsia" w:hAnsiTheme="minorEastAsia" w:eastAsiaTheme="minorEastAsia"/>
                <w:kern w:val="0"/>
                <w:sz w:val="22"/>
              </w:rPr>
              <w:t>服务技术标准及要求</w:t>
            </w:r>
            <w:r>
              <w:rPr>
                <w:rFonts w:cs="Calibri" w:asciiTheme="minorEastAsia" w:hAnsiTheme="minorEastAsia" w:eastAsiaTheme="minorEastAsia"/>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4</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招标方式</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5</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资格审查</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6</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投标人资质条件、能力和信誉</w:t>
            </w:r>
          </w:p>
        </w:tc>
        <w:tc>
          <w:tcPr>
            <w:tcW w:w="6487" w:type="dxa"/>
            <w:vAlign w:val="center"/>
          </w:tcPr>
          <w:p>
            <w:pPr>
              <w:autoSpaceDE w:val="0"/>
              <w:autoSpaceDN w:val="0"/>
              <w:adjustRightInd w:val="0"/>
              <w:snapToGrid w:val="0"/>
              <w:rPr>
                <w:rFonts w:cs="Calibri" w:asciiTheme="minorEastAsia" w:hAnsiTheme="minorEastAsia" w:eastAsiaTheme="minorEastAsia"/>
                <w:color w:val="FF0000"/>
                <w:kern w:val="0"/>
                <w:sz w:val="22"/>
              </w:rPr>
            </w:pPr>
            <w:r>
              <w:rPr>
                <w:rFonts w:cs="Calibri" w:asciiTheme="minorEastAsia" w:hAnsiTheme="minorEastAsia" w:eastAsiaTheme="minorEastAsia"/>
                <w:kern w:val="0"/>
                <w:sz w:val="22"/>
              </w:rPr>
              <w:t>详见招标公告</w:t>
            </w:r>
            <w:r>
              <w:rPr>
                <w:rFonts w:hint="eastAsia" w:cs="Calibri" w:asciiTheme="minorEastAsia" w:hAnsiTheme="minorEastAsia" w:eastAsiaTheme="minorEastAsia"/>
                <w:kern w:val="0"/>
                <w:sz w:val="22"/>
              </w:rPr>
              <w:t>“</w:t>
            </w:r>
            <w:r>
              <w:rPr>
                <w:rFonts w:hint="eastAsia" w:cs="黑体" w:asciiTheme="minorEastAsia" w:hAnsiTheme="minorEastAsia" w:eastAsia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7</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服务期</w:t>
            </w:r>
          </w:p>
        </w:tc>
        <w:tc>
          <w:tcPr>
            <w:tcW w:w="6487" w:type="dxa"/>
            <w:vAlign w:val="center"/>
          </w:tcPr>
          <w:p>
            <w:pPr>
              <w:rPr>
                <w:rFonts w:asciiTheme="minorEastAsia" w:hAnsiTheme="minorEastAsia" w:eastAsiaTheme="minorEastAsia"/>
                <w:color w:val="000000"/>
                <w:sz w:val="22"/>
              </w:rPr>
            </w:pPr>
            <w:r>
              <w:rPr>
                <w:rFonts w:hint="eastAsia" w:asciiTheme="minorEastAsia" w:hAnsiTheme="minorEastAsia" w:eastAsiaTheme="minorEastAsia"/>
                <w:color w:val="000000"/>
                <w:sz w:val="22"/>
                <w:u w:val="single"/>
              </w:rPr>
              <w:t>60</w:t>
            </w:r>
            <w:r>
              <w:rPr>
                <w:rFonts w:hint="eastAsia" w:asciiTheme="minorEastAsia" w:hAnsiTheme="minorEastAsia" w:eastAsiaTheme="minorEastAsia"/>
                <w:color w:val="000000"/>
                <w:sz w:val="22"/>
              </w:rPr>
              <w:t>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1.8</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质量要求</w:t>
            </w:r>
          </w:p>
        </w:tc>
        <w:tc>
          <w:tcPr>
            <w:tcW w:w="6487" w:type="dxa"/>
            <w:vAlign w:val="center"/>
          </w:tcPr>
          <w:p>
            <w:pPr>
              <w:rPr>
                <w:rFonts w:asciiTheme="minorEastAsia" w:hAnsiTheme="minorEastAsia" w:eastAsiaTheme="minorEastAsia"/>
                <w:color w:val="000000"/>
                <w:sz w:val="22"/>
              </w:rPr>
            </w:pPr>
            <w:r>
              <w:rPr>
                <w:rFonts w:hint="eastAsia" w:asciiTheme="minorEastAsia" w:hAnsiTheme="minorEastAsia" w:eastAsiaTheme="minorEastAsia"/>
                <w:iCs/>
                <w:sz w:val="22"/>
              </w:rPr>
              <w:t>符</w:t>
            </w:r>
            <w:r>
              <w:rPr>
                <w:rFonts w:hint="eastAsia" w:asciiTheme="minorEastAsia" w:hAnsiTheme="minorEastAsia" w:eastAsiaTheme="minorEastAsia"/>
                <w:sz w:val="22"/>
              </w:rPr>
              <w:t>合国家现行</w:t>
            </w:r>
            <w:r>
              <w:rPr>
                <w:rFonts w:hint="eastAsia" w:asciiTheme="minorEastAsia" w:hAnsiTheme="minorEastAsia" w:eastAsiaTheme="minorEastAsia"/>
                <w:sz w:val="22"/>
                <w:u w:val="single"/>
              </w:rPr>
              <w:t>民航</w:t>
            </w:r>
            <w:r>
              <w:rPr>
                <w:rFonts w:hint="eastAsia" w:asciiTheme="minorEastAsia" w:hAnsiTheme="minorEastAsia" w:eastAsiaTheme="minorEastAsia"/>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9</w:t>
            </w:r>
            <w:r>
              <w:rPr>
                <w:rFonts w:cs="Calibri" w:asciiTheme="minorEastAsia" w:hAnsiTheme="minorEastAsia" w:eastAsia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不组织</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□组织，踏勘时间：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不召开</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□召开，召开时间：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2019年</w:t>
            </w:r>
            <w:r>
              <w:rPr>
                <w:rFonts w:hint="eastAsia" w:ascii="宋体" w:hAnsi="宋体" w:cs="Calibri"/>
                <w:kern w:val="0"/>
                <w:sz w:val="22"/>
                <w:lang w:val="en-US" w:eastAsia="zh-CN"/>
              </w:rPr>
              <w:t>10</w:t>
            </w:r>
            <w:r>
              <w:rPr>
                <w:rFonts w:hint="eastAsia" w:ascii="宋体" w:hAnsi="宋体" w:cs="Calibri"/>
                <w:kern w:val="0"/>
                <w:sz w:val="22"/>
              </w:rPr>
              <w:t>月</w:t>
            </w:r>
            <w:r>
              <w:rPr>
                <w:rFonts w:hint="eastAsia" w:ascii="宋体" w:hAnsi="宋体" w:cs="Calibri"/>
                <w:kern w:val="0"/>
                <w:sz w:val="22"/>
                <w:lang w:val="en-US" w:eastAsia="zh-CN"/>
              </w:rPr>
              <w:t>21</w:t>
            </w:r>
            <w:r>
              <w:rPr>
                <w:rFonts w:hint="eastAsia" w:ascii="宋体" w:hAnsi="宋体" w:cs="Calibri"/>
                <w:kern w:val="0"/>
                <w:sz w:val="22"/>
              </w:rPr>
              <w:t>日11：30前，以书面加盖公章的形式通过E-mail或传真提交给招标人（投标联系人:贾思勰，电话0571-</w:t>
            </w:r>
            <w:r>
              <w:rPr>
                <w:rFonts w:ascii="宋体" w:hAnsi="宋体" w:cs="Calibri"/>
                <w:kern w:val="0"/>
                <w:sz w:val="22"/>
              </w:rPr>
              <w:t>83837612</w:t>
            </w:r>
            <w:r>
              <w:rPr>
                <w:rFonts w:hint="eastAsia" w:ascii="宋体" w:hAnsi="宋体" w:cs="Calibri"/>
                <w:kern w:val="0"/>
                <w:sz w:val="22"/>
              </w:rPr>
              <w:t>6；传真：0571-</w:t>
            </w:r>
            <w:r>
              <w:rPr>
                <w:rFonts w:ascii="宋体" w:hAnsi="宋体" w:cs="Calibri"/>
                <w:kern w:val="0"/>
                <w:sz w:val="22"/>
              </w:rPr>
              <w:t>83837612</w:t>
            </w:r>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投标截止时间</w:t>
            </w:r>
          </w:p>
        </w:tc>
        <w:tc>
          <w:tcPr>
            <w:tcW w:w="6487" w:type="dxa"/>
            <w:vAlign w:val="center"/>
          </w:tcPr>
          <w:p>
            <w:pPr>
              <w:autoSpaceDE w:val="0"/>
              <w:autoSpaceDN w:val="0"/>
              <w:adjustRightInd w:val="0"/>
              <w:snapToGrid w:val="0"/>
              <w:rPr>
                <w:rFonts w:hint="eastAsia" w:cs="Calibri" w:asciiTheme="minorEastAsia" w:hAnsiTheme="minorEastAsia" w:eastAsiaTheme="minorEastAsia"/>
                <w:b/>
                <w:kern w:val="0"/>
                <w:sz w:val="22"/>
                <w:lang w:eastAsia="zh-CN"/>
              </w:rPr>
            </w:pPr>
            <w:r>
              <w:rPr>
                <w:rFonts w:hint="eastAsia" w:cs="Calibri" w:asciiTheme="minorEastAsia" w:hAnsiTheme="minorEastAsia" w:eastAsiaTheme="minorEastAsia"/>
                <w:b/>
                <w:kern w:val="0"/>
                <w:sz w:val="22"/>
                <w:lang w:eastAsia="zh-CN"/>
              </w:rPr>
              <w:t>2019年10月28日下午14时00分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投标人确认收到招标文件澄清的时间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招标人可主动地或在解答投标人提出的澄清问题时对招标文件进行修改，</w:t>
            </w:r>
            <w:bookmarkStart w:id="34" w:name="_Toc236586447"/>
            <w:bookmarkStart w:id="35" w:name="_Toc22617528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4"/>
            <w:bookmarkEnd w:id="3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2.3.2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投标人确认收到招标文件修改的时间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3.4.1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投标有效期</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12</w:t>
            </w:r>
            <w:r>
              <w:rPr>
                <w:rFonts w:cs="Calibri" w:asciiTheme="minorEastAsia" w:hAnsiTheme="minorEastAsia" w:eastAsiaTheme="minorEastAsia"/>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3.5.1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投标保证金</w:t>
            </w:r>
          </w:p>
        </w:tc>
        <w:tc>
          <w:tcPr>
            <w:tcW w:w="6487" w:type="dxa"/>
            <w:vAlign w:val="center"/>
          </w:tcPr>
          <w:p>
            <w:pPr>
              <w:snapToGrid w:val="0"/>
              <w:rPr>
                <w:rFonts w:asciiTheme="minorEastAsia" w:hAnsiTheme="minorEastAsia" w:eastAsiaTheme="minorEastAsia"/>
                <w:sz w:val="22"/>
              </w:rPr>
            </w:pPr>
            <w:r>
              <w:rPr>
                <w:rFonts w:hint="eastAsia" w:asciiTheme="minorEastAsia" w:hAnsiTheme="minorEastAsia" w:eastAsiaTheme="minorEastAsia"/>
                <w:sz w:val="22"/>
              </w:rPr>
              <w:t>投标保证金的形式：银行转账</w:t>
            </w:r>
            <w:r>
              <w:rPr>
                <w:rFonts w:hint="eastAsia" w:asciiTheme="minorEastAsia" w:hAnsiTheme="minorEastAsia" w:eastAsiaTheme="minorEastAsia"/>
                <w:b/>
                <w:sz w:val="22"/>
              </w:rPr>
              <w:t>，必须在投标截止时间前通过投标人的基本账户以银行转账方式缴纳。</w:t>
            </w:r>
          </w:p>
          <w:p>
            <w:pPr>
              <w:snapToGrid w:val="0"/>
              <w:rPr>
                <w:rFonts w:asciiTheme="minorEastAsia" w:hAnsiTheme="minorEastAsia" w:eastAsiaTheme="minorEastAsia"/>
                <w:sz w:val="22"/>
              </w:rPr>
            </w:pPr>
            <w:r>
              <w:rPr>
                <w:rFonts w:hint="eastAsia" w:asciiTheme="minorEastAsia" w:hAnsiTheme="minorEastAsia" w:eastAsiaTheme="minorEastAsia"/>
                <w:sz w:val="22"/>
              </w:rPr>
              <w:t>投标保证金的金额：</w:t>
            </w:r>
            <w:r>
              <w:rPr>
                <w:rFonts w:hint="eastAsia" w:asciiTheme="minorEastAsia" w:hAnsiTheme="minorEastAsia" w:eastAsiaTheme="minorEastAsia"/>
                <w:b/>
                <w:sz w:val="22"/>
              </w:rPr>
              <w:t>人民币</w:t>
            </w:r>
            <w:r>
              <w:rPr>
                <w:rFonts w:hint="eastAsia" w:cs="Calibri" w:asciiTheme="minorEastAsia" w:hAnsiTheme="minorEastAsia" w:eastAsiaTheme="minorEastAsia"/>
                <w:kern w:val="0"/>
                <w:sz w:val="22"/>
              </w:rPr>
              <w:t>贰</w:t>
            </w:r>
            <w:r>
              <w:rPr>
                <w:rFonts w:hint="eastAsia" w:asciiTheme="minorEastAsia" w:hAnsiTheme="minorEastAsia" w:eastAsiaTheme="minorEastAsia"/>
                <w:b/>
                <w:sz w:val="22"/>
              </w:rPr>
              <w:t>万元整</w:t>
            </w:r>
          </w:p>
          <w:p>
            <w:pPr>
              <w:snapToGrid w:val="0"/>
              <w:rPr>
                <w:rFonts w:asciiTheme="minorEastAsia" w:hAnsiTheme="minorEastAsia" w:eastAsiaTheme="minorEastAsia"/>
                <w:sz w:val="22"/>
              </w:rPr>
            </w:pPr>
            <w:r>
              <w:rPr>
                <w:rFonts w:hint="eastAsia" w:asciiTheme="minorEastAsia" w:hAnsiTheme="minorEastAsia" w:eastAsiaTheme="minorEastAsia"/>
                <w:sz w:val="22"/>
              </w:rPr>
              <w:t>投标保证金应在投标截止时间前汇入以下帐户：</w:t>
            </w:r>
          </w:p>
          <w:p>
            <w:pPr>
              <w:snapToGrid w:val="0"/>
              <w:rPr>
                <w:rFonts w:asciiTheme="minorEastAsia" w:hAnsiTheme="minorEastAsia" w:eastAsiaTheme="minorEastAsia"/>
                <w:sz w:val="22"/>
              </w:rPr>
            </w:pPr>
            <w:r>
              <w:rPr>
                <w:rFonts w:hint="eastAsia" w:asciiTheme="minorEastAsia" w:hAnsiTheme="minorEastAsia" w:eastAsiaTheme="minorEastAsia"/>
                <w:sz w:val="22"/>
              </w:rPr>
              <w:t>开户名：杭州萧山国际机场有限公司</w:t>
            </w:r>
          </w:p>
          <w:p>
            <w:pPr>
              <w:snapToGrid w:val="0"/>
              <w:rPr>
                <w:rFonts w:asciiTheme="minorEastAsia" w:hAnsiTheme="minorEastAsia" w:eastAsiaTheme="minorEastAsia"/>
                <w:sz w:val="22"/>
              </w:rPr>
            </w:pPr>
            <w:r>
              <w:rPr>
                <w:rFonts w:hint="eastAsia" w:asciiTheme="minorEastAsia" w:hAnsiTheme="minorEastAsia" w:eastAsiaTheme="minorEastAsia"/>
                <w:sz w:val="22"/>
              </w:rPr>
              <w:t xml:space="preserve">开户银行：工行杭州市空港城支行 </w:t>
            </w:r>
          </w:p>
          <w:p>
            <w:pPr>
              <w:snapToGrid w:val="0"/>
              <w:rPr>
                <w:rFonts w:asciiTheme="minorEastAsia" w:hAnsiTheme="minorEastAsia" w:eastAsiaTheme="minorEastAsia"/>
                <w:sz w:val="22"/>
                <w:lang w:val="zh-CN"/>
              </w:rPr>
            </w:pPr>
            <w:r>
              <w:rPr>
                <w:rFonts w:hint="eastAsia" w:asciiTheme="minorEastAsia" w:hAnsiTheme="minorEastAsia" w:eastAsiaTheme="minorEastAsia"/>
                <w:sz w:val="22"/>
              </w:rPr>
              <w:t>帐号：</w:t>
            </w:r>
            <w:r>
              <w:rPr>
                <w:rFonts w:hint="eastAsia" w:asciiTheme="minorEastAsia" w:hAnsiTheme="minorEastAsia" w:eastAsiaTheme="minorEastAsia"/>
                <w:sz w:val="22"/>
                <w:lang w:val="zh-CN"/>
              </w:rPr>
              <w:t>1202050209904601740</w:t>
            </w:r>
          </w:p>
          <w:p>
            <w:pPr>
              <w:snapToGrid w:val="0"/>
              <w:rPr>
                <w:rFonts w:asciiTheme="minorEastAsia" w:hAnsiTheme="minorEastAsia" w:eastAsiaTheme="minorEastAsia"/>
                <w:sz w:val="22"/>
                <w:lang w:val="zh-CN"/>
              </w:rPr>
            </w:pPr>
            <w:r>
              <w:rPr>
                <w:rFonts w:hint="eastAsia" w:ascii="宋体" w:hAnsi="宋体"/>
                <w:b/>
                <w:sz w:val="22"/>
                <w:highlight w:val="yellow"/>
              </w:rPr>
              <w:t>投标人提交投标保证金时需注明“＊＊项目投标保证金”，银行回单复印件注明投标人户名、开户行、账号等信息随投标函单独封装，随投标文件一同递交。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3.6.3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b/>
                <w:kern w:val="0"/>
                <w:sz w:val="22"/>
              </w:rPr>
              <w:t>投标文件封面（或扉页）、投标函以及各类报价表</w:t>
            </w:r>
            <w:r>
              <w:rPr>
                <w:rFonts w:cs="Calibri" w:asciiTheme="minorEastAsia" w:hAnsiTheme="minorEastAsia" w:eastAsia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3.6.4</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投标文件副本份数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3.6.5</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装订要求</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按照投标人须知3.2项约定的投标文件组成内容，投标文件应按以下要求装订：</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不分册装订</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□分册装订</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每册采用</w:t>
            </w:r>
            <w:r>
              <w:rPr>
                <w:rFonts w:cs="Calibri" w:asciiTheme="minorEastAsia" w:hAnsiTheme="minorEastAsia" w:eastAsiaTheme="minorEastAsia"/>
                <w:kern w:val="0"/>
                <w:sz w:val="22"/>
                <w:u w:val="single"/>
              </w:rPr>
              <w:t xml:space="preserve"> 胶装 </w:t>
            </w:r>
            <w:r>
              <w:rPr>
                <w:rFonts w:cs="Calibri" w:asciiTheme="minorEastAsia" w:hAnsiTheme="minorEastAsia" w:eastAsiaTheme="minorEastAsia"/>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4.1.2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封套上写明</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招标人的地址：</w:t>
            </w:r>
            <w:r>
              <w:rPr>
                <w:rFonts w:hint="eastAsia" w:asciiTheme="minorEastAsia" w:hAnsiTheme="minorEastAsia" w:eastAsiaTheme="minorEastAsia"/>
                <w:sz w:val="22"/>
                <w:u w:val="single"/>
              </w:rPr>
              <w:t>杭州萧山国际机场内</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招标人名称：</w:t>
            </w:r>
            <w:r>
              <w:rPr>
                <w:rFonts w:cs="Calibri" w:asciiTheme="minorEastAsia" w:hAnsiTheme="minorEastAsia" w:eastAsiaTheme="minorEastAsia"/>
                <w:kern w:val="0"/>
                <w:sz w:val="22"/>
                <w:u w:val="single"/>
              </w:rPr>
              <w:t>杭州萧山国际机场有限公司</w:t>
            </w:r>
          </w:p>
          <w:p>
            <w:pPr>
              <w:autoSpaceDE w:val="0"/>
              <w:autoSpaceDN w:val="0"/>
              <w:adjustRightInd w:val="0"/>
              <w:snapToGrid w:val="0"/>
              <w:rPr>
                <w:rFonts w:cs="Calibri" w:asciiTheme="minorEastAsia" w:hAnsiTheme="minorEastAsia" w:eastAsiaTheme="minorEastAsia"/>
                <w:kern w:val="0"/>
                <w:sz w:val="22"/>
              </w:rPr>
            </w:pPr>
            <w:r>
              <w:rPr>
                <w:rFonts w:hint="eastAsia" w:cs="宋体" w:asciiTheme="minorEastAsia" w:hAnsiTheme="minorEastAsia" w:eastAsiaTheme="minorEastAsia"/>
                <w:sz w:val="22"/>
              </w:rPr>
              <w:t>项目名称：</w:t>
            </w:r>
            <w:r>
              <w:rPr>
                <w:rFonts w:hint="eastAsia" w:cs="Calibri" w:asciiTheme="minorEastAsia" w:hAnsiTheme="minorEastAsia" w:eastAsiaTheme="minorEastAsia"/>
                <w:kern w:val="0"/>
                <w:sz w:val="22"/>
                <w:u w:val="single"/>
              </w:rPr>
              <w:t>杭州萧山国际机场T1、T2、T3航站楼标识提升优化方案设计</w:t>
            </w:r>
            <w:r>
              <w:rPr>
                <w:rFonts w:cs="Calibri" w:asciiTheme="minorEastAsia" w:hAnsiTheme="minorEastAsia" w:eastAsiaTheme="minorEastAsia"/>
                <w:kern w:val="0"/>
                <w:sz w:val="22"/>
                <w:u w:val="single"/>
              </w:rPr>
              <w:t>项目</w:t>
            </w:r>
            <w:r>
              <w:rPr>
                <w:rFonts w:hint="eastAsia" w:cs="宋体" w:asciiTheme="minorEastAsia" w:hAnsiTheme="minorEastAsia" w:eastAsiaTheme="minorEastAsia"/>
                <w:sz w:val="22"/>
              </w:rPr>
              <w:t>投标文件</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在</w:t>
            </w:r>
            <w:r>
              <w:rPr>
                <w:rFonts w:cs="Calibri" w:asciiTheme="minorEastAsia" w:hAnsiTheme="minorEastAsia" w:eastAsiaTheme="minorEastAsia"/>
                <w:kern w:val="0"/>
                <w:sz w:val="22"/>
                <w:u w:val="single"/>
              </w:rPr>
              <w:t xml:space="preserve"> </w:t>
            </w:r>
            <w:r>
              <w:rPr>
                <w:rFonts w:hint="eastAsia" w:cs="Calibri" w:asciiTheme="minorEastAsia" w:hAnsiTheme="minorEastAsia" w:eastAsiaTheme="minorEastAsia"/>
                <w:kern w:val="0"/>
                <w:sz w:val="22"/>
                <w:u w:val="single"/>
                <w:lang w:eastAsia="zh-CN"/>
              </w:rPr>
              <w:t>2019年10月28日下午14时00分</w:t>
            </w:r>
            <w:r>
              <w:rPr>
                <w:rFonts w:cs="Calibri" w:asciiTheme="minorEastAsia" w:hAnsiTheme="minorEastAsia" w:eastAsiaTheme="minorEastAsia"/>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4.2.2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4.2.3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是否退还投标文件</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否</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5.1.1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开标时间和地点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开标时间：同投标截止时间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5.2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开标程序</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w:t>
            </w:r>
            <w:r>
              <w:rPr>
                <w:rFonts w:hint="eastAsia" w:cs="Calibri" w:asciiTheme="minorEastAsia" w:hAnsiTheme="minorEastAsia" w:eastAsiaTheme="minorEastAsia"/>
                <w:kern w:val="0"/>
                <w:sz w:val="22"/>
              </w:rPr>
              <w:t>1</w:t>
            </w:r>
            <w:r>
              <w:rPr>
                <w:rFonts w:cs="Calibri" w:asciiTheme="minorEastAsia" w:hAnsiTheme="minorEastAsia" w:eastAsiaTheme="minorEastAsia"/>
                <w:kern w:val="0"/>
                <w:sz w:val="22"/>
              </w:rPr>
              <w:t>）密封情况检查：由投标人或者其集体推选的代表检查投标文件的密封情况。</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w:t>
            </w:r>
            <w:r>
              <w:rPr>
                <w:rFonts w:hint="eastAsia" w:cs="Calibri" w:asciiTheme="minorEastAsia" w:hAnsiTheme="minorEastAsia" w:eastAsiaTheme="minorEastAsia"/>
                <w:kern w:val="0"/>
                <w:sz w:val="22"/>
              </w:rPr>
              <w:t>2</w:t>
            </w:r>
            <w:r>
              <w:rPr>
                <w:rFonts w:cs="Calibri" w:asciiTheme="minorEastAsia" w:hAnsiTheme="minorEastAsia" w:eastAsiaTheme="minorEastAsia"/>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6.1.1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eastAsiaTheme="minorEastAsia"/>
                <w:sz w:val="22"/>
              </w:rPr>
            </w:pPr>
            <w:r>
              <w:rPr>
                <w:rFonts w:hint="eastAsia" w:asciiTheme="minorEastAsia" w:hAnsiTheme="minorEastAsia" w:eastAsiaTheme="minorEastAsia"/>
                <w:sz w:val="22"/>
              </w:rPr>
              <w:t>评标委员会构成</w:t>
            </w:r>
            <w:r>
              <w:rPr>
                <w:rFonts w:hint="eastAsia" w:cs="Calibri" w:asciiTheme="minorEastAsia" w:hAnsiTheme="minorEastAsia" w:eastAsiaTheme="minorEastAsia"/>
                <w:kern w:val="0"/>
                <w:sz w:val="22"/>
              </w:rPr>
              <w:t>：3</w:t>
            </w:r>
            <w:r>
              <w:rPr>
                <w:rFonts w:hint="eastAsia" w:asciiTheme="minorEastAsia" w:hAnsiTheme="minorEastAsia" w:eastAsiaTheme="minorEastAsia"/>
                <w:sz w:val="22"/>
              </w:rPr>
              <w:t>人及以上单数</w:t>
            </w:r>
          </w:p>
          <w:p>
            <w:pPr>
              <w:autoSpaceDE w:val="0"/>
              <w:autoSpaceDN w:val="0"/>
              <w:adjustRightInd w:val="0"/>
              <w:snapToGrid w:val="0"/>
              <w:jc w:val="left"/>
              <w:rPr>
                <w:rFonts w:asciiTheme="minorEastAsia" w:hAnsiTheme="minorEastAsia" w:eastAsiaTheme="minorEastAsia"/>
                <w:sz w:val="22"/>
              </w:rPr>
            </w:pPr>
            <w:r>
              <w:rPr>
                <w:rFonts w:hint="eastAsia" w:asciiTheme="minorEastAsia" w:hAnsiTheme="minorEastAsia" w:eastAsiaTheme="minorEastAsia"/>
                <w:sz w:val="22"/>
              </w:rPr>
              <w:t>评标专家确定方式：</w:t>
            </w:r>
            <w:r>
              <w:rPr>
                <w:rFonts w:hint="eastAsia" w:asciiTheme="minorEastAsia" w:hAnsiTheme="minorEastAsia"/>
                <w:sz w:val="22"/>
              </w:rPr>
              <w:t>评标委员会招标人自行组建。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7.1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是否授权评标委员会确定中标人</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□是</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7.3.1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履约担保</w:t>
            </w:r>
          </w:p>
        </w:tc>
        <w:tc>
          <w:tcPr>
            <w:tcW w:w="6487" w:type="dxa"/>
            <w:vAlign w:val="center"/>
          </w:tcPr>
          <w:p>
            <w:pPr>
              <w:autoSpaceDE w:val="0"/>
              <w:autoSpaceDN w:val="0"/>
              <w:adjustRightInd w:val="0"/>
              <w:snapToGrid w:val="0"/>
              <w:jc w:val="left"/>
              <w:rPr>
                <w:rFonts w:asciiTheme="minorEastAsia" w:hAnsiTheme="minorEastAsia" w:eastAsiaTheme="minorEastAsia"/>
                <w:sz w:val="22"/>
              </w:rPr>
            </w:pPr>
            <w:r>
              <w:rPr>
                <w:rFonts w:asciiTheme="minorEastAsia" w:hAnsiTheme="minorEastAsia" w:eastAsiaTheme="minorEastAsia"/>
                <w:sz w:val="22"/>
              </w:rPr>
              <w:t>履约担保的形式：</w:t>
            </w:r>
            <w:r>
              <w:rPr>
                <w:rFonts w:hint="eastAsia" w:asciiTheme="minorEastAsia" w:hAnsiTheme="minorEastAsia" w:eastAsiaTheme="minorEastAsia"/>
                <w:sz w:val="22"/>
              </w:rPr>
              <w:t>银行转账</w:t>
            </w:r>
          </w:p>
          <w:p>
            <w:pPr>
              <w:autoSpaceDE w:val="0"/>
              <w:autoSpaceDN w:val="0"/>
              <w:adjustRightInd w:val="0"/>
              <w:snapToGrid w:val="0"/>
              <w:jc w:val="left"/>
              <w:rPr>
                <w:rFonts w:asciiTheme="minorEastAsia" w:hAnsiTheme="minorEastAsia" w:eastAsiaTheme="minorEastAsia"/>
                <w:sz w:val="22"/>
              </w:rPr>
            </w:pPr>
            <w:r>
              <w:rPr>
                <w:rFonts w:asciiTheme="minorEastAsia" w:hAnsiTheme="minorEastAsia" w:eastAsiaTheme="minorEastAsia"/>
                <w:sz w:val="22"/>
              </w:rPr>
              <w:t>履约担保的金额：</w:t>
            </w:r>
            <w:r>
              <w:rPr>
                <w:rFonts w:hint="eastAsia" w:asciiTheme="minorEastAsia" w:hAnsiTheme="minorEastAsia" w:eastAsiaTheme="minorEastAsia"/>
                <w:sz w:val="22"/>
              </w:rPr>
              <w:t>合同总价的</w:t>
            </w:r>
            <w:r>
              <w:rPr>
                <w:rFonts w:asciiTheme="minorEastAsia" w:hAnsiTheme="minorEastAsia" w:eastAsiaTheme="minorEastAsia"/>
                <w:sz w:val="22"/>
              </w:rPr>
              <w:t>10</w:t>
            </w:r>
            <w:r>
              <w:rPr>
                <w:rFonts w:hint="eastAsia" w:asciiTheme="minorEastAsia" w:hAnsiTheme="minorEastAsia" w:eastAsiaTheme="minorEastAsia"/>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10</w:t>
            </w:r>
          </w:p>
        </w:tc>
        <w:tc>
          <w:tcPr>
            <w:tcW w:w="8491" w:type="dxa"/>
            <w:gridSpan w:val="2"/>
            <w:vAlign w:val="center"/>
          </w:tcPr>
          <w:p>
            <w:pPr>
              <w:autoSpaceDE w:val="0"/>
              <w:autoSpaceDN w:val="0"/>
              <w:adjustRightInd w:val="0"/>
              <w:snapToGrid w:val="0"/>
              <w:jc w:val="center"/>
              <w:rPr>
                <w:rFonts w:cs="Calibri" w:asciiTheme="minorEastAsia" w:hAnsiTheme="minorEastAsia" w:eastAsiaTheme="minorEastAsia"/>
                <w:snapToGrid w:val="0"/>
                <w:sz w:val="22"/>
              </w:rPr>
            </w:pPr>
            <w:r>
              <w:rPr>
                <w:rFonts w:cs="Calibri" w:asciiTheme="minorEastAsia" w:hAnsiTheme="minorEastAsia" w:eastAsiaTheme="minorEastAsia"/>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10.</w:t>
            </w:r>
            <w:r>
              <w:rPr>
                <w:rFonts w:hint="eastAsia" w:cs="Calibri" w:asciiTheme="minorEastAsia" w:hAnsiTheme="minorEastAsia" w:eastAsiaTheme="minorEastAsia"/>
                <w:kern w:val="0"/>
                <w:sz w:val="22"/>
              </w:rPr>
              <w:t>2</w:t>
            </w:r>
          </w:p>
        </w:tc>
        <w:tc>
          <w:tcPr>
            <w:tcW w:w="2004" w:type="dxa"/>
            <w:vAlign w:val="center"/>
          </w:tcPr>
          <w:p>
            <w:pPr>
              <w:pStyle w:val="10"/>
              <w:adjustRightInd w:val="0"/>
              <w:snapToGrid w:val="0"/>
              <w:spacing w:line="240" w:lineRule="auto"/>
              <w:jc w:val="center"/>
              <w:rPr>
                <w:rFonts w:cs="Calibri" w:asciiTheme="minorEastAsia" w:hAnsiTheme="minorEastAsia" w:eastAsiaTheme="minorEastAsia"/>
                <w:color w:val="auto"/>
                <w:sz w:val="22"/>
                <w:szCs w:val="22"/>
              </w:rPr>
            </w:pPr>
            <w:r>
              <w:rPr>
                <w:rFonts w:cs="Calibri" w:asciiTheme="minorEastAsia" w:hAnsiTheme="minorEastAsia" w:eastAsiaTheme="minorEastAsia"/>
                <w:color w:val="auto"/>
                <w:sz w:val="22"/>
                <w:szCs w:val="22"/>
              </w:rPr>
              <w:t>其他</w:t>
            </w:r>
          </w:p>
        </w:tc>
        <w:tc>
          <w:tcPr>
            <w:tcW w:w="6487" w:type="dxa"/>
            <w:shd w:val="clear" w:color="auto" w:fill="FFFFFF"/>
            <w:vAlign w:val="center"/>
          </w:tcPr>
          <w:p>
            <w:pPr>
              <w:adjustRightInd w:val="0"/>
              <w:snapToGrid w:val="0"/>
              <w:rPr>
                <w:rFonts w:cs="Calibri" w:asciiTheme="minorEastAsia" w:hAnsiTheme="minorEastAsia" w:eastAsiaTheme="minorEastAsia"/>
                <w:snapToGrid w:val="0"/>
                <w:kern w:val="0"/>
                <w:sz w:val="22"/>
              </w:rPr>
            </w:pPr>
            <w:r>
              <w:rPr>
                <w:rFonts w:cs="Calibri" w:asciiTheme="minorEastAsia" w:hAnsiTheme="minorEastAsia" w:eastAsia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w:t>
            </w:r>
            <w:r>
              <w:rPr>
                <w:rFonts w:hint="eastAsia" w:cs="Calibri" w:asciiTheme="minorEastAsia" w:hAnsiTheme="minorEastAsia" w:eastAsiaTheme="minorEastAsia"/>
                <w:snapToGrid w:val="0"/>
                <w:kern w:val="0"/>
                <w:sz w:val="22"/>
              </w:rPr>
              <w:t>异议</w:t>
            </w:r>
            <w:r>
              <w:rPr>
                <w:rFonts w:cs="Calibri" w:asciiTheme="minorEastAsia" w:hAnsiTheme="minorEastAsia" w:eastAsiaTheme="minorEastAsia"/>
                <w:snapToGrid w:val="0"/>
                <w:kern w:val="0"/>
                <w:sz w:val="22"/>
              </w:rPr>
              <w:t>。</w:t>
            </w:r>
          </w:p>
          <w:p>
            <w:pPr>
              <w:adjustRightInd w:val="0"/>
              <w:snapToGrid w:val="0"/>
              <w:rPr>
                <w:rFonts w:cs="Calibri" w:asciiTheme="minorEastAsia" w:hAnsiTheme="minorEastAsia" w:eastAsiaTheme="minorEastAsia"/>
                <w:snapToGrid w:val="0"/>
                <w:kern w:val="0"/>
                <w:sz w:val="22"/>
              </w:rPr>
            </w:pPr>
            <w:r>
              <w:rPr>
                <w:rFonts w:cs="Calibri" w:asciiTheme="minorEastAsia" w:hAnsiTheme="minorEastAsia" w:eastAsia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10.3</w:t>
            </w:r>
          </w:p>
        </w:tc>
        <w:tc>
          <w:tcPr>
            <w:tcW w:w="2004" w:type="dxa"/>
            <w:vAlign w:val="center"/>
          </w:tcPr>
          <w:p>
            <w:pPr>
              <w:pStyle w:val="10"/>
              <w:spacing w:line="240" w:lineRule="auto"/>
              <w:jc w:val="center"/>
              <w:rPr>
                <w:rFonts w:cs="Calibri" w:asciiTheme="minorEastAsia" w:hAnsiTheme="minorEastAsia" w:eastAsiaTheme="minorEastAsia"/>
                <w:snapToGrid/>
                <w:color w:val="auto"/>
                <w:sz w:val="22"/>
                <w:szCs w:val="22"/>
              </w:rPr>
            </w:pPr>
            <w:r>
              <w:rPr>
                <w:rFonts w:hint="eastAsia" w:cs="Calibri" w:asciiTheme="minorEastAsia" w:hAnsiTheme="minorEastAsia" w:eastAsiaTheme="minorEastAsia"/>
                <w:snapToGrid/>
                <w:color w:val="auto"/>
                <w:sz w:val="22"/>
                <w:szCs w:val="22"/>
              </w:rPr>
              <w:t>备注</w:t>
            </w:r>
          </w:p>
        </w:tc>
        <w:tc>
          <w:tcPr>
            <w:tcW w:w="6487" w:type="dxa"/>
            <w:shd w:val="clear" w:color="auto" w:fill="FFFFFF"/>
            <w:vAlign w:val="center"/>
          </w:tcPr>
          <w:p>
            <w:pPr>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本前附表内容与招标文件其他内容不一致之处，以本前附表为准。</w:t>
            </w:r>
          </w:p>
        </w:tc>
      </w:tr>
    </w:tbl>
    <w:p>
      <w:pPr>
        <w:autoSpaceDE w:val="0"/>
        <w:autoSpaceDN w:val="0"/>
        <w:adjustRightInd w:val="0"/>
        <w:spacing w:line="360" w:lineRule="exact"/>
        <w:ind w:firstLine="422" w:firstLineChars="200"/>
        <w:rPr>
          <w:rFonts w:eastAsia="黑体" w:cs="Calibri"/>
          <w:b/>
          <w:bCs/>
          <w:kern w:val="0"/>
          <w:szCs w:val="21"/>
        </w:rPr>
      </w:pPr>
      <w:bookmarkStart w:id="36" w:name="_Toc143421656"/>
      <w:bookmarkStart w:id="37" w:name="_Toc11067"/>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eastAsia="黑体" w:cs="Calibri"/>
          <w:b/>
          <w:bCs/>
          <w:kern w:val="0"/>
          <w:szCs w:val="21"/>
        </w:rPr>
        <w:br w:type="page"/>
      </w:r>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 xml:space="preserve"> </w:t>
      </w:r>
      <w:r>
        <w:rPr>
          <w:rFonts w:cs="Calibri" w:asciiTheme="minorEastAsia" w:hAnsiTheme="minorEastAsia" w:eastAsiaTheme="minorEastAsia"/>
          <w:b/>
          <w:bCs/>
          <w:kern w:val="0"/>
          <w:sz w:val="22"/>
        </w:rPr>
        <w:t>总则</w:t>
      </w:r>
      <w:bookmarkEnd w:id="36"/>
      <w:bookmarkEnd w:id="37"/>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38" w:name="_Toc26216"/>
      <w:r>
        <w:rPr>
          <w:rFonts w:cs="Calibri" w:asciiTheme="minorEastAsia" w:hAnsiTheme="minorEastAsia" w:eastAsiaTheme="minorEastAsia"/>
          <w:b/>
          <w:bCs/>
          <w:kern w:val="0"/>
          <w:sz w:val="22"/>
        </w:rPr>
        <w:t>1.1 项目</w:t>
      </w:r>
      <w:bookmarkEnd w:id="38"/>
      <w:r>
        <w:rPr>
          <w:rFonts w:cs="Calibri" w:asciiTheme="minorEastAsia" w:hAnsiTheme="minorEastAsia" w:eastAsiaTheme="minorEastAsia"/>
          <w:b/>
          <w:bCs/>
          <w:kern w:val="0"/>
          <w:sz w:val="22"/>
        </w:rPr>
        <w:t>概况</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1.1.2项目</w:t>
      </w:r>
      <w:r>
        <w:rPr>
          <w:rFonts w:hint="eastAsia" w:cs="Calibri" w:asciiTheme="minorEastAsia" w:hAnsiTheme="minorEastAsia" w:eastAsiaTheme="minorEastAsia"/>
          <w:color w:val="000000"/>
          <w:kern w:val="0"/>
          <w:sz w:val="22"/>
        </w:rPr>
        <w:t>实施</w:t>
      </w:r>
      <w:r>
        <w:rPr>
          <w:rFonts w:cs="Calibri" w:asciiTheme="minorEastAsia" w:hAnsiTheme="minorEastAsia" w:eastAsiaTheme="minorEastAsia"/>
          <w:color w:val="000000"/>
          <w:kern w:val="0"/>
          <w:sz w:val="22"/>
        </w:rPr>
        <w:t>地点见投标人须知前附表</w:t>
      </w:r>
      <w:r>
        <w:rPr>
          <w:rFonts w:cs="Calibri" w:asciiTheme="minorEastAsia" w:hAnsiTheme="minorEastAsia" w:eastAsiaTheme="minorEastAsia"/>
          <w:color w:val="00000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39" w:name="_Toc9136"/>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2</w:t>
      </w:r>
      <w:r>
        <w:rPr>
          <w:rFonts w:cs="Calibri" w:asciiTheme="minorEastAsia" w:hAnsiTheme="minorEastAsia" w:eastAsiaTheme="minorEastAsia"/>
          <w:b/>
          <w:bCs/>
          <w:kern w:val="0"/>
          <w:sz w:val="22"/>
        </w:rPr>
        <w:t xml:space="preserve"> 资金来源</w:t>
      </w:r>
      <w:bookmarkEnd w:id="3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0" w:name="_Toc10673"/>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3</w:t>
      </w:r>
      <w:r>
        <w:rPr>
          <w:rFonts w:cs="Calibri" w:asciiTheme="minorEastAsia" w:hAnsiTheme="minorEastAsia" w:eastAsiaTheme="minorEastAsia"/>
          <w:b/>
          <w:bCs/>
          <w:kern w:val="0"/>
          <w:sz w:val="22"/>
        </w:rPr>
        <w:t xml:space="preserve"> 招标</w:t>
      </w:r>
      <w:bookmarkEnd w:id="40"/>
      <w:r>
        <w:rPr>
          <w:rFonts w:hint="eastAsia" w:cs="Calibri" w:asciiTheme="minorEastAsia" w:hAnsiTheme="minorEastAsia" w:eastAsiaTheme="minorEastAsia"/>
          <w:b/>
          <w:bCs/>
          <w:kern w:val="0"/>
          <w:sz w:val="22"/>
        </w:rPr>
        <w:t>内容</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1" w:name="_Toc718"/>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4</w:t>
      </w:r>
      <w:r>
        <w:rPr>
          <w:rFonts w:cs="Calibri" w:asciiTheme="minorEastAsia" w:hAnsiTheme="minorEastAsia" w:eastAsiaTheme="minorEastAsia"/>
          <w:b/>
          <w:bCs/>
          <w:kern w:val="0"/>
          <w:sz w:val="22"/>
        </w:rPr>
        <w:t xml:space="preserve"> 招标方式</w:t>
      </w:r>
      <w:bookmarkEnd w:id="41"/>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2" w:name="_Toc9161"/>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 xml:space="preserve">5 </w:t>
      </w:r>
      <w:r>
        <w:rPr>
          <w:rFonts w:cs="Calibri" w:asciiTheme="minorEastAsia" w:hAnsiTheme="minorEastAsia" w:eastAsiaTheme="minorEastAsia"/>
          <w:b/>
          <w:bCs/>
          <w:kern w:val="0"/>
          <w:sz w:val="22"/>
        </w:rPr>
        <w:t>资格审查</w:t>
      </w:r>
      <w:bookmarkEnd w:id="42"/>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3" w:name="_Toc13012"/>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6</w:t>
      </w:r>
      <w:r>
        <w:rPr>
          <w:rFonts w:cs="Calibri" w:asciiTheme="minorEastAsia" w:hAnsiTheme="minorEastAsia" w:eastAsiaTheme="minorEastAsia"/>
          <w:b/>
          <w:bCs/>
          <w:kern w:val="0"/>
          <w:sz w:val="22"/>
        </w:rPr>
        <w:t xml:space="preserve"> 投标人资质条件、能力和信誉</w:t>
      </w:r>
      <w:bookmarkEnd w:id="43"/>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4" w:name="_Toc2796"/>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7</w:t>
      </w:r>
      <w:r>
        <w:rPr>
          <w:rFonts w:cs="Calibri" w:asciiTheme="minorEastAsia" w:hAnsiTheme="minorEastAsia" w:eastAsiaTheme="minorEastAsia"/>
          <w:b/>
          <w:bCs/>
          <w:kern w:val="0"/>
          <w:sz w:val="22"/>
        </w:rPr>
        <w:t xml:space="preserve"> </w:t>
      </w:r>
      <w:r>
        <w:rPr>
          <w:rFonts w:hint="eastAsia" w:cs="Calibri" w:asciiTheme="minorEastAsia" w:hAnsiTheme="minorEastAsia" w:eastAsiaTheme="minorEastAsia"/>
          <w:b/>
          <w:bCs/>
          <w:kern w:val="0"/>
          <w:sz w:val="22"/>
        </w:rPr>
        <w:t>服务</w:t>
      </w:r>
      <w:r>
        <w:rPr>
          <w:rFonts w:cs="Calibri" w:asciiTheme="minorEastAsia" w:hAnsiTheme="minorEastAsia" w:eastAsiaTheme="minorEastAsia"/>
          <w:b/>
          <w:bCs/>
          <w:kern w:val="0"/>
          <w:sz w:val="22"/>
        </w:rPr>
        <w:t>期</w:t>
      </w:r>
      <w:bookmarkEnd w:id="44"/>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hint="eastAsia" w:cs="Calibri" w:asciiTheme="minorEastAsia" w:hAnsiTheme="minorEastAsia" w:eastAsiaTheme="minorEastAsia"/>
          <w:b/>
          <w:bCs/>
          <w:kern w:val="0"/>
          <w:sz w:val="22"/>
        </w:rPr>
        <w:t>1.8 质量要求</w:t>
      </w:r>
    </w:p>
    <w:p>
      <w:pPr>
        <w:adjustRightInd w:val="0"/>
        <w:snapToGrid w:val="0"/>
        <w:spacing w:line="360" w:lineRule="exact"/>
        <w:ind w:firstLine="440" w:firstLineChars="200"/>
        <w:rPr>
          <w:rFonts w:cs="Calibri" w:asciiTheme="minorEastAsia" w:hAnsiTheme="minorEastAsia" w:eastAsiaTheme="minorEastAsia"/>
          <w:color w:val="000000"/>
          <w:sz w:val="22"/>
        </w:rPr>
      </w:pPr>
      <w:bookmarkStart w:id="45" w:name="_Toc13907"/>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9</w:t>
      </w:r>
      <w:r>
        <w:rPr>
          <w:rFonts w:cs="Calibri" w:asciiTheme="minorEastAsia" w:hAnsiTheme="minorEastAsia" w:eastAsiaTheme="minorEastAsia"/>
          <w:b/>
          <w:bCs/>
          <w:kern w:val="0"/>
          <w:sz w:val="22"/>
        </w:rPr>
        <w:t xml:space="preserve"> 踏勘现场</w:t>
      </w:r>
      <w:bookmarkEnd w:id="45"/>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sz w:val="22"/>
        </w:rPr>
        <w:t>1.</w:t>
      </w:r>
      <w:r>
        <w:rPr>
          <w:rFonts w:hint="eastAsia" w:cs="Calibri" w:asciiTheme="minorEastAsia" w:hAnsiTheme="minorEastAsia" w:eastAsiaTheme="minorEastAsia"/>
          <w:sz w:val="22"/>
        </w:rPr>
        <w:t>9</w:t>
      </w:r>
      <w:r>
        <w:rPr>
          <w:rFonts w:cs="Calibri" w:asciiTheme="minorEastAsia" w:hAnsiTheme="minorEastAsia" w:eastAsiaTheme="minorEastAsia"/>
          <w:sz w:val="22"/>
        </w:rPr>
        <w:t>.1</w:t>
      </w:r>
      <w:r>
        <w:rPr>
          <w:rFonts w:cs="Calibri" w:asciiTheme="minorEastAsia" w:hAnsiTheme="minorEastAsia" w:eastAsia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.2 投标人踏勘现场发生的费用自理。</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.3 投标人自行负责在踏勘现场中所发生的人员伤亡和财产损失。</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6" w:name="_Toc4199"/>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10</w:t>
      </w:r>
      <w:r>
        <w:rPr>
          <w:rFonts w:cs="Calibri" w:asciiTheme="minorEastAsia" w:hAnsiTheme="minorEastAsia" w:eastAsiaTheme="minorEastAsia"/>
          <w:b/>
          <w:bCs/>
          <w:kern w:val="0"/>
          <w:sz w:val="22"/>
        </w:rPr>
        <w:t xml:space="preserve"> 投标预备会</w:t>
      </w:r>
      <w:bookmarkEnd w:id="4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7" w:name="_Toc4584"/>
      <w:r>
        <w:rPr>
          <w:rFonts w:cs="Calibri" w:asciiTheme="minorEastAsia" w:hAnsiTheme="minorEastAsia" w:eastAsiaTheme="minorEastAsia"/>
          <w:b/>
          <w:bCs/>
          <w:kern w:val="0"/>
          <w:sz w:val="22"/>
        </w:rPr>
        <w:t>1.1</w:t>
      </w:r>
      <w:r>
        <w:rPr>
          <w:rFonts w:hint="eastAsia" w:cs="Calibri" w:asciiTheme="minorEastAsia" w:hAnsiTheme="minorEastAsia" w:eastAsiaTheme="minorEastAsia"/>
          <w:b/>
          <w:bCs/>
          <w:kern w:val="0"/>
          <w:sz w:val="22"/>
        </w:rPr>
        <w:t>1</w:t>
      </w:r>
      <w:r>
        <w:rPr>
          <w:rFonts w:cs="Calibri" w:asciiTheme="minorEastAsia" w:hAnsiTheme="minorEastAsia" w:eastAsiaTheme="minorEastAsia"/>
          <w:b/>
          <w:bCs/>
          <w:kern w:val="0"/>
          <w:sz w:val="22"/>
        </w:rPr>
        <w:t xml:space="preserve"> 分包</w:t>
      </w:r>
      <w:bookmarkEnd w:id="47"/>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本项目</w:t>
      </w:r>
      <w:r>
        <w:rPr>
          <w:rFonts w:hint="eastAsia" w:cs="Calibri" w:asciiTheme="minorEastAsia" w:hAnsiTheme="minorEastAsia" w:eastAsiaTheme="minorEastAsia"/>
          <w:color w:val="000000"/>
          <w:sz w:val="22"/>
        </w:rPr>
        <w:t>涉及到其它专业的部分分项工作</w:t>
      </w:r>
      <w:r>
        <w:rPr>
          <w:rFonts w:cs="Calibri" w:asciiTheme="minorEastAsia" w:hAnsiTheme="minorEastAsia" w:eastAsiaTheme="minorEastAsia"/>
          <w:color w:val="000000"/>
          <w:sz w:val="22"/>
        </w:rPr>
        <w:t>允许分包。</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8" w:name="_Toc3996"/>
      <w:r>
        <w:rPr>
          <w:rFonts w:cs="Calibri" w:asciiTheme="minorEastAsia" w:hAnsiTheme="minorEastAsia" w:eastAsiaTheme="minorEastAsia"/>
          <w:b/>
          <w:bCs/>
          <w:kern w:val="0"/>
          <w:sz w:val="22"/>
        </w:rPr>
        <w:t>1.1</w:t>
      </w:r>
      <w:r>
        <w:rPr>
          <w:rFonts w:hint="eastAsia" w:cs="Calibri" w:asciiTheme="minorEastAsia" w:hAnsiTheme="minorEastAsia" w:eastAsiaTheme="minorEastAsia"/>
          <w:b/>
          <w:bCs/>
          <w:kern w:val="0"/>
          <w:sz w:val="22"/>
        </w:rPr>
        <w:t>2</w:t>
      </w:r>
      <w:r>
        <w:rPr>
          <w:rFonts w:cs="Calibri" w:asciiTheme="minorEastAsia" w:hAnsiTheme="minorEastAsia" w:eastAsiaTheme="minorEastAsia"/>
          <w:b/>
          <w:bCs/>
          <w:kern w:val="0"/>
          <w:sz w:val="22"/>
        </w:rPr>
        <w:t xml:space="preserve"> 投标费用</w:t>
      </w:r>
      <w:bookmarkEnd w:id="48"/>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9" w:name="_Toc143421657"/>
      <w:bookmarkStart w:id="50" w:name="_Toc15241"/>
      <w:r>
        <w:rPr>
          <w:rFonts w:cs="Calibri" w:asciiTheme="minorEastAsia" w:hAnsiTheme="minorEastAsia" w:eastAsiaTheme="minorEastAsia"/>
          <w:b/>
          <w:bCs/>
          <w:kern w:val="0"/>
          <w:sz w:val="22"/>
        </w:rPr>
        <w:t>2.招标文件</w:t>
      </w:r>
      <w:bookmarkEnd w:id="49"/>
      <w:bookmarkEnd w:id="50"/>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1" w:name="_Toc1426"/>
      <w:r>
        <w:rPr>
          <w:rFonts w:cs="Calibri" w:asciiTheme="minorEastAsia" w:hAnsiTheme="minorEastAsia" w:eastAsiaTheme="minorEastAsia"/>
          <w:b/>
          <w:bCs/>
          <w:kern w:val="0"/>
          <w:sz w:val="22"/>
        </w:rPr>
        <w:t>2.1 招标文件的组成</w:t>
      </w:r>
      <w:bookmarkEnd w:id="51"/>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本招标文件包括：</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（1）招标公告</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（2）投标人须知</w:t>
      </w:r>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kern w:val="0"/>
          <w:sz w:val="22"/>
        </w:rPr>
        <w:t>服务技术标准及要求</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4</w:t>
      </w:r>
      <w:r>
        <w:rPr>
          <w:rFonts w:cs="Calibri" w:asciiTheme="minorEastAsia" w:hAnsiTheme="minorEastAsia" w:eastAsiaTheme="minorEastAsia"/>
          <w:color w:val="000000"/>
          <w:kern w:val="0"/>
          <w:sz w:val="22"/>
        </w:rPr>
        <w:t>）合同条款</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5</w:t>
      </w:r>
      <w:r>
        <w:rPr>
          <w:rFonts w:cs="Calibri" w:asciiTheme="minorEastAsia" w:hAnsiTheme="minorEastAsia" w:eastAsiaTheme="minorEastAsia"/>
          <w:color w:val="000000"/>
          <w:kern w:val="0"/>
          <w:sz w:val="22"/>
        </w:rPr>
        <w:t>）评标办法及标准</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6</w:t>
      </w:r>
      <w:r>
        <w:rPr>
          <w:rFonts w:cs="Calibri" w:asciiTheme="minorEastAsia" w:hAnsiTheme="minorEastAsia" w:eastAsiaTheme="minorEastAsia"/>
          <w:color w:val="000000"/>
          <w:kern w:val="0"/>
          <w:sz w:val="22"/>
        </w:rPr>
        <w:t>）投标文件格式</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2" w:name="_Toc18230"/>
      <w:r>
        <w:rPr>
          <w:rFonts w:cs="Calibri" w:asciiTheme="minorEastAsia" w:hAnsiTheme="minorEastAsia" w:eastAsiaTheme="minorEastAsia"/>
          <w:b/>
          <w:bCs/>
          <w:kern w:val="0"/>
          <w:sz w:val="22"/>
        </w:rPr>
        <w:t>2.2 招标文件的澄清</w:t>
      </w:r>
      <w:bookmarkEnd w:id="52"/>
    </w:p>
    <w:p>
      <w:pPr>
        <w:adjustRightInd w:val="0"/>
        <w:snapToGrid w:val="0"/>
        <w:spacing w:line="360" w:lineRule="exact"/>
        <w:ind w:firstLine="440"/>
        <w:rPr>
          <w:rFonts w:cs="Calibri" w:asciiTheme="minorEastAsia" w:hAnsiTheme="minorEastAsia"/>
          <w:color w:val="000000"/>
          <w:sz w:val="22"/>
        </w:rPr>
      </w:pPr>
      <w:bookmarkStart w:id="53" w:name="_Toc18303"/>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cs="Calibri" w:asciiTheme="minorEastAsia" w:hAnsiTheme="minorEastAsia"/>
          <w:kern w:val="0"/>
          <w:sz w:val="22"/>
        </w:rPr>
        <w:t>招标人将视情况采用补充公告的方式予以澄清。</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2.3 招标文件的修改</w:t>
      </w:r>
      <w:bookmarkEnd w:id="53"/>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cs="Calibri" w:asciiTheme="minorEastAsia" w:hAnsiTheme="minorEastAsia" w:eastAsiaTheme="minorEastAsia"/>
          <w:color w:val="000000"/>
          <w:sz w:val="22"/>
        </w:rPr>
      </w:pPr>
      <w:r>
        <w:rPr>
          <w:rFonts w:cs="Calibri" w:asciiTheme="minorEastAsia" w:hAnsiTheme="minorEastAsia"/>
          <w:color w:val="000000"/>
          <w:sz w:val="22"/>
        </w:rPr>
        <w:t>2.3.2</w:t>
      </w:r>
      <w:r>
        <w:rPr>
          <w:rFonts w:hint="eastAsia" w:cs="Calibri" w:asciiTheme="minorEastAsia" w:hAnsiTheme="minorEastAsia"/>
          <w:color w:val="000000"/>
          <w:sz w:val="22"/>
        </w:rPr>
        <w:t>招标文件的修改为招标文件的组成部分，对投标人有约束力。</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4" w:name="_Toc143421658"/>
      <w:bookmarkStart w:id="55" w:name="_Toc18870"/>
      <w:r>
        <w:rPr>
          <w:rFonts w:cs="Calibri" w:asciiTheme="minorEastAsia" w:hAnsiTheme="minorEastAsia" w:eastAsiaTheme="minorEastAsia"/>
          <w:b/>
          <w:bCs/>
          <w:kern w:val="0"/>
          <w:sz w:val="22"/>
        </w:rPr>
        <w:t>3.投标文件</w:t>
      </w:r>
      <w:bookmarkEnd w:id="54"/>
      <w:bookmarkEnd w:id="55"/>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6" w:name="_Toc461"/>
      <w:r>
        <w:rPr>
          <w:rFonts w:cs="Calibri" w:asciiTheme="minorEastAsia" w:hAnsiTheme="minorEastAsia" w:eastAsiaTheme="minorEastAsia"/>
          <w:b/>
          <w:bCs/>
          <w:kern w:val="0"/>
          <w:sz w:val="22"/>
        </w:rPr>
        <w:t>3.1 投标文件的语言和计量单位</w:t>
      </w:r>
      <w:bookmarkEnd w:id="56"/>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3.1.1投标文件与投标有关的所有文件均应使用中文。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3.1.3招标文件中的“天”除特别说明外，均为日历天。</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3.1.4招标文件中所指的“合同”除特别说明外，指 “</w:t>
      </w:r>
      <w:r>
        <w:rPr>
          <w:rFonts w:hint="eastAsia" w:cs="Calibri" w:asciiTheme="minorEastAsia" w:hAnsiTheme="minorEastAsia" w:eastAsiaTheme="minorEastAsia"/>
          <w:color w:val="000000"/>
          <w:kern w:val="0"/>
          <w:sz w:val="22"/>
        </w:rPr>
        <w:t>服务</w:t>
      </w:r>
      <w:r>
        <w:rPr>
          <w:rFonts w:cs="Calibri" w:asciiTheme="minorEastAsia" w:hAnsiTheme="minorEastAsia" w:eastAsiaTheme="minorEastAsia"/>
          <w:color w:val="000000"/>
          <w:kern w:val="0"/>
          <w:sz w:val="22"/>
        </w:rPr>
        <w:t>合同”。</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7" w:name="_Toc1411"/>
      <w:r>
        <w:rPr>
          <w:rFonts w:cs="Calibri" w:asciiTheme="minorEastAsia" w:hAnsiTheme="minorEastAsia" w:eastAsiaTheme="minorEastAsia"/>
          <w:b/>
          <w:bCs/>
          <w:kern w:val="0"/>
          <w:sz w:val="22"/>
        </w:rPr>
        <w:t>3.2 投标文件的组成</w:t>
      </w:r>
      <w:bookmarkEnd w:id="57"/>
    </w:p>
    <w:p>
      <w:pPr>
        <w:adjustRightInd w:val="0"/>
        <w:snapToGrid w:val="0"/>
        <w:spacing w:line="360" w:lineRule="exact"/>
        <w:ind w:firstLine="440" w:firstLineChars="200"/>
        <w:rPr>
          <w:rFonts w:cs="Calibri" w:asciiTheme="minorEastAsia" w:hAnsiTheme="minorEastAsia" w:eastAsiaTheme="minorEastAsia"/>
          <w:color w:val="000000"/>
          <w:sz w:val="22"/>
        </w:rPr>
      </w:pPr>
      <w:bookmarkStart w:id="58" w:name="_Toc32225"/>
      <w:r>
        <w:rPr>
          <w:rFonts w:cs="Calibri" w:asciiTheme="minorEastAsia" w:hAnsiTheme="minorEastAsia" w:eastAsiaTheme="minorEastAsia"/>
          <w:color w:val="000000"/>
          <w:sz w:val="22"/>
        </w:rPr>
        <w:t>3.2.1投标函；</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2</w:t>
      </w:r>
      <w:r>
        <w:rPr>
          <w:rFonts w:cs="Calibri" w:asciiTheme="minorEastAsia" w:hAnsiTheme="minorEastAsia" w:eastAsiaTheme="minorEastAsia"/>
          <w:color w:val="000000"/>
          <w:sz w:val="22"/>
        </w:rPr>
        <w:t>法定代表人资格证明书；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3</w:t>
      </w:r>
      <w:r>
        <w:rPr>
          <w:rFonts w:cs="Calibri" w:asciiTheme="minorEastAsia" w:hAnsiTheme="minorEastAsia" w:eastAsiaTheme="minorEastAsia"/>
          <w:color w:val="000000"/>
          <w:sz w:val="22"/>
        </w:rPr>
        <w:t>授权委托书；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 xml:space="preserve"> 投标报价表；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3.2.5投标人资格证明文件：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（1）投标人一般情况</w:t>
      </w:r>
      <w:r>
        <w:rPr>
          <w:rFonts w:hint="eastAsia" w:cs="Calibri" w:asciiTheme="minorEastAsia" w:hAnsiTheme="minorEastAsia" w:eastAsiaTheme="minorEastAsia"/>
          <w:color w:val="000000"/>
          <w:sz w:val="22"/>
        </w:rPr>
        <w:t>及</w:t>
      </w:r>
      <w:r>
        <w:rPr>
          <w:rFonts w:cs="Calibri" w:asciiTheme="minorEastAsia" w:hAnsiTheme="minorEastAsia" w:eastAsiaTheme="minorEastAsia"/>
          <w:color w:val="000000"/>
          <w:sz w:val="22"/>
        </w:rPr>
        <w:t>有关证明投标人法律地位的文件（包括营业执照</w:t>
      </w:r>
      <w:r>
        <w:rPr>
          <w:rFonts w:hint="eastAsia" w:cs="Calibri" w:asciiTheme="minorEastAsia" w:hAnsiTheme="minorEastAsia" w:eastAsiaTheme="minorEastAsia"/>
          <w:color w:val="000000"/>
          <w:sz w:val="22"/>
        </w:rPr>
        <w:t>、</w:t>
      </w:r>
      <w:r>
        <w:rPr>
          <w:rFonts w:hint="eastAsia" w:cs="Calibri" w:asciiTheme="minorEastAsia" w:hAnsiTheme="minorEastAsia" w:eastAsiaTheme="minorEastAsia"/>
          <w:sz w:val="22"/>
        </w:rPr>
        <w:t>税务登记证、</w:t>
      </w:r>
      <w:r>
        <w:rPr>
          <w:rFonts w:cs="Calibri" w:asciiTheme="minorEastAsia" w:hAnsiTheme="minorEastAsia" w:eastAsiaTheme="minorEastAsia"/>
          <w:sz w:val="22"/>
        </w:rPr>
        <w:t>一般纳税人证明材料</w:t>
      </w:r>
      <w:r>
        <w:rPr>
          <w:rFonts w:hint="eastAsia" w:cs="Calibri" w:asciiTheme="minorEastAsia" w:hAnsiTheme="minorEastAsia" w:eastAsiaTheme="minorEastAsia"/>
          <w:sz w:val="22"/>
        </w:rPr>
        <w:t>、</w:t>
      </w:r>
      <w:r>
        <w:rPr>
          <w:rFonts w:cs="Calibri" w:asciiTheme="minorEastAsia" w:hAnsiTheme="minorEastAsia" w:eastAsiaTheme="minorEastAsia"/>
          <w:color w:val="000000"/>
          <w:sz w:val="22"/>
        </w:rPr>
        <w:t>资质</w:t>
      </w:r>
      <w:r>
        <w:rPr>
          <w:rFonts w:hint="eastAsia" w:cs="Calibri" w:asciiTheme="minorEastAsia" w:hAnsiTheme="minorEastAsia" w:eastAsiaTheme="minorEastAsia"/>
          <w:color w:val="000000"/>
          <w:sz w:val="22"/>
        </w:rPr>
        <w:t>证书</w:t>
      </w:r>
      <w:r>
        <w:rPr>
          <w:rFonts w:cs="Calibri" w:asciiTheme="minorEastAsia" w:hAnsiTheme="minorEastAsia" w:eastAsiaTheme="minorEastAsia"/>
          <w:color w:val="000000"/>
          <w:sz w:val="22"/>
        </w:rPr>
        <w:t>等），说明投标人的注册地点和主要经营范围；</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（2）信用中国网站www.creditchina.gov.cn 、中国裁判文书网http://wenshu.court.gov.cn查询结果以及主管税务部门出具的一般纳税人资格认定《税务事项通知书》。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（3）有关证明投标人的企业信誉及获得各种奖励等资料</w:t>
      </w:r>
      <w:r>
        <w:rPr>
          <w:rFonts w:hint="eastAsia" w:cs="Calibri" w:asciiTheme="minorEastAsia" w:hAnsiTheme="minorEastAsia" w:eastAsiaTheme="minorEastAsia"/>
          <w:color w:val="000000"/>
          <w:sz w:val="22"/>
        </w:rPr>
        <w:t>：承担过国家级设计项目或获国家级奖项（提供中标通知书、合同或奖励证书、牌匾照片等）；</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（4）投标人经济实力：包括企业注册资金、财务报告与报表中反映的财务状况</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5</w:t>
      </w:r>
      <w:r>
        <w:rPr>
          <w:rFonts w:hint="eastAsia" w:cs="Calibri" w:asciiTheme="minorEastAsia" w:hAnsiTheme="minorEastAsia" w:eastAsiaTheme="minorEastAsia"/>
          <w:color w:val="000000"/>
          <w:sz w:val="22"/>
        </w:rPr>
        <w:t>）</w:t>
      </w:r>
      <w:r>
        <w:rPr>
          <w:rFonts w:hint="eastAsia" w:ascii="宋体" w:hAnsi="宋体" w:cs="Arial"/>
          <w:kern w:val="0"/>
          <w:sz w:val="22"/>
        </w:rPr>
        <w:t>近五年（自2014年1月1日起至投标截止日）投标人须具备类似项目业绩：①指面积20万平方米（含）以上同类项目（如机场、港口、汽车站、火车站等大型交通枢纽）建筑的标识系统设计业绩；②具有50万元（含）以上VI视觉识别系统设计类的业绩（①②满足一项即可），须提供中标通知书或合同关键页(封面页、金额页、签字盖章页)复印件并加盖投标人公章作为证明材料。符合①的投标人，若中标通知书或合同关键页无法体现面积参数的，须额外提供业主证明。</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6</w:t>
      </w:r>
      <w:r>
        <w:rPr>
          <w:rFonts w:hint="eastAsia" w:cs="Calibri" w:asciiTheme="minorEastAsia" w:hAnsiTheme="minorEastAsia" w:eastAsiaTheme="minorEastAsia"/>
          <w:color w:val="000000"/>
          <w:sz w:val="22"/>
        </w:rPr>
        <w:t>）招标文件投标人资格要求中提供的相关材料。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3.2.6</w:t>
      </w:r>
      <w:r>
        <w:rPr>
          <w:rFonts w:hint="eastAsia" w:cs="Calibri" w:asciiTheme="minorEastAsia" w:hAnsiTheme="minorEastAsia" w:eastAsiaTheme="minorEastAsia"/>
          <w:color w:val="000000"/>
          <w:sz w:val="22"/>
        </w:rPr>
        <w:t xml:space="preserve"> </w:t>
      </w:r>
      <w:r>
        <w:rPr>
          <w:rFonts w:cs="Calibri" w:asciiTheme="minorEastAsia" w:hAnsiTheme="minorEastAsia" w:eastAsiaTheme="minorEastAsia"/>
          <w:color w:val="000000"/>
          <w:sz w:val="22"/>
        </w:rPr>
        <w:t>服务大纲</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T1、T2、T3航站区标识系统问题分析和整改建议；</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w:t>
      </w:r>
      <w:r>
        <w:rPr>
          <w:rFonts w:hint="eastAsia" w:cs="Calibri" w:asciiTheme="minorEastAsia" w:hAnsiTheme="minorEastAsia" w:eastAsiaTheme="minorEastAsia"/>
          <w:color w:val="000000"/>
          <w:sz w:val="22"/>
        </w:rPr>
        <w:t>T1、T2、T3航站区服务方案及承诺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w:t>
      </w:r>
      <w:r>
        <w:rPr>
          <w:rFonts w:hint="eastAsia" w:cs="Calibri" w:asciiTheme="minorEastAsia" w:hAnsiTheme="minorEastAsia" w:eastAsiaTheme="minorEastAsia"/>
          <w:color w:val="000000"/>
          <w:sz w:val="22"/>
        </w:rPr>
        <w:t>项目负责人综合素质能力：项目负责人在2016年1月1日</w:t>
      </w:r>
      <w:r>
        <w:rPr>
          <w:rFonts w:hint="eastAsia" w:ascii="宋体" w:hAnsi="宋体" w:cs="Arial"/>
          <w:kern w:val="0"/>
          <w:sz w:val="22"/>
        </w:rPr>
        <w:t>至投标截止日</w:t>
      </w:r>
      <w:r>
        <w:rPr>
          <w:rFonts w:hint="eastAsia" w:asciiTheme="minorEastAsia" w:hAnsiTheme="minorEastAsia" w:eastAsiaTheme="minorEastAsia" w:cstheme="minorEastAsia"/>
          <w:sz w:val="22"/>
        </w:rPr>
        <w:t>带领公司团队完成过</w:t>
      </w:r>
      <w:r>
        <w:rPr>
          <w:rFonts w:hint="eastAsia" w:ascii="宋体" w:hAnsi="宋体" w:cs="Arial"/>
          <w:kern w:val="0"/>
          <w:sz w:val="22"/>
        </w:rPr>
        <w:t>①单体面积20万平方米（含）以上同类项目（如机场、港口、汽车站、火车站等大型交通枢纽）建筑的标识系统设计经验；②50万元（含）以上VI视觉识别系统设计类的经验（①②满足一项即可），须提供项目</w:t>
      </w:r>
      <w:r>
        <w:rPr>
          <w:rFonts w:ascii="宋体" w:hAnsi="宋体" w:cs="Arial"/>
          <w:kern w:val="0"/>
          <w:sz w:val="22"/>
        </w:rPr>
        <w:t>负责人简历</w:t>
      </w:r>
      <w:r>
        <w:rPr>
          <w:rFonts w:hint="eastAsia" w:ascii="宋体" w:hAnsi="宋体" w:cs="Arial"/>
          <w:kern w:val="0"/>
          <w:sz w:val="22"/>
        </w:rPr>
        <w:t>、</w:t>
      </w:r>
      <w:r>
        <w:rPr>
          <w:rFonts w:ascii="宋体" w:hAnsi="宋体" w:cs="Arial"/>
          <w:kern w:val="0"/>
          <w:sz w:val="22"/>
        </w:rPr>
        <w:t>社保证明</w:t>
      </w:r>
      <w:r>
        <w:rPr>
          <w:rFonts w:hint="eastAsia" w:ascii="宋体" w:hAnsi="宋体" w:cs="Arial"/>
          <w:kern w:val="0"/>
          <w:sz w:val="22"/>
        </w:rPr>
        <w:t>及中标通知书或合同关键页(封面页、金额页、签字盖章页)复印件并加盖投标人公章作为证明材料。符合①的投标人，若中标通知书或合同关键页无法体现面积参数的，须额外提供业主证明。</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cs="Arial" w:asciiTheme="minorEastAsia" w:hAnsiTheme="minorEastAsia" w:eastAsiaTheme="minorEastAsia"/>
          <w:color w:val="000000"/>
          <w:sz w:val="22"/>
        </w:rPr>
      </w:pPr>
      <w:r>
        <w:rPr>
          <w:rFonts w:cs="Calibri" w:asciiTheme="minorEastAsia" w:hAnsiTheme="minorEastAsia" w:eastAsiaTheme="minorEastAsia"/>
          <w:color w:val="000000"/>
          <w:sz w:val="22"/>
        </w:rPr>
        <w:t>（4）</w:t>
      </w:r>
      <w:r>
        <w:rPr>
          <w:rFonts w:hint="eastAsia" w:cs="Calibri" w:asciiTheme="minorEastAsia" w:hAnsiTheme="minorEastAsia" w:eastAsiaTheme="minorEastAsia"/>
          <w:color w:val="000000"/>
          <w:sz w:val="22"/>
        </w:rPr>
        <w:t>提供团队人员在</w:t>
      </w:r>
      <w:r>
        <w:rPr>
          <w:rFonts w:hint="eastAsia" w:asciiTheme="minorEastAsia" w:hAnsiTheme="minorEastAsia" w:eastAsiaTheme="minorEastAsia" w:cstheme="minorEastAsia"/>
          <w:sz w:val="22"/>
        </w:rPr>
        <w:t>2016年1月1日</w:t>
      </w:r>
      <w:r>
        <w:rPr>
          <w:rFonts w:hint="eastAsia" w:ascii="宋体" w:hAnsi="宋体" w:cs="Arial"/>
          <w:kern w:val="0"/>
          <w:sz w:val="22"/>
        </w:rPr>
        <w:t>至投标截止日</w:t>
      </w:r>
      <w:r>
        <w:rPr>
          <w:rFonts w:hint="eastAsia" w:asciiTheme="minorEastAsia" w:hAnsiTheme="minorEastAsia" w:eastAsiaTheme="minorEastAsia" w:cstheme="minorEastAsia"/>
          <w:sz w:val="22"/>
        </w:rPr>
        <w:t>，参与过</w:t>
      </w:r>
      <w:r>
        <w:rPr>
          <w:rFonts w:hint="eastAsia" w:ascii="宋体" w:hAnsi="宋体" w:cs="Arial"/>
          <w:kern w:val="0"/>
          <w:sz w:val="22"/>
        </w:rPr>
        <w:t>①单体面积20万平方米（含）以上同类项目（如机场、港口、汽车站、火车站等大型交通枢纽）建筑的标识系统设计经验；②50万元（含）以上VI视觉识别系统设计类的经验（①②满足一项即可），须提供团队人员</w:t>
      </w:r>
      <w:r>
        <w:rPr>
          <w:rFonts w:ascii="宋体" w:hAnsi="宋体" w:cs="Arial"/>
          <w:kern w:val="0"/>
          <w:sz w:val="22"/>
        </w:rPr>
        <w:t>社保证明</w:t>
      </w:r>
      <w:r>
        <w:rPr>
          <w:rFonts w:hint="eastAsia" w:ascii="宋体" w:hAnsi="宋体" w:cs="Arial"/>
          <w:kern w:val="0"/>
          <w:sz w:val="22"/>
        </w:rPr>
        <w:t>及中标通知书或合同关键页(封面页、金额页、签字盖章页)复印件并加盖投标人公章作为证明材料。符合①的投标人，若中标通知书或合同关键页无法体现面积参数的，须额外提供业主证明。</w:t>
      </w:r>
      <w:r>
        <w:rPr>
          <w:rFonts w:cs="Calibri" w:asciiTheme="minorEastAsia" w:hAnsiTheme="minorEastAsia" w:eastAsiaTheme="minorEastAsia"/>
          <w:color w:val="000000"/>
          <w:sz w:val="22"/>
        </w:rPr>
        <w:t>3.2.7</w:t>
      </w:r>
      <w:r>
        <w:rPr>
          <w:rFonts w:hint="eastAsia" w:cs="Arial" w:asciiTheme="minorEastAsia" w:hAnsiTheme="minorEastAsia" w:eastAsiaTheme="minorEastAsia"/>
          <w:color w:val="000000"/>
          <w:sz w:val="22"/>
        </w:rPr>
        <w:t>投标人认为</w:t>
      </w:r>
      <w:r>
        <w:rPr>
          <w:rFonts w:cs="Arial" w:asciiTheme="minorEastAsia" w:hAnsiTheme="minorEastAsia" w:eastAsiaTheme="minorEastAsia"/>
          <w:color w:val="000000"/>
          <w:sz w:val="22"/>
        </w:rPr>
        <w:t>应该提供的其他材料</w:t>
      </w:r>
      <w:r>
        <w:rPr>
          <w:rFonts w:hint="eastAsia" w:cs="Arial"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（1）本项目概况；</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（2）工作内容和依据；</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w:t>
      </w:r>
      <w:r>
        <w:rPr>
          <w:rFonts w:hint="eastAsia" w:cs="Calibri" w:asciiTheme="minorEastAsia" w:hAnsiTheme="minorEastAsia" w:eastAsiaTheme="minorEastAsia"/>
          <w:color w:val="000000"/>
          <w:sz w:val="22"/>
        </w:rPr>
        <w:t>现场机构、人力、物资设备配置</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（4）服务人员的作业安排和进场计划；</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w:t>
      </w:r>
      <w:r>
        <w:rPr>
          <w:rFonts w:hint="eastAsia" w:cs="Calibri" w:asciiTheme="minorEastAsia" w:hAnsiTheme="minorEastAsia" w:eastAsiaTheme="minorEastAsia"/>
          <w:color w:val="000000"/>
          <w:sz w:val="22"/>
        </w:rPr>
        <w:t>运行、安全、服务等相关管理方案</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（6）对本项目的实施意见及重点</w:t>
      </w: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难点控制；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（7）对特殊情况的承诺以及灾害性、突发事件的应急预案；</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8</w:t>
      </w:r>
      <w:r>
        <w:rPr>
          <w:rFonts w:cs="Calibri" w:asciiTheme="minorEastAsia" w:hAnsiTheme="minorEastAsia" w:eastAsiaTheme="minorEastAsia"/>
          <w:color w:val="000000"/>
          <w:sz w:val="22"/>
        </w:rPr>
        <w:t>）投入到本项目的项目负责人、其他人员的情况汇总表及业绩、经历、能力介绍、资格证明材料及人员到位率的承诺；</w:t>
      </w:r>
    </w:p>
    <w:p>
      <w:pPr>
        <w:ind w:firstLine="440" w:firstLineChars="200"/>
        <w:rPr>
          <w:rFonts w:cs="Arial" w:asciiTheme="minorEastAsia" w:hAnsiTheme="minorEastAsia" w:eastAsiaTheme="minorEastAsia"/>
          <w:color w:val="000000"/>
          <w:sz w:val="22"/>
        </w:rPr>
      </w:pP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）投入本项目服务的仪器、仪表、设备及交通工具汇总表</w:t>
      </w:r>
      <w:r>
        <w:rPr>
          <w:rFonts w:hint="eastAsia" w:cs="Calibri" w:asciiTheme="minorEastAsia" w:hAnsiTheme="minorEastAsia" w:eastAsiaTheme="minorEastAsia"/>
          <w:color w:val="00000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3.3 投标报价</w:t>
      </w:r>
      <w:bookmarkEnd w:id="58"/>
    </w:p>
    <w:p>
      <w:pPr>
        <w:adjustRightInd w:val="0"/>
        <w:snapToGrid w:val="0"/>
        <w:spacing w:line="360" w:lineRule="exact"/>
        <w:ind w:firstLine="440" w:firstLineChars="200"/>
        <w:rPr>
          <w:rFonts w:cs="Calibri" w:asciiTheme="minorEastAsia" w:hAnsiTheme="minorEastAsia" w:eastAsiaTheme="minorEastAsia"/>
          <w:color w:val="000000"/>
          <w:kern w:val="0"/>
          <w:sz w:val="22"/>
        </w:rPr>
      </w:pPr>
      <w:bookmarkStart w:id="59" w:name="_Toc13307"/>
      <w:r>
        <w:rPr>
          <w:rFonts w:cs="Calibri" w:asciiTheme="minorEastAsia" w:hAnsiTheme="minorEastAsia" w:eastAsiaTheme="minorEastAsia"/>
          <w:color w:val="000000"/>
          <w:kern w:val="0"/>
          <w:sz w:val="22"/>
        </w:rPr>
        <w:t>3.2.1 投标人应按本招标文件中“投标文件格式”的要求填写相应表格。</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3.2.2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3.2.3招标人设有最高投标限价的，投标人的投标报价不得超过最高投标限价，最高投标限价详见投标人须知前附表。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3.2.4投标报价的其他要求</w:t>
      </w:r>
      <w:r>
        <w:rPr>
          <w:rFonts w:hint="eastAsia" w:cs="Calibri" w:asciiTheme="minorEastAsia" w:hAnsiTheme="minorEastAsia" w:eastAsiaTheme="minorEastAsia"/>
          <w:color w:val="000000"/>
          <w:kern w:val="0"/>
          <w:sz w:val="22"/>
        </w:rPr>
        <w:t>：</w:t>
      </w:r>
      <w:r>
        <w:rPr>
          <w:rFonts w:hint="eastAsia" w:cs="Calibri" w:asciiTheme="minorEastAsia" w:hAnsiTheme="minorEastAsia" w:eastAsia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eastAsiaTheme="minorEastAsia"/>
          <w:b/>
          <w:color w:val="000000"/>
          <w:kern w:val="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3.4 投标有效期</w:t>
      </w:r>
      <w:bookmarkEnd w:id="59"/>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0" w:name="_Toc30464"/>
      <w:r>
        <w:rPr>
          <w:rFonts w:cs="Calibri" w:asciiTheme="minorEastAsia" w:hAnsiTheme="minorEastAsia" w:eastAsiaTheme="minorEastAsia"/>
          <w:b/>
          <w:bCs/>
          <w:kern w:val="0"/>
          <w:sz w:val="22"/>
        </w:rPr>
        <w:t>3.5 投标保证金</w:t>
      </w:r>
      <w:bookmarkEnd w:id="60"/>
      <w:r>
        <w:rPr>
          <w:rFonts w:hint="eastAsia" w:cs="Calibri" w:asciiTheme="minorEastAsia" w:hAnsiTheme="minorEastAsia" w:eastAsiaTheme="minorEastAsia"/>
          <w:b/>
          <w:bCs/>
          <w:kern w:val="0"/>
          <w:sz w:val="22"/>
        </w:rPr>
        <w:t>（如有）</w:t>
      </w:r>
    </w:p>
    <w:p>
      <w:pPr>
        <w:adjustRightInd w:val="0"/>
        <w:snapToGrid w:val="0"/>
        <w:spacing w:line="360" w:lineRule="exact"/>
        <w:ind w:firstLine="440"/>
        <w:rPr>
          <w:rFonts w:ascii="宋体" w:hAnsi="宋体" w:cs="Calibri"/>
          <w:kern w:val="0"/>
          <w:sz w:val="22"/>
        </w:rPr>
      </w:pPr>
      <w:bookmarkStart w:id="61"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w:t>
      </w:r>
      <w:r>
        <w:rPr>
          <w:rFonts w:ascii="宋体" w:hAnsi="宋体" w:cs="Calibri"/>
          <w:kern w:val="0"/>
          <w:sz w:val="22"/>
        </w:rPr>
        <w:t>5</w:t>
      </w:r>
      <w:r>
        <w:rPr>
          <w:rFonts w:hint="eastAsia" w:ascii="宋体" w:hAnsi="宋体" w:cs="Calibri"/>
          <w:kern w:val="0"/>
          <w:sz w:val="22"/>
        </w:rPr>
        <w:t>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3.6 投标文件的编制</w:t>
      </w:r>
      <w:bookmarkEnd w:id="61"/>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3.6.1 投标文件应按本须知第3.2款规定的内容和第</w:t>
      </w:r>
      <w:r>
        <w:rPr>
          <w:rFonts w:hint="eastAsia" w:cs="Calibri" w:asciiTheme="minorEastAsia" w:hAnsiTheme="minorEastAsia" w:eastAsiaTheme="minorEastAsia"/>
          <w:color w:val="000000"/>
          <w:sz w:val="22"/>
        </w:rPr>
        <w:t>六</w:t>
      </w:r>
      <w:r>
        <w:rPr>
          <w:rFonts w:cs="Calibri" w:asciiTheme="minorEastAsia" w:hAnsiTheme="minorEastAsia" w:eastAsiaTheme="minorEastAsia"/>
          <w:color w:val="000000"/>
          <w:sz w:val="22"/>
        </w:rPr>
        <w:t>章“投标文件格式”进行编写，如有必要，可以增加附页，作为投标文件的组成部分，“投标文件格式”中没有规定的可自行编制格式。其中，</w:t>
      </w:r>
      <w:r>
        <w:rPr>
          <w:rFonts w:hint="eastAsia" w:cs="Calibri" w:asciiTheme="minorEastAsia" w:hAnsiTheme="minorEastAsia" w:eastAsiaTheme="minorEastAsia"/>
          <w:sz w:val="22"/>
        </w:rPr>
        <w:t>服务期</w:t>
      </w:r>
      <w:r>
        <w:rPr>
          <w:rFonts w:cs="Calibri" w:asciiTheme="minorEastAsia" w:hAnsiTheme="minorEastAsia" w:eastAsiaTheme="minorEastAsia"/>
          <w:sz w:val="22"/>
        </w:rPr>
        <w:t>在满足招标文件实质性要求的基础上，可以提出比招标文件要求更有利于招标人的承诺。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 xml:space="preserve">3.6.2 </w:t>
      </w:r>
      <w:r>
        <w:rPr>
          <w:rFonts w:cs="Calibri" w:asciiTheme="minorEastAsia" w:hAnsiTheme="minorEastAsia" w:eastAsiaTheme="minorEastAsia"/>
          <w:color w:val="000000"/>
          <w:kern w:val="0"/>
          <w:sz w:val="22"/>
        </w:rPr>
        <w:t>投标文件应对招标文件有关</w:t>
      </w:r>
      <w:r>
        <w:rPr>
          <w:rFonts w:hint="eastAsia" w:cs="Calibri" w:asciiTheme="minorEastAsia" w:hAnsiTheme="minorEastAsia" w:eastAsiaTheme="minorEastAsia"/>
          <w:color w:val="000000"/>
          <w:kern w:val="0"/>
          <w:sz w:val="22"/>
        </w:rPr>
        <w:t>服务</w:t>
      </w:r>
      <w:r>
        <w:rPr>
          <w:rFonts w:cs="Calibri" w:asciiTheme="minorEastAsia" w:hAnsiTheme="minorEastAsia" w:eastAsiaTheme="minorEastAsia"/>
          <w:color w:val="000000"/>
          <w:kern w:val="0"/>
          <w:sz w:val="22"/>
        </w:rPr>
        <w:t>期、投标有效期、招标</w:t>
      </w:r>
      <w:r>
        <w:rPr>
          <w:rFonts w:hint="eastAsia" w:cs="Calibri" w:asciiTheme="minorEastAsia" w:hAnsiTheme="minorEastAsia" w:eastAsiaTheme="minorEastAsia"/>
          <w:color w:val="000000"/>
          <w:kern w:val="0"/>
          <w:sz w:val="22"/>
        </w:rPr>
        <w:t>内容</w:t>
      </w:r>
      <w:r>
        <w:rPr>
          <w:rFonts w:cs="Calibri" w:asciiTheme="minorEastAsia" w:hAnsiTheme="minorEastAsia" w:eastAsiaTheme="minorEastAsia"/>
          <w:color w:val="000000"/>
          <w:kern w:val="0"/>
          <w:sz w:val="22"/>
        </w:rPr>
        <w:t>等实质性内容作出响应。</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cs="Calibri" w:asciiTheme="minorEastAsia" w:hAnsiTheme="minorEastAsia" w:eastAsiaTheme="minorEastAsia"/>
          <w:color w:val="000000"/>
          <w:kern w:val="0"/>
          <w:sz w:val="22"/>
        </w:rPr>
        <w:t>签字或盖章的具体要求见投标人须知前附表。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3.6.4投标文件正本一份， 副本份数见投标人须知前附表。正本、副本的封面上应清楚地标记</w:t>
      </w:r>
      <w:r>
        <w:rPr>
          <w:rFonts w:cs="Calibri" w:asciiTheme="minorEastAsia" w:hAnsiTheme="minorEastAsia" w:eastAsiaTheme="minorEastAsia"/>
          <w:b/>
          <w:bCs/>
          <w:color w:val="000000"/>
          <w:sz w:val="22"/>
        </w:rPr>
        <w:t>“正本</w:t>
      </w:r>
      <w:r>
        <w:rPr>
          <w:rFonts w:cs="Calibri" w:asciiTheme="minorEastAsia" w:hAnsiTheme="minorEastAsia" w:eastAsiaTheme="minorEastAsia"/>
          <w:color w:val="000000"/>
          <w:sz w:val="22"/>
        </w:rPr>
        <w:t>”或“</w:t>
      </w:r>
      <w:r>
        <w:rPr>
          <w:rFonts w:cs="Calibri" w:asciiTheme="minorEastAsia" w:hAnsiTheme="minorEastAsia" w:eastAsiaTheme="minorEastAsia"/>
          <w:b/>
          <w:bCs/>
          <w:color w:val="000000"/>
          <w:sz w:val="22"/>
        </w:rPr>
        <w:t>副本</w:t>
      </w:r>
      <w:r>
        <w:rPr>
          <w:rFonts w:cs="Calibri" w:asciiTheme="minorEastAsia" w:hAnsiTheme="minorEastAsia" w:eastAsiaTheme="minorEastAsia"/>
          <w:color w:val="000000"/>
          <w:sz w:val="22"/>
        </w:rPr>
        <w:t>”的字样。当副本和正本不一致时，以正本为准。</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3.6.5投标文件的正本与副本应分别按A4规格装订成册，具体装订要求见投标人须知前附表规定。</w:t>
      </w:r>
      <w:bookmarkStart w:id="62" w:name="_Toc14342165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3" w:name="_Toc32652"/>
      <w:r>
        <w:rPr>
          <w:rFonts w:cs="Calibri" w:asciiTheme="minorEastAsia" w:hAnsiTheme="minorEastAsia" w:eastAsiaTheme="minorEastAsia"/>
          <w:b/>
          <w:bCs/>
          <w:kern w:val="0"/>
          <w:sz w:val="22"/>
        </w:rPr>
        <w:t>4.投标</w:t>
      </w:r>
      <w:bookmarkEnd w:id="62"/>
      <w:bookmarkEnd w:id="63"/>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4" w:name="_Toc649"/>
      <w:r>
        <w:rPr>
          <w:rFonts w:cs="Calibri" w:asciiTheme="minorEastAsia" w:hAnsiTheme="minorEastAsia" w:eastAsiaTheme="minorEastAsia"/>
          <w:b/>
          <w:bCs/>
          <w:kern w:val="0"/>
          <w:sz w:val="22"/>
        </w:rPr>
        <w:t>4.1 投标文件的密封和标识</w:t>
      </w:r>
      <w:bookmarkEnd w:id="64"/>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4.1.1</w:t>
      </w:r>
      <w:r>
        <w:rPr>
          <w:rFonts w:cs="Calibri" w:asciiTheme="minorEastAsia" w:hAnsiTheme="minorEastAsia" w:eastAsiaTheme="minorEastAsia"/>
          <w:color w:val="000000"/>
          <w:kern w:val="0"/>
          <w:sz w:val="22"/>
        </w:rPr>
        <w:t>投标文件的正本、副本可一同</w:t>
      </w:r>
      <w:r>
        <w:rPr>
          <w:rFonts w:hint="eastAsia" w:cs="Calibri" w:asciiTheme="minorEastAsia" w:hAnsiTheme="minorEastAsia" w:eastAsiaTheme="minorEastAsia"/>
          <w:color w:val="000000"/>
          <w:kern w:val="0"/>
          <w:sz w:val="22"/>
        </w:rPr>
        <w:t>密封</w:t>
      </w:r>
      <w:r>
        <w:rPr>
          <w:rFonts w:cs="Calibri" w:asciiTheme="minorEastAsia" w:hAnsiTheme="minorEastAsia" w:eastAsiaTheme="minorEastAsia"/>
          <w:color w:val="000000"/>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4.1.3 未按本章第4.1.1项或第4.1.2项要求密封和加写标记的投标文件，招标人不予受理。</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4.1.</w:t>
      </w:r>
      <w:r>
        <w:rPr>
          <w:rFonts w:hint="eastAsia" w:cs="Calibri" w:asciiTheme="minorEastAsia" w:hAnsiTheme="minorEastAsia" w:eastAsiaTheme="minorEastAsia"/>
          <w:color w:val="000000"/>
          <w:kern w:val="0"/>
          <w:sz w:val="22"/>
        </w:rPr>
        <w:t>4</w:t>
      </w:r>
      <w:r>
        <w:rPr>
          <w:rFonts w:cs="Calibri" w:asciiTheme="minorEastAsia" w:hAnsiTheme="minorEastAsia" w:eastAsiaTheme="minorEastAsia"/>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5" w:name="_Toc16616"/>
      <w:r>
        <w:rPr>
          <w:rFonts w:cs="Calibri" w:asciiTheme="minorEastAsia" w:hAnsiTheme="minorEastAsia" w:eastAsiaTheme="minorEastAsia"/>
          <w:b/>
          <w:bCs/>
          <w:kern w:val="0"/>
          <w:sz w:val="22"/>
        </w:rPr>
        <w:t xml:space="preserve">4.2 投标文件的递交 </w:t>
      </w:r>
      <w:bookmarkEnd w:id="65"/>
    </w:p>
    <w:p>
      <w:pPr>
        <w:autoSpaceDE w:val="0"/>
        <w:autoSpaceDN w:val="0"/>
        <w:adjustRightInd w:val="0"/>
        <w:snapToGrid w:val="0"/>
        <w:spacing w:line="360" w:lineRule="exact"/>
        <w:ind w:firstLine="442" w:firstLineChars="200"/>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4.2.1投标人应在本须知前附表规定的投标截止时间前递交投标文件。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4.2.2投标人送达投标文件的地点：见投标人须知前附表。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4.2.3除投标人须知前附表另有规定外，投标人所递交的投标文件不予退还。</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w:t>
      </w: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逾期送达的或者未送达指定地点的投标文件，招标人不予受理。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6" w:name="_Toc26099"/>
      <w:r>
        <w:rPr>
          <w:rFonts w:cs="Calibri" w:asciiTheme="minorEastAsia" w:hAnsiTheme="minorEastAsia" w:eastAsiaTheme="minorEastAsia"/>
          <w:b/>
          <w:bCs/>
          <w:kern w:val="0"/>
          <w:sz w:val="22"/>
        </w:rPr>
        <w:t>4.3 投标文件的修改和撤回</w:t>
      </w:r>
      <w:bookmarkEnd w:id="66"/>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7" w:name="_Toc29641"/>
      <w:r>
        <w:rPr>
          <w:rFonts w:cs="Calibri" w:asciiTheme="minorEastAsia" w:hAnsiTheme="minorEastAsia" w:eastAsiaTheme="minorEastAsia"/>
          <w:b/>
          <w:bCs/>
          <w:kern w:val="0"/>
          <w:sz w:val="22"/>
        </w:rPr>
        <w:t>5.开标</w:t>
      </w:r>
      <w:bookmarkEnd w:id="67"/>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8" w:name="_Toc15123"/>
      <w:r>
        <w:rPr>
          <w:rFonts w:cs="Calibri" w:asciiTheme="minorEastAsia" w:hAnsiTheme="minorEastAsia" w:eastAsiaTheme="minorEastAsia"/>
          <w:b/>
          <w:bCs/>
          <w:kern w:val="0"/>
          <w:sz w:val="22"/>
        </w:rPr>
        <w:t>5.1 开标时间和地点</w:t>
      </w:r>
      <w:bookmarkEnd w:id="68"/>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5.1.1</w:t>
      </w:r>
      <w:r>
        <w:rPr>
          <w:rFonts w:ascii="宋体" w:hAnsi="宋体" w:cs="Calibri"/>
          <w:sz w:val="22"/>
        </w:rPr>
        <w:t>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5.1.2投标人在投标时应随身携带下列资料提交招标人</w:t>
      </w:r>
    </w:p>
    <w:p>
      <w:pPr>
        <w:adjustRightInd w:val="0"/>
        <w:snapToGrid w:val="0"/>
        <w:spacing w:line="360" w:lineRule="exact"/>
        <w:ind w:firstLine="440" w:firstLineChars="200"/>
        <w:rPr>
          <w:rFonts w:cs="Calibri" w:asciiTheme="minorEastAsia" w:hAnsiTheme="minorEastAsia" w:eastAsiaTheme="minorEastAsia"/>
          <w:sz w:val="22"/>
        </w:rPr>
      </w:pPr>
      <w:bookmarkStart w:id="69" w:name="_Toc7101"/>
      <w:r>
        <w:rPr>
          <w:rFonts w:cs="Calibri" w:asciiTheme="minorEastAsia" w:hAnsiTheme="minorEastAsia" w:eastAsiaTheme="minorEastAsia"/>
          <w:sz w:val="22"/>
        </w:rPr>
        <w:t>（1）委托代理人的身份证、法定代表人授权委托书</w:t>
      </w:r>
      <w:r>
        <w:rPr>
          <w:rFonts w:hint="eastAsia" w:cs="Calibri" w:asciiTheme="minorEastAsia" w:hAnsiTheme="minorEastAsia" w:eastAsiaTheme="minorEastAsia"/>
          <w:sz w:val="22"/>
        </w:rPr>
        <w:t>（装订在投标文件内亦可）</w:t>
      </w:r>
      <w:r>
        <w:rPr>
          <w:rFonts w:cs="Calibri" w:asciiTheme="minorEastAsia" w:hAnsiTheme="minorEastAsia" w:eastAsiaTheme="minorEastAsia"/>
          <w:sz w:val="22"/>
        </w:rPr>
        <w:t>；</w:t>
      </w:r>
    </w:p>
    <w:p>
      <w:pPr>
        <w:adjustRightInd w:val="0"/>
        <w:snapToGrid w:val="0"/>
        <w:spacing w:line="360" w:lineRule="exact"/>
        <w:ind w:firstLine="440" w:firstLineChars="200"/>
        <w:rPr>
          <w:rFonts w:cs="Calibri" w:asciiTheme="minorEastAsia" w:hAnsiTheme="minorEastAsia" w:eastAsiaTheme="minorEastAsia"/>
          <w:sz w:val="22"/>
        </w:rPr>
      </w:pPr>
      <w:r>
        <w:rPr>
          <w:rFonts w:cs="Calibri" w:asciiTheme="minorEastAsia" w:hAnsiTheme="minorEastAsia" w:eastAsiaTheme="minorEastAsia"/>
          <w:sz w:val="22"/>
        </w:rPr>
        <w:t>（2）投标保证金收执证明或汇款凭证或银行回单</w:t>
      </w:r>
      <w:r>
        <w:rPr>
          <w:rFonts w:hint="eastAsia" w:cs="Calibri" w:asciiTheme="minorEastAsia" w:hAnsiTheme="minorEastAsia" w:eastAsiaTheme="minorEastAsia"/>
          <w:sz w:val="22"/>
        </w:rPr>
        <w:t>（装订在投标文件内亦可）</w:t>
      </w:r>
      <w:r>
        <w:rPr>
          <w:rFonts w:cs="Calibri" w:asciiTheme="minorEastAsia" w:hAnsiTheme="minorEastAsia" w:eastAsiaTheme="minorEastAsia"/>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5.2 开标程序</w:t>
      </w:r>
      <w:bookmarkEnd w:id="69"/>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主持人按下列程序进行开标：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（1）宣布开标纪律；</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（3）宣布开标人、唱标人、记录人、监标人等有关人员姓名；</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（4）按照投标人须知前附表规定检查投标文件的密封情况；</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（5）按照投标人须知前附表的规定确定并宣布投标文件开标顺序；</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w:t>
      </w:r>
      <w:r>
        <w:rPr>
          <w:rFonts w:cs="Calibri" w:asciiTheme="minorEastAsia" w:hAnsiTheme="minorEastAsia" w:eastAsiaTheme="minorEastAsia"/>
          <w:color w:val="000000"/>
          <w:sz w:val="22"/>
        </w:rPr>
        <w:t>按照宣布的开标顺序当众开标，公布投标人名称、投标保证金的递交情况、投标报价、</w:t>
      </w:r>
      <w:r>
        <w:rPr>
          <w:rFonts w:hint="eastAsia" w:cs="Calibri" w:asciiTheme="minorEastAsia" w:hAnsiTheme="minorEastAsia" w:eastAsiaTheme="minorEastAsia"/>
          <w:color w:val="000000"/>
          <w:sz w:val="22"/>
        </w:rPr>
        <w:t>服务期</w:t>
      </w:r>
      <w:r>
        <w:rPr>
          <w:rFonts w:cs="Calibri" w:asciiTheme="minorEastAsia" w:hAnsiTheme="minorEastAsia" w:eastAsiaTheme="minorEastAsia"/>
          <w:color w:val="000000"/>
          <w:sz w:val="22"/>
        </w:rPr>
        <w:t>及其他内容，并记录在案；</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（7）投标人代表、招标人代表、监标人、记录人等有关人员在开标记录上签字确认；</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（8）开标结束。</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0" w:name="_Toc31578"/>
      <w:r>
        <w:rPr>
          <w:rFonts w:cs="Calibri" w:asciiTheme="minorEastAsia" w:hAnsiTheme="minorEastAsia" w:eastAsiaTheme="minorEastAsia"/>
          <w:b/>
          <w:bCs/>
          <w:kern w:val="0"/>
          <w:sz w:val="22"/>
        </w:rPr>
        <w:t>6.评标</w:t>
      </w:r>
      <w:bookmarkEnd w:id="70"/>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1" w:name="_Toc10279"/>
      <w:r>
        <w:rPr>
          <w:rFonts w:cs="Calibri" w:asciiTheme="minorEastAsia" w:hAnsiTheme="minorEastAsia" w:eastAsiaTheme="minorEastAsia"/>
          <w:b/>
          <w:bCs/>
          <w:kern w:val="0"/>
          <w:sz w:val="22"/>
        </w:rPr>
        <w:t>6.1 评标委员会</w:t>
      </w:r>
      <w:bookmarkEnd w:id="71"/>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6.1.1</w:t>
      </w:r>
      <w:r>
        <w:rPr>
          <w:rFonts w:cs="Calibri" w:asciiTheme="minorEastAsia" w:hAnsiTheme="minorEastAsia" w:eastAsiaTheme="minorEastAsia"/>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6.1.2评标委员会成员有下列情形之一的，应当回避：</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（1）招标人或投标人的主要负责人的近亲属；</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（2）项目主管部门或者行政监督部门的人员；</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（3）与投标人有经济利益关系，可能影响对投标公正评审的；</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2" w:name="_Toc3460"/>
      <w:r>
        <w:rPr>
          <w:rFonts w:cs="Calibri" w:asciiTheme="minorEastAsia" w:hAnsiTheme="minorEastAsia" w:eastAsiaTheme="minorEastAsia"/>
          <w:b/>
          <w:bCs/>
          <w:kern w:val="0"/>
          <w:sz w:val="22"/>
        </w:rPr>
        <w:t>6.2 评标原则</w:t>
      </w:r>
      <w:bookmarkEnd w:id="72"/>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评标活动遵循公平、公正、科学和择优的原则。</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3" w:name="_Toc28178"/>
      <w:r>
        <w:rPr>
          <w:rFonts w:cs="Calibri" w:asciiTheme="minorEastAsia" w:hAnsiTheme="minorEastAsia" w:eastAsiaTheme="minorEastAsia"/>
          <w:b/>
          <w:bCs/>
          <w:kern w:val="0"/>
          <w:sz w:val="22"/>
        </w:rPr>
        <w:t>6.3 评标</w:t>
      </w:r>
      <w:bookmarkEnd w:id="73"/>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评标委员会按照第</w:t>
      </w:r>
      <w:r>
        <w:rPr>
          <w:rFonts w:hint="eastAsia" w:cs="Calibri" w:asciiTheme="minorEastAsia" w:hAnsiTheme="minorEastAsia" w:eastAsiaTheme="minorEastAsia"/>
          <w:color w:val="000000"/>
          <w:kern w:val="0"/>
          <w:sz w:val="22"/>
        </w:rPr>
        <w:t>五</w:t>
      </w:r>
      <w:r>
        <w:rPr>
          <w:rFonts w:cs="Calibri" w:asciiTheme="minorEastAsia" w:hAnsiTheme="minorEastAsia" w:eastAsiaTheme="minorEastAsia"/>
          <w:color w:val="000000"/>
          <w:kern w:val="0"/>
          <w:sz w:val="22"/>
        </w:rPr>
        <w:t>章“评标方法及标准”对投标文件进行评审。第</w:t>
      </w:r>
      <w:r>
        <w:rPr>
          <w:rFonts w:hint="eastAsia" w:cs="Calibri" w:asciiTheme="minorEastAsia" w:hAnsiTheme="minorEastAsia" w:eastAsiaTheme="minorEastAsia"/>
          <w:color w:val="000000"/>
          <w:kern w:val="0"/>
          <w:sz w:val="22"/>
        </w:rPr>
        <w:t>五</w:t>
      </w:r>
      <w:r>
        <w:rPr>
          <w:rFonts w:cs="Calibri" w:asciiTheme="minorEastAsia" w:hAnsiTheme="minorEastAsia" w:eastAsiaTheme="minorEastAsia"/>
          <w:color w:val="000000"/>
          <w:kern w:val="0"/>
          <w:sz w:val="22"/>
        </w:rPr>
        <w:t>章“评标方法及标准”没有规定的方法、评审因素和标准，不作为评标依据。</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4" w:name="_Toc24237"/>
      <w:r>
        <w:rPr>
          <w:rFonts w:cs="Calibri" w:asciiTheme="minorEastAsia" w:hAnsiTheme="minorEastAsia" w:eastAsiaTheme="minorEastAsia"/>
          <w:b/>
          <w:bCs/>
          <w:kern w:val="0"/>
          <w:sz w:val="22"/>
        </w:rPr>
        <w:t>7.合同授予</w:t>
      </w:r>
      <w:bookmarkEnd w:id="74"/>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5" w:name="_Toc18809"/>
      <w:r>
        <w:rPr>
          <w:rFonts w:cs="Calibri" w:asciiTheme="minorEastAsia" w:hAnsiTheme="minorEastAsia" w:eastAsiaTheme="minorEastAsia"/>
          <w:b/>
          <w:bCs/>
          <w:kern w:val="0"/>
          <w:sz w:val="22"/>
        </w:rPr>
        <w:t>7.1 定标方式</w:t>
      </w:r>
      <w:bookmarkEnd w:id="75"/>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6" w:name="_Toc14573"/>
      <w:r>
        <w:rPr>
          <w:rFonts w:cs="Calibri" w:asciiTheme="minorEastAsia" w:hAnsiTheme="minorEastAsia" w:eastAsiaTheme="minorEastAsia"/>
          <w:b/>
          <w:bCs/>
          <w:kern w:val="0"/>
          <w:sz w:val="22"/>
        </w:rPr>
        <w:t>7.2 中标通知</w:t>
      </w:r>
      <w:bookmarkEnd w:id="76"/>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7" w:name="_Toc27132"/>
      <w:bookmarkStart w:id="78" w:name="_Toc27581"/>
      <w:r>
        <w:rPr>
          <w:rFonts w:cs="Calibri" w:asciiTheme="minorEastAsia" w:hAnsiTheme="minorEastAsia" w:eastAsiaTheme="minorEastAsia"/>
          <w:b/>
          <w:bCs/>
          <w:kern w:val="0"/>
          <w:sz w:val="22"/>
        </w:rPr>
        <w:t>7.3 履约</w:t>
      </w:r>
      <w:r>
        <w:rPr>
          <w:rFonts w:hint="eastAsia" w:cs="Calibri" w:asciiTheme="minorEastAsia" w:hAnsiTheme="minorEastAsia" w:eastAsiaTheme="minorEastAsia"/>
          <w:b/>
          <w:bCs/>
          <w:kern w:val="0"/>
          <w:sz w:val="22"/>
        </w:rPr>
        <w:t>保证金</w:t>
      </w:r>
      <w:bookmarkEnd w:id="77"/>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kern w:val="0"/>
          <w:sz w:val="22"/>
        </w:rPr>
        <w:t>7.3.1在签订合同前，中标人应按投标人须知前附表规定的金额</w:t>
      </w:r>
      <w:r>
        <w:rPr>
          <w:rFonts w:hint="eastAsia" w:cs="Calibri" w:asciiTheme="minorEastAsia" w:hAnsiTheme="minorEastAsia" w:eastAsiaTheme="minorEastAsia"/>
          <w:kern w:val="0"/>
          <w:sz w:val="22"/>
        </w:rPr>
        <w:t>和</w:t>
      </w:r>
      <w:r>
        <w:rPr>
          <w:rFonts w:cs="Calibri" w:asciiTheme="minorEastAsia" w:hAnsiTheme="minorEastAsia" w:eastAsiaTheme="minorEastAsia"/>
          <w:kern w:val="0"/>
          <w:sz w:val="22"/>
        </w:rPr>
        <w:t>担保形式向招标人提交履约</w:t>
      </w:r>
      <w:r>
        <w:rPr>
          <w:rFonts w:hint="eastAsia" w:cs="Calibri" w:asciiTheme="minorEastAsia" w:hAnsiTheme="minorEastAsia" w:eastAsiaTheme="minorEastAsia"/>
          <w:kern w:val="0"/>
          <w:sz w:val="22"/>
        </w:rPr>
        <w:t>保证金</w:t>
      </w:r>
      <w:r>
        <w:rPr>
          <w:rFonts w:cs="Calibri" w:asciiTheme="minorEastAsia" w:hAnsiTheme="minorEastAsia" w:eastAsiaTheme="minorEastAsia"/>
          <w:kern w:val="0"/>
          <w:sz w:val="22"/>
        </w:rPr>
        <w:t>。</w:t>
      </w:r>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kern w:val="0"/>
          <w:sz w:val="22"/>
        </w:rPr>
        <w:t>7.3.2 中标人不能按本章第7.3.1项要求提交履约</w:t>
      </w:r>
      <w:r>
        <w:rPr>
          <w:rFonts w:hint="eastAsia" w:cs="Calibri" w:asciiTheme="minorEastAsia" w:hAnsiTheme="minorEastAsia" w:eastAsiaTheme="minorEastAsia"/>
          <w:kern w:val="0"/>
          <w:sz w:val="22"/>
        </w:rPr>
        <w:t>保证金</w:t>
      </w:r>
      <w:r>
        <w:rPr>
          <w:rFonts w:cs="Calibri" w:asciiTheme="minorEastAsia" w:hAnsiTheme="minorEastAsia" w:eastAsiaTheme="minorEastAsia"/>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7.4 签订合同</w:t>
      </w:r>
      <w:bookmarkEnd w:id="7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7</w:t>
      </w:r>
      <w:bookmarkStart w:id="79" w:name="_Toc11806"/>
      <w:bookmarkStart w:id="80" w:name="_Toc219809801"/>
      <w:bookmarkStart w:id="81" w:name="_Toc220123241"/>
      <w:r>
        <w:rPr>
          <w:rFonts w:cs="Calibri" w:asciiTheme="minorEastAsia" w:hAnsiTheme="minorEastAsia" w:eastAsiaTheme="minorEastAsia"/>
          <w:color w:val="000000"/>
          <w:kern w:val="0"/>
          <w:sz w:val="22"/>
        </w:rPr>
        <w:t>.4.1招标人和中标人应当自中标通知书发出之日起30个工作日内订立书面合同（合同条款按第</w:t>
      </w:r>
      <w:r>
        <w:rPr>
          <w:rFonts w:hint="eastAsia" w:cs="Calibri" w:asciiTheme="minorEastAsia" w:hAnsiTheme="minorEastAsia" w:eastAsiaTheme="minorEastAsia"/>
          <w:color w:val="000000"/>
          <w:kern w:val="0"/>
          <w:sz w:val="22"/>
        </w:rPr>
        <w:t>四</w:t>
      </w:r>
      <w:r>
        <w:rPr>
          <w:rFonts w:cs="Calibri" w:asciiTheme="minorEastAsia" w:hAnsiTheme="minorEastAsia" w:eastAsiaTheme="minorEastAsia"/>
          <w:color w:val="000000"/>
          <w:kern w:val="0"/>
          <w:sz w:val="22"/>
        </w:rPr>
        <w:t>章</w:t>
      </w:r>
      <w:r>
        <w:rPr>
          <w:rFonts w:hint="eastAsia" w:cs="Calibri" w:asciiTheme="minorEastAsia" w:hAnsiTheme="minorEastAsia" w:eastAsiaTheme="minorEastAsia"/>
          <w:kern w:val="0"/>
          <w:sz w:val="22"/>
        </w:rPr>
        <w:t>“</w:t>
      </w:r>
      <w:r>
        <w:rPr>
          <w:rFonts w:cs="Calibri" w:asciiTheme="minorEastAsia" w:hAnsiTheme="minorEastAsia" w:eastAsiaTheme="minorEastAsia"/>
          <w:kern w:val="0"/>
          <w:sz w:val="22"/>
        </w:rPr>
        <w:t>合同条款</w:t>
      </w:r>
      <w:r>
        <w:rPr>
          <w:rFonts w:hint="eastAsia" w:cs="Calibri" w:asciiTheme="minorEastAsia" w:hAnsiTheme="minorEastAsia" w:eastAsiaTheme="minorEastAsia"/>
          <w:kern w:val="0"/>
          <w:sz w:val="22"/>
        </w:rPr>
        <w:t>”</w:t>
      </w:r>
      <w:r>
        <w:rPr>
          <w:rFonts w:cs="Calibri" w:asciiTheme="minorEastAsia" w:hAnsiTheme="minorEastAsia" w:eastAsiaTheme="minorEastAsia"/>
          <w:color w:val="000000"/>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eastAsiaTheme="minorEastAsia"/>
          <w:b/>
          <w:color w:val="000000"/>
          <w:kern w:val="0"/>
          <w:sz w:val="22"/>
          <w:highlight w:val="yellow"/>
        </w:rPr>
      </w:pPr>
      <w:r>
        <w:rPr>
          <w:rFonts w:hint="eastAsia" w:cs="Calibri" w:asciiTheme="minorEastAsia" w:hAnsiTheme="minorEastAsia" w:eastAsiaTheme="minorEastAsia"/>
          <w:color w:val="000000"/>
          <w:kern w:val="0"/>
          <w:sz w:val="22"/>
          <w:highlight w:val="yellow"/>
        </w:rPr>
        <w:t xml:space="preserve">7.4.3 </w:t>
      </w:r>
      <w:r>
        <w:rPr>
          <w:rFonts w:hint="eastAsia" w:cs="Calibri" w:asciiTheme="minorEastAsia" w:hAnsiTheme="minorEastAsia" w:eastAsiaTheme="minorEastAsia"/>
          <w:b/>
          <w:color w:val="000000"/>
          <w:kern w:val="0"/>
          <w:sz w:val="22"/>
          <w:highlight w:val="yellow"/>
        </w:rPr>
        <w:t>招标人在授予合同有权对本项目的服务内容等予以增加或者减少，中标人不得提出异议，否则招标人有权取消其中标资格。</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hint="eastAsia" w:cs="Calibri" w:asciiTheme="minorEastAsia" w:hAnsiTheme="minorEastAsia" w:eastAsiaTheme="minorEastAsia"/>
          <w:color w:val="000000"/>
          <w:kern w:val="0"/>
          <w:sz w:val="22"/>
        </w:rPr>
        <w:t xml:space="preserve">7.4.4 </w:t>
      </w:r>
      <w:r>
        <w:rPr>
          <w:rFonts w:hint="eastAsia" w:cs="Calibri" w:asciiTheme="minorEastAsia" w:hAnsiTheme="minorEastAsia" w:eastAsia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8.重新招标和不再招标</w:t>
      </w:r>
      <w:bookmarkEnd w:id="79"/>
      <w:bookmarkEnd w:id="80"/>
      <w:bookmarkEnd w:id="81"/>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2" w:name="_Toc15553"/>
      <w:bookmarkStart w:id="83" w:name="_Toc220123242"/>
      <w:bookmarkStart w:id="84" w:name="_Toc219809802"/>
      <w:r>
        <w:rPr>
          <w:rFonts w:cs="Calibri" w:asciiTheme="minorEastAsia" w:hAnsiTheme="minorEastAsia" w:eastAsiaTheme="minorEastAsia"/>
          <w:b/>
          <w:bCs/>
          <w:kern w:val="0"/>
          <w:sz w:val="22"/>
        </w:rPr>
        <w:t>8.1 重新招标</w:t>
      </w:r>
      <w:bookmarkEnd w:id="82"/>
      <w:bookmarkEnd w:id="83"/>
      <w:bookmarkEnd w:id="84"/>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有下列情形之一的，招标人将重新招标；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（1）投标截止时间止，投标人少于3个的；</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hint="eastAsia" w:cs="Calibri" w:asciiTheme="minorEastAsia" w:hAnsiTheme="minorEastAsia" w:eastAsiaTheme="minorEastAsia"/>
          <w:color w:val="000000"/>
          <w:kern w:val="0"/>
          <w:sz w:val="22"/>
        </w:rPr>
        <w:t>（2）</w:t>
      </w:r>
      <w:r>
        <w:rPr>
          <w:rFonts w:hint="eastAsia" w:asciiTheme="minorEastAsia" w:hAnsiTheme="minorEastAsia" w:eastAsiaTheme="minorEastAsia"/>
          <w:b/>
          <w:bCs/>
          <w:sz w:val="22"/>
        </w:rPr>
        <w:t>所有投标人的报价均偏高，招标人无法接受的；</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）经评标委员会评审后否决所有投标的。</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5" w:name="_Toc18806"/>
      <w:bookmarkStart w:id="86" w:name="_Toc219809803"/>
      <w:bookmarkStart w:id="87" w:name="_Toc220123243"/>
      <w:r>
        <w:rPr>
          <w:rFonts w:cs="Calibri" w:asciiTheme="minorEastAsia" w:hAnsiTheme="minorEastAsia" w:eastAsiaTheme="minorEastAsia"/>
          <w:b/>
          <w:bCs/>
          <w:kern w:val="0"/>
          <w:sz w:val="22"/>
        </w:rPr>
        <w:t>8.2 不再招标</w:t>
      </w:r>
      <w:bookmarkEnd w:id="85"/>
      <w:bookmarkEnd w:id="86"/>
      <w:bookmarkEnd w:id="87"/>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重新招标后投标人仍少于3个或者所有投标被否决的，经批准后不再进行招标。</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8" w:name="_Toc2986"/>
      <w:bookmarkStart w:id="89" w:name="_Toc220123244"/>
      <w:bookmarkStart w:id="90" w:name="_Toc219809804"/>
      <w:bookmarkStart w:id="91" w:name="_Toc215941254"/>
      <w:r>
        <w:rPr>
          <w:rFonts w:cs="Calibri" w:asciiTheme="minorEastAsia" w:hAnsiTheme="minorEastAsia" w:eastAsiaTheme="minorEastAsia"/>
          <w:b/>
          <w:bCs/>
          <w:kern w:val="0"/>
          <w:sz w:val="22"/>
        </w:rPr>
        <w:t>9.纪律和监督</w:t>
      </w:r>
      <w:bookmarkEnd w:id="88"/>
      <w:bookmarkEnd w:id="89"/>
      <w:bookmarkEnd w:id="90"/>
      <w:bookmarkEnd w:id="91"/>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2" w:name="_Toc5509"/>
      <w:bookmarkStart w:id="93" w:name="_Toc220123245"/>
      <w:bookmarkStart w:id="94" w:name="_Toc219809805"/>
      <w:r>
        <w:rPr>
          <w:rFonts w:cs="Calibri" w:asciiTheme="minorEastAsia" w:hAnsiTheme="minorEastAsia" w:eastAsiaTheme="minorEastAsia"/>
          <w:b/>
          <w:bCs/>
          <w:kern w:val="0"/>
          <w:sz w:val="22"/>
        </w:rPr>
        <w:t>9.1 对招标人的纪律要求</w:t>
      </w:r>
      <w:bookmarkEnd w:id="92"/>
      <w:bookmarkEnd w:id="93"/>
      <w:bookmarkEnd w:id="94"/>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5" w:name="_Toc10820"/>
      <w:bookmarkStart w:id="96" w:name="_Toc220123246"/>
      <w:bookmarkStart w:id="97" w:name="_Toc219809806"/>
      <w:r>
        <w:rPr>
          <w:rFonts w:cs="Calibri" w:asciiTheme="minorEastAsia" w:hAnsiTheme="minorEastAsia" w:eastAsiaTheme="minorEastAsia"/>
          <w:b/>
          <w:bCs/>
          <w:kern w:val="0"/>
          <w:sz w:val="22"/>
        </w:rPr>
        <w:t>9.2 对投标人的纪律要求</w:t>
      </w:r>
      <w:bookmarkEnd w:id="95"/>
      <w:bookmarkEnd w:id="96"/>
      <w:bookmarkEnd w:id="97"/>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eastAsiaTheme="minorEastAsia"/>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8" w:name="_Toc219809807"/>
      <w:bookmarkStart w:id="99" w:name="_Toc10756"/>
      <w:bookmarkStart w:id="100" w:name="_Toc220123247"/>
      <w:r>
        <w:rPr>
          <w:rFonts w:cs="Calibri" w:asciiTheme="minorEastAsia" w:hAnsiTheme="minorEastAsia" w:eastAsiaTheme="minorEastAsia"/>
          <w:b/>
          <w:bCs/>
          <w:kern w:val="0"/>
          <w:sz w:val="22"/>
        </w:rPr>
        <w:t>9.3 对评标委员会成员的纪律要求</w:t>
      </w:r>
      <w:bookmarkEnd w:id="98"/>
      <w:bookmarkEnd w:id="99"/>
      <w:bookmarkEnd w:id="100"/>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eastAsiaTheme="minorEastAsia"/>
          <w:color w:val="000000"/>
          <w:sz w:val="22"/>
        </w:rPr>
        <w:t>五</w:t>
      </w:r>
      <w:r>
        <w:rPr>
          <w:rFonts w:cs="Calibri" w:asciiTheme="minorEastAsia" w:hAnsiTheme="minorEastAsia" w:eastAsiaTheme="minorEastAsia"/>
          <w:color w:val="000000"/>
          <w:sz w:val="22"/>
        </w:rPr>
        <w:t>章“评标办法及标准”没有规定的评审因素和标准进行评标。</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1" w:name="_Toc219809808"/>
      <w:bookmarkStart w:id="102" w:name="_Toc220123248"/>
      <w:bookmarkStart w:id="103" w:name="_Toc12792"/>
      <w:r>
        <w:rPr>
          <w:rFonts w:cs="Calibri" w:asciiTheme="minorEastAsia" w:hAnsiTheme="minorEastAsia" w:eastAsiaTheme="minorEastAsia"/>
          <w:b/>
          <w:bCs/>
          <w:kern w:val="0"/>
          <w:sz w:val="22"/>
        </w:rPr>
        <w:t>9.4 对评标活动有关的工作人员的纪律要求</w:t>
      </w:r>
      <w:bookmarkEnd w:id="101"/>
      <w:bookmarkEnd w:id="102"/>
      <w:bookmarkEnd w:id="103"/>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4" w:name="_Toc219809809"/>
      <w:bookmarkStart w:id="105" w:name="_Toc220123249"/>
      <w:bookmarkStart w:id="106" w:name="_Toc239"/>
      <w:r>
        <w:rPr>
          <w:rFonts w:cs="Calibri" w:asciiTheme="minorEastAsia" w:hAnsiTheme="minorEastAsia" w:eastAsiaTheme="minorEastAsia"/>
          <w:b/>
          <w:bCs/>
          <w:kern w:val="0"/>
          <w:sz w:val="22"/>
        </w:rPr>
        <w:t>9.5 投诉</w:t>
      </w:r>
      <w:bookmarkEnd w:id="104"/>
      <w:bookmarkEnd w:id="105"/>
      <w:bookmarkEnd w:id="10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7" w:name="_Toc10817"/>
      <w:r>
        <w:rPr>
          <w:rFonts w:cs="Calibri" w:asciiTheme="minorEastAsia" w:hAnsiTheme="minorEastAsia" w:eastAsiaTheme="minorEastAsia"/>
          <w:b/>
          <w:bCs/>
          <w:kern w:val="0"/>
          <w:sz w:val="22"/>
        </w:rPr>
        <w:t>10. 需要补充的其他内容</w:t>
      </w:r>
      <w:bookmarkEnd w:id="107"/>
    </w:p>
    <w:p>
      <w:pPr>
        <w:autoSpaceDE w:val="0"/>
        <w:autoSpaceDN w:val="0"/>
        <w:adjustRightInd w:val="0"/>
        <w:ind w:firstLine="440" w:firstLineChars="200"/>
        <w:jc w:val="left"/>
        <w:rPr>
          <w:rFonts w:asciiTheme="minorEastAsia" w:hAnsiTheme="minorEastAsia" w:eastAsiaTheme="minorEastAsia"/>
          <w:sz w:val="22"/>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cs="Calibri" w:asciiTheme="minorEastAsia" w:hAnsiTheme="minorEastAsia" w:eastAsiaTheme="minorEastAsia"/>
          <w:color w:val="000000"/>
          <w:sz w:val="22"/>
        </w:rPr>
        <w:t>需要补充的其他内容：见投标人须知前附表</w:t>
      </w:r>
    </w:p>
    <w:p>
      <w:pPr>
        <w:pStyle w:val="2"/>
        <w:spacing w:before="0" w:after="0" w:line="360" w:lineRule="auto"/>
        <w:jc w:val="center"/>
        <w:rPr>
          <w:rFonts w:ascii="Calibri" w:hAnsi="Calibri" w:eastAsia="黑体" w:cs="Calibri"/>
          <w:kern w:val="0"/>
          <w:sz w:val="32"/>
        </w:rPr>
      </w:pPr>
      <w:bookmarkStart w:id="108" w:name="_Toc223327527"/>
      <w:bookmarkStart w:id="109" w:name="_Toc213036227"/>
      <w:bookmarkStart w:id="110" w:name="_Toc448002985"/>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 xml:space="preserve">章  </w:t>
      </w:r>
      <w:bookmarkEnd w:id="108"/>
      <w:bookmarkEnd w:id="109"/>
      <w:r>
        <w:rPr>
          <w:rFonts w:hint="eastAsia" w:ascii="Calibri" w:hAnsi="Calibri" w:eastAsia="黑体" w:cs="Calibri"/>
          <w:kern w:val="0"/>
          <w:sz w:val="32"/>
        </w:rPr>
        <w:t>服务技术标准及要求</w:t>
      </w:r>
      <w:bookmarkEnd w:id="110"/>
    </w:p>
    <w:p>
      <w:pPr>
        <w:spacing w:line="480" w:lineRule="auto"/>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杭州萧山国际机场T1、T2、T3航站楼标识提升优化方案设计项目工作要求</w:t>
      </w:r>
    </w:p>
    <w:p>
      <w:pPr>
        <w:spacing w:line="480" w:lineRule="auto"/>
        <w:ind w:firstLine="424" w:firstLineChars="20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本次招标项目工作内容主要包括杭州萧山国际机场T1、T2、T3航站楼公共标识系统的改造升级方案并制订设计规范。</w:t>
      </w:r>
    </w:p>
    <w:p>
      <w:pPr>
        <w:spacing w:line="480" w:lineRule="auto"/>
        <w:rPr>
          <w:rFonts w:ascii="宋体" w:hAnsi="宋体" w:cs="宋体"/>
          <w:b/>
          <w:bCs/>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杭州萧山国际机场T1、T2、T3航站楼航站楼公共标识系统改造并</w:t>
      </w:r>
      <w:r>
        <w:rPr>
          <w:rFonts w:hint="eastAsia" w:ascii="宋体" w:hAnsi="宋体" w:cs="宋体"/>
          <w:b/>
          <w:bCs/>
          <w:color w:val="000000" w:themeColor="text1"/>
          <w:kern w:val="0"/>
          <w:szCs w:val="21"/>
          <w14:textFill>
            <w14:solidFill>
              <w14:schemeClr w14:val="tx1"/>
            </w14:solidFill>
          </w14:textFill>
        </w:rPr>
        <w:t>提档升级的设计内容：</w:t>
      </w:r>
    </w:p>
    <w:p>
      <w:pPr>
        <w:spacing w:line="480" w:lineRule="auto"/>
        <w:ind w:firstLine="424" w:firstLineChars="20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1.T1、T2、T3航站楼标识优化设计方案</w:t>
      </w:r>
    </w:p>
    <w:p>
      <w:pPr>
        <w:spacing w:line="480" w:lineRule="auto"/>
        <w:ind w:firstLine="424" w:firstLineChars="20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（1）现有、新增流程和功能标识布点、内容、材质、类型、安装方式等的踏勘原始文件；</w:t>
      </w:r>
    </w:p>
    <w:p>
      <w:pPr>
        <w:spacing w:line="480" w:lineRule="auto"/>
        <w:ind w:firstLine="424" w:firstLineChars="20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（2）在现有设计基础上，结合环境氛围，对T1、T2、T3标识系统上述组成元素（不仅限于）进行增补和完善优化设计；</w:t>
      </w:r>
    </w:p>
    <w:p>
      <w:pPr>
        <w:spacing w:line="480" w:lineRule="auto"/>
        <w:ind w:firstLine="424" w:firstLineChars="20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（3）改进T1、T2、T3现有标识系统现状，使T1、T2、T3标识系统更加简约、清晰、统一、规范，以满足旅客需求；</w:t>
      </w:r>
    </w:p>
    <w:p>
      <w:pPr>
        <w:spacing w:line="480" w:lineRule="auto"/>
        <w:ind w:firstLine="424" w:firstLineChars="20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（4）根据流程对标识整改方案及原标识结构进行整体规划，后根据整体规划，对T1、T2、T3航站楼标识进行逐一设计；</w:t>
      </w:r>
    </w:p>
    <w:p>
      <w:pPr>
        <w:spacing w:line="480" w:lineRule="auto"/>
        <w:ind w:firstLine="424" w:firstLineChars="20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对现有流程和功能标识进行整体优化设计，最后形成两套改进方案（可编辑PDF版本），第一套本着节约原则，在现有标牌建议变更时，尽量进行利用，采取更换灯箱、灯箱片或灯箱膜，增加照度等形式进行优化设计；第二套方案全部推翻原有设计，进行全新的整体设计，最终成果以通过甲方评审为准。</w:t>
      </w:r>
    </w:p>
    <w:p>
      <w:pPr>
        <w:spacing w:line="480" w:lineRule="auto"/>
        <w:ind w:firstLine="424" w:firstLineChars="20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（6）项目组成员全程参与项目各项工作，开展不少于5次的实地调研工作，接到中标通知书10日后提交工作计划。根据甲方安排，承担各阶段的项目成果汇报并根据甲方要求进行方案完善。</w:t>
      </w:r>
    </w:p>
    <w:p>
      <w:pPr>
        <w:spacing w:line="480" w:lineRule="auto"/>
        <w:ind w:firstLine="424" w:firstLineChars="20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2.规范性文件（标识视觉标准规范手册）</w:t>
      </w:r>
    </w:p>
    <w:p>
      <w:pPr>
        <w:spacing w:line="480" w:lineRule="auto"/>
        <w:ind w:firstLine="424" w:firstLineChars="20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（1）将改造升级后的标识系统规范编辑成标识视觉标准规范手册，手册布点、内容、材质、类型、安装方式等相关标识系统组成元素。</w:t>
      </w:r>
    </w:p>
    <w:p>
      <w:pPr>
        <w:spacing w:line="480" w:lineRule="auto"/>
        <w:ind w:firstLine="424" w:firstLineChars="20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（2）本套标识规范应充分考虑到后期新建航站楼标识的实用性及可延续性。</w:t>
      </w:r>
    </w:p>
    <w:p>
      <w:pPr>
        <w:widowControl/>
        <w:ind w:firstLine="420" w:firstLineChars="200"/>
        <w:jc w:val="left"/>
        <w:rPr>
          <w:rFonts w:eastAsia="黑体" w:cs="Calibri"/>
          <w:b/>
          <w:bCs/>
          <w:kern w:val="0"/>
          <w:sz w:val="32"/>
          <w:szCs w:val="44"/>
        </w:rPr>
      </w:pPr>
      <w:r>
        <w:rPr>
          <w:rFonts w:hint="eastAsia" w:ascii="宋体" w:hAnsi="宋体" w:cs="宋体"/>
          <w:color w:val="000000" w:themeColor="text1"/>
          <w:szCs w:val="21"/>
          <w14:textFill>
            <w14:solidFill>
              <w14:schemeClr w14:val="tx1"/>
            </w14:solidFill>
          </w14:textFill>
        </w:rPr>
        <w:t>3.后期配合标识制作厂家进行设计微调，并提供咨询及打样审核服务，为期5年。</w:t>
      </w:r>
    </w:p>
    <w:p>
      <w:pPr>
        <w:widowControl/>
        <w:jc w:val="left"/>
        <w:rPr>
          <w:rFonts w:eastAsia="黑体" w:cs="Calibri"/>
          <w:b/>
          <w:bCs/>
          <w:kern w:val="0"/>
          <w:sz w:val="32"/>
          <w:szCs w:val="44"/>
        </w:rPr>
      </w:pPr>
    </w:p>
    <w:p>
      <w:pPr>
        <w:widowControl/>
        <w:jc w:val="left"/>
        <w:rPr>
          <w:rFonts w:eastAsia="黑体" w:cs="Calibri"/>
          <w:b/>
          <w:bCs/>
          <w:kern w:val="0"/>
          <w:sz w:val="32"/>
          <w:szCs w:val="44"/>
        </w:rPr>
      </w:pPr>
    </w:p>
    <w:p>
      <w:pPr>
        <w:widowControl/>
        <w:jc w:val="left"/>
        <w:rPr>
          <w:rFonts w:eastAsia="黑体" w:cs="Calibri"/>
          <w:b/>
          <w:bCs/>
          <w:kern w:val="0"/>
          <w:sz w:val="32"/>
          <w:szCs w:val="44"/>
        </w:rPr>
      </w:pPr>
    </w:p>
    <w:p>
      <w:pPr>
        <w:pStyle w:val="2"/>
        <w:spacing w:before="0" w:after="0" w:line="360" w:lineRule="auto"/>
        <w:jc w:val="center"/>
        <w:rPr>
          <w:rFonts w:ascii="Calibri" w:hAnsi="Calibri" w:eastAsia="黑体" w:cs="Calibri"/>
          <w:kern w:val="0"/>
          <w:sz w:val="32"/>
        </w:rPr>
      </w:pPr>
      <w:bookmarkStart w:id="111" w:name="_Toc448002986"/>
      <w:r>
        <w:rPr>
          <w:rFonts w:hint="eastAsia" w:ascii="Calibri" w:hAnsi="Calibri" w:eastAsia="黑体" w:cs="Calibri"/>
          <w:kern w:val="0"/>
          <w:sz w:val="32"/>
        </w:rPr>
        <w:t xml:space="preserve">第四章  </w:t>
      </w:r>
      <w:r>
        <w:rPr>
          <w:rFonts w:ascii="Calibri" w:hAnsi="Calibri" w:eastAsia="黑体" w:cs="Calibri"/>
          <w:kern w:val="0"/>
          <w:sz w:val="32"/>
        </w:rPr>
        <w:t>合同条款</w:t>
      </w:r>
      <w:bookmarkEnd w:id="111"/>
    </w:p>
    <w:p>
      <w:pPr>
        <w:spacing w:line="560" w:lineRule="exact"/>
        <w:jc w:val="center"/>
        <w:rPr>
          <w:rFonts w:ascii="仿宋_GB2312" w:eastAsia="仿宋_GB2312"/>
          <w:sz w:val="28"/>
          <w:szCs w:val="28"/>
        </w:rPr>
      </w:pPr>
    </w:p>
    <w:p>
      <w:pPr>
        <w:spacing w:line="560" w:lineRule="exact"/>
        <w:jc w:val="center"/>
        <w:rPr>
          <w:rFonts w:ascii="仿宋_GB2312" w:eastAsia="仿宋_GB2312"/>
          <w:sz w:val="28"/>
          <w:szCs w:val="28"/>
        </w:rPr>
      </w:pPr>
    </w:p>
    <w:p>
      <w:pPr>
        <w:spacing w:line="560" w:lineRule="exact"/>
        <w:jc w:val="center"/>
        <w:rPr>
          <w:rFonts w:ascii="仿宋_GB2312" w:eastAsia="仿宋_GB2312"/>
          <w:sz w:val="28"/>
          <w:szCs w:val="28"/>
        </w:rPr>
      </w:pPr>
    </w:p>
    <w:p>
      <w:pPr>
        <w:spacing w:line="560" w:lineRule="exact"/>
        <w:jc w:val="center"/>
        <w:rPr>
          <w:rFonts w:ascii="仿宋_GB2312" w:eastAsia="仿宋_GB2312"/>
          <w:sz w:val="28"/>
          <w:szCs w:val="28"/>
        </w:rPr>
      </w:pPr>
    </w:p>
    <w:p>
      <w:pPr>
        <w:spacing w:line="560" w:lineRule="exact"/>
        <w:jc w:val="center"/>
        <w:rPr>
          <w:rFonts w:eastAsia="黑体" w:cs="Calibri"/>
          <w:b/>
          <w:bCs/>
          <w:kern w:val="0"/>
          <w:sz w:val="32"/>
          <w:szCs w:val="44"/>
        </w:rPr>
      </w:pPr>
      <w:r>
        <w:rPr>
          <w:rFonts w:hint="eastAsia" w:eastAsia="黑体" w:cs="Calibri"/>
          <w:b/>
          <w:bCs/>
          <w:kern w:val="0"/>
          <w:sz w:val="32"/>
          <w:szCs w:val="44"/>
        </w:rPr>
        <w:t>技术服务合同</w:t>
      </w:r>
    </w:p>
    <w:p>
      <w:pPr>
        <w:spacing w:line="560" w:lineRule="exact"/>
        <w:jc w:val="center"/>
        <w:rPr>
          <w:rFonts w:ascii="仿宋_GB2312" w:eastAsia="仿宋_GB2312"/>
          <w:sz w:val="28"/>
          <w:szCs w:val="28"/>
        </w:rPr>
      </w:pPr>
    </w:p>
    <w:p>
      <w:pPr>
        <w:spacing w:line="560" w:lineRule="exact"/>
        <w:jc w:val="center"/>
        <w:rPr>
          <w:rFonts w:ascii="仿宋_GB2312" w:eastAsia="仿宋_GB2312"/>
          <w:sz w:val="28"/>
          <w:szCs w:val="28"/>
        </w:rPr>
      </w:pPr>
    </w:p>
    <w:p>
      <w:pPr>
        <w:spacing w:line="560" w:lineRule="exact"/>
        <w:jc w:val="center"/>
        <w:rPr>
          <w:rFonts w:ascii="仿宋_GB2312" w:eastAsia="仿宋_GB2312"/>
          <w:sz w:val="28"/>
          <w:szCs w:val="28"/>
        </w:rPr>
      </w:pPr>
    </w:p>
    <w:p>
      <w:pPr>
        <w:spacing w:line="560" w:lineRule="exact"/>
        <w:rPr>
          <w:rFonts w:ascii="仿宋_GB2312" w:hAnsi="宋体" w:eastAsia="仿宋_GB2312"/>
          <w:sz w:val="28"/>
          <w:szCs w:val="28"/>
          <w:u w:val="single"/>
        </w:rPr>
      </w:pPr>
      <w:r>
        <w:rPr>
          <w:rFonts w:hint="eastAsia" w:ascii="仿宋_GB2312" w:eastAsia="仿宋_GB2312"/>
          <w:sz w:val="28"/>
          <w:szCs w:val="28"/>
        </w:rPr>
        <w:t xml:space="preserve">    </w:t>
      </w:r>
      <w:r>
        <w:rPr>
          <w:rFonts w:hint="eastAsia" w:ascii="仿宋_GB2312" w:hAnsi="宋体" w:eastAsia="仿宋_GB2312"/>
          <w:sz w:val="28"/>
          <w:szCs w:val="28"/>
        </w:rPr>
        <w:t xml:space="preserve">  项目名称：</w:t>
      </w:r>
      <w:r>
        <w:rPr>
          <w:rFonts w:hint="eastAsia" w:ascii="仿宋_GB2312" w:hAnsi="宋体" w:eastAsia="仿宋_GB2312"/>
          <w:sz w:val="28"/>
          <w:szCs w:val="28"/>
          <w:u w:val="single"/>
        </w:rPr>
        <w:t xml:space="preserve"> 杭州萧山国际机场T1、T2、T3航站楼标识提升优化方案设计项目</w:t>
      </w:r>
    </w:p>
    <w:p>
      <w:pPr>
        <w:spacing w:line="560" w:lineRule="exact"/>
        <w:rPr>
          <w:rFonts w:ascii="仿宋_GB2312" w:hAnsi="宋体" w:eastAsia="仿宋_GB2312"/>
          <w:sz w:val="28"/>
          <w:szCs w:val="28"/>
          <w:u w:val="single"/>
        </w:rPr>
      </w:pPr>
    </w:p>
    <w:p>
      <w:pPr>
        <w:spacing w:line="560" w:lineRule="exact"/>
        <w:rPr>
          <w:rFonts w:ascii="仿宋_GB2312" w:hAnsi="宋体" w:eastAsia="仿宋_GB2312"/>
          <w:sz w:val="28"/>
          <w:szCs w:val="28"/>
          <w:u w:val="single"/>
        </w:rPr>
      </w:pPr>
      <w:r>
        <w:rPr>
          <w:rFonts w:hint="eastAsia" w:ascii="仿宋_GB2312" w:hAnsi="宋体" w:eastAsia="仿宋_GB2312"/>
          <w:sz w:val="28"/>
          <w:szCs w:val="28"/>
        </w:rPr>
        <w:t xml:space="preserve">      委 托 方：</w:t>
      </w:r>
      <w:r>
        <w:rPr>
          <w:rFonts w:hint="eastAsia" w:ascii="仿宋_GB2312" w:hAnsi="宋体" w:eastAsia="仿宋_GB2312"/>
          <w:sz w:val="28"/>
          <w:szCs w:val="28"/>
          <w:u w:val="single"/>
        </w:rPr>
        <w:t xml:space="preserve"> 杭州萧山国际机场有限公司     </w:t>
      </w:r>
    </w:p>
    <w:p>
      <w:pPr>
        <w:spacing w:line="560" w:lineRule="exact"/>
        <w:rPr>
          <w:rFonts w:ascii="仿宋_GB2312" w:hAnsi="宋体" w:eastAsia="仿宋_GB2312"/>
          <w:sz w:val="28"/>
          <w:szCs w:val="28"/>
          <w:u w:val="single"/>
        </w:rPr>
      </w:pPr>
      <w:r>
        <w:rPr>
          <w:rFonts w:hint="eastAsia" w:ascii="仿宋_GB2312" w:hAnsi="宋体" w:eastAsia="仿宋_GB2312"/>
          <w:sz w:val="28"/>
          <w:szCs w:val="28"/>
        </w:rPr>
        <w:t xml:space="preserve">      （甲 方） </w:t>
      </w:r>
    </w:p>
    <w:p>
      <w:pPr>
        <w:spacing w:line="560" w:lineRule="exact"/>
        <w:rPr>
          <w:rFonts w:ascii="仿宋_GB2312" w:hAnsi="宋体" w:eastAsia="仿宋_GB2312"/>
          <w:sz w:val="28"/>
          <w:szCs w:val="28"/>
          <w:u w:val="single"/>
        </w:rPr>
      </w:pPr>
    </w:p>
    <w:p>
      <w:pPr>
        <w:spacing w:line="560" w:lineRule="exact"/>
        <w:rPr>
          <w:rFonts w:ascii="仿宋_GB2312" w:hAnsi="宋体" w:eastAsia="仿宋_GB2312"/>
          <w:sz w:val="28"/>
          <w:szCs w:val="28"/>
        </w:rPr>
      </w:pPr>
      <w:r>
        <w:rPr>
          <w:rFonts w:hint="eastAsia" w:ascii="仿宋_GB2312" w:hAnsi="宋体" w:eastAsia="仿宋_GB2312"/>
          <w:sz w:val="28"/>
          <w:szCs w:val="28"/>
        </w:rPr>
        <w:t xml:space="preserve">      受 托 方： </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w:t>
      </w:r>
    </w:p>
    <w:p>
      <w:pPr>
        <w:spacing w:line="560" w:lineRule="exact"/>
        <w:rPr>
          <w:rFonts w:ascii="仿宋_GB2312" w:hAnsi="宋体" w:eastAsia="仿宋_GB2312"/>
          <w:sz w:val="28"/>
          <w:szCs w:val="28"/>
          <w:u w:val="single"/>
        </w:rPr>
      </w:pPr>
      <w:r>
        <w:rPr>
          <w:rFonts w:hint="eastAsia" w:ascii="仿宋_GB2312" w:hAnsi="宋体" w:eastAsia="仿宋_GB2312"/>
          <w:sz w:val="28"/>
          <w:szCs w:val="28"/>
        </w:rPr>
        <w:t xml:space="preserve">      （乙 方） </w:t>
      </w:r>
    </w:p>
    <w:p>
      <w:pPr>
        <w:spacing w:line="560" w:lineRule="exact"/>
        <w:rPr>
          <w:rFonts w:ascii="仿宋_GB2312" w:hAnsi="宋体" w:eastAsia="仿宋_GB2312"/>
          <w:sz w:val="28"/>
          <w:szCs w:val="28"/>
          <w:u w:val="single"/>
        </w:rPr>
      </w:pPr>
      <w:r>
        <w:rPr>
          <w:rFonts w:hint="eastAsia" w:ascii="仿宋_GB2312" w:hAnsi="宋体" w:eastAsia="仿宋_GB2312"/>
          <w:sz w:val="28"/>
          <w:szCs w:val="28"/>
        </w:rPr>
        <w:t xml:space="preserve">      签订时间：</w:t>
      </w:r>
      <w:r>
        <w:rPr>
          <w:rFonts w:hint="eastAsia" w:ascii="仿宋_GB2312" w:hAnsi="宋体" w:eastAsia="仿宋_GB2312"/>
          <w:sz w:val="28"/>
          <w:szCs w:val="28"/>
          <w:u w:val="single"/>
        </w:rPr>
        <w:t xml:space="preserve">                         </w:t>
      </w:r>
    </w:p>
    <w:p>
      <w:pPr>
        <w:spacing w:line="560" w:lineRule="exact"/>
        <w:rPr>
          <w:rFonts w:ascii="仿宋_GB2312" w:hAnsi="宋体" w:eastAsia="仿宋_GB2312"/>
          <w:sz w:val="28"/>
          <w:szCs w:val="28"/>
        </w:rPr>
      </w:pPr>
      <w:r>
        <w:rPr>
          <w:rFonts w:hint="eastAsia" w:ascii="仿宋_GB2312" w:hAnsi="宋体" w:eastAsia="仿宋_GB2312"/>
          <w:sz w:val="28"/>
          <w:szCs w:val="28"/>
        </w:rPr>
        <w:t xml:space="preserve">      签订地点：</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w:t>
      </w:r>
    </w:p>
    <w:p>
      <w:pPr>
        <w:spacing w:line="560" w:lineRule="exact"/>
        <w:rPr>
          <w:rFonts w:ascii="仿宋_GB2312" w:hAnsi="宋体" w:eastAsia="仿宋_GB2312"/>
          <w:sz w:val="28"/>
          <w:szCs w:val="28"/>
          <w:u w:val="single"/>
        </w:rPr>
      </w:pPr>
      <w:r>
        <w:rPr>
          <w:rFonts w:hint="eastAsia" w:ascii="仿宋_GB2312" w:hAnsi="宋体" w:eastAsia="仿宋_GB2312"/>
          <w:sz w:val="28"/>
          <w:szCs w:val="28"/>
        </w:rPr>
        <w:t xml:space="preserve">      有效期限：</w:t>
      </w:r>
      <w:r>
        <w:rPr>
          <w:rFonts w:hint="eastAsia" w:ascii="仿宋_GB2312" w:hAnsi="宋体" w:eastAsia="仿宋_GB2312"/>
          <w:sz w:val="28"/>
          <w:szCs w:val="28"/>
          <w:u w:val="single"/>
        </w:rPr>
        <w:t xml:space="preserve">                         </w:t>
      </w:r>
    </w:p>
    <w:p>
      <w:pPr>
        <w:spacing w:line="560" w:lineRule="exact"/>
        <w:rPr>
          <w:rFonts w:ascii="仿宋_GB2312" w:hAnsi="宋体" w:eastAsia="仿宋_GB2312"/>
          <w:sz w:val="28"/>
          <w:szCs w:val="28"/>
        </w:rPr>
      </w:pPr>
    </w:p>
    <w:p>
      <w:pPr>
        <w:spacing w:line="560" w:lineRule="exact"/>
        <w:rPr>
          <w:rFonts w:ascii="仿宋_GB2312" w:hAnsi="宋体"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jc w:val="center"/>
        <w:rPr>
          <w:rFonts w:ascii="仿宋_GB2312" w:eastAsia="仿宋_GB2312"/>
          <w:sz w:val="28"/>
          <w:szCs w:val="28"/>
        </w:rPr>
      </w:pPr>
      <w:r>
        <w:rPr>
          <w:rFonts w:hint="eastAsia" w:ascii="仿宋_GB2312" w:eastAsia="仿宋_GB2312"/>
          <w:sz w:val="28"/>
          <w:szCs w:val="28"/>
        </w:rPr>
        <w:t>技术服务合同</w:t>
      </w:r>
    </w:p>
    <w:p>
      <w:pPr>
        <w:spacing w:line="560" w:lineRule="exact"/>
        <w:jc w:val="center"/>
        <w:rPr>
          <w:rFonts w:ascii="仿宋_GB2312" w:eastAsia="仿宋_GB2312"/>
          <w:sz w:val="28"/>
          <w:szCs w:val="28"/>
        </w:rPr>
      </w:pPr>
    </w:p>
    <w:p>
      <w:pPr>
        <w:spacing w:line="560" w:lineRule="exact"/>
        <w:ind w:left="1"/>
        <w:rPr>
          <w:rFonts w:ascii="仿宋_GB2312" w:eastAsia="仿宋_GB2312"/>
          <w:sz w:val="28"/>
          <w:szCs w:val="28"/>
          <w:u w:val="single"/>
        </w:rPr>
      </w:pPr>
      <w:r>
        <w:rPr>
          <w:rFonts w:hint="eastAsia" w:ascii="仿宋_GB2312" w:eastAsia="仿宋_GB2312"/>
          <w:sz w:val="28"/>
          <w:szCs w:val="28"/>
        </w:rPr>
        <w:tab/>
      </w:r>
      <w:r>
        <w:rPr>
          <w:rFonts w:hint="eastAsia" w:ascii="仿宋_GB2312" w:eastAsia="仿宋_GB2312"/>
          <w:sz w:val="28"/>
          <w:szCs w:val="28"/>
        </w:rPr>
        <w:t>委托方（甲方）：</w:t>
      </w:r>
      <w:r>
        <w:rPr>
          <w:rFonts w:hint="eastAsia" w:ascii="仿宋_GB2312" w:eastAsia="仿宋_GB2312"/>
          <w:sz w:val="28"/>
          <w:szCs w:val="28"/>
          <w:u w:val="single"/>
        </w:rPr>
        <w:t xml:space="preserve">  杭州萧山国际机场有限公司          </w:t>
      </w:r>
    </w:p>
    <w:p>
      <w:pPr>
        <w:spacing w:line="560" w:lineRule="exact"/>
        <w:rPr>
          <w:rFonts w:ascii="仿宋_GB2312" w:eastAsia="仿宋_GB2312"/>
          <w:sz w:val="28"/>
          <w:szCs w:val="28"/>
          <w:u w:val="single"/>
        </w:rPr>
      </w:pPr>
      <w:r>
        <w:rPr>
          <w:rFonts w:hint="eastAsia" w:ascii="仿宋_GB2312" w:eastAsia="仿宋_GB2312"/>
          <w:sz w:val="28"/>
          <w:szCs w:val="28"/>
        </w:rPr>
        <w:tab/>
      </w:r>
      <w:r>
        <w:rPr>
          <w:rFonts w:hint="eastAsia" w:ascii="仿宋_GB2312" w:eastAsia="仿宋_GB2312"/>
          <w:sz w:val="28"/>
          <w:szCs w:val="28"/>
        </w:rPr>
        <w:t>住  所  地：</w:t>
      </w:r>
      <w:r>
        <w:rPr>
          <w:rFonts w:hint="eastAsia" w:ascii="仿宋_GB2312" w:eastAsia="仿宋_GB2312"/>
          <w:sz w:val="28"/>
          <w:szCs w:val="28"/>
          <w:u w:val="single"/>
        </w:rPr>
        <w:t xml:space="preserve">     杭州萧山国际机场内                 </w:t>
      </w:r>
    </w:p>
    <w:p>
      <w:pPr>
        <w:spacing w:line="560" w:lineRule="exact"/>
        <w:rPr>
          <w:rFonts w:ascii="仿宋_GB2312" w:eastAsia="仿宋_GB2312"/>
          <w:sz w:val="28"/>
          <w:szCs w:val="28"/>
          <w:u w:val="single"/>
        </w:rPr>
      </w:pPr>
      <w:r>
        <w:rPr>
          <w:rFonts w:hint="eastAsia" w:ascii="仿宋_GB2312" w:eastAsia="仿宋_GB2312"/>
          <w:sz w:val="28"/>
          <w:szCs w:val="28"/>
        </w:rPr>
        <w:tab/>
      </w:r>
      <w:r>
        <w:rPr>
          <w:rFonts w:hint="eastAsia" w:ascii="仿宋_GB2312" w:eastAsia="仿宋_GB2312"/>
          <w:sz w:val="28"/>
          <w:szCs w:val="28"/>
        </w:rPr>
        <w:t>法定代表人：</w:t>
      </w:r>
      <w:r>
        <w:rPr>
          <w:rFonts w:hint="eastAsia" w:ascii="仿宋_GB2312" w:eastAsia="仿宋_GB2312"/>
          <w:sz w:val="28"/>
          <w:szCs w:val="28"/>
          <w:u w:val="single"/>
        </w:rPr>
        <w:t xml:space="preserve">                                     __</w:t>
      </w:r>
    </w:p>
    <w:p>
      <w:pPr>
        <w:tabs>
          <w:tab w:val="left" w:pos="1050"/>
        </w:tabs>
        <w:spacing w:line="560" w:lineRule="exact"/>
        <w:rPr>
          <w:rFonts w:ascii="仿宋_GB2312" w:eastAsia="仿宋_GB2312"/>
          <w:sz w:val="28"/>
          <w:szCs w:val="28"/>
          <w:u w:val="single"/>
        </w:rPr>
      </w:pPr>
      <w:r>
        <w:rPr>
          <w:rFonts w:hint="eastAsia" w:ascii="仿宋_GB2312" w:eastAsia="仿宋_GB2312"/>
          <w:sz w:val="28"/>
          <w:szCs w:val="28"/>
        </w:rPr>
        <w:t xml:space="preserve">   项目联系人：</w:t>
      </w:r>
      <w:r>
        <w:rPr>
          <w:rFonts w:hint="eastAsia" w:ascii="仿宋_GB2312" w:eastAsia="仿宋_GB2312"/>
          <w:sz w:val="28"/>
          <w:szCs w:val="28"/>
          <w:u w:val="single"/>
        </w:rPr>
        <w:t xml:space="preserve">                                     __</w:t>
      </w:r>
    </w:p>
    <w:p>
      <w:pPr>
        <w:spacing w:line="560" w:lineRule="exact"/>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联系方式 ：________________________________________</w:t>
      </w:r>
    </w:p>
    <w:p>
      <w:pPr>
        <w:tabs>
          <w:tab w:val="left" w:pos="8100"/>
        </w:tabs>
        <w:spacing w:line="560" w:lineRule="exact"/>
        <w:rPr>
          <w:rFonts w:ascii="仿宋_GB2312" w:eastAsia="仿宋_GB2312"/>
          <w:sz w:val="28"/>
          <w:szCs w:val="28"/>
          <w:u w:val="single"/>
        </w:rPr>
      </w:pPr>
      <w:r>
        <w:rPr>
          <w:rFonts w:hint="eastAsia" w:ascii="仿宋_GB2312" w:eastAsia="仿宋_GB2312"/>
          <w:sz w:val="28"/>
          <w:szCs w:val="28"/>
        </w:rPr>
        <w:t xml:space="preserve">   通讯地址：</w:t>
      </w:r>
      <w:r>
        <w:rPr>
          <w:rFonts w:hint="eastAsia" w:ascii="仿宋_GB2312" w:eastAsia="仿宋_GB2312"/>
          <w:sz w:val="28"/>
          <w:szCs w:val="28"/>
          <w:u w:val="single"/>
        </w:rPr>
        <w:t xml:space="preserve">                                    _____</w:t>
      </w:r>
    </w:p>
    <w:p>
      <w:pPr>
        <w:spacing w:line="560" w:lineRule="exact"/>
        <w:rPr>
          <w:rFonts w:ascii="仿宋_GB2312" w:eastAsia="仿宋_GB2312"/>
          <w:sz w:val="28"/>
          <w:szCs w:val="28"/>
          <w:u w:val="single"/>
        </w:rPr>
      </w:pPr>
      <w:r>
        <w:rPr>
          <w:rFonts w:hint="eastAsia" w:ascii="仿宋_GB2312" w:eastAsia="仿宋_GB2312"/>
          <w:sz w:val="28"/>
          <w:szCs w:val="28"/>
        </w:rPr>
        <w:t xml:space="preserve">   电    话：</w:t>
      </w:r>
      <w:r>
        <w:rPr>
          <w:rFonts w:hint="eastAsia" w:ascii="仿宋_GB2312" w:eastAsia="仿宋_GB2312"/>
          <w:sz w:val="28"/>
          <w:szCs w:val="28"/>
          <w:u w:val="single"/>
        </w:rPr>
        <w:t xml:space="preserve">                    </w:t>
      </w:r>
      <w:r>
        <w:rPr>
          <w:rFonts w:hint="eastAsia" w:ascii="仿宋_GB2312" w:eastAsia="仿宋_GB2312"/>
          <w:sz w:val="28"/>
          <w:szCs w:val="28"/>
        </w:rPr>
        <w:t xml:space="preserve"> 传真：</w:t>
      </w:r>
      <w:r>
        <w:rPr>
          <w:rFonts w:hint="eastAsia" w:ascii="仿宋_GB2312" w:eastAsia="仿宋_GB2312"/>
          <w:sz w:val="28"/>
          <w:szCs w:val="28"/>
          <w:u w:val="single"/>
        </w:rPr>
        <w:t xml:space="preserve">             _</w:t>
      </w:r>
    </w:p>
    <w:p>
      <w:pPr>
        <w:spacing w:line="560" w:lineRule="exact"/>
        <w:rPr>
          <w:rFonts w:ascii="仿宋_GB2312" w:eastAsia="仿宋_GB2312"/>
          <w:sz w:val="28"/>
          <w:szCs w:val="28"/>
        </w:rPr>
      </w:pPr>
      <w:r>
        <w:rPr>
          <w:rFonts w:hint="eastAsia" w:ascii="仿宋_GB2312" w:eastAsia="仿宋_GB2312"/>
          <w:sz w:val="28"/>
          <w:szCs w:val="28"/>
        </w:rPr>
        <w:t xml:space="preserve">   电子信箱：</w:t>
      </w:r>
      <w:r>
        <w:rPr>
          <w:rFonts w:hint="eastAsia" w:ascii="仿宋_GB2312" w:eastAsia="仿宋_GB2312"/>
          <w:sz w:val="28"/>
          <w:szCs w:val="28"/>
          <w:u w:val="single"/>
        </w:rPr>
        <w:t xml:space="preserve">                                  _____  </w:t>
      </w:r>
      <w:r>
        <w:rPr>
          <w:rFonts w:hint="eastAsia" w:ascii="仿宋_GB2312" w:eastAsia="仿宋_GB2312"/>
          <w:sz w:val="28"/>
          <w:szCs w:val="28"/>
        </w:rPr>
        <w:t xml:space="preserve">  </w:t>
      </w:r>
    </w:p>
    <w:p>
      <w:pPr>
        <w:spacing w:line="560" w:lineRule="exact"/>
        <w:rPr>
          <w:rFonts w:ascii="仿宋_GB2312" w:eastAsia="仿宋_GB2312"/>
          <w:sz w:val="28"/>
          <w:szCs w:val="28"/>
          <w:u w:val="single"/>
        </w:rPr>
      </w:pPr>
      <w:r>
        <w:rPr>
          <w:rFonts w:hint="eastAsia" w:ascii="仿宋_GB2312" w:eastAsia="仿宋_GB2312"/>
          <w:sz w:val="28"/>
          <w:szCs w:val="28"/>
        </w:rPr>
        <w:t xml:space="preserve">   受托方（乙方）：</w:t>
      </w:r>
      <w:r>
        <w:rPr>
          <w:rFonts w:hint="eastAsia" w:ascii="仿宋_GB2312" w:eastAsia="仿宋_GB2312"/>
          <w:sz w:val="28"/>
          <w:szCs w:val="28"/>
          <w:u w:val="single"/>
        </w:rPr>
        <w:t xml:space="preserve">                                    </w:t>
      </w:r>
    </w:p>
    <w:p>
      <w:pPr>
        <w:spacing w:line="560" w:lineRule="exact"/>
        <w:rPr>
          <w:rFonts w:ascii="仿宋_GB2312" w:eastAsia="仿宋_GB2312"/>
          <w:sz w:val="28"/>
          <w:szCs w:val="28"/>
          <w:u w:val="single"/>
        </w:rPr>
      </w:pPr>
      <w:r>
        <w:rPr>
          <w:rFonts w:hint="eastAsia" w:ascii="仿宋_GB2312" w:eastAsia="仿宋_GB2312"/>
          <w:sz w:val="28"/>
          <w:szCs w:val="28"/>
        </w:rPr>
        <w:t xml:space="preserve">   住  所  地：</w:t>
      </w:r>
      <w:r>
        <w:rPr>
          <w:rFonts w:hint="eastAsia" w:ascii="仿宋_GB2312" w:eastAsia="仿宋_GB2312"/>
          <w:sz w:val="28"/>
          <w:szCs w:val="28"/>
          <w:u w:val="single"/>
        </w:rPr>
        <w:t xml:space="preserve">                                     _ </w:t>
      </w:r>
    </w:p>
    <w:p>
      <w:pPr>
        <w:spacing w:line="560" w:lineRule="exact"/>
        <w:rPr>
          <w:rFonts w:ascii="仿宋_GB2312" w:eastAsia="仿宋_GB2312"/>
          <w:sz w:val="28"/>
          <w:szCs w:val="28"/>
          <w:u w:val="single"/>
        </w:rPr>
      </w:pPr>
      <w:r>
        <w:rPr>
          <w:rFonts w:hint="eastAsia" w:ascii="仿宋_GB2312" w:eastAsia="仿宋_GB2312"/>
          <w:sz w:val="28"/>
          <w:szCs w:val="28"/>
        </w:rPr>
        <w:t xml:space="preserve">   法定代表人：</w:t>
      </w:r>
      <w:r>
        <w:rPr>
          <w:rFonts w:hint="eastAsia" w:ascii="仿宋_GB2312" w:eastAsia="仿宋_GB2312"/>
          <w:sz w:val="28"/>
          <w:szCs w:val="28"/>
          <w:u w:val="single"/>
        </w:rPr>
        <w:t xml:space="preserve">                                      _</w:t>
      </w:r>
    </w:p>
    <w:p>
      <w:pPr>
        <w:spacing w:line="560" w:lineRule="exact"/>
        <w:rPr>
          <w:rFonts w:ascii="仿宋_GB2312" w:eastAsia="仿宋_GB2312"/>
          <w:sz w:val="28"/>
          <w:szCs w:val="28"/>
          <w:u w:val="single"/>
        </w:rPr>
      </w:pPr>
      <w:r>
        <w:rPr>
          <w:rFonts w:hint="eastAsia" w:ascii="仿宋_GB2312" w:eastAsia="仿宋_GB2312"/>
          <w:sz w:val="28"/>
          <w:szCs w:val="28"/>
        </w:rPr>
        <w:t xml:space="preserve">   项目联系人：</w:t>
      </w:r>
      <w:r>
        <w:rPr>
          <w:rFonts w:hint="eastAsia" w:ascii="仿宋_GB2312" w:eastAsia="仿宋_GB2312"/>
          <w:sz w:val="28"/>
          <w:szCs w:val="28"/>
          <w:u w:val="single"/>
        </w:rPr>
        <w:t xml:space="preserve">                                      _</w:t>
      </w:r>
    </w:p>
    <w:p>
      <w:pPr>
        <w:spacing w:line="560" w:lineRule="exact"/>
        <w:rPr>
          <w:rFonts w:ascii="仿宋_GB2312" w:eastAsia="仿宋_GB2312"/>
          <w:sz w:val="28"/>
          <w:szCs w:val="28"/>
        </w:rPr>
      </w:pPr>
      <w:r>
        <w:rPr>
          <w:rFonts w:hint="eastAsia" w:ascii="仿宋_GB2312" w:eastAsia="仿宋_GB2312"/>
          <w:sz w:val="28"/>
          <w:szCs w:val="28"/>
        </w:rPr>
        <w:t xml:space="preserve">   联系方式 ：________________________________________</w:t>
      </w:r>
    </w:p>
    <w:p>
      <w:pPr>
        <w:tabs>
          <w:tab w:val="left" w:pos="8100"/>
        </w:tabs>
        <w:spacing w:line="560" w:lineRule="exact"/>
        <w:rPr>
          <w:rFonts w:ascii="仿宋_GB2312" w:eastAsia="仿宋_GB2312"/>
          <w:sz w:val="28"/>
          <w:szCs w:val="28"/>
          <w:u w:val="single"/>
        </w:rPr>
      </w:pPr>
      <w:r>
        <w:rPr>
          <w:rFonts w:hint="eastAsia" w:ascii="仿宋_GB2312" w:eastAsia="仿宋_GB2312"/>
          <w:sz w:val="28"/>
          <w:szCs w:val="28"/>
        </w:rPr>
        <w:t xml:space="preserve">   通讯地址：</w:t>
      </w:r>
      <w:r>
        <w:rPr>
          <w:rFonts w:hint="eastAsia" w:ascii="仿宋_GB2312" w:eastAsia="仿宋_GB2312"/>
          <w:sz w:val="28"/>
          <w:szCs w:val="28"/>
          <w:u w:val="single"/>
        </w:rPr>
        <w:t xml:space="preserve">                                     ____</w:t>
      </w:r>
    </w:p>
    <w:p>
      <w:pPr>
        <w:spacing w:line="560" w:lineRule="exact"/>
        <w:rPr>
          <w:rFonts w:ascii="仿宋_GB2312" w:eastAsia="仿宋_GB2312"/>
          <w:sz w:val="28"/>
          <w:szCs w:val="28"/>
          <w:u w:val="single"/>
        </w:rPr>
      </w:pPr>
      <w:r>
        <w:rPr>
          <w:rFonts w:hint="eastAsia" w:ascii="仿宋_GB2312" w:eastAsia="仿宋_GB2312"/>
          <w:sz w:val="28"/>
          <w:szCs w:val="28"/>
        </w:rPr>
        <w:t xml:space="preserve">   电    话：</w:t>
      </w:r>
      <w:r>
        <w:rPr>
          <w:rFonts w:hint="eastAsia" w:ascii="仿宋_GB2312" w:eastAsia="仿宋_GB2312"/>
          <w:sz w:val="28"/>
          <w:szCs w:val="28"/>
          <w:u w:val="single"/>
        </w:rPr>
        <w:t xml:space="preserve">                    </w:t>
      </w:r>
      <w:r>
        <w:rPr>
          <w:rFonts w:hint="eastAsia" w:ascii="仿宋_GB2312" w:eastAsia="仿宋_GB2312"/>
          <w:sz w:val="28"/>
          <w:szCs w:val="28"/>
        </w:rPr>
        <w:t xml:space="preserve"> 传真：</w:t>
      </w:r>
      <w:r>
        <w:rPr>
          <w:rFonts w:hint="eastAsia" w:ascii="仿宋_GB2312" w:eastAsia="仿宋_GB2312"/>
          <w:sz w:val="28"/>
          <w:szCs w:val="28"/>
          <w:u w:val="single"/>
        </w:rPr>
        <w:t xml:space="preserve">              </w:t>
      </w:r>
    </w:p>
    <w:p>
      <w:pPr>
        <w:spacing w:line="560" w:lineRule="exact"/>
        <w:ind w:left="-260"/>
        <w:rPr>
          <w:rFonts w:ascii="仿宋_GB2312" w:eastAsia="仿宋_GB2312"/>
          <w:sz w:val="28"/>
          <w:szCs w:val="28"/>
          <w:u w:val="single"/>
        </w:rPr>
      </w:pPr>
      <w:r>
        <w:rPr>
          <w:rFonts w:hint="eastAsia" w:ascii="仿宋_GB2312" w:eastAsia="仿宋_GB2312"/>
          <w:sz w:val="28"/>
          <w:szCs w:val="28"/>
        </w:rPr>
        <w:t xml:space="preserve">     电子信箱：</w:t>
      </w:r>
      <w:r>
        <w:rPr>
          <w:rFonts w:hint="eastAsia" w:ascii="仿宋_GB2312" w:eastAsia="仿宋_GB2312"/>
          <w:sz w:val="28"/>
          <w:szCs w:val="28"/>
          <w:u w:val="single"/>
        </w:rPr>
        <w:t xml:space="preserve">                                     </w:t>
      </w:r>
      <w:r>
        <w:rPr>
          <w:rFonts w:hint="eastAsia" w:ascii="仿宋_GB2312" w:eastAsia="仿宋_GB2312"/>
          <w:sz w:val="28"/>
          <w:szCs w:val="28"/>
          <w:u w:val="single"/>
        </w:rPr>
        <w:softHyphen/>
      </w:r>
      <w:r>
        <w:rPr>
          <w:rFonts w:hint="eastAsia" w:ascii="仿宋_GB2312" w:eastAsia="仿宋_GB2312"/>
          <w:sz w:val="28"/>
          <w:szCs w:val="28"/>
          <w:u w:val="single"/>
        </w:rPr>
        <w:t>______</w:t>
      </w:r>
      <w:r>
        <w:rPr>
          <w:rFonts w:hint="eastAsia" w:ascii="仿宋_GB2312" w:eastAsia="仿宋_GB2312"/>
          <w:sz w:val="28"/>
          <w:szCs w:val="28"/>
        </w:rPr>
        <w:t xml:space="preserve">  </w:t>
      </w:r>
    </w:p>
    <w:p>
      <w:pPr>
        <w:spacing w:line="560" w:lineRule="exact"/>
        <w:rPr>
          <w:rFonts w:ascii="仿宋_GB2312" w:eastAsia="仿宋_GB2312"/>
          <w:sz w:val="28"/>
          <w:szCs w:val="28"/>
        </w:rPr>
      </w:pPr>
      <w:r>
        <w:rPr>
          <w:rFonts w:hint="eastAsia" w:ascii="仿宋_GB2312" w:eastAsia="仿宋_GB2312"/>
          <w:sz w:val="28"/>
          <w:szCs w:val="28"/>
        </w:rPr>
        <w:t xml:space="preserve">    本合同甲方委托乙方就</w:t>
      </w:r>
      <w:r>
        <w:rPr>
          <w:rFonts w:hint="eastAsia" w:ascii="仿宋_GB2312" w:eastAsia="仿宋_GB2312"/>
          <w:sz w:val="28"/>
          <w:szCs w:val="28"/>
          <w:u w:val="single"/>
        </w:rPr>
        <w:t xml:space="preserve"> 杭州萧山国际机场T1、T2、T3航站楼标识提升优化方案设计</w:t>
      </w:r>
      <w:r>
        <w:rPr>
          <w:rFonts w:hint="eastAsia" w:ascii="仿宋_GB2312" w:eastAsia="仿宋_GB2312"/>
          <w:sz w:val="28"/>
          <w:szCs w:val="28"/>
        </w:rPr>
        <w:t>项目进行的专项技术服务，并支付相应的技术服务报酬。双方经过平等协商，在真实、充分地表达各自意愿的基础上，根据《中华人民共和国合同法》的规定，达成如下协议，并由双方共同恪守。</w:t>
      </w:r>
    </w:p>
    <w:p>
      <w:pPr>
        <w:spacing w:line="560" w:lineRule="exact"/>
        <w:rPr>
          <w:rFonts w:ascii="仿宋_GB2312" w:eastAsia="仿宋_GB2312"/>
          <w:sz w:val="28"/>
          <w:szCs w:val="28"/>
        </w:rPr>
      </w:pPr>
      <w:r>
        <w:rPr>
          <w:rFonts w:hint="eastAsia" w:ascii="仿宋_GB2312" w:eastAsia="仿宋_GB2312"/>
          <w:sz w:val="28"/>
          <w:szCs w:val="28"/>
        </w:rPr>
        <w:t xml:space="preserve">    第一条：甲方委托乙方进行技术服务的内容如下：</w:t>
      </w:r>
    </w:p>
    <w:p>
      <w:pPr>
        <w:spacing w:line="560" w:lineRule="exact"/>
        <w:rPr>
          <w:rFonts w:ascii="仿宋_GB2312" w:eastAsia="仿宋_GB2312"/>
          <w:sz w:val="28"/>
          <w:szCs w:val="28"/>
        </w:rPr>
      </w:pPr>
      <w:r>
        <w:rPr>
          <w:rFonts w:hint="eastAsia" w:ascii="仿宋_GB2312" w:eastAsia="仿宋_GB2312"/>
          <w:sz w:val="28"/>
          <w:szCs w:val="28"/>
        </w:rPr>
        <w:t xml:space="preserve">      1．技术服务的目标：</w:t>
      </w:r>
      <w:r>
        <w:rPr>
          <w:rFonts w:hint="eastAsia" w:ascii="仿宋_GB2312" w:eastAsia="仿宋_GB2312"/>
          <w:sz w:val="28"/>
          <w:szCs w:val="28"/>
          <w:u w:val="single"/>
        </w:rPr>
        <w:t xml:space="preserve"> 杭州萧山国际机场T1、T2、T3航站楼公共标识系统的改造升级并制订设计规范及改造方案。 </w:t>
      </w:r>
      <w:r>
        <w:rPr>
          <w:rFonts w:hint="eastAsia" w:ascii="仿宋_GB2312" w:eastAsia="仿宋_GB2312"/>
          <w:sz w:val="28"/>
          <w:szCs w:val="28"/>
        </w:rPr>
        <w:t>。</w:t>
      </w:r>
    </w:p>
    <w:p>
      <w:pPr>
        <w:spacing w:line="480" w:lineRule="auto"/>
        <w:ind w:firstLine="565" w:firstLineChars="202"/>
        <w:rPr>
          <w:rFonts w:ascii="仿宋_GB2312" w:hAnsi="Times New Roman" w:eastAsia="仿宋_GB2312"/>
          <w:sz w:val="28"/>
          <w:szCs w:val="28"/>
          <w:u w:val="single"/>
        </w:rPr>
      </w:pPr>
      <w:r>
        <w:rPr>
          <w:rFonts w:hint="eastAsia" w:ascii="仿宋_GB2312" w:eastAsia="仿宋_GB2312"/>
          <w:sz w:val="28"/>
          <w:szCs w:val="28"/>
        </w:rPr>
        <w:t xml:space="preserve">  2．技术服务的内容：</w:t>
      </w:r>
      <w:r>
        <w:rPr>
          <w:rFonts w:hint="eastAsia" w:ascii="仿宋_GB2312" w:eastAsia="仿宋_GB2312"/>
          <w:sz w:val="28"/>
          <w:szCs w:val="28"/>
          <w:u w:val="single"/>
        </w:rPr>
        <w:t xml:space="preserve"> </w:t>
      </w:r>
      <w:r>
        <w:rPr>
          <w:rFonts w:hint="eastAsia" w:ascii="仿宋_GB2312" w:hAnsi="Times New Roman" w:eastAsia="仿宋_GB2312"/>
          <w:sz w:val="28"/>
          <w:szCs w:val="28"/>
          <w:u w:val="single"/>
        </w:rPr>
        <w:t>杭州萧山国际机场T1、T2、T3航站楼航站楼公共标识系统改造并提档升级的设计内容：</w:t>
      </w:r>
    </w:p>
    <w:p>
      <w:pPr>
        <w:spacing w:line="560" w:lineRule="exact"/>
        <w:rPr>
          <w:rFonts w:ascii="仿宋_GB2312" w:eastAsia="仿宋_GB2312"/>
          <w:sz w:val="28"/>
          <w:szCs w:val="28"/>
          <w:u w:val="single"/>
        </w:rPr>
      </w:pPr>
      <w:r>
        <w:rPr>
          <w:rFonts w:hint="eastAsia" w:ascii="仿宋_GB2312" w:eastAsia="仿宋_GB2312"/>
          <w:sz w:val="28"/>
          <w:szCs w:val="28"/>
          <w:u w:val="single"/>
        </w:rPr>
        <w:t>2.1T1、T2、T3航站楼标识优化设计方案</w:t>
      </w:r>
    </w:p>
    <w:p>
      <w:pPr>
        <w:spacing w:line="560" w:lineRule="exact"/>
        <w:rPr>
          <w:rFonts w:ascii="仿宋_GB2312" w:eastAsia="仿宋_GB2312"/>
          <w:sz w:val="28"/>
          <w:szCs w:val="28"/>
          <w:u w:val="single"/>
        </w:rPr>
      </w:pPr>
      <w:r>
        <w:rPr>
          <w:rFonts w:hint="eastAsia" w:ascii="仿宋_GB2312" w:eastAsia="仿宋_GB2312"/>
          <w:sz w:val="28"/>
          <w:szCs w:val="28"/>
          <w:u w:val="single"/>
        </w:rPr>
        <w:t>（1）现有、新增流程和功能标识布点、内容、材质、类型、安装方式等的踏勘原始文件；</w:t>
      </w:r>
    </w:p>
    <w:p>
      <w:pPr>
        <w:spacing w:line="560" w:lineRule="exact"/>
        <w:rPr>
          <w:rFonts w:ascii="仿宋_GB2312" w:eastAsia="仿宋_GB2312"/>
          <w:sz w:val="28"/>
          <w:szCs w:val="28"/>
          <w:u w:val="single"/>
        </w:rPr>
      </w:pPr>
      <w:r>
        <w:rPr>
          <w:rFonts w:hint="eastAsia" w:ascii="仿宋_GB2312" w:eastAsia="仿宋_GB2312"/>
          <w:sz w:val="28"/>
          <w:szCs w:val="28"/>
          <w:u w:val="single"/>
        </w:rPr>
        <w:t>（2）在现有设计基础上，结合环境氛围，对T1、T2、T3标识系统上述组成元素（不仅限于）进行增补和完善优化设计；</w:t>
      </w:r>
    </w:p>
    <w:p>
      <w:pPr>
        <w:spacing w:line="560" w:lineRule="exact"/>
        <w:rPr>
          <w:rFonts w:ascii="仿宋_GB2312" w:eastAsia="仿宋_GB2312"/>
          <w:sz w:val="28"/>
          <w:szCs w:val="28"/>
          <w:u w:val="single"/>
        </w:rPr>
      </w:pPr>
      <w:r>
        <w:rPr>
          <w:rFonts w:hint="eastAsia" w:ascii="仿宋_GB2312" w:eastAsia="仿宋_GB2312"/>
          <w:sz w:val="28"/>
          <w:szCs w:val="28"/>
          <w:u w:val="single"/>
        </w:rPr>
        <w:t>（3）改进T1、T2、T3现有标识系统现状，使T1、T2、T3标识系统更加简约、清晰、统一、规范，以满足旅客需求；</w:t>
      </w:r>
    </w:p>
    <w:p>
      <w:pPr>
        <w:spacing w:line="560" w:lineRule="exact"/>
        <w:rPr>
          <w:rFonts w:ascii="仿宋_GB2312" w:eastAsia="仿宋_GB2312"/>
          <w:sz w:val="28"/>
          <w:szCs w:val="28"/>
          <w:u w:val="single"/>
        </w:rPr>
      </w:pPr>
      <w:r>
        <w:rPr>
          <w:rFonts w:hint="eastAsia" w:ascii="仿宋_GB2312" w:eastAsia="仿宋_GB2312"/>
          <w:sz w:val="28"/>
          <w:szCs w:val="28"/>
          <w:u w:val="single"/>
        </w:rPr>
        <w:t>（4）根据流程对标识整改方案及原标识结构进行整体规划，后根据整体规划，对T1、T2、T3航站楼标识进行逐一设计；</w:t>
      </w:r>
    </w:p>
    <w:p>
      <w:pPr>
        <w:spacing w:line="560" w:lineRule="exact"/>
        <w:rPr>
          <w:rFonts w:ascii="仿宋_GB2312" w:eastAsia="仿宋_GB2312"/>
          <w:sz w:val="28"/>
          <w:szCs w:val="28"/>
          <w:u w:val="single"/>
        </w:rPr>
      </w:pPr>
      <w:r>
        <w:rPr>
          <w:rFonts w:hint="eastAsia" w:ascii="仿宋_GB2312" w:eastAsia="仿宋_GB2312"/>
          <w:sz w:val="28"/>
          <w:szCs w:val="28"/>
          <w:u w:val="single"/>
        </w:rPr>
        <w:t>（5）对现有流程和功能标识进行整体优化设计，最后形成两套改进方案（可编辑PDF版本），第一套本着节约原则，在现有标牌建议变更时，尽量进行利用，采取更换灯箱、灯箱片或灯箱膜，增加照度等形式进行优化设计；第二套方案全部推翻原有设计，进行全新的整体设计，最终成果以通过甲方评审为准。</w:t>
      </w:r>
    </w:p>
    <w:p>
      <w:pPr>
        <w:spacing w:line="560" w:lineRule="exact"/>
        <w:rPr>
          <w:rFonts w:ascii="仿宋_GB2312" w:eastAsia="仿宋_GB2312"/>
          <w:sz w:val="28"/>
          <w:szCs w:val="28"/>
          <w:u w:val="single"/>
        </w:rPr>
      </w:pPr>
      <w:r>
        <w:rPr>
          <w:rFonts w:hint="eastAsia" w:ascii="仿宋_GB2312" w:eastAsia="仿宋_GB2312"/>
          <w:sz w:val="28"/>
          <w:szCs w:val="28"/>
          <w:u w:val="single"/>
        </w:rPr>
        <w:t>（6）项目组成员全程参与项目各项工作，开展不少于5次的实地调研工作，接到中标通知书10日后提交工作计划。根据甲方安排，承担各阶段的项目成果汇报并根据甲方要求进行方案完善。</w:t>
      </w:r>
    </w:p>
    <w:p>
      <w:pPr>
        <w:spacing w:line="560" w:lineRule="exact"/>
        <w:rPr>
          <w:rFonts w:ascii="仿宋_GB2312" w:eastAsia="仿宋_GB2312"/>
          <w:sz w:val="28"/>
          <w:szCs w:val="28"/>
          <w:u w:val="single"/>
        </w:rPr>
      </w:pPr>
      <w:r>
        <w:rPr>
          <w:rFonts w:hint="eastAsia" w:ascii="仿宋_GB2312" w:eastAsia="仿宋_GB2312"/>
          <w:sz w:val="28"/>
          <w:szCs w:val="28"/>
          <w:u w:val="single"/>
        </w:rPr>
        <w:t>2.2规范性文件（标识视觉标准规范手册）</w:t>
      </w:r>
    </w:p>
    <w:p>
      <w:pPr>
        <w:spacing w:line="560" w:lineRule="exact"/>
        <w:rPr>
          <w:rFonts w:ascii="仿宋_GB2312" w:eastAsia="仿宋_GB2312"/>
          <w:sz w:val="28"/>
          <w:szCs w:val="28"/>
          <w:u w:val="single"/>
        </w:rPr>
      </w:pPr>
      <w:r>
        <w:rPr>
          <w:rFonts w:hint="eastAsia" w:ascii="仿宋_GB2312" w:eastAsia="仿宋_GB2312"/>
          <w:sz w:val="28"/>
          <w:szCs w:val="28"/>
          <w:u w:val="single"/>
        </w:rPr>
        <w:t>（1）将改造升级后的标识系统规范编辑成标识视觉标准规范手册，手册布点、内容、材质、类型、安装方式等相关标识系统组成元素。</w:t>
      </w:r>
    </w:p>
    <w:p>
      <w:pPr>
        <w:spacing w:line="560" w:lineRule="exact"/>
        <w:rPr>
          <w:rFonts w:ascii="仿宋_GB2312" w:eastAsia="仿宋_GB2312"/>
          <w:sz w:val="28"/>
          <w:szCs w:val="28"/>
          <w:u w:val="single"/>
        </w:rPr>
      </w:pPr>
      <w:r>
        <w:rPr>
          <w:rFonts w:hint="eastAsia" w:ascii="仿宋_GB2312" w:eastAsia="仿宋_GB2312"/>
          <w:sz w:val="28"/>
          <w:szCs w:val="28"/>
          <w:u w:val="single"/>
        </w:rPr>
        <w:t>（2）本套标识规范应充分考虑到后期新建航站楼标识的实用性及可延续性。</w:t>
      </w:r>
    </w:p>
    <w:p>
      <w:pPr>
        <w:spacing w:line="560" w:lineRule="exact"/>
        <w:rPr>
          <w:rFonts w:ascii="仿宋_GB2312" w:eastAsia="仿宋_GB2312"/>
          <w:sz w:val="28"/>
          <w:szCs w:val="28"/>
          <w:u w:val="single"/>
        </w:rPr>
      </w:pPr>
      <w:r>
        <w:rPr>
          <w:rFonts w:hint="eastAsia" w:ascii="仿宋_GB2312" w:eastAsia="仿宋_GB2312"/>
          <w:sz w:val="28"/>
          <w:szCs w:val="28"/>
          <w:u w:val="single"/>
        </w:rPr>
        <w:t>2.3后期配合标识制作厂家进行设计微调，并提供咨询及打样审核服务，为期5年。</w:t>
      </w:r>
    </w:p>
    <w:p>
      <w:pPr>
        <w:widowControl/>
        <w:spacing w:line="480" w:lineRule="auto"/>
        <w:ind w:firstLine="560" w:firstLineChars="200"/>
        <w:jc w:val="left"/>
        <w:rPr>
          <w:rFonts w:ascii="仿宋_GB2312" w:eastAsia="仿宋_GB2312"/>
          <w:sz w:val="28"/>
          <w:szCs w:val="28"/>
          <w:u w:val="single"/>
        </w:rPr>
      </w:pPr>
      <w:r>
        <w:rPr>
          <w:rFonts w:hint="eastAsia" w:ascii="仿宋_GB2312" w:eastAsia="仿宋_GB2312"/>
          <w:sz w:val="28"/>
          <w:szCs w:val="28"/>
        </w:rPr>
        <w:t xml:space="preserve">  3．技术服务的方式</w:t>
      </w:r>
      <w:r>
        <w:rPr>
          <w:rFonts w:hint="eastAsia" w:ascii="仿宋_GB2312" w:eastAsia="仿宋_GB2312"/>
          <w:sz w:val="28"/>
          <w:szCs w:val="28"/>
          <w:u w:val="single"/>
        </w:rPr>
        <w:t>：杭州萧山国际机场T1、T2、T3航站楼的一套规范化标识系统手册，能够起到日常管理、装修、制作范本作用，包括如下内容：</w:t>
      </w:r>
    </w:p>
    <w:p>
      <w:pPr>
        <w:spacing w:line="560" w:lineRule="exact"/>
        <w:rPr>
          <w:rFonts w:ascii="仿宋_GB2312" w:eastAsia="仿宋_GB2312"/>
          <w:sz w:val="28"/>
          <w:szCs w:val="28"/>
          <w:u w:val="single"/>
        </w:rPr>
      </w:pPr>
      <w:r>
        <w:rPr>
          <w:rFonts w:hint="eastAsia" w:ascii="仿宋_GB2312" w:eastAsia="仿宋_GB2312"/>
          <w:sz w:val="28"/>
          <w:szCs w:val="28"/>
          <w:u w:val="single"/>
        </w:rPr>
        <w:t>3.1 电子版规范手册源文件</w:t>
      </w:r>
    </w:p>
    <w:p>
      <w:pPr>
        <w:spacing w:line="560" w:lineRule="exact"/>
        <w:rPr>
          <w:rFonts w:ascii="仿宋_GB2312" w:eastAsia="仿宋_GB2312"/>
          <w:sz w:val="28"/>
          <w:szCs w:val="28"/>
          <w:u w:val="single"/>
        </w:rPr>
      </w:pPr>
      <w:r>
        <w:rPr>
          <w:rFonts w:hint="eastAsia" w:ascii="仿宋_GB2312" w:eastAsia="仿宋_GB2312"/>
          <w:sz w:val="28"/>
          <w:szCs w:val="28"/>
          <w:u w:val="single"/>
        </w:rPr>
        <w:t>3.2 纸质版规范手册文件（5份）</w:t>
      </w:r>
    </w:p>
    <w:p>
      <w:pPr>
        <w:spacing w:line="560" w:lineRule="exact"/>
        <w:rPr>
          <w:rFonts w:ascii="仿宋_GB2312" w:eastAsia="仿宋_GB2312"/>
          <w:sz w:val="28"/>
          <w:szCs w:val="28"/>
          <w:u w:val="single"/>
        </w:rPr>
      </w:pPr>
      <w:r>
        <w:rPr>
          <w:rFonts w:hint="eastAsia" w:ascii="仿宋_GB2312" w:eastAsia="仿宋_GB2312"/>
          <w:sz w:val="28"/>
          <w:szCs w:val="28"/>
          <w:u w:val="single"/>
        </w:rPr>
        <w:t>3.3 电子光盘（5份）</w:t>
      </w:r>
    </w:p>
    <w:p>
      <w:pPr>
        <w:spacing w:line="560" w:lineRule="exact"/>
        <w:rPr>
          <w:rFonts w:ascii="仿宋_GB2312" w:eastAsia="仿宋_GB2312"/>
          <w:sz w:val="28"/>
          <w:szCs w:val="28"/>
          <w:u w:val="single"/>
        </w:rPr>
      </w:pPr>
      <w:r>
        <w:rPr>
          <w:rFonts w:hint="eastAsia" w:ascii="仿宋_GB2312" w:eastAsia="仿宋_GB2312"/>
          <w:sz w:val="28"/>
          <w:szCs w:val="28"/>
          <w:u w:val="single"/>
        </w:rPr>
        <w:t>3.4 电子版整改方案源文件</w:t>
      </w:r>
    </w:p>
    <w:p>
      <w:pPr>
        <w:spacing w:line="560" w:lineRule="exact"/>
        <w:rPr>
          <w:rFonts w:ascii="仿宋_GB2312" w:eastAsia="仿宋_GB2312"/>
          <w:sz w:val="28"/>
          <w:szCs w:val="28"/>
          <w:u w:val="single"/>
        </w:rPr>
      </w:pPr>
      <w:r>
        <w:rPr>
          <w:rFonts w:hint="eastAsia" w:ascii="仿宋_GB2312" w:eastAsia="仿宋_GB2312"/>
          <w:sz w:val="28"/>
          <w:szCs w:val="28"/>
          <w:u w:val="single"/>
        </w:rPr>
        <w:t>3.5纸质版整改方案（5份）</w:t>
      </w:r>
    </w:p>
    <w:p>
      <w:pPr>
        <w:spacing w:line="560" w:lineRule="exact"/>
        <w:rPr>
          <w:rFonts w:ascii="仿宋_GB2312" w:eastAsia="仿宋_GB2312"/>
          <w:sz w:val="28"/>
          <w:szCs w:val="28"/>
        </w:rPr>
      </w:pPr>
      <w:r>
        <w:rPr>
          <w:rFonts w:hint="eastAsia" w:ascii="仿宋_GB2312" w:eastAsia="仿宋_GB2312"/>
          <w:sz w:val="28"/>
          <w:szCs w:val="28"/>
        </w:rPr>
        <w:t xml:space="preserve">    第二条：乙方应按下列要求完成技术服务工作：</w:t>
      </w:r>
    </w:p>
    <w:p>
      <w:pPr>
        <w:spacing w:line="560" w:lineRule="exact"/>
        <w:rPr>
          <w:rFonts w:ascii="仿宋_GB2312" w:eastAsia="仿宋_GB2312"/>
          <w:sz w:val="28"/>
          <w:szCs w:val="28"/>
          <w:u w:val="single"/>
        </w:rPr>
      </w:pPr>
      <w:r>
        <w:rPr>
          <w:rFonts w:hint="eastAsia" w:ascii="仿宋_GB2312" w:eastAsia="仿宋_GB2312"/>
          <w:sz w:val="28"/>
          <w:szCs w:val="28"/>
        </w:rPr>
        <w:t xml:space="preserve">      1．技术服务地点：</w:t>
      </w:r>
      <w:r>
        <w:rPr>
          <w:rFonts w:hint="eastAsia" w:ascii="仿宋_GB2312" w:eastAsia="仿宋_GB2312"/>
          <w:sz w:val="28"/>
          <w:szCs w:val="28"/>
          <w:u w:val="single"/>
        </w:rPr>
        <w:t>杭州萧山国际机场内</w:t>
      </w:r>
    </w:p>
    <w:p>
      <w:pPr>
        <w:spacing w:line="560" w:lineRule="exact"/>
        <w:rPr>
          <w:rFonts w:ascii="仿宋_GB2312" w:eastAsia="仿宋_GB2312"/>
          <w:sz w:val="28"/>
          <w:szCs w:val="28"/>
          <w:u w:val="single"/>
        </w:rPr>
      </w:pPr>
      <w:r>
        <w:rPr>
          <w:rFonts w:hint="eastAsia" w:ascii="仿宋_GB2312" w:eastAsia="仿宋_GB2312"/>
          <w:sz w:val="28"/>
          <w:szCs w:val="28"/>
        </w:rPr>
        <w:t xml:space="preserve">      2．技术服务期限：</w:t>
      </w:r>
      <w:r>
        <w:rPr>
          <w:rFonts w:hint="eastAsia" w:ascii="仿宋_GB2312" w:eastAsia="仿宋_GB2312"/>
          <w:sz w:val="28"/>
          <w:szCs w:val="28"/>
          <w:u w:val="single"/>
        </w:rPr>
        <w:t xml:space="preserve"> 合同签订后60日历天                     </w:t>
      </w:r>
    </w:p>
    <w:p>
      <w:pPr>
        <w:spacing w:line="560" w:lineRule="exact"/>
        <w:rPr>
          <w:rFonts w:ascii="仿宋_GB2312" w:eastAsia="仿宋_GB2312"/>
          <w:sz w:val="28"/>
          <w:szCs w:val="28"/>
          <w:u w:val="single"/>
        </w:rPr>
      </w:pPr>
      <w:r>
        <w:rPr>
          <w:rFonts w:hint="eastAsia" w:ascii="仿宋_GB2312" w:eastAsia="仿宋_GB2312"/>
          <w:sz w:val="28"/>
          <w:szCs w:val="28"/>
        </w:rPr>
        <w:t xml:space="preserve">      3．技术服务进度：</w:t>
      </w:r>
      <w:r>
        <w:rPr>
          <w:rFonts w:hint="eastAsia" w:ascii="仿宋_GB2312" w:eastAsia="仿宋_GB2312"/>
          <w:sz w:val="28"/>
          <w:szCs w:val="28"/>
          <w:u w:val="single"/>
        </w:rPr>
        <w:t>乙方应在本合同签订后，立即开始设计服务;乙方向甲方提交杭州萧山国际机场T1、T2、T3航站楼标识提升优化方案设计的工作计划；合同签订后60天内按本合同约定的内容、进度及份数向甲方交付设计资料及文件。</w:t>
      </w:r>
    </w:p>
    <w:p>
      <w:pPr>
        <w:spacing w:line="560" w:lineRule="exact"/>
        <w:rPr>
          <w:rFonts w:ascii="仿宋_GB2312" w:eastAsia="仿宋_GB2312"/>
          <w:sz w:val="28"/>
          <w:szCs w:val="28"/>
        </w:rPr>
      </w:pPr>
      <w:r>
        <w:rPr>
          <w:rFonts w:hint="eastAsia" w:ascii="仿宋_GB2312" w:eastAsia="仿宋_GB2312"/>
          <w:sz w:val="28"/>
          <w:szCs w:val="28"/>
        </w:rPr>
        <w:t xml:space="preserve">      4．技术服务质量要求：</w:t>
      </w:r>
      <w:r>
        <w:rPr>
          <w:rFonts w:hint="eastAsia" w:ascii="仿宋_GB2312" w:eastAsia="仿宋_GB2312"/>
          <w:sz w:val="28"/>
          <w:szCs w:val="28"/>
          <w:u w:val="single"/>
        </w:rPr>
        <w:t>制定杭州萧山国际机场T1、T2、T3航站楼各功能区域</w:t>
      </w:r>
      <w:r>
        <w:rPr>
          <w:rFonts w:hint="eastAsia" w:ascii="仿宋_GB2312" w:hAnsi="Times New Roman" w:eastAsia="仿宋_GB2312"/>
          <w:sz w:val="28"/>
          <w:szCs w:val="28"/>
          <w:u w:val="single"/>
        </w:rPr>
        <w:t>标识系统</w:t>
      </w:r>
      <w:r>
        <w:rPr>
          <w:rFonts w:hint="eastAsia" w:ascii="仿宋_GB2312" w:eastAsia="仿宋_GB2312"/>
          <w:sz w:val="28"/>
          <w:szCs w:val="28"/>
          <w:u w:val="single"/>
        </w:rPr>
        <w:t>规范，整体提升杭州萧山机场视觉导视系统的功能指引性及美观度。</w:t>
      </w:r>
      <w:r>
        <w:rPr>
          <w:rFonts w:hint="eastAsia" w:ascii="仿宋_GB2312" w:eastAsia="仿宋_GB2312"/>
          <w:sz w:val="28"/>
          <w:szCs w:val="28"/>
        </w:rPr>
        <w:t xml:space="preserve">      </w:t>
      </w:r>
    </w:p>
    <w:p>
      <w:pPr>
        <w:spacing w:line="560" w:lineRule="exact"/>
        <w:ind w:firstLine="840" w:firstLineChars="300"/>
        <w:rPr>
          <w:rFonts w:ascii="仿宋_GB2312" w:eastAsia="仿宋_GB2312"/>
          <w:sz w:val="28"/>
          <w:szCs w:val="28"/>
          <w:u w:val="single"/>
        </w:rPr>
      </w:pPr>
      <w:r>
        <w:rPr>
          <w:rFonts w:hint="eastAsia" w:ascii="仿宋_GB2312" w:eastAsia="仿宋_GB2312"/>
          <w:sz w:val="28"/>
          <w:szCs w:val="28"/>
        </w:rPr>
        <w:t xml:space="preserve">5．技术服务质量期限要求： </w:t>
      </w:r>
      <w:r>
        <w:rPr>
          <w:rFonts w:hint="eastAsia" w:ascii="仿宋_GB2312" w:eastAsia="仿宋_GB2312"/>
          <w:sz w:val="28"/>
          <w:szCs w:val="28"/>
          <w:u w:val="single"/>
        </w:rPr>
        <w:t xml:space="preserve">合同签订后60天内完成杭州萧山国际机场T1、T2、T3航站楼标识提升优化方案设计。                           </w:t>
      </w:r>
    </w:p>
    <w:p>
      <w:pPr>
        <w:spacing w:line="560" w:lineRule="exact"/>
        <w:rPr>
          <w:rFonts w:ascii="仿宋_GB2312" w:eastAsia="仿宋_GB2312"/>
          <w:sz w:val="28"/>
          <w:szCs w:val="28"/>
        </w:rPr>
      </w:pPr>
      <w:r>
        <w:rPr>
          <w:rFonts w:hint="eastAsia" w:ascii="仿宋_GB2312" w:eastAsia="仿宋_GB2312"/>
          <w:sz w:val="28"/>
          <w:szCs w:val="28"/>
        </w:rPr>
        <w:t xml:space="preserve">    第三条：为保证乙方有效进行技术服务工作，甲方应当向乙方提供下列工作条件和协作事项：</w:t>
      </w:r>
    </w:p>
    <w:p>
      <w:pPr>
        <w:spacing w:line="560" w:lineRule="exact"/>
        <w:rPr>
          <w:rFonts w:ascii="仿宋_GB2312" w:eastAsia="仿宋_GB2312"/>
          <w:sz w:val="28"/>
          <w:szCs w:val="28"/>
          <w:u w:val="single"/>
        </w:rPr>
      </w:pPr>
      <w:r>
        <w:rPr>
          <w:rFonts w:hint="eastAsia" w:ascii="仿宋_GB2312" w:eastAsia="仿宋_GB2312"/>
          <w:sz w:val="28"/>
          <w:szCs w:val="28"/>
        </w:rPr>
        <w:t xml:space="preserve">      1．提供技术资料：</w:t>
      </w:r>
    </w:p>
    <w:p>
      <w:pPr>
        <w:spacing w:line="560" w:lineRule="exact"/>
        <w:rPr>
          <w:rFonts w:ascii="仿宋_GB2312" w:eastAsia="仿宋_GB2312"/>
          <w:sz w:val="28"/>
          <w:szCs w:val="28"/>
        </w:rPr>
      </w:pPr>
      <w:r>
        <w:rPr>
          <w:rFonts w:hint="eastAsia" w:ascii="仿宋_GB2312" w:eastAsia="仿宋_GB2312"/>
          <w:sz w:val="28"/>
          <w:szCs w:val="28"/>
        </w:rPr>
        <w:t xml:space="preserve">      （1）甲方向乙方提交机场的平面图。</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spacing w:line="560" w:lineRule="exact"/>
        <w:rPr>
          <w:rFonts w:ascii="仿宋_GB2312" w:eastAsia="仿宋_GB2312"/>
          <w:sz w:val="28"/>
          <w:szCs w:val="28"/>
          <w:u w:val="single"/>
        </w:rPr>
      </w:pPr>
      <w:r>
        <w:rPr>
          <w:rFonts w:hint="eastAsia" w:ascii="仿宋_GB2312" w:eastAsia="仿宋_GB2312"/>
          <w:sz w:val="28"/>
          <w:szCs w:val="28"/>
        </w:rPr>
        <w:t xml:space="preserve">      （2）甲方不得要求乙方违反国家有关标准进行设计。 </w:t>
      </w:r>
      <w:r>
        <w:rPr>
          <w:rFonts w:hint="eastAsia" w:ascii="仿宋_GB2312" w:eastAsia="仿宋_GB2312"/>
          <w:sz w:val="28"/>
          <w:szCs w:val="28"/>
          <w:u w:val="single"/>
        </w:rPr>
        <w:t xml:space="preserve">                                                </w:t>
      </w:r>
    </w:p>
    <w:p>
      <w:pPr>
        <w:spacing w:line="560" w:lineRule="exact"/>
        <w:ind w:left="840" w:hanging="840" w:hangingChars="300"/>
        <w:rPr>
          <w:rFonts w:ascii="仿宋_GB2312" w:eastAsia="仿宋_GB2312"/>
          <w:sz w:val="28"/>
          <w:szCs w:val="28"/>
          <w:u w:val="single"/>
        </w:rPr>
      </w:pPr>
      <w:r>
        <w:rPr>
          <w:rFonts w:hint="eastAsia" w:ascii="仿宋_GB2312" w:eastAsia="仿宋_GB2312"/>
          <w:sz w:val="28"/>
          <w:szCs w:val="28"/>
        </w:rPr>
        <w:t xml:space="preserve">      （3）甲方向乙方提交甲方现有标识设计所需资料及文件。</w:t>
      </w:r>
      <w:r>
        <w:rPr>
          <w:rFonts w:hint="eastAsia" w:ascii="仿宋_GB2312" w:eastAsia="仿宋_GB2312"/>
          <w:sz w:val="28"/>
          <w:szCs w:val="28"/>
          <w:u w:val="single"/>
        </w:rPr>
        <w:t xml:space="preserve">                                                </w:t>
      </w:r>
    </w:p>
    <w:p>
      <w:pPr>
        <w:spacing w:line="560" w:lineRule="exact"/>
        <w:rPr>
          <w:rFonts w:ascii="仿宋_GB2312" w:eastAsia="仿宋_GB2312"/>
          <w:sz w:val="28"/>
          <w:szCs w:val="28"/>
        </w:rPr>
      </w:pPr>
      <w:r>
        <w:rPr>
          <w:rFonts w:hint="eastAsia" w:ascii="仿宋_GB2312" w:eastAsia="仿宋_GB2312"/>
          <w:sz w:val="28"/>
          <w:szCs w:val="28"/>
        </w:rPr>
        <w:t xml:space="preserve">      2．提供工作条件：</w:t>
      </w:r>
    </w:p>
    <w:p>
      <w:pPr>
        <w:spacing w:line="560" w:lineRule="exact"/>
        <w:ind w:left="840" w:hanging="840" w:hangingChars="300"/>
        <w:rPr>
          <w:rFonts w:ascii="仿宋_GB2312" w:eastAsia="仿宋_GB2312"/>
          <w:sz w:val="28"/>
          <w:szCs w:val="28"/>
        </w:rPr>
      </w:pPr>
      <w:r>
        <w:rPr>
          <w:rFonts w:hint="eastAsia" w:ascii="仿宋_GB2312" w:eastAsia="仿宋_GB2312"/>
          <w:sz w:val="28"/>
          <w:szCs w:val="28"/>
        </w:rPr>
        <w:t xml:space="preserve">      （1）甲方派赴现场处理有关设计问题的乙方工作人员，提供必要的进入相关区域的方便条件。  </w:t>
      </w:r>
    </w:p>
    <w:p>
      <w:pPr>
        <w:spacing w:line="560" w:lineRule="exact"/>
        <w:ind w:left="840" w:hanging="840" w:hangingChars="300"/>
        <w:rPr>
          <w:rFonts w:ascii="仿宋_GB2312" w:eastAsia="仿宋_GB2312"/>
          <w:sz w:val="28"/>
          <w:szCs w:val="28"/>
        </w:rPr>
      </w:pPr>
      <w:r>
        <w:rPr>
          <w:rFonts w:hint="eastAsia" w:ascii="仿宋_GB2312" w:eastAsia="仿宋_GB2312"/>
          <w:sz w:val="28"/>
          <w:szCs w:val="28"/>
        </w:rPr>
        <w:t xml:space="preserve">      （2） 甲方应为派赴入驻现场相关设计的乙方工作人员，提供临时办公室。</w:t>
      </w:r>
    </w:p>
    <w:p>
      <w:pPr>
        <w:spacing w:line="560" w:lineRule="exact"/>
        <w:rPr>
          <w:rFonts w:ascii="仿宋_GB2312" w:eastAsia="仿宋_GB2312"/>
          <w:sz w:val="28"/>
          <w:szCs w:val="28"/>
        </w:rPr>
      </w:pPr>
      <w:r>
        <w:rPr>
          <w:rFonts w:hint="eastAsia" w:ascii="仿宋_GB2312" w:eastAsia="仿宋_GB2312"/>
          <w:sz w:val="28"/>
          <w:szCs w:val="28"/>
        </w:rPr>
        <w:t xml:space="preserve">      4．甲方提供上述工作条件和协作事项的时间及方式：</w:t>
      </w:r>
      <w:r>
        <w:rPr>
          <w:rFonts w:hint="eastAsia" w:ascii="仿宋_GB2312" w:eastAsia="仿宋_GB2312"/>
          <w:sz w:val="28"/>
          <w:szCs w:val="28"/>
          <w:u w:val="single"/>
        </w:rPr>
        <w:t xml:space="preserve"> 合同服务期内甲方需派遣一位负责对接此项目的人员【姓名：   身份证号：    】与乙方联系人进行及时的沟通及协助</w:t>
      </w:r>
      <w:r>
        <w:rPr>
          <w:rFonts w:hint="eastAsia" w:ascii="仿宋_GB2312" w:eastAsia="仿宋_GB2312"/>
          <w:sz w:val="28"/>
          <w:szCs w:val="28"/>
        </w:rPr>
        <w:t>。</w:t>
      </w:r>
    </w:p>
    <w:p>
      <w:pPr>
        <w:spacing w:line="560" w:lineRule="exact"/>
        <w:rPr>
          <w:rFonts w:ascii="仿宋_GB2312" w:eastAsia="仿宋_GB2312"/>
          <w:sz w:val="28"/>
          <w:szCs w:val="28"/>
        </w:rPr>
      </w:pPr>
      <w:r>
        <w:rPr>
          <w:rFonts w:hint="eastAsia" w:ascii="仿宋_GB2312" w:eastAsia="仿宋_GB2312"/>
          <w:sz w:val="28"/>
          <w:szCs w:val="28"/>
        </w:rPr>
        <w:t xml:space="preserve">    第四条：甲方向乙方支付技术服务报酬及支付方式为：</w:t>
      </w:r>
    </w:p>
    <w:p>
      <w:pPr>
        <w:tabs>
          <w:tab w:val="left" w:pos="1321"/>
        </w:tabs>
        <w:spacing w:line="360" w:lineRule="auto"/>
        <w:ind w:firstLine="560" w:firstLineChars="200"/>
        <w:jc w:val="left"/>
        <w:rPr>
          <w:rFonts w:ascii="仿宋_GB2312" w:eastAsia="仿宋_GB2312"/>
          <w:sz w:val="28"/>
          <w:szCs w:val="28"/>
          <w:u w:val="single"/>
        </w:rPr>
      </w:pPr>
      <w:r>
        <w:rPr>
          <w:rFonts w:hint="eastAsia" w:ascii="仿宋_GB2312" w:eastAsia="仿宋_GB2312"/>
          <w:sz w:val="28"/>
          <w:szCs w:val="28"/>
        </w:rPr>
        <w:t xml:space="preserve">     1．本项目报酬（手册编制及整体优化设计经费）：小写：人民币    元，大写：     元整（其中：不含税金额为：     元，税额为：   元。），本合同为总价合同，包括开展项目所需的调研、资料、评审等所有费用。甲方不再向乙方支付其他任何费用。乙方开具增值税专用发票，在合同有效期限内，若因国家税收政策调整而引起的增值税税率变化的，应按照国家税收政策调整，合同总价变更为合同不含增值税咨询服务费与新增值税税率计算的合计金额。</w:t>
      </w:r>
    </w:p>
    <w:p>
      <w:pPr>
        <w:spacing w:line="560" w:lineRule="exact"/>
        <w:rPr>
          <w:rFonts w:ascii="仿宋_GB2312" w:eastAsia="仿宋_GB2312"/>
          <w:sz w:val="28"/>
          <w:szCs w:val="28"/>
        </w:rPr>
      </w:pPr>
      <w:r>
        <w:rPr>
          <w:rFonts w:hint="eastAsia" w:ascii="仿宋_GB2312" w:eastAsia="仿宋_GB2312"/>
          <w:sz w:val="28"/>
          <w:szCs w:val="28"/>
        </w:rPr>
        <w:t xml:space="preserve">     2．技术服务费由甲方</w:t>
      </w:r>
      <w:r>
        <w:rPr>
          <w:rFonts w:hint="eastAsia" w:ascii="仿宋_GB2312" w:eastAsia="仿宋_GB2312"/>
          <w:sz w:val="28"/>
          <w:szCs w:val="28"/>
          <w:u w:val="single"/>
        </w:rPr>
        <w:t xml:space="preserve">     分期     </w:t>
      </w:r>
      <w:r>
        <w:rPr>
          <w:rFonts w:hint="eastAsia" w:ascii="仿宋_GB2312" w:eastAsia="仿宋_GB2312"/>
          <w:sz w:val="28"/>
          <w:szCs w:val="28"/>
        </w:rPr>
        <w:t xml:space="preserve">（一次或分期）支付乙方。 </w:t>
      </w:r>
    </w:p>
    <w:p>
      <w:pPr>
        <w:spacing w:line="560" w:lineRule="exact"/>
        <w:rPr>
          <w:rFonts w:ascii="仿宋_GB2312" w:eastAsia="仿宋_GB2312"/>
          <w:sz w:val="28"/>
          <w:szCs w:val="28"/>
          <w:u w:val="single"/>
        </w:rPr>
      </w:pPr>
      <w:r>
        <w:rPr>
          <w:rFonts w:hint="eastAsia" w:ascii="仿宋_GB2312" w:eastAsia="仿宋_GB2312"/>
          <w:sz w:val="28"/>
          <w:szCs w:val="28"/>
        </w:rPr>
        <w:t xml:space="preserve">     具体支付方式和时间如下：</w:t>
      </w:r>
    </w:p>
    <w:p>
      <w:pPr>
        <w:spacing w:line="560" w:lineRule="exact"/>
        <w:ind w:left="840" w:hanging="840" w:hangingChars="300"/>
        <w:jc w:val="left"/>
        <w:rPr>
          <w:rFonts w:ascii="仿宋_GB2312" w:hAnsi="Times New Roman" w:eastAsia="仿宋_GB2312"/>
          <w:sz w:val="28"/>
          <w:szCs w:val="28"/>
        </w:rPr>
      </w:pPr>
      <w:r>
        <w:rPr>
          <w:rFonts w:hint="eastAsia" w:ascii="仿宋_GB2312" w:eastAsia="仿宋_GB2312"/>
          <w:sz w:val="28"/>
          <w:szCs w:val="28"/>
        </w:rPr>
        <w:t xml:space="preserve">      </w:t>
      </w:r>
      <w:r>
        <w:rPr>
          <w:rFonts w:hint="eastAsia" w:ascii="仿宋_GB2312" w:hAnsi="Times New Roman" w:eastAsia="仿宋_GB2312"/>
          <w:sz w:val="28"/>
          <w:szCs w:val="28"/>
        </w:rPr>
        <w:t>预付款（合同签署后15天内）：甲方支付给乙方合同总价的20%；</w:t>
      </w:r>
    </w:p>
    <w:p>
      <w:pPr>
        <w:spacing w:line="560" w:lineRule="exact"/>
        <w:ind w:left="840" w:hanging="840" w:hangingChars="300"/>
        <w:jc w:val="left"/>
        <w:rPr>
          <w:rFonts w:ascii="仿宋_GB2312" w:hAnsi="Times New Roman" w:eastAsia="仿宋_GB2312"/>
          <w:sz w:val="28"/>
          <w:szCs w:val="28"/>
        </w:rPr>
      </w:pPr>
      <w:r>
        <w:rPr>
          <w:rFonts w:hint="eastAsia" w:ascii="仿宋_GB2312" w:hAnsi="Times New Roman" w:eastAsia="仿宋_GB2312"/>
          <w:sz w:val="28"/>
          <w:szCs w:val="28"/>
        </w:rPr>
        <w:t>第一笔进度付款, 优化成果提交，并经过审核确认：甲方支付给乙方合同总价的50%；</w:t>
      </w:r>
    </w:p>
    <w:p>
      <w:pPr>
        <w:spacing w:line="560" w:lineRule="exact"/>
        <w:ind w:left="840" w:hanging="840" w:hangingChars="300"/>
        <w:jc w:val="left"/>
        <w:rPr>
          <w:rFonts w:ascii="仿宋_GB2312" w:hAnsi="Times New Roman" w:eastAsia="仿宋_GB2312"/>
          <w:sz w:val="28"/>
          <w:szCs w:val="28"/>
        </w:rPr>
      </w:pPr>
      <w:r>
        <w:rPr>
          <w:rFonts w:hint="eastAsia" w:ascii="仿宋_GB2312" w:hAnsi="Times New Roman" w:eastAsia="仿宋_GB2312"/>
          <w:sz w:val="28"/>
          <w:szCs w:val="28"/>
        </w:rPr>
        <w:t>最后付款,完成成果评审：甲方支付给乙方合同总价的30%。</w:t>
      </w:r>
    </w:p>
    <w:p>
      <w:pPr>
        <w:spacing w:line="560" w:lineRule="exact"/>
        <w:rPr>
          <w:rFonts w:ascii="仿宋_GB2312" w:eastAsia="仿宋_GB2312"/>
          <w:sz w:val="28"/>
          <w:szCs w:val="28"/>
          <w:u w:val="single"/>
        </w:rPr>
      </w:pPr>
    </w:p>
    <w:p>
      <w:pPr>
        <w:spacing w:line="560" w:lineRule="exact"/>
        <w:rPr>
          <w:rFonts w:ascii="仿宋_GB2312" w:eastAsia="仿宋_GB2312"/>
          <w:sz w:val="28"/>
          <w:szCs w:val="28"/>
        </w:rPr>
      </w:pPr>
      <w:r>
        <w:rPr>
          <w:rFonts w:hint="eastAsia" w:ascii="仿宋_GB2312" w:eastAsia="仿宋_GB2312"/>
          <w:sz w:val="28"/>
          <w:szCs w:val="28"/>
        </w:rPr>
        <w:t xml:space="preserve">      乙方开户银行名称、地址和帐号为：</w:t>
      </w:r>
    </w:p>
    <w:p>
      <w:pPr>
        <w:spacing w:line="560" w:lineRule="exact"/>
        <w:rPr>
          <w:rFonts w:ascii="仿宋_GB2312" w:eastAsia="仿宋_GB2312"/>
          <w:sz w:val="28"/>
          <w:szCs w:val="28"/>
          <w:u w:val="single"/>
        </w:rPr>
      </w:pPr>
      <w:r>
        <w:rPr>
          <w:rFonts w:hint="eastAsia" w:ascii="仿宋_GB2312" w:eastAsia="仿宋_GB2312"/>
          <w:sz w:val="28"/>
          <w:szCs w:val="28"/>
        </w:rPr>
        <w:t xml:space="preserve">         开户银行：</w:t>
      </w:r>
      <w:r>
        <w:rPr>
          <w:rFonts w:hint="eastAsia" w:ascii="仿宋_GB2312" w:eastAsia="仿宋_GB2312"/>
          <w:sz w:val="28"/>
          <w:szCs w:val="28"/>
          <w:u w:val="single"/>
        </w:rPr>
        <w:t xml:space="preserve">                                       </w:t>
      </w:r>
    </w:p>
    <w:p>
      <w:pPr>
        <w:spacing w:line="560" w:lineRule="exact"/>
        <w:rPr>
          <w:rFonts w:ascii="仿宋_GB2312" w:eastAsia="仿宋_GB2312"/>
          <w:sz w:val="28"/>
          <w:szCs w:val="28"/>
          <w:u w:val="single"/>
        </w:rPr>
      </w:pPr>
      <w:r>
        <w:rPr>
          <w:rFonts w:hint="eastAsia" w:ascii="仿宋_GB2312" w:eastAsia="仿宋_GB2312"/>
          <w:sz w:val="28"/>
          <w:szCs w:val="28"/>
        </w:rPr>
        <w:t xml:space="preserve">         地址：</w:t>
      </w:r>
      <w:r>
        <w:rPr>
          <w:rFonts w:hint="eastAsia" w:ascii="仿宋_GB2312" w:eastAsia="仿宋_GB2312"/>
          <w:sz w:val="28"/>
          <w:szCs w:val="28"/>
          <w:u w:val="single"/>
        </w:rPr>
        <w:t xml:space="preserve">                                           </w:t>
      </w:r>
    </w:p>
    <w:p>
      <w:pPr>
        <w:spacing w:line="560" w:lineRule="exact"/>
        <w:rPr>
          <w:rFonts w:ascii="仿宋_GB2312" w:eastAsia="仿宋_GB2312"/>
          <w:sz w:val="28"/>
          <w:szCs w:val="28"/>
          <w:u w:val="single"/>
        </w:rPr>
      </w:pPr>
      <w:r>
        <w:rPr>
          <w:rFonts w:hint="eastAsia" w:ascii="仿宋_GB2312" w:eastAsia="仿宋_GB2312"/>
          <w:sz w:val="28"/>
          <w:szCs w:val="28"/>
        </w:rPr>
        <w:t xml:space="preserve">         帐号：</w:t>
      </w:r>
      <w:r>
        <w:rPr>
          <w:rFonts w:hint="eastAsia" w:ascii="仿宋_GB2312" w:eastAsia="仿宋_GB2312"/>
          <w:sz w:val="28"/>
          <w:szCs w:val="28"/>
          <w:u w:val="single"/>
        </w:rPr>
        <w:t xml:space="preserve">                                           </w:t>
      </w:r>
    </w:p>
    <w:p>
      <w:pPr>
        <w:spacing w:line="560" w:lineRule="exact"/>
        <w:rPr>
          <w:rFonts w:ascii="仿宋_GB2312" w:eastAsia="仿宋_GB2312"/>
          <w:sz w:val="28"/>
          <w:szCs w:val="28"/>
        </w:rPr>
      </w:pPr>
      <w:r>
        <w:rPr>
          <w:rFonts w:hint="eastAsia" w:ascii="仿宋_GB2312" w:eastAsia="仿宋_GB2312"/>
          <w:sz w:val="28"/>
          <w:szCs w:val="28"/>
        </w:rPr>
        <w:t xml:space="preserve">    第五条：履行本合同应遵守的保密义务如下：</w:t>
      </w:r>
    </w:p>
    <w:p>
      <w:pPr>
        <w:spacing w:line="560" w:lineRule="exact"/>
        <w:jc w:val="left"/>
        <w:rPr>
          <w:rFonts w:ascii="仿宋_GB2312" w:hAnsi="Times New Roman" w:eastAsia="仿宋_GB2312"/>
          <w:sz w:val="28"/>
          <w:szCs w:val="28"/>
        </w:rPr>
      </w:pPr>
      <w:r>
        <w:rPr>
          <w:rFonts w:hint="eastAsia" w:ascii="仿宋_GB2312" w:hAnsi="Times New Roman" w:eastAsia="仿宋_GB2312"/>
          <w:sz w:val="28"/>
          <w:szCs w:val="28"/>
        </w:rPr>
        <w:t>1、没有甲方事先书面同意，乙方不得将成果</w:t>
      </w:r>
      <w:r>
        <w:rPr>
          <w:rFonts w:hint="eastAsia" w:ascii="仿宋_GB2312" w:eastAsia="仿宋_GB2312"/>
          <w:sz w:val="28"/>
          <w:szCs w:val="28"/>
        </w:rPr>
        <w:t>文件以及涉及到本项目的所有资料提</w:t>
      </w:r>
      <w:r>
        <w:rPr>
          <w:rFonts w:hint="eastAsia" w:ascii="仿宋_GB2312" w:hAnsi="Times New Roman" w:eastAsia="仿宋_GB2312"/>
          <w:sz w:val="28"/>
          <w:szCs w:val="28"/>
        </w:rPr>
        <w:t>供给与履行本合同无关的任何人。即使向与履行本合同有关的人员提供，也必须保密并限于履行合同必须的范围。</w:t>
      </w:r>
    </w:p>
    <w:p>
      <w:pPr>
        <w:spacing w:line="560" w:lineRule="exact"/>
        <w:jc w:val="left"/>
        <w:rPr>
          <w:rFonts w:ascii="仿宋_GB2312" w:hAnsi="Times New Roman" w:eastAsia="仿宋_GB2312"/>
          <w:sz w:val="28"/>
          <w:szCs w:val="28"/>
        </w:rPr>
      </w:pPr>
      <w:r>
        <w:rPr>
          <w:rFonts w:hint="eastAsia" w:ascii="仿宋_GB2312" w:hAnsi="Times New Roman" w:eastAsia="仿宋_GB2312"/>
          <w:sz w:val="28"/>
          <w:szCs w:val="28"/>
        </w:rPr>
        <w:t>2、没有甲方事先书面同意，除了履行本合同之外，乙方不应使用与本项目有关的任何文件和资料。</w:t>
      </w:r>
    </w:p>
    <w:p>
      <w:pPr>
        <w:spacing w:line="560" w:lineRule="exact"/>
        <w:jc w:val="left"/>
        <w:rPr>
          <w:rFonts w:ascii="仿宋_GB2312" w:hAnsi="Times New Roman" w:eastAsia="仿宋_GB2312"/>
          <w:sz w:val="28"/>
          <w:szCs w:val="28"/>
        </w:rPr>
      </w:pPr>
      <w:r>
        <w:rPr>
          <w:rFonts w:hint="eastAsia" w:ascii="仿宋_GB2312" w:hAnsi="Times New Roman" w:eastAsia="仿宋_GB2312"/>
          <w:sz w:val="28"/>
          <w:szCs w:val="28"/>
        </w:rPr>
        <w:t>3、本项目所涉及的文件和资料是甲方的财产。如果甲方有要求，乙方在完成合同后应将这些文件及全部复制件还给甲方。</w:t>
      </w:r>
    </w:p>
    <w:p>
      <w:pPr>
        <w:spacing w:line="560" w:lineRule="exact"/>
        <w:rPr>
          <w:rFonts w:ascii="仿宋_GB2312" w:eastAsia="仿宋_GB2312"/>
          <w:sz w:val="28"/>
          <w:szCs w:val="28"/>
        </w:rPr>
      </w:pPr>
      <w:r>
        <w:rPr>
          <w:rFonts w:hint="eastAsia" w:ascii="仿宋_GB2312" w:hAnsi="Times New Roman" w:eastAsia="仿宋_GB2312"/>
          <w:sz w:val="28"/>
          <w:szCs w:val="28"/>
        </w:rPr>
        <w:t>4、因乙方泄密造成甲方损失的，甲方将追究其法律责任，并要求乙方赔偿损失，支付甲方违约金人民币十五万元，甲方不承担保密措施费。</w:t>
      </w:r>
      <w:r>
        <w:rPr>
          <w:rFonts w:hint="eastAsia" w:ascii="仿宋_GB2312" w:eastAsia="仿宋_GB2312"/>
          <w:sz w:val="28"/>
          <w:szCs w:val="28"/>
        </w:rPr>
        <w:t xml:space="preserve">  </w:t>
      </w:r>
    </w:p>
    <w:p>
      <w:pPr>
        <w:spacing w:line="560" w:lineRule="exact"/>
        <w:rPr>
          <w:rFonts w:ascii="仿宋_GB2312" w:eastAsia="仿宋_GB2312"/>
          <w:sz w:val="28"/>
          <w:szCs w:val="28"/>
        </w:rPr>
      </w:pPr>
      <w:r>
        <w:rPr>
          <w:rFonts w:hint="eastAsia" w:ascii="仿宋_GB2312" w:eastAsia="仿宋_GB2312"/>
          <w:sz w:val="28"/>
          <w:szCs w:val="28"/>
        </w:rPr>
        <w:t xml:space="preserve">    第六条：本合同的变更必须由双方协商一致，并以书面形式确定。</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第七条：双方确定以下列标准和方式对乙方的技术服务工作成果进行验收：</w:t>
      </w:r>
    </w:p>
    <w:p>
      <w:pPr>
        <w:spacing w:line="560" w:lineRule="exact"/>
        <w:jc w:val="left"/>
        <w:rPr>
          <w:rFonts w:ascii="仿宋_GB2312" w:eastAsia="仿宋_GB2312"/>
          <w:sz w:val="28"/>
          <w:szCs w:val="28"/>
        </w:rPr>
      </w:pPr>
      <w:r>
        <w:rPr>
          <w:rFonts w:hint="eastAsia" w:ascii="仿宋_GB2312" w:eastAsia="仿宋_GB2312"/>
          <w:sz w:val="28"/>
          <w:szCs w:val="28"/>
        </w:rPr>
        <w:t xml:space="preserve">     以通过甲方评审为准。若甲方评审通过后，视为验收合格，若甲方评审不通过，视为不合格，则乙方需继续为甲方提供咨询服务，直至通过甲方的评审。</w:t>
      </w:r>
    </w:p>
    <w:p>
      <w:pPr>
        <w:spacing w:line="560" w:lineRule="exact"/>
        <w:rPr>
          <w:rFonts w:ascii="仿宋_GB2312" w:eastAsia="仿宋_GB2312"/>
          <w:sz w:val="28"/>
          <w:szCs w:val="28"/>
        </w:rPr>
      </w:pPr>
      <w:r>
        <w:rPr>
          <w:rFonts w:hint="eastAsia" w:ascii="仿宋_GB2312" w:eastAsia="仿宋_GB2312"/>
          <w:sz w:val="28"/>
          <w:szCs w:val="28"/>
        </w:rPr>
        <w:t xml:space="preserve">   第八条：双方确定：</w:t>
      </w:r>
    </w:p>
    <w:p>
      <w:pPr>
        <w:spacing w:line="560" w:lineRule="exact"/>
        <w:rPr>
          <w:rFonts w:ascii="仿宋_GB2312" w:eastAsia="仿宋_GB2312"/>
          <w:sz w:val="28"/>
          <w:szCs w:val="28"/>
        </w:rPr>
      </w:pPr>
      <w:r>
        <w:rPr>
          <w:rFonts w:hint="eastAsia" w:ascii="仿宋_GB2312" w:eastAsia="仿宋_GB2312"/>
          <w:sz w:val="28"/>
          <w:szCs w:val="28"/>
        </w:rPr>
        <w:t xml:space="preserve">      1．在本合同有效期内，甲方利用乙方提交的技术服务工作成果所完成的新的技术成果，归</w:t>
      </w:r>
      <w:r>
        <w:rPr>
          <w:rFonts w:hint="eastAsia" w:ascii="仿宋_GB2312" w:eastAsia="仿宋_GB2312"/>
          <w:sz w:val="28"/>
          <w:szCs w:val="28"/>
          <w:u w:val="single"/>
        </w:rPr>
        <w:t xml:space="preserve">   </w:t>
      </w:r>
      <w:r>
        <w:rPr>
          <w:rFonts w:hint="eastAsia" w:ascii="仿宋_GB2312" w:eastAsia="仿宋_GB2312"/>
          <w:sz w:val="28"/>
          <w:szCs w:val="28"/>
        </w:rPr>
        <w:t>甲</w:t>
      </w:r>
      <w:r>
        <w:rPr>
          <w:rFonts w:hint="eastAsia" w:ascii="仿宋_GB2312" w:eastAsia="仿宋_GB2312"/>
          <w:sz w:val="28"/>
          <w:szCs w:val="28"/>
          <w:u w:val="single"/>
        </w:rPr>
        <w:t xml:space="preserve">    </w:t>
      </w:r>
      <w:r>
        <w:rPr>
          <w:rFonts w:hint="eastAsia" w:ascii="仿宋_GB2312" w:eastAsia="仿宋_GB2312"/>
          <w:sz w:val="28"/>
          <w:szCs w:val="28"/>
        </w:rPr>
        <w:t>方所有。</w:t>
      </w:r>
    </w:p>
    <w:p>
      <w:pPr>
        <w:spacing w:line="560" w:lineRule="exact"/>
        <w:rPr>
          <w:rFonts w:ascii="仿宋_GB2312" w:eastAsia="仿宋_GB2312"/>
          <w:sz w:val="28"/>
          <w:szCs w:val="28"/>
        </w:rPr>
      </w:pPr>
      <w:r>
        <w:rPr>
          <w:rFonts w:hint="eastAsia" w:ascii="仿宋_GB2312" w:eastAsia="仿宋_GB2312"/>
          <w:sz w:val="28"/>
          <w:szCs w:val="28"/>
        </w:rPr>
        <w:t xml:space="preserve">      2．在本合同有效期内，乙方利用甲方提供的技术资料和工作条件所完成的新的技术成果，归</w:t>
      </w:r>
      <w:r>
        <w:rPr>
          <w:rFonts w:hint="eastAsia" w:ascii="仿宋_GB2312" w:eastAsia="仿宋_GB2312"/>
          <w:sz w:val="28"/>
          <w:szCs w:val="28"/>
          <w:u w:val="single"/>
        </w:rPr>
        <w:t xml:space="preserve">   双    </w:t>
      </w:r>
      <w:r>
        <w:rPr>
          <w:rFonts w:hint="eastAsia" w:ascii="仿宋_GB2312" w:eastAsia="仿宋_GB2312"/>
          <w:sz w:val="28"/>
          <w:szCs w:val="28"/>
        </w:rPr>
        <w:t>方所有。</w:t>
      </w:r>
    </w:p>
    <w:p>
      <w:pPr>
        <w:spacing w:line="560" w:lineRule="exact"/>
        <w:rPr>
          <w:rFonts w:ascii="仿宋_GB2312" w:eastAsia="仿宋_GB2312"/>
          <w:sz w:val="28"/>
          <w:szCs w:val="28"/>
        </w:rPr>
      </w:pPr>
      <w:r>
        <w:rPr>
          <w:rFonts w:hint="eastAsia" w:ascii="仿宋_GB2312" w:eastAsia="仿宋_GB2312"/>
          <w:sz w:val="28"/>
          <w:szCs w:val="28"/>
        </w:rPr>
        <w:t xml:space="preserve">    第九条：双方确定，按以下约定承担各自的违约责任：</w:t>
      </w:r>
    </w:p>
    <w:p>
      <w:pPr>
        <w:spacing w:line="560" w:lineRule="exact"/>
        <w:rPr>
          <w:rFonts w:ascii="仿宋_GB2312" w:eastAsia="仿宋_GB2312"/>
          <w:sz w:val="28"/>
          <w:szCs w:val="28"/>
        </w:rPr>
      </w:pPr>
      <w:r>
        <w:rPr>
          <w:rFonts w:hint="eastAsia" w:ascii="仿宋_GB2312" w:eastAsia="仿宋_GB2312"/>
          <w:sz w:val="28"/>
          <w:szCs w:val="28"/>
        </w:rPr>
        <w:t>1、违反本合同约定，违约方应当按合同法第一百一十四条、第一百一十六条及其相应的规定承担违约责任。</w:t>
      </w:r>
    </w:p>
    <w:p>
      <w:pPr>
        <w:spacing w:line="560" w:lineRule="exact"/>
        <w:rPr>
          <w:rFonts w:ascii="仿宋_GB2312" w:eastAsia="仿宋_GB2312"/>
          <w:sz w:val="28"/>
          <w:szCs w:val="28"/>
        </w:rPr>
      </w:pPr>
      <w:r>
        <w:rPr>
          <w:rFonts w:hint="eastAsia" w:ascii="仿宋_GB2312" w:eastAsia="仿宋_GB2312"/>
          <w:sz w:val="28"/>
          <w:szCs w:val="28"/>
        </w:rPr>
        <w:t>2、除合同条款规定的情况外，如果乙方没有按照合同规定的时间提供服务并造成后果的，甲方可视乙方配合整改态度酌情从合同价中扣除误期赔偿费。每延误一周的赔偿费按合同总价的百分之一(1％)计收，直至提供合格服务为止。误期赔偿费的最高限额为合同价格的百分之十(10％)。一旦达到误期赔偿费的最高限额不再赔付，甲方有权单方面终止合同，乙方应退还已经收取的所有服务费。</w:t>
      </w:r>
    </w:p>
    <w:p>
      <w:pPr>
        <w:spacing w:line="560" w:lineRule="exact"/>
        <w:rPr>
          <w:rFonts w:ascii="仿宋_GB2312" w:eastAsia="仿宋_GB2312"/>
          <w:sz w:val="28"/>
          <w:szCs w:val="28"/>
        </w:rPr>
      </w:pPr>
      <w:r>
        <w:rPr>
          <w:rFonts w:hint="eastAsia" w:ascii="仿宋_GB2312" w:eastAsia="仿宋_GB2312"/>
          <w:sz w:val="28"/>
          <w:szCs w:val="28"/>
        </w:rPr>
        <w:t>3、除本合同另有规定外，任何一方违反本合同项下义务，应按照我国《合同法》相关规定承担违约责任，向守约方承担赔偿责任。</w:t>
      </w:r>
    </w:p>
    <w:p>
      <w:pPr>
        <w:spacing w:line="560" w:lineRule="exact"/>
        <w:rPr>
          <w:rFonts w:ascii="仿宋_GB2312" w:eastAsia="仿宋_GB2312"/>
          <w:sz w:val="28"/>
          <w:szCs w:val="28"/>
          <w:u w:val="single"/>
        </w:rPr>
      </w:pPr>
      <w:r>
        <w:rPr>
          <w:rFonts w:hint="eastAsia" w:ascii="仿宋_GB2312" w:eastAsia="仿宋_GB2312"/>
          <w:sz w:val="28"/>
          <w:szCs w:val="28"/>
        </w:rPr>
        <w:t xml:space="preserve">   第十条：双方确定，在本合同有效期内，甲方指定</w:t>
      </w:r>
      <w:r>
        <w:rPr>
          <w:rFonts w:hint="eastAsia" w:ascii="仿宋_GB2312" w:eastAsia="仿宋_GB2312"/>
          <w:sz w:val="28"/>
          <w:szCs w:val="28"/>
          <w:u w:val="single"/>
        </w:rPr>
        <w:t>　　　　　　</w:t>
      </w:r>
    </w:p>
    <w:p>
      <w:pPr>
        <w:spacing w:line="560" w:lineRule="exact"/>
        <w:rPr>
          <w:rFonts w:ascii="仿宋_GB2312" w:eastAsia="仿宋_GB2312"/>
          <w:sz w:val="28"/>
          <w:szCs w:val="28"/>
        </w:rPr>
      </w:pPr>
      <w:r>
        <w:rPr>
          <w:rFonts w:hint="eastAsia" w:ascii="仿宋_GB2312" w:eastAsia="仿宋_GB2312"/>
          <w:sz w:val="28"/>
          <w:szCs w:val="28"/>
        </w:rPr>
        <w:t>为甲方项目联系人，乙方指定</w:t>
      </w:r>
      <w:r>
        <w:rPr>
          <w:rFonts w:hint="eastAsia" w:ascii="仿宋_GB2312" w:eastAsia="仿宋_GB2312"/>
          <w:sz w:val="28"/>
          <w:szCs w:val="28"/>
          <w:u w:val="single"/>
        </w:rPr>
        <w:t>　　　　　　　</w:t>
      </w:r>
      <w:r>
        <w:rPr>
          <w:rFonts w:hint="eastAsia" w:ascii="仿宋_GB2312" w:eastAsia="仿宋_GB2312"/>
          <w:sz w:val="28"/>
          <w:szCs w:val="28"/>
        </w:rPr>
        <w:t>为乙方项目联系人。项目联系人承担以下责任：</w:t>
      </w:r>
    </w:p>
    <w:p>
      <w:pPr>
        <w:spacing w:line="560" w:lineRule="exact"/>
        <w:rPr>
          <w:rFonts w:ascii="仿宋_GB2312" w:eastAsia="仿宋_GB2312"/>
          <w:sz w:val="28"/>
          <w:szCs w:val="28"/>
          <w:u w:val="single"/>
        </w:rPr>
      </w:pPr>
      <w:r>
        <w:rPr>
          <w:rFonts w:hint="eastAsia" w:ascii="仿宋_GB2312" w:eastAsia="仿宋_GB2312"/>
          <w:sz w:val="28"/>
          <w:szCs w:val="28"/>
        </w:rPr>
        <w:t xml:space="preserve">      1．甲方联系人对项目进行全程跟踪，提供乙方相关需求资料，及时沟通满足乙方项目设计相关所需需求，安排项目阶段性汇报及验收。</w:t>
      </w:r>
      <w:r>
        <w:rPr>
          <w:rFonts w:hint="eastAsia" w:ascii="仿宋_GB2312" w:eastAsia="仿宋_GB2312"/>
          <w:sz w:val="28"/>
          <w:szCs w:val="28"/>
          <w:u w:val="single"/>
        </w:rPr>
        <w:t>　　　　 　　　　　　　　　　　　　　　</w:t>
      </w:r>
    </w:p>
    <w:p>
      <w:pPr>
        <w:spacing w:line="560" w:lineRule="exact"/>
        <w:rPr>
          <w:rFonts w:ascii="仿宋_GB2312" w:eastAsia="仿宋_GB2312"/>
          <w:sz w:val="28"/>
          <w:szCs w:val="28"/>
          <w:u w:val="single"/>
        </w:rPr>
      </w:pPr>
      <w:r>
        <w:rPr>
          <w:rFonts w:hint="eastAsia" w:ascii="仿宋_GB2312" w:eastAsia="仿宋_GB2312"/>
          <w:sz w:val="28"/>
          <w:szCs w:val="28"/>
        </w:rPr>
        <w:t xml:space="preserve">      2．乙方联系人要全面了解项目内容、进程，把控项目质量，及时与甲方沟通满足甲方项目设计相关需求，及时反馈甲方项目优化意见。</w:t>
      </w:r>
      <w:r>
        <w:rPr>
          <w:rFonts w:hint="eastAsia" w:ascii="仿宋_GB2312" w:eastAsia="仿宋_GB2312"/>
          <w:sz w:val="28"/>
          <w:szCs w:val="28"/>
          <w:u w:val="single"/>
        </w:rPr>
        <w:t xml:space="preserve">                                               </w:t>
      </w:r>
    </w:p>
    <w:p>
      <w:pPr>
        <w:spacing w:line="560" w:lineRule="exact"/>
        <w:rPr>
          <w:rFonts w:ascii="仿宋_GB2312" w:eastAsia="仿宋_GB2312"/>
          <w:sz w:val="28"/>
          <w:szCs w:val="28"/>
        </w:rPr>
      </w:pPr>
      <w:r>
        <w:rPr>
          <w:rFonts w:hint="eastAsia" w:ascii="仿宋_GB2312" w:eastAsia="仿宋_GB2312"/>
          <w:sz w:val="28"/>
          <w:szCs w:val="28"/>
        </w:rPr>
        <w:t>　　一方变更项目联系人的，应当及时以书面形式通知另一方，未及时通知并影响本合同履行或造成损失的，应承担相应的责任。</w:t>
      </w:r>
    </w:p>
    <w:p>
      <w:pPr>
        <w:spacing w:line="560" w:lineRule="exact"/>
        <w:rPr>
          <w:rFonts w:ascii="仿宋_GB2312" w:eastAsia="仿宋_GB2312"/>
          <w:sz w:val="28"/>
          <w:szCs w:val="28"/>
        </w:rPr>
      </w:pPr>
      <w:r>
        <w:rPr>
          <w:rFonts w:hint="eastAsia" w:ascii="仿宋_GB2312" w:eastAsia="仿宋_GB2312"/>
          <w:sz w:val="28"/>
          <w:szCs w:val="28"/>
        </w:rPr>
        <w:t>第十一条：</w:t>
      </w:r>
    </w:p>
    <w:p>
      <w:pPr>
        <w:spacing w:line="560" w:lineRule="exact"/>
        <w:rPr>
          <w:rFonts w:ascii="仿宋_GB2312" w:eastAsia="仿宋_GB2312"/>
          <w:sz w:val="28"/>
          <w:szCs w:val="28"/>
        </w:rPr>
      </w:pPr>
      <w:r>
        <w:rPr>
          <w:rFonts w:hint="eastAsia" w:ascii="仿宋_GB2312" w:eastAsia="仿宋_GB2312"/>
          <w:sz w:val="28"/>
          <w:szCs w:val="28"/>
        </w:rPr>
        <w:t>1. 在合同有效期内，任何一方因不可抗力事件导致不能履行合同，则合同履行期可延长，其延长期与不可抗力影响期相同。</w:t>
      </w:r>
    </w:p>
    <w:p>
      <w:pPr>
        <w:spacing w:line="560" w:lineRule="exact"/>
        <w:rPr>
          <w:rFonts w:ascii="仿宋_GB2312" w:eastAsia="仿宋_GB2312"/>
          <w:sz w:val="28"/>
          <w:szCs w:val="28"/>
        </w:rPr>
      </w:pPr>
      <w:r>
        <w:rPr>
          <w:rFonts w:hint="eastAsia" w:ascii="仿宋_GB2312" w:eastAsia="仿宋_GB2312"/>
          <w:sz w:val="28"/>
          <w:szCs w:val="28"/>
        </w:rPr>
        <w:t>2. 不可抗力事件发生后，遭遇不可抗力的一方应立即通知对方，并寄送有关官方权威机构出具的证明。</w:t>
      </w:r>
    </w:p>
    <w:p>
      <w:pPr>
        <w:adjustRightInd w:val="0"/>
        <w:snapToGrid w:val="0"/>
        <w:spacing w:line="560" w:lineRule="exact"/>
        <w:rPr>
          <w:rFonts w:ascii="仿宋_GB2312" w:eastAsia="仿宋_GB2312"/>
          <w:sz w:val="28"/>
          <w:szCs w:val="28"/>
        </w:rPr>
      </w:pPr>
      <w:r>
        <w:rPr>
          <w:rFonts w:hint="eastAsia" w:ascii="仿宋_GB2312" w:eastAsia="仿宋_GB2312"/>
          <w:sz w:val="28"/>
          <w:szCs w:val="28"/>
        </w:rPr>
        <w:t xml:space="preserve">3. 不可抗力事件延续【30 】天以上，双方应通过友好协商，确定是否继续履行合同；协商无法达成一致的，本合同自动终止，双方互不承担赔偿或违约责任。    </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eastAsia="仿宋_GB2312"/>
          <w:sz w:val="28"/>
          <w:szCs w:val="28"/>
        </w:rPr>
        <w:t>第十二条：</w:t>
      </w:r>
    </w:p>
    <w:p>
      <w:pPr>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双方在执行合同中所发生的一切争议，应通过协商解决。如协商不成，由甲方所在地的人民法院管辖审理。</w:t>
      </w:r>
    </w:p>
    <w:p>
      <w:pPr>
        <w:spacing w:line="560" w:lineRule="exact"/>
        <w:rPr>
          <w:rFonts w:ascii="仿宋_GB2312" w:eastAsia="仿宋_GB2312"/>
          <w:sz w:val="28"/>
          <w:szCs w:val="28"/>
        </w:rPr>
      </w:pPr>
      <w:r>
        <w:rPr>
          <w:rFonts w:hint="eastAsia" w:ascii="仿宋_GB2312" w:eastAsia="仿宋_GB2312"/>
          <w:sz w:val="28"/>
          <w:szCs w:val="28"/>
        </w:rPr>
        <w:t xml:space="preserve">     第十三条：与履行本合同有关的下列技术文件，经双方确认后，</w:t>
      </w:r>
      <w:r>
        <w:rPr>
          <w:rFonts w:hint="eastAsia" w:ascii="仿宋_GB2312" w:eastAsia="仿宋_GB2312"/>
          <w:sz w:val="28"/>
          <w:szCs w:val="28"/>
          <w:u w:val="single"/>
        </w:rPr>
        <w:t xml:space="preserve">                     </w:t>
      </w:r>
      <w:r>
        <w:rPr>
          <w:rFonts w:hint="eastAsia" w:ascii="仿宋_GB2312" w:eastAsia="仿宋_GB2312"/>
          <w:sz w:val="28"/>
          <w:szCs w:val="28"/>
        </w:rPr>
        <w:t>为本合同的组成部分，</w:t>
      </w:r>
      <w:r>
        <w:rPr>
          <w:rFonts w:hint="eastAsia" w:ascii="仿宋_GB2312" w:hAnsi="Times New Roman" w:eastAsia="仿宋_GB2312"/>
          <w:sz w:val="28"/>
          <w:szCs w:val="28"/>
        </w:rPr>
        <w:t>合同与招投标文件不一致解释顺序如下</w:t>
      </w:r>
      <w:r>
        <w:rPr>
          <w:rFonts w:hint="eastAsia" w:ascii="仿宋_GB2312" w:eastAsia="仿宋_GB2312"/>
          <w:sz w:val="28"/>
          <w:szCs w:val="28"/>
        </w:rPr>
        <w:t>：</w:t>
      </w:r>
    </w:p>
    <w:p>
      <w:pPr>
        <w:spacing w:line="560" w:lineRule="exact"/>
        <w:ind w:firstLine="420"/>
        <w:rPr>
          <w:rFonts w:ascii="仿宋_GB2312" w:hAnsi="Times New Roman" w:eastAsia="仿宋_GB2312"/>
          <w:sz w:val="28"/>
          <w:szCs w:val="28"/>
        </w:rPr>
      </w:pPr>
      <w:r>
        <w:rPr>
          <w:rFonts w:hint="eastAsia" w:ascii="仿宋_GB2312" w:hAnsi="Times New Roman" w:eastAsia="仿宋_GB2312"/>
          <w:sz w:val="28"/>
          <w:szCs w:val="28"/>
        </w:rPr>
        <w:t>1.本合同协议书</w:t>
      </w:r>
    </w:p>
    <w:p>
      <w:pPr>
        <w:spacing w:line="560" w:lineRule="exact"/>
        <w:ind w:firstLine="420"/>
        <w:rPr>
          <w:rFonts w:ascii="仿宋_GB2312" w:hAnsi="Times New Roman" w:eastAsia="仿宋_GB2312"/>
          <w:sz w:val="28"/>
          <w:szCs w:val="28"/>
        </w:rPr>
      </w:pPr>
      <w:r>
        <w:rPr>
          <w:rFonts w:hint="eastAsia" w:ascii="仿宋_GB2312" w:hAnsi="Times New Roman" w:eastAsia="仿宋_GB2312"/>
          <w:sz w:val="28"/>
          <w:szCs w:val="28"/>
        </w:rPr>
        <w:t>2.中标通知书</w:t>
      </w:r>
    </w:p>
    <w:p>
      <w:pPr>
        <w:spacing w:line="560" w:lineRule="exact"/>
        <w:ind w:firstLine="420"/>
        <w:rPr>
          <w:rFonts w:ascii="仿宋_GB2312" w:hAnsi="Times New Roman" w:eastAsia="仿宋_GB2312"/>
          <w:sz w:val="28"/>
          <w:szCs w:val="28"/>
        </w:rPr>
      </w:pPr>
      <w:r>
        <w:rPr>
          <w:rFonts w:hint="eastAsia" w:ascii="仿宋_GB2312" w:hAnsi="Times New Roman" w:eastAsia="仿宋_GB2312"/>
          <w:sz w:val="28"/>
          <w:szCs w:val="28"/>
        </w:rPr>
        <w:t>3.投标书及其附件</w:t>
      </w:r>
    </w:p>
    <w:p>
      <w:pPr>
        <w:spacing w:line="560" w:lineRule="exact"/>
        <w:ind w:firstLine="420"/>
        <w:rPr>
          <w:rFonts w:ascii="仿宋_GB2312" w:hAnsi="Times New Roman" w:eastAsia="仿宋_GB2312"/>
          <w:sz w:val="28"/>
          <w:szCs w:val="28"/>
        </w:rPr>
      </w:pPr>
      <w:r>
        <w:rPr>
          <w:rFonts w:hint="eastAsia" w:ascii="仿宋_GB2312" w:hAnsi="Times New Roman" w:eastAsia="仿宋_GB2312"/>
          <w:sz w:val="28"/>
          <w:szCs w:val="28"/>
        </w:rPr>
        <w:t>4.招标文件</w:t>
      </w:r>
    </w:p>
    <w:p>
      <w:pPr>
        <w:spacing w:line="560" w:lineRule="exact"/>
        <w:rPr>
          <w:rFonts w:ascii="仿宋_GB2312" w:eastAsia="仿宋_GB2312"/>
          <w:sz w:val="28"/>
          <w:szCs w:val="28"/>
        </w:rPr>
      </w:pPr>
      <w:r>
        <w:rPr>
          <w:rFonts w:hint="eastAsia" w:ascii="仿宋_GB2312" w:hAnsi="Times New Roman" w:eastAsia="仿宋_GB2312"/>
          <w:sz w:val="28"/>
          <w:szCs w:val="28"/>
        </w:rPr>
        <w:t>5.标准、规范及有关技术文件</w:t>
      </w:r>
    </w:p>
    <w:p>
      <w:pPr>
        <w:spacing w:line="560" w:lineRule="exact"/>
        <w:rPr>
          <w:rFonts w:ascii="仿宋_GB2312" w:eastAsia="仿宋_GB2312"/>
          <w:sz w:val="28"/>
          <w:szCs w:val="28"/>
          <w:u w:val="single"/>
        </w:rPr>
      </w:pPr>
      <w:r>
        <w:rPr>
          <w:rFonts w:hint="eastAsia" w:ascii="仿宋_GB2312" w:eastAsia="仿宋_GB2312"/>
          <w:sz w:val="28"/>
          <w:szCs w:val="28"/>
        </w:rPr>
        <w:t xml:space="preserve">      第十四条：双方约定本合同其他相关事项为：</w:t>
      </w:r>
    </w:p>
    <w:p>
      <w:pPr>
        <w:spacing w:line="560" w:lineRule="exact"/>
        <w:ind w:firstLine="840" w:firstLineChars="300"/>
        <w:rPr>
          <w:rFonts w:ascii="仿宋_GB2312" w:eastAsia="仿宋_GB2312"/>
          <w:sz w:val="28"/>
          <w:szCs w:val="28"/>
          <w:u w:val="single"/>
        </w:rPr>
      </w:pPr>
      <w:r>
        <w:rPr>
          <w:rFonts w:hint="eastAsia" w:ascii="仿宋_GB2312" w:eastAsia="仿宋_GB2312"/>
          <w:sz w:val="28"/>
          <w:szCs w:val="28"/>
          <w:u w:val="single"/>
        </w:rPr>
        <w:t>1．乙方应在收到甲方中标通知书后【3】日内，向甲方支付合同总价的【10%】作为履约保证金。如果逾期未缴纳，甲方有权解除本合同，并要求乙方承担由此给甲方造成的损失。</w:t>
      </w:r>
    </w:p>
    <w:p>
      <w:pPr>
        <w:spacing w:line="560" w:lineRule="exact"/>
        <w:ind w:firstLine="840" w:firstLineChars="300"/>
        <w:rPr>
          <w:rFonts w:ascii="仿宋_GB2312" w:eastAsia="仿宋_GB2312"/>
          <w:sz w:val="28"/>
          <w:szCs w:val="28"/>
          <w:u w:val="single"/>
        </w:rPr>
      </w:pPr>
      <w:r>
        <w:rPr>
          <w:rFonts w:hint="eastAsia" w:ascii="仿宋_GB2312" w:eastAsia="仿宋_GB2312"/>
          <w:sz w:val="28"/>
          <w:szCs w:val="28"/>
          <w:u w:val="single"/>
        </w:rPr>
        <w:t>2．在合同履行期间，如果乙方存在违约情形，甲方有权优先从履约保证金中扣除相应款项，并书面通知乙方。乙方自收到书面通知之日起【7】日内补足履约保证金。如果乙方不及时补足履约保证金，视为乙方违约，甲方有权解除合同，并要求乙方承担相应的违约责任。待合同约定服务内容全部履行并完毕，乙方不存在任何违约情形并收到甲方书面认可后【15】日内，甲方无息返还履约保证金。</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第十五条：本合同一式</w:t>
      </w:r>
      <w:r>
        <w:rPr>
          <w:rFonts w:hint="eastAsia" w:ascii="仿宋_GB2312" w:eastAsia="仿宋_GB2312"/>
          <w:sz w:val="28"/>
          <w:szCs w:val="28"/>
          <w:u w:val="single"/>
        </w:rPr>
        <w:t xml:space="preserve">  　陆  </w:t>
      </w:r>
      <w:r>
        <w:rPr>
          <w:rFonts w:hint="eastAsia" w:ascii="仿宋_GB2312" w:eastAsia="仿宋_GB2312"/>
          <w:sz w:val="28"/>
          <w:szCs w:val="28"/>
        </w:rPr>
        <w:t>份，甲方执肆份，乙方执贰份，具有同等法律效力。</w:t>
      </w:r>
    </w:p>
    <w:p>
      <w:pPr>
        <w:spacing w:line="560" w:lineRule="exact"/>
        <w:ind w:firstLine="560"/>
        <w:rPr>
          <w:rFonts w:ascii="仿宋_GB2312" w:eastAsia="仿宋_GB2312"/>
          <w:sz w:val="28"/>
          <w:szCs w:val="28"/>
        </w:rPr>
      </w:pPr>
      <w:r>
        <w:rPr>
          <w:rFonts w:hint="eastAsia" w:ascii="仿宋_GB2312" w:eastAsia="仿宋_GB2312"/>
          <w:sz w:val="28"/>
          <w:szCs w:val="28"/>
        </w:rPr>
        <w:t>第十六条：本合同经双方法定代表人或者委托代理人签字盖章之日起生效。</w:t>
      </w:r>
    </w:p>
    <w:p>
      <w:pPr>
        <w:spacing w:line="560" w:lineRule="exact"/>
        <w:ind w:firstLine="560" w:firstLineChars="200"/>
        <w:rPr>
          <w:rFonts w:ascii="仿宋_GB2312" w:eastAsia="仿宋_GB2312"/>
          <w:sz w:val="28"/>
          <w:szCs w:val="28"/>
        </w:rPr>
      </w:pPr>
    </w:p>
    <w:p>
      <w:pPr>
        <w:spacing w:line="560" w:lineRule="exact"/>
        <w:ind w:firstLine="560" w:firstLineChars="200"/>
        <w:rPr>
          <w:rFonts w:ascii="仿宋_GB2312" w:eastAsia="仿宋_GB2312"/>
          <w:sz w:val="28"/>
          <w:szCs w:val="28"/>
        </w:rPr>
      </w:pPr>
    </w:p>
    <w:p>
      <w:pPr>
        <w:spacing w:line="560" w:lineRule="exact"/>
        <w:ind w:firstLine="560" w:firstLineChars="200"/>
        <w:rPr>
          <w:rFonts w:ascii="仿宋_GB2312" w:eastAsia="仿宋_GB2312"/>
          <w:sz w:val="28"/>
          <w:szCs w:val="28"/>
        </w:rPr>
      </w:pPr>
    </w:p>
    <w:p>
      <w:pPr>
        <w:spacing w:line="560" w:lineRule="exact"/>
        <w:ind w:firstLine="560" w:firstLineChars="200"/>
        <w:rPr>
          <w:rFonts w:ascii="仿宋_GB2312" w:eastAsia="仿宋_GB2312"/>
          <w:sz w:val="28"/>
          <w:szCs w:val="28"/>
        </w:rPr>
      </w:pPr>
    </w:p>
    <w:p>
      <w:pPr>
        <w:spacing w:line="560" w:lineRule="exact"/>
        <w:ind w:firstLine="560" w:firstLineChars="200"/>
        <w:rPr>
          <w:rFonts w:ascii="仿宋_GB2312" w:eastAsia="仿宋_GB2312"/>
          <w:sz w:val="28"/>
          <w:szCs w:val="28"/>
        </w:rPr>
      </w:pPr>
    </w:p>
    <w:p>
      <w:pPr>
        <w:spacing w:line="560" w:lineRule="exact"/>
        <w:ind w:firstLine="560" w:firstLineChars="200"/>
        <w:rPr>
          <w:rFonts w:ascii="仿宋_GB2312" w:eastAsia="仿宋_GB2312"/>
          <w:sz w:val="28"/>
          <w:szCs w:val="28"/>
        </w:rPr>
      </w:pPr>
      <w:r>
        <w:rPr>
          <w:rFonts w:hint="eastAsia" w:ascii="仿宋_GB2312" w:eastAsia="仿宋_GB2312"/>
          <w:sz w:val="28"/>
          <w:szCs w:val="28"/>
        </w:rPr>
        <w:t>第十七条：未尽事宜，经双方协商一致，签订补充协议，补充协议与本合同具有同等效力。</w:t>
      </w:r>
    </w:p>
    <w:p>
      <w:pPr>
        <w:spacing w:line="560" w:lineRule="exact"/>
        <w:ind w:firstLine="560"/>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r>
        <w:rPr>
          <w:rFonts w:hint="eastAsia" w:ascii="仿宋_GB2312" w:eastAsia="仿宋_GB2312"/>
          <w:sz w:val="28"/>
          <w:szCs w:val="28"/>
        </w:rPr>
        <w:t>（以下为签署页）</w:t>
      </w:r>
    </w:p>
    <w:p>
      <w:pPr>
        <w:spacing w:line="560" w:lineRule="exact"/>
        <w:rPr>
          <w:rFonts w:ascii="仿宋_GB2312" w:eastAsia="仿宋_GB2312"/>
          <w:sz w:val="28"/>
          <w:szCs w:val="28"/>
        </w:rPr>
      </w:pPr>
    </w:p>
    <w:p>
      <w:pPr>
        <w:spacing w:line="560" w:lineRule="exact"/>
        <w:jc w:val="left"/>
        <w:rPr>
          <w:rFonts w:ascii="仿宋_GB2312" w:eastAsia="仿宋_GB2312"/>
          <w:sz w:val="28"/>
          <w:szCs w:val="28"/>
          <w:u w:val="single"/>
        </w:rPr>
      </w:pPr>
      <w:r>
        <w:rPr>
          <w:rFonts w:hint="eastAsia" w:ascii="仿宋_GB2312" w:eastAsia="仿宋_GB2312"/>
          <w:sz w:val="28"/>
          <w:szCs w:val="28"/>
        </w:rPr>
        <w:t xml:space="preserve">    甲方：</w:t>
      </w:r>
      <w:r>
        <w:rPr>
          <w:rFonts w:hint="eastAsia" w:ascii="仿宋_GB2312" w:eastAsia="仿宋_GB2312"/>
          <w:sz w:val="28"/>
          <w:szCs w:val="28"/>
          <w:u w:val="single"/>
        </w:rPr>
        <w:t xml:space="preserve">杭州萧山国际机场有限公司    （盖章）   </w:t>
      </w:r>
      <w:r>
        <w:rPr>
          <w:rFonts w:hint="eastAsia" w:ascii="仿宋_GB2312" w:eastAsia="仿宋_GB2312"/>
          <w:sz w:val="28"/>
          <w:szCs w:val="28"/>
        </w:rPr>
        <w:t xml:space="preserve">                </w:t>
      </w:r>
    </w:p>
    <w:p>
      <w:pPr>
        <w:spacing w:line="560" w:lineRule="exact"/>
        <w:ind w:firstLine="570"/>
        <w:rPr>
          <w:rFonts w:ascii="仿宋_GB2312" w:eastAsia="仿宋_GB2312"/>
          <w:sz w:val="28"/>
          <w:szCs w:val="28"/>
        </w:rPr>
      </w:pPr>
      <w:r>
        <w:rPr>
          <w:rFonts w:hint="eastAsia" w:ascii="仿宋_GB2312" w:eastAsia="仿宋_GB2312"/>
          <w:sz w:val="28"/>
          <w:szCs w:val="28"/>
        </w:rPr>
        <w:t>法定代表人：</w:t>
      </w:r>
      <w:r>
        <w:rPr>
          <w:rFonts w:hint="eastAsia" w:ascii="仿宋_GB2312" w:eastAsia="仿宋_GB2312"/>
          <w:sz w:val="28"/>
          <w:szCs w:val="28"/>
          <w:u w:val="single"/>
        </w:rPr>
        <w:t>　　　　  　　　      　（签名）</w:t>
      </w:r>
      <w:r>
        <w:rPr>
          <w:rFonts w:hint="eastAsia" w:ascii="仿宋_GB2312" w:eastAsia="仿宋_GB2312"/>
          <w:sz w:val="28"/>
          <w:szCs w:val="28"/>
        </w:rPr>
        <w:t>　</w:t>
      </w:r>
    </w:p>
    <w:p>
      <w:pPr>
        <w:spacing w:line="560" w:lineRule="exact"/>
        <w:ind w:firstLine="570"/>
        <w:rPr>
          <w:rFonts w:ascii="仿宋_GB2312" w:eastAsia="仿宋_GB2312"/>
          <w:sz w:val="28"/>
          <w:szCs w:val="28"/>
        </w:rPr>
      </w:pPr>
      <w:r>
        <w:rPr>
          <w:rFonts w:hint="eastAsia" w:ascii="仿宋_GB2312" w:eastAsia="仿宋_GB2312"/>
          <w:sz w:val="28"/>
          <w:szCs w:val="28"/>
        </w:rPr>
        <w:t>或</w:t>
      </w:r>
    </w:p>
    <w:p>
      <w:pPr>
        <w:spacing w:line="560" w:lineRule="exact"/>
        <w:ind w:firstLine="570"/>
        <w:rPr>
          <w:rFonts w:ascii="仿宋_GB2312" w:eastAsia="仿宋_GB2312"/>
          <w:sz w:val="28"/>
          <w:szCs w:val="28"/>
        </w:rPr>
      </w:pPr>
      <w:r>
        <w:rPr>
          <w:rFonts w:hint="eastAsia" w:ascii="仿宋_GB2312" w:eastAsia="仿宋_GB2312"/>
          <w:sz w:val="28"/>
          <w:szCs w:val="28"/>
        </w:rPr>
        <w:t>委托代理人：</w:t>
      </w:r>
      <w:r>
        <w:rPr>
          <w:rFonts w:hint="eastAsia" w:ascii="仿宋_GB2312" w:eastAsia="仿宋_GB2312"/>
          <w:sz w:val="28"/>
          <w:szCs w:val="28"/>
          <w:u w:val="single"/>
        </w:rPr>
        <w:t>　　　　  　　　      　（签名）</w:t>
      </w:r>
      <w:r>
        <w:rPr>
          <w:rFonts w:hint="eastAsia" w:ascii="仿宋_GB2312" w:eastAsia="仿宋_GB2312"/>
          <w:sz w:val="28"/>
          <w:szCs w:val="28"/>
        </w:rPr>
        <w:t>　</w:t>
      </w:r>
    </w:p>
    <w:p>
      <w:pPr>
        <w:spacing w:line="560" w:lineRule="exact"/>
        <w:ind w:firstLine="570"/>
        <w:rPr>
          <w:rFonts w:ascii="仿宋_GB2312" w:eastAsia="仿宋_GB2312"/>
          <w:sz w:val="28"/>
          <w:szCs w:val="28"/>
        </w:rPr>
      </w:pPr>
      <w:r>
        <w:rPr>
          <w:rFonts w:hint="eastAsia" w:ascii="仿宋_GB2312" w:eastAsia="仿宋_GB2312"/>
          <w:sz w:val="28"/>
          <w:szCs w:val="28"/>
        </w:rPr>
        <w:t>签字日期：</w:t>
      </w:r>
    </w:p>
    <w:p>
      <w:pPr>
        <w:spacing w:line="560" w:lineRule="exact"/>
        <w:rPr>
          <w:rFonts w:ascii="仿宋_GB2312" w:eastAsia="仿宋_GB2312"/>
          <w:sz w:val="28"/>
          <w:szCs w:val="28"/>
        </w:rPr>
      </w:pPr>
      <w:r>
        <w:rPr>
          <w:rFonts w:hint="eastAsia" w:ascii="仿宋_GB2312" w:eastAsia="仿宋_GB2312"/>
          <w:sz w:val="28"/>
          <w:szCs w:val="28"/>
        </w:rPr>
        <w:t xml:space="preserve">                                    年     月     日</w:t>
      </w: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u w:val="single"/>
        </w:rPr>
      </w:pPr>
      <w:r>
        <w:rPr>
          <w:rFonts w:hint="eastAsia" w:ascii="仿宋_GB2312" w:eastAsia="仿宋_GB2312"/>
          <w:sz w:val="28"/>
          <w:szCs w:val="28"/>
        </w:rPr>
        <w:t xml:space="preserve">     乙方：</w:t>
      </w:r>
      <w:r>
        <w:rPr>
          <w:rFonts w:hint="eastAsia" w:ascii="仿宋_GB2312" w:eastAsia="仿宋_GB2312"/>
          <w:sz w:val="28"/>
          <w:szCs w:val="28"/>
          <w:u w:val="single"/>
        </w:rPr>
        <w:t xml:space="preserve">                                          （盖章）</w:t>
      </w:r>
      <w:r>
        <w:rPr>
          <w:rFonts w:hint="eastAsia" w:ascii="仿宋_GB2312" w:eastAsia="仿宋_GB2312"/>
          <w:sz w:val="28"/>
          <w:szCs w:val="28"/>
        </w:rPr>
        <w:t xml:space="preserve">                </w:t>
      </w:r>
    </w:p>
    <w:p>
      <w:pPr>
        <w:spacing w:line="560" w:lineRule="exact"/>
        <w:ind w:firstLine="570"/>
        <w:rPr>
          <w:rFonts w:ascii="仿宋_GB2312" w:eastAsia="仿宋_GB2312"/>
          <w:sz w:val="28"/>
          <w:szCs w:val="28"/>
        </w:rPr>
      </w:pPr>
      <w:r>
        <w:rPr>
          <w:rFonts w:hint="eastAsia" w:ascii="仿宋_GB2312" w:eastAsia="仿宋_GB2312"/>
          <w:sz w:val="28"/>
          <w:szCs w:val="28"/>
        </w:rPr>
        <w:t>法定代表人：</w:t>
      </w:r>
      <w:r>
        <w:rPr>
          <w:rFonts w:hint="eastAsia" w:ascii="仿宋_GB2312" w:eastAsia="仿宋_GB2312"/>
          <w:sz w:val="28"/>
          <w:szCs w:val="28"/>
          <w:u w:val="single"/>
        </w:rPr>
        <w:t>　　　　  　　　      　（签名）</w:t>
      </w:r>
      <w:r>
        <w:rPr>
          <w:rFonts w:hint="eastAsia" w:ascii="仿宋_GB2312" w:eastAsia="仿宋_GB2312"/>
          <w:sz w:val="28"/>
          <w:szCs w:val="28"/>
        </w:rPr>
        <w:t>　</w:t>
      </w:r>
    </w:p>
    <w:p>
      <w:pPr>
        <w:spacing w:line="560" w:lineRule="exact"/>
        <w:ind w:firstLine="570"/>
        <w:rPr>
          <w:rFonts w:ascii="仿宋_GB2312" w:eastAsia="仿宋_GB2312"/>
          <w:sz w:val="28"/>
          <w:szCs w:val="28"/>
        </w:rPr>
      </w:pPr>
      <w:r>
        <w:rPr>
          <w:rFonts w:hint="eastAsia" w:ascii="仿宋_GB2312" w:eastAsia="仿宋_GB2312"/>
          <w:sz w:val="28"/>
          <w:szCs w:val="28"/>
        </w:rPr>
        <w:t>或</w:t>
      </w:r>
    </w:p>
    <w:p>
      <w:pPr>
        <w:spacing w:line="560" w:lineRule="exact"/>
        <w:ind w:firstLine="570"/>
        <w:rPr>
          <w:rFonts w:ascii="仿宋_GB2312" w:eastAsia="仿宋_GB2312"/>
          <w:sz w:val="28"/>
          <w:szCs w:val="28"/>
          <w:u w:val="single"/>
        </w:rPr>
      </w:pPr>
      <w:r>
        <w:rPr>
          <w:rFonts w:hint="eastAsia" w:ascii="仿宋_GB2312" w:eastAsia="仿宋_GB2312"/>
          <w:sz w:val="28"/>
          <w:szCs w:val="28"/>
        </w:rPr>
        <w:t>委托代理人：</w:t>
      </w:r>
      <w:r>
        <w:rPr>
          <w:rFonts w:hint="eastAsia" w:ascii="仿宋_GB2312" w:eastAsia="仿宋_GB2312"/>
          <w:sz w:val="28"/>
          <w:szCs w:val="28"/>
          <w:u w:val="single"/>
        </w:rPr>
        <w:t>　　　　  　　      　　（签名）</w:t>
      </w:r>
    </w:p>
    <w:p>
      <w:pPr>
        <w:spacing w:line="560" w:lineRule="exact"/>
        <w:ind w:firstLine="570"/>
        <w:rPr>
          <w:rFonts w:ascii="仿宋_GB2312" w:eastAsia="仿宋_GB2312"/>
          <w:sz w:val="28"/>
          <w:szCs w:val="28"/>
          <w:u w:val="single"/>
        </w:rPr>
      </w:pPr>
      <w:r>
        <w:rPr>
          <w:rFonts w:hint="eastAsia" w:ascii="仿宋_GB2312" w:eastAsia="仿宋_GB2312"/>
          <w:sz w:val="28"/>
          <w:szCs w:val="28"/>
          <w:u w:val="single"/>
        </w:rPr>
        <w:t>签字日期：</w:t>
      </w:r>
    </w:p>
    <w:p>
      <w:pPr>
        <w:spacing w:line="560" w:lineRule="exact"/>
        <w:rPr>
          <w:rFonts w:ascii="仿宋_GB2312" w:eastAsia="仿宋_GB2312"/>
          <w:sz w:val="28"/>
          <w:szCs w:val="28"/>
        </w:rPr>
      </w:pPr>
      <w:r>
        <w:rPr>
          <w:rFonts w:hint="eastAsia" w:ascii="仿宋_GB2312" w:eastAsia="仿宋_GB2312"/>
          <w:sz w:val="28"/>
          <w:szCs w:val="28"/>
        </w:rPr>
        <w:t xml:space="preserve">                                     年     月     日</w:t>
      </w:r>
    </w:p>
    <w:p>
      <w:pPr>
        <w:spacing w:line="560" w:lineRule="exact"/>
        <w:rPr>
          <w:rFonts w:ascii="仿宋_GB2312" w:eastAsia="仿宋_GB2312"/>
          <w:sz w:val="28"/>
          <w:szCs w:val="28"/>
        </w:rPr>
      </w:pPr>
      <w:r>
        <w:rPr>
          <w:rFonts w:hint="eastAsia" w:ascii="仿宋_GB2312" w:eastAsia="仿宋_GB2312"/>
          <w:sz w:val="28"/>
          <w:szCs w:val="28"/>
        </w:rPr>
        <w:t xml:space="preserve">   </w:t>
      </w:r>
    </w:p>
    <w:p>
      <w:pPr>
        <w:pStyle w:val="17"/>
        <w:spacing w:line="560" w:lineRule="exact"/>
        <w:ind w:firstLine="0" w:firstLineChars="0"/>
        <w:jc w:val="left"/>
        <w:rPr>
          <w:rFonts w:ascii="仿宋_GB2312" w:hAnsi="Times New Roman" w:eastAsia="仿宋_GB2312"/>
          <w:color w:val="auto"/>
          <w:sz w:val="28"/>
          <w:szCs w:val="28"/>
        </w:rPr>
      </w:pPr>
    </w:p>
    <w:p>
      <w:pPr>
        <w:spacing w:line="560" w:lineRule="exact"/>
        <w:rPr>
          <w:rFonts w:ascii="仿宋_GB2312" w:hAnsi="Times New Roman" w:eastAsia="仿宋_GB2312"/>
          <w:sz w:val="28"/>
          <w:szCs w:val="28"/>
        </w:rPr>
      </w:pPr>
      <w:r>
        <w:rPr>
          <w:rFonts w:hint="eastAsia" w:ascii="仿宋_GB2312" w:hAnsi="Times New Roman" w:eastAsia="仿宋_GB2312"/>
          <w:sz w:val="28"/>
          <w:szCs w:val="28"/>
        </w:rPr>
        <w:t>附件1：</w:t>
      </w:r>
    </w:p>
    <w:p>
      <w:pPr>
        <w:spacing w:line="440" w:lineRule="exact"/>
        <w:jc w:val="center"/>
        <w:rPr>
          <w:rFonts w:ascii="仿宋_GB2312" w:hAnsi="Times New Roman" w:eastAsia="仿宋_GB2312"/>
          <w:sz w:val="28"/>
          <w:szCs w:val="28"/>
        </w:rPr>
      </w:pPr>
      <w:r>
        <w:rPr>
          <w:rFonts w:hint="eastAsia" w:ascii="仿宋_GB2312" w:hAnsi="Times New Roman" w:eastAsia="仿宋_GB2312"/>
          <w:sz w:val="28"/>
          <w:szCs w:val="28"/>
        </w:rPr>
        <w:t>廉洁自律承诺书</w:t>
      </w:r>
    </w:p>
    <w:p>
      <w:pPr>
        <w:pStyle w:val="17"/>
        <w:spacing w:line="360" w:lineRule="exact"/>
        <w:ind w:firstLine="560"/>
        <w:rPr>
          <w:rFonts w:ascii="仿宋_GB2312" w:hAnsi="Times New Roman" w:eastAsia="仿宋_GB2312"/>
          <w:color w:val="auto"/>
          <w:sz w:val="28"/>
          <w:szCs w:val="28"/>
        </w:rPr>
      </w:pPr>
    </w:p>
    <w:p>
      <w:pPr>
        <w:pStyle w:val="4"/>
        <w:spacing w:line="360" w:lineRule="exact"/>
        <w:rPr>
          <w:rFonts w:ascii="仿宋_GB2312" w:hAnsi="Times New Roman" w:eastAsia="仿宋_GB2312"/>
          <w:kern w:val="2"/>
          <w:sz w:val="28"/>
          <w:szCs w:val="28"/>
        </w:rPr>
      </w:pPr>
      <w:r>
        <w:rPr>
          <w:rFonts w:hint="eastAsia" w:ascii="仿宋_GB2312" w:hAnsi="Times New Roman" w:eastAsia="仿宋_GB2312"/>
          <w:kern w:val="2"/>
          <w:sz w:val="28"/>
          <w:szCs w:val="28"/>
        </w:rPr>
        <w:t>杭州萧山国际机场有限公司：</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我单位响应贵公司项目招标要求，参加项目投标。在投标过程中及中标后，我们将严格遵守国家法律法规和贵司招标文件要求，并郑重作出如下承诺和保证：</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二、不以任何名义为贵公司有关人员或项目第三方人员报销应由贵公司或个人支付的费用；</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三、不向贵公司有关人员或项目第三方人员提供宴请、旅游、和健身娱乐等活动；</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四、不为贵公司有关人员或项目第三方人员出国（境）、旅游等提供方便；</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五、不为贵公司有关人员或项目第三方人员个人装修住房、婚丧嫁娶、配偶子女工作安排等提供好处或便利条件；</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六、严格遵守国家招标投标法、合同法等法律规定，诚实守信，合法经营，坚决杜绝各种违法违纪行为。</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八、如违反上述廉洁自律承诺，贵公司有权：</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（1）立即取消我单位投标、中标或在建项目的实施资格；</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（2）扣除我方向贵公司缴纳的履约保证金的10%作为违反廉洁自律承诺的违约金。如该违约金不足以弥补贵公司损失的，我单位仍将承担实际损失赔偿责任。</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（3）拒绝我单位在一定时期内进入贵公司进行项目建设或其它经营活动；</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（4）由此引起的相应损失均由我单位承担。</w:t>
      </w:r>
    </w:p>
    <w:p>
      <w:pPr>
        <w:pStyle w:val="4"/>
        <w:ind w:firstLine="420"/>
        <w:rPr>
          <w:rFonts w:ascii="仿宋_GB2312" w:hAnsi="Times New Roman" w:eastAsia="仿宋_GB2312"/>
          <w:kern w:val="2"/>
          <w:sz w:val="28"/>
          <w:szCs w:val="28"/>
        </w:rPr>
      </w:pPr>
    </w:p>
    <w:p>
      <w:pPr>
        <w:pStyle w:val="4"/>
        <w:ind w:firstLine="420"/>
        <w:rPr>
          <w:rFonts w:ascii="仿宋_GB2312" w:hAnsi="Times New Roman" w:eastAsia="仿宋_GB2312"/>
          <w:kern w:val="2"/>
          <w:sz w:val="28"/>
          <w:szCs w:val="28"/>
        </w:rPr>
      </w:pPr>
    </w:p>
    <w:p>
      <w:pPr>
        <w:pStyle w:val="4"/>
        <w:ind w:firstLine="420"/>
        <w:rPr>
          <w:rFonts w:ascii="仿宋_GB2312" w:hAnsi="Times New Roman" w:eastAsia="仿宋_GB2312"/>
          <w:kern w:val="2"/>
          <w:sz w:val="28"/>
          <w:szCs w:val="28"/>
        </w:rPr>
      </w:pPr>
    </w:p>
    <w:p>
      <w:pPr>
        <w:pStyle w:val="4"/>
        <w:ind w:firstLine="420"/>
        <w:rPr>
          <w:rFonts w:ascii="仿宋_GB2312" w:hAnsi="Times New Roman" w:eastAsia="仿宋_GB2312"/>
          <w:kern w:val="2"/>
          <w:sz w:val="28"/>
          <w:szCs w:val="28"/>
        </w:rPr>
      </w:pPr>
    </w:p>
    <w:p>
      <w:pPr>
        <w:pStyle w:val="4"/>
        <w:ind w:firstLine="420"/>
        <w:rPr>
          <w:rFonts w:ascii="仿宋_GB2312" w:hAnsi="Times New Roman" w:eastAsia="仿宋_GB2312"/>
          <w:kern w:val="2"/>
          <w:sz w:val="28"/>
          <w:szCs w:val="28"/>
        </w:rPr>
      </w:pP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 xml:space="preserve">承诺人单位名称（盖章）：            </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 xml:space="preserve">法定代表人 ：                    </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 xml:space="preserve">或                            </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 xml:space="preserve">委托代理人：                   </w:t>
      </w:r>
    </w:p>
    <w:p>
      <w:pPr>
        <w:pStyle w:val="4"/>
        <w:spacing w:line="360" w:lineRule="exact"/>
        <w:ind w:firstLine="560" w:firstLineChars="200"/>
        <w:rPr>
          <w:rFonts w:ascii="仿宋_GB2312" w:hAnsi="Times New Roman" w:eastAsia="仿宋_GB2312"/>
          <w:kern w:val="2"/>
          <w:sz w:val="28"/>
          <w:szCs w:val="28"/>
        </w:rPr>
      </w:pP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 xml:space="preserve">                           年     月     日</w:t>
      </w:r>
    </w:p>
    <w:p>
      <w:pPr>
        <w:pStyle w:val="17"/>
        <w:spacing w:line="360" w:lineRule="exact"/>
        <w:ind w:firstLine="560"/>
        <w:rPr>
          <w:rFonts w:ascii="仿宋_GB2312" w:hAnsi="Times New Roman" w:eastAsia="仿宋_GB2312"/>
          <w:color w:val="auto"/>
          <w:sz w:val="28"/>
          <w:szCs w:val="28"/>
        </w:rPr>
        <w:sectPr>
          <w:footerReference r:id="rId7" w:type="even"/>
          <w:pgSz w:w="11906" w:h="16838"/>
          <w:pgMar w:top="1134" w:right="1247" w:bottom="1134" w:left="1247" w:header="851" w:footer="992" w:gutter="0"/>
          <w:pgNumType w:fmt="numberInDash"/>
          <w:cols w:space="720" w:num="1"/>
          <w:docGrid w:linePitch="312" w:charSpace="0"/>
        </w:sectPr>
      </w:pPr>
    </w:p>
    <w:p>
      <w:pPr>
        <w:pStyle w:val="17"/>
        <w:spacing w:line="360" w:lineRule="exact"/>
        <w:ind w:firstLine="560"/>
        <w:rPr>
          <w:rFonts w:ascii="仿宋_GB2312" w:hAnsi="Times New Roman" w:eastAsia="仿宋_GB2312"/>
          <w:color w:val="auto"/>
          <w:sz w:val="28"/>
          <w:szCs w:val="28"/>
        </w:rPr>
      </w:pPr>
    </w:p>
    <w:p>
      <w:pPr>
        <w:rPr>
          <w:rFonts w:ascii="仿宋_GB2312" w:hAnsi="Times New Roman" w:eastAsia="仿宋_GB2312"/>
          <w:sz w:val="28"/>
          <w:szCs w:val="28"/>
        </w:rPr>
      </w:pPr>
      <w:r>
        <w:rPr>
          <w:rFonts w:hint="eastAsia" w:ascii="仿宋_GB2312" w:hAnsi="Times New Roman" w:eastAsia="仿宋_GB2312"/>
          <w:sz w:val="28"/>
          <w:szCs w:val="28"/>
        </w:rPr>
        <w:t xml:space="preserve">附件2： </w:t>
      </w:r>
    </w:p>
    <w:p>
      <w:pPr>
        <w:spacing w:line="560" w:lineRule="exact"/>
        <w:jc w:val="center"/>
        <w:rPr>
          <w:rFonts w:ascii="仿宋_GB2312" w:hAnsi="Times New Roman" w:eastAsia="仿宋_GB2312"/>
          <w:sz w:val="28"/>
          <w:szCs w:val="28"/>
        </w:rPr>
      </w:pPr>
      <w:r>
        <w:rPr>
          <w:rFonts w:hint="eastAsia" w:ascii="仿宋_GB2312" w:hAnsi="Times New Roman" w:eastAsia="仿宋_GB2312"/>
          <w:sz w:val="28"/>
          <w:szCs w:val="28"/>
        </w:rPr>
        <w:t>保密承诺书</w:t>
      </w:r>
    </w:p>
    <w:p>
      <w:pPr>
        <w:spacing w:line="560" w:lineRule="exact"/>
        <w:jc w:val="center"/>
        <w:rPr>
          <w:rFonts w:ascii="仿宋_GB2312" w:hAnsi="Times New Roman" w:eastAsia="仿宋_GB2312"/>
          <w:sz w:val="28"/>
          <w:szCs w:val="28"/>
        </w:rPr>
      </w:pP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鉴于我方愿成为杭州萧山国际机场有限公司（以下简称“机场公司”）的供应商或潜在供应商候选人，为机场公司提供【飞行区智慧化建设方案规划咨询】项目的服务。在上述业务来往过程中，机场公司可能向我方提供经营、业务、服务等有关的文件、资料、软件等信息，为维护机场公司的利益，我方就保密事宜做出如下承诺：</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1.商业秘密</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1.1商业秘密是指机场公司（包括机场公司关联公司）一切专有、不对外公开的资料和信息。包括但不限于以下方面：</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（1）经营信息（发展规划、运营状况、客户资源、货源情报、投融资计划、开发计划、标书等）；</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（2）管理信息（管理方法、管理制度、员工管理、合同管理、纠纷管理等）；</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（3）产品及技术信息（设计及图纸、样品及服务、技术方案、质量标准、技术标准、计算机程序等）；</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（4）财务信息（财务收支、固定资产、流动资金、成本核算等）；</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（5）我方单独或机场公司（包括机场公司关联公司）和我方共同为机场公司开发、设计、生产的产品、资料及相关信息；</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（6）其他机场公司未对外公开的有关营运、计划、航班数据、标准、开发、生产、经营、质量管理控制和租赁的资料和数据等信息以及对供应商的管理文件。</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1.3、对于上述提及的商业秘密，不能仅因为公开发表的文章或资讯中包含其内容，就认为是可对外公开的特殊情况。</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1.4、以下资料不属于本承诺所指的商业秘密：</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（1）我方从机场公司拟获悉之前已持有的我方无需承担保密义务的机场公司有关资料(但通过其它违约或侵权行为而获得的资料除外)；</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（2）已经公开或已成为常识性的资料，且该等公开并非因违反本承诺所致。</w:t>
      </w:r>
    </w:p>
    <w:p>
      <w:pPr>
        <w:pStyle w:val="4"/>
        <w:spacing w:line="360" w:lineRule="exact"/>
        <w:ind w:firstLine="560" w:firstLineChars="200"/>
        <w:rPr>
          <w:rFonts w:ascii="仿宋_GB2312" w:hAnsi="Times New Roman" w:eastAsia="仿宋_GB2312"/>
          <w:kern w:val="2"/>
          <w:sz w:val="28"/>
          <w:szCs w:val="28"/>
        </w:rPr>
      </w:pP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pStyle w:val="4"/>
        <w:spacing w:line="360" w:lineRule="exact"/>
        <w:ind w:firstLine="560" w:firstLineChars="200"/>
        <w:rPr>
          <w:rFonts w:ascii="仿宋_GB2312" w:hAnsi="Times New Roman" w:eastAsia="仿宋_GB2312"/>
          <w:kern w:val="2"/>
          <w:sz w:val="28"/>
          <w:szCs w:val="28"/>
        </w:rPr>
      </w:pP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pStyle w:val="4"/>
        <w:spacing w:line="360" w:lineRule="exact"/>
        <w:ind w:firstLine="560" w:firstLineChars="200"/>
        <w:rPr>
          <w:rFonts w:ascii="仿宋_GB2312" w:hAnsi="Times New Roman" w:eastAsia="仿宋_GB2312"/>
          <w:kern w:val="2"/>
          <w:sz w:val="28"/>
          <w:szCs w:val="28"/>
        </w:rPr>
      </w:pP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（1）披露、使用或者允许他人以不正当手段获取的商业秘密；</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（2）为机场公司以外的第三人窃取、刺探、收买、非法提供商业秘密。</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（3）在电子公告系统、聊天系统、电子邮箱、论坛等计算机网络系统上传递、转发、抄送、发布、谈论和传播商业秘密；</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 xml:space="preserve">（4）在私人交往和通信中，向亲属、朋友以及与工作无关人员泄露商业秘密，或在公共场所谈论商业秘密； </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（5）擅自将属于商业秘密的文件、资料和其他物品携带、传递、寄运出机场公司办公场所或国（境）外。</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（6）未经机场公司同意就以任何方式私自保存、截留含有机场公司商业秘密的任何形式资料、文件和物品的复印件、复制品、副本。</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（7）将含有机场公司商业秘密的产品、技术或其他资料、信息向第三人销售、使用或以任何方式提供。</w:t>
      </w:r>
    </w:p>
    <w:p>
      <w:pPr>
        <w:pStyle w:val="4"/>
        <w:spacing w:line="360" w:lineRule="exact"/>
        <w:ind w:firstLine="560" w:firstLineChars="200"/>
        <w:rPr>
          <w:rFonts w:ascii="仿宋_GB2312" w:hAnsi="Times New Roman" w:eastAsia="仿宋_GB2312"/>
          <w:kern w:val="2"/>
          <w:sz w:val="28"/>
          <w:szCs w:val="28"/>
        </w:rPr>
      </w:pP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pStyle w:val="4"/>
        <w:spacing w:line="360" w:lineRule="exact"/>
        <w:ind w:firstLine="560" w:firstLineChars="200"/>
        <w:rPr>
          <w:rFonts w:ascii="仿宋_GB2312" w:hAnsi="Times New Roman" w:eastAsia="仿宋_GB2312"/>
          <w:kern w:val="2"/>
          <w:sz w:val="28"/>
          <w:szCs w:val="28"/>
        </w:rPr>
      </w:pP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pStyle w:val="4"/>
        <w:spacing w:line="360" w:lineRule="exact"/>
        <w:ind w:firstLine="560" w:firstLineChars="200"/>
        <w:rPr>
          <w:rFonts w:ascii="仿宋_GB2312" w:hAnsi="Times New Roman" w:eastAsia="仿宋_GB2312"/>
          <w:kern w:val="2"/>
          <w:sz w:val="28"/>
          <w:szCs w:val="28"/>
        </w:rPr>
      </w:pP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pStyle w:val="4"/>
        <w:spacing w:line="360" w:lineRule="exact"/>
        <w:ind w:firstLine="560" w:firstLineChars="200"/>
        <w:rPr>
          <w:rFonts w:ascii="仿宋_GB2312" w:hAnsi="Times New Roman" w:eastAsia="仿宋_GB2312"/>
          <w:kern w:val="2"/>
          <w:sz w:val="28"/>
          <w:szCs w:val="28"/>
        </w:rPr>
      </w:pP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8、违约责任</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8.1因我方违反保密义务的行为造成机场公司的一切损失，我方应当全部予以赔偿。</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8.2如我方违反本承诺书下保密义务，应当承担违约责任，除赔偿损失外，还应依据合同向机场公司支付相应的违约金；</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9、本承诺书适用中华人民共和国法律，如因履行本承诺书发生争议，则双方均有权向机场公司所在地法院提起诉讼。</w:t>
      </w:r>
    </w:p>
    <w:p>
      <w:pPr>
        <w:adjustRightInd w:val="0"/>
        <w:snapToGrid w:val="0"/>
        <w:spacing w:line="560" w:lineRule="exact"/>
        <w:rPr>
          <w:rFonts w:ascii="仿宋_GB2312" w:hAnsi="Times New Roman" w:eastAsia="仿宋_GB2312"/>
          <w:sz w:val="28"/>
          <w:szCs w:val="28"/>
        </w:rPr>
      </w:pPr>
    </w:p>
    <w:p>
      <w:pPr>
        <w:spacing w:line="560" w:lineRule="exact"/>
        <w:rPr>
          <w:rFonts w:ascii="仿宋_GB2312" w:hAnsi="Times New Roman" w:eastAsia="仿宋_GB2312"/>
          <w:sz w:val="28"/>
          <w:szCs w:val="28"/>
        </w:rPr>
      </w:pPr>
    </w:p>
    <w:p>
      <w:pPr>
        <w:spacing w:line="560" w:lineRule="exact"/>
        <w:rPr>
          <w:rFonts w:ascii="仿宋_GB2312" w:hAnsi="Times New Roman" w:eastAsia="仿宋_GB2312"/>
          <w:sz w:val="28"/>
          <w:szCs w:val="28"/>
        </w:rPr>
      </w:pPr>
      <w:r>
        <w:rPr>
          <w:rFonts w:hint="eastAsia" w:ascii="仿宋_GB2312" w:hAnsi="Times New Roman" w:eastAsia="仿宋_GB2312"/>
          <w:sz w:val="28"/>
          <w:szCs w:val="28"/>
        </w:rPr>
        <w:t xml:space="preserve">                     </w:t>
      </w:r>
      <w:r>
        <w:rPr>
          <w:rFonts w:hint="eastAsia" w:ascii="仿宋_GB2312" w:hAnsi="Times New Roman" w:eastAsia="仿宋_GB2312"/>
          <w:sz w:val="28"/>
          <w:szCs w:val="28"/>
        </w:rPr>
        <w:tab/>
      </w:r>
      <w:r>
        <w:rPr>
          <w:rFonts w:hint="eastAsia" w:ascii="仿宋_GB2312" w:hAnsi="Times New Roman" w:eastAsia="仿宋_GB2312"/>
          <w:sz w:val="28"/>
          <w:szCs w:val="28"/>
        </w:rPr>
        <w:t>供应商(盖章):</w:t>
      </w:r>
    </w:p>
    <w:p>
      <w:pPr>
        <w:spacing w:line="560" w:lineRule="exact"/>
        <w:ind w:left="2100" w:firstLine="420"/>
        <w:rPr>
          <w:rFonts w:ascii="仿宋_GB2312" w:hAnsi="Times New Roman" w:eastAsia="仿宋_GB2312"/>
          <w:sz w:val="28"/>
          <w:szCs w:val="28"/>
        </w:rPr>
      </w:pPr>
      <w:r>
        <w:rPr>
          <w:rFonts w:hint="eastAsia" w:ascii="仿宋_GB2312" w:hAnsi="Times New Roman" w:eastAsia="仿宋_GB2312"/>
          <w:sz w:val="28"/>
          <w:szCs w:val="28"/>
        </w:rPr>
        <w:t>法定代表人或授权代表：</w:t>
      </w:r>
    </w:p>
    <w:p>
      <w:pPr>
        <w:spacing w:line="560" w:lineRule="exact"/>
        <w:jc w:val="center"/>
        <w:rPr>
          <w:rFonts w:ascii="仿宋_GB2312" w:hAnsi="Times New Roman" w:eastAsia="仿宋_GB2312"/>
          <w:sz w:val="28"/>
          <w:szCs w:val="28"/>
        </w:rPr>
      </w:pPr>
    </w:p>
    <w:p>
      <w:pPr>
        <w:spacing w:line="560" w:lineRule="exact"/>
        <w:jc w:val="center"/>
        <w:rPr>
          <w:rFonts w:ascii="仿宋_GB2312" w:hAnsi="Times New Roman" w:eastAsia="仿宋_GB2312"/>
          <w:sz w:val="28"/>
          <w:szCs w:val="28"/>
        </w:rPr>
      </w:pPr>
    </w:p>
    <w:p>
      <w:pPr>
        <w:spacing w:line="560" w:lineRule="exact"/>
        <w:jc w:val="center"/>
        <w:rPr>
          <w:rFonts w:ascii="仿宋_GB2312" w:hAnsi="Times New Roman" w:eastAsia="仿宋_GB2312"/>
          <w:sz w:val="28"/>
          <w:szCs w:val="28"/>
        </w:rPr>
      </w:pPr>
    </w:p>
    <w:p>
      <w:pPr>
        <w:spacing w:line="560" w:lineRule="exact"/>
        <w:rPr>
          <w:rFonts w:ascii="仿宋_GB2312" w:hAnsi="Times New Roman" w:eastAsia="仿宋_GB2312"/>
          <w:sz w:val="28"/>
          <w:szCs w:val="28"/>
        </w:rPr>
      </w:pPr>
      <w:r>
        <w:rPr>
          <w:rFonts w:hint="eastAsia" w:ascii="仿宋_GB2312" w:hAnsi="Times New Roman" w:eastAsia="仿宋_GB2312"/>
          <w:sz w:val="28"/>
          <w:szCs w:val="28"/>
        </w:rPr>
        <w:t xml:space="preserve">                       电话/传真：</w:t>
      </w:r>
    </w:p>
    <w:p>
      <w:pPr>
        <w:spacing w:line="560" w:lineRule="exact"/>
        <w:jc w:val="center"/>
        <w:rPr>
          <w:rFonts w:ascii="仿宋_GB2312" w:hAnsi="Times New Roman" w:eastAsia="仿宋_GB2312"/>
          <w:sz w:val="28"/>
          <w:szCs w:val="28"/>
        </w:rPr>
      </w:pPr>
    </w:p>
    <w:p>
      <w:pPr>
        <w:spacing w:line="560" w:lineRule="exact"/>
        <w:rPr>
          <w:rFonts w:ascii="仿宋_GB2312" w:hAnsi="Times New Roman" w:eastAsia="仿宋_GB2312"/>
          <w:sz w:val="28"/>
          <w:szCs w:val="28"/>
        </w:rPr>
      </w:pPr>
      <w:r>
        <w:rPr>
          <w:rFonts w:hint="eastAsia" w:ascii="仿宋_GB2312" w:hAnsi="Times New Roman" w:eastAsia="仿宋_GB2312"/>
          <w:sz w:val="28"/>
          <w:szCs w:val="28"/>
        </w:rPr>
        <w:t xml:space="preserve">                       地址：</w:t>
      </w:r>
    </w:p>
    <w:p>
      <w:pPr>
        <w:spacing w:line="560" w:lineRule="exact"/>
        <w:rPr>
          <w:rFonts w:ascii="仿宋_GB2312" w:hAnsi="Times New Roman" w:eastAsia="仿宋_GB2312"/>
          <w:sz w:val="28"/>
          <w:szCs w:val="28"/>
        </w:rPr>
      </w:pPr>
    </w:p>
    <w:p>
      <w:pPr>
        <w:spacing w:line="560" w:lineRule="exact"/>
        <w:rPr>
          <w:rFonts w:ascii="仿宋_GB2312" w:hAnsi="Times New Roman" w:eastAsia="仿宋_GB2312"/>
          <w:sz w:val="28"/>
          <w:szCs w:val="28"/>
        </w:rPr>
      </w:pPr>
    </w:p>
    <w:p>
      <w:pPr>
        <w:snapToGrid w:val="0"/>
        <w:spacing w:line="560" w:lineRule="exact"/>
        <w:ind w:left="2100" w:firstLine="420"/>
        <w:rPr>
          <w:rFonts w:ascii="仿宋_GB2312" w:hAnsi="Times New Roman" w:eastAsia="仿宋_GB2312"/>
          <w:sz w:val="28"/>
          <w:szCs w:val="28"/>
        </w:rPr>
      </w:pPr>
      <w:r>
        <w:rPr>
          <w:rFonts w:hint="eastAsia" w:ascii="仿宋_GB2312" w:hAnsi="Times New Roman" w:eastAsia="仿宋_GB2312"/>
          <w:sz w:val="28"/>
          <w:szCs w:val="28"/>
        </w:rPr>
        <w:t>日期：     年   月   日</w:t>
      </w:r>
    </w:p>
    <w:p>
      <w:pPr>
        <w:spacing w:line="560" w:lineRule="exact"/>
        <w:ind w:firstLine="420"/>
        <w:rPr>
          <w:rFonts w:cs="Calibri"/>
          <w:bCs/>
          <w:szCs w:val="32"/>
        </w:rPr>
        <w:sectPr>
          <w:headerReference r:id="rId8" w:type="first"/>
          <w:pgSz w:w="11906" w:h="16838"/>
          <w:pgMar w:top="1134" w:right="1247" w:bottom="1134" w:left="1247" w:header="851" w:footer="1134" w:gutter="0"/>
          <w:pgNumType w:fmt="numberInDash"/>
          <w:cols w:space="720" w:num="1"/>
          <w:docGrid w:linePitch="312" w:charSpace="0"/>
        </w:sectPr>
      </w:pPr>
    </w:p>
    <w:p>
      <w:pPr>
        <w:pStyle w:val="2"/>
        <w:spacing w:before="0" w:after="0" w:line="360" w:lineRule="auto"/>
        <w:ind w:firstLine="3213" w:firstLineChars="1000"/>
        <w:jc w:val="both"/>
        <w:rPr>
          <w:rFonts w:ascii="Calibri" w:hAnsi="Calibri" w:eastAsia="黑体" w:cs="Calibri"/>
          <w:kern w:val="0"/>
          <w:sz w:val="32"/>
        </w:rPr>
      </w:pPr>
      <w:bookmarkStart w:id="112" w:name="_Toc448002987"/>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112"/>
    </w:p>
    <w:p>
      <w:pPr>
        <w:pStyle w:val="4"/>
        <w:spacing w:line="360" w:lineRule="exact"/>
        <w:ind w:firstLine="420"/>
        <w:rPr>
          <w:rFonts w:hAnsi="宋体" w:cs="Calibri"/>
          <w:bCs/>
          <w:sz w:val="22"/>
          <w:szCs w:val="22"/>
        </w:rPr>
      </w:pPr>
      <w:bookmarkStart w:id="113" w:name="_Toc29892"/>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4"/>
        <w:spacing w:line="360" w:lineRule="exact"/>
        <w:rPr>
          <w:rFonts w:hAnsi="宋体" w:cs="Calibri"/>
          <w:b/>
          <w:bCs/>
          <w:sz w:val="22"/>
          <w:szCs w:val="22"/>
        </w:rPr>
      </w:pPr>
      <w:r>
        <w:rPr>
          <w:rFonts w:hAnsi="宋体" w:cs="Calibri"/>
          <w:b/>
          <w:bCs/>
          <w:sz w:val="22"/>
          <w:szCs w:val="22"/>
        </w:rPr>
        <w:t>一、评标原则</w:t>
      </w:r>
    </w:p>
    <w:p>
      <w:pPr>
        <w:pStyle w:val="4"/>
        <w:spacing w:line="360" w:lineRule="exact"/>
        <w:ind w:firstLine="420"/>
        <w:rPr>
          <w:rFonts w:hAnsi="宋体" w:cs="Calibri"/>
          <w:sz w:val="22"/>
          <w:szCs w:val="22"/>
        </w:rPr>
      </w:pPr>
      <w:r>
        <w:rPr>
          <w:rFonts w:hAnsi="宋体" w:cs="Calibri"/>
          <w:bCs/>
          <w:sz w:val="22"/>
          <w:szCs w:val="22"/>
        </w:rPr>
        <w:t>评标应遵循公平、公正、科学、择优的原则。</w:t>
      </w:r>
    </w:p>
    <w:p>
      <w:pPr>
        <w:pStyle w:val="4"/>
        <w:spacing w:line="360" w:lineRule="exact"/>
        <w:rPr>
          <w:rFonts w:hAnsi="宋体" w:cs="Calibri"/>
          <w:b/>
          <w:bCs/>
          <w:sz w:val="22"/>
          <w:szCs w:val="22"/>
        </w:rPr>
      </w:pPr>
      <w:r>
        <w:rPr>
          <w:rFonts w:hAnsi="宋体" w:cs="Calibri"/>
          <w:b/>
          <w:bCs/>
          <w:sz w:val="22"/>
          <w:szCs w:val="22"/>
        </w:rPr>
        <w:t>二、评标组织</w:t>
      </w:r>
    </w:p>
    <w:p>
      <w:pPr>
        <w:pStyle w:val="4"/>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4"/>
        <w:spacing w:line="360" w:lineRule="exact"/>
        <w:rPr>
          <w:rFonts w:hAnsi="宋体" w:cs="Calibri"/>
          <w:b/>
          <w:bCs/>
          <w:sz w:val="22"/>
          <w:szCs w:val="22"/>
        </w:rPr>
      </w:pPr>
      <w:r>
        <w:rPr>
          <w:rFonts w:hAnsi="宋体" w:cs="Calibri"/>
          <w:b/>
          <w:bCs/>
          <w:sz w:val="22"/>
          <w:szCs w:val="22"/>
        </w:rPr>
        <w:t>三、投标文件的评审</w:t>
      </w:r>
    </w:p>
    <w:p>
      <w:pPr>
        <w:pStyle w:val="4"/>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0"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0"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0"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rPr>
      </w:pPr>
      <w:r>
        <w:rPr>
          <w:rFonts w:ascii="宋体" w:hAnsi="宋体" w:cs="Calibri"/>
          <w:sz w:val="22"/>
        </w:rPr>
        <w:t>5、</w:t>
      </w:r>
      <w:r>
        <w:rPr>
          <w:rFonts w:hint="eastAsia" w:ascii="宋体" w:hAnsi="宋体" w:cs="Calibri"/>
          <w:sz w:val="22"/>
        </w:rPr>
        <w:t>服务</w:t>
      </w:r>
      <w:r>
        <w:rPr>
          <w:rFonts w:ascii="宋体" w:hAnsi="宋体" w:cs="Calibri"/>
          <w:sz w:val="22"/>
        </w:rPr>
        <w:t>期不满足招标文件要求的；</w:t>
      </w:r>
    </w:p>
    <w:p>
      <w:pPr>
        <w:spacing w:line="360" w:lineRule="exact"/>
        <w:ind w:firstLine="470"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0"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0"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0"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spacing w:line="360" w:lineRule="exact"/>
        <w:ind w:firstLine="470" w:firstLineChars="214"/>
        <w:rPr>
          <w:rFonts w:ascii="宋体" w:hAnsi="宋体" w:cs="Calibri"/>
          <w:sz w:val="22"/>
        </w:rPr>
      </w:pPr>
      <w:r>
        <w:rPr>
          <w:rFonts w:hint="eastAsia" w:ascii="宋体" w:hAnsi="宋体" w:cs="Calibri"/>
          <w:sz w:val="22"/>
        </w:rPr>
        <w:t>涉及本文件投标人资格条件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4"/>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4"/>
        <w:numPr>
          <w:ilvl w:val="0"/>
          <w:numId w:val="1"/>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4"/>
        <w:numPr>
          <w:ilvl w:val="0"/>
          <w:numId w:val="1"/>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4"/>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4"/>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4"/>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4"/>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4"/>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3.3.1商务报价分60分</w:t>
      </w:r>
    </w:p>
    <w:p>
      <w:pPr>
        <w:pStyle w:val="4"/>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投标人的投标价等于评标基准价的得6</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个百分点按插值法计算，小数点后保留二位，四舍五入，商务分最低得分为40分）</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2、资信及技术评分40分</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p>
      <w:pPr>
        <w:widowControl/>
        <w:jc w:val="left"/>
        <w:rPr>
          <w:rFonts w:ascii="宋体" w:hAnsi="宋体" w:cs="Calibri"/>
          <w:kern w:val="0"/>
          <w:sz w:val="22"/>
        </w:rPr>
      </w:pPr>
      <w:r>
        <w:rPr>
          <w:rFonts w:hAnsi="宋体" w:cs="Calibri"/>
          <w:sz w:val="22"/>
        </w:rPr>
        <w:br w:type="page"/>
      </w:r>
    </w:p>
    <w:p>
      <w:pPr>
        <w:pStyle w:val="4"/>
        <w:adjustRightInd w:val="0"/>
        <w:snapToGrid w:val="0"/>
        <w:spacing w:line="360" w:lineRule="exact"/>
        <w:ind w:firstLine="440" w:firstLineChars="200"/>
        <w:rPr>
          <w:rFonts w:hAnsi="宋体" w:cs="Calibri"/>
          <w:sz w:val="22"/>
          <w:szCs w:val="22"/>
        </w:rPr>
      </w:pPr>
    </w:p>
    <w:tbl>
      <w:tblPr>
        <w:tblStyle w:val="11"/>
        <w:tblW w:w="9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6"/>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6826" w:type="dxa"/>
          </w:tcPr>
          <w:p>
            <w:pPr>
              <w:pStyle w:val="4"/>
              <w:adjustRightInd w:val="0"/>
              <w:snapToGrid w:val="0"/>
              <w:spacing w:line="360" w:lineRule="exact"/>
              <w:jc w:val="center"/>
              <w:rPr>
                <w:rFonts w:hAnsi="宋体" w:cs="Courier New"/>
                <w:color w:val="000000"/>
                <w:kern w:val="2"/>
                <w:sz w:val="21"/>
              </w:rPr>
            </w:pPr>
            <w:r>
              <w:rPr>
                <w:rFonts w:hAnsi="宋体" w:cs="Courier New"/>
                <w:color w:val="000000"/>
                <w:kern w:val="2"/>
                <w:sz w:val="21"/>
              </w:rPr>
              <w:t>评定项目</w:t>
            </w:r>
          </w:p>
        </w:tc>
        <w:tc>
          <w:tcPr>
            <w:tcW w:w="2700" w:type="dxa"/>
          </w:tcPr>
          <w:p>
            <w:pPr>
              <w:pStyle w:val="4"/>
              <w:adjustRightInd w:val="0"/>
              <w:snapToGrid w:val="0"/>
              <w:spacing w:line="360" w:lineRule="exact"/>
              <w:jc w:val="center"/>
            </w:pPr>
            <w:r>
              <w:rPr>
                <w:rFonts w:hAnsi="宋体" w:cs="Courier New"/>
                <w:color w:val="000000"/>
                <w:kern w:val="2"/>
                <w:sz w:val="21"/>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6826" w:type="dxa"/>
            <w:vAlign w:val="center"/>
          </w:tcPr>
          <w:p>
            <w:pPr>
              <w:widowControl/>
              <w:snapToGrid w:val="0"/>
              <w:spacing w:line="360" w:lineRule="exact"/>
              <w:rPr>
                <w:rFonts w:ascii="宋体" w:hAnsi="宋体"/>
                <w:color w:val="000000"/>
                <w:szCs w:val="21"/>
              </w:rPr>
            </w:pPr>
            <w:r>
              <w:rPr>
                <w:rFonts w:hint="eastAsia" w:ascii="宋体" w:hAnsi="宋体" w:cs="Arial"/>
                <w:kern w:val="0"/>
                <w:sz w:val="22"/>
              </w:rPr>
              <w:t>近五年（自2014年1月1日起至投标截止日）类似项目业绩：①指面积20万平方米（含）以上同类项目（如机场、港口、汽车站、火车站等大型交通枢纽）建筑的标识系统设计业绩；②50万元（含）以上VI视觉识别系统设计类的业绩（①②满足</w:t>
            </w:r>
            <w:r>
              <w:rPr>
                <w:rFonts w:ascii="宋体" w:hAnsi="宋体" w:cs="Arial"/>
                <w:kern w:val="0"/>
                <w:sz w:val="22"/>
              </w:rPr>
              <w:t>一项即可计</w:t>
            </w:r>
            <w:r>
              <w:rPr>
                <w:rFonts w:hint="eastAsia" w:ascii="宋体" w:hAnsi="宋体" w:cs="Arial"/>
                <w:kern w:val="0"/>
                <w:sz w:val="22"/>
              </w:rPr>
              <w:t>一个</w:t>
            </w:r>
            <w:r>
              <w:rPr>
                <w:rFonts w:ascii="宋体" w:hAnsi="宋体" w:cs="Arial"/>
                <w:kern w:val="0"/>
                <w:sz w:val="22"/>
              </w:rPr>
              <w:t>业绩，</w:t>
            </w:r>
            <w:r>
              <w:rPr>
                <w:rFonts w:hint="eastAsia" w:ascii="宋体" w:hAnsi="宋体" w:cs="Arial"/>
                <w:kern w:val="0"/>
                <w:sz w:val="22"/>
              </w:rPr>
              <w:t>每个</w:t>
            </w:r>
            <w:r>
              <w:rPr>
                <w:rFonts w:ascii="宋体" w:hAnsi="宋体" w:cs="Arial"/>
                <w:kern w:val="0"/>
                <w:sz w:val="22"/>
              </w:rPr>
              <w:t>业绩不重复得分</w:t>
            </w:r>
            <w:r>
              <w:rPr>
                <w:rFonts w:hint="eastAsia" w:ascii="宋体" w:hAnsi="宋体" w:cs="Arial"/>
                <w:kern w:val="0"/>
                <w:sz w:val="22"/>
              </w:rPr>
              <w:t>），须提供中标通知书或合同关键页(封面页、金额页、签字盖章页)复印件并加盖投标人公章作为证明材料。符合①的投标人，若中标通知书或合同关键页无法体现面积参数的，须额外提供业主证明。（每</w:t>
            </w:r>
            <w:r>
              <w:rPr>
                <w:rFonts w:ascii="宋体" w:hAnsi="宋体" w:cs="Arial"/>
                <w:kern w:val="0"/>
                <w:sz w:val="22"/>
              </w:rPr>
              <w:t>提供</w:t>
            </w:r>
            <w:r>
              <w:rPr>
                <w:rFonts w:hint="eastAsia" w:asciiTheme="minorEastAsia" w:hAnsiTheme="minorEastAsia" w:eastAsiaTheme="minorEastAsia" w:cstheme="minorEastAsia"/>
                <w:sz w:val="22"/>
              </w:rPr>
              <w:t>1个业绩得2分，本项最高8分）。</w:t>
            </w:r>
          </w:p>
        </w:tc>
        <w:tc>
          <w:tcPr>
            <w:tcW w:w="2700" w:type="dxa"/>
            <w:vAlign w:val="center"/>
          </w:tcPr>
          <w:p>
            <w:pPr>
              <w:widowControl/>
              <w:snapToGrid w:val="0"/>
              <w:spacing w:line="360" w:lineRule="exact"/>
              <w:jc w:val="center"/>
            </w:pPr>
            <w:r>
              <w:rPr>
                <w:rFonts w:hint="eastAsia" w:ascii="宋体" w:hAnsi="宋体" w:cs="宋体"/>
                <w:kern w:val="0"/>
                <w:szCs w:val="21"/>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2" w:hRule="atLeast"/>
        </w:trPr>
        <w:tc>
          <w:tcPr>
            <w:tcW w:w="6826" w:type="dxa"/>
            <w:tcBorders>
              <w:top w:val="single" w:color="auto" w:sz="4" w:space="0"/>
              <w:left w:val="single" w:color="auto" w:sz="4" w:space="0"/>
              <w:bottom w:val="single" w:color="auto" w:sz="4" w:space="0"/>
              <w:right w:val="single" w:color="auto" w:sz="4" w:space="0"/>
            </w:tcBorders>
            <w:vAlign w:val="center"/>
          </w:tcPr>
          <w:p>
            <w:pPr>
              <w:numPr>
                <w:ilvl w:val="255"/>
                <w:numId w:val="0"/>
              </w:numPr>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标识系统问题分析和整改建议：</w:t>
            </w:r>
          </w:p>
          <w:p>
            <w:pPr>
              <w:numPr>
                <w:ilvl w:val="255"/>
                <w:numId w:val="0"/>
              </w:numPr>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1.航站区标识系统现状问题分析；</w:t>
            </w:r>
          </w:p>
          <w:p>
            <w:pPr>
              <w:widowControl/>
              <w:snapToGrid w:val="0"/>
              <w:spacing w:line="360" w:lineRule="exact"/>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2.提出针对性的整改建议。</w:t>
            </w:r>
          </w:p>
          <w:p>
            <w:pPr>
              <w:widowControl/>
              <w:snapToGrid w:val="0"/>
              <w:spacing w:line="360" w:lineRule="exact"/>
              <w:rPr>
                <w:rFonts w:ascii="宋体" w:hAnsi="宋体" w:cs="宋体"/>
                <w:kern w:val="0"/>
                <w:szCs w:val="21"/>
              </w:rPr>
            </w:pPr>
            <w:r>
              <w:rPr>
                <w:rFonts w:hint="eastAsia" w:asciiTheme="minorEastAsia" w:hAnsiTheme="minorEastAsia" w:eastAsiaTheme="minorEastAsia" w:cstheme="minorEastAsia"/>
                <w:sz w:val="22"/>
              </w:rPr>
              <w:t>横向对比各供应商对航站区标识系统问题分析和整改建议，优得12分，良得6-11分，一般得0-5分。</w:t>
            </w:r>
          </w:p>
        </w:tc>
        <w:tc>
          <w:tcPr>
            <w:tcW w:w="2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pPr>
            <w:r>
              <w:rPr>
                <w:rFonts w:hint="eastAsia" w:ascii="宋体" w:hAnsi="宋体" w:cs="宋体"/>
                <w:kern w:val="0"/>
                <w:szCs w:val="21"/>
              </w:rPr>
              <w:t>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68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cs="Calibri" w:asciiTheme="minorEastAsia" w:hAnsiTheme="minorEastAsia" w:eastAsiaTheme="minorEastAsia"/>
                <w:color w:val="000000"/>
                <w:sz w:val="22"/>
              </w:rPr>
            </w:pPr>
            <w:r>
              <w:rPr>
                <w:rFonts w:hint="eastAsia" w:asciiTheme="minorEastAsia" w:hAnsiTheme="minorEastAsia" w:eastAsiaTheme="minorEastAsia" w:cstheme="minorEastAsia"/>
                <w:sz w:val="22"/>
              </w:rPr>
              <w:t>整体项目设计各阶段的服务方案及服务承诺，</w:t>
            </w:r>
            <w:r>
              <w:rPr>
                <w:rFonts w:hint="eastAsia" w:ascii="宋体" w:hAnsi="宋体" w:cs="Arial"/>
                <w:kern w:val="0"/>
                <w:sz w:val="22"/>
              </w:rPr>
              <w:t>横向对比各供应商的设计各阶段的服务内容及承诺，优得8分，良得4-7分，一般得0-3分。</w:t>
            </w:r>
          </w:p>
        </w:tc>
        <w:tc>
          <w:tcPr>
            <w:tcW w:w="2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pPr>
            <w:r>
              <w:rPr>
                <w:rFonts w:hint="eastAsia" w:ascii="宋体" w:hAnsi="宋体" w:cs="宋体"/>
                <w:kern w:val="0"/>
                <w:szCs w:val="21"/>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68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rPr>
                <w:rFonts w:ascii="宋体" w:hAnsi="宋体" w:cs="宋体" w:eastAsiaTheme="minorEastAsia"/>
                <w:kern w:val="0"/>
                <w:szCs w:val="21"/>
              </w:rPr>
            </w:pPr>
            <w:r>
              <w:rPr>
                <w:rFonts w:cs="Calibri" w:asciiTheme="minorEastAsia" w:hAnsiTheme="minorEastAsia" w:eastAsiaTheme="minorEastAsia"/>
                <w:color w:val="000000"/>
                <w:sz w:val="22"/>
              </w:rPr>
              <w:t>有关证明投标人的企业信誉及获得各种奖励等资料</w:t>
            </w:r>
            <w:r>
              <w:rPr>
                <w:rFonts w:hint="eastAsia" w:cs="Calibri" w:asciiTheme="minorEastAsia" w:hAnsiTheme="minorEastAsia" w:eastAsiaTheme="minorEastAsia"/>
                <w:color w:val="000000"/>
                <w:sz w:val="22"/>
              </w:rPr>
              <w:t>：承担过国家级设计项目或获国家级奖项（提供中标通知书、合同或奖励证书、牌匾照片等）；</w:t>
            </w:r>
            <w:r>
              <w:rPr>
                <w:rFonts w:cs="Calibri" w:asciiTheme="minorEastAsia" w:hAnsiTheme="minorEastAsia" w:eastAsiaTheme="minorEastAsia"/>
                <w:color w:val="000000"/>
                <w:sz w:val="22"/>
              </w:rPr>
              <w:t>有一个项目得2分</w:t>
            </w: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本项不重复得分，最高得分4分。</w:t>
            </w:r>
          </w:p>
        </w:tc>
        <w:tc>
          <w:tcPr>
            <w:tcW w:w="2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pPr>
            <w:r>
              <w:rPr>
                <w:rFonts w:hint="eastAsia" w:ascii="宋体" w:hAnsi="宋体" w:cs="宋体"/>
                <w:kern w:val="0"/>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68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eastAsiaTheme="minorEastAsia"/>
                <w:kern w:val="0"/>
                <w:szCs w:val="21"/>
              </w:rPr>
            </w:pPr>
            <w:r>
              <w:rPr>
                <w:rFonts w:hint="eastAsia" w:ascii="宋体" w:hAnsi="宋体" w:cs="Arial"/>
                <w:kern w:val="0"/>
                <w:sz w:val="22"/>
              </w:rPr>
              <w:t>项目负责人综合素质能力，</w:t>
            </w:r>
            <w:r>
              <w:rPr>
                <w:rFonts w:hint="eastAsia" w:asciiTheme="minorEastAsia" w:hAnsiTheme="minorEastAsia" w:eastAsiaTheme="minorEastAsia" w:cstheme="minorEastAsia"/>
                <w:sz w:val="22"/>
              </w:rPr>
              <w:t>具有在2014年1月1日</w:t>
            </w:r>
            <w:r>
              <w:rPr>
                <w:rFonts w:hint="eastAsia" w:ascii="宋体" w:hAnsi="宋体" w:cs="Arial"/>
                <w:kern w:val="0"/>
                <w:sz w:val="22"/>
              </w:rPr>
              <w:t>至投标截止日</w:t>
            </w:r>
            <w:r>
              <w:rPr>
                <w:rFonts w:hint="eastAsia" w:asciiTheme="minorEastAsia" w:hAnsiTheme="minorEastAsia" w:eastAsiaTheme="minorEastAsia" w:cstheme="minorEastAsia"/>
                <w:sz w:val="22"/>
              </w:rPr>
              <w:t>，带领公司团队完成过</w:t>
            </w:r>
            <w:r>
              <w:rPr>
                <w:rFonts w:hint="eastAsia" w:ascii="宋体" w:hAnsi="宋体" w:cs="Arial"/>
                <w:kern w:val="0"/>
                <w:sz w:val="22"/>
              </w:rPr>
              <w:t>①单体面积20万平方米（含）以上同类项目（如机场、港口、汽车站、火车站等大型交通枢纽）建筑的标识系统设计经验；②50万元（含）以上VI视觉识别系统设计类的经验（①②满足</w:t>
            </w:r>
            <w:r>
              <w:rPr>
                <w:rFonts w:ascii="宋体" w:hAnsi="宋体" w:cs="Arial"/>
                <w:kern w:val="0"/>
                <w:sz w:val="22"/>
              </w:rPr>
              <w:t>一项即可计</w:t>
            </w:r>
            <w:r>
              <w:rPr>
                <w:rFonts w:hint="eastAsia" w:ascii="宋体" w:hAnsi="宋体" w:cs="Arial"/>
                <w:kern w:val="0"/>
                <w:sz w:val="22"/>
              </w:rPr>
              <w:t>一个案例经验</w:t>
            </w:r>
            <w:r>
              <w:rPr>
                <w:rFonts w:ascii="宋体" w:hAnsi="宋体" w:cs="Arial"/>
                <w:kern w:val="0"/>
                <w:sz w:val="22"/>
              </w:rPr>
              <w:t>，</w:t>
            </w:r>
            <w:r>
              <w:rPr>
                <w:rFonts w:hint="eastAsia" w:ascii="宋体" w:hAnsi="宋体" w:cs="Arial"/>
                <w:kern w:val="0"/>
                <w:sz w:val="22"/>
              </w:rPr>
              <w:t>每个案例经验</w:t>
            </w:r>
            <w:r>
              <w:rPr>
                <w:rFonts w:ascii="宋体" w:hAnsi="宋体" w:cs="Arial"/>
                <w:kern w:val="0"/>
                <w:sz w:val="22"/>
              </w:rPr>
              <w:t>不重复得分</w:t>
            </w:r>
            <w:r>
              <w:rPr>
                <w:rFonts w:hint="eastAsia" w:ascii="宋体" w:hAnsi="宋体" w:cs="Arial"/>
                <w:kern w:val="0"/>
                <w:sz w:val="22"/>
              </w:rPr>
              <w:t>），须提供项目</w:t>
            </w:r>
            <w:r>
              <w:rPr>
                <w:rFonts w:ascii="宋体" w:hAnsi="宋体" w:cs="Arial"/>
                <w:kern w:val="0"/>
                <w:sz w:val="22"/>
              </w:rPr>
              <w:t>负责人简历</w:t>
            </w:r>
            <w:r>
              <w:rPr>
                <w:rFonts w:hint="eastAsia" w:ascii="宋体" w:hAnsi="宋体" w:cs="Arial"/>
                <w:kern w:val="0"/>
                <w:sz w:val="22"/>
              </w:rPr>
              <w:t>、</w:t>
            </w:r>
            <w:r>
              <w:rPr>
                <w:rFonts w:ascii="宋体" w:hAnsi="宋体" w:cs="Arial"/>
                <w:kern w:val="0"/>
                <w:sz w:val="22"/>
              </w:rPr>
              <w:t>社保证明</w:t>
            </w:r>
            <w:r>
              <w:rPr>
                <w:rFonts w:hint="eastAsia" w:ascii="宋体" w:hAnsi="宋体" w:cs="Arial"/>
                <w:kern w:val="0"/>
                <w:sz w:val="22"/>
              </w:rPr>
              <w:t>及中标通知书或合同关键页(封面页、金额页、签字盖章页)复印件并加盖投标人公章作为证明材料。符合①的投标人，若中标通知书或合同关键页无法体现面积参数的，须额外提供业主证明。（每</w:t>
            </w:r>
            <w:r>
              <w:rPr>
                <w:rFonts w:ascii="宋体" w:hAnsi="宋体" w:cs="Arial"/>
                <w:kern w:val="0"/>
                <w:sz w:val="22"/>
              </w:rPr>
              <w:t>提供</w:t>
            </w:r>
            <w:r>
              <w:rPr>
                <w:rFonts w:hint="eastAsia" w:asciiTheme="minorEastAsia" w:hAnsiTheme="minorEastAsia" w:eastAsiaTheme="minorEastAsia" w:cstheme="minorEastAsia"/>
                <w:sz w:val="22"/>
              </w:rPr>
              <w:t>1个案例经验得4分，本项最高8分）。</w:t>
            </w:r>
          </w:p>
        </w:tc>
        <w:tc>
          <w:tcPr>
            <w:tcW w:w="2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pPr>
            <w:r>
              <w:rPr>
                <w:rFonts w:hint="eastAsia" w:ascii="宋体" w:hAnsi="宋体" w:cs="宋体"/>
                <w:kern w:val="0"/>
                <w:szCs w:val="21"/>
              </w:rPr>
              <w:t>0-8</w:t>
            </w:r>
          </w:p>
        </w:tc>
      </w:tr>
    </w:tbl>
    <w:p>
      <w:pPr>
        <w:pStyle w:val="4"/>
        <w:spacing w:line="360" w:lineRule="exact"/>
        <w:rPr>
          <w:rFonts w:hAnsi="宋体" w:cs="Calibri"/>
          <w:b/>
          <w:sz w:val="22"/>
          <w:szCs w:val="22"/>
        </w:rPr>
      </w:pPr>
      <w:r>
        <w:rPr>
          <w:rFonts w:hAnsi="宋体" w:cs="Calibri"/>
          <w:b/>
          <w:sz w:val="22"/>
          <w:szCs w:val="22"/>
        </w:rPr>
        <w:t>3.4推荐中标候选人</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3.4.3当有效投标文件只有一名时，则由评标委员会确定是否推荐为中标候选人。</w:t>
      </w:r>
    </w:p>
    <w:p>
      <w:pPr>
        <w:pStyle w:val="4"/>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4"/>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4"/>
        <w:adjustRightInd w:val="0"/>
        <w:snapToGrid w:val="0"/>
        <w:spacing w:line="360" w:lineRule="exact"/>
        <w:ind w:firstLine="442" w:firstLineChars="200"/>
        <w:rPr>
          <w:rFonts w:hAnsi="宋体" w:cs="Calibri"/>
          <w:b/>
          <w:sz w:val="22"/>
          <w:szCs w:val="22"/>
        </w:rPr>
      </w:pPr>
      <w:r>
        <w:rPr>
          <w:rFonts w:hint="eastAsia" w:hAnsi="宋体" w:cs="Calibri"/>
          <w:b/>
          <w:sz w:val="22"/>
          <w:szCs w:val="22"/>
        </w:rPr>
        <w:t>4.4</w:t>
      </w:r>
      <w:r>
        <w:rPr>
          <w:rFonts w:hint="eastAsia" w:cs="Calibri" w:asciiTheme="minorEastAsia" w:hAnsiTheme="minorEastAsia" w:eastAsiaTheme="minorEastAsia"/>
          <w:b/>
          <w:color w:val="000000"/>
          <w:sz w:val="22"/>
        </w:rPr>
        <w:t>招标人对评标、定标结果不负责解释。</w:t>
      </w:r>
    </w:p>
    <w:bookmarkEnd w:id="113"/>
    <w:p>
      <w:pPr>
        <w:spacing w:line="360" w:lineRule="exact"/>
        <w:rPr>
          <w:rFonts w:ascii="宋体" w:hAnsi="宋体"/>
          <w:szCs w:val="21"/>
        </w:rPr>
      </w:pPr>
    </w:p>
    <w:p>
      <w:pPr>
        <w:pStyle w:val="2"/>
        <w:spacing w:before="0" w:after="0" w:line="360" w:lineRule="auto"/>
        <w:jc w:val="center"/>
        <w:rPr>
          <w:rFonts w:ascii="Calibri" w:hAnsi="Calibri" w:eastAsia="黑体" w:cs="Calibri"/>
          <w:kern w:val="0"/>
          <w:sz w:val="32"/>
        </w:rPr>
      </w:pPr>
      <w:r>
        <w:br w:type="page"/>
      </w:r>
      <w:bookmarkStart w:id="114" w:name="_Toc448002988"/>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投标文件格式</w:t>
      </w:r>
      <w:bookmarkEnd w:id="114"/>
    </w:p>
    <w:p>
      <w:pPr>
        <w:spacing w:line="440" w:lineRule="exact"/>
        <w:rPr>
          <w:rFonts w:cs="Calibri"/>
          <w:color w:val="000000"/>
          <w:sz w:val="24"/>
        </w:rPr>
      </w:pPr>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一、</w:t>
      </w:r>
      <w:r>
        <w:rPr>
          <w:rFonts w:cs="Calibri" w:asciiTheme="minorEastAsia" w:hAnsiTheme="minorEastAsia" w:eastAsiaTheme="minorEastAsia"/>
          <w:color w:val="000000"/>
          <w:sz w:val="22"/>
        </w:rPr>
        <w:t>投标函；</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二、</w:t>
      </w:r>
      <w:r>
        <w:rPr>
          <w:rFonts w:cs="Calibri" w:asciiTheme="minorEastAsia" w:hAnsiTheme="minorEastAsia" w:eastAsiaTheme="minorEastAsia"/>
          <w:color w:val="000000"/>
          <w:sz w:val="22"/>
        </w:rPr>
        <w:t>投标报价表；</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三、</w:t>
      </w:r>
      <w:r>
        <w:rPr>
          <w:rFonts w:cs="Calibri" w:asciiTheme="minorEastAsia" w:hAnsiTheme="minorEastAsia" w:eastAsiaTheme="minorEastAsia"/>
          <w:color w:val="000000"/>
          <w:sz w:val="22"/>
        </w:rPr>
        <w:t>法定代表人资格证明书；</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四、</w:t>
      </w:r>
      <w:r>
        <w:rPr>
          <w:rFonts w:cs="Calibri" w:asciiTheme="minorEastAsia" w:hAnsiTheme="minorEastAsia" w:eastAsiaTheme="minorEastAsia"/>
          <w:color w:val="000000"/>
          <w:sz w:val="22"/>
        </w:rPr>
        <w:t>授权委托书；</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五、</w:t>
      </w:r>
      <w:r>
        <w:rPr>
          <w:rFonts w:cs="Calibri" w:asciiTheme="minorEastAsia" w:hAnsiTheme="minorEastAsia" w:eastAsiaTheme="minorEastAsia"/>
          <w:color w:val="000000"/>
          <w:sz w:val="22"/>
        </w:rPr>
        <w:t>投标人资格证明文件：</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（1）投标人一般情况</w:t>
      </w:r>
      <w:r>
        <w:rPr>
          <w:rFonts w:hint="eastAsia" w:cs="Calibri" w:asciiTheme="minorEastAsia" w:hAnsiTheme="minorEastAsia" w:eastAsiaTheme="minorEastAsia"/>
          <w:color w:val="000000"/>
          <w:sz w:val="22"/>
        </w:rPr>
        <w:t>及</w:t>
      </w:r>
      <w:r>
        <w:rPr>
          <w:rFonts w:cs="Calibri" w:asciiTheme="minorEastAsia" w:hAnsiTheme="minorEastAsia" w:eastAsiaTheme="minorEastAsia"/>
          <w:color w:val="000000"/>
          <w:sz w:val="22"/>
        </w:rPr>
        <w:t>有关证明投标人法律地位的文件（包括营业执照</w:t>
      </w:r>
      <w:r>
        <w:rPr>
          <w:rFonts w:hint="eastAsia" w:cs="Calibri" w:asciiTheme="minorEastAsia" w:hAnsiTheme="minorEastAsia" w:eastAsiaTheme="minorEastAsia"/>
          <w:color w:val="000000"/>
          <w:sz w:val="22"/>
        </w:rPr>
        <w:t>、</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cs="Calibri" w:asciiTheme="minorEastAsia" w:hAnsiTheme="minorEastAsia" w:eastAsiaTheme="minorEastAsia"/>
          <w:color w:val="000000"/>
          <w:sz w:val="22"/>
        </w:rPr>
        <w:t>资质</w:t>
      </w:r>
      <w:r>
        <w:rPr>
          <w:rFonts w:hint="eastAsia" w:cs="Calibri" w:asciiTheme="minorEastAsia" w:hAnsiTheme="minorEastAsia" w:eastAsiaTheme="minorEastAsia"/>
          <w:color w:val="000000"/>
          <w:sz w:val="22"/>
        </w:rPr>
        <w:t>证书</w:t>
      </w:r>
      <w:r>
        <w:rPr>
          <w:rFonts w:cs="Calibri" w:asciiTheme="minorEastAsia" w:hAnsiTheme="minorEastAsia" w:eastAsiaTheme="minorEastAsia"/>
          <w:color w:val="000000"/>
          <w:sz w:val="22"/>
        </w:rPr>
        <w:t>等），说明投标人的注册地点和主要经营范围；</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w:t>
      </w:r>
      <w:r>
        <w:rPr>
          <w:rFonts w:hint="eastAsia" w:cs="Calibri" w:asciiTheme="minorEastAsia" w:hAnsiTheme="minorEastAsia" w:eastAsiaTheme="minorEastAsia"/>
          <w:color w:val="000000"/>
          <w:sz w:val="22"/>
        </w:rPr>
        <w:t>信用中国网站www.creditchina.gov.cn 、中国裁判文书网http://wenshu.court.gov.cn查询结果证材料。</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（3）有关证明投标人的企业信誉及获得各种奖励等资料</w:t>
      </w:r>
      <w:r>
        <w:rPr>
          <w:rFonts w:hint="eastAsia" w:cs="Calibri" w:asciiTheme="minorEastAsia" w:hAnsiTheme="minorEastAsia" w:eastAsiaTheme="minorEastAsia"/>
          <w:color w:val="000000"/>
          <w:sz w:val="22"/>
        </w:rPr>
        <w:t>：承担过国家级设计项目或获国家级奖项（提供中标通知书、合同或奖励证书、牌匾照片等）；</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（4）投标人经济实力：包括企业注册资金、财务报告与报表中反映的财务状况</w:t>
      </w:r>
      <w:r>
        <w:rPr>
          <w:rFonts w:hint="eastAsia" w:cs="Calibri" w:asciiTheme="minorEastAsia" w:hAnsiTheme="minorEastAsia" w:eastAsiaTheme="minorEastAsia"/>
          <w:color w:val="000000"/>
          <w:sz w:val="22"/>
        </w:rPr>
        <w:t>；</w:t>
      </w:r>
    </w:p>
    <w:p>
      <w:pPr>
        <w:widowControl/>
        <w:adjustRightInd w:val="0"/>
        <w:snapToGrid w:val="0"/>
        <w:spacing w:line="340" w:lineRule="exact"/>
        <w:ind w:firstLine="440" w:firstLineChars="200"/>
        <w:rPr>
          <w:rFonts w:ascii="宋体" w:hAnsi="宋体" w:cs="Arial"/>
          <w:kern w:val="0"/>
          <w:sz w:val="22"/>
        </w:rPr>
      </w:pP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5</w:t>
      </w:r>
      <w:r>
        <w:rPr>
          <w:rFonts w:hint="eastAsia" w:cs="Calibri" w:asciiTheme="minorEastAsia" w:hAnsiTheme="minorEastAsia" w:eastAsiaTheme="minorEastAsia"/>
          <w:color w:val="000000"/>
          <w:sz w:val="22"/>
        </w:rPr>
        <w:t>）</w:t>
      </w:r>
      <w:r>
        <w:rPr>
          <w:rFonts w:hint="eastAsia" w:ascii="宋体" w:hAnsi="宋体" w:cs="Arial"/>
          <w:kern w:val="0"/>
          <w:sz w:val="22"/>
        </w:rPr>
        <w:t>近五年（自2014年1月1日起至投标截止日）投标人须具备类似项目业绩：指面积20万平方米（含）以上同类项目（机场、港口、汽车站、火车站等大型</w:t>
      </w:r>
      <w:r>
        <w:rPr>
          <w:rFonts w:ascii="宋体" w:hAnsi="宋体" w:cs="Arial"/>
          <w:kern w:val="0"/>
          <w:sz w:val="22"/>
        </w:rPr>
        <w:t>交通枢纽</w:t>
      </w:r>
      <w:r>
        <w:rPr>
          <w:rFonts w:hint="eastAsia" w:ascii="宋体" w:hAnsi="宋体" w:cs="Arial"/>
          <w:kern w:val="0"/>
          <w:sz w:val="22"/>
        </w:rPr>
        <w:t>）建筑的标识系统设计或VI视觉识别系统设计类的业绩证明，须提供中标通知书或合同关键页(封面页、金额页、签字盖章页)复印件并加盖投标人公章证明材料。</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6</w:t>
      </w:r>
      <w:r>
        <w:rPr>
          <w:rFonts w:hint="eastAsia" w:cs="Calibri" w:asciiTheme="minorEastAsia" w:hAnsiTheme="minorEastAsia" w:eastAsiaTheme="minorEastAsia"/>
          <w:color w:val="000000"/>
          <w:sz w:val="22"/>
        </w:rPr>
        <w:t>）招标文件投标人资格要求中提供的相关材料。</w:t>
      </w:r>
    </w:p>
    <w:p>
      <w:pPr>
        <w:adjustRightInd w:val="0"/>
        <w:snapToGrid w:val="0"/>
        <w:spacing w:line="400" w:lineRule="exact"/>
        <w:ind w:firstLine="440" w:firstLineChars="200"/>
        <w:rPr>
          <w:rFonts w:ascii="宋体" w:hAnsi="宋体" w:cs="Calibri"/>
          <w:color w:val="000000"/>
          <w:sz w:val="22"/>
        </w:rPr>
      </w:pPr>
      <w:r>
        <w:rPr>
          <w:rFonts w:hint="eastAsia" w:cs="Calibri" w:asciiTheme="minorEastAsia" w:hAnsiTheme="minorEastAsia" w:eastAsiaTheme="minorEastAsia"/>
          <w:color w:val="000000"/>
          <w:sz w:val="22"/>
        </w:rPr>
        <w:t>六、</w:t>
      </w:r>
      <w:r>
        <w:rPr>
          <w:rFonts w:ascii="宋体" w:hAnsi="宋体" w:cs="Calibri"/>
          <w:color w:val="000000"/>
          <w:sz w:val="22"/>
        </w:rPr>
        <w:t>服务大纲</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（1）T1、T2、T3航站区标识系统问题分析和整改建议；</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（2）T1、T2、T3航站区服务方案及承诺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（3）项目负责人综合素质能力：项目负责人在2017年1月1日</w:t>
      </w:r>
      <w:r>
        <w:rPr>
          <w:rFonts w:hint="eastAsia" w:ascii="宋体" w:hAnsi="宋体" w:cs="Arial"/>
          <w:kern w:val="0"/>
          <w:sz w:val="22"/>
        </w:rPr>
        <w:t>至投标截止日</w:t>
      </w:r>
      <w:r>
        <w:rPr>
          <w:rFonts w:hint="eastAsia" w:asciiTheme="minorEastAsia" w:hAnsiTheme="minorEastAsia" w:eastAsiaTheme="minorEastAsia" w:cstheme="minorEastAsia"/>
          <w:sz w:val="22"/>
        </w:rPr>
        <w:t>带领公司团队完成过</w:t>
      </w:r>
      <w:r>
        <w:rPr>
          <w:rFonts w:hint="eastAsia" w:ascii="宋体" w:hAnsi="宋体" w:cs="Arial"/>
          <w:kern w:val="0"/>
          <w:sz w:val="22"/>
        </w:rPr>
        <w:t>①单体面积20万平方米（含）以上同类项目（如机场、港口、汽车站、火车站等大型交通枢纽）建筑的标识系统设计经验；②50万元（含）以上VI视觉识别系统设计类的经验（①②满足一项即可），须提供项目</w:t>
      </w:r>
      <w:r>
        <w:rPr>
          <w:rFonts w:ascii="宋体" w:hAnsi="宋体" w:cs="Arial"/>
          <w:kern w:val="0"/>
          <w:sz w:val="22"/>
        </w:rPr>
        <w:t>负责人简历</w:t>
      </w:r>
      <w:r>
        <w:rPr>
          <w:rFonts w:hint="eastAsia" w:ascii="宋体" w:hAnsi="宋体" w:cs="Arial"/>
          <w:kern w:val="0"/>
          <w:sz w:val="22"/>
        </w:rPr>
        <w:t>、</w:t>
      </w:r>
      <w:r>
        <w:rPr>
          <w:rFonts w:ascii="宋体" w:hAnsi="宋体" w:cs="Arial"/>
          <w:kern w:val="0"/>
          <w:sz w:val="22"/>
        </w:rPr>
        <w:t>社保证明</w:t>
      </w:r>
      <w:r>
        <w:rPr>
          <w:rFonts w:hint="eastAsia" w:ascii="宋体" w:hAnsi="宋体" w:cs="Arial"/>
          <w:kern w:val="0"/>
          <w:sz w:val="22"/>
        </w:rPr>
        <w:t>及中标通知书或合同关键页(封面页、金额页、签字盖章页)复印件并加盖投标人公章作为证明材料。符合①的投标人，若中标通知书或合同关键页无法体现面积参数的，须额外提供业主证明；</w:t>
      </w:r>
      <w:r>
        <w:rPr>
          <w:rFonts w:hint="eastAsia" w:cs="Calibri" w:asciiTheme="minorEastAsia" w:hAnsiTheme="minorEastAsia" w:eastAsiaTheme="minorEastAsia"/>
          <w:color w:val="000000"/>
          <w:sz w:val="22"/>
        </w:rPr>
        <w:t>（4）提供团队人员在</w:t>
      </w:r>
      <w:r>
        <w:rPr>
          <w:rFonts w:hint="eastAsia" w:asciiTheme="minorEastAsia" w:hAnsiTheme="minorEastAsia" w:eastAsiaTheme="minorEastAsia" w:cstheme="minorEastAsia"/>
          <w:sz w:val="22"/>
        </w:rPr>
        <w:t>2017年1月1日</w:t>
      </w:r>
      <w:r>
        <w:rPr>
          <w:rFonts w:hint="eastAsia" w:ascii="宋体" w:hAnsi="宋体" w:cs="Arial"/>
          <w:kern w:val="0"/>
          <w:sz w:val="22"/>
        </w:rPr>
        <w:t>至投标截止日</w:t>
      </w:r>
      <w:r>
        <w:rPr>
          <w:rFonts w:hint="eastAsia" w:asciiTheme="minorEastAsia" w:hAnsiTheme="minorEastAsia" w:eastAsiaTheme="minorEastAsia" w:cstheme="minorEastAsia"/>
          <w:sz w:val="22"/>
        </w:rPr>
        <w:t>，参与过</w:t>
      </w:r>
      <w:r>
        <w:rPr>
          <w:rFonts w:hint="eastAsia" w:ascii="宋体" w:hAnsi="宋体" w:cs="Arial"/>
          <w:kern w:val="0"/>
          <w:sz w:val="22"/>
        </w:rPr>
        <w:t>①单体面积20万平方米（含）以上同类项目（如机场、港口、汽车站、火车站等大型交通枢纽）建筑的标识系统设计经验；②50万元（含）以上VI视觉识别系统设计类的经验（①②满足一项即可），须提供团队人员</w:t>
      </w:r>
      <w:r>
        <w:rPr>
          <w:rFonts w:ascii="宋体" w:hAnsi="宋体" w:cs="Arial"/>
          <w:kern w:val="0"/>
          <w:sz w:val="22"/>
        </w:rPr>
        <w:t>社保证明</w:t>
      </w:r>
      <w:r>
        <w:rPr>
          <w:rFonts w:hint="eastAsia" w:ascii="宋体" w:hAnsi="宋体" w:cs="Arial"/>
          <w:kern w:val="0"/>
          <w:sz w:val="22"/>
        </w:rPr>
        <w:t>及中标通知书或合同关键页(封面页、金额页、签字盖章页)复印件并加盖投标人公章作为证明材料。符合①的投标人，若中标通知书或合同关键页无法体现面积参数的，须额外提供业主证明</w:t>
      </w:r>
      <w:r>
        <w:rPr>
          <w:rFonts w:hint="eastAsia" w:cs="Calibri" w:asciiTheme="minorEastAsia" w:hAnsiTheme="minorEastAsia" w:eastAsiaTheme="minorEastAsia"/>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cs="Calibri" w:asciiTheme="minorEastAsia" w:hAnsiTheme="minorEastAsia" w:eastAsiaTheme="minorEastAsia"/>
          <w:color w:val="000000"/>
          <w:sz w:val="22"/>
        </w:rPr>
        <w:t>七、</w:t>
      </w:r>
      <w:r>
        <w:rPr>
          <w:rFonts w:hint="eastAsia" w:cs="Arial" w:asciiTheme="minorEastAsia" w:hAnsiTheme="minorEastAsia" w:eastAsiaTheme="minorEastAsia"/>
          <w:color w:val="000000"/>
          <w:sz w:val="22"/>
        </w:rPr>
        <w:t>投标人认为</w:t>
      </w:r>
      <w:r>
        <w:rPr>
          <w:rFonts w:cs="Arial" w:asciiTheme="minorEastAsia" w:hAnsiTheme="minorEastAsia" w:eastAsiaTheme="minorEastAsia"/>
          <w:color w:val="000000"/>
          <w:sz w:val="22"/>
        </w:rPr>
        <w:t>应该提供的其他材料</w:t>
      </w:r>
      <w:r>
        <w:rPr>
          <w:rFonts w:hint="eastAsia" w:cs="Arial"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（1）本项目概况；</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（2）工作内容和依据；</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w:t>
      </w:r>
      <w:r>
        <w:rPr>
          <w:rFonts w:hint="eastAsia" w:cs="Calibri" w:asciiTheme="minorEastAsia" w:hAnsiTheme="minorEastAsia" w:eastAsiaTheme="minorEastAsia"/>
          <w:color w:val="000000"/>
          <w:sz w:val="22"/>
        </w:rPr>
        <w:t>现场机构、人力、物资设备配置</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（4）服务人员的作业安排和进场计划；</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w:t>
      </w:r>
      <w:r>
        <w:rPr>
          <w:rFonts w:hint="eastAsia" w:cs="Calibri" w:asciiTheme="minorEastAsia" w:hAnsiTheme="minorEastAsia" w:eastAsiaTheme="minorEastAsia"/>
          <w:color w:val="000000"/>
          <w:sz w:val="22"/>
        </w:rPr>
        <w:t>运行、安全、服务等相关管理方案</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（6）对本项目的实施意见及重点</w:t>
      </w: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难点控制；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（7）对特殊情况的承诺以及灾害性、突发事件的应急预案；</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8</w:t>
      </w:r>
      <w:r>
        <w:rPr>
          <w:rFonts w:cs="Calibri" w:asciiTheme="minorEastAsia" w:hAnsiTheme="minorEastAsia" w:eastAsiaTheme="minorEastAsia"/>
          <w:color w:val="000000"/>
          <w:sz w:val="22"/>
        </w:rPr>
        <w:t>）投入到本项目的项目负责人、其他人员的情况汇总表及业绩、经历、能力介绍、资格证明材料及人员到位率的承诺；</w:t>
      </w:r>
    </w:p>
    <w:p>
      <w:pPr>
        <w:ind w:firstLine="440" w:firstLineChars="200"/>
        <w:rPr>
          <w:rFonts w:ascii="宋体" w:hAnsi="宋体" w:cs="Calibri"/>
          <w:sz w:val="22"/>
        </w:rPr>
      </w:pP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）投入本项目服务的仪器、仪表、设备及交通工具汇总表</w:t>
      </w:r>
      <w:r>
        <w:rPr>
          <w:rFonts w:hint="eastAsia" w:cs="Calibri" w:asciiTheme="minorEastAsia" w:hAnsiTheme="minorEastAsia" w:eastAsiaTheme="minorEastAsia"/>
          <w:color w:val="000000"/>
          <w:sz w:val="22"/>
        </w:rPr>
        <w:t>。</w:t>
      </w:r>
    </w:p>
    <w:p>
      <w:pPr>
        <w:spacing w:line="440" w:lineRule="exact"/>
        <w:ind w:right="420"/>
        <w:rPr>
          <w:rFonts w:ascii="宋体" w:hAnsi="宋体" w:cs="Calibri"/>
          <w:color w:val="000000"/>
          <w:sz w:val="22"/>
        </w:rPr>
      </w:pPr>
      <w:r>
        <w:rPr>
          <w:rFonts w:hint="eastAsia" w:ascii="宋体" w:hAnsi="宋体" w:cs="Calibri"/>
          <w:color w:val="000000"/>
          <w:sz w:val="22"/>
        </w:rPr>
        <w:t>注：未提供格式的由投标人自行拟定格式。</w:t>
      </w:r>
    </w:p>
    <w:p>
      <w:pPr>
        <w:spacing w:line="440" w:lineRule="exact"/>
        <w:ind w:right="420"/>
        <w:rPr>
          <w:rFonts w:ascii="宋体" w:hAnsi="宋体" w:cs="Calibri"/>
          <w:color w:val="000000"/>
        </w:rPr>
      </w:pPr>
    </w:p>
    <w:p>
      <w:pPr>
        <w:spacing w:line="440" w:lineRule="exact"/>
        <w:ind w:right="420"/>
        <w:rPr>
          <w:rFonts w:cs="Calibri"/>
          <w:color w:val="000000"/>
        </w:rPr>
      </w:pPr>
    </w:p>
    <w:p>
      <w:pPr>
        <w:spacing w:line="440" w:lineRule="exact"/>
        <w:ind w:right="420"/>
        <w:jc w:val="right"/>
        <w:rPr>
          <w:rFonts w:cs="Calibri"/>
          <w:color w:val="000000"/>
        </w:rPr>
      </w:pPr>
      <w:r>
        <w:rPr>
          <w:rFonts w:cs="Calibri"/>
          <w:color w:val="000000"/>
        </w:rPr>
        <w:br w:type="page"/>
      </w:r>
      <w:r>
        <w:rPr>
          <w:rFonts w:cs="Calibri"/>
          <w:color w:val="000000"/>
        </w:rPr>
        <w:t>正本（或副本）</w:t>
      </w:r>
    </w:p>
    <w:p>
      <w:pPr>
        <w:spacing w:line="440" w:lineRule="exact"/>
        <w:rPr>
          <w:rFonts w:cs="Calibri"/>
          <w:color w:val="000000"/>
          <w:sz w:val="24"/>
          <w:u w:val="single"/>
        </w:rPr>
      </w:pPr>
      <w:bookmarkStart w:id="115" w:name="_Toc171421958"/>
      <w:r>
        <w:rPr>
          <w:rFonts w:cs="Calibri"/>
          <w:color w:val="000000"/>
        </w:rPr>
        <w:t>封面</w:t>
      </w:r>
      <w:bookmarkEnd w:id="115"/>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杭州萧山国际机场T1、T2、T3航站楼标识提升优化方案设计</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sz w:val="24"/>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sz w:val="24"/>
        </w:rPr>
      </w:pPr>
    </w:p>
    <w:p>
      <w:pPr>
        <w:spacing w:line="440" w:lineRule="exact"/>
        <w:ind w:firstLine="480" w:firstLineChars="200"/>
        <w:rPr>
          <w:rFonts w:cs="Calibri"/>
          <w:color w:val="000000"/>
          <w:sz w:val="24"/>
        </w:rPr>
      </w:pPr>
      <w:r>
        <w:rPr>
          <w:rFonts w:cs="Calibri"/>
          <w:color w:val="000000"/>
          <w:sz w:val="24"/>
        </w:rPr>
        <w:t xml:space="preserve">                  </w:t>
      </w: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spacing w:line="360" w:lineRule="auto"/>
        <w:ind w:firstLine="1400" w:firstLineChars="500"/>
        <w:rPr>
          <w:rFonts w:cs="Calibri"/>
          <w:color w:val="000000"/>
          <w:sz w:val="28"/>
          <w:szCs w:val="28"/>
        </w:rPr>
      </w:pPr>
    </w:p>
    <w:p>
      <w:pPr>
        <w:spacing w:line="360" w:lineRule="auto"/>
        <w:jc w:val="center"/>
        <w:rPr>
          <w:rFonts w:eastAsia="黑体" w:cs="Calibri"/>
          <w:bCs/>
          <w:color w:val="000000"/>
          <w:sz w:val="32"/>
          <w:szCs w:val="32"/>
        </w:rPr>
      </w:pPr>
      <w:r>
        <w:rPr>
          <w:rFonts w:cs="Calibri"/>
          <w:color w:val="000000"/>
          <w:sz w:val="24"/>
        </w:rPr>
        <w:br w:type="page"/>
      </w:r>
      <w:r>
        <w:rPr>
          <w:rFonts w:eastAsia="黑体" w:cs="Calibri"/>
          <w:bCs/>
          <w:color w:val="000000"/>
          <w:sz w:val="32"/>
          <w:szCs w:val="32"/>
        </w:rPr>
        <w:t>一、投 标 函</w:t>
      </w:r>
    </w:p>
    <w:p>
      <w:pPr>
        <w:spacing w:line="440" w:lineRule="exact"/>
        <w:jc w:val="center"/>
        <w:rPr>
          <w:rFonts w:cs="Calibri"/>
          <w:b/>
          <w:bCs/>
          <w:color w:val="000000"/>
          <w:sz w:val="28"/>
          <w:szCs w:val="28"/>
        </w:rPr>
      </w:pPr>
    </w:p>
    <w:p>
      <w:pPr>
        <w:snapToGrid w:val="0"/>
        <w:spacing w:line="360" w:lineRule="auto"/>
        <w:rPr>
          <w:rFonts w:cs="Calibri" w:asciiTheme="minorEastAsia" w:hAnsiTheme="minorEastAsia" w:eastAsiaTheme="minorEastAsia"/>
          <w:b/>
          <w:bCs/>
          <w:sz w:val="24"/>
          <w:szCs w:val="24"/>
        </w:rPr>
      </w:pPr>
      <w:r>
        <w:rPr>
          <w:rFonts w:ascii="宋体" w:hAnsi="宋体"/>
          <w:sz w:val="24"/>
          <w:szCs w:val="24"/>
        </w:rPr>
        <w:t>致：</w:t>
      </w:r>
      <w:r>
        <w:rPr>
          <w:rFonts w:hint="eastAsia" w:ascii="宋体" w:hAnsi="宋体"/>
          <w:sz w:val="24"/>
          <w:szCs w:val="24"/>
        </w:rPr>
        <w:t>杭州萧山国际机场</w:t>
      </w:r>
      <w:r>
        <w:rPr>
          <w:rFonts w:ascii="宋体" w:hAnsi="宋体"/>
          <w:sz w:val="24"/>
          <w:szCs w:val="24"/>
        </w:rPr>
        <w:t>有限公司</w:t>
      </w:r>
    </w:p>
    <w:p>
      <w:pPr>
        <w:snapToGrid w:val="0"/>
        <w:spacing w:line="360" w:lineRule="auto"/>
        <w:ind w:firstLine="600" w:firstLineChars="250"/>
        <w:rPr>
          <w:rFonts w:cs="Calibri" w:asciiTheme="minorEastAsia" w:hAnsiTheme="minorEastAsia" w:eastAsiaTheme="minorEastAsia"/>
          <w:sz w:val="24"/>
        </w:rPr>
      </w:pPr>
      <w:r>
        <w:rPr>
          <w:rFonts w:cs="Calibri" w:asciiTheme="minorEastAsia" w:hAnsiTheme="minorEastAsia" w:eastAsiaTheme="minorEastAsia"/>
          <w:sz w:val="24"/>
        </w:rPr>
        <w:t>1、根据已收到的</w:t>
      </w:r>
      <w:r>
        <w:rPr>
          <w:rFonts w:cs="Calibri" w:asciiTheme="minorEastAsia" w:hAnsiTheme="minorEastAsia" w:eastAsiaTheme="minorEastAsia"/>
          <w:sz w:val="24"/>
          <w:u w:val="single"/>
        </w:rPr>
        <w:t xml:space="preserve">                           </w:t>
      </w:r>
      <w:r>
        <w:rPr>
          <w:rFonts w:cs="Calibri" w:asciiTheme="minorEastAsia" w:hAnsiTheme="minorEastAsia" w:eastAsiaTheme="minorEastAsia"/>
          <w:sz w:val="24"/>
        </w:rPr>
        <w:t>招标文件，遵照《中华人民共和国招标投标法》等有关规定，经考察现场和研究上述招标文件后，我方愿以投标总价</w:t>
      </w:r>
      <w:r>
        <w:rPr>
          <w:rFonts w:hint="eastAsia" w:cs="Calibri" w:asciiTheme="minorEastAsia" w:hAnsiTheme="minorEastAsia" w:eastAsiaTheme="minorEastAsia"/>
          <w:sz w:val="24"/>
        </w:rPr>
        <w:t>为</w:t>
      </w:r>
      <w:r>
        <w:rPr>
          <w:rFonts w:cs="Calibri" w:asciiTheme="minorEastAsia" w:hAnsiTheme="minorEastAsia" w:eastAsiaTheme="minorEastAsia"/>
          <w:sz w:val="24"/>
        </w:rPr>
        <w:t>人民币 (大写)：</w:t>
      </w:r>
      <w:r>
        <w:rPr>
          <w:rFonts w:cs="Calibri" w:asciiTheme="minorEastAsia" w:hAnsiTheme="minorEastAsia" w:eastAsiaTheme="minorEastAsia"/>
          <w:sz w:val="24"/>
          <w:u w:val="single"/>
        </w:rPr>
        <w:t xml:space="preserve">               </w:t>
      </w:r>
      <w:r>
        <w:rPr>
          <w:rFonts w:cs="Calibri" w:asciiTheme="minorEastAsia" w:hAnsiTheme="minorEastAsia" w:eastAsiaTheme="minorEastAsia"/>
          <w:sz w:val="24"/>
        </w:rPr>
        <w:t>元（RMB</w:t>
      </w:r>
      <w:r>
        <w:rPr>
          <w:rFonts w:cs="Calibri" w:asciiTheme="minorEastAsia" w:hAnsiTheme="minorEastAsia" w:eastAsiaTheme="minorEastAsia"/>
          <w:sz w:val="24"/>
          <w:u w:val="single"/>
        </w:rPr>
        <w:t xml:space="preserve">         </w:t>
      </w:r>
      <w:r>
        <w:rPr>
          <w:rFonts w:cs="Calibri" w:asciiTheme="minorEastAsia" w:hAnsiTheme="minorEastAsia" w:eastAsiaTheme="minorEastAsia"/>
          <w:sz w:val="24"/>
        </w:rPr>
        <w:t>元）报价并按上述招标文件要求承揽上述项目</w:t>
      </w:r>
      <w:r>
        <w:rPr>
          <w:rFonts w:hint="eastAsia" w:cs="Calibri" w:asciiTheme="minorEastAsia" w:hAnsiTheme="minorEastAsia" w:eastAsiaTheme="minorEastAsia"/>
          <w:bCs/>
          <w:sz w:val="24"/>
        </w:rPr>
        <w:t>所有</w:t>
      </w:r>
      <w:r>
        <w:rPr>
          <w:rFonts w:cs="Calibri" w:asciiTheme="minorEastAsia" w:hAnsiTheme="minorEastAsia" w:eastAsiaTheme="minorEastAsia"/>
          <w:bCs/>
          <w:sz w:val="24"/>
        </w:rPr>
        <w:t>等工作</w:t>
      </w:r>
      <w:r>
        <w:rPr>
          <w:rFonts w:cs="Calibri" w:asciiTheme="minorEastAsia" w:hAnsiTheme="minorEastAsia" w:eastAsiaTheme="minorEastAsia"/>
          <w:sz w:val="24"/>
          <w:szCs w:val="21"/>
        </w:rPr>
        <w:t>。</w:t>
      </w:r>
      <w:r>
        <w:rPr>
          <w:rFonts w:cs="Calibri" w:asciiTheme="minorEastAsia" w:hAnsiTheme="minorEastAsia" w:eastAsiaTheme="minorEastAsia"/>
          <w:sz w:val="24"/>
        </w:rPr>
        <w:t xml:space="preserve"> </w:t>
      </w:r>
    </w:p>
    <w:p>
      <w:pPr>
        <w:snapToGrid w:val="0"/>
        <w:spacing w:line="360" w:lineRule="auto"/>
        <w:ind w:firstLine="600" w:firstLineChars="250"/>
        <w:rPr>
          <w:rFonts w:cs="Calibri" w:asciiTheme="minorEastAsia" w:hAnsiTheme="minorEastAsia" w:eastAsiaTheme="minorEastAsia"/>
          <w:sz w:val="24"/>
        </w:rPr>
      </w:pPr>
      <w:r>
        <w:rPr>
          <w:rFonts w:cs="Calibri" w:asciiTheme="minorEastAsia" w:hAnsiTheme="minorEastAsia" w:eastAsiaTheme="minorEastAsia"/>
          <w:sz w:val="24"/>
        </w:rPr>
        <w:t>2</w:t>
      </w:r>
      <w:r>
        <w:rPr>
          <w:rFonts w:hint="eastAsia" w:cs="Calibri" w:asciiTheme="minorEastAsia" w:hAnsiTheme="minorEastAsia" w:eastAsiaTheme="minorEastAsia"/>
          <w:sz w:val="24"/>
        </w:rPr>
        <w:t>. 我方承诺：</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（1）我方不是失信被执行人；</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（2）我方在规定期限内无行贿犯罪记录；</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（3）我方具有一般纳税人资格，可提供增值税专用发票。</w:t>
      </w:r>
    </w:p>
    <w:p>
      <w:pPr>
        <w:snapToGrid w:val="0"/>
        <w:spacing w:line="360" w:lineRule="auto"/>
        <w:ind w:firstLine="600" w:firstLineChars="250"/>
        <w:rPr>
          <w:rFonts w:cs="Calibri" w:asciiTheme="minorEastAsia" w:hAnsiTheme="minorEastAsia" w:eastAsiaTheme="minorEastAsia"/>
          <w:sz w:val="24"/>
        </w:rPr>
      </w:pPr>
      <w:r>
        <w:rPr>
          <w:rFonts w:cs="Calibri" w:asciiTheme="minorEastAsia" w:hAnsiTheme="minorEastAsia" w:eastAsiaTheme="minorEastAsia"/>
          <w:sz w:val="24"/>
        </w:rPr>
        <w:t>3</w:t>
      </w:r>
      <w:r>
        <w:rPr>
          <w:rFonts w:hint="eastAsia" w:cs="Calibri" w:asciiTheme="minorEastAsia" w:hAnsiTheme="minorEastAsia" w:eastAsiaTheme="minorEastAsia"/>
          <w:sz w:val="24"/>
        </w:rPr>
        <w:t>．如我方中标，我方承诺：</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(1)在收到中标通知书后，在中标通知书规定的期限内与你方签订合同；</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(2)在签订合同时不向你方提出附加条件；</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(3)按照招标文件要求提交履约保证金；</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(4)在合同约定的期限内完成合同规定的全部义务。</w:t>
      </w:r>
    </w:p>
    <w:p>
      <w:pPr>
        <w:snapToGrid w:val="0"/>
        <w:spacing w:line="360" w:lineRule="auto"/>
        <w:rPr>
          <w:rFonts w:cs="Calibri" w:asciiTheme="minorEastAsia" w:hAnsiTheme="minorEastAsia" w:eastAsiaTheme="minorEastAsia"/>
          <w:sz w:val="24"/>
          <w:szCs w:val="20"/>
        </w:rPr>
      </w:pPr>
      <w:r>
        <w:rPr>
          <w:rFonts w:cs="Calibri" w:asciiTheme="minorEastAsia" w:hAnsiTheme="minorEastAsia" w:eastAsiaTheme="minorEastAsia"/>
          <w:sz w:val="24"/>
        </w:rPr>
        <w:t>　　 4、我方同意所递交的投标文件在“前附表”规定的投标有效期内有效，在此期间内我方的投标有可能中标，我方将受此约束。</w:t>
      </w:r>
    </w:p>
    <w:p>
      <w:pPr>
        <w:snapToGrid w:val="0"/>
        <w:spacing w:line="360" w:lineRule="auto"/>
        <w:rPr>
          <w:rFonts w:cs="Calibri" w:asciiTheme="minorEastAsia" w:hAnsiTheme="minorEastAsia" w:eastAsiaTheme="minorEastAsia"/>
          <w:sz w:val="24"/>
          <w:szCs w:val="20"/>
        </w:rPr>
      </w:pPr>
      <w:r>
        <w:rPr>
          <w:rFonts w:cs="Calibri" w:asciiTheme="minorEastAsia" w:hAnsiTheme="minorEastAsia" w:eastAsiaTheme="minorEastAsia"/>
          <w:sz w:val="24"/>
        </w:rPr>
        <w:t xml:space="preserve">     5、除非另外达成协议并生效，你方的中标通知书和本投标文件将构成约束我们双方的合同。</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6、我方已详细审查招标文件包括澄清函和修改文件(若有)、所有已提供的资料以及有关附件，我司已完全理解上述文件的全部内容，并放弃提出任何误解或不明作为抗辩的权利。</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7、我方同意按照你方可能提出的要求，提供有关的任何其它数字或资料，并对贵方可能不接受最低报价及任何报价表示理解。</w:t>
      </w:r>
    </w:p>
    <w:p>
      <w:pPr>
        <w:snapToGrid w:val="0"/>
        <w:spacing w:line="440" w:lineRule="exact"/>
        <w:rPr>
          <w:rFonts w:cs="Calibri" w:asciiTheme="minorEastAsia" w:hAnsiTheme="minorEastAsia" w:eastAsiaTheme="minorEastAsia"/>
          <w:color w:val="000000"/>
          <w:szCs w:val="21"/>
        </w:rPr>
      </w:pPr>
    </w:p>
    <w:p>
      <w:pPr>
        <w:snapToGrid w:val="0"/>
        <w:spacing w:line="440" w:lineRule="exact"/>
        <w:rPr>
          <w:rFonts w:cs="Calibri" w:asciiTheme="minorEastAsia" w:hAnsiTheme="minorEastAsia" w:eastAsiaTheme="minorEastAsia"/>
          <w:color w:val="000000"/>
          <w:szCs w:val="21"/>
        </w:rPr>
      </w:pPr>
    </w:p>
    <w:p>
      <w:pPr>
        <w:snapToGrid w:val="0"/>
        <w:spacing w:line="440" w:lineRule="exact"/>
        <w:rPr>
          <w:rFonts w:cs="Calibri" w:asciiTheme="minorEastAsia" w:hAnsiTheme="minorEastAsia" w:eastAsiaTheme="minorEastAsia"/>
          <w:color w:val="000000"/>
          <w:szCs w:val="21"/>
        </w:rPr>
      </w:pP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投标人：（盖单位章）</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法定代表人或其委托代理人：（签字或盖章）</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地    址：</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邮政编码：</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电    话：</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传    真：</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开户银行：</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账    号：</w:t>
      </w:r>
    </w:p>
    <w:p>
      <w:pPr>
        <w:snapToGrid w:val="0"/>
        <w:spacing w:line="440" w:lineRule="exact"/>
        <w:ind w:firstLine="3600" w:firstLineChars="1500"/>
        <w:rPr>
          <w:rFonts w:eastAsia="黑体" w:cs="Calibri"/>
          <w:color w:val="000000"/>
          <w:sz w:val="32"/>
          <w:szCs w:val="32"/>
        </w:rPr>
      </w:pPr>
      <w:r>
        <w:rPr>
          <w:rFonts w:cs="Calibri" w:asciiTheme="minorEastAsia" w:hAnsiTheme="minorEastAsia" w:eastAsiaTheme="minorEastAsia"/>
          <w:color w:val="000000"/>
          <w:sz w:val="24"/>
        </w:rPr>
        <w:t>日    期：    年     月     日</w:t>
      </w:r>
      <w:r>
        <w:rPr>
          <w:rFonts w:eastAsia="黑体" w:cs="Calibri"/>
          <w:color w:val="000000"/>
          <w:sz w:val="32"/>
          <w:szCs w:val="32"/>
        </w:rPr>
        <w:br w:type="page"/>
      </w:r>
    </w:p>
    <w:p>
      <w:pPr>
        <w:adjustRightInd w:val="0"/>
        <w:snapToGrid w:val="0"/>
        <w:jc w:val="center"/>
        <w:rPr>
          <w:rFonts w:eastAsia="黑体" w:cs="Calibri"/>
          <w:color w:val="000000"/>
          <w:sz w:val="32"/>
          <w:szCs w:val="32"/>
        </w:rPr>
      </w:pP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sz w:val="24"/>
        </w:rPr>
      </w:pPr>
    </w:p>
    <w:p>
      <w:pPr>
        <w:spacing w:after="120" w:afterLines="50" w:line="440" w:lineRule="exact"/>
        <w:rPr>
          <w:rFonts w:cs="Calibri"/>
          <w:color w:val="000000"/>
          <w:szCs w:val="21"/>
          <w:u w:val="single"/>
        </w:rPr>
      </w:pPr>
      <w:r>
        <w:rPr>
          <w:rFonts w:cs="Calibri"/>
          <w:color w:val="000000"/>
          <w:szCs w:val="21"/>
        </w:rPr>
        <w:t>投标人名称：</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单位性质：</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地址：</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成立时间：</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pacing w:after="120" w:afterLines="50" w:line="440" w:lineRule="exact"/>
        <w:rPr>
          <w:rFonts w:cs="Calibri"/>
          <w:color w:val="000000"/>
          <w:szCs w:val="21"/>
          <w:u w:val="single"/>
        </w:rPr>
      </w:pPr>
      <w:r>
        <w:rPr>
          <w:rFonts w:cs="Calibri"/>
          <w:color w:val="000000"/>
          <w:szCs w:val="21"/>
        </w:rPr>
        <w:t>经营期限：</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姓名：</w:t>
      </w:r>
      <w:r>
        <w:rPr>
          <w:rFonts w:cs="Calibri"/>
          <w:color w:val="000000"/>
          <w:szCs w:val="21"/>
          <w:u w:val="single"/>
        </w:rPr>
        <w:t xml:space="preserve">         </w:t>
      </w:r>
      <w:r>
        <w:rPr>
          <w:rFonts w:cs="Calibri"/>
          <w:color w:val="000000"/>
          <w:szCs w:val="21"/>
        </w:rPr>
        <w:t xml:space="preserve">  性别：</w:t>
      </w:r>
      <w:r>
        <w:rPr>
          <w:rFonts w:cs="Calibri"/>
          <w:color w:val="000000"/>
          <w:szCs w:val="21"/>
          <w:u w:val="single"/>
        </w:rPr>
        <w:t xml:space="preserve">         </w:t>
      </w:r>
      <w:r>
        <w:rPr>
          <w:rFonts w:cs="Calibri"/>
          <w:color w:val="000000"/>
          <w:szCs w:val="21"/>
        </w:rPr>
        <w:t xml:space="preserve">  年龄：</w:t>
      </w:r>
      <w:r>
        <w:rPr>
          <w:rFonts w:cs="Calibri"/>
          <w:color w:val="000000"/>
          <w:szCs w:val="21"/>
          <w:u w:val="single"/>
        </w:rPr>
        <w:t xml:space="preserve">         </w:t>
      </w:r>
      <w:r>
        <w:rPr>
          <w:rFonts w:cs="Calibri"/>
          <w:color w:val="000000"/>
          <w:szCs w:val="21"/>
        </w:rPr>
        <w:t xml:space="preserve">  职务：</w:t>
      </w:r>
      <w:r>
        <w:rPr>
          <w:rFonts w:cs="Calibri"/>
          <w:color w:val="000000"/>
          <w:szCs w:val="21"/>
          <w:u w:val="single"/>
        </w:rPr>
        <w:t xml:space="preserve">         </w:t>
      </w:r>
      <w:r>
        <w:rPr>
          <w:rFonts w:cs="Calibri"/>
          <w:color w:val="000000"/>
          <w:szCs w:val="21"/>
        </w:rPr>
        <w:t xml:space="preserve">  </w:t>
      </w:r>
    </w:p>
    <w:p>
      <w:pPr>
        <w:spacing w:after="120" w:afterLines="50" w:line="440" w:lineRule="exact"/>
        <w:rPr>
          <w:rFonts w:cs="Calibri"/>
          <w:color w:val="000000"/>
          <w:szCs w:val="21"/>
          <w:u w:val="single"/>
        </w:rPr>
      </w:pPr>
      <w:r>
        <w:rPr>
          <w:rFonts w:cs="Calibri"/>
          <w:color w:val="000000"/>
          <w:szCs w:val="21"/>
        </w:rPr>
        <w:t>身份证号码：</w:t>
      </w:r>
      <w:r>
        <w:rPr>
          <w:rFonts w:cs="Calibri"/>
          <w:color w:val="000000"/>
          <w:szCs w:val="21"/>
          <w:u w:val="single"/>
        </w:rPr>
        <w:t xml:space="preserve">                           </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 xml:space="preserve">    系</w:t>
      </w:r>
      <w:r>
        <w:rPr>
          <w:rFonts w:cs="Calibri"/>
          <w:color w:val="000000"/>
          <w:szCs w:val="21"/>
          <w:u w:val="single"/>
        </w:rPr>
        <w:t xml:space="preserve">                          </w:t>
      </w:r>
      <w:r>
        <w:rPr>
          <w:rFonts w:cs="Calibri"/>
          <w:color w:val="000000"/>
          <w:szCs w:val="21"/>
        </w:rPr>
        <w:t>（投标人名称）的法定代表人。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特此证明。</w:t>
      </w:r>
    </w:p>
    <w:p>
      <w:pPr>
        <w:spacing w:line="440" w:lineRule="exact"/>
        <w:rPr>
          <w:rFonts w:cs="Calibri"/>
          <w:color w:val="000000"/>
          <w:szCs w:val="21"/>
        </w:rPr>
      </w:pPr>
      <w:r>
        <w:rPr>
          <w:rFonts w:cs="Calibri"/>
          <w:color w:val="000000"/>
          <w:szCs w:val="21"/>
        </w:rPr>
        <w:t>附：法定代表人身份证复印件</w:t>
      </w:r>
    </w:p>
    <w:p>
      <w:pPr>
        <w:spacing w:line="440" w:lineRule="exact"/>
        <w:rPr>
          <w:rFonts w:cs="Calibri"/>
          <w:color w:val="000000"/>
          <w:szCs w:val="21"/>
        </w:rPr>
      </w:pPr>
      <w:r>
        <w:rPr>
          <w:rFonts w:cs="Calibri"/>
          <w:color w:val="000000"/>
          <w:szCs w:val="21"/>
        </w:rPr>
        <w:t xml:space="preserve">投标人：（盖单位章） </w:t>
      </w:r>
    </w:p>
    <w:p>
      <w:pPr>
        <w:spacing w:line="440" w:lineRule="exact"/>
        <w:ind w:firstLine="6240" w:firstLineChars="2960"/>
        <w:rPr>
          <w:rFonts w:cs="Calibri"/>
          <w:b/>
          <w:color w:val="000000"/>
          <w:szCs w:val="21"/>
        </w:rPr>
      </w:pPr>
      <w:r>
        <w:rPr>
          <w:rFonts w:cs="Calibri"/>
          <w:b/>
          <w:color w:val="000000"/>
          <w:szCs w:val="21"/>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57216;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CH/CFe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Cs w:val="21"/>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20" w:firstLineChars="200"/>
        <w:rPr>
          <w:rFonts w:cs="Calibri"/>
          <w:color w:val="000000"/>
          <w:szCs w:val="21"/>
        </w:rPr>
      </w:pPr>
      <w:r>
        <w:rPr>
          <w:rFonts w:cs="Calibri"/>
          <w:color w:val="000000"/>
          <w:szCs w:val="21"/>
        </w:rPr>
        <w:t>本人</w:t>
      </w:r>
      <w:r>
        <w:rPr>
          <w:rFonts w:cs="Calibri"/>
          <w:color w:val="000000"/>
          <w:szCs w:val="21"/>
          <w:u w:val="single"/>
        </w:rPr>
        <w:t xml:space="preserve">        </w:t>
      </w:r>
      <w:r>
        <w:rPr>
          <w:rFonts w:cs="Calibri"/>
          <w:color w:val="000000"/>
          <w:szCs w:val="21"/>
        </w:rPr>
        <w:t>（姓名）系</w:t>
      </w:r>
      <w:r>
        <w:rPr>
          <w:rFonts w:cs="Calibri"/>
          <w:color w:val="000000"/>
          <w:szCs w:val="21"/>
          <w:u w:val="single"/>
        </w:rPr>
        <w:t xml:space="preserve">                </w:t>
      </w:r>
      <w:r>
        <w:rPr>
          <w:rFonts w:cs="Calibri"/>
          <w:color w:val="000000"/>
          <w:szCs w:val="21"/>
        </w:rPr>
        <w:t>（投标人名称）的法定代表人，现委托</w:t>
      </w:r>
      <w:r>
        <w:rPr>
          <w:rFonts w:cs="Calibri"/>
          <w:color w:val="000000"/>
          <w:szCs w:val="21"/>
          <w:u w:val="single"/>
        </w:rPr>
        <w:t xml:space="preserve">      </w:t>
      </w:r>
      <w:r>
        <w:rPr>
          <w:rFonts w:cs="Calibri"/>
          <w:color w:val="000000"/>
          <w:szCs w:val="21"/>
        </w:rPr>
        <w:t>（姓名）为我方代理人。代理人根据授权，以我方名义签署、澄清、说明、补正、递交、撤回、修改</w:t>
      </w:r>
      <w:r>
        <w:rPr>
          <w:rFonts w:cs="Calibri"/>
          <w:color w:val="000000"/>
          <w:szCs w:val="21"/>
          <w:u w:val="single"/>
        </w:rPr>
        <w:t xml:space="preserve">              </w:t>
      </w:r>
      <w:r>
        <w:rPr>
          <w:rFonts w:cs="Calibri"/>
          <w:color w:val="000000"/>
          <w:szCs w:val="21"/>
        </w:rPr>
        <w:t>（项目名称）投标文件、签订合同和处理有关事宜，其法律后果由我方承担。</w:t>
      </w:r>
    </w:p>
    <w:p>
      <w:pPr>
        <w:spacing w:line="440" w:lineRule="exact"/>
        <w:ind w:firstLine="420" w:firstLineChars="200"/>
        <w:rPr>
          <w:rFonts w:cs="Calibri"/>
          <w:color w:val="000000"/>
          <w:szCs w:val="21"/>
        </w:rPr>
      </w:pPr>
      <w:r>
        <w:rPr>
          <w:rFonts w:cs="Calibri"/>
          <w:color w:val="000000"/>
          <w:szCs w:val="21"/>
        </w:rPr>
        <w:t>代理人无转委托权。</w:t>
      </w:r>
    </w:p>
    <w:p>
      <w:pPr>
        <w:spacing w:line="440" w:lineRule="exact"/>
        <w:ind w:firstLine="420" w:firstLineChars="200"/>
        <w:rPr>
          <w:rFonts w:cs="Calibri"/>
          <w:color w:val="000000"/>
          <w:szCs w:val="21"/>
        </w:rPr>
      </w:pPr>
      <w:r>
        <w:rPr>
          <w:rFonts w:cs="Calibri"/>
          <w:color w:val="000000"/>
          <w:szCs w:val="21"/>
        </w:rPr>
        <w:t>附：委托代理人身份证复印件</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投标人：（盖单位章）</w:t>
      </w:r>
    </w:p>
    <w:p>
      <w:pPr>
        <w:spacing w:line="440" w:lineRule="exact"/>
        <w:rPr>
          <w:rFonts w:cs="Calibri"/>
          <w:color w:val="000000"/>
          <w:szCs w:val="21"/>
        </w:rPr>
      </w:pPr>
      <w:r>
        <w:rPr>
          <w:rFonts w:cs="Calibri"/>
          <w:color w:val="000000"/>
          <w:szCs w:val="21"/>
        </w:rPr>
        <w:t>法定代表人：（签字或盖章）</w:t>
      </w:r>
    </w:p>
    <w:p>
      <w:pPr>
        <w:spacing w:line="440" w:lineRule="exact"/>
        <w:rPr>
          <w:rFonts w:cs="Calibri"/>
          <w:color w:val="000000"/>
          <w:szCs w:val="21"/>
        </w:rPr>
      </w:pPr>
      <w:r>
        <w:rPr>
          <w:rFonts w:cs="Calibri"/>
          <w:color w:val="000000"/>
          <w:szCs w:val="21"/>
        </w:rPr>
        <w:t>身份证号码：</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委托的代理人：（签字或盖章）</w:t>
      </w:r>
    </w:p>
    <w:p>
      <w:pPr>
        <w:spacing w:line="440" w:lineRule="exact"/>
        <w:rPr>
          <w:rFonts w:cs="Calibri"/>
          <w:color w:val="000000"/>
          <w:szCs w:val="21"/>
        </w:rPr>
      </w:pPr>
      <w:r>
        <w:rPr>
          <w:rFonts w:cs="Calibri"/>
          <w:color w:val="000000"/>
          <w:szCs w:val="21"/>
        </w:rPr>
        <w:t>身份证号码：</w:t>
      </w:r>
    </w:p>
    <w:p>
      <w:pPr>
        <w:spacing w:line="440" w:lineRule="exact"/>
        <w:ind w:firstLine="4515" w:firstLineChars="2150"/>
        <w:rPr>
          <w:rFonts w:cs="Calibri"/>
          <w:color w:val="000000"/>
          <w:szCs w:val="21"/>
        </w:rPr>
      </w:pPr>
      <w:r>
        <w:rPr>
          <w:rFonts w:cs="Calibri"/>
          <w:color w:val="000000"/>
          <w:szCs w:val="21"/>
        </w:rPr>
        <w:t>日期：</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58240"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6k96wdcAAAAJAQAADwAAAAAAAAABACAAAAAiAAAAZHJzL2Rvd25yZXYueG1sUEsB&#10;AhQAFAAAAAgAh07iQGfleBIvAgAASAQAAA4AAAAAAAAAAQAgAAAAJgEAAGRycy9lMm9Eb2MueG1s&#10;UEsFBgAAAAAGAAYAWQEAAMc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Cs w:val="21"/>
        </w:rPr>
      </w:pPr>
      <w:r>
        <w:rPr>
          <w:rFonts w:cs="Calibri"/>
          <w:color w:val="000000"/>
          <w:szCs w:val="21"/>
        </w:rPr>
        <w:t>注：如投标文件由委托代理人签字或盖章的，投标文件必须附此授权委托书。</w:t>
      </w: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b/>
          <w:bCs/>
          <w:color w:val="000000"/>
          <w:sz w:val="32"/>
        </w:rPr>
      </w:pPr>
    </w:p>
    <w:p>
      <w:pPr>
        <w:widowControl/>
        <w:jc w:val="left"/>
        <w:rPr>
          <w:rFonts w:cs="Calibri"/>
          <w:b/>
          <w:bCs/>
          <w:color w:val="000000"/>
          <w:sz w:val="32"/>
        </w:rPr>
      </w:pPr>
      <w:r>
        <w:rPr>
          <w:rFonts w:cs="Calibri"/>
          <w:b/>
          <w:bCs/>
          <w:color w:val="000000"/>
          <w:sz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四</w:t>
      </w:r>
      <w:r>
        <w:rPr>
          <w:rFonts w:eastAsia="黑体" w:cs="Calibri"/>
          <w:color w:val="000000"/>
          <w:sz w:val="32"/>
          <w:szCs w:val="32"/>
        </w:rPr>
        <w:t>、投标报价表</w:t>
      </w:r>
    </w:p>
    <w:p>
      <w:pPr>
        <w:rPr>
          <w:rFonts w:cs="Calibri"/>
          <w:sz w:val="24"/>
        </w:rPr>
      </w:pPr>
    </w:p>
    <w:p>
      <w:pPr>
        <w:jc w:val="right"/>
        <w:rPr>
          <w:rFonts w:cs="Calibri"/>
          <w:bCs/>
          <w:sz w:val="24"/>
        </w:rPr>
      </w:pPr>
      <w:r>
        <w:rPr>
          <w:rFonts w:hint="eastAsia" w:cs="Calibri"/>
          <w:bCs/>
          <w:sz w:val="24"/>
        </w:rPr>
        <w:t>单位：万元</w:t>
      </w:r>
    </w:p>
    <w:tbl>
      <w:tblPr>
        <w:tblStyle w:val="11"/>
        <w:tblW w:w="9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308"/>
        <w:gridCol w:w="1880"/>
        <w:gridCol w:w="1873"/>
        <w:gridCol w:w="1868"/>
        <w:gridCol w:w="1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794" w:type="dxa"/>
            <w:vAlign w:val="center"/>
          </w:tcPr>
          <w:p>
            <w:pPr>
              <w:jc w:val="center"/>
              <w:rPr>
                <w:rFonts w:cs="Calibri"/>
                <w:szCs w:val="21"/>
              </w:rPr>
            </w:pPr>
            <w:r>
              <w:rPr>
                <w:rFonts w:cs="Calibri"/>
                <w:szCs w:val="21"/>
              </w:rPr>
              <w:t>序号</w:t>
            </w:r>
          </w:p>
        </w:tc>
        <w:tc>
          <w:tcPr>
            <w:tcW w:w="1308" w:type="dxa"/>
            <w:vAlign w:val="center"/>
          </w:tcPr>
          <w:p>
            <w:pPr>
              <w:jc w:val="center"/>
              <w:rPr>
                <w:rFonts w:cs="Calibri"/>
                <w:szCs w:val="21"/>
              </w:rPr>
            </w:pPr>
            <w:r>
              <w:rPr>
                <w:rFonts w:cs="Calibri"/>
                <w:szCs w:val="21"/>
              </w:rPr>
              <w:t>费用名称</w:t>
            </w:r>
          </w:p>
        </w:tc>
        <w:tc>
          <w:tcPr>
            <w:tcW w:w="1880" w:type="dxa"/>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总报价</w:t>
            </w:r>
          </w:p>
        </w:tc>
        <w:tc>
          <w:tcPr>
            <w:tcW w:w="1873" w:type="dxa"/>
            <w:tcBorders>
              <w:left w:val="single" w:color="auto" w:sz="4" w:space="0"/>
            </w:tcBorders>
            <w:vAlign w:val="center"/>
          </w:tcPr>
          <w:p>
            <w:pPr>
              <w:jc w:val="center"/>
              <w:rPr>
                <w:rFonts w:cs="Calibri"/>
                <w:szCs w:val="21"/>
              </w:rPr>
            </w:pPr>
            <w:r>
              <w:rPr>
                <w:rFonts w:hint="eastAsia" w:cs="Calibri"/>
                <w:szCs w:val="21"/>
              </w:rPr>
              <w:t>含税价格</w:t>
            </w:r>
          </w:p>
        </w:tc>
        <w:tc>
          <w:tcPr>
            <w:tcW w:w="1868" w:type="dxa"/>
            <w:tcBorders>
              <w:left w:val="single" w:color="auto" w:sz="4" w:space="0"/>
            </w:tcBorders>
            <w:vAlign w:val="center"/>
          </w:tcPr>
          <w:p>
            <w:pPr>
              <w:jc w:val="center"/>
              <w:rPr>
                <w:rFonts w:cs="Calibri"/>
                <w:szCs w:val="21"/>
              </w:rPr>
            </w:pPr>
            <w:r>
              <w:rPr>
                <w:rFonts w:hint="eastAsia" w:cs="Calibri"/>
                <w:szCs w:val="21"/>
              </w:rPr>
              <w:t>不含税价格</w:t>
            </w:r>
          </w:p>
        </w:tc>
        <w:tc>
          <w:tcPr>
            <w:tcW w:w="1868" w:type="dxa"/>
            <w:tcBorders>
              <w:left w:val="single" w:color="auto" w:sz="4" w:space="0"/>
            </w:tcBorders>
            <w:vAlign w:val="center"/>
          </w:tcPr>
          <w:p>
            <w:pPr>
              <w:jc w:val="center"/>
              <w:rPr>
                <w:rFonts w:cs="Calibri"/>
                <w:szCs w:val="21"/>
              </w:rPr>
            </w:pPr>
            <w:r>
              <w:rPr>
                <w:rFonts w:hint="eastAsia" w:cs="Calibri"/>
                <w:szCs w:val="21"/>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794" w:type="dxa"/>
            <w:vAlign w:val="center"/>
          </w:tcPr>
          <w:p>
            <w:pPr>
              <w:jc w:val="center"/>
              <w:rPr>
                <w:rFonts w:cs="Calibri"/>
                <w:b/>
                <w:bCs/>
                <w:szCs w:val="21"/>
              </w:rPr>
            </w:pPr>
            <w:r>
              <w:rPr>
                <w:rFonts w:cs="Calibri"/>
                <w:bCs/>
                <w:szCs w:val="21"/>
              </w:rPr>
              <w:t>1</w:t>
            </w:r>
          </w:p>
        </w:tc>
        <w:tc>
          <w:tcPr>
            <w:tcW w:w="1308" w:type="dxa"/>
            <w:vAlign w:val="center"/>
          </w:tcPr>
          <w:p>
            <w:pPr>
              <w:jc w:val="center"/>
              <w:rPr>
                <w:rFonts w:cs="Calibri"/>
                <w:szCs w:val="21"/>
              </w:rPr>
            </w:pPr>
          </w:p>
        </w:tc>
        <w:tc>
          <w:tcPr>
            <w:tcW w:w="1880" w:type="dxa"/>
            <w:tcBorders>
              <w:left w:val="single" w:color="auto" w:sz="4" w:space="0"/>
            </w:tcBorders>
            <w:vAlign w:val="center"/>
          </w:tcPr>
          <w:p>
            <w:pPr>
              <w:jc w:val="right"/>
              <w:rPr>
                <w:rFonts w:cs="Calibri"/>
                <w:bCs/>
                <w:szCs w:val="21"/>
              </w:rPr>
            </w:pPr>
          </w:p>
        </w:tc>
        <w:tc>
          <w:tcPr>
            <w:tcW w:w="1873" w:type="dxa"/>
            <w:tcBorders>
              <w:left w:val="single" w:color="auto" w:sz="4" w:space="0"/>
            </w:tcBorders>
            <w:vAlign w:val="center"/>
          </w:tcPr>
          <w:p>
            <w:pPr>
              <w:jc w:val="right"/>
              <w:rPr>
                <w:rFonts w:cs="Calibri"/>
                <w:bCs/>
                <w:szCs w:val="21"/>
              </w:rPr>
            </w:pPr>
          </w:p>
        </w:tc>
        <w:tc>
          <w:tcPr>
            <w:tcW w:w="1868" w:type="dxa"/>
            <w:tcBorders>
              <w:left w:val="single" w:color="auto" w:sz="4" w:space="0"/>
            </w:tcBorders>
            <w:vAlign w:val="center"/>
          </w:tcPr>
          <w:p>
            <w:pPr>
              <w:jc w:val="right"/>
              <w:rPr>
                <w:rFonts w:cs="Calibri"/>
                <w:bCs/>
                <w:szCs w:val="21"/>
              </w:rPr>
            </w:pPr>
          </w:p>
        </w:tc>
        <w:tc>
          <w:tcPr>
            <w:tcW w:w="1868"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794" w:type="dxa"/>
            <w:vAlign w:val="center"/>
          </w:tcPr>
          <w:p>
            <w:pPr>
              <w:jc w:val="center"/>
              <w:rPr>
                <w:rFonts w:cs="Calibri"/>
                <w:bCs/>
                <w:szCs w:val="21"/>
              </w:rPr>
            </w:pPr>
            <w:r>
              <w:rPr>
                <w:rFonts w:hint="eastAsia" w:cs="Calibri"/>
                <w:bCs/>
                <w:szCs w:val="21"/>
              </w:rPr>
              <w:t>2</w:t>
            </w:r>
          </w:p>
        </w:tc>
        <w:tc>
          <w:tcPr>
            <w:tcW w:w="1308" w:type="dxa"/>
            <w:vAlign w:val="center"/>
          </w:tcPr>
          <w:p>
            <w:pPr>
              <w:jc w:val="center"/>
              <w:rPr>
                <w:rFonts w:cs="Calibri"/>
                <w:color w:val="000000"/>
                <w:szCs w:val="21"/>
              </w:rPr>
            </w:pPr>
          </w:p>
        </w:tc>
        <w:tc>
          <w:tcPr>
            <w:tcW w:w="1880" w:type="dxa"/>
            <w:tcBorders>
              <w:left w:val="single" w:color="auto" w:sz="4" w:space="0"/>
            </w:tcBorders>
            <w:vAlign w:val="center"/>
          </w:tcPr>
          <w:p>
            <w:pPr>
              <w:jc w:val="right"/>
              <w:rPr>
                <w:rFonts w:cs="Calibri"/>
                <w:bCs/>
                <w:szCs w:val="21"/>
              </w:rPr>
            </w:pPr>
          </w:p>
        </w:tc>
        <w:tc>
          <w:tcPr>
            <w:tcW w:w="1873" w:type="dxa"/>
            <w:tcBorders>
              <w:left w:val="single" w:color="auto" w:sz="4" w:space="0"/>
            </w:tcBorders>
            <w:vAlign w:val="center"/>
          </w:tcPr>
          <w:p>
            <w:pPr>
              <w:jc w:val="right"/>
              <w:rPr>
                <w:rFonts w:cs="Calibri"/>
                <w:bCs/>
                <w:szCs w:val="21"/>
              </w:rPr>
            </w:pPr>
          </w:p>
        </w:tc>
        <w:tc>
          <w:tcPr>
            <w:tcW w:w="1868" w:type="dxa"/>
            <w:tcBorders>
              <w:left w:val="single" w:color="auto" w:sz="4" w:space="0"/>
            </w:tcBorders>
            <w:vAlign w:val="center"/>
          </w:tcPr>
          <w:p>
            <w:pPr>
              <w:jc w:val="right"/>
              <w:rPr>
                <w:rFonts w:cs="Calibri"/>
                <w:bCs/>
                <w:szCs w:val="21"/>
              </w:rPr>
            </w:pPr>
          </w:p>
        </w:tc>
        <w:tc>
          <w:tcPr>
            <w:tcW w:w="1868"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794" w:type="dxa"/>
            <w:vAlign w:val="center"/>
          </w:tcPr>
          <w:p>
            <w:pPr>
              <w:jc w:val="center"/>
              <w:rPr>
                <w:rFonts w:cs="Calibri"/>
                <w:bCs/>
                <w:szCs w:val="21"/>
              </w:rPr>
            </w:pPr>
            <w:r>
              <w:rPr>
                <w:rFonts w:hint="eastAsia" w:cs="Calibri"/>
                <w:bCs/>
                <w:szCs w:val="21"/>
              </w:rPr>
              <w:t>3</w:t>
            </w:r>
          </w:p>
        </w:tc>
        <w:tc>
          <w:tcPr>
            <w:tcW w:w="1308" w:type="dxa"/>
            <w:vAlign w:val="center"/>
          </w:tcPr>
          <w:p>
            <w:pPr>
              <w:jc w:val="center"/>
              <w:rPr>
                <w:rFonts w:cs="Calibri"/>
                <w:color w:val="000000"/>
                <w:szCs w:val="21"/>
              </w:rPr>
            </w:pPr>
          </w:p>
        </w:tc>
        <w:tc>
          <w:tcPr>
            <w:tcW w:w="1880" w:type="dxa"/>
            <w:tcBorders>
              <w:left w:val="single" w:color="auto" w:sz="4" w:space="0"/>
            </w:tcBorders>
            <w:vAlign w:val="center"/>
          </w:tcPr>
          <w:p>
            <w:pPr>
              <w:jc w:val="right"/>
              <w:rPr>
                <w:rFonts w:cs="Calibri"/>
                <w:bCs/>
                <w:szCs w:val="21"/>
              </w:rPr>
            </w:pPr>
          </w:p>
        </w:tc>
        <w:tc>
          <w:tcPr>
            <w:tcW w:w="1873" w:type="dxa"/>
            <w:tcBorders>
              <w:left w:val="single" w:color="auto" w:sz="4" w:space="0"/>
            </w:tcBorders>
            <w:vAlign w:val="center"/>
          </w:tcPr>
          <w:p>
            <w:pPr>
              <w:jc w:val="right"/>
              <w:rPr>
                <w:rFonts w:cs="Calibri"/>
                <w:bCs/>
                <w:szCs w:val="21"/>
              </w:rPr>
            </w:pPr>
          </w:p>
        </w:tc>
        <w:tc>
          <w:tcPr>
            <w:tcW w:w="1868" w:type="dxa"/>
            <w:tcBorders>
              <w:left w:val="single" w:color="auto" w:sz="4" w:space="0"/>
            </w:tcBorders>
            <w:vAlign w:val="center"/>
          </w:tcPr>
          <w:p>
            <w:pPr>
              <w:jc w:val="right"/>
              <w:rPr>
                <w:rFonts w:cs="Calibri"/>
                <w:bCs/>
                <w:szCs w:val="21"/>
              </w:rPr>
            </w:pPr>
          </w:p>
        </w:tc>
        <w:tc>
          <w:tcPr>
            <w:tcW w:w="1868"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794" w:type="dxa"/>
            <w:vAlign w:val="center"/>
          </w:tcPr>
          <w:p>
            <w:pPr>
              <w:jc w:val="center"/>
              <w:rPr>
                <w:rFonts w:cs="Calibri"/>
                <w:bCs/>
                <w:szCs w:val="21"/>
              </w:rPr>
            </w:pPr>
            <w:r>
              <w:rPr>
                <w:rFonts w:hint="eastAsia" w:cs="Calibri"/>
                <w:bCs/>
                <w:szCs w:val="21"/>
              </w:rPr>
              <w:t>4</w:t>
            </w:r>
          </w:p>
        </w:tc>
        <w:tc>
          <w:tcPr>
            <w:tcW w:w="1308" w:type="dxa"/>
            <w:vAlign w:val="center"/>
          </w:tcPr>
          <w:p>
            <w:pPr>
              <w:jc w:val="center"/>
              <w:rPr>
                <w:rFonts w:cs="Calibri"/>
                <w:color w:val="000000"/>
                <w:szCs w:val="21"/>
              </w:rPr>
            </w:pPr>
          </w:p>
        </w:tc>
        <w:tc>
          <w:tcPr>
            <w:tcW w:w="1880" w:type="dxa"/>
            <w:tcBorders>
              <w:left w:val="single" w:color="auto" w:sz="4" w:space="0"/>
            </w:tcBorders>
            <w:vAlign w:val="center"/>
          </w:tcPr>
          <w:p>
            <w:pPr>
              <w:jc w:val="right"/>
              <w:rPr>
                <w:rFonts w:cs="Calibri"/>
                <w:bCs/>
                <w:szCs w:val="21"/>
              </w:rPr>
            </w:pPr>
          </w:p>
        </w:tc>
        <w:tc>
          <w:tcPr>
            <w:tcW w:w="1873" w:type="dxa"/>
            <w:tcBorders>
              <w:left w:val="single" w:color="auto" w:sz="4" w:space="0"/>
            </w:tcBorders>
            <w:vAlign w:val="center"/>
          </w:tcPr>
          <w:p>
            <w:pPr>
              <w:jc w:val="right"/>
              <w:rPr>
                <w:rFonts w:cs="Calibri"/>
                <w:bCs/>
                <w:szCs w:val="21"/>
              </w:rPr>
            </w:pPr>
          </w:p>
        </w:tc>
        <w:tc>
          <w:tcPr>
            <w:tcW w:w="1868" w:type="dxa"/>
            <w:tcBorders>
              <w:left w:val="single" w:color="auto" w:sz="4" w:space="0"/>
            </w:tcBorders>
            <w:vAlign w:val="center"/>
          </w:tcPr>
          <w:p>
            <w:pPr>
              <w:jc w:val="right"/>
              <w:rPr>
                <w:rFonts w:cs="Calibri"/>
                <w:bCs/>
                <w:szCs w:val="21"/>
              </w:rPr>
            </w:pPr>
          </w:p>
        </w:tc>
        <w:tc>
          <w:tcPr>
            <w:tcW w:w="1868"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794" w:type="dxa"/>
            <w:vAlign w:val="center"/>
          </w:tcPr>
          <w:p>
            <w:pPr>
              <w:jc w:val="center"/>
              <w:rPr>
                <w:rFonts w:cs="Calibri"/>
                <w:bCs/>
                <w:szCs w:val="21"/>
              </w:rPr>
            </w:pPr>
          </w:p>
        </w:tc>
        <w:tc>
          <w:tcPr>
            <w:tcW w:w="1308" w:type="dxa"/>
            <w:vAlign w:val="center"/>
          </w:tcPr>
          <w:p>
            <w:pPr>
              <w:jc w:val="center"/>
              <w:rPr>
                <w:rFonts w:cs="Calibri"/>
                <w:color w:val="000000"/>
                <w:szCs w:val="21"/>
              </w:rPr>
            </w:pPr>
          </w:p>
        </w:tc>
        <w:tc>
          <w:tcPr>
            <w:tcW w:w="1880" w:type="dxa"/>
            <w:tcBorders>
              <w:left w:val="single" w:color="auto" w:sz="4" w:space="0"/>
            </w:tcBorders>
            <w:vAlign w:val="center"/>
          </w:tcPr>
          <w:p>
            <w:pPr>
              <w:jc w:val="right"/>
              <w:rPr>
                <w:rFonts w:cs="Calibri"/>
                <w:bCs/>
                <w:szCs w:val="21"/>
              </w:rPr>
            </w:pPr>
          </w:p>
        </w:tc>
        <w:tc>
          <w:tcPr>
            <w:tcW w:w="1873" w:type="dxa"/>
            <w:tcBorders>
              <w:left w:val="single" w:color="auto" w:sz="4" w:space="0"/>
            </w:tcBorders>
            <w:vAlign w:val="center"/>
          </w:tcPr>
          <w:p>
            <w:pPr>
              <w:jc w:val="right"/>
              <w:rPr>
                <w:rFonts w:cs="Calibri"/>
                <w:bCs/>
                <w:szCs w:val="21"/>
              </w:rPr>
            </w:pPr>
          </w:p>
        </w:tc>
        <w:tc>
          <w:tcPr>
            <w:tcW w:w="1868" w:type="dxa"/>
            <w:tcBorders>
              <w:left w:val="single" w:color="auto" w:sz="4" w:space="0"/>
            </w:tcBorders>
            <w:vAlign w:val="center"/>
          </w:tcPr>
          <w:p>
            <w:pPr>
              <w:jc w:val="right"/>
              <w:rPr>
                <w:rFonts w:cs="Calibri"/>
                <w:bCs/>
                <w:szCs w:val="21"/>
              </w:rPr>
            </w:pPr>
          </w:p>
        </w:tc>
        <w:tc>
          <w:tcPr>
            <w:tcW w:w="1868"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794" w:type="dxa"/>
            <w:vAlign w:val="center"/>
          </w:tcPr>
          <w:p>
            <w:pPr>
              <w:jc w:val="center"/>
              <w:rPr>
                <w:rFonts w:cs="Calibri"/>
                <w:bCs/>
                <w:szCs w:val="21"/>
              </w:rPr>
            </w:pPr>
          </w:p>
        </w:tc>
        <w:tc>
          <w:tcPr>
            <w:tcW w:w="1308" w:type="dxa"/>
            <w:vAlign w:val="center"/>
          </w:tcPr>
          <w:p>
            <w:pPr>
              <w:jc w:val="center"/>
              <w:rPr>
                <w:rFonts w:cs="Calibri"/>
                <w:szCs w:val="21"/>
              </w:rPr>
            </w:pPr>
            <w:r>
              <w:rPr>
                <w:rFonts w:hint="eastAsia" w:cs="Calibri"/>
                <w:szCs w:val="21"/>
              </w:rPr>
              <w:t>合  计</w:t>
            </w:r>
          </w:p>
        </w:tc>
        <w:tc>
          <w:tcPr>
            <w:tcW w:w="1880" w:type="dxa"/>
            <w:tcBorders>
              <w:left w:val="single" w:color="auto" w:sz="4" w:space="0"/>
            </w:tcBorders>
            <w:vAlign w:val="center"/>
          </w:tcPr>
          <w:p>
            <w:pPr>
              <w:jc w:val="right"/>
              <w:rPr>
                <w:rFonts w:cs="Calibri"/>
                <w:bCs/>
                <w:szCs w:val="21"/>
              </w:rPr>
            </w:pPr>
          </w:p>
        </w:tc>
        <w:tc>
          <w:tcPr>
            <w:tcW w:w="1873" w:type="dxa"/>
            <w:tcBorders>
              <w:left w:val="single" w:color="auto" w:sz="4" w:space="0"/>
            </w:tcBorders>
            <w:vAlign w:val="center"/>
          </w:tcPr>
          <w:p>
            <w:pPr>
              <w:jc w:val="right"/>
              <w:rPr>
                <w:rFonts w:cs="Calibri"/>
                <w:bCs/>
                <w:szCs w:val="21"/>
              </w:rPr>
            </w:pPr>
          </w:p>
        </w:tc>
        <w:tc>
          <w:tcPr>
            <w:tcW w:w="1868" w:type="dxa"/>
            <w:tcBorders>
              <w:left w:val="single" w:color="auto" w:sz="4" w:space="0"/>
            </w:tcBorders>
            <w:vAlign w:val="center"/>
          </w:tcPr>
          <w:p>
            <w:pPr>
              <w:jc w:val="right"/>
              <w:rPr>
                <w:rFonts w:cs="Calibri"/>
                <w:bCs/>
                <w:szCs w:val="21"/>
              </w:rPr>
            </w:pPr>
          </w:p>
        </w:tc>
        <w:tc>
          <w:tcPr>
            <w:tcW w:w="1868" w:type="dxa"/>
            <w:tcBorders>
              <w:left w:val="single" w:color="auto" w:sz="4" w:space="0"/>
            </w:tcBorders>
            <w:vAlign w:val="center"/>
          </w:tcPr>
          <w:p>
            <w:pPr>
              <w:jc w:val="right"/>
              <w:rPr>
                <w:rFonts w:cs="Calibri"/>
                <w:bCs/>
                <w:szCs w:val="21"/>
              </w:rPr>
            </w:pPr>
          </w:p>
        </w:tc>
      </w:tr>
    </w:tbl>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8" w:firstLineChars="1890"/>
        <w:rPr>
          <w:rFonts w:cs="Calibri"/>
          <w:color w:val="000000"/>
          <w:szCs w:val="21"/>
        </w:rPr>
      </w:pPr>
      <w:r>
        <w:rPr>
          <w:rFonts w:cs="Calibri"/>
          <w:color w:val="000000"/>
          <w:szCs w:val="21"/>
        </w:rPr>
        <w:t>投标人：（盖单位章）</w:t>
      </w:r>
    </w:p>
    <w:p>
      <w:pPr>
        <w:snapToGrid w:val="0"/>
        <w:spacing w:line="440" w:lineRule="exact"/>
        <w:ind w:firstLine="3968"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8"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cs="Calibri"/>
          <w:b/>
          <w:bCs/>
          <w:color w:val="000000"/>
          <w:sz w:val="32"/>
        </w:rPr>
      </w:pPr>
      <w:r>
        <w:rPr>
          <w:rFonts w:eastAsia="黑体" w:cs="Calibri"/>
          <w:bCs/>
          <w:color w:val="000000"/>
          <w:szCs w:val="21"/>
        </w:rPr>
        <w:br w:type="page"/>
      </w:r>
    </w:p>
    <w:p>
      <w:pPr>
        <w:spacing w:line="440" w:lineRule="exact"/>
        <w:jc w:val="center"/>
        <w:rPr>
          <w:rFonts w:eastAsia="黑体" w:cs="Calibri"/>
          <w:color w:val="000000"/>
          <w:sz w:val="32"/>
          <w:szCs w:val="32"/>
        </w:rPr>
      </w:pPr>
      <w:r>
        <w:rPr>
          <w:rFonts w:eastAsia="黑体" w:cs="Calibri"/>
          <w:color w:val="000000"/>
          <w:sz w:val="32"/>
          <w:szCs w:val="32"/>
        </w:rPr>
        <w:t>五、投标人资格证明文件</w:t>
      </w:r>
    </w:p>
    <w:p>
      <w:pPr>
        <w:spacing w:line="440" w:lineRule="exact"/>
        <w:jc w:val="center"/>
        <w:rPr>
          <w:rFonts w:eastAsia="黑体" w:cs="Calibri"/>
          <w:color w:val="000000"/>
          <w:sz w:val="32"/>
          <w:szCs w:val="32"/>
        </w:rPr>
      </w:pPr>
    </w:p>
    <w:p>
      <w:pPr>
        <w:widowControl/>
        <w:jc w:val="center"/>
        <w:rPr>
          <w:rFonts w:eastAsia="黑体" w:cs="Calibri"/>
          <w:color w:val="000000"/>
          <w:sz w:val="32"/>
          <w:szCs w:val="32"/>
        </w:rPr>
      </w:pPr>
      <w:r>
        <w:rPr>
          <w:rFonts w:cs="Calibri"/>
          <w:b/>
          <w:sz w:val="36"/>
          <w:szCs w:val="36"/>
        </w:rPr>
        <w:t>（</w:t>
      </w:r>
      <w:r>
        <w:rPr>
          <w:rFonts w:hint="eastAsia" w:eastAsia="黑体" w:cs="Calibri"/>
          <w:color w:val="000000"/>
          <w:sz w:val="32"/>
          <w:szCs w:val="32"/>
        </w:rPr>
        <w:t>一</w:t>
      </w:r>
      <w:r>
        <w:rPr>
          <w:rFonts w:eastAsia="黑体" w:cs="Calibri"/>
          <w:color w:val="000000"/>
          <w:sz w:val="32"/>
          <w:szCs w:val="32"/>
        </w:rPr>
        <w:t>）</w:t>
      </w:r>
      <w:r>
        <w:rPr>
          <w:rFonts w:hint="eastAsia" w:eastAsia="黑体" w:cs="Calibri"/>
          <w:color w:val="000000"/>
          <w:sz w:val="32"/>
          <w:szCs w:val="32"/>
        </w:rPr>
        <w:t>业绩</w:t>
      </w:r>
      <w:r>
        <w:rPr>
          <w:rFonts w:eastAsia="黑体" w:cs="Calibri"/>
          <w:color w:val="000000"/>
          <w:sz w:val="32"/>
          <w:szCs w:val="32"/>
        </w:rPr>
        <w:t>情况</w:t>
      </w:r>
    </w:p>
    <w:p>
      <w:pPr>
        <w:spacing w:line="400" w:lineRule="exact"/>
        <w:ind w:firstLine="420" w:firstLineChars="200"/>
        <w:jc w:val="center"/>
        <w:rPr>
          <w:rFonts w:ascii="宋体" w:hAnsi="宋体"/>
          <w:bCs/>
          <w:szCs w:val="21"/>
        </w:rPr>
      </w:pPr>
    </w:p>
    <w:tbl>
      <w:tblPr>
        <w:tblStyle w:val="11"/>
        <w:tblW w:w="81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627"/>
        <w:gridCol w:w="1059"/>
        <w:gridCol w:w="1240"/>
        <w:gridCol w:w="1312"/>
        <w:gridCol w:w="1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3" w:hRule="atLeast"/>
          <w:jc w:val="center"/>
        </w:trPr>
        <w:tc>
          <w:tcPr>
            <w:tcW w:w="1204"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序号</w:t>
            </w:r>
          </w:p>
        </w:tc>
        <w:tc>
          <w:tcPr>
            <w:tcW w:w="1627"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项目名称</w:t>
            </w:r>
          </w:p>
        </w:tc>
        <w:tc>
          <w:tcPr>
            <w:tcW w:w="1059"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签订合同日期</w:t>
            </w:r>
          </w:p>
        </w:tc>
        <w:tc>
          <w:tcPr>
            <w:tcW w:w="1240"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szCs w:val="21"/>
              </w:rPr>
              <w:t>客户单位</w:t>
            </w:r>
          </w:p>
          <w:p>
            <w:pPr>
              <w:jc w:val="center"/>
              <w:rPr>
                <w:bCs/>
                <w:szCs w:val="21"/>
              </w:rPr>
            </w:pPr>
          </w:p>
        </w:tc>
        <w:tc>
          <w:tcPr>
            <w:tcW w:w="1312"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项目负责人</w:t>
            </w:r>
          </w:p>
        </w:tc>
        <w:tc>
          <w:tcPr>
            <w:tcW w:w="1756"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客户方项目负责人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204" w:type="dxa"/>
            <w:tcBorders>
              <w:top w:val="single" w:color="auto" w:sz="4" w:space="0"/>
              <w:left w:val="single" w:color="auto" w:sz="4" w:space="0"/>
              <w:bottom w:val="single" w:color="auto" w:sz="4" w:space="0"/>
              <w:right w:val="single" w:color="auto" w:sz="4" w:space="0"/>
            </w:tcBorders>
          </w:tcPr>
          <w:p>
            <w:pPr>
              <w:rPr>
                <w:szCs w:val="21"/>
              </w:rPr>
            </w:pPr>
          </w:p>
        </w:tc>
        <w:tc>
          <w:tcPr>
            <w:tcW w:w="1627" w:type="dxa"/>
            <w:tcBorders>
              <w:top w:val="single" w:color="auto" w:sz="4" w:space="0"/>
              <w:left w:val="single" w:color="auto" w:sz="4" w:space="0"/>
              <w:bottom w:val="single" w:color="auto" w:sz="4" w:space="0"/>
              <w:right w:val="single" w:color="auto" w:sz="4" w:space="0"/>
            </w:tcBorders>
          </w:tcPr>
          <w:p>
            <w:pPr>
              <w:rPr>
                <w:szCs w:val="21"/>
              </w:rPr>
            </w:pPr>
          </w:p>
        </w:tc>
        <w:tc>
          <w:tcPr>
            <w:tcW w:w="1059" w:type="dxa"/>
            <w:tcBorders>
              <w:top w:val="single" w:color="auto" w:sz="4" w:space="0"/>
              <w:left w:val="single" w:color="auto" w:sz="4" w:space="0"/>
              <w:bottom w:val="single" w:color="auto" w:sz="4" w:space="0"/>
              <w:right w:val="single" w:color="auto" w:sz="4" w:space="0"/>
            </w:tcBorders>
          </w:tcPr>
          <w:p>
            <w:pPr>
              <w:rPr>
                <w:szCs w:val="21"/>
              </w:rPr>
            </w:pPr>
          </w:p>
        </w:tc>
        <w:tc>
          <w:tcPr>
            <w:tcW w:w="1240" w:type="dxa"/>
            <w:tcBorders>
              <w:top w:val="single" w:color="auto" w:sz="4" w:space="0"/>
              <w:left w:val="single" w:color="auto" w:sz="4" w:space="0"/>
              <w:bottom w:val="single" w:color="auto" w:sz="4" w:space="0"/>
              <w:right w:val="single" w:color="auto" w:sz="4" w:space="0"/>
            </w:tcBorders>
          </w:tcPr>
          <w:p>
            <w:pPr>
              <w:rPr>
                <w:szCs w:val="21"/>
              </w:rPr>
            </w:pPr>
          </w:p>
        </w:tc>
        <w:tc>
          <w:tcPr>
            <w:tcW w:w="1312" w:type="dxa"/>
            <w:tcBorders>
              <w:top w:val="single" w:color="auto" w:sz="4" w:space="0"/>
              <w:left w:val="single" w:color="auto" w:sz="4" w:space="0"/>
              <w:bottom w:val="single" w:color="auto" w:sz="4" w:space="0"/>
              <w:right w:val="single" w:color="auto" w:sz="4" w:space="0"/>
            </w:tcBorders>
          </w:tcPr>
          <w:p>
            <w:pPr>
              <w:rPr>
                <w:szCs w:val="21"/>
              </w:rPr>
            </w:pPr>
          </w:p>
        </w:tc>
        <w:tc>
          <w:tcPr>
            <w:tcW w:w="1756" w:type="dxa"/>
            <w:tcBorders>
              <w:top w:val="single" w:color="auto" w:sz="4" w:space="0"/>
              <w:left w:val="single" w:color="auto" w:sz="4" w:space="0"/>
              <w:bottom w:val="single" w:color="auto" w:sz="4" w:space="0"/>
              <w:right w:val="single" w:color="auto" w:sz="4" w:space="0"/>
            </w:tcBorders>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1204" w:type="dxa"/>
            <w:tcBorders>
              <w:top w:val="single" w:color="auto" w:sz="4" w:space="0"/>
              <w:left w:val="single" w:color="auto" w:sz="4" w:space="0"/>
              <w:bottom w:val="single" w:color="auto" w:sz="4" w:space="0"/>
              <w:right w:val="single" w:color="auto" w:sz="4" w:space="0"/>
            </w:tcBorders>
          </w:tcPr>
          <w:p>
            <w:pPr>
              <w:rPr>
                <w:szCs w:val="21"/>
              </w:rPr>
            </w:pPr>
          </w:p>
        </w:tc>
        <w:tc>
          <w:tcPr>
            <w:tcW w:w="1627" w:type="dxa"/>
            <w:tcBorders>
              <w:top w:val="single" w:color="auto" w:sz="4" w:space="0"/>
              <w:left w:val="single" w:color="auto" w:sz="4" w:space="0"/>
              <w:bottom w:val="single" w:color="auto" w:sz="4" w:space="0"/>
              <w:right w:val="single" w:color="auto" w:sz="4" w:space="0"/>
            </w:tcBorders>
          </w:tcPr>
          <w:p>
            <w:pPr>
              <w:rPr>
                <w:szCs w:val="21"/>
              </w:rPr>
            </w:pPr>
          </w:p>
        </w:tc>
        <w:tc>
          <w:tcPr>
            <w:tcW w:w="1059" w:type="dxa"/>
            <w:tcBorders>
              <w:top w:val="single" w:color="auto" w:sz="4" w:space="0"/>
              <w:left w:val="single" w:color="auto" w:sz="4" w:space="0"/>
              <w:bottom w:val="single" w:color="auto" w:sz="4" w:space="0"/>
              <w:right w:val="single" w:color="auto" w:sz="4" w:space="0"/>
            </w:tcBorders>
          </w:tcPr>
          <w:p>
            <w:pPr>
              <w:rPr>
                <w:szCs w:val="21"/>
              </w:rPr>
            </w:pPr>
          </w:p>
        </w:tc>
        <w:tc>
          <w:tcPr>
            <w:tcW w:w="1240" w:type="dxa"/>
            <w:tcBorders>
              <w:top w:val="single" w:color="auto" w:sz="4" w:space="0"/>
              <w:left w:val="single" w:color="auto" w:sz="4" w:space="0"/>
              <w:bottom w:val="single" w:color="auto" w:sz="4" w:space="0"/>
              <w:right w:val="single" w:color="auto" w:sz="4" w:space="0"/>
            </w:tcBorders>
          </w:tcPr>
          <w:p>
            <w:pPr>
              <w:rPr>
                <w:szCs w:val="21"/>
              </w:rPr>
            </w:pPr>
          </w:p>
        </w:tc>
        <w:tc>
          <w:tcPr>
            <w:tcW w:w="1312" w:type="dxa"/>
            <w:tcBorders>
              <w:top w:val="single" w:color="auto" w:sz="4" w:space="0"/>
              <w:left w:val="single" w:color="auto" w:sz="4" w:space="0"/>
              <w:bottom w:val="single" w:color="auto" w:sz="4" w:space="0"/>
              <w:right w:val="single" w:color="auto" w:sz="4" w:space="0"/>
            </w:tcBorders>
          </w:tcPr>
          <w:p>
            <w:pPr>
              <w:rPr>
                <w:szCs w:val="21"/>
              </w:rPr>
            </w:pPr>
          </w:p>
        </w:tc>
        <w:tc>
          <w:tcPr>
            <w:tcW w:w="1756" w:type="dxa"/>
            <w:tcBorders>
              <w:top w:val="single" w:color="auto" w:sz="4" w:space="0"/>
              <w:left w:val="single" w:color="auto" w:sz="4" w:space="0"/>
              <w:bottom w:val="single" w:color="auto" w:sz="4" w:space="0"/>
              <w:right w:val="single" w:color="auto" w:sz="4" w:space="0"/>
            </w:tcBorders>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204" w:type="dxa"/>
            <w:tcBorders>
              <w:top w:val="single" w:color="auto" w:sz="4" w:space="0"/>
              <w:left w:val="single" w:color="auto" w:sz="4" w:space="0"/>
              <w:bottom w:val="single" w:color="auto" w:sz="4" w:space="0"/>
              <w:right w:val="single" w:color="auto" w:sz="4" w:space="0"/>
            </w:tcBorders>
          </w:tcPr>
          <w:p>
            <w:pPr>
              <w:rPr>
                <w:szCs w:val="21"/>
              </w:rPr>
            </w:pPr>
          </w:p>
        </w:tc>
        <w:tc>
          <w:tcPr>
            <w:tcW w:w="1627" w:type="dxa"/>
            <w:tcBorders>
              <w:top w:val="single" w:color="auto" w:sz="4" w:space="0"/>
              <w:left w:val="single" w:color="auto" w:sz="4" w:space="0"/>
              <w:bottom w:val="single" w:color="auto" w:sz="4" w:space="0"/>
              <w:right w:val="single" w:color="auto" w:sz="4" w:space="0"/>
            </w:tcBorders>
          </w:tcPr>
          <w:p>
            <w:pPr>
              <w:widowControl/>
              <w:jc w:val="left"/>
              <w:rPr>
                <w:szCs w:val="21"/>
              </w:rPr>
            </w:pPr>
          </w:p>
        </w:tc>
        <w:tc>
          <w:tcPr>
            <w:tcW w:w="1059" w:type="dxa"/>
            <w:tcBorders>
              <w:top w:val="single" w:color="auto" w:sz="4" w:space="0"/>
              <w:left w:val="single" w:color="auto" w:sz="4" w:space="0"/>
              <w:bottom w:val="single" w:color="auto" w:sz="4" w:space="0"/>
              <w:right w:val="single" w:color="auto" w:sz="4" w:space="0"/>
            </w:tcBorders>
          </w:tcPr>
          <w:p>
            <w:pPr>
              <w:rPr>
                <w:szCs w:val="21"/>
              </w:rPr>
            </w:pPr>
          </w:p>
        </w:tc>
        <w:tc>
          <w:tcPr>
            <w:tcW w:w="1240" w:type="dxa"/>
            <w:tcBorders>
              <w:top w:val="single" w:color="auto" w:sz="4" w:space="0"/>
              <w:left w:val="single" w:color="auto" w:sz="4" w:space="0"/>
              <w:bottom w:val="single" w:color="auto" w:sz="4" w:space="0"/>
              <w:right w:val="single" w:color="auto" w:sz="4" w:space="0"/>
            </w:tcBorders>
          </w:tcPr>
          <w:p>
            <w:pPr>
              <w:rPr>
                <w:szCs w:val="21"/>
              </w:rPr>
            </w:pPr>
          </w:p>
        </w:tc>
        <w:tc>
          <w:tcPr>
            <w:tcW w:w="1312" w:type="dxa"/>
            <w:tcBorders>
              <w:top w:val="single" w:color="auto" w:sz="4" w:space="0"/>
              <w:left w:val="single" w:color="auto" w:sz="4" w:space="0"/>
              <w:bottom w:val="single" w:color="auto" w:sz="4" w:space="0"/>
              <w:right w:val="single" w:color="auto" w:sz="4" w:space="0"/>
            </w:tcBorders>
          </w:tcPr>
          <w:p>
            <w:pPr>
              <w:rPr>
                <w:szCs w:val="21"/>
              </w:rPr>
            </w:pPr>
          </w:p>
        </w:tc>
        <w:tc>
          <w:tcPr>
            <w:tcW w:w="1756" w:type="dxa"/>
            <w:tcBorders>
              <w:top w:val="single" w:color="auto" w:sz="4" w:space="0"/>
              <w:left w:val="single" w:color="auto" w:sz="4" w:space="0"/>
              <w:bottom w:val="single" w:color="auto" w:sz="4" w:space="0"/>
              <w:right w:val="single" w:color="auto" w:sz="4" w:space="0"/>
            </w:tcBorders>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204" w:type="dxa"/>
            <w:tcBorders>
              <w:top w:val="single" w:color="auto" w:sz="4" w:space="0"/>
              <w:left w:val="single" w:color="auto" w:sz="4" w:space="0"/>
              <w:bottom w:val="single" w:color="auto" w:sz="4" w:space="0"/>
              <w:right w:val="single" w:color="auto" w:sz="4" w:space="0"/>
            </w:tcBorders>
          </w:tcPr>
          <w:p>
            <w:pPr>
              <w:rPr>
                <w:szCs w:val="21"/>
              </w:rPr>
            </w:pPr>
          </w:p>
        </w:tc>
        <w:tc>
          <w:tcPr>
            <w:tcW w:w="1627" w:type="dxa"/>
            <w:tcBorders>
              <w:top w:val="single" w:color="auto" w:sz="4" w:space="0"/>
              <w:left w:val="single" w:color="auto" w:sz="4" w:space="0"/>
              <w:bottom w:val="single" w:color="auto" w:sz="4" w:space="0"/>
              <w:right w:val="single" w:color="auto" w:sz="4" w:space="0"/>
            </w:tcBorders>
          </w:tcPr>
          <w:p>
            <w:pPr>
              <w:widowControl/>
              <w:jc w:val="left"/>
              <w:rPr>
                <w:szCs w:val="21"/>
              </w:rPr>
            </w:pPr>
          </w:p>
        </w:tc>
        <w:tc>
          <w:tcPr>
            <w:tcW w:w="1059" w:type="dxa"/>
            <w:tcBorders>
              <w:top w:val="single" w:color="auto" w:sz="4" w:space="0"/>
              <w:left w:val="single" w:color="auto" w:sz="4" w:space="0"/>
              <w:bottom w:val="single" w:color="auto" w:sz="4" w:space="0"/>
              <w:right w:val="single" w:color="auto" w:sz="4" w:space="0"/>
            </w:tcBorders>
          </w:tcPr>
          <w:p>
            <w:pPr>
              <w:rPr>
                <w:szCs w:val="21"/>
              </w:rPr>
            </w:pPr>
          </w:p>
        </w:tc>
        <w:tc>
          <w:tcPr>
            <w:tcW w:w="1240" w:type="dxa"/>
            <w:tcBorders>
              <w:top w:val="single" w:color="auto" w:sz="4" w:space="0"/>
              <w:left w:val="single" w:color="auto" w:sz="4" w:space="0"/>
              <w:bottom w:val="single" w:color="auto" w:sz="4" w:space="0"/>
              <w:right w:val="single" w:color="auto" w:sz="4" w:space="0"/>
            </w:tcBorders>
          </w:tcPr>
          <w:p>
            <w:pPr>
              <w:rPr>
                <w:szCs w:val="21"/>
              </w:rPr>
            </w:pPr>
          </w:p>
        </w:tc>
        <w:tc>
          <w:tcPr>
            <w:tcW w:w="1312" w:type="dxa"/>
            <w:tcBorders>
              <w:top w:val="single" w:color="auto" w:sz="4" w:space="0"/>
              <w:left w:val="single" w:color="auto" w:sz="4" w:space="0"/>
              <w:bottom w:val="single" w:color="auto" w:sz="4" w:space="0"/>
              <w:right w:val="single" w:color="auto" w:sz="4" w:space="0"/>
            </w:tcBorders>
          </w:tcPr>
          <w:p>
            <w:pPr>
              <w:rPr>
                <w:szCs w:val="21"/>
              </w:rPr>
            </w:pPr>
          </w:p>
        </w:tc>
        <w:tc>
          <w:tcPr>
            <w:tcW w:w="1756" w:type="dxa"/>
            <w:tcBorders>
              <w:top w:val="single" w:color="auto" w:sz="4" w:space="0"/>
              <w:left w:val="single" w:color="auto" w:sz="4" w:space="0"/>
              <w:bottom w:val="single" w:color="auto" w:sz="4" w:space="0"/>
              <w:right w:val="single" w:color="auto" w:sz="4" w:space="0"/>
            </w:tcBorders>
          </w:tcPr>
          <w:p>
            <w:pPr>
              <w:rPr>
                <w:szCs w:val="21"/>
              </w:rPr>
            </w:pPr>
          </w:p>
        </w:tc>
      </w:tr>
    </w:tbl>
    <w:p>
      <w:pPr>
        <w:widowControl/>
        <w:jc w:val="center"/>
        <w:rPr>
          <w:rFonts w:cs="Calibri"/>
          <w:b/>
          <w:sz w:val="36"/>
          <w:szCs w:val="36"/>
        </w:rPr>
      </w:pPr>
    </w:p>
    <w:p>
      <w:pPr>
        <w:widowControl/>
        <w:jc w:val="center"/>
        <w:rPr>
          <w:rFonts w:cs="Calibri"/>
          <w:b/>
          <w:sz w:val="36"/>
          <w:szCs w:val="36"/>
        </w:rPr>
      </w:pPr>
    </w:p>
    <w:p>
      <w:pPr>
        <w:widowControl/>
        <w:jc w:val="center"/>
        <w:rPr>
          <w:rFonts w:eastAsia="黑体" w:cs="Calibri"/>
          <w:color w:val="000000"/>
          <w:sz w:val="32"/>
          <w:szCs w:val="32"/>
        </w:rPr>
      </w:pPr>
      <w:r>
        <w:rPr>
          <w:rFonts w:cs="Calibri"/>
          <w:b/>
          <w:sz w:val="36"/>
          <w:szCs w:val="36"/>
        </w:rPr>
        <w:t>（</w:t>
      </w:r>
      <w:r>
        <w:rPr>
          <w:rFonts w:hint="eastAsia" w:cs="Calibri"/>
          <w:b/>
          <w:sz w:val="36"/>
          <w:szCs w:val="36"/>
        </w:rPr>
        <w:t>二</w:t>
      </w:r>
      <w:r>
        <w:rPr>
          <w:rFonts w:eastAsia="黑体" w:cs="Calibri"/>
          <w:color w:val="000000"/>
          <w:sz w:val="32"/>
          <w:szCs w:val="32"/>
        </w:rPr>
        <w:t>）</w:t>
      </w:r>
      <w:r>
        <w:rPr>
          <w:rFonts w:hint="eastAsia" w:eastAsia="黑体" w:cs="Calibri"/>
          <w:color w:val="000000"/>
          <w:sz w:val="32"/>
          <w:szCs w:val="32"/>
        </w:rPr>
        <w:t>企业信誉及获得各种奖励</w:t>
      </w:r>
      <w:r>
        <w:rPr>
          <w:rFonts w:eastAsia="黑体" w:cs="Calibri"/>
          <w:color w:val="000000"/>
          <w:sz w:val="32"/>
          <w:szCs w:val="32"/>
        </w:rPr>
        <w:t>情况</w:t>
      </w:r>
    </w:p>
    <w:p>
      <w:pPr>
        <w:spacing w:line="400" w:lineRule="exact"/>
        <w:ind w:firstLine="420" w:firstLineChars="200"/>
        <w:jc w:val="center"/>
        <w:rPr>
          <w:rFonts w:ascii="宋体" w:hAnsi="宋体"/>
          <w:bCs/>
          <w:szCs w:val="21"/>
        </w:rPr>
      </w:pPr>
    </w:p>
    <w:tbl>
      <w:tblPr>
        <w:tblStyle w:val="11"/>
        <w:tblW w:w="84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3610"/>
        <w:gridCol w:w="3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8"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序号</w:t>
            </w:r>
          </w:p>
        </w:tc>
        <w:tc>
          <w:tcPr>
            <w:tcW w:w="3610"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荣誉名称</w:t>
            </w:r>
          </w:p>
        </w:tc>
        <w:tc>
          <w:tcPr>
            <w:tcW w:w="3860"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szCs w:val="21"/>
              </w:rPr>
              <w:t>颁发单位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976" w:type="dxa"/>
            <w:tcBorders>
              <w:top w:val="single" w:color="auto" w:sz="4" w:space="0"/>
              <w:left w:val="single" w:color="auto" w:sz="4" w:space="0"/>
              <w:bottom w:val="single" w:color="auto" w:sz="4" w:space="0"/>
              <w:right w:val="single" w:color="auto" w:sz="4" w:space="0"/>
            </w:tcBorders>
          </w:tcPr>
          <w:p>
            <w:pPr>
              <w:rPr>
                <w:szCs w:val="21"/>
              </w:rPr>
            </w:pPr>
          </w:p>
        </w:tc>
        <w:tc>
          <w:tcPr>
            <w:tcW w:w="3610" w:type="dxa"/>
            <w:tcBorders>
              <w:top w:val="single" w:color="auto" w:sz="4" w:space="0"/>
              <w:left w:val="single" w:color="auto" w:sz="4" w:space="0"/>
              <w:bottom w:val="single" w:color="auto" w:sz="4" w:space="0"/>
              <w:right w:val="single" w:color="auto" w:sz="4" w:space="0"/>
            </w:tcBorders>
          </w:tcPr>
          <w:p>
            <w:pPr>
              <w:rPr>
                <w:szCs w:val="21"/>
              </w:rPr>
            </w:pPr>
          </w:p>
        </w:tc>
        <w:tc>
          <w:tcPr>
            <w:tcW w:w="3860" w:type="dxa"/>
            <w:tcBorders>
              <w:top w:val="single" w:color="auto" w:sz="4" w:space="0"/>
              <w:left w:val="single" w:color="auto" w:sz="4" w:space="0"/>
              <w:bottom w:val="single" w:color="auto" w:sz="4" w:space="0"/>
              <w:right w:val="single" w:color="auto" w:sz="4" w:space="0"/>
            </w:tcBorders>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976" w:type="dxa"/>
            <w:tcBorders>
              <w:top w:val="single" w:color="auto" w:sz="4" w:space="0"/>
              <w:left w:val="single" w:color="auto" w:sz="4" w:space="0"/>
              <w:bottom w:val="single" w:color="auto" w:sz="4" w:space="0"/>
              <w:right w:val="single" w:color="auto" w:sz="4" w:space="0"/>
            </w:tcBorders>
          </w:tcPr>
          <w:p>
            <w:pPr>
              <w:rPr>
                <w:szCs w:val="21"/>
              </w:rPr>
            </w:pPr>
          </w:p>
        </w:tc>
        <w:tc>
          <w:tcPr>
            <w:tcW w:w="3610" w:type="dxa"/>
            <w:tcBorders>
              <w:top w:val="single" w:color="auto" w:sz="4" w:space="0"/>
              <w:left w:val="single" w:color="auto" w:sz="4" w:space="0"/>
              <w:bottom w:val="single" w:color="auto" w:sz="4" w:space="0"/>
              <w:right w:val="single" w:color="auto" w:sz="4" w:space="0"/>
            </w:tcBorders>
          </w:tcPr>
          <w:p>
            <w:pPr>
              <w:rPr>
                <w:szCs w:val="21"/>
              </w:rPr>
            </w:pPr>
          </w:p>
        </w:tc>
        <w:tc>
          <w:tcPr>
            <w:tcW w:w="3860" w:type="dxa"/>
            <w:tcBorders>
              <w:top w:val="single" w:color="auto" w:sz="4" w:space="0"/>
              <w:left w:val="single" w:color="auto" w:sz="4" w:space="0"/>
              <w:bottom w:val="single" w:color="auto" w:sz="4" w:space="0"/>
              <w:right w:val="single" w:color="auto" w:sz="4" w:space="0"/>
            </w:tcBorders>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976" w:type="dxa"/>
            <w:tcBorders>
              <w:top w:val="single" w:color="auto" w:sz="4" w:space="0"/>
              <w:left w:val="single" w:color="auto" w:sz="4" w:space="0"/>
              <w:bottom w:val="single" w:color="auto" w:sz="4" w:space="0"/>
              <w:right w:val="single" w:color="auto" w:sz="4" w:space="0"/>
            </w:tcBorders>
          </w:tcPr>
          <w:p>
            <w:pPr>
              <w:rPr>
                <w:szCs w:val="21"/>
              </w:rPr>
            </w:pPr>
          </w:p>
        </w:tc>
        <w:tc>
          <w:tcPr>
            <w:tcW w:w="3610" w:type="dxa"/>
            <w:tcBorders>
              <w:top w:val="single" w:color="auto" w:sz="4" w:space="0"/>
              <w:left w:val="single" w:color="auto" w:sz="4" w:space="0"/>
              <w:bottom w:val="single" w:color="auto" w:sz="4" w:space="0"/>
              <w:right w:val="single" w:color="auto" w:sz="4" w:space="0"/>
            </w:tcBorders>
          </w:tcPr>
          <w:p>
            <w:pPr>
              <w:widowControl/>
              <w:jc w:val="left"/>
              <w:rPr>
                <w:szCs w:val="21"/>
              </w:rPr>
            </w:pPr>
          </w:p>
        </w:tc>
        <w:tc>
          <w:tcPr>
            <w:tcW w:w="3860" w:type="dxa"/>
            <w:tcBorders>
              <w:top w:val="single" w:color="auto" w:sz="4" w:space="0"/>
              <w:left w:val="single" w:color="auto" w:sz="4" w:space="0"/>
              <w:bottom w:val="single" w:color="auto" w:sz="4" w:space="0"/>
              <w:right w:val="single" w:color="auto" w:sz="4" w:space="0"/>
            </w:tcBorders>
          </w:tcPr>
          <w:p>
            <w:pPr>
              <w:rPr>
                <w:szCs w:val="21"/>
              </w:rPr>
            </w:pPr>
          </w:p>
        </w:tc>
      </w:tr>
    </w:tbl>
    <w:p>
      <w:pPr>
        <w:widowControl/>
        <w:ind w:firstLine="630" w:firstLineChars="300"/>
        <w:rPr>
          <w:rFonts w:ascii="宋体" w:hAnsi="宋体"/>
          <w:kern w:val="0"/>
          <w:szCs w:val="21"/>
        </w:rPr>
      </w:pPr>
    </w:p>
    <w:p>
      <w:pPr>
        <w:adjustRightInd w:val="0"/>
        <w:snapToGrid w:val="0"/>
        <w:spacing w:line="300" w:lineRule="auto"/>
        <w:ind w:firstLine="206" w:firstLineChars="100"/>
        <w:rPr>
          <w:rFonts w:ascii="宋体" w:hAnsi="宋体"/>
          <w:spacing w:val="-2"/>
          <w:szCs w:val="21"/>
        </w:rPr>
      </w:pPr>
      <w:r>
        <w:rPr>
          <w:rFonts w:hint="eastAsia" w:ascii="宋体" w:hAnsi="宋体"/>
          <w:spacing w:val="-2"/>
          <w:szCs w:val="21"/>
        </w:rPr>
        <w:t>备注：以上两项投标人须按照评分标准要求提供业绩</w:t>
      </w:r>
      <w:r>
        <w:rPr>
          <w:rFonts w:hint="eastAsia" w:ascii="宋体" w:hAnsi="宋体"/>
          <w:szCs w:val="21"/>
        </w:rPr>
        <w:t>证明材料</w:t>
      </w:r>
      <w:r>
        <w:rPr>
          <w:rFonts w:hint="eastAsia" w:ascii="宋体" w:hAnsi="宋体"/>
          <w:spacing w:val="-2"/>
          <w:szCs w:val="21"/>
        </w:rPr>
        <w:t>（包括但不限于合同名称、标的、金额，签字盖章页）。资料不全，评委无法确定业绩的不予认可。</w:t>
      </w:r>
    </w:p>
    <w:p>
      <w:pPr>
        <w:spacing w:line="440" w:lineRule="exact"/>
        <w:jc w:val="center"/>
        <w:rPr>
          <w:rFonts w:eastAsia="黑体" w:cs="Calibri"/>
          <w:color w:val="000000"/>
          <w:sz w:val="32"/>
          <w:szCs w:val="32"/>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widowControl/>
        <w:jc w:val="left"/>
        <w:rPr>
          <w:rFonts w:cs="Calibri"/>
          <w:b/>
          <w:sz w:val="36"/>
          <w:szCs w:val="36"/>
        </w:rPr>
      </w:pPr>
      <w:r>
        <w:rPr>
          <w:rFonts w:cs="Calibri"/>
          <w:b/>
          <w:sz w:val="36"/>
          <w:szCs w:val="36"/>
        </w:rPr>
        <w:br w:type="page"/>
      </w:r>
    </w:p>
    <w:p>
      <w:pPr>
        <w:numPr>
          <w:ilvl w:val="0"/>
          <w:numId w:val="2"/>
        </w:numPr>
        <w:spacing w:line="440" w:lineRule="exact"/>
        <w:jc w:val="center"/>
        <w:rPr>
          <w:rFonts w:eastAsia="黑体" w:cs="Calibri"/>
          <w:color w:val="000000"/>
          <w:sz w:val="32"/>
          <w:szCs w:val="32"/>
        </w:rPr>
      </w:pPr>
      <w:r>
        <w:rPr>
          <w:rFonts w:hint="eastAsia" w:eastAsia="黑体" w:cs="Calibri"/>
          <w:color w:val="000000"/>
          <w:sz w:val="32"/>
          <w:szCs w:val="32"/>
        </w:rPr>
        <w:t>服务大纲</w:t>
      </w:r>
    </w:p>
    <w:p>
      <w:pPr>
        <w:numPr>
          <w:ilvl w:val="255"/>
          <w:numId w:val="0"/>
        </w:numPr>
        <w:spacing w:line="440" w:lineRule="exact"/>
        <w:rPr>
          <w:rFonts w:eastAsia="黑体" w:cs="Calibri"/>
          <w:color w:val="000000"/>
          <w:sz w:val="32"/>
          <w:szCs w:val="32"/>
        </w:rPr>
      </w:pP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一</w:t>
      </w:r>
      <w:r>
        <w:rPr>
          <w:rFonts w:eastAsia="黑体" w:cs="Calibri"/>
          <w:color w:val="000000"/>
          <w:sz w:val="32"/>
          <w:szCs w:val="32"/>
        </w:rPr>
        <w:t>）项目负责人简介</w:t>
      </w:r>
    </w:p>
    <w:tbl>
      <w:tblPr>
        <w:tblStyle w:val="11"/>
        <w:tblW w:w="961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23"/>
        <w:gridCol w:w="1770"/>
        <w:gridCol w:w="66"/>
        <w:gridCol w:w="1509"/>
        <w:gridCol w:w="2325"/>
        <w:gridCol w:w="855"/>
        <w:gridCol w:w="196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77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57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2325"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85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9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w:t>
            </w:r>
            <w:r>
              <w:rPr>
                <w:rFonts w:hint="eastAsia" w:cs="Calibri"/>
                <w:szCs w:val="21"/>
              </w:rPr>
              <w:t>务</w:t>
            </w:r>
          </w:p>
        </w:tc>
        <w:tc>
          <w:tcPr>
            <w:tcW w:w="177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57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从事工作年限</w:t>
            </w:r>
          </w:p>
        </w:tc>
        <w:tc>
          <w:tcPr>
            <w:tcW w:w="5142" w:type="dxa"/>
            <w:gridSpan w:val="3"/>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5" w:hRule="atLeast"/>
          <w:jc w:val="center"/>
        </w:trPr>
        <w:tc>
          <w:tcPr>
            <w:tcW w:w="9610"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r>
              <w:rPr>
                <w:rFonts w:hint="eastAsia" w:cs="Calibri"/>
                <w:szCs w:val="21"/>
              </w:rPr>
              <w:t>客户</w:t>
            </w:r>
            <w:r>
              <w:rPr>
                <w:rFonts w:cs="Calibri"/>
                <w:szCs w:val="21"/>
              </w:rPr>
              <w:t>单位</w:t>
            </w:r>
          </w:p>
        </w:tc>
        <w:tc>
          <w:tcPr>
            <w:tcW w:w="183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5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合同金额</w:t>
            </w:r>
          </w:p>
          <w:p>
            <w:pPr>
              <w:snapToGrid w:val="0"/>
              <w:jc w:val="center"/>
              <w:rPr>
                <w:rFonts w:cs="Calibri"/>
                <w:szCs w:val="21"/>
              </w:rPr>
            </w:pPr>
            <w:r>
              <w:rPr>
                <w:rFonts w:hint="eastAsia" w:cs="Calibri"/>
                <w:szCs w:val="21"/>
              </w:rPr>
              <w:t>（万元）</w:t>
            </w:r>
          </w:p>
        </w:tc>
        <w:tc>
          <w:tcPr>
            <w:tcW w:w="2325" w:type="dxa"/>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hint="eastAsia" w:cs="Calibri"/>
                <w:szCs w:val="21"/>
              </w:rPr>
              <w:t>合同签订</w:t>
            </w:r>
          </w:p>
          <w:p>
            <w:pPr>
              <w:snapToGrid w:val="0"/>
              <w:jc w:val="center"/>
              <w:rPr>
                <w:rFonts w:cs="Calibri"/>
                <w:szCs w:val="21"/>
              </w:rPr>
            </w:pPr>
            <w:r>
              <w:rPr>
                <w:rFonts w:hint="eastAsia" w:cs="Calibri"/>
                <w:szCs w:val="21"/>
              </w:rPr>
              <w:t>时间</w:t>
            </w:r>
          </w:p>
        </w:tc>
        <w:tc>
          <w:tcPr>
            <w:tcW w:w="281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在该项目中</w:t>
            </w:r>
            <w:r>
              <w:rPr>
                <w:rFonts w:cs="Calibri"/>
                <w:szCs w:val="21"/>
              </w:rPr>
              <w:t>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23"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36"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509"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2325"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2817"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23" w:type="dxa"/>
            <w:tcBorders>
              <w:top w:val="single" w:color="auto" w:sz="4" w:space="0"/>
              <w:left w:val="single" w:color="auto" w:sz="4" w:space="0"/>
              <w:bottom w:val="single" w:color="auto" w:sz="4" w:space="0"/>
              <w:right w:val="single" w:color="auto" w:sz="4" w:space="0"/>
            </w:tcBorders>
          </w:tcPr>
          <w:p>
            <w:pPr>
              <w:pStyle w:val="5"/>
              <w:snapToGrid w:val="0"/>
              <w:ind w:left="5250"/>
              <w:rPr>
                <w:rFonts w:ascii="Calibri" w:hAnsi="Calibri" w:cs="Calibri"/>
                <w:kern w:val="2"/>
                <w:sz w:val="21"/>
                <w:szCs w:val="21"/>
              </w:rPr>
            </w:pPr>
          </w:p>
        </w:tc>
        <w:tc>
          <w:tcPr>
            <w:tcW w:w="1836"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509" w:type="dxa"/>
            <w:tcBorders>
              <w:top w:val="single" w:color="auto" w:sz="4" w:space="0"/>
              <w:left w:val="single" w:color="auto" w:sz="4" w:space="0"/>
              <w:bottom w:val="single" w:color="auto" w:sz="4" w:space="0"/>
              <w:right w:val="single" w:color="auto" w:sz="4" w:space="0"/>
            </w:tcBorders>
          </w:tcPr>
          <w:p>
            <w:pPr>
              <w:pStyle w:val="5"/>
              <w:snapToGrid w:val="0"/>
              <w:ind w:left="5250"/>
              <w:rPr>
                <w:rFonts w:ascii="Calibri" w:hAnsi="Calibri" w:cs="Calibri"/>
                <w:kern w:val="2"/>
                <w:sz w:val="21"/>
                <w:szCs w:val="21"/>
              </w:rPr>
            </w:pPr>
          </w:p>
        </w:tc>
        <w:tc>
          <w:tcPr>
            <w:tcW w:w="2325"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2817"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23"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36"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509"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2325"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2817"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23"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36"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509"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2325"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2817"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w:t>
      </w:r>
      <w:r>
        <w:rPr>
          <w:rFonts w:hint="eastAsia" w:cs="Calibri"/>
          <w:szCs w:val="21"/>
        </w:rPr>
        <w:t>简历</w:t>
      </w:r>
      <w:r>
        <w:rPr>
          <w:rFonts w:cs="Calibri"/>
          <w:szCs w:val="21"/>
        </w:rPr>
        <w:t>、</w:t>
      </w:r>
      <w:r>
        <w:rPr>
          <w:rFonts w:hint="eastAsia" w:cs="Calibri"/>
          <w:szCs w:val="21"/>
        </w:rPr>
        <w:t>业绩</w:t>
      </w:r>
      <w:r>
        <w:rPr>
          <w:rFonts w:cs="Calibri"/>
          <w:szCs w:val="21"/>
        </w:rPr>
        <w:t>合同等相应证明文件</w:t>
      </w:r>
    </w:p>
    <w:p>
      <w:pPr>
        <w:spacing w:line="360" w:lineRule="auto"/>
        <w:rPr>
          <w:rFonts w:cs="Calibri"/>
          <w:sz w:val="24"/>
        </w:rPr>
      </w:pPr>
    </w:p>
    <w:p>
      <w:pPr>
        <w:spacing w:line="360" w:lineRule="auto"/>
        <w:rPr>
          <w:rFonts w:cs="Calibri"/>
          <w:sz w:val="24"/>
        </w:rPr>
      </w:pP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二</w:t>
      </w:r>
      <w:r>
        <w:rPr>
          <w:rFonts w:eastAsia="黑体" w:cs="Calibri"/>
          <w:color w:val="000000"/>
          <w:sz w:val="32"/>
          <w:szCs w:val="32"/>
        </w:rPr>
        <w:t>）主要参与</w:t>
      </w:r>
      <w:r>
        <w:rPr>
          <w:rFonts w:hint="eastAsia" w:eastAsia="黑体" w:cs="Calibri"/>
          <w:color w:val="000000"/>
          <w:sz w:val="32"/>
          <w:szCs w:val="32"/>
        </w:rPr>
        <w:t>服务</w:t>
      </w:r>
      <w:r>
        <w:rPr>
          <w:rFonts w:eastAsia="黑体" w:cs="Calibri"/>
          <w:color w:val="000000"/>
          <w:sz w:val="32"/>
          <w:szCs w:val="32"/>
        </w:rPr>
        <w:t>人员简介</w:t>
      </w:r>
    </w:p>
    <w:tbl>
      <w:tblPr>
        <w:tblStyle w:val="11"/>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3"/>
              <w:snapToGrid w:val="0"/>
              <w:ind w:firstLine="241"/>
              <w:jc w:val="center"/>
              <w:rPr>
                <w:rFonts w:ascii="Calibri" w:hAnsi="Calibri" w:cs="Calibri"/>
                <w:bCs/>
                <w:sz w:val="21"/>
                <w:szCs w:val="21"/>
              </w:rPr>
            </w:pPr>
            <w:r>
              <w:rPr>
                <w:rFonts w:ascii="Calibri" w:hAnsi="Calibri" w:cs="Calibri"/>
                <w:bCs/>
                <w:sz w:val="21"/>
                <w:szCs w:val="21"/>
              </w:rPr>
              <w:t>岗位名称</w:t>
            </w:r>
          </w:p>
        </w:tc>
        <w:tc>
          <w:tcPr>
            <w:tcW w:w="1540" w:type="dxa"/>
            <w:vAlign w:val="center"/>
          </w:tcPr>
          <w:p>
            <w:pPr>
              <w:pStyle w:val="3"/>
              <w:snapToGrid w:val="0"/>
              <w:ind w:firstLine="241"/>
              <w:jc w:val="center"/>
              <w:rPr>
                <w:rFonts w:ascii="Calibri" w:hAnsi="Calibri" w:cs="Calibri"/>
                <w:bCs/>
                <w:sz w:val="21"/>
                <w:szCs w:val="21"/>
              </w:rPr>
            </w:pPr>
            <w:r>
              <w:rPr>
                <w:rFonts w:ascii="Calibri" w:hAnsi="Calibri" w:cs="Calibri"/>
                <w:bCs/>
                <w:sz w:val="21"/>
                <w:szCs w:val="21"/>
              </w:rPr>
              <w:t>姓名</w:t>
            </w:r>
          </w:p>
        </w:tc>
        <w:tc>
          <w:tcPr>
            <w:tcW w:w="1520" w:type="dxa"/>
            <w:vAlign w:val="center"/>
          </w:tcPr>
          <w:p>
            <w:pPr>
              <w:pStyle w:val="3"/>
              <w:snapToGrid w:val="0"/>
              <w:ind w:firstLine="241"/>
              <w:jc w:val="center"/>
              <w:rPr>
                <w:rFonts w:ascii="Calibri" w:hAnsi="Calibri" w:cs="Calibri"/>
                <w:bCs/>
                <w:sz w:val="21"/>
                <w:szCs w:val="21"/>
              </w:rPr>
            </w:pPr>
            <w:r>
              <w:rPr>
                <w:rFonts w:ascii="Calibri" w:hAnsi="Calibri" w:cs="Calibri"/>
                <w:bCs/>
                <w:sz w:val="21"/>
                <w:szCs w:val="21"/>
              </w:rPr>
              <w:t>执业资格/职称</w:t>
            </w:r>
          </w:p>
        </w:tc>
        <w:tc>
          <w:tcPr>
            <w:tcW w:w="1620" w:type="dxa"/>
            <w:vAlign w:val="center"/>
          </w:tcPr>
          <w:p>
            <w:pPr>
              <w:snapToGrid w:val="0"/>
              <w:jc w:val="center"/>
              <w:rPr>
                <w:rFonts w:cs="Calibri"/>
                <w:bCs/>
                <w:szCs w:val="21"/>
              </w:rPr>
            </w:pPr>
            <w:r>
              <w:rPr>
                <w:rFonts w:cs="Calibri"/>
                <w:bCs/>
                <w:szCs w:val="21"/>
              </w:rPr>
              <w:t>本项目</w:t>
            </w:r>
          </w:p>
          <w:p>
            <w:pPr>
              <w:snapToGrid w:val="0"/>
              <w:jc w:val="center"/>
              <w:rPr>
                <w:rFonts w:cs="Calibri"/>
                <w:bCs/>
                <w:szCs w:val="21"/>
              </w:rPr>
            </w:pPr>
            <w:r>
              <w:rPr>
                <w:rFonts w:cs="Calibri"/>
                <w:bCs/>
                <w:szCs w:val="21"/>
              </w:rPr>
              <w:t>拟任职务</w:t>
            </w:r>
          </w:p>
        </w:tc>
        <w:tc>
          <w:tcPr>
            <w:tcW w:w="2880" w:type="dxa"/>
            <w:vAlign w:val="center"/>
          </w:tcPr>
          <w:p>
            <w:pPr>
              <w:snapToGrid w:val="0"/>
              <w:jc w:val="center"/>
              <w:rPr>
                <w:rFonts w:cs="Calibri"/>
                <w:bCs/>
                <w:szCs w:val="21"/>
              </w:rPr>
            </w:pPr>
            <w:r>
              <w:rPr>
                <w:rFonts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3"/>
              <w:snapToGrid w:val="0"/>
              <w:ind w:firstLine="241"/>
              <w:jc w:val="center"/>
              <w:rPr>
                <w:rFonts w:ascii="Calibri" w:hAnsi="Calibri" w:cs="Calibri"/>
                <w:sz w:val="21"/>
                <w:szCs w:val="21"/>
              </w:rPr>
            </w:pPr>
          </w:p>
        </w:tc>
        <w:tc>
          <w:tcPr>
            <w:tcW w:w="1540" w:type="dxa"/>
          </w:tcPr>
          <w:p>
            <w:pPr>
              <w:pStyle w:val="3"/>
              <w:snapToGrid w:val="0"/>
              <w:ind w:firstLine="241"/>
              <w:jc w:val="center"/>
              <w:rPr>
                <w:rFonts w:ascii="Calibri" w:hAnsi="Calibri" w:cs="Calibri"/>
                <w:sz w:val="21"/>
                <w:szCs w:val="21"/>
              </w:rPr>
            </w:pPr>
          </w:p>
        </w:tc>
        <w:tc>
          <w:tcPr>
            <w:tcW w:w="1520" w:type="dxa"/>
          </w:tcPr>
          <w:p>
            <w:pPr>
              <w:pStyle w:val="3"/>
              <w:snapToGrid w:val="0"/>
              <w:ind w:firstLine="241"/>
              <w:jc w:val="center"/>
              <w:rPr>
                <w:rFonts w:ascii="Calibri" w:hAnsi="Calibri" w:cs="Calibri"/>
                <w:sz w:val="21"/>
                <w:szCs w:val="21"/>
              </w:rPr>
            </w:pPr>
          </w:p>
        </w:tc>
        <w:tc>
          <w:tcPr>
            <w:tcW w:w="1620" w:type="dxa"/>
          </w:tcPr>
          <w:p>
            <w:pPr>
              <w:pStyle w:val="3"/>
              <w:snapToGrid w:val="0"/>
              <w:ind w:firstLine="241"/>
              <w:jc w:val="center"/>
              <w:rPr>
                <w:rFonts w:ascii="Calibri" w:hAnsi="Calibri" w:cs="Calibri"/>
                <w:sz w:val="21"/>
                <w:szCs w:val="21"/>
              </w:rPr>
            </w:pPr>
          </w:p>
        </w:tc>
        <w:tc>
          <w:tcPr>
            <w:tcW w:w="2880" w:type="dxa"/>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3"/>
              <w:snapToGrid w:val="0"/>
              <w:ind w:firstLine="0"/>
              <w:rPr>
                <w:rFonts w:ascii="Calibri" w:hAnsi="Calibri" w:cs="Calibri"/>
                <w:sz w:val="21"/>
                <w:szCs w:val="21"/>
              </w:rPr>
            </w:pPr>
          </w:p>
        </w:tc>
        <w:tc>
          <w:tcPr>
            <w:tcW w:w="1540" w:type="dxa"/>
          </w:tcPr>
          <w:p>
            <w:pPr>
              <w:pStyle w:val="3"/>
              <w:snapToGrid w:val="0"/>
              <w:ind w:firstLine="241"/>
              <w:jc w:val="center"/>
              <w:rPr>
                <w:rFonts w:ascii="Calibri" w:hAnsi="Calibri" w:cs="Calibri"/>
                <w:sz w:val="21"/>
                <w:szCs w:val="21"/>
              </w:rPr>
            </w:pPr>
          </w:p>
        </w:tc>
        <w:tc>
          <w:tcPr>
            <w:tcW w:w="1520" w:type="dxa"/>
          </w:tcPr>
          <w:p>
            <w:pPr>
              <w:pStyle w:val="3"/>
              <w:snapToGrid w:val="0"/>
              <w:ind w:firstLine="241"/>
              <w:jc w:val="center"/>
              <w:rPr>
                <w:rFonts w:ascii="Calibri" w:hAnsi="Calibri" w:cs="Calibri"/>
                <w:sz w:val="21"/>
                <w:szCs w:val="21"/>
              </w:rPr>
            </w:pPr>
          </w:p>
        </w:tc>
        <w:tc>
          <w:tcPr>
            <w:tcW w:w="1620" w:type="dxa"/>
          </w:tcPr>
          <w:p>
            <w:pPr>
              <w:pStyle w:val="3"/>
              <w:snapToGrid w:val="0"/>
              <w:ind w:firstLine="241"/>
              <w:jc w:val="center"/>
              <w:rPr>
                <w:rFonts w:ascii="Calibri" w:hAnsi="Calibri" w:cs="Calibri"/>
                <w:sz w:val="21"/>
                <w:szCs w:val="21"/>
              </w:rPr>
            </w:pPr>
          </w:p>
        </w:tc>
        <w:tc>
          <w:tcPr>
            <w:tcW w:w="2880" w:type="dxa"/>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3"/>
              <w:snapToGrid w:val="0"/>
              <w:ind w:firstLine="0"/>
              <w:rPr>
                <w:rFonts w:ascii="Calibri" w:hAnsi="Calibri" w:cs="Calibri"/>
                <w:sz w:val="21"/>
                <w:szCs w:val="21"/>
              </w:rPr>
            </w:pPr>
          </w:p>
        </w:tc>
        <w:tc>
          <w:tcPr>
            <w:tcW w:w="1540" w:type="dxa"/>
          </w:tcPr>
          <w:p>
            <w:pPr>
              <w:pStyle w:val="3"/>
              <w:snapToGrid w:val="0"/>
              <w:ind w:firstLine="241"/>
              <w:jc w:val="center"/>
              <w:rPr>
                <w:rFonts w:ascii="Calibri" w:hAnsi="Calibri" w:cs="Calibri"/>
                <w:sz w:val="21"/>
                <w:szCs w:val="21"/>
              </w:rPr>
            </w:pPr>
          </w:p>
        </w:tc>
        <w:tc>
          <w:tcPr>
            <w:tcW w:w="1520" w:type="dxa"/>
          </w:tcPr>
          <w:p>
            <w:pPr>
              <w:pStyle w:val="3"/>
              <w:snapToGrid w:val="0"/>
              <w:ind w:firstLine="241"/>
              <w:jc w:val="center"/>
              <w:rPr>
                <w:rFonts w:ascii="Calibri" w:hAnsi="Calibri" w:cs="Calibri"/>
                <w:sz w:val="21"/>
                <w:szCs w:val="21"/>
              </w:rPr>
            </w:pPr>
          </w:p>
        </w:tc>
        <w:tc>
          <w:tcPr>
            <w:tcW w:w="1620" w:type="dxa"/>
          </w:tcPr>
          <w:p>
            <w:pPr>
              <w:pStyle w:val="3"/>
              <w:snapToGrid w:val="0"/>
              <w:ind w:firstLine="241"/>
              <w:jc w:val="center"/>
              <w:rPr>
                <w:rFonts w:ascii="Calibri" w:hAnsi="Calibri" w:cs="Calibri"/>
                <w:sz w:val="21"/>
                <w:szCs w:val="21"/>
              </w:rPr>
            </w:pPr>
          </w:p>
        </w:tc>
        <w:tc>
          <w:tcPr>
            <w:tcW w:w="2880" w:type="dxa"/>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3"/>
              <w:snapToGrid w:val="0"/>
              <w:ind w:firstLine="0"/>
              <w:rPr>
                <w:rFonts w:ascii="Calibri" w:hAnsi="Calibri" w:cs="Calibri"/>
                <w:sz w:val="21"/>
                <w:szCs w:val="21"/>
              </w:rPr>
            </w:pPr>
          </w:p>
        </w:tc>
        <w:tc>
          <w:tcPr>
            <w:tcW w:w="1540" w:type="dxa"/>
          </w:tcPr>
          <w:p>
            <w:pPr>
              <w:pStyle w:val="3"/>
              <w:snapToGrid w:val="0"/>
              <w:ind w:firstLine="241"/>
              <w:jc w:val="center"/>
              <w:rPr>
                <w:rFonts w:ascii="Calibri" w:hAnsi="Calibri" w:cs="Calibri"/>
                <w:sz w:val="21"/>
                <w:szCs w:val="21"/>
              </w:rPr>
            </w:pPr>
          </w:p>
        </w:tc>
        <w:tc>
          <w:tcPr>
            <w:tcW w:w="1520" w:type="dxa"/>
          </w:tcPr>
          <w:p>
            <w:pPr>
              <w:pStyle w:val="3"/>
              <w:snapToGrid w:val="0"/>
              <w:ind w:firstLine="241"/>
              <w:jc w:val="center"/>
              <w:rPr>
                <w:rFonts w:ascii="Calibri" w:hAnsi="Calibri" w:cs="Calibri"/>
                <w:sz w:val="21"/>
                <w:szCs w:val="21"/>
              </w:rPr>
            </w:pPr>
          </w:p>
        </w:tc>
        <w:tc>
          <w:tcPr>
            <w:tcW w:w="1620" w:type="dxa"/>
          </w:tcPr>
          <w:p>
            <w:pPr>
              <w:pStyle w:val="3"/>
              <w:snapToGrid w:val="0"/>
              <w:ind w:firstLine="241"/>
              <w:jc w:val="center"/>
              <w:rPr>
                <w:rFonts w:ascii="Calibri" w:hAnsi="Calibri" w:cs="Calibri"/>
                <w:sz w:val="21"/>
                <w:szCs w:val="21"/>
              </w:rPr>
            </w:pPr>
          </w:p>
        </w:tc>
        <w:tc>
          <w:tcPr>
            <w:tcW w:w="2880" w:type="dxa"/>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3"/>
              <w:snapToGrid w:val="0"/>
              <w:ind w:firstLine="0"/>
              <w:rPr>
                <w:rFonts w:ascii="Calibri" w:hAnsi="Calibri" w:cs="Calibri"/>
                <w:sz w:val="21"/>
                <w:szCs w:val="21"/>
              </w:rPr>
            </w:pPr>
          </w:p>
        </w:tc>
        <w:tc>
          <w:tcPr>
            <w:tcW w:w="1540" w:type="dxa"/>
          </w:tcPr>
          <w:p>
            <w:pPr>
              <w:pStyle w:val="3"/>
              <w:snapToGrid w:val="0"/>
              <w:ind w:firstLine="241"/>
              <w:jc w:val="center"/>
              <w:rPr>
                <w:rFonts w:ascii="Calibri" w:hAnsi="Calibri" w:cs="Calibri"/>
                <w:sz w:val="21"/>
                <w:szCs w:val="21"/>
              </w:rPr>
            </w:pPr>
          </w:p>
        </w:tc>
        <w:tc>
          <w:tcPr>
            <w:tcW w:w="1520" w:type="dxa"/>
          </w:tcPr>
          <w:p>
            <w:pPr>
              <w:pStyle w:val="3"/>
              <w:snapToGrid w:val="0"/>
              <w:ind w:firstLine="241"/>
              <w:jc w:val="center"/>
              <w:rPr>
                <w:rFonts w:ascii="Calibri" w:hAnsi="Calibri" w:cs="Calibri"/>
                <w:sz w:val="21"/>
                <w:szCs w:val="21"/>
              </w:rPr>
            </w:pPr>
          </w:p>
        </w:tc>
        <w:tc>
          <w:tcPr>
            <w:tcW w:w="1620" w:type="dxa"/>
          </w:tcPr>
          <w:p>
            <w:pPr>
              <w:pStyle w:val="3"/>
              <w:snapToGrid w:val="0"/>
              <w:ind w:firstLine="241"/>
              <w:jc w:val="center"/>
              <w:rPr>
                <w:rFonts w:ascii="Calibri" w:hAnsi="Calibri" w:cs="Calibri"/>
                <w:sz w:val="21"/>
                <w:szCs w:val="21"/>
              </w:rPr>
            </w:pPr>
          </w:p>
        </w:tc>
        <w:tc>
          <w:tcPr>
            <w:tcW w:w="2880" w:type="dxa"/>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3"/>
              <w:snapToGrid w:val="0"/>
              <w:ind w:firstLine="0"/>
              <w:rPr>
                <w:rFonts w:ascii="Calibri" w:hAnsi="Calibri" w:cs="Calibri"/>
                <w:sz w:val="21"/>
                <w:szCs w:val="21"/>
              </w:rPr>
            </w:pPr>
          </w:p>
        </w:tc>
        <w:tc>
          <w:tcPr>
            <w:tcW w:w="1540" w:type="dxa"/>
          </w:tcPr>
          <w:p>
            <w:pPr>
              <w:pStyle w:val="3"/>
              <w:snapToGrid w:val="0"/>
              <w:ind w:firstLine="241"/>
              <w:jc w:val="center"/>
              <w:rPr>
                <w:rFonts w:ascii="Calibri" w:hAnsi="Calibri" w:cs="Calibri"/>
                <w:sz w:val="21"/>
                <w:szCs w:val="21"/>
              </w:rPr>
            </w:pPr>
          </w:p>
        </w:tc>
        <w:tc>
          <w:tcPr>
            <w:tcW w:w="1520" w:type="dxa"/>
          </w:tcPr>
          <w:p>
            <w:pPr>
              <w:pStyle w:val="3"/>
              <w:snapToGrid w:val="0"/>
              <w:ind w:firstLine="241"/>
              <w:jc w:val="center"/>
              <w:rPr>
                <w:rFonts w:ascii="Calibri" w:hAnsi="Calibri" w:cs="Calibri"/>
                <w:sz w:val="21"/>
                <w:szCs w:val="21"/>
              </w:rPr>
            </w:pPr>
          </w:p>
        </w:tc>
        <w:tc>
          <w:tcPr>
            <w:tcW w:w="1620" w:type="dxa"/>
          </w:tcPr>
          <w:p>
            <w:pPr>
              <w:pStyle w:val="3"/>
              <w:snapToGrid w:val="0"/>
              <w:ind w:firstLine="241"/>
              <w:jc w:val="center"/>
              <w:rPr>
                <w:rFonts w:ascii="Calibri" w:hAnsi="Calibri" w:cs="Calibri"/>
                <w:sz w:val="21"/>
                <w:szCs w:val="21"/>
              </w:rPr>
            </w:pPr>
          </w:p>
        </w:tc>
        <w:tc>
          <w:tcPr>
            <w:tcW w:w="2880" w:type="dxa"/>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3"/>
              <w:snapToGrid w:val="0"/>
              <w:ind w:firstLine="0"/>
              <w:rPr>
                <w:rFonts w:ascii="Calibri" w:hAnsi="Calibri" w:cs="Calibri"/>
                <w:sz w:val="21"/>
                <w:szCs w:val="21"/>
              </w:rPr>
            </w:pPr>
          </w:p>
        </w:tc>
        <w:tc>
          <w:tcPr>
            <w:tcW w:w="1540" w:type="dxa"/>
          </w:tcPr>
          <w:p>
            <w:pPr>
              <w:pStyle w:val="3"/>
              <w:snapToGrid w:val="0"/>
              <w:ind w:firstLine="241"/>
              <w:jc w:val="center"/>
              <w:rPr>
                <w:rFonts w:ascii="Calibri" w:hAnsi="Calibri" w:cs="Calibri"/>
                <w:sz w:val="21"/>
                <w:szCs w:val="21"/>
              </w:rPr>
            </w:pPr>
          </w:p>
        </w:tc>
        <w:tc>
          <w:tcPr>
            <w:tcW w:w="1520" w:type="dxa"/>
          </w:tcPr>
          <w:p>
            <w:pPr>
              <w:pStyle w:val="3"/>
              <w:snapToGrid w:val="0"/>
              <w:ind w:firstLine="241"/>
              <w:jc w:val="center"/>
              <w:rPr>
                <w:rFonts w:ascii="Calibri" w:hAnsi="Calibri" w:cs="Calibri"/>
                <w:sz w:val="21"/>
                <w:szCs w:val="21"/>
              </w:rPr>
            </w:pPr>
          </w:p>
        </w:tc>
        <w:tc>
          <w:tcPr>
            <w:tcW w:w="1620" w:type="dxa"/>
          </w:tcPr>
          <w:p>
            <w:pPr>
              <w:pStyle w:val="3"/>
              <w:snapToGrid w:val="0"/>
              <w:ind w:firstLine="241"/>
              <w:jc w:val="center"/>
              <w:rPr>
                <w:rFonts w:ascii="Calibri" w:hAnsi="Calibri" w:cs="Calibri"/>
                <w:sz w:val="21"/>
                <w:szCs w:val="21"/>
              </w:rPr>
            </w:pPr>
          </w:p>
        </w:tc>
        <w:tc>
          <w:tcPr>
            <w:tcW w:w="2880" w:type="dxa"/>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3"/>
              <w:snapToGrid w:val="0"/>
              <w:ind w:firstLine="0"/>
              <w:rPr>
                <w:rFonts w:ascii="Calibri" w:hAnsi="Calibri" w:cs="Calibri"/>
                <w:sz w:val="21"/>
                <w:szCs w:val="21"/>
              </w:rPr>
            </w:pPr>
          </w:p>
        </w:tc>
        <w:tc>
          <w:tcPr>
            <w:tcW w:w="1540" w:type="dxa"/>
          </w:tcPr>
          <w:p>
            <w:pPr>
              <w:pStyle w:val="3"/>
              <w:snapToGrid w:val="0"/>
              <w:ind w:firstLine="241"/>
              <w:jc w:val="center"/>
              <w:rPr>
                <w:rFonts w:ascii="Calibri" w:hAnsi="Calibri" w:cs="Calibri"/>
                <w:sz w:val="21"/>
                <w:szCs w:val="21"/>
              </w:rPr>
            </w:pPr>
          </w:p>
        </w:tc>
        <w:tc>
          <w:tcPr>
            <w:tcW w:w="1520" w:type="dxa"/>
          </w:tcPr>
          <w:p>
            <w:pPr>
              <w:pStyle w:val="3"/>
              <w:snapToGrid w:val="0"/>
              <w:ind w:firstLine="241"/>
              <w:jc w:val="center"/>
              <w:rPr>
                <w:rFonts w:ascii="Calibri" w:hAnsi="Calibri" w:cs="Calibri"/>
                <w:sz w:val="21"/>
                <w:szCs w:val="21"/>
              </w:rPr>
            </w:pPr>
          </w:p>
        </w:tc>
        <w:tc>
          <w:tcPr>
            <w:tcW w:w="1620" w:type="dxa"/>
          </w:tcPr>
          <w:p>
            <w:pPr>
              <w:pStyle w:val="3"/>
              <w:snapToGrid w:val="0"/>
              <w:ind w:firstLine="241"/>
              <w:jc w:val="center"/>
              <w:rPr>
                <w:rFonts w:ascii="Calibri" w:hAnsi="Calibri" w:cs="Calibri"/>
                <w:sz w:val="21"/>
                <w:szCs w:val="21"/>
              </w:rPr>
            </w:pPr>
          </w:p>
        </w:tc>
        <w:tc>
          <w:tcPr>
            <w:tcW w:w="2880" w:type="dxa"/>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3"/>
              <w:snapToGrid w:val="0"/>
              <w:ind w:firstLine="0"/>
              <w:rPr>
                <w:rFonts w:ascii="Calibri" w:hAnsi="Calibri" w:cs="Calibri"/>
                <w:sz w:val="21"/>
                <w:szCs w:val="21"/>
              </w:rPr>
            </w:pPr>
          </w:p>
        </w:tc>
        <w:tc>
          <w:tcPr>
            <w:tcW w:w="1540" w:type="dxa"/>
          </w:tcPr>
          <w:p>
            <w:pPr>
              <w:pStyle w:val="3"/>
              <w:snapToGrid w:val="0"/>
              <w:ind w:firstLine="241"/>
              <w:jc w:val="center"/>
              <w:rPr>
                <w:rFonts w:ascii="Calibri" w:hAnsi="Calibri" w:cs="Calibri"/>
                <w:sz w:val="21"/>
                <w:szCs w:val="21"/>
              </w:rPr>
            </w:pPr>
          </w:p>
        </w:tc>
        <w:tc>
          <w:tcPr>
            <w:tcW w:w="1520" w:type="dxa"/>
          </w:tcPr>
          <w:p>
            <w:pPr>
              <w:pStyle w:val="3"/>
              <w:snapToGrid w:val="0"/>
              <w:ind w:firstLine="241"/>
              <w:jc w:val="center"/>
              <w:rPr>
                <w:rFonts w:ascii="Calibri" w:hAnsi="Calibri" w:cs="Calibri"/>
                <w:sz w:val="21"/>
                <w:szCs w:val="21"/>
              </w:rPr>
            </w:pPr>
          </w:p>
        </w:tc>
        <w:tc>
          <w:tcPr>
            <w:tcW w:w="1620" w:type="dxa"/>
          </w:tcPr>
          <w:p>
            <w:pPr>
              <w:pStyle w:val="3"/>
              <w:snapToGrid w:val="0"/>
              <w:ind w:firstLine="241"/>
              <w:jc w:val="center"/>
              <w:rPr>
                <w:rFonts w:ascii="Calibri" w:hAnsi="Calibri" w:cs="Calibri"/>
                <w:sz w:val="21"/>
                <w:szCs w:val="21"/>
              </w:rPr>
            </w:pPr>
          </w:p>
        </w:tc>
        <w:tc>
          <w:tcPr>
            <w:tcW w:w="2880" w:type="dxa"/>
          </w:tcPr>
          <w:p>
            <w:pPr>
              <w:pStyle w:val="3"/>
              <w:snapToGrid w:val="0"/>
              <w:ind w:firstLine="241"/>
              <w:jc w:val="center"/>
              <w:rPr>
                <w:rFonts w:ascii="Calibri" w:hAnsi="Calibri" w:cs="Calibri"/>
                <w:sz w:val="21"/>
                <w:szCs w:val="21"/>
              </w:rPr>
            </w:pPr>
          </w:p>
        </w:tc>
      </w:tr>
    </w:tbl>
    <w:p>
      <w:pPr>
        <w:adjustRightInd w:val="0"/>
        <w:snapToGrid w:val="0"/>
        <w:spacing w:line="360" w:lineRule="exact"/>
        <w:ind w:firstLine="210" w:firstLineChars="100"/>
        <w:rPr>
          <w:rFonts w:cs="Calibri"/>
          <w:szCs w:val="21"/>
        </w:rPr>
      </w:pPr>
      <w:r>
        <w:rPr>
          <w:rFonts w:cs="Calibri"/>
          <w:szCs w:val="21"/>
        </w:rPr>
        <w:t>注：</w:t>
      </w:r>
      <w:r>
        <w:rPr>
          <w:rFonts w:hint="eastAsia" w:cs="Calibri" w:asciiTheme="minorEastAsia" w:hAnsiTheme="minorEastAsia" w:eastAsiaTheme="minorEastAsia"/>
          <w:color w:val="000000"/>
          <w:sz w:val="22"/>
        </w:rPr>
        <w:t>附团队人员社保证明及</w:t>
      </w:r>
      <w:r>
        <w:rPr>
          <w:rFonts w:hint="eastAsia" w:cs="Calibri"/>
          <w:szCs w:val="21"/>
        </w:rPr>
        <w:t>业绩</w:t>
      </w:r>
      <w:r>
        <w:rPr>
          <w:rFonts w:cs="Calibri"/>
          <w:szCs w:val="21"/>
        </w:rPr>
        <w:t>合同等相应证明文件</w:t>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r>
        <w:rPr>
          <w:rFonts w:eastAsia="黑体" w:cs="Calibri"/>
          <w:color w:val="000000"/>
          <w:sz w:val="32"/>
          <w:szCs w:val="32"/>
        </w:rPr>
        <w:t>七、</w:t>
      </w:r>
      <w:r>
        <w:rPr>
          <w:rFonts w:hint="eastAsia" w:eastAsia="黑体" w:cs="Calibri"/>
          <w:color w:val="000000"/>
          <w:sz w:val="32"/>
          <w:szCs w:val="32"/>
        </w:rPr>
        <w:t>投标人认为</w:t>
      </w:r>
      <w:r>
        <w:rPr>
          <w:rFonts w:eastAsia="黑体" w:cs="Calibri"/>
          <w:color w:val="000000"/>
          <w:sz w:val="32"/>
          <w:szCs w:val="32"/>
        </w:rPr>
        <w:t>应该提供的其他材料</w:t>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p>
    <w:p/>
    <w:p/>
    <w:sectPr>
      <w:footerReference r:id="rId9"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6298"/>
    </w:sdtPr>
    <w:sdtContent>
      <w:p>
        <w:pPr>
          <w:pStyle w:val="7"/>
          <w:jc w:val="center"/>
        </w:pPr>
        <w:r>
          <w:fldChar w:fldCharType="begin"/>
        </w:r>
        <w:r>
          <w:instrText xml:space="preserve"> PAGE   \* MERGEFORMAT </w:instrText>
        </w:r>
        <w:r>
          <w:fldChar w:fldCharType="separate"/>
        </w:r>
        <w:r>
          <w:rPr>
            <w:lang w:val="zh-CN"/>
          </w:rPr>
          <w:t>-</w:t>
        </w:r>
        <w:r>
          <w:t xml:space="preserve"> 35 -</w:t>
        </w:r>
        <w:r>
          <w:fldChar w:fldCharType="end"/>
        </w:r>
      </w:p>
    </w:sdtContent>
  </w:sdt>
  <w:p>
    <w:pPr>
      <w:pStyle w:val="7"/>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rPr>
    </w:pPr>
    <w:r>
      <w:fldChar w:fldCharType="begin"/>
    </w:r>
    <w:r>
      <w:rPr>
        <w:rStyle w:val="13"/>
      </w:rPr>
      <w:instrText xml:space="preserve">PAGE  </w:instrText>
    </w:r>
    <w:r>
      <w:fldChar w:fldCharType="separate"/>
    </w:r>
    <w:r>
      <w:rPr>
        <w:rStyle w:val="13"/>
      </w:rPr>
      <w:t>0</w:t>
    </w:r>
    <w:r>
      <w:fldChar w:fldCharType="end"/>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rPr>
    </w:pPr>
    <w:r>
      <w:fldChar w:fldCharType="begin"/>
    </w:r>
    <w:r>
      <w:rPr>
        <w:rStyle w:val="13"/>
      </w:rPr>
      <w:instrText xml:space="preserve">PAGE  </w:instrText>
    </w:r>
    <w:r>
      <w:fldChar w:fldCharType="separate"/>
    </w:r>
    <w:r>
      <w:rPr>
        <w:rStyle w:val="13"/>
      </w:rPr>
      <w:t>0</w:t>
    </w:r>
    <w:r>
      <w:fldChar w:fldCharType="end"/>
    </w:r>
  </w:p>
  <w:p>
    <w:pPr>
      <w:pStyle w:val="7"/>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rPr>
    </w:pPr>
    <w:r>
      <w:fldChar w:fldCharType="begin"/>
    </w:r>
    <w:r>
      <w:rPr>
        <w:rStyle w:val="13"/>
      </w:rPr>
      <w:instrText xml:space="preserve">PAGE  </w:instrText>
    </w:r>
    <w:r>
      <w:fldChar w:fldCharType="separate"/>
    </w:r>
    <w:r>
      <w:rPr>
        <w:rStyle w:val="13"/>
      </w:rPr>
      <w:t>0</w:t>
    </w:r>
    <w:r>
      <w:fldChar w:fldCharType="end"/>
    </w:r>
  </w:p>
  <w:p>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pPr>
    <w:r>
      <w:rPr>
        <w:rFonts w:hint="eastAsia"/>
      </w:rPr>
      <w:t>杭州萧山国际机场T1、T2、T3航站楼标识提升优化方案设计</w:t>
    </w:r>
    <w:r>
      <w:t>项目</w:t>
    </w:r>
    <w:r>
      <w:rPr>
        <w:rFonts w:hint="eastAsia"/>
      </w:rPr>
      <w:t>招标文件</w:t>
    </w:r>
  </w:p>
  <w:p>
    <w:pPr>
      <w:widowControl/>
      <w:adjustRightInd w:val="0"/>
      <w:snapToGrid w:val="0"/>
      <w:textAlignment w:val="baseline"/>
      <w:rPr>
        <w:color w:val="000000"/>
        <w:kern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5F418DD2"/>
    <w:multiLevelType w:val="singleLevel"/>
    <w:tmpl w:val="5F418DD2"/>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F23D53"/>
    <w:rsid w:val="21273190"/>
    <w:rsid w:val="6E440501"/>
    <w:rsid w:val="708E3B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0"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bCs/>
      <w:kern w:val="44"/>
      <w:sz w:val="44"/>
      <w:szCs w:val="44"/>
    </w:rPr>
  </w:style>
  <w:style w:type="character" w:default="1" w:styleId="12">
    <w:name w:val="Default Paragraph Font"/>
    <w:semiHidden/>
    <w:qFormat/>
    <w:uiPriority w:val="0"/>
  </w:style>
  <w:style w:type="table" w:default="1" w:styleId="11">
    <w:name w:val="Normal Table"/>
    <w:unhideWhenUsed/>
    <w:qFormat/>
    <w:uiPriority w:val="0"/>
    <w:tblPr>
      <w:tblLayout w:type="fixed"/>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hAnsi="Times New Roman"/>
      <w:kern w:val="0"/>
      <w:sz w:val="34"/>
      <w:szCs w:val="20"/>
    </w:rPr>
  </w:style>
  <w:style w:type="paragraph" w:styleId="4">
    <w:name w:val="Plain Text"/>
    <w:basedOn w:val="1"/>
    <w:qFormat/>
    <w:uiPriority w:val="0"/>
    <w:rPr>
      <w:rFonts w:ascii="宋体" w:hAnsi="Courier New"/>
      <w:kern w:val="0"/>
      <w:sz w:val="20"/>
      <w:szCs w:val="21"/>
    </w:rPr>
  </w:style>
  <w:style w:type="paragraph" w:styleId="5">
    <w:name w:val="Date"/>
    <w:basedOn w:val="1"/>
    <w:next w:val="1"/>
    <w:qFormat/>
    <w:uiPriority w:val="0"/>
    <w:pPr>
      <w:ind w:left="100" w:leftChars="2500"/>
    </w:pPr>
    <w:rPr>
      <w:rFonts w:ascii="Times New Roman" w:hAnsi="Times New Roman"/>
      <w:b/>
      <w:bCs/>
      <w:kern w:val="0"/>
      <w:sz w:val="36"/>
      <w:szCs w:val="24"/>
    </w:rPr>
  </w:style>
  <w:style w:type="paragraph" w:styleId="6">
    <w:name w:val="Balloon Text"/>
    <w:basedOn w:val="1"/>
    <w:link w:val="18"/>
    <w:qFormat/>
    <w:uiPriority w:val="0"/>
    <w:rPr>
      <w:sz w:val="18"/>
      <w:szCs w:val="18"/>
    </w:rPr>
  </w:style>
  <w:style w:type="paragraph" w:styleId="7">
    <w:name w:val="footer"/>
    <w:basedOn w:val="1"/>
    <w:qFormat/>
    <w:uiPriority w:val="99"/>
    <w:pPr>
      <w:tabs>
        <w:tab w:val="center" w:pos="4153"/>
        <w:tab w:val="right" w:pos="8306"/>
      </w:tabs>
      <w:snapToGrid w:val="0"/>
      <w:jc w:val="left"/>
    </w:pPr>
    <w:rPr>
      <w:rFonts w:ascii="Times New Roman" w:hAnsi="Times New Roman"/>
      <w:kern w:val="0"/>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9">
    <w:name w:val="toc 1"/>
    <w:basedOn w:val="2"/>
    <w:next w:val="1"/>
    <w:qFormat/>
    <w:uiPriority w:val="39"/>
    <w:pPr>
      <w:tabs>
        <w:tab w:val="right" w:leader="dot" w:pos="8659"/>
      </w:tabs>
      <w:spacing w:before="0" w:after="0" w:line="240" w:lineRule="auto"/>
      <w:jc w:val="center"/>
    </w:pPr>
    <w:rPr>
      <w:b w:val="0"/>
      <w:sz w:val="21"/>
    </w:rPr>
  </w:style>
  <w:style w:type="paragraph" w:styleId="10">
    <w:name w:val="index 1"/>
    <w:basedOn w:val="1"/>
    <w:next w:val="1"/>
    <w:qFormat/>
    <w:uiPriority w:val="0"/>
    <w:pPr>
      <w:spacing w:line="320" w:lineRule="exact"/>
    </w:pPr>
    <w:rPr>
      <w:rFonts w:ascii="Times New Roman" w:hAnsi="Times New Roman"/>
      <w:snapToGrid w:val="0"/>
      <w:color w:val="FF6600"/>
      <w:kern w:val="0"/>
      <w:sz w:val="18"/>
      <w:szCs w:val="21"/>
    </w:rPr>
  </w:style>
  <w:style w:type="character" w:styleId="13">
    <w:name w:val="page number"/>
    <w:qFormat/>
    <w:uiPriority w:val="0"/>
    <w:rPr>
      <w:rFonts w:ascii="Times New Roman" w:hAnsi="Times New Roman" w:eastAsia="宋体" w:cs="Times New Roman"/>
      <w:lang w:val="en-US" w:eastAsia="zh-CN" w:bidi="ar-SA"/>
    </w:rPr>
  </w:style>
  <w:style w:type="character" w:styleId="14">
    <w:name w:val="Hyperlink"/>
    <w:qFormat/>
    <w:uiPriority w:val="99"/>
    <w:rPr>
      <w:rFonts w:ascii="Times New Roman" w:hAnsi="Times New Roman" w:eastAsia="宋体" w:cs="Times New Roman"/>
      <w:color w:val="0000FF"/>
      <w:u w:val="single"/>
      <w:lang w:val="en-US" w:eastAsia="zh-CN" w:bidi="ar-SA"/>
    </w:rPr>
  </w:style>
  <w:style w:type="paragraph" w:customStyle="1" w:styleId="15">
    <w:name w:val="样式 标题 1 + (符号) Arial 三号"/>
    <w:basedOn w:val="2"/>
    <w:qFormat/>
    <w:uiPriority w:val="0"/>
    <w:pPr>
      <w:snapToGrid w:val="0"/>
      <w:spacing w:before="0" w:after="0" w:line="360" w:lineRule="auto"/>
    </w:pPr>
    <w:rPr>
      <w:sz w:val="32"/>
    </w:rPr>
  </w:style>
  <w:style w:type="character" w:customStyle="1" w:styleId="16">
    <w:name w:val="zbggmain style9"/>
    <w:qFormat/>
    <w:uiPriority w:val="0"/>
    <w:rPr>
      <w:rFonts w:ascii="Times New Roman" w:hAnsi="Times New Roman" w:eastAsia="宋体" w:cs="Times New Roman"/>
      <w:lang w:val="en-US" w:eastAsia="zh-CN" w:bidi="ar-SA"/>
    </w:rPr>
  </w:style>
  <w:style w:type="paragraph" w:customStyle="1" w:styleId="17">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character" w:customStyle="1" w:styleId="18">
    <w:name w:val="批注框文本 字符"/>
    <w:basedOn w:val="12"/>
    <w:link w:val="6"/>
    <w:qFormat/>
    <w:uiPriority w:val="0"/>
    <w:rPr>
      <w:rFonts w:ascii="Times New Roman"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4360</Words>
  <Characters>24856</Characters>
  <Lines>207</Lines>
  <Paragraphs>58</Paragraphs>
  <TotalTime>1</TotalTime>
  <ScaleCrop>false</ScaleCrop>
  <LinksUpToDate>false</LinksUpToDate>
  <CharactersWithSpaces>29158</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2019-08-29T01:42:00Z</dcterms:created>
  <dc:creator>LST…姝</dc:creator>
  <cp:lastModifiedBy>zbzx-jsx</cp:lastModifiedBy>
  <dcterms:modified xsi:type="dcterms:W3CDTF">2019-10-08T10:41:46Z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