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航空物流有限公司2019年海关监管库监控改造项目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w:t>
      </w:r>
      <w:r>
        <w:rPr>
          <w:rFonts w:hint="eastAsia" w:eastAsia="黑体" w:cs="Calibri"/>
          <w:sz w:val="32"/>
          <w:szCs w:val="32"/>
        </w:rPr>
        <w:t>航空物流</w:t>
      </w:r>
      <w:r>
        <w:rPr>
          <w:rFonts w:eastAsia="黑体" w:cs="Calibri"/>
          <w:sz w:val="32"/>
          <w:szCs w:val="32"/>
        </w:rPr>
        <w:t>有限公司</w:t>
      </w:r>
    </w:p>
    <w:p>
      <w:pPr>
        <w:rPr>
          <w:rFonts w:eastAsia="黑体" w:cs="Calibri"/>
          <w:sz w:val="32"/>
          <w:szCs w:val="32"/>
        </w:rPr>
      </w:pPr>
    </w:p>
    <w:p>
      <w:pPr>
        <w:pStyle w:val="3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7"/>
        <w:tabs>
          <w:tab w:val="right" w:leader="dot" w:pos="830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"_Toc11062" </w:instrText>
      </w:r>
      <w:r>
        <w:fldChar w:fldCharType="separate"/>
      </w:r>
      <w:r>
        <w:rPr>
          <w:rFonts w:hint="eastAsia" w:ascii="黑体" w:hAnsi="黑体" w:eastAsia="黑体" w:cs="黑体"/>
          <w:sz w:val="22"/>
          <w:szCs w:val="22"/>
        </w:rPr>
        <w:t>第一章  招标公告</w:t>
      </w:r>
      <w:r>
        <w:rPr>
          <w:rFonts w:hint="eastAsia" w:ascii="黑体" w:hAnsi="黑体" w:eastAsia="黑体" w:cs="黑体"/>
          <w:sz w:val="22"/>
          <w:szCs w:val="22"/>
        </w:rPr>
        <w:tab/>
      </w:r>
      <w:r>
        <w:rPr>
          <w:rFonts w:hint="eastAsia" w:ascii="黑体" w:hAnsi="黑体" w:eastAsia="黑体" w:cs="黑体"/>
          <w:sz w:val="22"/>
          <w:szCs w:val="22"/>
        </w:rPr>
        <w:fldChar w:fldCharType="begin"/>
      </w:r>
      <w:r>
        <w:rPr>
          <w:rFonts w:hint="eastAsia" w:ascii="黑体" w:hAnsi="黑体" w:eastAsia="黑体" w:cs="黑体"/>
          <w:sz w:val="22"/>
          <w:szCs w:val="22"/>
        </w:rPr>
        <w:instrText xml:space="preserve"> PAGEREF _Toc11062 </w:instrText>
      </w:r>
      <w:r>
        <w:rPr>
          <w:rFonts w:hint="eastAsia" w:ascii="黑体" w:hAnsi="黑体" w:eastAsia="黑体" w:cs="黑体"/>
          <w:sz w:val="22"/>
          <w:szCs w:val="22"/>
        </w:rPr>
        <w:fldChar w:fldCharType="separate"/>
      </w:r>
      <w:r>
        <w:rPr>
          <w:rFonts w:ascii="黑体" w:hAnsi="黑体" w:eastAsia="黑体" w:cs="黑体"/>
          <w:sz w:val="22"/>
          <w:szCs w:val="22"/>
        </w:rPr>
        <w:t>- 2 -</w:t>
      </w:r>
      <w:r>
        <w:rPr>
          <w:rFonts w:hint="eastAsia" w:ascii="黑体" w:hAnsi="黑体" w:eastAsia="黑体" w:cs="黑体"/>
          <w:sz w:val="22"/>
          <w:szCs w:val="22"/>
        </w:rPr>
        <w:fldChar w:fldCharType="end"/>
      </w:r>
      <w:r>
        <w:rPr>
          <w:rFonts w:hint="eastAsia" w:ascii="黑体" w:hAnsi="黑体" w:eastAsia="黑体" w:cs="黑体"/>
          <w:sz w:val="22"/>
          <w:szCs w:val="22"/>
        </w:rPr>
        <w:fldChar w:fldCharType="end"/>
      </w:r>
    </w:p>
    <w:p>
      <w:pPr>
        <w:pStyle w:val="37"/>
        <w:tabs>
          <w:tab w:val="right" w:leader="dot" w:pos="8300"/>
        </w:tabs>
        <w:spacing w:line="480" w:lineRule="auto"/>
        <w:rPr>
          <w:rFonts w:ascii="黑体" w:hAnsi="黑体" w:eastAsia="黑体" w:cs="黑体"/>
          <w:sz w:val="22"/>
          <w:szCs w:val="22"/>
        </w:rPr>
      </w:pPr>
      <w:r>
        <w:fldChar w:fldCharType="begin"/>
      </w:r>
      <w:r>
        <w:instrText xml:space="preserve"> HYPERLINK \l "_Toc9682" </w:instrText>
      </w:r>
      <w:r>
        <w:fldChar w:fldCharType="separate"/>
      </w:r>
      <w:r>
        <w:rPr>
          <w:rFonts w:hint="eastAsia" w:ascii="黑体" w:hAnsi="黑体" w:eastAsia="黑体" w:cs="黑体"/>
          <w:sz w:val="22"/>
          <w:szCs w:val="22"/>
        </w:rPr>
        <w:t>第二章  投标人须知及评标办法</w:t>
      </w:r>
      <w:r>
        <w:rPr>
          <w:rFonts w:hint="eastAsia" w:ascii="黑体" w:hAnsi="黑体" w:eastAsia="黑体" w:cs="黑体"/>
          <w:sz w:val="22"/>
          <w:szCs w:val="22"/>
        </w:rPr>
        <w:tab/>
      </w:r>
      <w:r>
        <w:rPr>
          <w:rFonts w:hint="eastAsia" w:ascii="黑体" w:hAnsi="黑体" w:eastAsia="黑体" w:cs="黑体"/>
          <w:sz w:val="22"/>
          <w:szCs w:val="22"/>
        </w:rPr>
        <w:fldChar w:fldCharType="begin"/>
      </w:r>
      <w:r>
        <w:rPr>
          <w:rFonts w:hint="eastAsia" w:ascii="黑体" w:hAnsi="黑体" w:eastAsia="黑体" w:cs="黑体"/>
          <w:sz w:val="22"/>
          <w:szCs w:val="22"/>
        </w:rPr>
        <w:instrText xml:space="preserve"> PAGEREF _Toc9682 </w:instrText>
      </w:r>
      <w:r>
        <w:rPr>
          <w:rFonts w:hint="eastAsia" w:ascii="黑体" w:hAnsi="黑体" w:eastAsia="黑体" w:cs="黑体"/>
          <w:sz w:val="22"/>
          <w:szCs w:val="22"/>
        </w:rPr>
        <w:fldChar w:fldCharType="separate"/>
      </w:r>
      <w:r>
        <w:rPr>
          <w:rFonts w:ascii="黑体" w:hAnsi="黑体" w:eastAsia="黑体" w:cs="黑体"/>
          <w:sz w:val="22"/>
          <w:szCs w:val="22"/>
        </w:rPr>
        <w:t>- 3 -</w:t>
      </w:r>
      <w:r>
        <w:rPr>
          <w:rFonts w:hint="eastAsia" w:ascii="黑体" w:hAnsi="黑体" w:eastAsia="黑体" w:cs="黑体"/>
          <w:sz w:val="22"/>
          <w:szCs w:val="22"/>
        </w:rPr>
        <w:fldChar w:fldCharType="end"/>
      </w:r>
      <w:r>
        <w:rPr>
          <w:rFonts w:hint="eastAsia" w:ascii="黑体" w:hAnsi="黑体" w:eastAsia="黑体" w:cs="黑体"/>
          <w:sz w:val="22"/>
          <w:szCs w:val="22"/>
        </w:rPr>
        <w:fldChar w:fldCharType="end"/>
      </w:r>
    </w:p>
    <w:p>
      <w:pPr>
        <w:pStyle w:val="37"/>
        <w:tabs>
          <w:tab w:val="right" w:leader="dot" w:pos="8300"/>
        </w:tabs>
        <w:spacing w:line="480" w:lineRule="auto"/>
        <w:rPr>
          <w:rFonts w:ascii="黑体" w:hAnsi="黑体" w:eastAsia="黑体" w:cs="黑体"/>
          <w:sz w:val="22"/>
          <w:szCs w:val="22"/>
        </w:rPr>
      </w:pPr>
      <w:r>
        <w:fldChar w:fldCharType="begin"/>
      </w:r>
      <w:r>
        <w:instrText xml:space="preserve"> HYPERLINK \l "_Toc13768" </w:instrText>
      </w:r>
      <w:r>
        <w:fldChar w:fldCharType="separate"/>
      </w:r>
      <w:r>
        <w:rPr>
          <w:rFonts w:hint="eastAsia" w:ascii="黑体" w:hAnsi="黑体" w:eastAsia="黑体" w:cs="黑体"/>
          <w:sz w:val="22"/>
          <w:szCs w:val="22"/>
        </w:rPr>
        <w:t>第三章  合同条款及格式</w:t>
      </w:r>
      <w:r>
        <w:rPr>
          <w:rFonts w:hint="eastAsia" w:ascii="黑体" w:hAnsi="黑体" w:eastAsia="黑体" w:cs="黑体"/>
          <w:sz w:val="22"/>
          <w:szCs w:val="22"/>
        </w:rPr>
        <w:tab/>
      </w:r>
      <w:r>
        <w:rPr>
          <w:rFonts w:hint="eastAsia" w:ascii="黑体" w:hAnsi="黑体" w:eastAsia="黑体" w:cs="黑体"/>
          <w:sz w:val="22"/>
          <w:szCs w:val="22"/>
        </w:rPr>
        <w:fldChar w:fldCharType="begin"/>
      </w:r>
      <w:r>
        <w:rPr>
          <w:rFonts w:hint="eastAsia" w:ascii="黑体" w:hAnsi="黑体" w:eastAsia="黑体" w:cs="黑体"/>
          <w:sz w:val="22"/>
          <w:szCs w:val="22"/>
        </w:rPr>
        <w:instrText xml:space="preserve"> PAGEREF _Toc13768 </w:instrText>
      </w:r>
      <w:r>
        <w:rPr>
          <w:rFonts w:hint="eastAsia" w:ascii="黑体" w:hAnsi="黑体" w:eastAsia="黑体" w:cs="黑体"/>
          <w:sz w:val="22"/>
          <w:szCs w:val="22"/>
        </w:rPr>
        <w:fldChar w:fldCharType="separate"/>
      </w:r>
      <w:r>
        <w:rPr>
          <w:rFonts w:ascii="黑体" w:hAnsi="黑体" w:eastAsia="黑体" w:cs="黑体"/>
          <w:sz w:val="22"/>
          <w:szCs w:val="22"/>
        </w:rPr>
        <w:t>- 16 -</w:t>
      </w:r>
      <w:r>
        <w:rPr>
          <w:rFonts w:hint="eastAsia" w:ascii="黑体" w:hAnsi="黑体" w:eastAsia="黑体" w:cs="黑体"/>
          <w:sz w:val="22"/>
          <w:szCs w:val="22"/>
        </w:rPr>
        <w:fldChar w:fldCharType="end"/>
      </w:r>
      <w:r>
        <w:rPr>
          <w:rFonts w:hint="eastAsia" w:ascii="黑体" w:hAnsi="黑体" w:eastAsia="黑体" w:cs="黑体"/>
          <w:sz w:val="22"/>
          <w:szCs w:val="22"/>
        </w:rPr>
        <w:fldChar w:fldCharType="end"/>
      </w:r>
    </w:p>
    <w:p>
      <w:pPr>
        <w:pStyle w:val="37"/>
        <w:tabs>
          <w:tab w:val="right" w:leader="dot" w:pos="8300"/>
        </w:tabs>
        <w:spacing w:line="480" w:lineRule="auto"/>
        <w:rPr>
          <w:rFonts w:ascii="黑体" w:hAnsi="黑体" w:eastAsia="黑体" w:cs="黑体"/>
          <w:sz w:val="22"/>
          <w:szCs w:val="22"/>
        </w:rPr>
      </w:pPr>
      <w:r>
        <w:fldChar w:fldCharType="begin"/>
      </w:r>
      <w:r>
        <w:instrText xml:space="preserve"> HYPERLINK \l "_Toc20834" </w:instrText>
      </w:r>
      <w:r>
        <w:fldChar w:fldCharType="separate"/>
      </w:r>
      <w:r>
        <w:rPr>
          <w:rFonts w:hint="eastAsia" w:ascii="黑体" w:hAnsi="黑体" w:eastAsia="黑体" w:cs="黑体"/>
          <w:sz w:val="22"/>
          <w:szCs w:val="22"/>
        </w:rPr>
        <w:t>第四章  参考工程量清单</w:t>
      </w:r>
      <w:r>
        <w:rPr>
          <w:rFonts w:hint="eastAsia" w:ascii="黑体" w:hAnsi="黑体" w:eastAsia="黑体" w:cs="黑体"/>
          <w:sz w:val="22"/>
          <w:szCs w:val="22"/>
        </w:rPr>
        <w:tab/>
      </w:r>
      <w:r>
        <w:rPr>
          <w:rFonts w:hint="eastAsia" w:ascii="黑体" w:hAnsi="黑体" w:eastAsia="黑体" w:cs="黑体"/>
          <w:sz w:val="22"/>
          <w:szCs w:val="22"/>
        </w:rPr>
        <w:fldChar w:fldCharType="begin"/>
      </w:r>
      <w:r>
        <w:rPr>
          <w:rFonts w:hint="eastAsia" w:ascii="黑体" w:hAnsi="黑体" w:eastAsia="黑体" w:cs="黑体"/>
          <w:sz w:val="22"/>
          <w:szCs w:val="22"/>
        </w:rPr>
        <w:instrText xml:space="preserve"> PAGEREF _Toc20834 </w:instrText>
      </w:r>
      <w:r>
        <w:rPr>
          <w:rFonts w:hint="eastAsia" w:ascii="黑体" w:hAnsi="黑体" w:eastAsia="黑体" w:cs="黑体"/>
          <w:sz w:val="22"/>
          <w:szCs w:val="22"/>
        </w:rPr>
        <w:fldChar w:fldCharType="separate"/>
      </w:r>
      <w:r>
        <w:rPr>
          <w:rFonts w:ascii="黑体" w:hAnsi="黑体" w:eastAsia="黑体" w:cs="黑体"/>
          <w:sz w:val="22"/>
          <w:szCs w:val="22"/>
        </w:rPr>
        <w:t>- 39 -</w:t>
      </w:r>
      <w:r>
        <w:rPr>
          <w:rFonts w:hint="eastAsia" w:ascii="黑体" w:hAnsi="黑体" w:eastAsia="黑体" w:cs="黑体"/>
          <w:sz w:val="22"/>
          <w:szCs w:val="22"/>
        </w:rPr>
        <w:fldChar w:fldCharType="end"/>
      </w:r>
      <w:r>
        <w:rPr>
          <w:rFonts w:hint="eastAsia" w:ascii="黑体" w:hAnsi="黑体" w:eastAsia="黑体" w:cs="黑体"/>
          <w:sz w:val="22"/>
          <w:szCs w:val="22"/>
        </w:rPr>
        <w:fldChar w:fldCharType="end"/>
      </w:r>
    </w:p>
    <w:p>
      <w:pPr>
        <w:pStyle w:val="37"/>
        <w:tabs>
          <w:tab w:val="right" w:leader="dot" w:pos="8300"/>
        </w:tabs>
        <w:spacing w:line="480" w:lineRule="auto"/>
        <w:rPr>
          <w:rFonts w:ascii="黑体" w:hAnsi="黑体" w:eastAsia="黑体" w:cs="黑体"/>
          <w:sz w:val="22"/>
          <w:szCs w:val="22"/>
        </w:rPr>
      </w:pPr>
      <w:r>
        <w:fldChar w:fldCharType="begin"/>
      </w:r>
      <w:r>
        <w:instrText xml:space="preserve"> HYPERLINK \l "_Toc3098" </w:instrText>
      </w:r>
      <w:r>
        <w:fldChar w:fldCharType="separate"/>
      </w:r>
      <w:r>
        <w:rPr>
          <w:rFonts w:hint="eastAsia" w:ascii="黑体" w:hAnsi="黑体" w:eastAsia="黑体" w:cs="黑体"/>
          <w:sz w:val="22"/>
          <w:szCs w:val="22"/>
        </w:rPr>
        <w:t>第五章  图纸</w:t>
      </w:r>
      <w:r>
        <w:rPr>
          <w:rFonts w:hint="eastAsia" w:ascii="黑体" w:hAnsi="黑体" w:eastAsia="黑体" w:cs="黑体"/>
          <w:sz w:val="22"/>
          <w:szCs w:val="22"/>
        </w:rPr>
        <w:tab/>
      </w:r>
      <w:r>
        <w:rPr>
          <w:rFonts w:hint="eastAsia" w:ascii="黑体" w:hAnsi="黑体" w:eastAsia="黑体" w:cs="黑体"/>
          <w:sz w:val="22"/>
          <w:szCs w:val="22"/>
        </w:rPr>
        <w:fldChar w:fldCharType="begin"/>
      </w:r>
      <w:r>
        <w:rPr>
          <w:rFonts w:hint="eastAsia" w:ascii="黑体" w:hAnsi="黑体" w:eastAsia="黑体" w:cs="黑体"/>
          <w:sz w:val="22"/>
          <w:szCs w:val="22"/>
        </w:rPr>
        <w:instrText xml:space="preserve"> PAGEREF _Toc3098 </w:instrText>
      </w:r>
      <w:r>
        <w:rPr>
          <w:rFonts w:hint="eastAsia" w:ascii="黑体" w:hAnsi="黑体" w:eastAsia="黑体" w:cs="黑体"/>
          <w:sz w:val="22"/>
          <w:szCs w:val="22"/>
        </w:rPr>
        <w:fldChar w:fldCharType="separate"/>
      </w:r>
      <w:r>
        <w:rPr>
          <w:rFonts w:ascii="黑体" w:hAnsi="黑体" w:eastAsia="黑体" w:cs="黑体"/>
          <w:sz w:val="22"/>
          <w:szCs w:val="22"/>
        </w:rPr>
        <w:t>- 40 -</w:t>
      </w:r>
      <w:r>
        <w:rPr>
          <w:rFonts w:hint="eastAsia" w:ascii="黑体" w:hAnsi="黑体" w:eastAsia="黑体" w:cs="黑体"/>
          <w:sz w:val="22"/>
          <w:szCs w:val="22"/>
        </w:rPr>
        <w:fldChar w:fldCharType="end"/>
      </w:r>
      <w:r>
        <w:rPr>
          <w:rFonts w:hint="eastAsia" w:ascii="黑体" w:hAnsi="黑体" w:eastAsia="黑体" w:cs="黑体"/>
          <w:sz w:val="22"/>
          <w:szCs w:val="22"/>
        </w:rPr>
        <w:fldChar w:fldCharType="end"/>
      </w:r>
    </w:p>
    <w:p>
      <w:pPr>
        <w:pStyle w:val="37"/>
        <w:tabs>
          <w:tab w:val="right" w:leader="dot" w:pos="8300"/>
        </w:tabs>
        <w:spacing w:line="480" w:lineRule="auto"/>
        <w:rPr>
          <w:rFonts w:ascii="黑体" w:hAnsi="黑体" w:eastAsia="黑体" w:cs="黑体"/>
          <w:sz w:val="22"/>
          <w:szCs w:val="22"/>
        </w:rPr>
      </w:pPr>
      <w:r>
        <w:fldChar w:fldCharType="begin"/>
      </w:r>
      <w:r>
        <w:instrText xml:space="preserve"> HYPERLINK \l "_Toc25783" </w:instrText>
      </w:r>
      <w:r>
        <w:fldChar w:fldCharType="separate"/>
      </w:r>
      <w:r>
        <w:rPr>
          <w:rFonts w:hint="eastAsia" w:ascii="黑体" w:hAnsi="黑体" w:eastAsia="黑体" w:cs="黑体"/>
          <w:sz w:val="22"/>
          <w:szCs w:val="22"/>
        </w:rPr>
        <w:t>第六章  投标文件格式</w:t>
      </w:r>
      <w:r>
        <w:rPr>
          <w:rFonts w:hint="eastAsia" w:ascii="黑体" w:hAnsi="黑体" w:eastAsia="黑体" w:cs="黑体"/>
          <w:sz w:val="22"/>
          <w:szCs w:val="22"/>
        </w:rPr>
        <w:tab/>
      </w:r>
      <w:r>
        <w:rPr>
          <w:rFonts w:hint="eastAsia" w:ascii="黑体" w:hAnsi="黑体" w:eastAsia="黑体" w:cs="黑体"/>
          <w:sz w:val="22"/>
          <w:szCs w:val="22"/>
        </w:rPr>
        <w:fldChar w:fldCharType="begin"/>
      </w:r>
      <w:r>
        <w:rPr>
          <w:rFonts w:hint="eastAsia" w:ascii="黑体" w:hAnsi="黑体" w:eastAsia="黑体" w:cs="黑体"/>
          <w:sz w:val="22"/>
          <w:szCs w:val="22"/>
        </w:rPr>
        <w:instrText xml:space="preserve"> PAGEREF _Toc25783 </w:instrText>
      </w:r>
      <w:r>
        <w:rPr>
          <w:rFonts w:hint="eastAsia" w:ascii="黑体" w:hAnsi="黑体" w:eastAsia="黑体" w:cs="黑体"/>
          <w:sz w:val="22"/>
          <w:szCs w:val="22"/>
        </w:rPr>
        <w:fldChar w:fldCharType="separate"/>
      </w:r>
      <w:r>
        <w:rPr>
          <w:rFonts w:ascii="黑体" w:hAnsi="黑体" w:eastAsia="黑体" w:cs="黑体"/>
          <w:sz w:val="22"/>
          <w:szCs w:val="22"/>
        </w:rPr>
        <w:t>- 41 -</w:t>
      </w:r>
      <w:r>
        <w:rPr>
          <w:rFonts w:hint="eastAsia" w:ascii="黑体" w:hAnsi="黑体" w:eastAsia="黑体" w:cs="黑体"/>
          <w:sz w:val="22"/>
          <w:szCs w:val="22"/>
        </w:rPr>
        <w:fldChar w:fldCharType="end"/>
      </w:r>
      <w:r>
        <w:rPr>
          <w:rFonts w:hint="eastAsia" w:ascii="黑体" w:hAnsi="黑体" w:eastAsia="黑体" w:cs="黑体"/>
          <w:sz w:val="22"/>
          <w:szCs w:val="22"/>
        </w:rPr>
        <w:fldChar w:fldCharType="end"/>
      </w:r>
    </w:p>
    <w:p>
      <w:pPr>
        <w:pStyle w:val="37"/>
        <w:tabs>
          <w:tab w:val="right" w:leader="dot" w:pos="8300"/>
        </w:tabs>
        <w:spacing w:line="480" w:lineRule="auto"/>
      </w:pPr>
      <w:r>
        <w:rPr>
          <w:rFonts w:hint="eastAsia" w:ascii="黑体" w:hAnsi="黑体" w:eastAsia="黑体" w:cs="黑体"/>
          <w:bCs/>
          <w:sz w:val="22"/>
          <w:szCs w:val="22"/>
        </w:rPr>
        <w:t xml:space="preserve">附件1  </w:t>
      </w:r>
      <w:r>
        <w:fldChar w:fldCharType="begin"/>
      </w:r>
      <w:r>
        <w:instrText xml:space="preserve"> HYPERLINK \l "_Toc32703" </w:instrText>
      </w:r>
      <w:r>
        <w:fldChar w:fldCharType="separate"/>
      </w:r>
      <w:r>
        <w:rPr>
          <w:rFonts w:hint="eastAsia" w:ascii="黑体" w:hAnsi="黑体" w:eastAsia="黑体" w:cs="黑体"/>
          <w:sz w:val="22"/>
          <w:szCs w:val="22"/>
        </w:rPr>
        <w:t>技术规格书</w:t>
      </w:r>
      <w:r>
        <w:rPr>
          <w:rFonts w:hint="eastAsia" w:ascii="黑体" w:hAnsi="黑体" w:eastAsia="黑体" w:cs="黑体"/>
          <w:sz w:val="22"/>
          <w:szCs w:val="22"/>
        </w:rPr>
        <w:tab/>
      </w:r>
      <w:r>
        <w:rPr>
          <w:rFonts w:hint="eastAsia" w:ascii="黑体" w:hAnsi="黑体" w:eastAsia="黑体" w:cs="黑体"/>
          <w:sz w:val="22"/>
          <w:szCs w:val="22"/>
        </w:rPr>
        <w:fldChar w:fldCharType="begin"/>
      </w:r>
      <w:r>
        <w:rPr>
          <w:rFonts w:hint="eastAsia" w:ascii="黑体" w:hAnsi="黑体" w:eastAsia="黑体" w:cs="黑体"/>
          <w:sz w:val="22"/>
          <w:szCs w:val="22"/>
        </w:rPr>
        <w:instrText xml:space="preserve"> PAGEREF _Toc32703 </w:instrText>
      </w:r>
      <w:r>
        <w:rPr>
          <w:rFonts w:hint="eastAsia" w:ascii="黑体" w:hAnsi="黑体" w:eastAsia="黑体" w:cs="黑体"/>
          <w:sz w:val="22"/>
          <w:szCs w:val="22"/>
        </w:rPr>
        <w:fldChar w:fldCharType="separate"/>
      </w:r>
      <w:r>
        <w:rPr>
          <w:rFonts w:ascii="黑体" w:hAnsi="黑体" w:eastAsia="黑体" w:cs="黑体"/>
          <w:sz w:val="22"/>
          <w:szCs w:val="22"/>
        </w:rPr>
        <w:t>- 58 -</w:t>
      </w:r>
      <w:r>
        <w:rPr>
          <w:rFonts w:hint="eastAsia" w:ascii="黑体" w:hAnsi="黑体" w:eastAsia="黑体" w:cs="黑体"/>
          <w:sz w:val="22"/>
          <w:szCs w:val="22"/>
        </w:rPr>
        <w:fldChar w:fldCharType="end"/>
      </w:r>
      <w:r>
        <w:rPr>
          <w:rFonts w:hint="eastAsia" w:ascii="黑体" w:hAnsi="黑体" w:eastAsia="黑体" w:cs="黑体"/>
          <w:sz w:val="22"/>
          <w:szCs w:val="22"/>
        </w:rPr>
        <w:fldChar w:fldCharType="end"/>
      </w:r>
    </w:p>
    <w:p>
      <w:pPr>
        <w:pStyle w:val="37"/>
        <w:tabs>
          <w:tab w:val="right" w:leader="dot" w:pos="8300"/>
        </w:tabs>
      </w:pPr>
    </w:p>
    <w:p>
      <w:pPr>
        <w:pStyle w:val="37"/>
        <w:tabs>
          <w:tab w:val="right" w:leader="dot" w:pos="8290"/>
        </w:tabs>
        <w:spacing w:line="480" w:lineRule="auto"/>
        <w:rPr>
          <w:rFonts w:ascii="黑体" w:hAnsi="黑体" w:eastAsia="黑体"/>
          <w:sz w:val="22"/>
          <w:szCs w:val="22"/>
        </w:rPr>
      </w:pPr>
      <w:r>
        <w:rPr>
          <w:rFonts w:hint="eastAsia" w:ascii="黑体" w:hAnsi="黑体" w:eastAsia="黑体"/>
          <w:b/>
          <w:szCs w:val="22"/>
        </w:rPr>
        <w:fldChar w:fldCharType="end"/>
      </w:r>
    </w:p>
    <w:p>
      <w:pPr>
        <w:tabs>
          <w:tab w:val="right" w:leader="dot" w:pos="8364"/>
        </w:tabs>
        <w:spacing w:line="480" w:lineRule="auto"/>
        <w:rPr>
          <w:b/>
        </w:rPr>
      </w:pP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720" w:num="1"/>
          <w:titlePg/>
          <w:docGrid w:linePitch="326" w:charSpace="0"/>
        </w:sectPr>
      </w:pPr>
    </w:p>
    <w:p>
      <w:pPr>
        <w:pStyle w:val="50"/>
      </w:pPr>
      <w:bookmarkStart w:id="0" w:name="_Toc11062"/>
      <w:r>
        <w:rPr>
          <w:rFonts w:hint="eastAsia"/>
        </w:rPr>
        <w:t>第一章 招标公告</w:t>
      </w:r>
      <w:bookmarkEnd w:id="0"/>
    </w:p>
    <w:p>
      <w:pPr>
        <w:widowControl/>
        <w:snapToGrid w:val="0"/>
        <w:spacing w:line="360" w:lineRule="exact"/>
        <w:jc w:val="left"/>
        <w:rPr>
          <w:rFonts w:ascii="宋体" w:hAnsi="宋体" w:cs="Arial"/>
          <w:b/>
          <w:bCs/>
          <w:kern w:val="0"/>
          <w:szCs w:val="21"/>
        </w:rPr>
      </w:pPr>
    </w:p>
    <w:p>
      <w:pPr>
        <w:pStyle w:val="207"/>
        <w:widowControl/>
        <w:numPr>
          <w:numId w:val="0"/>
        </w:numPr>
        <w:snapToGrid w:val="0"/>
        <w:spacing w:line="360" w:lineRule="auto"/>
        <w:ind w:leftChars="0"/>
        <w:jc w:val="left"/>
        <w:rPr>
          <w:rFonts w:ascii="宋体" w:hAnsi="宋体" w:cs="Arial"/>
          <w:b/>
          <w:bCs/>
          <w:kern w:val="0"/>
          <w:sz w:val="22"/>
          <w:szCs w:val="22"/>
        </w:rPr>
      </w:pPr>
      <w:bookmarkStart w:id="363"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snapToGrid w:val="0"/>
        <w:spacing w:line="360" w:lineRule="auto"/>
        <w:ind w:right="2" w:rightChars="1" w:firstLine="440" w:firstLineChars="200"/>
        <w:rPr>
          <w:rFonts w:ascii="宋体" w:hAnsi="宋体" w:cs="宋体"/>
          <w:b/>
          <w:sz w:val="22"/>
        </w:rPr>
      </w:pPr>
      <w:r>
        <w:rPr>
          <w:rFonts w:hint="eastAsia" w:ascii="宋体" w:hAnsi="宋体" w:cs="Arial"/>
          <w:kern w:val="0"/>
          <w:sz w:val="22"/>
        </w:rPr>
        <w:t>（1）招标内容：</w:t>
      </w:r>
      <w:r>
        <w:rPr>
          <w:rFonts w:hint="eastAsia" w:ascii="宋体" w:hAnsi="宋体" w:cs="宋体"/>
          <w:b/>
          <w:kern w:val="0"/>
          <w:sz w:val="22"/>
        </w:rPr>
        <w:t>在航空货站B区海关监管作业场所安装19路带广角、云台的球机及6路枪机，分别满足现有安检通道、集中查验场地、卡车航班转关装车区、前置拦截区、核辐射探测仪、检疫处理区、登临检查区、机坪装载区等区域的监控要求。</w:t>
      </w:r>
      <w:r>
        <w:rPr>
          <w:rFonts w:hint="eastAsia" w:ascii="宋体" w:hAnsi="宋体" w:cs="宋体"/>
          <w:b/>
          <w:sz w:val="22"/>
        </w:rPr>
        <w:t>该25路需接入海关监控平台，视频存储时间为</w:t>
      </w:r>
      <w:r>
        <w:rPr>
          <w:rFonts w:ascii="宋体" w:hAnsi="宋体" w:cs="宋体"/>
          <w:b/>
          <w:sz w:val="22"/>
        </w:rPr>
        <w:t>90</w:t>
      </w:r>
      <w:r>
        <w:rPr>
          <w:rFonts w:hint="eastAsia" w:ascii="宋体" w:hAnsi="宋体" w:cs="宋体"/>
          <w:b/>
          <w:sz w:val="22"/>
        </w:rPr>
        <w:t>天。</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（2）本工程设一个标段，要求</w:t>
      </w:r>
      <w:r>
        <w:rPr>
          <w:rFonts w:hint="eastAsia" w:ascii="宋体" w:hAnsi="宋体" w:cs="Calibri"/>
          <w:kern w:val="0"/>
          <w:sz w:val="22"/>
        </w:rPr>
        <w:t>合同签订后</w:t>
      </w:r>
      <w:r>
        <w:rPr>
          <w:rFonts w:hint="eastAsia" w:ascii="宋体" w:hAnsi="宋体" w:cs="Arial"/>
          <w:b/>
          <w:kern w:val="0"/>
          <w:sz w:val="22"/>
        </w:rPr>
        <w:t>20</w:t>
      </w:r>
      <w:r>
        <w:rPr>
          <w:rFonts w:hint="eastAsia" w:ascii="宋体" w:hAnsi="宋体" w:cs="Arial"/>
          <w:kern w:val="0"/>
          <w:sz w:val="22"/>
        </w:rPr>
        <w:t>日历天内完工。</w:t>
      </w:r>
    </w:p>
    <w:p>
      <w:pPr>
        <w:widowControl/>
        <w:snapToGrid w:val="0"/>
        <w:spacing w:line="360" w:lineRule="auto"/>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（1）安全技术防范行业资信等级三级及以上或安防工程企业资质等级三级及以上或电子与智能化工程专业承包二级及以上或民航空管工程及机场弱电系统工程专业承包二级及以上的独立法人；</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（2）投标人具有有效的《安全生产许可证》；</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60" w:lineRule="auto"/>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60" w:lineRule="auto"/>
        <w:jc w:val="left"/>
        <w:rPr>
          <w:rFonts w:ascii="宋体" w:hAnsi="宋体" w:cs="Arial"/>
          <w:b/>
          <w:bCs/>
          <w:kern w:val="0"/>
          <w:sz w:val="22"/>
        </w:rPr>
      </w:pPr>
      <w:r>
        <w:rPr>
          <w:rFonts w:hint="eastAsia" w:ascii="宋体" w:hAnsi="宋体" w:cs="Arial"/>
          <w:b/>
          <w:bCs/>
          <w:kern w:val="0"/>
          <w:sz w:val="22"/>
        </w:rPr>
        <w:t>四、投标文件的递交</w:t>
      </w:r>
    </w:p>
    <w:p>
      <w:pPr>
        <w:spacing w:line="360" w:lineRule="auto"/>
        <w:ind w:firstLine="440" w:firstLineChars="200"/>
        <w:jc w:val="left"/>
        <w:rPr>
          <w:rFonts w:ascii="宋体" w:hAnsi="宋体" w:cs="Arial"/>
          <w:kern w:val="0"/>
          <w:sz w:val="22"/>
        </w:rPr>
      </w:pPr>
      <w:r>
        <w:rPr>
          <w:rFonts w:hint="eastAsia" w:ascii="宋体" w:hAnsi="宋体" w:cs="Arial"/>
          <w:kern w:val="0"/>
          <w:sz w:val="22"/>
        </w:rPr>
        <w:t>（1）投标文件递交截止时间：2019年10月31日上午9时00分（北京时间）。投标文件递交地点：</w:t>
      </w:r>
      <w:r>
        <w:rPr>
          <w:rFonts w:hint="eastAsia" w:ascii="宋体" w:hAnsi="宋体" w:cs="宋体"/>
          <w:kern w:val="0"/>
          <w:sz w:val="22"/>
        </w:rPr>
        <w:t>杭州萧山国际机场航空货站A区A1225室 王工邮编：311207</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60" w:lineRule="auto"/>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60" w:lineRule="auto"/>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60" w:lineRule="auto"/>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60" w:lineRule="auto"/>
        <w:ind w:firstLine="440" w:firstLineChars="200"/>
        <w:rPr>
          <w:rFonts w:ascii="宋体" w:hAnsi="宋体"/>
          <w:sz w:val="22"/>
        </w:rPr>
      </w:pPr>
      <w:r>
        <w:rPr>
          <w:rFonts w:hint="eastAsia" w:ascii="宋体" w:hAnsi="宋体"/>
          <w:sz w:val="22"/>
        </w:rPr>
        <w:t>投标联系人：王工         联系电话： 0571-86665010</w:t>
      </w:r>
    </w:p>
    <w:p>
      <w:pPr>
        <w:widowControl/>
        <w:adjustRightInd w:val="0"/>
        <w:snapToGrid w:val="0"/>
        <w:spacing w:line="360" w:lineRule="auto"/>
        <w:ind w:firstLine="440" w:firstLineChars="200"/>
        <w:rPr>
          <w:rFonts w:ascii="宋体" w:hAnsi="宋体"/>
          <w:sz w:val="22"/>
        </w:rPr>
      </w:pPr>
      <w:r>
        <w:rPr>
          <w:rFonts w:hint="eastAsia" w:ascii="宋体" w:hAnsi="宋体"/>
          <w:sz w:val="22"/>
        </w:rPr>
        <w:t>技术联系人：王工      联系电话： 0571-86665010</w:t>
      </w:r>
    </w:p>
    <w:p>
      <w:pPr>
        <w:widowControl/>
        <w:adjustRightInd w:val="0"/>
        <w:snapToGrid w:val="0"/>
        <w:spacing w:line="360" w:lineRule="auto"/>
        <w:ind w:firstLine="440" w:firstLineChars="200"/>
        <w:rPr>
          <w:rFonts w:ascii="宋体" w:hAnsi="宋体"/>
          <w:bCs/>
          <w:sz w:val="22"/>
        </w:rPr>
      </w:pPr>
      <w:r>
        <w:rPr>
          <w:rFonts w:hint="eastAsia" w:ascii="宋体" w:hAnsi="宋体"/>
          <w:bCs/>
          <w:sz w:val="22"/>
        </w:rPr>
        <w:t>招标监督人：</w:t>
      </w:r>
      <w:r>
        <w:rPr>
          <w:rFonts w:hint="eastAsia" w:ascii="宋体" w:hAnsi="宋体"/>
          <w:sz w:val="22"/>
        </w:rPr>
        <w:t>陈经理       联系电话： 0571-86665009</w:t>
      </w:r>
    </w:p>
    <w:bookmarkEnd w:id="363"/>
    <w:p>
      <w:pPr>
        <w:pStyle w:val="50"/>
      </w:pPr>
      <w:r>
        <w:rPr>
          <w:rFonts w:ascii="宋体" w:hAnsi="宋体"/>
          <w:bCs w:val="0"/>
          <w:sz w:val="22"/>
          <w:szCs w:val="22"/>
        </w:rPr>
        <w:br w:type="page"/>
      </w:r>
      <w:bookmarkStart w:id="1" w:name="_Toc9682"/>
      <w:r>
        <w:t>第</w:t>
      </w:r>
      <w:r>
        <w:rPr>
          <w:rFonts w:hint="eastAsia"/>
        </w:rPr>
        <w:t>二</w:t>
      </w:r>
      <w:r>
        <w:t>章  投标</w:t>
      </w:r>
      <w:r>
        <w:rPr>
          <w:rFonts w:hint="eastAsia"/>
        </w:rPr>
        <w:t>人须知及评标办法</w:t>
      </w:r>
      <w:bookmarkEnd w:id="1"/>
    </w:p>
    <w:p>
      <w:pPr>
        <w:pStyle w:val="33"/>
        <w:spacing w:line="240" w:lineRule="auto"/>
        <w:jc w:val="center"/>
        <w:rPr>
          <w:b/>
          <w:sz w:val="28"/>
          <w:szCs w:val="28"/>
        </w:rPr>
      </w:pPr>
      <w:r>
        <w:rPr>
          <w:rFonts w:hint="eastAsia"/>
          <w:b/>
          <w:sz w:val="28"/>
          <w:szCs w:val="28"/>
        </w:rPr>
        <w:t>投标人须知前附表</w:t>
      </w:r>
    </w:p>
    <w:tbl>
      <w:tblPr>
        <w:tblStyle w:val="5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航空物流有限公司2019年海关监管库监控改造项目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hint="eastAsia" w:ascii="宋体" w:hAnsi="宋体" w:cs="Calibri"/>
                <w:kern w:val="0"/>
                <w:sz w:val="22"/>
              </w:rPr>
              <w:t>航空货站</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rPr>
              <w:t>20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Arial" w:hAnsi="宋体" w:cs="Arial"/>
                <w:szCs w:val="21"/>
              </w:rPr>
            </w:pPr>
            <w:r>
              <w:rPr>
                <w:rFonts w:hint="eastAsia" w:ascii="Arial" w:hAnsi="宋体" w:cs="Arial"/>
                <w:szCs w:val="21"/>
              </w:rPr>
              <w:t>招标人不组织集中现场踏勘，投标人如有需要，可在年月日前与招标人联系后前往。联系人：王工，电话：</w:t>
            </w:r>
            <w:r>
              <w:rPr>
                <w:rFonts w:ascii="Arial" w:hAnsi="宋体" w:cs="Arial"/>
                <w:szCs w:val="21"/>
              </w:rPr>
              <w:t>0571-8666</w:t>
            </w:r>
            <w:r>
              <w:rPr>
                <w:rFonts w:hint="eastAsia" w:ascii="Arial" w:hAnsi="宋体" w:cs="Arial"/>
                <w:szCs w:val="21"/>
              </w:rPr>
              <w:t>5010</w:t>
            </w:r>
          </w:p>
          <w:p>
            <w:pPr>
              <w:autoSpaceDE w:val="0"/>
              <w:autoSpaceDN w:val="0"/>
              <w:adjustRightInd w:val="0"/>
              <w:snapToGrid w:val="0"/>
              <w:rPr>
                <w:rFonts w:ascii="宋体" w:hAnsi="宋体" w:cs="Calibri"/>
                <w:kern w:val="0"/>
                <w:sz w:val="22"/>
              </w:rPr>
            </w:pPr>
            <w:r>
              <w:rPr>
                <w:rFonts w:hint="eastAsia" w:ascii="宋体" w:hAnsi="宋体" w:cs="Calibri"/>
                <w:kern w:val="0"/>
                <w:sz w:val="22"/>
              </w:rPr>
              <w:t>（由于未参加现场踏勘引起的报价失误等责任由投标人自负）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snapToGrid w:val="0"/>
              <w:rPr>
                <w:rFonts w:ascii="宋体" w:hAnsi="宋体" w:cs="Calibri"/>
                <w:kern w:val="0"/>
                <w:sz w:val="22"/>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rPr>
              <w:t>10</w:t>
            </w:r>
            <w:r>
              <w:rPr>
                <w:rFonts w:ascii="宋体" w:hAnsi="宋体" w:cs="Calibri"/>
                <w:kern w:val="0"/>
                <w:sz w:val="22"/>
              </w:rPr>
              <w:t>月</w:t>
            </w:r>
            <w:r>
              <w:rPr>
                <w:rFonts w:hint="eastAsia" w:ascii="宋体" w:hAnsi="宋体" w:cs="Calibri"/>
                <w:kern w:val="0"/>
                <w:sz w:val="22"/>
              </w:rPr>
              <w:t>23</w:t>
            </w:r>
            <w:r>
              <w:rPr>
                <w:rFonts w:ascii="宋体" w:hAnsi="宋体" w:cs="Calibri"/>
                <w:kern w:val="0"/>
                <w:sz w:val="22"/>
              </w:rPr>
              <w:t>日11：30前，以E-mail及书面（传真）形式提交给</w:t>
            </w:r>
            <w:r>
              <w:rPr>
                <w:rFonts w:hint="eastAsia" w:ascii="宋体" w:hAnsi="宋体" w:cs="Calibri"/>
                <w:kern w:val="0"/>
                <w:sz w:val="22"/>
              </w:rPr>
              <w:t>技术联系人</w:t>
            </w:r>
            <w:r>
              <w:rPr>
                <w:rFonts w:hint="eastAsia" w:ascii="宋体" w:hAnsi="宋体" w:cs="宋体"/>
                <w:kern w:val="0"/>
                <w:sz w:val="22"/>
              </w:rPr>
              <w:t>（联系人：王工，电话：86665010，电子邮箱：wyb@hzairport.com）</w:t>
            </w:r>
            <w:r>
              <w:rPr>
                <w:rFonts w:hint="eastAsia" w:ascii="宋体" w:hAnsi="宋体" w:cs="Calibri"/>
                <w:kern w:val="0"/>
                <w:sz w:val="22"/>
              </w:rPr>
              <w:t>，</w:t>
            </w:r>
            <w:r>
              <w:rPr>
                <w:rFonts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2019年10月31日上午9时00分（北京时间）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2" w:name="_Toc236586447"/>
            <w:bookmarkStart w:id="3"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2"/>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w:t>
            </w:r>
            <w:r>
              <w:rPr>
                <w:rFonts w:hint="eastAsia"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w:t>
            </w:r>
            <w:r>
              <w:rPr>
                <w:rFonts w:hint="eastAsia"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w:t>
            </w:r>
            <w:r>
              <w:rPr>
                <w:rFonts w:hint="eastAsia"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杭州萧山国际机场航空货站内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w:t>
            </w:r>
            <w:r>
              <w:rPr>
                <w:rFonts w:hint="eastAsia" w:ascii="宋体" w:hAnsi="宋体" w:cs="Calibri"/>
                <w:kern w:val="0"/>
                <w:sz w:val="22"/>
                <w:u w:val="single"/>
              </w:rPr>
              <w:t>航空物流</w:t>
            </w:r>
            <w:r>
              <w:rPr>
                <w:rFonts w:ascii="宋体" w:hAnsi="宋体" w:cs="Calibri"/>
                <w:kern w:val="0"/>
                <w:sz w:val="22"/>
                <w:u w:val="single"/>
              </w:rPr>
              <w:t>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航空物流有限公司2019年海关监管库监控改造项目</w:t>
            </w:r>
            <w:r>
              <w:rPr>
                <w:rFonts w:hint="eastAsia" w:ascii="宋体" w:hAnsi="宋体" w:cs="宋体"/>
                <w:sz w:val="22"/>
                <w:u w:val="single"/>
              </w:rPr>
              <w:t>投标文件</w:t>
            </w:r>
            <w:r>
              <w:rPr>
                <w:rFonts w:ascii="宋体" w:hAnsi="宋体" w:cs="Calibri"/>
                <w:kern w:val="0"/>
                <w:sz w:val="22"/>
              </w:rPr>
              <w:t>在</w:t>
            </w:r>
            <w:r>
              <w:rPr>
                <w:rFonts w:hint="eastAsia" w:ascii="宋体" w:hAnsi="宋体" w:cs="Calibri"/>
                <w:kern w:val="0"/>
                <w:sz w:val="22"/>
              </w:rPr>
              <w:t>2017</w:t>
            </w:r>
            <w:r>
              <w:rPr>
                <w:rFonts w:ascii="宋体" w:hAnsi="宋体" w:cs="Calibri"/>
                <w:kern w:val="0"/>
                <w:sz w:val="22"/>
              </w:rPr>
              <w:t>年</w:t>
            </w:r>
            <w:r>
              <w:rPr>
                <w:rFonts w:hint="eastAsia" w:ascii="宋体" w:hAnsi="宋体" w:cs="Calibri"/>
                <w:kern w:val="0"/>
                <w:sz w:val="22"/>
              </w:rPr>
              <w:t xml:space="preserve">   </w:t>
            </w:r>
            <w:r>
              <w:rPr>
                <w:rFonts w:ascii="宋体" w:hAnsi="宋体" w:cs="Calibri"/>
                <w:kern w:val="0"/>
                <w:sz w:val="22"/>
              </w:rPr>
              <w:t>月</w:t>
            </w:r>
            <w:r>
              <w:rPr>
                <w:rFonts w:hint="eastAsia" w:ascii="宋体" w:hAnsi="宋体" w:cs="Calibri"/>
                <w:kern w:val="0"/>
                <w:sz w:val="22"/>
              </w:rPr>
              <w:t xml:space="preserve">    </w:t>
            </w:r>
            <w:r>
              <w:rPr>
                <w:rFonts w:ascii="宋体" w:hAnsi="宋体" w:cs="Calibri"/>
                <w:kern w:val="0"/>
                <w:sz w:val="22"/>
              </w:rPr>
              <w:t>日</w:t>
            </w:r>
            <w:r>
              <w:rPr>
                <w:rFonts w:hint="eastAsia" w:ascii="宋体" w:hAnsi="宋体" w:cs="Calibri"/>
                <w:kern w:val="0"/>
                <w:sz w:val="22"/>
              </w:rPr>
              <w:t xml:space="preserve">   </w:t>
            </w:r>
            <w:r>
              <w:rPr>
                <w:rFonts w:ascii="宋体" w:hAnsi="宋体" w:cs="Calibri"/>
                <w:kern w:val="0"/>
                <w:sz w:val="22"/>
              </w:rPr>
              <w:t>时</w:t>
            </w:r>
            <w:r>
              <w:rPr>
                <w:rFonts w:hint="eastAsia" w:ascii="宋体" w:hAnsi="宋体" w:cs="Calibri"/>
                <w:kern w:val="0"/>
                <w:sz w:val="22"/>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w:t>
            </w:r>
            <w:r>
              <w:rPr>
                <w:rFonts w:hint="eastAsia"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杭州萧山国际机场航空货站A区A1225室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w:t>
            </w:r>
            <w:r>
              <w:rPr>
                <w:rFonts w:hint="eastAsia" w:ascii="宋体" w:hAnsi="宋体" w:cs="Calibri"/>
                <w:kern w:val="0"/>
                <w:sz w:val="22"/>
              </w:rPr>
              <w:t>2</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7.2.2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szCs w:val="21"/>
              </w:rPr>
              <w:t>付款方式</w:t>
            </w:r>
          </w:p>
        </w:tc>
        <w:tc>
          <w:tcPr>
            <w:tcW w:w="6487" w:type="dxa"/>
            <w:vAlign w:val="center"/>
          </w:tcPr>
          <w:p>
            <w:pPr>
              <w:autoSpaceDE w:val="0"/>
              <w:autoSpaceDN w:val="0"/>
              <w:adjustRightInd w:val="0"/>
              <w:snapToGrid w:val="0"/>
              <w:jc w:val="left"/>
              <w:rPr>
                <w:rFonts w:ascii="宋体" w:hAnsi="宋体"/>
                <w:sz w:val="22"/>
              </w:rPr>
            </w:pPr>
            <w:r>
              <w:rPr>
                <w:rFonts w:hint="eastAsia" w:ascii="宋体"/>
              </w:rPr>
              <w:t>设备安装完成经结算审核后，乙方须向甲方提供13%的增值税发票，甲方则一次性付至结算价的95%，剩余5%作为工程质量保证金,自工程竣工备案之日起满两年无任何质量问题一次性付清（不计息）。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9"/>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p>
            <w:pPr>
              <w:adjustRightInd w:val="0"/>
              <w:snapToGrid w:val="0"/>
              <w:rPr>
                <w:rFonts w:ascii="宋体" w:hAnsi="宋体" w:cs="Calibri"/>
                <w:snapToGrid w:val="0"/>
                <w:kern w:val="0"/>
                <w:sz w:val="22"/>
              </w:rPr>
            </w:pPr>
            <w:r>
              <w:rPr>
                <w:rFonts w:hint="eastAsia" w:ascii="宋体" w:hAnsi="宋体" w:cs="Calibri"/>
                <w:snapToGrid w:val="0"/>
                <w:kern w:val="0"/>
                <w:sz w:val="22"/>
              </w:rPr>
              <w:t>3、</w:t>
            </w:r>
            <w:r>
              <w:rPr>
                <w:rFonts w:hint="eastAsia" w:ascii="宋体" w:hAnsi="宋体" w:cs="Calibri"/>
                <w:b/>
                <w:snapToGrid w:val="0"/>
                <w:kern w:val="0"/>
                <w:sz w:val="22"/>
              </w:rPr>
              <w:t>本工程为隔离区施工，</w:t>
            </w:r>
            <w:r>
              <w:rPr>
                <w:rFonts w:hint="eastAsia" w:ascii="宋体" w:hAnsi="宋体" w:cs="宋体"/>
                <w:b/>
                <w:sz w:val="22"/>
              </w:rPr>
              <w:t>投标人应充分考虑不停航施工、施工监管等风险因素可能导致发生或增加的费用。</w:t>
            </w:r>
            <w:r>
              <w:rPr>
                <w:rFonts w:hint="eastAsia" w:ascii="宋体" w:hAnsi="宋体" w:cs="宋体"/>
                <w:b/>
                <w:bCs/>
                <w:sz w:val="22"/>
              </w:rPr>
              <w:t>隔离区内施工监管费用施工标准 见3.3.8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9"/>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4" w:name="_Toc26216"/>
    </w:p>
    <w:p>
      <w:pPr>
        <w:autoSpaceDE w:val="0"/>
        <w:autoSpaceDN w:val="0"/>
        <w:adjustRightInd w:val="0"/>
        <w:snapToGrid w:val="0"/>
        <w:spacing w:line="360" w:lineRule="auto"/>
        <w:rPr>
          <w:rFonts w:ascii="宋体" w:hAnsi="宋体" w:cs="Calibri"/>
          <w:b/>
          <w:bCs/>
          <w:kern w:val="0"/>
          <w:sz w:val="22"/>
        </w:rPr>
      </w:pPr>
      <w:r>
        <w:rPr>
          <w:b/>
        </w:rPr>
        <w:br w:type="page"/>
      </w:r>
      <w:bookmarkEnd w:id="4"/>
      <w:r>
        <w:rPr>
          <w:rFonts w:ascii="宋体" w:hAnsi="宋体" w:cs="Calibri"/>
          <w:b/>
          <w:bCs/>
          <w:kern w:val="0"/>
          <w:sz w:val="22"/>
        </w:rPr>
        <w:t>1.总则</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auto"/>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auto"/>
        <w:ind w:firstLine="440"/>
        <w:rPr>
          <w:rFonts w:ascii="宋体" w:hAnsi="宋体" w:cs="Calibri"/>
          <w:sz w:val="22"/>
        </w:rPr>
      </w:pPr>
      <w:r>
        <w:rPr>
          <w:rFonts w:ascii="宋体" w:hAnsi="宋体" w:cs="Calibri"/>
          <w:kern w:val="0"/>
          <w:sz w:val="22"/>
        </w:rPr>
        <w:t>1.1.2项目建设地点见投标人须知前附表</w:t>
      </w:r>
      <w:r>
        <w:rPr>
          <w:rFonts w:ascii="宋体" w:hAnsi="宋体" w:cs="Calibri"/>
          <w:sz w:val="22"/>
        </w:rPr>
        <w:t>。</w:t>
      </w:r>
    </w:p>
    <w:p>
      <w:pPr>
        <w:autoSpaceDE w:val="0"/>
        <w:autoSpaceDN w:val="0"/>
        <w:adjustRightInd w:val="0"/>
        <w:snapToGrid w:val="0"/>
        <w:spacing w:line="360" w:lineRule="auto"/>
        <w:rPr>
          <w:rFonts w:ascii="宋体" w:hAnsi="宋体" w:cs="Calibri"/>
          <w:b/>
          <w:bCs/>
          <w:kern w:val="0"/>
          <w:sz w:val="22"/>
        </w:rPr>
      </w:pPr>
      <w:bookmarkStart w:id="5"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5"/>
    </w:p>
    <w:p>
      <w:pPr>
        <w:adjustRightInd w:val="0"/>
        <w:snapToGrid w:val="0"/>
        <w:spacing w:line="360"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6"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6"/>
      <w:r>
        <w:rPr>
          <w:rFonts w:hint="eastAsia" w:ascii="宋体" w:hAnsi="宋体" w:cs="Calibri"/>
          <w:b/>
          <w:bCs/>
          <w:kern w:val="0"/>
          <w:sz w:val="22"/>
        </w:rPr>
        <w:t>内容</w:t>
      </w:r>
    </w:p>
    <w:p>
      <w:pPr>
        <w:adjustRightInd w:val="0"/>
        <w:snapToGrid w:val="0"/>
        <w:spacing w:line="360"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7"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7"/>
    </w:p>
    <w:p>
      <w:pPr>
        <w:adjustRightInd w:val="0"/>
        <w:snapToGrid w:val="0"/>
        <w:spacing w:line="360"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8"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8"/>
    </w:p>
    <w:p>
      <w:pPr>
        <w:adjustRightInd w:val="0"/>
        <w:snapToGrid w:val="0"/>
        <w:spacing w:line="360"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9"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9"/>
    </w:p>
    <w:p>
      <w:pPr>
        <w:adjustRightInd w:val="0"/>
        <w:snapToGrid w:val="0"/>
        <w:spacing w:line="360"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10"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0"/>
    </w:p>
    <w:p>
      <w:pPr>
        <w:adjustRightInd w:val="0"/>
        <w:snapToGrid w:val="0"/>
        <w:spacing w:line="360"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auto"/>
        <w:ind w:firstLine="440"/>
        <w:rPr>
          <w:rFonts w:ascii="宋体" w:hAnsi="宋体" w:cs="Calibri"/>
          <w:sz w:val="22"/>
        </w:rPr>
      </w:pPr>
      <w:bookmarkStart w:id="11" w:name="_Toc13907"/>
      <w:r>
        <w:rPr>
          <w:rFonts w:ascii="宋体" w:hAnsi="宋体" w:cs="Calibri"/>
          <w:sz w:val="22"/>
        </w:rPr>
        <w:t>见投标人须知前附表。</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1"/>
    </w:p>
    <w:p>
      <w:pPr>
        <w:adjustRightInd w:val="0"/>
        <w:snapToGrid w:val="0"/>
        <w:spacing w:line="360" w:lineRule="auto"/>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auto"/>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auto"/>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auto"/>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auto"/>
        <w:rPr>
          <w:rFonts w:ascii="宋体" w:hAnsi="宋体" w:cs="Calibri"/>
          <w:b/>
          <w:bCs/>
          <w:kern w:val="0"/>
          <w:sz w:val="22"/>
        </w:rPr>
      </w:pPr>
      <w:bookmarkStart w:id="12"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2"/>
    </w:p>
    <w:p>
      <w:pPr>
        <w:adjustRightInd w:val="0"/>
        <w:snapToGrid w:val="0"/>
        <w:spacing w:line="360"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13"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3"/>
    </w:p>
    <w:p>
      <w:pPr>
        <w:autoSpaceDE w:val="0"/>
        <w:autoSpaceDN w:val="0"/>
        <w:adjustRightInd w:val="0"/>
        <w:snapToGrid w:val="0"/>
        <w:spacing w:line="360" w:lineRule="auto"/>
        <w:ind w:firstLine="440" w:firstLineChars="200"/>
        <w:rPr>
          <w:rFonts w:ascii="宋体" w:hAnsi="宋体" w:cs="Calibri"/>
          <w:sz w:val="22"/>
        </w:rPr>
      </w:pPr>
      <w:r>
        <w:rPr>
          <w:rFonts w:hint="eastAsia" w:ascii="宋体" w:hAnsi="宋体" w:cs="Calibri"/>
          <w:sz w:val="22"/>
        </w:rPr>
        <w:t>本项目不允许分包。</w:t>
      </w:r>
    </w:p>
    <w:p>
      <w:pPr>
        <w:autoSpaceDE w:val="0"/>
        <w:autoSpaceDN w:val="0"/>
        <w:adjustRightInd w:val="0"/>
        <w:snapToGrid w:val="0"/>
        <w:spacing w:line="360" w:lineRule="auto"/>
        <w:rPr>
          <w:rFonts w:ascii="宋体" w:hAnsi="宋体" w:cs="Calibri"/>
          <w:b/>
          <w:bCs/>
          <w:kern w:val="0"/>
          <w:sz w:val="22"/>
        </w:rPr>
      </w:pPr>
      <w:bookmarkStart w:id="14"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4"/>
    </w:p>
    <w:p>
      <w:pPr>
        <w:adjustRightInd w:val="0"/>
        <w:snapToGrid w:val="0"/>
        <w:spacing w:line="360" w:lineRule="auto"/>
        <w:ind w:firstLine="44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auto"/>
        <w:rPr>
          <w:rFonts w:ascii="宋体" w:hAnsi="宋体" w:cs="Calibri"/>
          <w:b/>
          <w:bCs/>
          <w:kern w:val="0"/>
          <w:sz w:val="22"/>
        </w:rPr>
      </w:pPr>
      <w:bookmarkStart w:id="15" w:name="_Toc143421657"/>
      <w:bookmarkStart w:id="16" w:name="_Toc15241"/>
      <w:r>
        <w:rPr>
          <w:rFonts w:ascii="宋体" w:hAnsi="宋体" w:cs="Calibri"/>
          <w:b/>
          <w:bCs/>
          <w:kern w:val="0"/>
          <w:sz w:val="22"/>
        </w:rPr>
        <w:t>2.招标文件</w:t>
      </w:r>
      <w:bookmarkEnd w:id="15"/>
      <w:bookmarkEnd w:id="16"/>
    </w:p>
    <w:p>
      <w:pPr>
        <w:autoSpaceDE w:val="0"/>
        <w:autoSpaceDN w:val="0"/>
        <w:adjustRightInd w:val="0"/>
        <w:snapToGrid w:val="0"/>
        <w:spacing w:line="360" w:lineRule="auto"/>
        <w:rPr>
          <w:rFonts w:ascii="宋体" w:hAnsi="宋体" w:cs="Calibri"/>
          <w:b/>
          <w:bCs/>
          <w:kern w:val="0"/>
          <w:sz w:val="22"/>
        </w:rPr>
      </w:pPr>
      <w:bookmarkStart w:id="17" w:name="_Toc1426"/>
      <w:r>
        <w:rPr>
          <w:rFonts w:ascii="宋体" w:hAnsi="宋体" w:cs="Calibri"/>
          <w:b/>
          <w:bCs/>
          <w:kern w:val="0"/>
          <w:sz w:val="22"/>
        </w:rPr>
        <w:t>2.1 招标文件的组成</w:t>
      </w:r>
      <w:bookmarkEnd w:id="17"/>
    </w:p>
    <w:p>
      <w:pPr>
        <w:adjustRightInd w:val="0"/>
        <w:snapToGrid w:val="0"/>
        <w:spacing w:line="360"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auto"/>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auto"/>
        <w:rPr>
          <w:rFonts w:ascii="宋体" w:hAnsi="宋体" w:cs="Calibri"/>
          <w:b/>
          <w:bCs/>
          <w:kern w:val="0"/>
          <w:sz w:val="22"/>
        </w:rPr>
      </w:pPr>
      <w:bookmarkStart w:id="18" w:name="_Toc18230"/>
      <w:r>
        <w:rPr>
          <w:rFonts w:ascii="宋体" w:hAnsi="宋体" w:cs="Calibri"/>
          <w:b/>
          <w:bCs/>
          <w:kern w:val="0"/>
          <w:sz w:val="22"/>
        </w:rPr>
        <w:t>2.2 招标文件的澄清</w:t>
      </w:r>
      <w:bookmarkEnd w:id="18"/>
    </w:p>
    <w:p>
      <w:pPr>
        <w:adjustRightInd w:val="0"/>
        <w:snapToGrid w:val="0"/>
        <w:spacing w:line="360" w:lineRule="auto"/>
        <w:ind w:firstLine="44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auto"/>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auto"/>
        <w:rPr>
          <w:rFonts w:ascii="宋体" w:hAnsi="宋体" w:cs="Calibri"/>
          <w:b/>
          <w:bCs/>
          <w:kern w:val="0"/>
          <w:sz w:val="22"/>
        </w:rPr>
      </w:pPr>
      <w:bookmarkStart w:id="19" w:name="_Toc18303"/>
      <w:r>
        <w:rPr>
          <w:rFonts w:ascii="宋体" w:hAnsi="宋体" w:cs="Calibri"/>
          <w:b/>
          <w:bCs/>
          <w:kern w:val="0"/>
          <w:sz w:val="22"/>
        </w:rPr>
        <w:t>2.3 招标文件的修改</w:t>
      </w:r>
      <w:bookmarkEnd w:id="19"/>
    </w:p>
    <w:p>
      <w:pPr>
        <w:adjustRightInd w:val="0"/>
        <w:snapToGrid w:val="0"/>
        <w:spacing w:line="360" w:lineRule="auto"/>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auto"/>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auto"/>
        <w:rPr>
          <w:rFonts w:ascii="宋体" w:hAnsi="宋体" w:cs="Calibri"/>
          <w:b/>
          <w:bCs/>
          <w:kern w:val="0"/>
          <w:sz w:val="22"/>
        </w:rPr>
      </w:pPr>
      <w:bookmarkStart w:id="20" w:name="_Toc18870"/>
      <w:bookmarkStart w:id="21" w:name="_Toc143421658"/>
      <w:r>
        <w:rPr>
          <w:rFonts w:ascii="宋体" w:hAnsi="宋体" w:cs="Calibri"/>
          <w:b/>
          <w:bCs/>
          <w:kern w:val="0"/>
          <w:sz w:val="22"/>
        </w:rPr>
        <w:t>3.投标文件</w:t>
      </w:r>
      <w:bookmarkEnd w:id="20"/>
      <w:bookmarkEnd w:id="21"/>
    </w:p>
    <w:p>
      <w:pPr>
        <w:autoSpaceDE w:val="0"/>
        <w:autoSpaceDN w:val="0"/>
        <w:adjustRightInd w:val="0"/>
        <w:snapToGrid w:val="0"/>
        <w:spacing w:line="360" w:lineRule="auto"/>
        <w:rPr>
          <w:rFonts w:ascii="宋体" w:hAnsi="宋体" w:cs="Calibri"/>
          <w:b/>
          <w:bCs/>
          <w:kern w:val="0"/>
          <w:sz w:val="22"/>
        </w:rPr>
      </w:pPr>
      <w:bookmarkStart w:id="22" w:name="_Toc461"/>
      <w:r>
        <w:rPr>
          <w:rFonts w:ascii="宋体" w:hAnsi="宋体" w:cs="Calibri"/>
          <w:b/>
          <w:bCs/>
          <w:kern w:val="0"/>
          <w:sz w:val="22"/>
        </w:rPr>
        <w:t>3.1 投标文件的语言和计量单位</w:t>
      </w:r>
      <w:bookmarkEnd w:id="22"/>
    </w:p>
    <w:p>
      <w:pPr>
        <w:adjustRightInd w:val="0"/>
        <w:snapToGrid w:val="0"/>
        <w:spacing w:line="360"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auto"/>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auto"/>
        <w:rPr>
          <w:rFonts w:ascii="宋体" w:hAnsi="宋体" w:cs="Calibri"/>
          <w:b/>
          <w:bCs/>
          <w:kern w:val="0"/>
          <w:sz w:val="22"/>
        </w:rPr>
      </w:pPr>
      <w:bookmarkStart w:id="23" w:name="_Toc1411"/>
      <w:r>
        <w:rPr>
          <w:rFonts w:ascii="宋体" w:hAnsi="宋体" w:cs="Calibri"/>
          <w:b/>
          <w:bCs/>
          <w:kern w:val="0"/>
          <w:sz w:val="22"/>
        </w:rPr>
        <w:t>3.2 投标文件的组成</w:t>
      </w:r>
      <w:bookmarkEnd w:id="23"/>
    </w:p>
    <w:p>
      <w:pPr>
        <w:adjustRightInd w:val="0"/>
        <w:snapToGrid w:val="0"/>
        <w:spacing w:line="360" w:lineRule="auto"/>
        <w:ind w:firstLine="440"/>
        <w:rPr>
          <w:rFonts w:ascii="宋体" w:hAnsi="宋体" w:cs="Calibri"/>
          <w:sz w:val="22"/>
        </w:rPr>
      </w:pPr>
      <w:bookmarkStart w:id="24" w:name="_Toc32225"/>
      <w:r>
        <w:rPr>
          <w:rFonts w:ascii="宋体" w:hAnsi="宋体" w:cs="Calibri"/>
          <w:sz w:val="22"/>
        </w:rPr>
        <w:t>3.2.1投标函；</w:t>
      </w:r>
    </w:p>
    <w:p>
      <w:pPr>
        <w:adjustRightInd w:val="0"/>
        <w:snapToGrid w:val="0"/>
        <w:spacing w:line="360" w:lineRule="auto"/>
        <w:ind w:firstLine="44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auto"/>
        <w:ind w:firstLine="44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auto"/>
        <w:ind w:firstLine="440"/>
        <w:rPr>
          <w:rFonts w:ascii="宋体" w:hAnsi="宋体" w:cs="Calibri"/>
          <w:sz w:val="22"/>
        </w:rPr>
      </w:pPr>
      <w:r>
        <w:rPr>
          <w:rFonts w:ascii="宋体" w:hAnsi="宋体" w:cs="Calibri"/>
          <w:sz w:val="22"/>
        </w:rPr>
        <w:t>3.2.</w:t>
      </w:r>
      <w:r>
        <w:rPr>
          <w:rFonts w:hint="eastAsia" w:ascii="宋体" w:hAnsi="宋体" w:cs="Calibri"/>
          <w:sz w:val="22"/>
        </w:rPr>
        <w:t>4已标价工程量清单</w:t>
      </w:r>
      <w:r>
        <w:rPr>
          <w:rFonts w:ascii="宋体" w:hAnsi="宋体" w:cs="Calibri"/>
          <w:sz w:val="22"/>
        </w:rPr>
        <w:t>；</w:t>
      </w:r>
    </w:p>
    <w:p>
      <w:pPr>
        <w:adjustRightInd w:val="0"/>
        <w:snapToGrid w:val="0"/>
        <w:spacing w:line="360" w:lineRule="auto"/>
        <w:ind w:firstLine="440"/>
        <w:rPr>
          <w:rFonts w:ascii="宋体" w:hAnsi="宋体" w:cs="Calibri"/>
          <w:sz w:val="22"/>
        </w:rPr>
      </w:pPr>
      <w:r>
        <w:rPr>
          <w:rFonts w:ascii="宋体" w:hAnsi="宋体" w:cs="Calibri"/>
          <w:sz w:val="22"/>
        </w:rPr>
        <w:t>3.2.5</w:t>
      </w:r>
      <w:r>
        <w:rPr>
          <w:rFonts w:hint="eastAsia" w:ascii="宋体" w:hAnsi="宋体" w:cs="Calibri"/>
          <w:sz w:val="22"/>
        </w:rPr>
        <w:t>施工组织设计；</w:t>
      </w:r>
    </w:p>
    <w:p>
      <w:pPr>
        <w:adjustRightInd w:val="0"/>
        <w:snapToGrid w:val="0"/>
        <w:spacing w:line="360" w:lineRule="auto"/>
        <w:ind w:firstLine="440"/>
        <w:rPr>
          <w:rFonts w:ascii="宋体" w:hAnsi="宋体" w:cs="Calibri"/>
          <w:sz w:val="22"/>
        </w:rPr>
      </w:pPr>
      <w:r>
        <w:rPr>
          <w:rFonts w:hint="eastAsia" w:ascii="宋体" w:hAnsi="宋体" w:cs="Calibri"/>
          <w:sz w:val="22"/>
        </w:rPr>
        <w:t>3.2.6 项目管理机构</w:t>
      </w:r>
    </w:p>
    <w:p>
      <w:pPr>
        <w:adjustRightInd w:val="0"/>
        <w:snapToGrid w:val="0"/>
        <w:spacing w:line="360" w:lineRule="auto"/>
        <w:ind w:firstLine="440"/>
        <w:rPr>
          <w:rFonts w:ascii="宋体" w:hAnsi="宋体" w:cs="Calibri"/>
          <w:sz w:val="22"/>
        </w:rPr>
      </w:pPr>
      <w:r>
        <w:rPr>
          <w:rFonts w:hint="eastAsia" w:ascii="宋体" w:hAnsi="宋体" w:cs="Calibri"/>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auto"/>
        <w:ind w:firstLine="440"/>
        <w:rPr>
          <w:rFonts w:ascii="宋体" w:hAnsi="宋体" w:cs="宋体"/>
          <w:sz w:val="22"/>
        </w:rPr>
      </w:pPr>
      <w:r>
        <w:rPr>
          <w:rFonts w:hint="eastAsia" w:ascii="宋体" w:hAnsi="宋体" w:cs="宋体"/>
          <w:sz w:val="22"/>
        </w:rPr>
        <w:t>3.2.8</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3.3 投标报价</w:t>
      </w:r>
      <w:bookmarkEnd w:id="24"/>
    </w:p>
    <w:p>
      <w:pPr>
        <w:adjustRightInd w:val="0"/>
        <w:snapToGrid w:val="0"/>
        <w:spacing w:line="360" w:lineRule="auto"/>
        <w:ind w:firstLine="440"/>
        <w:rPr>
          <w:rFonts w:ascii="宋体" w:hAnsi="宋体" w:cs="宋体"/>
          <w:sz w:val="22"/>
        </w:rPr>
      </w:pPr>
      <w:bookmarkStart w:id="25" w:name="_Toc13307"/>
      <w:r>
        <w:rPr>
          <w:rFonts w:hint="eastAsia" w:ascii="宋体" w:hAnsi="宋体" w:cs="宋体"/>
          <w:sz w:val="22"/>
        </w:rPr>
        <w:t>3.3.1投标人应按第六章“投标文件格式”的要求填写相应表格并报价。</w:t>
      </w:r>
    </w:p>
    <w:p>
      <w:pPr>
        <w:adjustRightInd w:val="0"/>
        <w:snapToGrid w:val="0"/>
        <w:spacing w:line="360" w:lineRule="auto"/>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auto"/>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auto"/>
        <w:ind w:firstLine="440"/>
        <w:rPr>
          <w:rFonts w:ascii="宋体" w:hAnsi="宋体" w:cs="宋体"/>
          <w:sz w:val="22"/>
        </w:rPr>
      </w:pPr>
      <w:r>
        <w:rPr>
          <w:rFonts w:hint="eastAsia" w:ascii="宋体" w:hAnsi="宋体" w:cs="宋体"/>
          <w:sz w:val="22"/>
        </w:rPr>
        <w:t>3.3.4</w:t>
      </w:r>
      <w:r>
        <w:rPr>
          <w:rFonts w:hint="eastAsia" w:ascii="宋体" w:hAnsi="宋体" w:cs="宋体"/>
          <w:b/>
          <w:bCs/>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auto"/>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auto"/>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auto"/>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auto"/>
        <w:ind w:firstLine="440"/>
        <w:rPr>
          <w:rFonts w:ascii="宋体" w:hAnsi="宋体" w:cs="宋体"/>
          <w:b/>
          <w:sz w:val="22"/>
        </w:rPr>
      </w:pPr>
      <w:r>
        <w:rPr>
          <w:rFonts w:hint="eastAsia" w:ascii="宋体" w:hAnsi="宋体" w:cs="宋体"/>
          <w:b/>
          <w:sz w:val="22"/>
        </w:rPr>
        <w:t>3.3.8投标人应充分考虑以下各项风险因素可能导致发生或增加的费用，并计入投标报价中，不报视作优惠：</w:t>
      </w:r>
    </w:p>
    <w:p>
      <w:pPr>
        <w:numPr>
          <w:ilvl w:val="0"/>
          <w:numId w:val="5"/>
        </w:numPr>
        <w:adjustRightInd w:val="0"/>
        <w:snapToGrid w:val="0"/>
        <w:spacing w:line="360" w:lineRule="auto"/>
        <w:ind w:firstLine="440"/>
        <w:rPr>
          <w:rFonts w:ascii="宋体" w:hAnsi="宋体" w:cs="宋体"/>
          <w:b/>
          <w:sz w:val="22"/>
          <w:u w:val="single"/>
        </w:rPr>
      </w:pPr>
      <w:r>
        <w:rPr>
          <w:rFonts w:hint="eastAsia" w:ascii="宋体" w:hAnsi="宋体" w:cs="宋体"/>
          <w:b/>
          <w:sz w:val="22"/>
          <w:u w:val="single"/>
        </w:rPr>
        <w:t>隔离区施工监管费，按每个作业点每天    元计；</w:t>
      </w:r>
    </w:p>
    <w:p>
      <w:pPr>
        <w:numPr>
          <w:ilvl w:val="0"/>
          <w:numId w:val="5"/>
        </w:numPr>
        <w:adjustRightInd w:val="0"/>
        <w:snapToGrid w:val="0"/>
        <w:spacing w:line="360" w:lineRule="auto"/>
        <w:ind w:firstLine="440"/>
        <w:rPr>
          <w:rFonts w:ascii="宋体" w:hAnsi="宋体" w:cs="宋体"/>
          <w:b/>
          <w:sz w:val="22"/>
          <w:u w:val="single"/>
        </w:rPr>
      </w:pPr>
      <w:r>
        <w:rPr>
          <w:rFonts w:hint="eastAsia" w:ascii="宋体" w:hAnsi="宋体" w:cs="宋体"/>
          <w:b/>
          <w:sz w:val="22"/>
          <w:u w:val="single"/>
        </w:rPr>
        <w:t>不停航施工管理费；</w:t>
      </w:r>
    </w:p>
    <w:p>
      <w:pPr>
        <w:numPr>
          <w:ilvl w:val="0"/>
          <w:numId w:val="5"/>
        </w:numPr>
        <w:adjustRightInd w:val="0"/>
        <w:snapToGrid w:val="0"/>
        <w:spacing w:line="360" w:lineRule="auto"/>
        <w:ind w:firstLine="440"/>
        <w:rPr>
          <w:rFonts w:ascii="宋体" w:hAnsi="宋体" w:cs="宋体"/>
          <w:b/>
          <w:sz w:val="22"/>
          <w:u w:val="single"/>
        </w:rPr>
      </w:pPr>
      <w:r>
        <w:rPr>
          <w:rFonts w:hint="eastAsia" w:ascii="宋体" w:hAnsi="宋体" w:cs="宋体"/>
          <w:b/>
          <w:sz w:val="22"/>
          <w:u w:val="single"/>
        </w:rPr>
        <w:t>投标人将隔离区施工监管费、不停航施工管理费单列。若未列明，默认包含在总价内。</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3.4 投标有效期</w:t>
      </w:r>
      <w:bookmarkEnd w:id="25"/>
    </w:p>
    <w:p>
      <w:pPr>
        <w:adjustRightInd w:val="0"/>
        <w:snapToGrid w:val="0"/>
        <w:spacing w:line="360"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auto"/>
        <w:rPr>
          <w:rFonts w:ascii="宋体" w:hAnsi="宋体" w:cs="Calibri"/>
          <w:b/>
          <w:bCs/>
          <w:kern w:val="0"/>
          <w:sz w:val="22"/>
        </w:rPr>
      </w:pPr>
      <w:bookmarkStart w:id="26" w:name="_Toc30464"/>
      <w:r>
        <w:rPr>
          <w:rFonts w:ascii="宋体" w:hAnsi="宋体" w:cs="Calibri"/>
          <w:b/>
          <w:bCs/>
          <w:kern w:val="0"/>
          <w:sz w:val="22"/>
        </w:rPr>
        <w:t>3.5 投标保证金</w:t>
      </w:r>
      <w:bookmarkEnd w:id="26"/>
      <w:r>
        <w:rPr>
          <w:rFonts w:hint="eastAsia" w:ascii="宋体" w:hAnsi="宋体" w:cs="Calibri"/>
          <w:b/>
          <w:bCs/>
          <w:kern w:val="0"/>
          <w:sz w:val="22"/>
        </w:rPr>
        <w:t>（如有）</w:t>
      </w:r>
    </w:p>
    <w:p>
      <w:pPr>
        <w:adjustRightInd w:val="0"/>
        <w:snapToGrid w:val="0"/>
        <w:spacing w:line="360"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auto"/>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auto"/>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auto"/>
        <w:rPr>
          <w:rFonts w:ascii="宋体" w:hAnsi="宋体" w:cs="Calibri"/>
          <w:b/>
          <w:bCs/>
          <w:kern w:val="0"/>
          <w:sz w:val="22"/>
        </w:rPr>
      </w:pPr>
      <w:bookmarkStart w:id="27" w:name="_Toc29989"/>
      <w:r>
        <w:rPr>
          <w:rFonts w:ascii="宋体" w:hAnsi="宋体" w:cs="Calibri"/>
          <w:b/>
          <w:bCs/>
          <w:kern w:val="0"/>
          <w:sz w:val="22"/>
        </w:rPr>
        <w:t>3.6 投标文件的编制</w:t>
      </w:r>
      <w:bookmarkEnd w:id="27"/>
    </w:p>
    <w:p>
      <w:pPr>
        <w:adjustRightInd w:val="0"/>
        <w:snapToGrid w:val="0"/>
        <w:spacing w:line="360"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8" w:name="_Toc143421659"/>
    </w:p>
    <w:p>
      <w:pPr>
        <w:autoSpaceDE w:val="0"/>
        <w:autoSpaceDN w:val="0"/>
        <w:adjustRightInd w:val="0"/>
        <w:snapToGrid w:val="0"/>
        <w:spacing w:line="360" w:lineRule="auto"/>
        <w:rPr>
          <w:rFonts w:ascii="宋体" w:hAnsi="宋体" w:cs="Calibri"/>
          <w:b/>
          <w:bCs/>
          <w:kern w:val="0"/>
          <w:sz w:val="22"/>
        </w:rPr>
      </w:pPr>
      <w:bookmarkStart w:id="29" w:name="_Toc32652"/>
      <w:r>
        <w:rPr>
          <w:rFonts w:ascii="宋体" w:hAnsi="宋体" w:cs="Calibri"/>
          <w:b/>
          <w:bCs/>
          <w:kern w:val="0"/>
          <w:sz w:val="22"/>
        </w:rPr>
        <w:t>4.投标</w:t>
      </w:r>
      <w:bookmarkEnd w:id="28"/>
      <w:bookmarkEnd w:id="29"/>
    </w:p>
    <w:p>
      <w:pPr>
        <w:autoSpaceDE w:val="0"/>
        <w:autoSpaceDN w:val="0"/>
        <w:adjustRightInd w:val="0"/>
        <w:snapToGrid w:val="0"/>
        <w:spacing w:line="360" w:lineRule="auto"/>
        <w:rPr>
          <w:rFonts w:ascii="宋体" w:hAnsi="宋体" w:cs="Calibri"/>
          <w:b/>
          <w:bCs/>
          <w:kern w:val="0"/>
          <w:sz w:val="22"/>
        </w:rPr>
      </w:pPr>
      <w:bookmarkStart w:id="30" w:name="_Toc649"/>
      <w:r>
        <w:rPr>
          <w:rFonts w:ascii="宋体" w:hAnsi="宋体" w:cs="Calibri"/>
          <w:b/>
          <w:bCs/>
          <w:kern w:val="0"/>
          <w:sz w:val="22"/>
        </w:rPr>
        <w:t>4.1 投标文件的密封和标识</w:t>
      </w:r>
      <w:bookmarkEnd w:id="30"/>
    </w:p>
    <w:p>
      <w:pPr>
        <w:adjustRightInd w:val="0"/>
        <w:snapToGrid w:val="0"/>
        <w:spacing w:line="360"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auto"/>
        <w:rPr>
          <w:rFonts w:ascii="宋体" w:hAnsi="宋体" w:cs="Calibri"/>
          <w:b/>
          <w:bCs/>
          <w:kern w:val="0"/>
          <w:sz w:val="22"/>
        </w:rPr>
      </w:pPr>
      <w:bookmarkStart w:id="31" w:name="_Toc16616"/>
      <w:r>
        <w:rPr>
          <w:rFonts w:ascii="宋体" w:hAnsi="宋体" w:cs="Calibri"/>
          <w:b/>
          <w:bCs/>
          <w:kern w:val="0"/>
          <w:sz w:val="22"/>
        </w:rPr>
        <w:t xml:space="preserve">4.2 投标文件的递交 </w:t>
      </w:r>
      <w:bookmarkEnd w:id="31"/>
    </w:p>
    <w:p>
      <w:pPr>
        <w:autoSpaceDE w:val="0"/>
        <w:autoSpaceDN w:val="0"/>
        <w:adjustRightInd w:val="0"/>
        <w:snapToGrid w:val="0"/>
        <w:spacing w:line="360"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auto"/>
        <w:rPr>
          <w:rFonts w:ascii="宋体" w:hAnsi="宋体" w:cs="Calibri"/>
          <w:b/>
          <w:bCs/>
          <w:kern w:val="0"/>
          <w:sz w:val="22"/>
        </w:rPr>
      </w:pPr>
      <w:bookmarkStart w:id="32" w:name="_Toc26099"/>
      <w:r>
        <w:rPr>
          <w:rFonts w:ascii="宋体" w:hAnsi="宋体" w:cs="Calibri"/>
          <w:b/>
          <w:bCs/>
          <w:kern w:val="0"/>
          <w:sz w:val="22"/>
        </w:rPr>
        <w:t>4.3 投标文件的修改和撤回</w:t>
      </w:r>
      <w:bookmarkEnd w:id="32"/>
    </w:p>
    <w:p>
      <w:pPr>
        <w:adjustRightInd w:val="0"/>
        <w:snapToGrid w:val="0"/>
        <w:spacing w:line="360"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auto"/>
        <w:rPr>
          <w:rFonts w:ascii="宋体" w:hAnsi="宋体" w:cs="Calibri"/>
          <w:b/>
          <w:bCs/>
          <w:kern w:val="0"/>
          <w:sz w:val="22"/>
        </w:rPr>
      </w:pPr>
      <w:bookmarkStart w:id="33" w:name="_Toc29641"/>
      <w:r>
        <w:rPr>
          <w:rFonts w:ascii="宋体" w:hAnsi="宋体" w:cs="Calibri"/>
          <w:b/>
          <w:bCs/>
          <w:kern w:val="0"/>
          <w:sz w:val="22"/>
        </w:rPr>
        <w:t>5.开标</w:t>
      </w:r>
      <w:bookmarkEnd w:id="33"/>
    </w:p>
    <w:p>
      <w:pPr>
        <w:autoSpaceDE w:val="0"/>
        <w:autoSpaceDN w:val="0"/>
        <w:adjustRightInd w:val="0"/>
        <w:snapToGrid w:val="0"/>
        <w:spacing w:line="360" w:lineRule="auto"/>
        <w:rPr>
          <w:rFonts w:ascii="宋体" w:hAnsi="宋体" w:cs="Calibri"/>
          <w:b/>
          <w:bCs/>
          <w:kern w:val="0"/>
          <w:sz w:val="22"/>
        </w:rPr>
      </w:pPr>
      <w:bookmarkStart w:id="34" w:name="_Toc15123"/>
      <w:r>
        <w:rPr>
          <w:rFonts w:ascii="宋体" w:hAnsi="宋体" w:cs="Calibri"/>
          <w:b/>
          <w:bCs/>
          <w:kern w:val="0"/>
          <w:sz w:val="22"/>
        </w:rPr>
        <w:t>5.1 开标时间和地点</w:t>
      </w:r>
      <w:bookmarkEnd w:id="34"/>
    </w:p>
    <w:p>
      <w:pPr>
        <w:adjustRightInd w:val="0"/>
        <w:snapToGrid w:val="0"/>
        <w:spacing w:line="360" w:lineRule="auto"/>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auto"/>
        <w:ind w:firstLine="440"/>
        <w:rPr>
          <w:rFonts w:ascii="宋体" w:hAnsi="宋体" w:cs="Calibri"/>
          <w:sz w:val="22"/>
        </w:rPr>
      </w:pPr>
      <w:r>
        <w:rPr>
          <w:rFonts w:ascii="宋体" w:hAnsi="宋体" w:cs="Calibri"/>
          <w:sz w:val="22"/>
        </w:rPr>
        <w:t>（2）</w:t>
      </w:r>
      <w:r>
        <w:rPr>
          <w:rFonts w:hint="eastAsia"/>
          <w:sz w:val="22"/>
        </w:rPr>
        <w:t>其它原件资料详见投标人须知前附表。</w:t>
      </w:r>
    </w:p>
    <w:p>
      <w:pPr>
        <w:autoSpaceDE w:val="0"/>
        <w:autoSpaceDN w:val="0"/>
        <w:adjustRightInd w:val="0"/>
        <w:snapToGrid w:val="0"/>
        <w:spacing w:line="360" w:lineRule="auto"/>
        <w:rPr>
          <w:rFonts w:ascii="宋体" w:hAnsi="宋体" w:cs="Calibri"/>
          <w:b/>
          <w:bCs/>
          <w:kern w:val="0"/>
          <w:sz w:val="22"/>
        </w:rPr>
      </w:pPr>
      <w:bookmarkStart w:id="35" w:name="_Toc7101"/>
      <w:r>
        <w:rPr>
          <w:rFonts w:ascii="宋体" w:hAnsi="宋体" w:cs="Calibri"/>
          <w:b/>
          <w:bCs/>
          <w:kern w:val="0"/>
          <w:sz w:val="22"/>
        </w:rPr>
        <w:t>5.2 开标程序</w:t>
      </w:r>
      <w:bookmarkEnd w:id="35"/>
    </w:p>
    <w:p>
      <w:pPr>
        <w:adjustRightInd w:val="0"/>
        <w:snapToGrid w:val="0"/>
        <w:spacing w:line="360"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auto"/>
        <w:rPr>
          <w:rFonts w:ascii="宋体" w:hAnsi="宋体" w:cs="Calibri"/>
          <w:b/>
          <w:bCs/>
          <w:kern w:val="0"/>
          <w:sz w:val="22"/>
        </w:rPr>
      </w:pPr>
      <w:bookmarkStart w:id="36" w:name="_Toc31578"/>
      <w:r>
        <w:rPr>
          <w:rFonts w:ascii="宋体" w:hAnsi="宋体" w:cs="Calibri"/>
          <w:b/>
          <w:bCs/>
          <w:kern w:val="0"/>
          <w:sz w:val="22"/>
        </w:rPr>
        <w:t>6.评标</w:t>
      </w:r>
      <w:bookmarkEnd w:id="36"/>
    </w:p>
    <w:p>
      <w:pPr>
        <w:autoSpaceDE w:val="0"/>
        <w:autoSpaceDN w:val="0"/>
        <w:adjustRightInd w:val="0"/>
        <w:snapToGrid w:val="0"/>
        <w:spacing w:line="360" w:lineRule="auto"/>
        <w:rPr>
          <w:rFonts w:ascii="宋体" w:hAnsi="宋体" w:cs="Calibri"/>
          <w:b/>
          <w:bCs/>
          <w:kern w:val="0"/>
          <w:sz w:val="22"/>
        </w:rPr>
      </w:pPr>
      <w:bookmarkStart w:id="37" w:name="_Toc10279"/>
      <w:r>
        <w:rPr>
          <w:rFonts w:ascii="宋体" w:hAnsi="宋体" w:cs="Calibri"/>
          <w:b/>
          <w:bCs/>
          <w:kern w:val="0"/>
          <w:sz w:val="22"/>
        </w:rPr>
        <w:t>6.1 评标委员会</w:t>
      </w:r>
      <w:bookmarkEnd w:id="37"/>
    </w:p>
    <w:p>
      <w:pPr>
        <w:adjustRightInd w:val="0"/>
        <w:snapToGrid w:val="0"/>
        <w:spacing w:line="360"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auto"/>
        <w:rPr>
          <w:rFonts w:ascii="宋体" w:hAnsi="宋体" w:cs="Calibri"/>
          <w:b/>
          <w:bCs/>
          <w:kern w:val="0"/>
          <w:sz w:val="22"/>
        </w:rPr>
      </w:pPr>
      <w:bookmarkStart w:id="38" w:name="_Toc3460"/>
      <w:r>
        <w:rPr>
          <w:rFonts w:ascii="宋体" w:hAnsi="宋体" w:cs="Calibri"/>
          <w:b/>
          <w:bCs/>
          <w:kern w:val="0"/>
          <w:sz w:val="22"/>
        </w:rPr>
        <w:t>6.2 评标原则</w:t>
      </w:r>
      <w:bookmarkEnd w:id="38"/>
    </w:p>
    <w:p>
      <w:pPr>
        <w:adjustRightInd w:val="0"/>
        <w:snapToGrid w:val="0"/>
        <w:spacing w:line="360"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auto"/>
        <w:rPr>
          <w:rFonts w:ascii="宋体" w:hAnsi="宋体" w:cs="Calibri"/>
          <w:b/>
          <w:bCs/>
          <w:kern w:val="0"/>
          <w:sz w:val="22"/>
        </w:rPr>
      </w:pPr>
      <w:bookmarkStart w:id="39" w:name="_Toc24237"/>
      <w:r>
        <w:rPr>
          <w:rFonts w:hint="eastAsia" w:ascii="宋体" w:hAnsi="宋体" w:cs="Calibri"/>
          <w:b/>
          <w:bCs/>
          <w:kern w:val="0"/>
          <w:sz w:val="22"/>
        </w:rPr>
        <w:t>6.3 评标办法</w:t>
      </w:r>
    </w:p>
    <w:p>
      <w:pPr>
        <w:spacing w:line="360" w:lineRule="auto"/>
        <w:ind w:firstLine="440" w:firstLineChars="200"/>
        <w:rPr>
          <w:rFonts w:ascii="宋体" w:hAnsi="宋体"/>
          <w:sz w:val="22"/>
        </w:rPr>
      </w:pPr>
      <w:r>
        <w:rPr>
          <w:rFonts w:hint="eastAsia" w:ascii="宋体" w:hAnsi="宋体"/>
          <w:sz w:val="22"/>
        </w:rPr>
        <w:t>本次评标采用综合评估法。评标委员会对满足招标文件实质性要求的投标文件，按照本章第6.4</w:t>
      </w:r>
      <w:r>
        <w:rPr>
          <w:rFonts w:ascii="宋体" w:hAnsi="宋体"/>
          <w:sz w:val="22"/>
        </w:rPr>
        <w:t xml:space="preserve"> </w:t>
      </w:r>
      <w:r>
        <w:rPr>
          <w:rFonts w:hint="eastAsia" w:ascii="宋体" w:hAnsi="宋体"/>
          <w:sz w:val="22"/>
        </w:rPr>
        <w:t>项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adjustRightInd w:val="0"/>
        <w:snapToGrid w:val="0"/>
        <w:spacing w:line="360" w:lineRule="auto"/>
        <w:ind w:firstLine="440"/>
        <w:rPr>
          <w:rFonts w:ascii="宋体" w:hAnsi="宋体" w:cs="Calibri"/>
          <w:kern w:val="0"/>
          <w:sz w:val="22"/>
        </w:rPr>
      </w:pPr>
      <w:r>
        <w:rPr>
          <w:rFonts w:hint="eastAsia" w:ascii="宋体" w:hAnsi="宋体" w:cs="Calibri"/>
          <w:b/>
          <w:kern w:val="0"/>
          <w:sz w:val="22"/>
        </w:rPr>
        <w:t>如所有投标单位的报价均偏高，招标人将否决所有投标重新招标</w:t>
      </w:r>
      <w:r>
        <w:rPr>
          <w:rFonts w:hint="eastAsia" w:ascii="宋体" w:hAnsi="宋体" w:cs="Calibri"/>
          <w:b/>
          <w:color w:val="FF0000"/>
          <w:kern w:val="0"/>
          <w:sz w:val="22"/>
        </w:rPr>
        <w:t>。</w:t>
      </w:r>
    </w:p>
    <w:p>
      <w:pPr>
        <w:autoSpaceDE w:val="0"/>
        <w:autoSpaceDN w:val="0"/>
        <w:adjustRightInd w:val="0"/>
        <w:snapToGrid w:val="0"/>
        <w:spacing w:line="360" w:lineRule="auto"/>
        <w:rPr>
          <w:rFonts w:ascii="宋体" w:hAnsi="宋体" w:cs="Calibri"/>
          <w:b/>
          <w:bCs/>
          <w:kern w:val="0"/>
          <w:sz w:val="22"/>
        </w:rPr>
      </w:pPr>
      <w:bookmarkStart w:id="40" w:name="_Toc246392113"/>
      <w:bookmarkStart w:id="41" w:name="_Toc152045593"/>
      <w:bookmarkStart w:id="42" w:name="_Toc152042370"/>
      <w:bookmarkStart w:id="43" w:name="_Toc144974560"/>
      <w:r>
        <w:rPr>
          <w:rFonts w:hint="eastAsia" w:ascii="宋体" w:hAnsi="宋体" w:cs="Calibri"/>
          <w:b/>
          <w:bCs/>
          <w:kern w:val="0"/>
          <w:sz w:val="22"/>
        </w:rPr>
        <w:t>6.4 评标</w:t>
      </w:r>
      <w:bookmarkEnd w:id="40"/>
      <w:bookmarkEnd w:id="41"/>
      <w:bookmarkEnd w:id="42"/>
      <w:bookmarkEnd w:id="43"/>
      <w:r>
        <w:rPr>
          <w:rFonts w:hint="eastAsia" w:ascii="宋体" w:hAnsi="宋体" w:cs="Calibri"/>
          <w:b/>
          <w:bCs/>
          <w:kern w:val="0"/>
          <w:sz w:val="22"/>
        </w:rPr>
        <w:t>程序</w:t>
      </w:r>
    </w:p>
    <w:p>
      <w:pPr>
        <w:autoSpaceDE w:val="0"/>
        <w:autoSpaceDN w:val="0"/>
        <w:adjustRightInd w:val="0"/>
        <w:snapToGrid w:val="0"/>
        <w:spacing w:line="360" w:lineRule="auto"/>
        <w:rPr>
          <w:rFonts w:ascii="宋体" w:hAnsi="宋体" w:cs="Calibri"/>
          <w:b/>
          <w:bCs/>
          <w:kern w:val="0"/>
          <w:sz w:val="22"/>
        </w:rPr>
      </w:pPr>
      <w:r>
        <w:rPr>
          <w:rFonts w:hint="eastAsia" w:ascii="宋体" w:hAnsi="宋体" w:cs="Calibri"/>
          <w:b/>
          <w:bCs/>
          <w:kern w:val="0"/>
          <w:sz w:val="22"/>
        </w:rPr>
        <w:t>6.4.1初步评审</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 xml:space="preserve"> （1）评标委员会依据下表规定的初步评审标准对投标文件进行初步评审，有一项不符合评审标准的，作废标处理。</w:t>
      </w:r>
    </w:p>
    <w:tbl>
      <w:tblPr>
        <w:tblStyle w:val="54"/>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983"/>
        <w:gridCol w:w="2550"/>
        <w:gridCol w:w="5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9" w:type="dxa"/>
            <w:gridSpan w:val="2"/>
            <w:tcBorders>
              <w:top w:val="single" w:color="auto" w:sz="4" w:space="0"/>
              <w:bottom w:val="single" w:color="auto" w:sz="4" w:space="0"/>
              <w:right w:val="single" w:color="auto" w:sz="4" w:space="0"/>
            </w:tcBorders>
            <w:vAlign w:val="center"/>
          </w:tcPr>
          <w:p>
            <w:pPr>
              <w:snapToGrid w:val="0"/>
              <w:jc w:val="center"/>
              <w:rPr>
                <w:rFonts w:ascii="宋体" w:hAnsi="宋体"/>
                <w:b/>
                <w:sz w:val="22"/>
              </w:rPr>
            </w:pPr>
            <w:r>
              <w:rPr>
                <w:rFonts w:hint="eastAsia" w:ascii="宋体" w:hAnsi="宋体"/>
                <w:b/>
                <w:sz w:val="22"/>
              </w:rPr>
              <w:t>序</w:t>
            </w:r>
            <w:r>
              <w:rPr>
                <w:rFonts w:ascii="宋体" w:hAnsi="宋体"/>
                <w:b/>
                <w:sz w:val="22"/>
              </w:rPr>
              <w:t>号</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 w:val="22"/>
              </w:rPr>
            </w:pPr>
            <w:r>
              <w:rPr>
                <w:rFonts w:ascii="宋体" w:hAnsi="宋体"/>
                <w:b/>
                <w:sz w:val="22"/>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 w:val="22"/>
              </w:rPr>
            </w:pPr>
            <w:r>
              <w:rPr>
                <w:rFonts w:ascii="宋体" w:hAnsi="宋体"/>
                <w:b/>
                <w:sz w:val="22"/>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1</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形式评审标准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投标人名称</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ascii="宋体" w:hAnsi="宋体"/>
                <w:sz w:val="22"/>
              </w:rPr>
              <w:t>与营业执照、资质证书</w:t>
            </w:r>
            <w:r>
              <w:rPr>
                <w:rFonts w:hint="eastAsia" w:ascii="宋体" w:hAnsi="宋体"/>
                <w:sz w:val="22"/>
              </w:rPr>
              <w:t>、安全生产许可证</w:t>
            </w:r>
            <w:r>
              <w:rPr>
                <w:rFonts w:ascii="宋体" w:hAnsi="宋体"/>
                <w:sz w:val="22"/>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投标函签字盖章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ascii="宋体" w:hAnsi="宋体"/>
                <w:sz w:val="22"/>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投标文件格式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ascii="宋体" w:hAnsi="宋体"/>
                <w:sz w:val="22"/>
              </w:rPr>
              <w:t>符合</w:t>
            </w:r>
            <w:r>
              <w:rPr>
                <w:rFonts w:hint="eastAsia" w:ascii="宋体" w:hAnsi="宋体"/>
                <w:sz w:val="22"/>
              </w:rPr>
              <w:t>招标文件</w:t>
            </w:r>
            <w:r>
              <w:rPr>
                <w:rFonts w:ascii="宋体" w:hAnsi="宋体"/>
                <w:sz w:val="22"/>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ascii="宋体" w:hAnsi="宋体"/>
                <w:sz w:val="22"/>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2</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资格评审标准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投标人</w:t>
            </w:r>
            <w:r>
              <w:rPr>
                <w:rFonts w:ascii="宋体" w:hAnsi="宋体"/>
                <w:sz w:val="22"/>
              </w:rPr>
              <w:t>资质等级</w:t>
            </w:r>
            <w:r>
              <w:rPr>
                <w:rFonts w:hint="eastAsia" w:ascii="宋体" w:hAnsi="宋体"/>
                <w:sz w:val="22"/>
              </w:rPr>
              <w:t>和业绩要求</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hint="eastAsia" w:ascii="宋体" w:hAnsi="宋体"/>
                <w:sz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single" w:color="auto" w:sz="4" w:space="0"/>
              <w:bottom w:val="single" w:color="auto" w:sz="4" w:space="0"/>
              <w:right w:val="single" w:color="auto" w:sz="4" w:space="0"/>
            </w:tcBorders>
            <w:vAlign w:val="center"/>
          </w:tcPr>
          <w:p>
            <w:pPr>
              <w:snapToGrid w:val="0"/>
              <w:jc w:val="center"/>
              <w:rPr>
                <w:rFonts w:ascii="宋体" w:hAnsi="宋体"/>
                <w:sz w:val="22"/>
              </w:rPr>
            </w:pPr>
          </w:p>
        </w:tc>
        <w:tc>
          <w:tcPr>
            <w:tcW w:w="983" w:type="dxa"/>
            <w:vMerge w:val="continue"/>
            <w:tcBorders>
              <w:top w:val="single" w:color="auto" w:sz="4" w:space="0"/>
              <w:bottom w:val="single" w:color="auto" w:sz="4" w:space="0"/>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tcPr>
          <w:p>
            <w:pPr>
              <w:snapToGrid w:val="0"/>
              <w:jc w:val="center"/>
              <w:rPr>
                <w:rFonts w:ascii="宋体" w:hAnsi="宋体"/>
                <w:sz w:val="22"/>
              </w:rPr>
            </w:pPr>
            <w:r>
              <w:rPr>
                <w:rFonts w:hint="eastAsia" w:ascii="宋体" w:hAnsi="宋体"/>
                <w:sz w:val="22"/>
              </w:rPr>
              <w:t>安全生产许可证及三类人员证书</w:t>
            </w:r>
          </w:p>
        </w:tc>
        <w:tc>
          <w:tcPr>
            <w:tcW w:w="5409" w:type="dxa"/>
            <w:tcBorders>
              <w:top w:val="single" w:color="auto" w:sz="4" w:space="0"/>
              <w:left w:val="single" w:color="auto" w:sz="4" w:space="0"/>
              <w:bottom w:val="single" w:color="auto" w:sz="4" w:space="0"/>
              <w:right w:val="single" w:color="auto" w:sz="4" w:space="0"/>
            </w:tcBorders>
          </w:tcPr>
          <w:p>
            <w:pPr>
              <w:snapToGrid w:val="0"/>
              <w:rPr>
                <w:rFonts w:ascii="宋体" w:hAnsi="宋体"/>
                <w:sz w:val="22"/>
              </w:rPr>
            </w:pPr>
            <w:r>
              <w:rPr>
                <w:rFonts w:hint="eastAsia" w:ascii="宋体" w:hAnsi="宋体"/>
                <w:sz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项目经理</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hint="eastAsia" w:ascii="宋体" w:hAnsi="宋体"/>
                <w:sz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jc w:val="center"/>
              <w:rPr>
                <w:rFonts w:ascii="宋体" w:hAnsi="宋体"/>
                <w:sz w:val="22"/>
              </w:rPr>
            </w:pPr>
            <w:r>
              <w:rPr>
                <w:rFonts w:ascii="宋体" w:hAnsi="宋体"/>
                <w:sz w:val="22"/>
              </w:rPr>
              <w:t>3</w:t>
            </w:r>
          </w:p>
        </w:tc>
        <w:tc>
          <w:tcPr>
            <w:tcW w:w="983" w:type="dxa"/>
            <w:vMerge w:val="restart"/>
            <w:tcBorders>
              <w:top w:val="single" w:color="auto" w:sz="4" w:space="0"/>
              <w:right w:val="single" w:color="auto" w:sz="4" w:space="0"/>
            </w:tcBorders>
            <w:vAlign w:val="center"/>
          </w:tcPr>
          <w:p>
            <w:pPr>
              <w:snapToGrid w:val="0"/>
              <w:jc w:val="center"/>
              <w:rPr>
                <w:rFonts w:ascii="宋体" w:hAnsi="宋体"/>
                <w:sz w:val="22"/>
              </w:rPr>
            </w:pPr>
            <w:r>
              <w:rPr>
                <w:rFonts w:ascii="宋体" w:hAnsi="宋体"/>
                <w:sz w:val="22"/>
              </w:rPr>
              <w:t>响应性评审</w:t>
            </w:r>
          </w:p>
          <w:p>
            <w:pPr>
              <w:snapToGrid w:val="0"/>
              <w:jc w:val="center"/>
              <w:rPr>
                <w:rFonts w:ascii="宋体" w:hAnsi="宋体"/>
                <w:sz w:val="22"/>
              </w:rPr>
            </w:pPr>
            <w:r>
              <w:rPr>
                <w:rFonts w:ascii="宋体" w:hAnsi="宋体"/>
                <w:sz w:val="22"/>
              </w:rPr>
              <w:t>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投标报价</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ascii="宋体" w:hAnsi="宋体"/>
                <w:sz w:val="22"/>
              </w:rPr>
              <w:t>符合第二章</w:t>
            </w:r>
            <w:r>
              <w:rPr>
                <w:rFonts w:hint="eastAsia" w:ascii="宋体" w:hAnsi="宋体"/>
                <w:sz w:val="22"/>
              </w:rPr>
              <w:t>“</w:t>
            </w:r>
            <w:r>
              <w:rPr>
                <w:rFonts w:ascii="宋体" w:hAnsi="宋体" w:cs="Calibri"/>
                <w:kern w:val="0"/>
                <w:sz w:val="22"/>
              </w:rPr>
              <w:t>投标人须知</w:t>
            </w:r>
            <w:r>
              <w:rPr>
                <w:rFonts w:hint="eastAsia" w:ascii="宋体" w:hAnsi="宋体" w:cs="Calibri"/>
                <w:kern w:val="0"/>
                <w:sz w:val="22"/>
              </w:rPr>
              <w:t>及评标办法”</w:t>
            </w:r>
            <w:r>
              <w:rPr>
                <w:rFonts w:ascii="宋体" w:hAnsi="宋体"/>
                <w:sz w:val="22"/>
              </w:rPr>
              <w:t>第</w:t>
            </w:r>
            <w:r>
              <w:rPr>
                <w:rFonts w:hint="eastAsia" w:ascii="宋体" w:hAnsi="宋体"/>
                <w:sz w:val="22"/>
              </w:rPr>
              <w:t>3</w:t>
            </w:r>
            <w:r>
              <w:rPr>
                <w:rFonts w:ascii="宋体" w:hAnsi="宋体"/>
                <w:sz w:val="22"/>
              </w:rPr>
              <w:t>.</w:t>
            </w:r>
            <w:r>
              <w:rPr>
                <w:rFonts w:hint="eastAsia" w:ascii="宋体" w:hAnsi="宋体"/>
                <w:sz w:val="22"/>
              </w:rPr>
              <w:t>3</w:t>
            </w:r>
            <w:r>
              <w:rPr>
                <w:rFonts w:ascii="宋体" w:hAnsi="宋体"/>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single" w:color="auto" w:sz="4" w:space="0"/>
              <w:right w:val="single" w:color="auto" w:sz="4" w:space="0"/>
            </w:tcBorders>
            <w:vAlign w:val="center"/>
          </w:tcPr>
          <w:p>
            <w:pPr>
              <w:snapToGrid w:val="0"/>
              <w:jc w:val="center"/>
              <w:rPr>
                <w:rFonts w:ascii="宋体" w:hAnsi="宋体"/>
                <w:sz w:val="22"/>
              </w:rPr>
            </w:pPr>
          </w:p>
        </w:tc>
        <w:tc>
          <w:tcPr>
            <w:tcW w:w="983" w:type="dxa"/>
            <w:vMerge w:val="continue"/>
            <w:tcBorders>
              <w:top w:val="single" w:color="auto" w:sz="4" w:space="0"/>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投标内容</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ascii="宋体" w:hAnsi="宋体"/>
                <w:sz w:val="22"/>
              </w:rPr>
              <w:t>符合第二章</w:t>
            </w:r>
            <w:r>
              <w:rPr>
                <w:rFonts w:hint="eastAsia" w:ascii="宋体" w:hAnsi="宋体"/>
                <w:sz w:val="22"/>
              </w:rPr>
              <w:t>“</w:t>
            </w:r>
            <w:r>
              <w:rPr>
                <w:rFonts w:ascii="宋体" w:hAnsi="宋体" w:cs="Calibri"/>
                <w:kern w:val="0"/>
                <w:sz w:val="22"/>
              </w:rPr>
              <w:t>投标人须知</w:t>
            </w:r>
            <w:r>
              <w:rPr>
                <w:rFonts w:hint="eastAsia" w:ascii="宋体" w:hAnsi="宋体" w:cs="Calibri"/>
                <w:kern w:val="0"/>
                <w:sz w:val="22"/>
              </w:rPr>
              <w:t>及评标办法”</w:t>
            </w:r>
            <w:r>
              <w:rPr>
                <w:rFonts w:ascii="宋体" w:hAnsi="宋体"/>
                <w:sz w:val="22"/>
              </w:rPr>
              <w:t>第1.</w:t>
            </w:r>
            <w:r>
              <w:rPr>
                <w:rFonts w:hint="eastAsia" w:ascii="宋体" w:hAnsi="宋体"/>
                <w:sz w:val="22"/>
              </w:rPr>
              <w:t>3</w:t>
            </w:r>
            <w:r>
              <w:rPr>
                <w:rFonts w:ascii="宋体" w:hAnsi="宋体"/>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rPr>
            </w:pPr>
          </w:p>
        </w:tc>
        <w:tc>
          <w:tcPr>
            <w:tcW w:w="983" w:type="dxa"/>
            <w:vMerge w:val="continue"/>
            <w:tcBorders>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工期</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ascii="宋体" w:hAnsi="宋体"/>
                <w:sz w:val="22"/>
              </w:rPr>
              <w:t>符合第二章</w:t>
            </w:r>
            <w:r>
              <w:rPr>
                <w:rFonts w:hint="eastAsia" w:ascii="宋体" w:hAnsi="宋体"/>
                <w:sz w:val="22"/>
              </w:rPr>
              <w:t>“</w:t>
            </w:r>
            <w:r>
              <w:rPr>
                <w:rFonts w:ascii="宋体" w:hAnsi="宋体" w:cs="Calibri"/>
                <w:kern w:val="0"/>
                <w:sz w:val="22"/>
              </w:rPr>
              <w:t>投标人须知</w:t>
            </w:r>
            <w:r>
              <w:rPr>
                <w:rFonts w:hint="eastAsia" w:ascii="宋体" w:hAnsi="宋体" w:cs="Calibri"/>
                <w:kern w:val="0"/>
                <w:sz w:val="22"/>
              </w:rPr>
              <w:t>及评标办法”</w:t>
            </w:r>
            <w:r>
              <w:rPr>
                <w:rFonts w:ascii="宋体" w:hAnsi="宋体"/>
                <w:sz w:val="22"/>
              </w:rPr>
              <w:t>第</w:t>
            </w:r>
            <w:r>
              <w:rPr>
                <w:rFonts w:hint="eastAsia" w:ascii="宋体" w:hAnsi="宋体"/>
                <w:sz w:val="22"/>
              </w:rPr>
              <w:t>1.7</w:t>
            </w:r>
            <w:r>
              <w:rPr>
                <w:rFonts w:ascii="宋体" w:hAnsi="宋体"/>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rPr>
            </w:pPr>
          </w:p>
        </w:tc>
        <w:tc>
          <w:tcPr>
            <w:tcW w:w="983" w:type="dxa"/>
            <w:vMerge w:val="continue"/>
            <w:tcBorders>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工程质量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ascii="宋体" w:hAnsi="宋体"/>
                <w:sz w:val="22"/>
              </w:rPr>
              <w:t>符合第二章</w:t>
            </w:r>
            <w:r>
              <w:rPr>
                <w:rFonts w:hint="eastAsia" w:ascii="宋体" w:hAnsi="宋体"/>
                <w:sz w:val="22"/>
              </w:rPr>
              <w:t>“</w:t>
            </w:r>
            <w:r>
              <w:rPr>
                <w:rFonts w:ascii="宋体" w:hAnsi="宋体" w:cs="Calibri"/>
                <w:kern w:val="0"/>
                <w:sz w:val="22"/>
              </w:rPr>
              <w:t>投标人须知</w:t>
            </w:r>
            <w:r>
              <w:rPr>
                <w:rFonts w:hint="eastAsia" w:ascii="宋体" w:hAnsi="宋体" w:cs="Calibri"/>
                <w:kern w:val="0"/>
                <w:sz w:val="22"/>
              </w:rPr>
              <w:t>及评标办法”</w:t>
            </w:r>
            <w:r>
              <w:rPr>
                <w:rFonts w:ascii="宋体" w:hAnsi="宋体"/>
                <w:sz w:val="22"/>
              </w:rPr>
              <w:t>第</w:t>
            </w:r>
            <w:r>
              <w:rPr>
                <w:rFonts w:hint="eastAsia" w:ascii="宋体" w:hAnsi="宋体"/>
                <w:sz w:val="22"/>
              </w:rPr>
              <w:t>1.8</w:t>
            </w:r>
            <w:r>
              <w:rPr>
                <w:rFonts w:ascii="宋体" w:hAnsi="宋体"/>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rPr>
            </w:pPr>
          </w:p>
        </w:tc>
        <w:tc>
          <w:tcPr>
            <w:tcW w:w="983" w:type="dxa"/>
            <w:vMerge w:val="continue"/>
            <w:tcBorders>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权利义务</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ascii="宋体" w:hAnsi="宋体"/>
                <w:sz w:val="22"/>
              </w:rPr>
              <w:t>符合第</w:t>
            </w:r>
            <w:r>
              <w:rPr>
                <w:rFonts w:hint="eastAsia" w:ascii="宋体" w:hAnsi="宋体"/>
                <w:sz w:val="22"/>
              </w:rPr>
              <w:t>三</w:t>
            </w:r>
            <w:r>
              <w:rPr>
                <w:rFonts w:ascii="宋体" w:hAnsi="宋体"/>
                <w:sz w:val="22"/>
              </w:rPr>
              <w:t>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rPr>
            </w:pPr>
          </w:p>
        </w:tc>
        <w:tc>
          <w:tcPr>
            <w:tcW w:w="983" w:type="dxa"/>
            <w:vMerge w:val="continue"/>
            <w:tcBorders>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已标价工程量清单</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ascii="宋体" w:hAnsi="宋体"/>
                <w:sz w:val="22"/>
              </w:rPr>
              <w:t>符合第二章</w:t>
            </w:r>
            <w:r>
              <w:rPr>
                <w:rFonts w:hint="eastAsia" w:ascii="宋体" w:hAnsi="宋体"/>
                <w:sz w:val="22"/>
              </w:rPr>
              <w:t>“</w:t>
            </w:r>
            <w:r>
              <w:rPr>
                <w:rFonts w:ascii="宋体" w:hAnsi="宋体" w:cs="Calibri"/>
                <w:kern w:val="0"/>
                <w:sz w:val="22"/>
              </w:rPr>
              <w:t>投标人须知</w:t>
            </w:r>
            <w:r>
              <w:rPr>
                <w:rFonts w:hint="eastAsia" w:ascii="宋体" w:hAnsi="宋体" w:cs="Calibri"/>
                <w:kern w:val="0"/>
                <w:sz w:val="22"/>
              </w:rPr>
              <w:t>及评标办法”</w:t>
            </w:r>
            <w:r>
              <w:rPr>
                <w:rFonts w:ascii="宋体" w:hAnsi="宋体"/>
                <w:sz w:val="22"/>
              </w:rPr>
              <w:t>第</w:t>
            </w:r>
            <w:r>
              <w:rPr>
                <w:rFonts w:hint="eastAsia" w:ascii="宋体" w:hAnsi="宋体"/>
                <w:sz w:val="22"/>
              </w:rPr>
              <w:t>3.3</w:t>
            </w:r>
            <w:r>
              <w:rPr>
                <w:rFonts w:ascii="宋体" w:hAnsi="宋体"/>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tcBorders>
              <w:right w:val="single" w:color="auto" w:sz="4" w:space="0"/>
            </w:tcBorders>
            <w:vAlign w:val="center"/>
          </w:tcPr>
          <w:p>
            <w:pPr>
              <w:snapToGrid w:val="0"/>
              <w:jc w:val="center"/>
              <w:rPr>
                <w:rFonts w:ascii="宋体" w:hAnsi="宋体"/>
                <w:sz w:val="22"/>
              </w:rPr>
            </w:pPr>
          </w:p>
        </w:tc>
        <w:tc>
          <w:tcPr>
            <w:tcW w:w="983" w:type="dxa"/>
            <w:tcBorders>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ind w:firstLine="330" w:firstLineChars="150"/>
              <w:rPr>
                <w:rFonts w:ascii="宋体" w:hAnsi="宋体"/>
                <w:sz w:val="22"/>
              </w:rPr>
            </w:pPr>
            <w:r>
              <w:rPr>
                <w:rFonts w:ascii="宋体" w:hAnsi="宋体"/>
                <w:sz w:val="22"/>
              </w:rPr>
              <w:t>技术标准和要求</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宋体" w:hAnsi="宋体"/>
                <w:b/>
                <w:sz w:val="22"/>
              </w:rPr>
            </w:pPr>
            <w:r>
              <w:rPr>
                <w:rFonts w:ascii="宋体" w:hAnsi="宋体"/>
                <w:color w:val="FF0000"/>
                <w:sz w:val="22"/>
              </w:rPr>
              <w:t xml:space="preserve"> </w:t>
            </w:r>
            <w:r>
              <w:rPr>
                <w:rFonts w:ascii="宋体" w:hAnsi="宋体"/>
                <w:b/>
                <w:sz w:val="22"/>
              </w:rPr>
              <w:t>“</w:t>
            </w:r>
            <w:r>
              <w:rPr>
                <w:rFonts w:hint="eastAsia" w:ascii="宋体" w:hAnsi="宋体"/>
                <w:b/>
                <w:sz w:val="22"/>
              </w:rPr>
              <w:t>技术规格书</w:t>
            </w:r>
            <w:r>
              <w:rPr>
                <w:rFonts w:ascii="宋体" w:hAnsi="宋体"/>
                <w:b/>
                <w:sz w:val="22"/>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ind w:firstLine="120"/>
              <w:rPr>
                <w:rFonts w:ascii="宋体" w:hAnsi="宋体"/>
                <w:sz w:val="22"/>
              </w:rPr>
            </w:pPr>
            <w:r>
              <w:rPr>
                <w:rFonts w:ascii="宋体" w:hAnsi="宋体"/>
                <w:sz w:val="22"/>
              </w:rPr>
              <w:t>.4</w:t>
            </w:r>
          </w:p>
        </w:tc>
        <w:tc>
          <w:tcPr>
            <w:tcW w:w="983" w:type="dxa"/>
            <w:vMerge w:val="restart"/>
            <w:tcBorders>
              <w:top w:val="single" w:color="auto" w:sz="4" w:space="0"/>
              <w:right w:val="single" w:color="auto" w:sz="4" w:space="0"/>
            </w:tcBorders>
            <w:vAlign w:val="center"/>
          </w:tcPr>
          <w:p>
            <w:pPr>
              <w:snapToGrid w:val="0"/>
              <w:jc w:val="center"/>
              <w:rPr>
                <w:rFonts w:ascii="宋体" w:hAnsi="宋体"/>
                <w:sz w:val="22"/>
              </w:rPr>
            </w:pPr>
            <w:r>
              <w:rPr>
                <w:rFonts w:ascii="宋体" w:hAnsi="宋体"/>
                <w:sz w:val="22"/>
              </w:rPr>
              <w:t>施工组织设计评审标准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质量管理体系与措施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hint="eastAsia" w:ascii="宋体" w:hAnsi="宋体"/>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rPr>
            </w:pPr>
          </w:p>
        </w:tc>
        <w:tc>
          <w:tcPr>
            <w:tcW w:w="983" w:type="dxa"/>
            <w:vMerge w:val="continue"/>
            <w:tcBorders>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安全管理体系与措施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hint="eastAsia" w:ascii="宋体" w:hAnsi="宋体"/>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rPr>
            </w:pPr>
          </w:p>
        </w:tc>
        <w:tc>
          <w:tcPr>
            <w:tcW w:w="983" w:type="dxa"/>
            <w:vMerge w:val="continue"/>
            <w:tcBorders>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环境保护管理体系与措施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hint="eastAsia" w:ascii="宋体" w:hAnsi="宋体"/>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rPr>
            </w:pPr>
          </w:p>
        </w:tc>
        <w:tc>
          <w:tcPr>
            <w:tcW w:w="983" w:type="dxa"/>
            <w:vMerge w:val="continue"/>
            <w:tcBorders>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jc w:val="center"/>
              <w:rPr>
                <w:rFonts w:ascii="宋体" w:hAnsi="宋体"/>
                <w:sz w:val="22"/>
              </w:rPr>
            </w:pPr>
            <w:r>
              <w:rPr>
                <w:rFonts w:ascii="宋体" w:hAnsi="宋体"/>
                <w:sz w:val="22"/>
              </w:rPr>
              <w:t>工程进度计划与措施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hint="eastAsia" w:ascii="宋体" w:hAnsi="宋体"/>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rPr>
            </w:pPr>
          </w:p>
        </w:tc>
        <w:tc>
          <w:tcPr>
            <w:tcW w:w="983" w:type="dxa"/>
            <w:vMerge w:val="continue"/>
            <w:tcBorders>
              <w:right w:val="single" w:color="auto" w:sz="4" w:space="0"/>
            </w:tcBorders>
            <w:vAlign w:val="center"/>
          </w:tcPr>
          <w:p>
            <w:pPr>
              <w:snapToGrid w:val="0"/>
              <w:jc w:val="center"/>
              <w:rPr>
                <w:rFonts w:ascii="宋体" w:hAnsi="宋体"/>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资源配备计划</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hint="eastAsia" w:ascii="宋体" w:hAnsi="宋体"/>
                <w:sz w:val="22"/>
              </w:rPr>
              <w:t>符合本工程要求</w:t>
            </w:r>
          </w:p>
        </w:tc>
      </w:tr>
    </w:tbl>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（2）投标人有以下情形之一的，其投标作废标处理：</w:t>
      </w:r>
    </w:p>
    <w:p>
      <w:pPr>
        <w:adjustRightInd w:val="0"/>
        <w:snapToGrid w:val="0"/>
        <w:spacing w:line="360" w:lineRule="auto"/>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.串通投标或弄虚作假或有其他违法行为的；</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b.不按评标委员会要求澄清、说明或补正的；</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c.投标人价格畸低且无法说明合理理由的。</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（3）投标报价有算术错误的，评标委员会按以下原则对投标报价进行修正，修正的价格经投标人书面确认后具有约束力。投标人不接受修正价格的，其投标作废标处理。</w:t>
      </w:r>
    </w:p>
    <w:p>
      <w:pPr>
        <w:adjustRightInd w:val="0"/>
        <w:snapToGrid w:val="0"/>
        <w:spacing w:line="360" w:lineRule="auto"/>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.投标文件中的大写金额与小写金额不一致的，以大写金额为准；</w:t>
      </w:r>
    </w:p>
    <w:p>
      <w:pPr>
        <w:adjustRightInd w:val="0"/>
        <w:snapToGrid w:val="0"/>
        <w:spacing w:line="360" w:lineRule="auto"/>
        <w:ind w:firstLine="440"/>
        <w:rPr>
          <w:rFonts w:ascii="宋体" w:hAnsi="宋体" w:cs="Calibri"/>
          <w:kern w:val="0"/>
          <w:sz w:val="22"/>
        </w:rPr>
      </w:pPr>
      <w:r>
        <w:rPr>
          <w:rFonts w:ascii="宋体" w:hAnsi="宋体" w:cs="Calibri"/>
          <w:kern w:val="0"/>
          <w:sz w:val="22"/>
        </w:rPr>
        <w:t>b</w:t>
      </w:r>
      <w:r>
        <w:rPr>
          <w:rFonts w:hint="eastAsia" w:ascii="宋体" w:hAnsi="宋体" w:cs="Calibri"/>
          <w:kern w:val="0"/>
          <w:sz w:val="22"/>
        </w:rPr>
        <w:t>.总价金额与依据单价计算出的结果不一致的，以单价金额为准修正总价，单价金额小数点有明显错误的除外。</w:t>
      </w:r>
    </w:p>
    <w:p>
      <w:pPr>
        <w:autoSpaceDE w:val="0"/>
        <w:autoSpaceDN w:val="0"/>
        <w:adjustRightInd w:val="0"/>
        <w:snapToGrid w:val="0"/>
        <w:spacing w:line="360" w:lineRule="auto"/>
        <w:rPr>
          <w:rFonts w:ascii="宋体" w:hAnsi="宋体" w:cs="Calibri"/>
          <w:b/>
          <w:bCs/>
          <w:kern w:val="0"/>
          <w:sz w:val="22"/>
        </w:rPr>
      </w:pPr>
      <w:r>
        <w:rPr>
          <w:rFonts w:hint="eastAsia" w:ascii="宋体" w:hAnsi="宋体" w:cs="Calibri"/>
          <w:b/>
          <w:bCs/>
          <w:kern w:val="0"/>
          <w:sz w:val="22"/>
        </w:rPr>
        <w:t>6.4.2 详细评审</w:t>
      </w:r>
    </w:p>
    <w:p>
      <w:pPr>
        <w:rPr>
          <w:rFonts w:ascii="宋体" w:hAnsi="宋体" w:cs="Calibri"/>
          <w:kern w:val="0"/>
          <w:sz w:val="22"/>
        </w:rPr>
      </w:pPr>
      <w:r>
        <w:rPr>
          <w:rFonts w:hint="eastAsia" w:ascii="宋体" w:hAnsi="宋体" w:cs="Calibri"/>
          <w:kern w:val="0"/>
          <w:sz w:val="22"/>
        </w:rPr>
        <w:t>1、商务报价分   30-</w:t>
      </w:r>
      <w:r>
        <w:rPr>
          <w:rFonts w:ascii="宋体" w:hAnsi="宋体" w:cs="Calibri"/>
          <w:kern w:val="0"/>
          <w:sz w:val="22"/>
        </w:rPr>
        <w:t>70</w:t>
      </w:r>
      <w:r>
        <w:rPr>
          <w:rFonts w:hint="eastAsia" w:ascii="宋体" w:hAnsi="宋体" w:cs="Calibri"/>
          <w:kern w:val="0"/>
          <w:sz w:val="22"/>
        </w:rPr>
        <w:t>分</w:t>
      </w:r>
    </w:p>
    <w:p>
      <w:pPr>
        <w:rPr>
          <w:rFonts w:ascii="宋体" w:hAnsi="宋体" w:cs="Calibri"/>
          <w:b/>
          <w:kern w:val="0"/>
          <w:sz w:val="22"/>
        </w:rPr>
      </w:pPr>
      <w:r>
        <w:rPr>
          <w:rFonts w:hint="eastAsia" w:ascii="宋体" w:hAnsi="宋体" w:cs="Calibri"/>
          <w:kern w:val="0"/>
          <w:sz w:val="22"/>
        </w:rPr>
        <w:t>报价评分应在投标报价响应招标文件要求的基础上，评标基准价的计算方式为：</w:t>
      </w:r>
      <w:r>
        <w:rPr>
          <w:rFonts w:hint="eastAsia" w:ascii="宋体" w:hAnsi="宋体" w:cs="Calibri"/>
          <w:b/>
          <w:kern w:val="0"/>
          <w:sz w:val="22"/>
        </w:rPr>
        <w:t>所有有效投标报价的算数平均值与次低价的算数平均值作为评标基准价。</w:t>
      </w:r>
    </w:p>
    <w:p>
      <w:pPr>
        <w:rPr>
          <w:rFonts w:ascii="宋体" w:hAnsi="宋体" w:cs="Calibri"/>
          <w:kern w:val="0"/>
          <w:sz w:val="22"/>
        </w:rPr>
      </w:pPr>
      <w:r>
        <w:rPr>
          <w:rFonts w:hint="eastAsia" w:ascii="宋体" w:hAnsi="宋体" w:cs="Calibri"/>
          <w:kern w:val="0"/>
          <w:sz w:val="22"/>
        </w:rPr>
        <w:t>商务标评分细则</w:t>
      </w:r>
    </w:p>
    <w:tbl>
      <w:tblPr>
        <w:tblStyle w:val="5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rPr>
                <w:rFonts w:ascii="宋体" w:hAnsi="宋体" w:cs="Calibri"/>
                <w:kern w:val="0"/>
                <w:sz w:val="22"/>
              </w:rPr>
            </w:pPr>
            <w:r>
              <w:rPr>
                <w:rFonts w:hint="eastAsia" w:ascii="宋体" w:hAnsi="宋体" w:cs="Calibri"/>
                <w:kern w:val="0"/>
                <w:sz w:val="22"/>
              </w:rPr>
              <w:t>评分因素</w:t>
            </w:r>
          </w:p>
          <w:p>
            <w:pPr>
              <w:rPr>
                <w:rFonts w:ascii="宋体" w:hAnsi="宋体" w:cs="Calibri"/>
                <w:kern w:val="0"/>
                <w:sz w:val="22"/>
              </w:rPr>
            </w:pPr>
            <w:r>
              <w:rPr>
                <w:rFonts w:hint="eastAsia" w:ascii="宋体" w:hAnsi="宋体" w:cs="Calibri"/>
                <w:kern w:val="0"/>
                <w:sz w:val="22"/>
              </w:rPr>
              <w:t>及分值权重</w:t>
            </w:r>
          </w:p>
        </w:tc>
        <w:tc>
          <w:tcPr>
            <w:tcW w:w="1701" w:type="dxa"/>
            <w:vAlign w:val="center"/>
          </w:tcPr>
          <w:p>
            <w:pPr>
              <w:rPr>
                <w:rFonts w:ascii="宋体" w:hAnsi="宋体" w:cs="Calibri"/>
                <w:kern w:val="0"/>
                <w:sz w:val="22"/>
              </w:rPr>
            </w:pPr>
            <w:r>
              <w:rPr>
                <w:rFonts w:hint="eastAsia" w:ascii="宋体" w:hAnsi="宋体" w:cs="Calibri"/>
                <w:kern w:val="0"/>
                <w:sz w:val="22"/>
              </w:rPr>
              <w:t>评审因素子项</w:t>
            </w:r>
          </w:p>
        </w:tc>
        <w:tc>
          <w:tcPr>
            <w:tcW w:w="5132" w:type="dxa"/>
            <w:vAlign w:val="center"/>
          </w:tcPr>
          <w:p>
            <w:pPr>
              <w:rPr>
                <w:rFonts w:ascii="宋体" w:hAnsi="宋体" w:cs="Calibri"/>
                <w:kern w:val="0"/>
                <w:sz w:val="22"/>
              </w:rPr>
            </w:pPr>
            <w:r>
              <w:rPr>
                <w:rFonts w:hint="eastAsia" w:ascii="宋体" w:hAnsi="宋体" w:cs="Calibri"/>
                <w:kern w:val="0"/>
                <w:sz w:val="22"/>
              </w:rPr>
              <w:t>评分标准</w:t>
            </w:r>
          </w:p>
        </w:tc>
        <w:tc>
          <w:tcPr>
            <w:tcW w:w="1276" w:type="dxa"/>
            <w:vAlign w:val="center"/>
          </w:tcPr>
          <w:p>
            <w:pPr>
              <w:rPr>
                <w:rFonts w:ascii="宋体" w:hAnsi="宋体" w:cs="Calibri"/>
                <w:kern w:val="0"/>
                <w:sz w:val="22"/>
              </w:rPr>
            </w:pPr>
            <w:r>
              <w:rPr>
                <w:rFonts w:hint="eastAsia" w:ascii="宋体" w:hAnsi="宋体" w:cs="Calibri"/>
                <w:kern w:val="0"/>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rPr>
                <w:rFonts w:ascii="宋体" w:hAnsi="宋体" w:cs="Calibri"/>
                <w:kern w:val="0"/>
                <w:sz w:val="22"/>
              </w:rPr>
            </w:pPr>
            <w:r>
              <w:rPr>
                <w:rFonts w:hint="eastAsia" w:ascii="宋体" w:hAnsi="宋体" w:cs="Calibri"/>
                <w:kern w:val="0"/>
                <w:sz w:val="22"/>
              </w:rPr>
              <w:t>商务评分</w:t>
            </w:r>
          </w:p>
          <w:p>
            <w:pPr>
              <w:rPr>
                <w:rFonts w:ascii="宋体" w:hAnsi="宋体" w:cs="Calibri"/>
                <w:kern w:val="0"/>
                <w:sz w:val="22"/>
              </w:rPr>
            </w:pPr>
            <w:r>
              <w:rPr>
                <w:rFonts w:hint="eastAsia" w:ascii="宋体" w:hAnsi="宋体" w:cs="Calibri"/>
                <w:kern w:val="0"/>
                <w:sz w:val="22"/>
              </w:rPr>
              <w:t>（满分</w:t>
            </w:r>
            <w:r>
              <w:rPr>
                <w:rFonts w:ascii="宋体" w:hAnsi="宋体" w:cs="Calibri"/>
                <w:kern w:val="0"/>
                <w:sz w:val="22"/>
              </w:rPr>
              <w:t>70</w:t>
            </w:r>
            <w:r>
              <w:rPr>
                <w:rFonts w:hint="eastAsia" w:ascii="宋体" w:hAnsi="宋体" w:cs="Calibri"/>
                <w:kern w:val="0"/>
                <w:sz w:val="22"/>
              </w:rPr>
              <w:t>分）</w:t>
            </w:r>
          </w:p>
        </w:tc>
        <w:tc>
          <w:tcPr>
            <w:tcW w:w="1701" w:type="dxa"/>
            <w:vAlign w:val="center"/>
          </w:tcPr>
          <w:p>
            <w:pPr>
              <w:rPr>
                <w:rFonts w:ascii="宋体" w:hAnsi="宋体" w:cs="Calibri"/>
                <w:kern w:val="0"/>
                <w:sz w:val="22"/>
              </w:rPr>
            </w:pPr>
            <w:r>
              <w:rPr>
                <w:rFonts w:hint="eastAsia" w:ascii="宋体" w:hAnsi="宋体" w:cs="Calibri"/>
                <w:kern w:val="0"/>
                <w:sz w:val="22"/>
              </w:rPr>
              <w:t>投标报价</w:t>
            </w:r>
          </w:p>
          <w:p>
            <w:pPr>
              <w:rPr>
                <w:rFonts w:ascii="宋体" w:hAnsi="宋体" w:cs="Calibri"/>
                <w:kern w:val="0"/>
                <w:sz w:val="22"/>
              </w:rPr>
            </w:pPr>
            <w:r>
              <w:rPr>
                <w:rFonts w:hint="eastAsia" w:ascii="宋体" w:hAnsi="宋体" w:cs="Calibri"/>
                <w:kern w:val="0"/>
                <w:sz w:val="22"/>
              </w:rPr>
              <w:t>（</w:t>
            </w:r>
            <w:r>
              <w:rPr>
                <w:rFonts w:ascii="宋体" w:hAnsi="宋体" w:cs="Calibri"/>
                <w:kern w:val="0"/>
                <w:sz w:val="22"/>
              </w:rPr>
              <w:t>70</w:t>
            </w:r>
            <w:r>
              <w:rPr>
                <w:rFonts w:hint="eastAsia" w:ascii="宋体" w:hAnsi="宋体" w:cs="Calibri"/>
                <w:kern w:val="0"/>
                <w:sz w:val="22"/>
              </w:rPr>
              <w:t>分）</w:t>
            </w:r>
          </w:p>
        </w:tc>
        <w:tc>
          <w:tcPr>
            <w:tcW w:w="5132" w:type="dxa"/>
            <w:vAlign w:val="center"/>
          </w:tcPr>
          <w:p>
            <w:pPr>
              <w:rPr>
                <w:rFonts w:ascii="宋体" w:hAnsi="宋体" w:cs="Calibri"/>
                <w:kern w:val="0"/>
                <w:sz w:val="22"/>
              </w:rPr>
            </w:pPr>
            <w:r>
              <w:rPr>
                <w:rFonts w:hint="eastAsia" w:ascii="宋体" w:hAnsi="宋体" w:cs="Calibri"/>
                <w:kern w:val="0"/>
                <w:sz w:val="22"/>
              </w:rPr>
              <w:t>与基准价相等的为满分</w:t>
            </w:r>
            <w:r>
              <w:rPr>
                <w:rFonts w:ascii="宋体" w:hAnsi="宋体" w:cs="Calibri"/>
                <w:kern w:val="0"/>
                <w:sz w:val="22"/>
              </w:rPr>
              <w:t>70</w:t>
            </w:r>
            <w:r>
              <w:rPr>
                <w:rFonts w:hint="eastAsia" w:ascii="宋体" w:hAnsi="宋体" w:cs="Calibri"/>
                <w:kern w:val="0"/>
                <w:sz w:val="22"/>
              </w:rPr>
              <w:t>分。</w:t>
            </w:r>
          </w:p>
          <w:p>
            <w:pPr>
              <w:rPr>
                <w:rFonts w:ascii="宋体" w:hAnsi="宋体" w:cs="Calibri"/>
                <w:kern w:val="0"/>
                <w:sz w:val="22"/>
              </w:rPr>
            </w:pPr>
            <w:r>
              <w:rPr>
                <w:rFonts w:hint="eastAsia" w:ascii="宋体" w:hAnsi="宋体" w:cs="Calibri"/>
                <w:kern w:val="0"/>
                <w:sz w:val="22"/>
              </w:rPr>
              <w:t>投标总价每高于基准价</w:t>
            </w:r>
            <w:r>
              <w:rPr>
                <w:rFonts w:ascii="宋体" w:hAnsi="宋体" w:cs="Calibri"/>
                <w:kern w:val="0"/>
                <w:sz w:val="22"/>
              </w:rPr>
              <w:t>1%,</w:t>
            </w:r>
            <w:r>
              <w:rPr>
                <w:rFonts w:hint="eastAsia" w:ascii="宋体" w:hAnsi="宋体" w:cs="Calibri"/>
                <w:kern w:val="0"/>
                <w:sz w:val="22"/>
              </w:rPr>
              <w:t>扣1分；</w:t>
            </w:r>
          </w:p>
          <w:p>
            <w:pPr>
              <w:rPr>
                <w:rFonts w:ascii="宋体" w:hAnsi="宋体" w:cs="Calibri"/>
                <w:kern w:val="0"/>
                <w:sz w:val="22"/>
              </w:rPr>
            </w:pPr>
            <w:r>
              <w:rPr>
                <w:rFonts w:hint="eastAsia" w:ascii="宋体" w:hAnsi="宋体" w:cs="Calibri"/>
                <w:kern w:val="0"/>
                <w:sz w:val="22"/>
              </w:rPr>
              <w:t>投标总价每低于基准价1%，扣0.5分。</w:t>
            </w:r>
          </w:p>
          <w:p>
            <w:pPr>
              <w:rPr>
                <w:rFonts w:ascii="宋体" w:hAnsi="宋体" w:cs="Calibri"/>
                <w:kern w:val="0"/>
                <w:sz w:val="22"/>
              </w:rPr>
            </w:pPr>
            <w:r>
              <w:rPr>
                <w:rFonts w:hint="eastAsia" w:ascii="宋体" w:hAnsi="宋体" w:cs="Calibri"/>
                <w:kern w:val="0"/>
                <w:sz w:val="22"/>
              </w:rPr>
              <w:t>投标报价分扣分至30分止。</w:t>
            </w:r>
          </w:p>
        </w:tc>
        <w:tc>
          <w:tcPr>
            <w:tcW w:w="1276" w:type="dxa"/>
            <w:vAlign w:val="center"/>
          </w:tcPr>
          <w:p>
            <w:pPr>
              <w:rPr>
                <w:rFonts w:ascii="宋体" w:hAnsi="宋体" w:cs="Calibri"/>
                <w:kern w:val="0"/>
                <w:sz w:val="22"/>
              </w:rPr>
            </w:pPr>
            <w:r>
              <w:rPr>
                <w:rFonts w:hint="eastAsia" w:ascii="宋体" w:hAnsi="宋体" w:cs="Calibri"/>
                <w:kern w:val="0"/>
                <w:sz w:val="22"/>
              </w:rPr>
              <w:t>30-</w:t>
            </w:r>
            <w:r>
              <w:rPr>
                <w:rFonts w:ascii="宋体" w:hAnsi="宋体" w:cs="Calibri"/>
                <w:kern w:val="0"/>
                <w:sz w:val="22"/>
              </w:rPr>
              <w:t>70</w:t>
            </w:r>
            <w:r>
              <w:rPr>
                <w:rFonts w:hint="eastAsia" w:ascii="宋体" w:hAnsi="宋体" w:cs="Calibri"/>
                <w:kern w:val="0"/>
                <w:sz w:val="22"/>
              </w:rPr>
              <w:t>分</w:t>
            </w:r>
          </w:p>
        </w:tc>
      </w:tr>
    </w:tbl>
    <w:p>
      <w:pPr>
        <w:rPr>
          <w:rFonts w:ascii="宋体" w:hAnsi="宋体" w:cs="Calibri"/>
          <w:kern w:val="0"/>
          <w:sz w:val="22"/>
        </w:rPr>
      </w:pPr>
      <w:r>
        <w:rPr>
          <w:rFonts w:hint="eastAsia" w:ascii="宋体" w:hAnsi="宋体" w:cs="Calibri"/>
          <w:kern w:val="0"/>
          <w:sz w:val="22"/>
        </w:rPr>
        <w:t>此项由评标委员会集体核实后统一打分。</w:t>
      </w:r>
    </w:p>
    <w:p>
      <w:pPr>
        <w:rPr>
          <w:rFonts w:ascii="宋体" w:hAnsi="宋体" w:cs="Calibri"/>
          <w:kern w:val="0"/>
          <w:sz w:val="22"/>
        </w:rPr>
      </w:pPr>
      <w:r>
        <w:rPr>
          <w:rFonts w:hint="eastAsia" w:ascii="宋体" w:hAnsi="宋体" w:cs="Calibri"/>
          <w:kern w:val="0"/>
          <w:sz w:val="22"/>
        </w:rPr>
        <w:t>2、资信及技术评分   0-</w:t>
      </w:r>
      <w:r>
        <w:rPr>
          <w:rFonts w:ascii="宋体" w:hAnsi="宋体" w:cs="Calibri"/>
          <w:kern w:val="0"/>
          <w:sz w:val="22"/>
        </w:rPr>
        <w:t>30</w:t>
      </w:r>
      <w:r>
        <w:rPr>
          <w:rFonts w:hint="eastAsia" w:ascii="宋体" w:hAnsi="宋体" w:cs="Calibri"/>
          <w:kern w:val="0"/>
          <w:sz w:val="22"/>
        </w:rPr>
        <w:t>分</w:t>
      </w:r>
    </w:p>
    <w:p>
      <w:pPr>
        <w:rPr>
          <w:rFonts w:ascii="宋体" w:hAnsi="宋体" w:cs="Calibri"/>
          <w:kern w:val="0"/>
          <w:sz w:val="22"/>
        </w:rPr>
      </w:pPr>
      <w:r>
        <w:rPr>
          <w:rFonts w:hint="eastAsia" w:ascii="宋体" w:hAnsi="宋体" w:cs="Calibri"/>
          <w:kern w:val="0"/>
          <w:sz w:val="22"/>
        </w:rPr>
        <w:t>该评分分值由评标委员会成员独立打分（具体分值设定详见下表），小数点后保留</w:t>
      </w:r>
      <w:r>
        <w:rPr>
          <w:rFonts w:ascii="宋体" w:hAnsi="宋体" w:cs="Calibri"/>
          <w:kern w:val="0"/>
          <w:sz w:val="22"/>
        </w:rPr>
        <w:t>1</w:t>
      </w:r>
      <w:r>
        <w:rPr>
          <w:rFonts w:hint="eastAsia" w:ascii="宋体" w:hAnsi="宋体" w:cs="Calibri"/>
          <w:kern w:val="0"/>
          <w:sz w:val="22"/>
        </w:rPr>
        <w:t>位小数。每个投标人的最终资信及技术得分为评标委员会打分的算术平均值（小数点后保留</w:t>
      </w:r>
      <w:r>
        <w:rPr>
          <w:rFonts w:ascii="宋体" w:hAnsi="宋体" w:cs="Calibri"/>
          <w:kern w:val="0"/>
          <w:sz w:val="22"/>
        </w:rPr>
        <w:t>2</w:t>
      </w:r>
      <w:r>
        <w:rPr>
          <w:rFonts w:hint="eastAsia" w:ascii="宋体" w:hAnsi="宋体" w:cs="Calibri"/>
          <w:kern w:val="0"/>
          <w:sz w:val="22"/>
        </w:rPr>
        <w:t>位，第三位四舍五入）。</w:t>
      </w:r>
    </w:p>
    <w:p>
      <w:pPr>
        <w:rPr>
          <w:rFonts w:ascii="宋体" w:hAnsi="宋体" w:cs="Calibri"/>
          <w:kern w:val="0"/>
          <w:sz w:val="22"/>
        </w:rPr>
      </w:pPr>
      <w:r>
        <w:rPr>
          <w:rFonts w:hint="eastAsia" w:ascii="宋体" w:hAnsi="宋体" w:cs="Calibri"/>
          <w:kern w:val="0"/>
          <w:sz w:val="22"/>
        </w:rPr>
        <w:t>资信及技术评分分值设定标准</w:t>
      </w:r>
    </w:p>
    <w:tbl>
      <w:tblPr>
        <w:tblStyle w:val="54"/>
        <w:tblW w:w="987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37"/>
        <w:gridCol w:w="505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606"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kern w:val="0"/>
                <w:sz w:val="22"/>
              </w:rPr>
            </w:pPr>
            <w:r>
              <w:rPr>
                <w:rFonts w:hint="eastAsia" w:ascii="宋体" w:hAnsi="宋体" w:cs="Calibri"/>
                <w:kern w:val="0"/>
                <w:sz w:val="22"/>
              </w:rPr>
              <w:t>评分因素</w:t>
            </w:r>
          </w:p>
          <w:p>
            <w:pPr>
              <w:rPr>
                <w:rFonts w:ascii="宋体" w:hAnsi="宋体" w:cs="Calibri"/>
                <w:kern w:val="0"/>
                <w:sz w:val="22"/>
              </w:rPr>
            </w:pPr>
            <w:r>
              <w:rPr>
                <w:rFonts w:hint="eastAsia" w:ascii="宋体" w:hAnsi="宋体" w:cs="Calibri"/>
                <w:kern w:val="0"/>
                <w:sz w:val="22"/>
              </w:rPr>
              <w:t>及分值权重</w:t>
            </w:r>
          </w:p>
        </w:tc>
        <w:tc>
          <w:tcPr>
            <w:tcW w:w="1937"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kern w:val="0"/>
                <w:sz w:val="22"/>
              </w:rPr>
            </w:pPr>
            <w:r>
              <w:rPr>
                <w:rFonts w:hint="eastAsia" w:ascii="宋体" w:hAnsi="宋体" w:cs="Calibri"/>
                <w:kern w:val="0"/>
                <w:sz w:val="22"/>
              </w:rPr>
              <w:t>评审因素子项</w:t>
            </w:r>
          </w:p>
        </w:tc>
        <w:tc>
          <w:tcPr>
            <w:tcW w:w="5057"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kern w:val="0"/>
                <w:sz w:val="22"/>
              </w:rPr>
            </w:pPr>
            <w:r>
              <w:rPr>
                <w:rFonts w:hint="eastAsia" w:ascii="宋体" w:hAnsi="宋体" w:cs="Calibri"/>
                <w:kern w:val="0"/>
                <w:sz w:val="22"/>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kern w:val="0"/>
                <w:sz w:val="22"/>
              </w:rPr>
            </w:pPr>
            <w:r>
              <w:rPr>
                <w:rFonts w:hint="eastAsia" w:ascii="宋体" w:hAnsi="宋体" w:cs="Calibri"/>
                <w:kern w:val="0"/>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606" w:type="dxa"/>
            <w:vMerge w:val="restart"/>
            <w:vAlign w:val="center"/>
          </w:tcPr>
          <w:p>
            <w:pPr>
              <w:rPr>
                <w:rFonts w:ascii="宋体" w:hAnsi="宋体" w:cs="Calibri"/>
                <w:kern w:val="0"/>
                <w:sz w:val="22"/>
              </w:rPr>
            </w:pPr>
            <w:r>
              <w:rPr>
                <w:rFonts w:hint="eastAsia" w:ascii="宋体" w:hAnsi="宋体" w:cs="Calibri"/>
                <w:kern w:val="0"/>
                <w:sz w:val="22"/>
              </w:rPr>
              <w:t>资信及技术评分（满分3</w:t>
            </w:r>
            <w:r>
              <w:rPr>
                <w:rFonts w:ascii="宋体" w:hAnsi="宋体" w:cs="Calibri"/>
                <w:kern w:val="0"/>
                <w:sz w:val="22"/>
              </w:rPr>
              <w:t>0</w:t>
            </w:r>
            <w:r>
              <w:rPr>
                <w:rFonts w:hint="eastAsia" w:ascii="宋体" w:hAnsi="宋体" w:cs="Calibri"/>
                <w:kern w:val="0"/>
                <w:sz w:val="22"/>
              </w:rPr>
              <w:t>分）</w:t>
            </w:r>
          </w:p>
        </w:tc>
        <w:tc>
          <w:tcPr>
            <w:tcW w:w="1937" w:type="dxa"/>
            <w:tcBorders>
              <w:bottom w:val="single" w:color="auto" w:sz="4" w:space="0"/>
            </w:tcBorders>
            <w:vAlign w:val="center"/>
          </w:tcPr>
          <w:p>
            <w:pPr>
              <w:rPr>
                <w:rFonts w:ascii="宋体" w:hAnsi="宋体" w:cs="Calibri"/>
                <w:kern w:val="0"/>
                <w:sz w:val="22"/>
              </w:rPr>
            </w:pPr>
            <w:r>
              <w:rPr>
                <w:rFonts w:hint="eastAsia" w:ascii="宋体" w:hAnsi="宋体"/>
                <w:color w:val="000000"/>
                <w:sz w:val="22"/>
              </w:rPr>
              <w:t>设备技术指响应偏离情况</w:t>
            </w:r>
          </w:p>
        </w:tc>
        <w:tc>
          <w:tcPr>
            <w:tcW w:w="5057" w:type="dxa"/>
            <w:tcBorders>
              <w:bottom w:val="single" w:color="auto" w:sz="4" w:space="0"/>
            </w:tcBorders>
            <w:vAlign w:val="center"/>
          </w:tcPr>
          <w:p>
            <w:pPr>
              <w:rPr>
                <w:rFonts w:ascii="宋体" w:hAnsi="宋体" w:cs="Calibri"/>
                <w:kern w:val="0"/>
                <w:sz w:val="22"/>
              </w:rPr>
            </w:pPr>
            <w:r>
              <w:rPr>
                <w:rFonts w:hint="eastAsia" w:ascii="宋体" w:hAnsi="宋体"/>
                <w:color w:val="000000"/>
                <w:sz w:val="22"/>
              </w:rPr>
              <w:t>评委根据技术的偏离情况进评分。满分5分，每项负偏离扣</w:t>
            </w:r>
            <w:r>
              <w:rPr>
                <w:rFonts w:ascii="宋体" w:hAnsi="宋体"/>
                <w:color w:val="000000"/>
                <w:sz w:val="22"/>
              </w:rPr>
              <w:t>0.5</w:t>
            </w:r>
            <w:r>
              <w:rPr>
                <w:rFonts w:hint="eastAsia" w:ascii="宋体" w:hAnsi="宋体"/>
                <w:color w:val="000000"/>
                <w:sz w:val="22"/>
              </w:rPr>
              <w:t>分，扣完为止。</w:t>
            </w:r>
          </w:p>
        </w:tc>
        <w:tc>
          <w:tcPr>
            <w:tcW w:w="1276" w:type="dxa"/>
            <w:tcBorders>
              <w:bottom w:val="single" w:color="auto" w:sz="4" w:space="0"/>
            </w:tcBorders>
            <w:vAlign w:val="center"/>
          </w:tcPr>
          <w:p>
            <w:pPr>
              <w:rPr>
                <w:rFonts w:ascii="宋体" w:hAnsi="宋体" w:cs="Calibri"/>
                <w:kern w:val="0"/>
                <w:sz w:val="22"/>
              </w:rPr>
            </w:pPr>
            <w:r>
              <w:rPr>
                <w:rFonts w:ascii="宋体" w:hAnsi="宋体" w:cs="Calibri"/>
                <w:kern w:val="0"/>
                <w:sz w:val="22"/>
              </w:rPr>
              <w:t>0-</w:t>
            </w:r>
            <w:r>
              <w:rPr>
                <w:rFonts w:hint="eastAsia" w:ascii="宋体" w:hAnsi="宋体" w:cs="Calibri"/>
                <w:kern w:val="0"/>
                <w:sz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606" w:type="dxa"/>
            <w:vMerge w:val="continue"/>
            <w:vAlign w:val="center"/>
          </w:tcPr>
          <w:p>
            <w:pPr>
              <w:rPr>
                <w:rFonts w:ascii="宋体" w:hAnsi="宋体" w:cs="Calibri"/>
                <w:kern w:val="0"/>
                <w:sz w:val="22"/>
              </w:rPr>
            </w:pPr>
          </w:p>
        </w:tc>
        <w:tc>
          <w:tcPr>
            <w:tcW w:w="1937" w:type="dxa"/>
            <w:tcBorders>
              <w:bottom w:val="single" w:color="auto" w:sz="4" w:space="0"/>
            </w:tcBorders>
            <w:vAlign w:val="center"/>
          </w:tcPr>
          <w:p>
            <w:pPr>
              <w:rPr>
                <w:rFonts w:ascii="宋体" w:hAnsi="宋体" w:cs="Calibri"/>
                <w:kern w:val="0"/>
                <w:sz w:val="22"/>
              </w:rPr>
            </w:pPr>
            <w:r>
              <w:rPr>
                <w:rFonts w:hint="eastAsia" w:ascii="宋体" w:hAnsi="宋体" w:cs="Calibri"/>
                <w:kern w:val="0"/>
                <w:sz w:val="22"/>
              </w:rPr>
              <w:t>设备、主材的品牌优劣性</w:t>
            </w:r>
          </w:p>
        </w:tc>
        <w:tc>
          <w:tcPr>
            <w:tcW w:w="5057" w:type="dxa"/>
            <w:tcBorders>
              <w:bottom w:val="single" w:color="auto" w:sz="4" w:space="0"/>
            </w:tcBorders>
            <w:vAlign w:val="center"/>
          </w:tcPr>
          <w:p>
            <w:pPr>
              <w:rPr>
                <w:rFonts w:ascii="宋体" w:hAnsi="宋体" w:cs="Calibri"/>
                <w:kern w:val="0"/>
                <w:sz w:val="22"/>
              </w:rPr>
            </w:pPr>
            <w:r>
              <w:rPr>
                <w:rFonts w:hint="eastAsia" w:ascii="宋体" w:hAnsi="宋体" w:cs="Calibri"/>
                <w:kern w:val="0"/>
                <w:sz w:val="22"/>
              </w:rPr>
              <w:t>根据设备、主材的品牌型号优劣性进行打分0-6分。</w:t>
            </w:r>
          </w:p>
        </w:tc>
        <w:tc>
          <w:tcPr>
            <w:tcW w:w="1276" w:type="dxa"/>
            <w:tcBorders>
              <w:bottom w:val="single" w:color="auto" w:sz="4" w:space="0"/>
            </w:tcBorders>
            <w:vAlign w:val="center"/>
          </w:tcPr>
          <w:p>
            <w:pPr>
              <w:rPr>
                <w:rFonts w:ascii="宋体" w:hAnsi="宋体" w:cs="Calibri"/>
                <w:kern w:val="0"/>
                <w:sz w:val="22"/>
              </w:rPr>
            </w:pPr>
            <w:r>
              <w:rPr>
                <w:rFonts w:ascii="宋体" w:hAnsi="宋体" w:cs="Calibri"/>
                <w:kern w:val="0"/>
                <w:sz w:val="22"/>
              </w:rPr>
              <w:t>0</w:t>
            </w:r>
            <w:r>
              <w:rPr>
                <w:rFonts w:hint="eastAsia" w:ascii="宋体" w:hAnsi="宋体" w:cs="Calibri"/>
                <w:kern w:val="0"/>
                <w:sz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rPr>
                <w:rFonts w:ascii="宋体" w:hAnsi="宋体" w:cs="Calibri"/>
                <w:kern w:val="0"/>
                <w:sz w:val="22"/>
              </w:rPr>
            </w:pPr>
          </w:p>
        </w:tc>
        <w:tc>
          <w:tcPr>
            <w:tcW w:w="1937" w:type="dxa"/>
            <w:vAlign w:val="center"/>
          </w:tcPr>
          <w:p>
            <w:pPr>
              <w:rPr>
                <w:rFonts w:ascii="宋体" w:hAnsi="宋体" w:cs="Calibri"/>
                <w:kern w:val="0"/>
                <w:sz w:val="22"/>
              </w:rPr>
            </w:pPr>
            <w:r>
              <w:rPr>
                <w:rFonts w:hint="eastAsia" w:ascii="宋体" w:hAnsi="宋体" w:cs="Calibri"/>
                <w:kern w:val="0"/>
                <w:sz w:val="22"/>
              </w:rPr>
              <w:t>施工方案合理性</w:t>
            </w:r>
          </w:p>
        </w:tc>
        <w:tc>
          <w:tcPr>
            <w:tcW w:w="5057" w:type="dxa"/>
            <w:vAlign w:val="center"/>
          </w:tcPr>
          <w:p>
            <w:pPr>
              <w:rPr>
                <w:rFonts w:ascii="宋体" w:hAnsi="宋体" w:cs="Calibri"/>
                <w:kern w:val="0"/>
                <w:sz w:val="22"/>
              </w:rPr>
            </w:pPr>
            <w:r>
              <w:rPr>
                <w:rFonts w:hint="eastAsia" w:ascii="宋体" w:hAnsi="宋体" w:cs="Calibri"/>
                <w:kern w:val="0"/>
                <w:sz w:val="22"/>
              </w:rPr>
              <w:t>对施工方案、工期安排合理性打分，0-4分。</w:t>
            </w:r>
          </w:p>
        </w:tc>
        <w:tc>
          <w:tcPr>
            <w:tcW w:w="1276" w:type="dxa"/>
            <w:vAlign w:val="center"/>
          </w:tcPr>
          <w:p>
            <w:pPr>
              <w:rPr>
                <w:rFonts w:ascii="宋体" w:hAnsi="宋体" w:cs="Calibri"/>
                <w:kern w:val="0"/>
                <w:sz w:val="22"/>
              </w:rPr>
            </w:pPr>
            <w:r>
              <w:rPr>
                <w:rFonts w:ascii="宋体" w:hAnsi="宋体" w:cs="Calibri"/>
                <w:kern w:val="0"/>
                <w:sz w:val="22"/>
              </w:rPr>
              <w:t>0-</w:t>
            </w:r>
            <w:r>
              <w:rPr>
                <w:rFonts w:hint="eastAsia" w:ascii="宋体" w:hAnsi="宋体" w:cs="Calibri"/>
                <w:kern w:val="0"/>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rPr>
                <w:rFonts w:ascii="宋体" w:hAnsi="宋体" w:cs="Calibri"/>
                <w:kern w:val="0"/>
                <w:sz w:val="22"/>
              </w:rPr>
            </w:pPr>
          </w:p>
        </w:tc>
        <w:tc>
          <w:tcPr>
            <w:tcW w:w="1937" w:type="dxa"/>
            <w:vAlign w:val="center"/>
          </w:tcPr>
          <w:p>
            <w:pPr>
              <w:rPr>
                <w:rFonts w:ascii="宋体" w:hAnsi="宋体" w:cs="Calibri"/>
                <w:kern w:val="0"/>
                <w:sz w:val="22"/>
              </w:rPr>
            </w:pPr>
            <w:r>
              <w:rPr>
                <w:rFonts w:hint="eastAsia" w:ascii="宋体" w:hAnsi="宋体" w:cs="Calibri"/>
                <w:kern w:val="0"/>
                <w:sz w:val="22"/>
              </w:rPr>
              <w:t>技术方案的合理性</w:t>
            </w:r>
          </w:p>
        </w:tc>
        <w:tc>
          <w:tcPr>
            <w:tcW w:w="5057" w:type="dxa"/>
            <w:vAlign w:val="center"/>
          </w:tcPr>
          <w:p>
            <w:pPr>
              <w:rPr>
                <w:rFonts w:ascii="宋体" w:hAnsi="宋体" w:cs="Calibri"/>
                <w:kern w:val="0"/>
                <w:sz w:val="22"/>
              </w:rPr>
            </w:pPr>
            <w:r>
              <w:rPr>
                <w:rFonts w:hint="eastAsia" w:ascii="宋体" w:hAnsi="宋体" w:cs="Calibri"/>
                <w:kern w:val="0"/>
                <w:sz w:val="22"/>
              </w:rPr>
              <w:t>对监控存储扩容的技术方案合理性打分， 0-4分。</w:t>
            </w:r>
          </w:p>
        </w:tc>
        <w:tc>
          <w:tcPr>
            <w:tcW w:w="1276" w:type="dxa"/>
            <w:vAlign w:val="center"/>
          </w:tcPr>
          <w:p>
            <w:pPr>
              <w:rPr>
                <w:rFonts w:ascii="宋体" w:hAnsi="宋体" w:cs="Calibri"/>
                <w:kern w:val="0"/>
                <w:sz w:val="22"/>
              </w:rPr>
            </w:pPr>
            <w:r>
              <w:rPr>
                <w:rFonts w:hint="eastAsia" w:ascii="宋体" w:hAnsi="宋体" w:cs="Calibri"/>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1606" w:type="dxa"/>
            <w:vMerge w:val="continue"/>
            <w:vAlign w:val="center"/>
          </w:tcPr>
          <w:p>
            <w:pPr>
              <w:rPr>
                <w:rFonts w:ascii="宋体" w:hAnsi="宋体" w:cs="Calibri"/>
                <w:kern w:val="0"/>
                <w:sz w:val="22"/>
              </w:rPr>
            </w:pPr>
          </w:p>
        </w:tc>
        <w:tc>
          <w:tcPr>
            <w:tcW w:w="1937" w:type="dxa"/>
            <w:vAlign w:val="center"/>
          </w:tcPr>
          <w:p>
            <w:pPr>
              <w:rPr>
                <w:rFonts w:ascii="宋体" w:hAnsi="宋体" w:cs="Calibri"/>
                <w:kern w:val="0"/>
                <w:sz w:val="22"/>
              </w:rPr>
            </w:pPr>
            <w:r>
              <w:rPr>
                <w:rFonts w:hint="eastAsia" w:ascii="宋体" w:hAnsi="宋体"/>
                <w:color w:val="000000"/>
                <w:sz w:val="22"/>
              </w:rPr>
              <w:t>售后维修技术团队设置情况</w:t>
            </w:r>
            <w:r>
              <w:rPr>
                <w:rFonts w:ascii="宋体" w:hAnsi="宋体"/>
                <w:color w:val="000000"/>
                <w:sz w:val="22"/>
              </w:rPr>
              <w:t>(</w:t>
            </w:r>
            <w:r>
              <w:rPr>
                <w:rFonts w:hint="eastAsia" w:ascii="宋体" w:hAnsi="宋体"/>
                <w:color w:val="000000"/>
                <w:sz w:val="22"/>
              </w:rPr>
              <w:t>人数、地点等</w:t>
            </w:r>
            <w:r>
              <w:rPr>
                <w:rFonts w:ascii="宋体" w:hAnsi="宋体"/>
                <w:color w:val="000000"/>
                <w:sz w:val="22"/>
              </w:rPr>
              <w:t>)</w:t>
            </w:r>
            <w:r>
              <w:rPr>
                <w:rFonts w:hint="eastAsia" w:ascii="宋体" w:hAnsi="宋体"/>
                <w:color w:val="000000"/>
                <w:sz w:val="22"/>
              </w:rPr>
              <w:t>及维修响应速度</w:t>
            </w:r>
          </w:p>
        </w:tc>
        <w:tc>
          <w:tcPr>
            <w:tcW w:w="5057" w:type="dxa"/>
            <w:vAlign w:val="center"/>
          </w:tcPr>
          <w:p>
            <w:pPr>
              <w:rPr>
                <w:rFonts w:ascii="宋体" w:hAnsi="宋体" w:cs="Calibri"/>
                <w:kern w:val="0"/>
                <w:sz w:val="22"/>
              </w:rPr>
            </w:pPr>
            <w:r>
              <w:rPr>
                <w:rFonts w:hint="eastAsia" w:ascii="宋体" w:hAnsi="宋体"/>
                <w:color w:val="000000"/>
                <w:sz w:val="22"/>
              </w:rPr>
              <w:t>满分</w:t>
            </w:r>
            <w:r>
              <w:rPr>
                <w:rFonts w:ascii="宋体" w:hAnsi="宋体"/>
                <w:color w:val="000000"/>
                <w:sz w:val="22"/>
              </w:rPr>
              <w:t>3</w:t>
            </w:r>
            <w:r>
              <w:rPr>
                <w:rFonts w:hint="eastAsia" w:ascii="宋体" w:hAnsi="宋体"/>
                <w:color w:val="000000"/>
                <w:sz w:val="22"/>
              </w:rPr>
              <w:t>分，最少</w:t>
            </w:r>
            <w:r>
              <w:rPr>
                <w:rFonts w:ascii="宋体" w:hAnsi="宋体"/>
                <w:color w:val="000000"/>
                <w:sz w:val="22"/>
              </w:rPr>
              <w:t>1</w:t>
            </w:r>
            <w:r>
              <w:rPr>
                <w:rFonts w:hint="eastAsia" w:ascii="宋体" w:hAnsi="宋体"/>
                <w:color w:val="000000"/>
                <w:sz w:val="22"/>
              </w:rPr>
              <w:t>分。评委根据投标人对设备故障赶赴现场的时间对比酌情赋分。</w:t>
            </w:r>
          </w:p>
        </w:tc>
        <w:tc>
          <w:tcPr>
            <w:tcW w:w="1276" w:type="dxa"/>
            <w:vAlign w:val="center"/>
          </w:tcPr>
          <w:p>
            <w:pPr>
              <w:rPr>
                <w:rFonts w:ascii="宋体" w:hAnsi="宋体" w:cs="Calibri"/>
                <w:kern w:val="0"/>
                <w:sz w:val="22"/>
              </w:rPr>
            </w:pPr>
            <w:r>
              <w:rPr>
                <w:rFonts w:hint="eastAsia" w:ascii="宋体" w:hAnsi="宋体" w:cs="Calibri"/>
                <w:kern w:val="0"/>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1606" w:type="dxa"/>
            <w:vMerge w:val="continue"/>
            <w:vAlign w:val="center"/>
          </w:tcPr>
          <w:p>
            <w:pPr>
              <w:rPr>
                <w:rFonts w:ascii="宋体" w:hAnsi="宋体" w:cs="Calibri"/>
                <w:kern w:val="0"/>
                <w:sz w:val="22"/>
              </w:rPr>
            </w:pPr>
          </w:p>
        </w:tc>
        <w:tc>
          <w:tcPr>
            <w:tcW w:w="1937" w:type="dxa"/>
            <w:vAlign w:val="center"/>
          </w:tcPr>
          <w:p>
            <w:pPr>
              <w:rPr>
                <w:rFonts w:ascii="宋体" w:hAnsi="宋体" w:cs="Calibri"/>
                <w:kern w:val="0"/>
                <w:sz w:val="22"/>
              </w:rPr>
            </w:pPr>
            <w:r>
              <w:rPr>
                <w:rFonts w:hint="eastAsia" w:ascii="宋体" w:hAnsi="宋体" w:cs="Calibri"/>
                <w:kern w:val="0"/>
                <w:sz w:val="22"/>
              </w:rPr>
              <w:t>项目经理及项目班子成员的配置是否合理</w:t>
            </w:r>
          </w:p>
        </w:tc>
        <w:tc>
          <w:tcPr>
            <w:tcW w:w="5057" w:type="dxa"/>
            <w:vAlign w:val="center"/>
          </w:tcPr>
          <w:p>
            <w:pPr>
              <w:rPr>
                <w:rFonts w:ascii="宋体" w:hAnsi="宋体" w:cs="Calibri"/>
                <w:kern w:val="0"/>
                <w:sz w:val="22"/>
              </w:rPr>
            </w:pPr>
            <w:r>
              <w:rPr>
                <w:rFonts w:hint="eastAsia" w:ascii="宋体" w:hAnsi="宋体" w:cs="Calibri"/>
                <w:kern w:val="0"/>
                <w:sz w:val="22"/>
              </w:rPr>
              <w:t>由评委根据施工成员经验、施工能力，售后能力进行打分，较差的得1分，一般的得2分，优良（具有不停航施工经验的）得3分。</w:t>
            </w:r>
          </w:p>
        </w:tc>
        <w:tc>
          <w:tcPr>
            <w:tcW w:w="1276" w:type="dxa"/>
            <w:vAlign w:val="center"/>
          </w:tcPr>
          <w:p>
            <w:pPr>
              <w:rPr>
                <w:rFonts w:ascii="宋体" w:hAnsi="宋体" w:cs="Calibri"/>
                <w:kern w:val="0"/>
                <w:sz w:val="22"/>
              </w:rPr>
            </w:pPr>
            <w:r>
              <w:rPr>
                <w:rFonts w:hint="eastAsia" w:ascii="宋体" w:hAnsi="宋体" w:cs="Calibri"/>
                <w:kern w:val="0"/>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1606" w:type="dxa"/>
            <w:vMerge w:val="continue"/>
            <w:vAlign w:val="center"/>
          </w:tcPr>
          <w:p>
            <w:pPr>
              <w:rPr>
                <w:rFonts w:ascii="宋体" w:hAnsi="宋体" w:cs="Calibri"/>
                <w:kern w:val="0"/>
                <w:sz w:val="22"/>
              </w:rPr>
            </w:pPr>
          </w:p>
        </w:tc>
        <w:tc>
          <w:tcPr>
            <w:tcW w:w="1937" w:type="dxa"/>
            <w:vAlign w:val="center"/>
          </w:tcPr>
          <w:p>
            <w:pPr>
              <w:rPr>
                <w:rFonts w:ascii="宋体" w:hAnsi="宋体" w:cs="Calibri"/>
                <w:kern w:val="0"/>
                <w:sz w:val="22"/>
              </w:rPr>
            </w:pPr>
            <w:r>
              <w:rPr>
                <w:rFonts w:ascii="宋体" w:hAnsi="宋体" w:cs="Calibri"/>
                <w:kern w:val="0"/>
                <w:sz w:val="22"/>
              </w:rPr>
              <w:t>资信、业绩</w:t>
            </w:r>
          </w:p>
        </w:tc>
        <w:tc>
          <w:tcPr>
            <w:tcW w:w="5057" w:type="dxa"/>
            <w:vAlign w:val="center"/>
          </w:tcPr>
          <w:p>
            <w:pPr>
              <w:rPr>
                <w:rFonts w:ascii="宋体" w:hAnsi="宋体" w:cs="Calibri"/>
                <w:kern w:val="0"/>
                <w:sz w:val="22"/>
              </w:rPr>
            </w:pPr>
            <w:r>
              <w:rPr>
                <w:rFonts w:hint="eastAsia" w:ascii="宋体" w:hAnsi="宋体" w:cs="Calibri"/>
                <w:kern w:val="0"/>
                <w:sz w:val="22"/>
              </w:rPr>
              <w:t>1.投标人近三年内有安防工程安装、维护业绩，根据投标人所</w:t>
            </w:r>
            <w:r>
              <w:rPr>
                <w:rFonts w:ascii="宋体" w:hAnsi="宋体" w:cs="Calibri"/>
                <w:kern w:val="0"/>
                <w:sz w:val="22"/>
              </w:rPr>
              <w:t>附合同</w:t>
            </w:r>
            <w:r>
              <w:rPr>
                <w:rFonts w:hint="eastAsia" w:ascii="宋体" w:hAnsi="宋体" w:cs="Calibri"/>
                <w:kern w:val="0"/>
                <w:sz w:val="22"/>
              </w:rPr>
              <w:t>或中标通知书</w:t>
            </w:r>
            <w:r>
              <w:rPr>
                <w:rFonts w:ascii="宋体" w:hAnsi="宋体" w:cs="Calibri"/>
                <w:kern w:val="0"/>
                <w:sz w:val="22"/>
              </w:rPr>
              <w:t>复印件</w:t>
            </w:r>
            <w:r>
              <w:rPr>
                <w:rFonts w:hint="eastAsia" w:ascii="宋体" w:hAnsi="宋体" w:cs="Calibri"/>
                <w:kern w:val="0"/>
                <w:sz w:val="22"/>
              </w:rPr>
              <w:t>，原件备查：100万元（含）以上业绩，每个业绩得1分，最多得3分；</w:t>
            </w:r>
          </w:p>
          <w:p>
            <w:pPr>
              <w:rPr>
                <w:rFonts w:ascii="宋体" w:hAnsi="宋体" w:cs="Calibri"/>
                <w:kern w:val="0"/>
                <w:sz w:val="22"/>
              </w:rPr>
            </w:pPr>
            <w:r>
              <w:rPr>
                <w:rFonts w:hint="eastAsia" w:ascii="宋体" w:hAnsi="宋体" w:cs="Calibri"/>
                <w:kern w:val="0"/>
                <w:sz w:val="22"/>
              </w:rPr>
              <w:t>2. 投标人近三年内有机场航站楼隔离区内业绩的，根据投标人所</w:t>
            </w:r>
            <w:r>
              <w:rPr>
                <w:rFonts w:ascii="宋体" w:hAnsi="宋体" w:cs="Calibri"/>
                <w:kern w:val="0"/>
                <w:sz w:val="22"/>
              </w:rPr>
              <w:t>附合同</w:t>
            </w:r>
            <w:r>
              <w:rPr>
                <w:rFonts w:hint="eastAsia" w:ascii="宋体" w:hAnsi="宋体" w:cs="Calibri"/>
                <w:kern w:val="0"/>
                <w:sz w:val="22"/>
              </w:rPr>
              <w:t>或中标通知书</w:t>
            </w:r>
            <w:r>
              <w:rPr>
                <w:rFonts w:ascii="宋体" w:hAnsi="宋体" w:cs="Calibri"/>
                <w:kern w:val="0"/>
                <w:sz w:val="22"/>
              </w:rPr>
              <w:t>复印件</w:t>
            </w:r>
            <w:r>
              <w:rPr>
                <w:rFonts w:hint="eastAsia" w:ascii="宋体" w:hAnsi="宋体" w:cs="Calibri"/>
                <w:kern w:val="0"/>
                <w:sz w:val="22"/>
              </w:rPr>
              <w:t xml:space="preserve">，原件备查，根据业绩服务对象、工程规模、工程内容、施工地点进行打分每个业绩1分，最多得2分。 </w:t>
            </w:r>
          </w:p>
        </w:tc>
        <w:tc>
          <w:tcPr>
            <w:tcW w:w="1276" w:type="dxa"/>
            <w:vAlign w:val="center"/>
          </w:tcPr>
          <w:p>
            <w:pPr>
              <w:rPr>
                <w:rFonts w:ascii="宋体" w:hAnsi="宋体" w:cs="Calibri"/>
                <w:kern w:val="0"/>
                <w:sz w:val="22"/>
              </w:rPr>
            </w:pPr>
            <w:r>
              <w:rPr>
                <w:rFonts w:hint="eastAsia" w:ascii="宋体" w:hAnsi="宋体" w:cs="Calibri"/>
                <w:kern w:val="0"/>
                <w:sz w:val="22"/>
              </w:rPr>
              <w:t>0-5分</w:t>
            </w:r>
          </w:p>
        </w:tc>
      </w:tr>
    </w:tbl>
    <w:p>
      <w:pPr>
        <w:rPr>
          <w:rFonts w:ascii="宋体" w:hAnsi="宋体" w:cs="Calibri"/>
          <w:kern w:val="0"/>
          <w:sz w:val="22"/>
        </w:rPr>
      </w:pPr>
    </w:p>
    <w:p>
      <w:pPr>
        <w:adjustRightInd w:val="0"/>
        <w:snapToGrid w:val="0"/>
        <w:spacing w:line="360" w:lineRule="auto"/>
        <w:ind w:firstLine="440"/>
        <w:rPr>
          <w:rFonts w:ascii="宋体" w:hAnsi="宋体" w:cs="Calibri"/>
          <w:kern w:val="0"/>
          <w:sz w:val="22"/>
        </w:rPr>
      </w:pP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如商务报价中有以下情况之一的，按商务审查不合格处理：</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auto"/>
        <w:rPr>
          <w:rFonts w:ascii="宋体" w:hAnsi="宋体" w:cs="Calibri"/>
          <w:b/>
          <w:bCs/>
          <w:kern w:val="0"/>
          <w:sz w:val="22"/>
        </w:rPr>
      </w:pPr>
      <w:bookmarkStart w:id="44" w:name="_Toc144974563"/>
      <w:bookmarkStart w:id="45" w:name="_Toc152042373"/>
      <w:bookmarkStart w:id="46" w:name="_Toc179632614"/>
      <w:bookmarkStart w:id="47" w:name="_Toc246392116"/>
      <w:bookmarkStart w:id="48" w:name="_Toc152045596"/>
      <w:r>
        <w:rPr>
          <w:rFonts w:hint="eastAsia" w:ascii="宋体" w:hAnsi="宋体" w:cs="Calibri"/>
          <w:b/>
          <w:bCs/>
          <w:kern w:val="0"/>
          <w:sz w:val="22"/>
        </w:rPr>
        <w:t>6.4.3 投标文件的澄清</w:t>
      </w:r>
      <w:bookmarkEnd w:id="44"/>
      <w:r>
        <w:rPr>
          <w:rFonts w:hint="eastAsia" w:ascii="宋体" w:hAnsi="宋体" w:cs="Calibri"/>
          <w:b/>
          <w:bCs/>
          <w:kern w:val="0"/>
          <w:sz w:val="22"/>
        </w:rPr>
        <w:t>和补正</w:t>
      </w:r>
      <w:bookmarkEnd w:id="45"/>
      <w:bookmarkEnd w:id="46"/>
      <w:bookmarkEnd w:id="47"/>
      <w:bookmarkEnd w:id="48"/>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auto"/>
        <w:rPr>
          <w:rFonts w:ascii="宋体" w:hAnsi="宋体" w:cs="Calibri"/>
          <w:b/>
          <w:bCs/>
          <w:kern w:val="0"/>
          <w:sz w:val="22"/>
        </w:rPr>
      </w:pPr>
      <w:bookmarkStart w:id="49" w:name="_Toc246392117"/>
      <w:bookmarkStart w:id="50" w:name="_Toc179632615"/>
      <w:bookmarkStart w:id="51" w:name="_Toc152045597"/>
      <w:bookmarkStart w:id="52" w:name="_Toc144974564"/>
      <w:bookmarkStart w:id="53" w:name="_Toc152042374"/>
      <w:r>
        <w:rPr>
          <w:rFonts w:hint="eastAsia" w:ascii="宋体" w:hAnsi="宋体" w:cs="Calibri"/>
          <w:b/>
          <w:bCs/>
          <w:kern w:val="0"/>
          <w:sz w:val="22"/>
        </w:rPr>
        <w:t>6.4.4 评标结果</w:t>
      </w:r>
      <w:bookmarkEnd w:id="49"/>
      <w:bookmarkEnd w:id="50"/>
      <w:bookmarkEnd w:id="51"/>
      <w:bookmarkEnd w:id="52"/>
      <w:bookmarkEnd w:id="53"/>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（1）</w:t>
      </w:r>
      <w:r>
        <w:rPr>
          <w:rFonts w:hint="eastAsia" w:ascii="宋体" w:hAnsi="宋体"/>
          <w:sz w:val="22"/>
        </w:rPr>
        <w:t>评标委员会按照得分由高到低的顺序推荐中标候选人。</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（2）</w:t>
      </w:r>
      <w:r>
        <w:rPr>
          <w:rFonts w:hint="eastAsia" w:ascii="宋体" w:hAnsi="宋体"/>
          <w:sz w:val="22"/>
        </w:rPr>
        <w:t>评标委员会完成评标后，应当向招标人提交书面评标报告。</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djustRightInd w:val="0"/>
        <w:snapToGrid w:val="0"/>
        <w:spacing w:line="360" w:lineRule="auto"/>
        <w:ind w:firstLine="440"/>
        <w:rPr>
          <w:rFonts w:ascii="宋体" w:hAnsi="宋体" w:cs="Calibri"/>
          <w:kern w:val="0"/>
          <w:sz w:val="22"/>
        </w:rPr>
      </w:pPr>
      <w:r>
        <w:rPr>
          <w:rFonts w:hint="eastAsia" w:ascii="宋体" w:hAnsi="宋体" w:cs="Calibri"/>
          <w:kern w:val="0"/>
          <w:sz w:val="22"/>
        </w:rPr>
        <w:t>（4）</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djustRightInd w:val="0"/>
        <w:snapToGrid w:val="0"/>
        <w:spacing w:line="360" w:lineRule="auto"/>
        <w:ind w:firstLine="440"/>
        <w:rPr>
          <w:rFonts w:ascii="宋体" w:hAnsi="宋体" w:cs="Calibri"/>
          <w:kern w:val="0"/>
          <w:sz w:val="22"/>
        </w:rPr>
      </w:pPr>
      <w:r>
        <w:rPr>
          <w:rFonts w:hint="eastAsia" w:ascii="宋体" w:hAnsi="宋体" w:cs="宋体"/>
          <w:kern w:val="0"/>
          <w:sz w:val="22"/>
        </w:rPr>
        <w:t>（5）招标人对评标结果不负责解释。</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7.合同授予</w:t>
      </w:r>
      <w:bookmarkEnd w:id="39"/>
    </w:p>
    <w:p>
      <w:pPr>
        <w:autoSpaceDE w:val="0"/>
        <w:autoSpaceDN w:val="0"/>
        <w:adjustRightInd w:val="0"/>
        <w:snapToGrid w:val="0"/>
        <w:spacing w:line="360" w:lineRule="auto"/>
        <w:rPr>
          <w:rFonts w:ascii="宋体" w:hAnsi="宋体" w:cs="Calibri"/>
          <w:b/>
          <w:bCs/>
          <w:kern w:val="0"/>
          <w:sz w:val="22"/>
        </w:rPr>
      </w:pPr>
      <w:bookmarkStart w:id="54" w:name="_Toc18809"/>
      <w:r>
        <w:rPr>
          <w:rFonts w:ascii="宋体" w:hAnsi="宋体" w:cs="Calibri"/>
          <w:b/>
          <w:bCs/>
          <w:kern w:val="0"/>
          <w:sz w:val="22"/>
        </w:rPr>
        <w:t>7.1 定标方式</w:t>
      </w:r>
      <w:bookmarkEnd w:id="54"/>
    </w:p>
    <w:p>
      <w:pPr>
        <w:adjustRightInd w:val="0"/>
        <w:snapToGrid w:val="0"/>
        <w:spacing w:line="360" w:lineRule="auto"/>
        <w:ind w:firstLine="440"/>
        <w:rPr>
          <w:rFonts w:ascii="宋体" w:hAnsi="宋体" w:cs="Calibri"/>
          <w:b/>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b/>
          <w:sz w:val="22"/>
        </w:rPr>
        <w:t>招标人对评标、定标结果不负责解释。</w:t>
      </w:r>
    </w:p>
    <w:p>
      <w:pPr>
        <w:autoSpaceDE w:val="0"/>
        <w:autoSpaceDN w:val="0"/>
        <w:adjustRightInd w:val="0"/>
        <w:snapToGrid w:val="0"/>
        <w:spacing w:line="360" w:lineRule="auto"/>
        <w:rPr>
          <w:rFonts w:ascii="宋体" w:hAnsi="宋体" w:cs="Calibri"/>
          <w:b/>
          <w:bCs/>
          <w:kern w:val="0"/>
          <w:sz w:val="22"/>
        </w:rPr>
      </w:pPr>
      <w:bookmarkStart w:id="55" w:name="_Toc14573"/>
      <w:r>
        <w:rPr>
          <w:rFonts w:ascii="宋体" w:hAnsi="宋体" w:cs="Calibri"/>
          <w:b/>
          <w:bCs/>
          <w:kern w:val="0"/>
          <w:sz w:val="22"/>
        </w:rPr>
        <w:t>7.2 中标通知</w:t>
      </w:r>
      <w:bookmarkEnd w:id="55"/>
    </w:p>
    <w:p>
      <w:pPr>
        <w:adjustRightInd w:val="0"/>
        <w:snapToGrid w:val="0"/>
        <w:spacing w:line="360"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auto"/>
        <w:rPr>
          <w:rFonts w:ascii="宋体" w:hAnsi="宋体" w:cs="Calibri"/>
          <w:b/>
          <w:bCs/>
          <w:kern w:val="0"/>
          <w:sz w:val="22"/>
        </w:rPr>
      </w:pPr>
      <w:bookmarkStart w:id="56" w:name="_Toc27132"/>
      <w:r>
        <w:rPr>
          <w:rFonts w:ascii="宋体" w:hAnsi="宋体" w:cs="Calibri"/>
          <w:b/>
          <w:bCs/>
          <w:kern w:val="0"/>
          <w:sz w:val="22"/>
        </w:rPr>
        <w:t>7.3 履约</w:t>
      </w:r>
      <w:r>
        <w:rPr>
          <w:rFonts w:hint="eastAsia" w:ascii="宋体" w:hAnsi="宋体" w:cs="Calibri"/>
          <w:b/>
          <w:bCs/>
          <w:kern w:val="0"/>
          <w:sz w:val="22"/>
        </w:rPr>
        <w:t>保证金</w:t>
      </w:r>
      <w:bookmarkEnd w:id="56"/>
    </w:p>
    <w:p>
      <w:pPr>
        <w:adjustRightInd w:val="0"/>
        <w:snapToGrid w:val="0"/>
        <w:spacing w:line="360"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auto"/>
        <w:rPr>
          <w:rFonts w:ascii="宋体" w:hAnsi="宋体" w:cs="Calibri"/>
          <w:b/>
          <w:bCs/>
          <w:kern w:val="0"/>
          <w:sz w:val="22"/>
        </w:rPr>
      </w:pPr>
      <w:bookmarkStart w:id="57" w:name="_Toc27581"/>
      <w:r>
        <w:rPr>
          <w:rFonts w:ascii="宋体" w:hAnsi="宋体" w:cs="Calibri"/>
          <w:b/>
          <w:bCs/>
          <w:kern w:val="0"/>
          <w:sz w:val="22"/>
        </w:rPr>
        <w:t>7.4 签订合同</w:t>
      </w:r>
      <w:bookmarkEnd w:id="57"/>
    </w:p>
    <w:p>
      <w:pPr>
        <w:adjustRightInd w:val="0"/>
        <w:snapToGrid w:val="0"/>
        <w:spacing w:line="360" w:lineRule="auto"/>
        <w:ind w:firstLine="440"/>
        <w:rPr>
          <w:rFonts w:ascii="宋体" w:hAnsi="宋体" w:cs="Calibri"/>
          <w:kern w:val="0"/>
          <w:sz w:val="22"/>
        </w:rPr>
      </w:pPr>
      <w:r>
        <w:rPr>
          <w:rFonts w:ascii="宋体" w:hAnsi="宋体" w:cs="Calibri"/>
          <w:sz w:val="22"/>
        </w:rPr>
        <w:t>7</w:t>
      </w:r>
      <w:bookmarkStart w:id="58" w:name="_Toc220123241"/>
      <w:bookmarkStart w:id="59" w:name="_Toc11806"/>
      <w:bookmarkStart w:id="60"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8.重新招标和不再招标</w:t>
      </w:r>
      <w:bookmarkEnd w:id="58"/>
      <w:bookmarkEnd w:id="59"/>
      <w:bookmarkEnd w:id="60"/>
    </w:p>
    <w:p>
      <w:pPr>
        <w:autoSpaceDE w:val="0"/>
        <w:autoSpaceDN w:val="0"/>
        <w:adjustRightInd w:val="0"/>
        <w:snapToGrid w:val="0"/>
        <w:spacing w:line="360" w:lineRule="auto"/>
        <w:rPr>
          <w:rFonts w:ascii="宋体" w:hAnsi="宋体" w:cs="Calibri"/>
          <w:b/>
          <w:bCs/>
          <w:kern w:val="0"/>
          <w:sz w:val="22"/>
        </w:rPr>
      </w:pPr>
      <w:bookmarkStart w:id="61" w:name="_Toc219809802"/>
      <w:bookmarkStart w:id="62" w:name="_Toc15553"/>
      <w:bookmarkStart w:id="63" w:name="_Toc220123242"/>
      <w:r>
        <w:rPr>
          <w:rFonts w:ascii="宋体" w:hAnsi="宋体" w:cs="Calibri"/>
          <w:b/>
          <w:bCs/>
          <w:kern w:val="0"/>
          <w:sz w:val="22"/>
        </w:rPr>
        <w:t>8.1 重新招标</w:t>
      </w:r>
      <w:bookmarkEnd w:id="61"/>
      <w:bookmarkEnd w:id="62"/>
      <w:bookmarkEnd w:id="63"/>
    </w:p>
    <w:p>
      <w:pPr>
        <w:adjustRightInd w:val="0"/>
        <w:snapToGrid w:val="0"/>
        <w:spacing w:line="360"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auto"/>
        <w:rPr>
          <w:rFonts w:ascii="宋体" w:hAnsi="宋体" w:cs="Calibri"/>
          <w:b/>
          <w:bCs/>
          <w:kern w:val="0"/>
          <w:sz w:val="22"/>
        </w:rPr>
      </w:pPr>
      <w:bookmarkStart w:id="64" w:name="_Toc219809803"/>
      <w:bookmarkStart w:id="65" w:name="_Toc18806"/>
      <w:bookmarkStart w:id="66" w:name="_Toc220123243"/>
      <w:r>
        <w:rPr>
          <w:rFonts w:ascii="宋体" w:hAnsi="宋体" w:cs="Calibri"/>
          <w:b/>
          <w:bCs/>
          <w:kern w:val="0"/>
          <w:sz w:val="22"/>
        </w:rPr>
        <w:t>8.2 不再招标</w:t>
      </w:r>
      <w:bookmarkEnd w:id="64"/>
      <w:bookmarkEnd w:id="65"/>
      <w:bookmarkEnd w:id="66"/>
    </w:p>
    <w:p>
      <w:pPr>
        <w:adjustRightInd w:val="0"/>
        <w:snapToGrid w:val="0"/>
        <w:spacing w:line="360"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auto"/>
        <w:rPr>
          <w:rFonts w:ascii="宋体" w:hAnsi="宋体" w:cs="Calibri"/>
          <w:b/>
          <w:bCs/>
          <w:kern w:val="0"/>
          <w:sz w:val="22"/>
        </w:rPr>
      </w:pPr>
      <w:bookmarkStart w:id="67" w:name="_Toc2986"/>
      <w:bookmarkStart w:id="68" w:name="_Toc220123244"/>
      <w:bookmarkStart w:id="69" w:name="_Toc219809804"/>
      <w:bookmarkStart w:id="70" w:name="_Toc215941254"/>
      <w:r>
        <w:rPr>
          <w:rFonts w:ascii="宋体" w:hAnsi="宋体" w:cs="Calibri"/>
          <w:b/>
          <w:bCs/>
          <w:kern w:val="0"/>
          <w:sz w:val="22"/>
        </w:rPr>
        <w:t>9.纪律和监督</w:t>
      </w:r>
      <w:bookmarkEnd w:id="67"/>
      <w:bookmarkEnd w:id="68"/>
      <w:bookmarkEnd w:id="69"/>
      <w:bookmarkEnd w:id="70"/>
    </w:p>
    <w:p>
      <w:pPr>
        <w:autoSpaceDE w:val="0"/>
        <w:autoSpaceDN w:val="0"/>
        <w:adjustRightInd w:val="0"/>
        <w:snapToGrid w:val="0"/>
        <w:spacing w:line="360" w:lineRule="auto"/>
        <w:rPr>
          <w:rFonts w:ascii="宋体" w:hAnsi="宋体" w:cs="Calibri"/>
          <w:b/>
          <w:bCs/>
          <w:kern w:val="0"/>
          <w:sz w:val="22"/>
        </w:rPr>
      </w:pPr>
      <w:bookmarkStart w:id="71" w:name="_Toc220123245"/>
      <w:bookmarkStart w:id="72" w:name="_Toc5509"/>
      <w:bookmarkStart w:id="73" w:name="_Toc219809805"/>
      <w:r>
        <w:rPr>
          <w:rFonts w:ascii="宋体" w:hAnsi="宋体" w:cs="Calibri"/>
          <w:b/>
          <w:bCs/>
          <w:kern w:val="0"/>
          <w:sz w:val="22"/>
        </w:rPr>
        <w:t>9.1 对招标人的纪律要求</w:t>
      </w:r>
      <w:bookmarkEnd w:id="71"/>
      <w:bookmarkEnd w:id="72"/>
      <w:bookmarkEnd w:id="73"/>
    </w:p>
    <w:p>
      <w:pPr>
        <w:adjustRightInd w:val="0"/>
        <w:snapToGrid w:val="0"/>
        <w:spacing w:line="360" w:lineRule="auto"/>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auto"/>
        <w:rPr>
          <w:rFonts w:ascii="宋体" w:hAnsi="宋体" w:cs="Calibri"/>
          <w:b/>
          <w:bCs/>
          <w:kern w:val="0"/>
          <w:sz w:val="22"/>
        </w:rPr>
      </w:pPr>
      <w:bookmarkStart w:id="74" w:name="_Toc10820"/>
      <w:bookmarkStart w:id="75" w:name="_Toc220123246"/>
      <w:bookmarkStart w:id="76" w:name="_Toc219809806"/>
      <w:r>
        <w:rPr>
          <w:rFonts w:ascii="宋体" w:hAnsi="宋体" w:cs="Calibri"/>
          <w:b/>
          <w:bCs/>
          <w:kern w:val="0"/>
          <w:sz w:val="22"/>
        </w:rPr>
        <w:t>9.2 对投标人的纪律要求</w:t>
      </w:r>
      <w:bookmarkEnd w:id="74"/>
      <w:bookmarkEnd w:id="75"/>
      <w:bookmarkEnd w:id="76"/>
    </w:p>
    <w:p>
      <w:pPr>
        <w:adjustRightInd w:val="0"/>
        <w:snapToGrid w:val="0"/>
        <w:spacing w:line="360" w:lineRule="auto"/>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firstLine="440"/>
        <w:rPr>
          <w:rFonts w:ascii="宋体"/>
          <w:color w:val="000000"/>
          <w:sz w:val="22"/>
        </w:rPr>
      </w:pPr>
      <w:r>
        <w:rPr>
          <w:rFonts w:hint="eastAsia" w:ascii="宋体" w:hAnsi="宋体"/>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auto"/>
        <w:rPr>
          <w:rFonts w:ascii="宋体" w:hAnsi="宋体" w:cs="Calibri"/>
          <w:b/>
          <w:bCs/>
          <w:kern w:val="0"/>
          <w:sz w:val="22"/>
        </w:rPr>
      </w:pPr>
      <w:bookmarkStart w:id="77" w:name="_Toc219809807"/>
      <w:bookmarkStart w:id="78" w:name="_Toc220123247"/>
      <w:bookmarkStart w:id="79" w:name="_Toc10756"/>
      <w:r>
        <w:rPr>
          <w:rFonts w:ascii="宋体" w:hAnsi="宋体" w:cs="Calibri"/>
          <w:b/>
          <w:bCs/>
          <w:kern w:val="0"/>
          <w:sz w:val="22"/>
        </w:rPr>
        <w:t>9.3 对评标委员会成员的纪律要求</w:t>
      </w:r>
      <w:bookmarkEnd w:id="77"/>
      <w:bookmarkEnd w:id="78"/>
      <w:bookmarkEnd w:id="79"/>
    </w:p>
    <w:p>
      <w:pPr>
        <w:adjustRightInd w:val="0"/>
        <w:snapToGrid w:val="0"/>
        <w:spacing w:line="360" w:lineRule="auto"/>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auto"/>
        <w:rPr>
          <w:rFonts w:ascii="宋体" w:hAnsi="宋体" w:cs="Calibri"/>
          <w:b/>
          <w:bCs/>
          <w:kern w:val="0"/>
          <w:sz w:val="22"/>
        </w:rPr>
      </w:pPr>
      <w:bookmarkStart w:id="80" w:name="_Toc12792"/>
      <w:bookmarkStart w:id="81" w:name="_Toc219809808"/>
      <w:bookmarkStart w:id="82" w:name="_Toc220123248"/>
      <w:r>
        <w:rPr>
          <w:rFonts w:ascii="宋体" w:hAnsi="宋体" w:cs="Calibri"/>
          <w:b/>
          <w:bCs/>
          <w:kern w:val="0"/>
          <w:sz w:val="22"/>
        </w:rPr>
        <w:t>9.4 对评标活动有关的工作人员的纪律要求</w:t>
      </w:r>
      <w:bookmarkEnd w:id="80"/>
      <w:bookmarkEnd w:id="81"/>
      <w:bookmarkEnd w:id="82"/>
    </w:p>
    <w:p>
      <w:pPr>
        <w:adjustRightInd w:val="0"/>
        <w:snapToGrid w:val="0"/>
        <w:spacing w:line="360" w:lineRule="auto"/>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auto"/>
        <w:rPr>
          <w:rFonts w:ascii="宋体" w:hAnsi="宋体" w:cs="Calibri"/>
          <w:b/>
          <w:bCs/>
          <w:kern w:val="0"/>
          <w:sz w:val="22"/>
        </w:rPr>
      </w:pPr>
      <w:bookmarkStart w:id="83" w:name="_Toc220123249"/>
      <w:bookmarkStart w:id="84" w:name="_Toc239"/>
      <w:bookmarkStart w:id="85" w:name="_Toc219809809"/>
      <w:r>
        <w:rPr>
          <w:rFonts w:ascii="宋体" w:hAnsi="宋体" w:cs="Calibri"/>
          <w:b/>
          <w:bCs/>
          <w:kern w:val="0"/>
          <w:sz w:val="22"/>
        </w:rPr>
        <w:t>9.5 投诉</w:t>
      </w:r>
      <w:bookmarkEnd w:id="83"/>
      <w:bookmarkEnd w:id="84"/>
      <w:bookmarkEnd w:id="85"/>
    </w:p>
    <w:p>
      <w:pPr>
        <w:adjustRightInd w:val="0"/>
        <w:snapToGrid w:val="0"/>
        <w:spacing w:line="360" w:lineRule="auto"/>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auto"/>
        <w:rPr>
          <w:rFonts w:ascii="宋体" w:hAnsi="宋体" w:cs="Calibri"/>
          <w:b/>
          <w:bCs/>
          <w:kern w:val="0"/>
          <w:sz w:val="22"/>
        </w:rPr>
      </w:pPr>
      <w:bookmarkStart w:id="86" w:name="_Toc10817"/>
      <w:r>
        <w:rPr>
          <w:rFonts w:ascii="宋体" w:hAnsi="宋体" w:cs="Calibri"/>
          <w:b/>
          <w:bCs/>
          <w:kern w:val="0"/>
          <w:sz w:val="22"/>
        </w:rPr>
        <w:t>10. 需要补充的其他内容</w:t>
      </w:r>
      <w:bookmarkEnd w:id="86"/>
    </w:p>
    <w:p>
      <w:pPr>
        <w:autoSpaceDE w:val="0"/>
        <w:autoSpaceDN w:val="0"/>
        <w:adjustRightInd w:val="0"/>
        <w:snapToGrid w:val="0"/>
        <w:spacing w:line="360" w:lineRule="auto"/>
        <w:ind w:firstLine="440"/>
        <w:jc w:val="left"/>
        <w:rPr>
          <w:rFonts w:ascii="宋体" w:hAnsi="宋体" w:cs="Calibri"/>
          <w:sz w:val="22"/>
        </w:rPr>
      </w:pPr>
      <w:r>
        <w:rPr>
          <w:rFonts w:ascii="宋体" w:hAnsi="宋体" w:cs="Calibri"/>
          <w:sz w:val="22"/>
        </w:rPr>
        <w:t>需要补充的其他内容：见投标人须知前附表。</w:t>
      </w:r>
    </w:p>
    <w:p>
      <w:pPr>
        <w:spacing w:line="560" w:lineRule="exact"/>
      </w:pPr>
    </w:p>
    <w:p>
      <w:pPr>
        <w:snapToGrid w:val="0"/>
        <w:spacing w:line="560" w:lineRule="exact"/>
      </w:pPr>
    </w:p>
    <w:p>
      <w:pPr>
        <w:pStyle w:val="50"/>
      </w:pPr>
      <w:r>
        <w:rPr>
          <w:sz w:val="24"/>
        </w:rPr>
        <w:br w:type="page"/>
      </w:r>
      <w:bookmarkStart w:id="87" w:name="_Toc13768"/>
      <w:r>
        <w:t>第</w:t>
      </w:r>
      <w:r>
        <w:rPr>
          <w:rFonts w:hint="eastAsia"/>
        </w:rPr>
        <w:t>三</w:t>
      </w:r>
      <w:r>
        <w:t xml:space="preserve">章  </w:t>
      </w:r>
      <w:r>
        <w:rPr>
          <w:rFonts w:hint="eastAsia"/>
        </w:rPr>
        <w:t>合同条款及格式</w:t>
      </w:r>
      <w:bookmarkEnd w:id="87"/>
    </w:p>
    <w:p>
      <w:pPr>
        <w:keepNext/>
        <w:keepLines/>
        <w:spacing w:before="120" w:after="120" w:line="360" w:lineRule="auto"/>
        <w:ind w:right="-16"/>
        <w:jc w:val="center"/>
        <w:outlineLvl w:val="0"/>
        <w:rPr>
          <w:rFonts w:ascii="宋体" w:hAnsi="宋体" w:cs="宋体"/>
          <w:b/>
          <w:sz w:val="28"/>
          <w:szCs w:val="20"/>
        </w:rPr>
      </w:pPr>
      <w:r>
        <w:br w:type="page"/>
      </w:r>
      <w:bookmarkStart w:id="88" w:name="_Toc13942"/>
      <w:bookmarkStart w:id="89" w:name="_Toc448097405"/>
      <w:r>
        <w:rPr>
          <w:rFonts w:hint="eastAsia" w:ascii="宋体" w:hAnsi="宋体" w:cs="宋体"/>
          <w:b/>
          <w:sz w:val="28"/>
          <w:szCs w:val="20"/>
        </w:rPr>
        <w:t>第一部分  合同协议书</w:t>
      </w:r>
      <w:bookmarkEnd w:id="88"/>
      <w:bookmarkEnd w:id="89"/>
    </w:p>
    <w:p>
      <w:pPr>
        <w:spacing w:line="360" w:lineRule="auto"/>
        <w:ind w:firstLine="440" w:firstLineChars="200"/>
        <w:rPr>
          <w:rFonts w:ascii="宋体" w:hAnsi="宋体"/>
          <w:sz w:val="22"/>
        </w:rPr>
      </w:pPr>
      <w:r>
        <w:rPr>
          <w:rFonts w:hint="eastAsia" w:ascii="宋体" w:hAnsi="宋体"/>
          <w:sz w:val="22"/>
        </w:rPr>
        <w:t>杭州萧山国际机场航空物流</w:t>
      </w:r>
      <w:r>
        <w:rPr>
          <w:rFonts w:ascii="宋体" w:hAnsi="宋体"/>
          <w:sz w:val="22"/>
        </w:rPr>
        <w:t>有限公司</w:t>
      </w:r>
      <w:r>
        <w:rPr>
          <w:rFonts w:hint="eastAsia" w:ascii="宋体" w:hAnsi="宋体"/>
          <w:sz w:val="22"/>
        </w:rPr>
        <w:t>（以下简称“发包人”）为实施</w:t>
      </w:r>
      <w:r>
        <w:rPr>
          <w:rFonts w:hint="eastAsia" w:ascii="宋体" w:hAnsi="宋体"/>
          <w:sz w:val="22"/>
          <w:u w:val="single"/>
        </w:rPr>
        <w:t>航空物流有限公司2019年海关监管库监控改造项目</w:t>
      </w:r>
      <w:r>
        <w:rPr>
          <w:rFonts w:hint="eastAsia" w:ascii="宋体" w:hAnsi="宋体"/>
          <w:sz w:val="22"/>
        </w:rPr>
        <w:t>，已接受（以下简称“承包人”）对该项目施工的投标。发包人和承包人共同达成如下协议。</w:t>
      </w:r>
    </w:p>
    <w:p>
      <w:pPr>
        <w:spacing w:line="360" w:lineRule="auto"/>
        <w:ind w:firstLine="440" w:firstLineChars="200"/>
        <w:rPr>
          <w:rFonts w:ascii="宋体" w:hAnsi="宋体"/>
          <w:sz w:val="22"/>
        </w:rPr>
      </w:pPr>
      <w:bookmarkStart w:id="90" w:name="_Toc144974828"/>
      <w:bookmarkStart w:id="91" w:name="_Toc152042548"/>
      <w:r>
        <w:rPr>
          <w:rFonts w:hint="eastAsia" w:ascii="宋体" w:hAnsi="宋体"/>
          <w:sz w:val="22"/>
        </w:rPr>
        <w:t>1. 本协议书与下列文件一起构成合同文件：</w:t>
      </w:r>
      <w:bookmarkEnd w:id="90"/>
      <w:bookmarkEnd w:id="91"/>
    </w:p>
    <w:p>
      <w:pPr>
        <w:spacing w:line="360" w:lineRule="auto"/>
        <w:ind w:firstLine="440" w:firstLineChars="200"/>
        <w:rPr>
          <w:rFonts w:ascii="宋体" w:hAnsi="宋体"/>
          <w:sz w:val="22"/>
        </w:rPr>
      </w:pPr>
      <w:r>
        <w:rPr>
          <w:rFonts w:hint="eastAsia" w:ascii="宋体" w:hAnsi="宋体"/>
          <w:sz w:val="22"/>
        </w:rPr>
        <w:t xml:space="preserve"> (1)本合同书面（补充）协议以及合同履行中，双方有关工程的洽谈、变更等书面协议或文件；</w:t>
      </w:r>
    </w:p>
    <w:p>
      <w:pPr>
        <w:spacing w:line="360" w:lineRule="auto"/>
        <w:ind w:firstLine="440" w:firstLineChars="200"/>
        <w:rPr>
          <w:rFonts w:ascii="宋体" w:hAnsi="宋体"/>
          <w:sz w:val="22"/>
        </w:rPr>
      </w:pPr>
      <w:r>
        <w:rPr>
          <w:rFonts w:hint="eastAsia" w:ascii="宋体" w:hAnsi="宋体"/>
          <w:sz w:val="22"/>
        </w:rPr>
        <w:t>（2）本合同协议书（含合同谈判纪要）；</w:t>
      </w:r>
    </w:p>
    <w:p>
      <w:pPr>
        <w:spacing w:line="360" w:lineRule="auto"/>
        <w:ind w:firstLine="440" w:firstLineChars="200"/>
        <w:rPr>
          <w:rFonts w:ascii="宋体" w:hAnsi="宋体"/>
          <w:sz w:val="22"/>
        </w:rPr>
      </w:pPr>
      <w:r>
        <w:rPr>
          <w:rFonts w:hint="eastAsia" w:ascii="宋体" w:hAnsi="宋体"/>
          <w:sz w:val="22"/>
        </w:rPr>
        <w:t>（3）中标通知书；</w:t>
      </w:r>
    </w:p>
    <w:p>
      <w:pPr>
        <w:spacing w:line="360" w:lineRule="auto"/>
        <w:ind w:firstLine="440" w:firstLineChars="200"/>
        <w:rPr>
          <w:rFonts w:ascii="宋体" w:hAnsi="宋体"/>
          <w:sz w:val="22"/>
        </w:rPr>
      </w:pPr>
      <w:r>
        <w:rPr>
          <w:rFonts w:hint="eastAsia" w:ascii="宋体" w:hAnsi="宋体"/>
          <w:sz w:val="22"/>
        </w:rPr>
        <w:t>（4）本合同专用条款；</w:t>
      </w:r>
    </w:p>
    <w:p>
      <w:pPr>
        <w:spacing w:line="360" w:lineRule="auto"/>
        <w:ind w:firstLine="440" w:firstLineChars="200"/>
        <w:rPr>
          <w:rFonts w:ascii="宋体" w:hAnsi="宋体"/>
          <w:sz w:val="22"/>
        </w:rPr>
      </w:pPr>
      <w:r>
        <w:rPr>
          <w:rFonts w:hint="eastAsia" w:ascii="宋体" w:hAnsi="宋体"/>
          <w:sz w:val="22"/>
        </w:rPr>
        <w:t>（5）招标文件及其补充文件（包括询标记录）；</w:t>
      </w:r>
    </w:p>
    <w:p>
      <w:pPr>
        <w:spacing w:line="360" w:lineRule="auto"/>
        <w:ind w:firstLine="440" w:firstLineChars="200"/>
        <w:rPr>
          <w:rFonts w:ascii="宋体" w:hAnsi="宋体"/>
          <w:sz w:val="22"/>
        </w:rPr>
      </w:pPr>
      <w:r>
        <w:rPr>
          <w:rFonts w:hint="eastAsia" w:ascii="宋体" w:hAnsi="宋体"/>
          <w:sz w:val="22"/>
        </w:rPr>
        <w:t>（6）投标文件及其附件；</w:t>
      </w:r>
    </w:p>
    <w:p>
      <w:pPr>
        <w:spacing w:line="360" w:lineRule="auto"/>
        <w:ind w:firstLine="440" w:firstLineChars="200"/>
        <w:rPr>
          <w:rFonts w:ascii="宋体" w:hAnsi="宋体"/>
          <w:sz w:val="22"/>
        </w:rPr>
      </w:pPr>
      <w:r>
        <w:rPr>
          <w:rFonts w:hint="eastAsia" w:ascii="宋体" w:hAnsi="宋体"/>
          <w:sz w:val="22"/>
        </w:rPr>
        <w:t>（7）本合同通用条款；</w:t>
      </w:r>
    </w:p>
    <w:p>
      <w:pPr>
        <w:spacing w:line="360" w:lineRule="auto"/>
        <w:ind w:firstLine="440" w:firstLineChars="200"/>
        <w:rPr>
          <w:rFonts w:ascii="宋体" w:hAnsi="宋体"/>
          <w:sz w:val="22"/>
        </w:rPr>
      </w:pPr>
      <w:r>
        <w:rPr>
          <w:rFonts w:hint="eastAsia" w:ascii="宋体" w:hAnsi="宋体"/>
          <w:sz w:val="22"/>
        </w:rPr>
        <w:t>（8）标准、规范及有关技术文件；</w:t>
      </w:r>
    </w:p>
    <w:p>
      <w:pPr>
        <w:spacing w:line="360" w:lineRule="auto"/>
        <w:ind w:firstLine="440" w:firstLineChars="200"/>
        <w:rPr>
          <w:rFonts w:ascii="宋体" w:hAnsi="宋体"/>
          <w:sz w:val="22"/>
        </w:rPr>
      </w:pPr>
      <w:r>
        <w:rPr>
          <w:rFonts w:hint="eastAsia" w:ascii="宋体" w:hAnsi="宋体"/>
          <w:sz w:val="22"/>
        </w:rPr>
        <w:t>（9）工程量清单；</w:t>
      </w:r>
    </w:p>
    <w:p>
      <w:pPr>
        <w:spacing w:line="360" w:lineRule="auto"/>
        <w:ind w:firstLine="440" w:firstLineChars="200"/>
        <w:rPr>
          <w:rFonts w:ascii="宋体" w:hAnsi="宋体"/>
          <w:sz w:val="22"/>
        </w:rPr>
      </w:pPr>
      <w:r>
        <w:rPr>
          <w:rFonts w:hint="eastAsia" w:ascii="宋体" w:hAnsi="宋体"/>
          <w:sz w:val="22"/>
        </w:rPr>
        <w:t>（10）工程报价书。 </w:t>
      </w:r>
    </w:p>
    <w:p>
      <w:pPr>
        <w:spacing w:line="360" w:lineRule="auto"/>
        <w:ind w:firstLine="440" w:firstLineChars="200"/>
        <w:rPr>
          <w:rFonts w:ascii="宋体" w:hAnsi="宋体"/>
          <w:sz w:val="22"/>
        </w:rPr>
      </w:pPr>
      <w:bookmarkStart w:id="92" w:name="_Toc152042549"/>
      <w:bookmarkStart w:id="93" w:name="_Toc144974829"/>
      <w:r>
        <w:rPr>
          <w:rFonts w:hint="eastAsia" w:ascii="宋体" w:hAnsi="宋体"/>
          <w:sz w:val="22"/>
        </w:rPr>
        <w:t>2. 上述文件互相补充和解释，如有不明确或不一致之处，以合同约定次序在先者为准。</w:t>
      </w:r>
      <w:bookmarkEnd w:id="92"/>
      <w:bookmarkEnd w:id="93"/>
    </w:p>
    <w:p>
      <w:pPr>
        <w:spacing w:line="360" w:lineRule="auto"/>
        <w:ind w:firstLine="440" w:firstLineChars="200"/>
        <w:rPr>
          <w:rFonts w:ascii="宋体" w:hAnsi="宋体"/>
          <w:sz w:val="22"/>
        </w:rPr>
      </w:pPr>
      <w:r>
        <w:rPr>
          <w:rFonts w:hint="eastAsia" w:ascii="宋体" w:hAnsi="宋体"/>
          <w:sz w:val="22"/>
        </w:rPr>
        <w:t>3. 签约合同价：人民币（大写）元（¥元 ）。</w:t>
      </w:r>
    </w:p>
    <w:p>
      <w:pPr>
        <w:spacing w:line="360" w:lineRule="auto"/>
        <w:ind w:firstLine="440" w:firstLineChars="200"/>
        <w:rPr>
          <w:rFonts w:ascii="宋体" w:hAnsi="宋体"/>
          <w:sz w:val="22"/>
        </w:rPr>
      </w:pPr>
      <w:r>
        <w:rPr>
          <w:rFonts w:hint="eastAsia" w:ascii="宋体" w:hAnsi="宋体"/>
          <w:sz w:val="22"/>
        </w:rPr>
        <w:t>4. 承包人项目经理：。</w:t>
      </w:r>
    </w:p>
    <w:p>
      <w:pPr>
        <w:spacing w:line="360" w:lineRule="auto"/>
        <w:ind w:firstLine="440" w:firstLineChars="200"/>
        <w:rPr>
          <w:rFonts w:ascii="宋体" w:hAnsi="宋体"/>
          <w:sz w:val="22"/>
        </w:rPr>
      </w:pPr>
      <w:r>
        <w:rPr>
          <w:rFonts w:hint="eastAsia" w:ascii="宋体" w:hAnsi="宋体"/>
          <w:sz w:val="22"/>
        </w:rPr>
        <w:t>5. 工程质量符合</w:t>
      </w:r>
      <w:r>
        <w:rPr>
          <w:rFonts w:hint="eastAsia" w:ascii="宋体" w:hAnsi="宋体"/>
          <w:sz w:val="22"/>
          <w:u w:val="single"/>
        </w:rPr>
        <w:t xml:space="preserve">  合同约定且达到合格  </w:t>
      </w:r>
      <w:r>
        <w:rPr>
          <w:rFonts w:hint="eastAsia" w:ascii="宋体" w:hAnsi="宋体"/>
          <w:sz w:val="22"/>
        </w:rPr>
        <w:t>标准。</w:t>
      </w:r>
    </w:p>
    <w:p>
      <w:pPr>
        <w:spacing w:line="360" w:lineRule="auto"/>
        <w:ind w:firstLine="440" w:firstLineChars="200"/>
        <w:rPr>
          <w:rFonts w:ascii="宋体" w:hAnsi="宋体"/>
          <w:sz w:val="22"/>
        </w:rPr>
      </w:pPr>
      <w:r>
        <w:rPr>
          <w:rFonts w:hint="eastAsia" w:ascii="宋体" w:hAnsi="宋体"/>
          <w:sz w:val="22"/>
        </w:rPr>
        <w:t>6. 承包人承诺按合同约定承担工程的实施、完成及缺陷修复。</w:t>
      </w:r>
    </w:p>
    <w:p>
      <w:pPr>
        <w:spacing w:line="360" w:lineRule="auto"/>
        <w:ind w:firstLine="440" w:firstLineChars="200"/>
        <w:rPr>
          <w:rFonts w:ascii="宋体" w:hAnsi="宋体"/>
          <w:sz w:val="22"/>
        </w:rPr>
      </w:pPr>
      <w:r>
        <w:rPr>
          <w:rFonts w:hint="eastAsia" w:ascii="宋体" w:hAnsi="宋体"/>
          <w:sz w:val="22"/>
        </w:rPr>
        <w:t>7. 发包人承诺按合同约定的条件、时间和方式向承包人支付合同价款。</w:t>
      </w:r>
    </w:p>
    <w:p>
      <w:pPr>
        <w:spacing w:line="360" w:lineRule="auto"/>
        <w:ind w:firstLine="440" w:firstLineChars="200"/>
        <w:rPr>
          <w:rFonts w:ascii="宋体" w:hAnsi="宋体"/>
          <w:sz w:val="22"/>
        </w:rPr>
      </w:pPr>
      <w:r>
        <w:rPr>
          <w:rFonts w:hint="eastAsia" w:ascii="宋体" w:hAnsi="宋体"/>
          <w:sz w:val="22"/>
        </w:rPr>
        <w:t>8. 承包人应按照发包人指示开工，工期为</w:t>
      </w:r>
      <w:r>
        <w:rPr>
          <w:rFonts w:hint="eastAsia" w:ascii="宋体" w:hAnsi="宋体"/>
          <w:sz w:val="22"/>
          <w:u w:val="single"/>
        </w:rPr>
        <w:t>20</w:t>
      </w:r>
      <w:r>
        <w:rPr>
          <w:rFonts w:hint="eastAsia" w:ascii="宋体" w:hAnsi="宋体"/>
          <w:sz w:val="22"/>
        </w:rPr>
        <w:t>日历天。</w:t>
      </w:r>
    </w:p>
    <w:p>
      <w:pPr>
        <w:spacing w:line="360" w:lineRule="auto"/>
        <w:ind w:firstLine="440" w:firstLineChars="200"/>
        <w:rPr>
          <w:rFonts w:ascii="宋体" w:hAnsi="宋体"/>
          <w:sz w:val="22"/>
        </w:rPr>
      </w:pPr>
      <w:r>
        <w:rPr>
          <w:rFonts w:hint="eastAsia" w:ascii="宋体" w:hAnsi="宋体"/>
          <w:sz w:val="22"/>
        </w:rPr>
        <w:t>9. 本协议书一式陆份，甲方执肆份，乙方执贰份。</w:t>
      </w:r>
    </w:p>
    <w:p>
      <w:pPr>
        <w:spacing w:line="360" w:lineRule="auto"/>
        <w:ind w:firstLine="440" w:firstLineChars="200"/>
        <w:rPr>
          <w:rFonts w:ascii="宋体" w:hAnsi="宋体"/>
          <w:sz w:val="22"/>
        </w:rPr>
      </w:pPr>
      <w:bookmarkStart w:id="94" w:name="_Toc144974830"/>
      <w:bookmarkStart w:id="95" w:name="_Toc152042550"/>
      <w:r>
        <w:rPr>
          <w:rFonts w:hint="eastAsia" w:ascii="宋体" w:hAnsi="宋体"/>
          <w:sz w:val="22"/>
        </w:rPr>
        <w:t>10. 合同未尽事宜，双方另行签订补充协议。补充协议是合同的组成部分。</w:t>
      </w:r>
      <w:bookmarkEnd w:id="94"/>
      <w:bookmarkEnd w:id="95"/>
    </w:p>
    <w:p>
      <w:pPr>
        <w:spacing w:line="360" w:lineRule="auto"/>
        <w:ind w:firstLine="440" w:firstLineChars="200"/>
        <w:rPr>
          <w:rFonts w:ascii="宋体" w:hAnsi="宋体"/>
          <w:sz w:val="22"/>
        </w:rPr>
      </w:pPr>
      <w:r>
        <w:rPr>
          <w:rFonts w:hint="eastAsia" w:ascii="宋体" w:hAnsi="宋体"/>
          <w:sz w:val="22"/>
        </w:rPr>
        <w:t>11.合同生效：本合同自双方法定代表人或委托代理人签字盖章之日起生效。</w:t>
      </w:r>
    </w:p>
    <w:p>
      <w:pPr>
        <w:spacing w:line="360" w:lineRule="auto"/>
        <w:ind w:firstLine="440" w:firstLineChars="200"/>
        <w:rPr>
          <w:rFonts w:ascii="宋体" w:hAnsi="宋体"/>
          <w:sz w:val="22"/>
        </w:rPr>
      </w:pPr>
    </w:p>
    <w:p>
      <w:pPr>
        <w:spacing w:line="360" w:lineRule="auto"/>
        <w:ind w:firstLine="440" w:firstLineChars="200"/>
        <w:rPr>
          <w:rFonts w:ascii="宋体" w:hAnsi="宋体"/>
          <w:sz w:val="22"/>
        </w:rPr>
      </w:pPr>
      <w:r>
        <w:rPr>
          <w:rFonts w:hint="eastAsia" w:ascii="宋体" w:hAnsi="宋体"/>
          <w:sz w:val="22"/>
        </w:rPr>
        <w:t>发包人：                （盖单位章）    承包人：                  （盖单位章）</w:t>
      </w:r>
    </w:p>
    <w:p>
      <w:pPr>
        <w:spacing w:line="360" w:lineRule="auto"/>
        <w:ind w:firstLine="440" w:firstLineChars="200"/>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96" w:name="_Toc21232"/>
      <w:bookmarkStart w:id="97" w:name="_Toc246392119"/>
      <w:bookmarkStart w:id="98" w:name="_Toc375636693"/>
      <w:bookmarkStart w:id="99" w:name="_Toc448097406"/>
      <w:bookmarkStart w:id="100" w:name="_Toc375636694"/>
      <w:bookmarkStart w:id="101" w:name="_Toc152045766"/>
      <w:bookmarkStart w:id="102" w:name="_Toc144974736"/>
      <w:bookmarkStart w:id="103" w:name="_Toc152042545"/>
      <w:r>
        <w:rPr>
          <w:rFonts w:hint="eastAsia" w:ascii="宋体" w:hAnsi="宋体" w:cs="宋体"/>
          <w:b/>
          <w:sz w:val="28"/>
          <w:szCs w:val="20"/>
        </w:rPr>
        <w:t>第二部分  通用合同条款</w:t>
      </w:r>
      <w:bookmarkEnd w:id="96"/>
      <w:bookmarkEnd w:id="97"/>
      <w:bookmarkEnd w:id="98"/>
      <w:bookmarkEnd w:id="99"/>
    </w:p>
    <w:p>
      <w:pPr>
        <w:pStyle w:val="197"/>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100"/>
    </w:p>
    <w:bookmarkEnd w:id="101"/>
    <w:bookmarkEnd w:id="102"/>
    <w:bookmarkEnd w:id="103"/>
    <w:p>
      <w:pPr>
        <w:snapToGrid w:val="0"/>
        <w:spacing w:line="360" w:lineRule="auto"/>
        <w:rPr>
          <w:rFonts w:ascii="宋体" w:hAnsi="宋体" w:cs="宋体"/>
          <w:sz w:val="22"/>
        </w:rPr>
      </w:pPr>
      <w:r>
        <w:rPr>
          <w:rFonts w:hint="eastAsia" w:ascii="宋体" w:hAnsi="宋体" w:cs="宋体"/>
          <w:sz w:val="22"/>
        </w:rPr>
        <w:t>1．一般约定</w:t>
      </w:r>
    </w:p>
    <w:p>
      <w:pPr>
        <w:snapToGrid w:val="0"/>
        <w:spacing w:line="360" w:lineRule="auto"/>
        <w:rPr>
          <w:rFonts w:ascii="宋体" w:hAnsi="宋体" w:cs="宋体"/>
          <w:sz w:val="22"/>
        </w:rPr>
      </w:pPr>
      <w:r>
        <w:rPr>
          <w:rFonts w:hint="eastAsia" w:ascii="宋体" w:hAnsi="宋体" w:cs="宋体"/>
          <w:sz w:val="22"/>
        </w:rPr>
        <w:t>1.1 词语定义</w:t>
      </w:r>
    </w:p>
    <w:p>
      <w:pPr>
        <w:snapToGrid w:val="0"/>
        <w:spacing w:line="360" w:lineRule="auto"/>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auto"/>
        <w:ind w:firstLine="440" w:firstLineChars="200"/>
        <w:rPr>
          <w:rFonts w:ascii="宋体" w:hAnsi="宋体" w:cs="宋体"/>
          <w:sz w:val="22"/>
        </w:rPr>
      </w:pPr>
      <w:r>
        <w:rPr>
          <w:rFonts w:hint="eastAsia" w:ascii="宋体" w:hAnsi="宋体" w:cs="宋体"/>
          <w:sz w:val="22"/>
        </w:rPr>
        <w:t>1.1.2.2 发包人：杭州萧山国际机场航空物流有限公司</w:t>
      </w:r>
    </w:p>
    <w:p>
      <w:pPr>
        <w:snapToGrid w:val="0"/>
        <w:spacing w:line="360" w:lineRule="auto"/>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auto"/>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auto"/>
        <w:ind w:firstLine="440" w:firstLineChars="200"/>
        <w:rPr>
          <w:rFonts w:ascii="宋体" w:hAnsi="宋体" w:cs="宋体"/>
          <w:sz w:val="22"/>
        </w:rPr>
      </w:pPr>
      <w:r>
        <w:rPr>
          <w:rFonts w:hint="eastAsia" w:ascii="宋体" w:hAnsi="宋体" w:cs="宋体"/>
          <w:sz w:val="22"/>
        </w:rPr>
        <w:t>1.1.2.6 监理人：</w:t>
      </w:r>
    </w:p>
    <w:p>
      <w:pPr>
        <w:snapToGrid w:val="0"/>
        <w:spacing w:line="360" w:lineRule="auto"/>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auto"/>
        <w:ind w:firstLine="440" w:firstLineChars="200"/>
        <w:rPr>
          <w:rFonts w:ascii="宋体" w:hAnsi="宋体" w:cs="宋体"/>
          <w:sz w:val="22"/>
        </w:rPr>
      </w:pPr>
      <w:r>
        <w:rPr>
          <w:rFonts w:hint="eastAsia" w:ascii="宋体" w:hAnsi="宋体" w:cs="宋体"/>
          <w:sz w:val="22"/>
        </w:rPr>
        <w:t>1.1.3 工程和设备</w:t>
      </w:r>
    </w:p>
    <w:p>
      <w:pPr>
        <w:snapToGrid w:val="0"/>
        <w:spacing w:line="360" w:lineRule="auto"/>
        <w:ind w:firstLine="440" w:firstLineChars="200"/>
        <w:rPr>
          <w:rFonts w:ascii="宋体" w:hAnsi="宋体" w:cs="宋体"/>
          <w:sz w:val="22"/>
        </w:rPr>
      </w:pPr>
      <w:r>
        <w:rPr>
          <w:rFonts w:hint="eastAsia" w:ascii="宋体" w:hAnsi="宋体" w:cs="宋体"/>
          <w:sz w:val="22"/>
        </w:rPr>
        <w:t>1.1.3.4 工程名称：</w:t>
      </w:r>
      <w:r>
        <w:rPr>
          <w:rFonts w:hint="eastAsia" w:ascii="宋体" w:hAnsi="宋体"/>
          <w:sz w:val="22"/>
          <w:u w:val="single"/>
        </w:rPr>
        <w:t>航空物流有限公司2019年海关监管库监控改造项目</w:t>
      </w:r>
    </w:p>
    <w:p>
      <w:pPr>
        <w:snapToGrid w:val="0"/>
        <w:spacing w:line="360" w:lineRule="auto"/>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auto"/>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auto"/>
        <w:ind w:firstLine="440" w:firstLineChars="200"/>
        <w:rPr>
          <w:rFonts w:ascii="宋体" w:hAnsi="宋体" w:cs="宋体"/>
          <w:sz w:val="22"/>
        </w:rPr>
      </w:pPr>
      <w:r>
        <w:rPr>
          <w:rFonts w:hint="eastAsia" w:ascii="宋体" w:hAnsi="宋体" w:cs="宋体"/>
          <w:sz w:val="22"/>
        </w:rPr>
        <w:t>1.1.4 日期</w:t>
      </w:r>
    </w:p>
    <w:p>
      <w:pPr>
        <w:snapToGrid w:val="0"/>
        <w:spacing w:line="360" w:lineRule="auto"/>
        <w:rPr>
          <w:rFonts w:ascii="宋体" w:hAnsi="宋体" w:cs="宋体"/>
          <w:sz w:val="22"/>
        </w:rPr>
      </w:pPr>
      <w:r>
        <w:rPr>
          <w:rFonts w:hint="eastAsia" w:ascii="宋体" w:hAnsi="宋体" w:cs="宋体"/>
          <w:sz w:val="22"/>
        </w:rPr>
        <w:t>1.2 合同文件的优先顺序</w:t>
      </w:r>
    </w:p>
    <w:p>
      <w:pPr>
        <w:snapToGrid w:val="0"/>
        <w:spacing w:line="360" w:lineRule="auto"/>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auto"/>
        <w:ind w:left="439" w:leftChars="209"/>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w:t>
      </w:r>
    </w:p>
    <w:p>
      <w:pPr>
        <w:snapToGrid w:val="0"/>
        <w:spacing w:line="360" w:lineRule="auto"/>
        <w:ind w:left="439" w:leftChars="209"/>
        <w:rPr>
          <w:rFonts w:ascii="宋体" w:hAnsi="宋体" w:cs="宋体"/>
          <w:sz w:val="22"/>
        </w:rPr>
      </w:pPr>
      <w:r>
        <w:rPr>
          <w:rFonts w:hint="eastAsia" w:ascii="宋体" w:hAnsi="宋体" w:cs="宋体"/>
          <w:sz w:val="22"/>
        </w:rPr>
        <w:t>（3）中标通知书；</w:t>
      </w:r>
    </w:p>
    <w:p>
      <w:pPr>
        <w:snapToGrid w:val="0"/>
        <w:spacing w:line="360" w:lineRule="auto"/>
        <w:ind w:left="439" w:leftChars="209"/>
        <w:rPr>
          <w:rFonts w:ascii="宋体" w:hAnsi="宋体" w:cs="宋体"/>
          <w:sz w:val="22"/>
        </w:rPr>
      </w:pPr>
      <w:r>
        <w:rPr>
          <w:rFonts w:hint="eastAsia" w:ascii="宋体" w:hAnsi="宋体" w:cs="宋体"/>
          <w:sz w:val="22"/>
        </w:rPr>
        <w:t>（4）本合同专用条款；</w:t>
      </w:r>
    </w:p>
    <w:p>
      <w:pPr>
        <w:snapToGrid w:val="0"/>
        <w:spacing w:line="360" w:lineRule="auto"/>
        <w:ind w:left="439" w:leftChars="209"/>
        <w:rPr>
          <w:rFonts w:ascii="宋体" w:hAnsi="宋体" w:cs="宋体"/>
          <w:sz w:val="22"/>
        </w:rPr>
      </w:pPr>
      <w:r>
        <w:rPr>
          <w:rFonts w:hint="eastAsia" w:ascii="宋体" w:hAnsi="宋体" w:cs="宋体"/>
          <w:sz w:val="22"/>
        </w:rPr>
        <w:t>（5）招标文件及其补充文件（包括询标记录）</w:t>
      </w:r>
    </w:p>
    <w:p>
      <w:pPr>
        <w:snapToGrid w:val="0"/>
        <w:spacing w:line="360" w:lineRule="auto"/>
        <w:ind w:left="439" w:leftChars="209"/>
        <w:rPr>
          <w:rFonts w:ascii="宋体" w:hAnsi="宋体" w:cs="宋体"/>
          <w:sz w:val="22"/>
        </w:rPr>
      </w:pPr>
      <w:r>
        <w:rPr>
          <w:rFonts w:hint="eastAsia" w:ascii="宋体" w:hAnsi="宋体" w:cs="宋体"/>
          <w:sz w:val="22"/>
        </w:rPr>
        <w:t>（6）投标文件及其附件；</w:t>
      </w:r>
    </w:p>
    <w:p>
      <w:pPr>
        <w:snapToGrid w:val="0"/>
        <w:spacing w:line="360" w:lineRule="auto"/>
        <w:ind w:left="439" w:leftChars="209"/>
        <w:rPr>
          <w:rFonts w:ascii="宋体" w:hAnsi="宋体" w:cs="宋体"/>
          <w:sz w:val="22"/>
        </w:rPr>
      </w:pPr>
      <w:r>
        <w:rPr>
          <w:rFonts w:hint="eastAsia" w:ascii="宋体" w:hAnsi="宋体" w:cs="宋体"/>
          <w:sz w:val="22"/>
        </w:rPr>
        <w:t>（7）本合同通用条款；</w:t>
      </w:r>
    </w:p>
    <w:p>
      <w:pPr>
        <w:snapToGrid w:val="0"/>
        <w:spacing w:line="360" w:lineRule="auto"/>
        <w:ind w:left="439" w:leftChars="209"/>
        <w:rPr>
          <w:rFonts w:ascii="宋体" w:hAnsi="宋体" w:cs="宋体"/>
          <w:sz w:val="22"/>
        </w:rPr>
      </w:pPr>
      <w:r>
        <w:rPr>
          <w:rFonts w:hint="eastAsia" w:ascii="宋体" w:hAnsi="宋体" w:cs="宋体"/>
          <w:sz w:val="22"/>
        </w:rPr>
        <w:t>（8）标准、规范及有关技术文件；</w:t>
      </w:r>
    </w:p>
    <w:p>
      <w:pPr>
        <w:snapToGrid w:val="0"/>
        <w:spacing w:line="360" w:lineRule="auto"/>
        <w:ind w:left="439" w:leftChars="209"/>
        <w:rPr>
          <w:rFonts w:ascii="宋体" w:hAnsi="宋体" w:cs="宋体"/>
          <w:sz w:val="22"/>
        </w:rPr>
      </w:pPr>
      <w:r>
        <w:rPr>
          <w:rFonts w:hint="eastAsia" w:ascii="宋体" w:hAnsi="宋体" w:cs="宋体"/>
          <w:sz w:val="22"/>
        </w:rPr>
        <w:t>（9）工程量清单；</w:t>
      </w:r>
    </w:p>
    <w:p>
      <w:pPr>
        <w:snapToGrid w:val="0"/>
        <w:spacing w:line="360" w:lineRule="auto"/>
        <w:ind w:left="439" w:leftChars="209"/>
        <w:rPr>
          <w:rFonts w:ascii="宋体" w:hAnsi="宋体" w:cs="宋体"/>
          <w:sz w:val="22"/>
        </w:rPr>
      </w:pPr>
      <w:r>
        <w:rPr>
          <w:rFonts w:hint="eastAsia" w:ascii="宋体" w:hAnsi="宋体" w:cs="宋体"/>
          <w:sz w:val="22"/>
        </w:rPr>
        <w:t>（10）工程报价书。 </w:t>
      </w:r>
    </w:p>
    <w:p>
      <w:pPr>
        <w:snapToGrid w:val="0"/>
        <w:spacing w:line="360" w:lineRule="auto"/>
        <w:rPr>
          <w:rFonts w:ascii="宋体" w:hAnsi="宋体" w:cs="宋体"/>
          <w:sz w:val="22"/>
        </w:rPr>
      </w:pPr>
      <w:r>
        <w:rPr>
          <w:rFonts w:hint="eastAsia" w:ascii="宋体" w:hAnsi="宋体" w:cs="宋体"/>
          <w:sz w:val="22"/>
        </w:rPr>
        <w:t>1.3联络</w:t>
      </w:r>
    </w:p>
    <w:p>
      <w:pPr>
        <w:snapToGrid w:val="0"/>
        <w:spacing w:line="360" w:lineRule="auto"/>
        <w:ind w:firstLine="440" w:firstLineChars="200"/>
        <w:rPr>
          <w:rFonts w:ascii="宋体" w:hAnsi="宋体" w:cs="宋体"/>
          <w:sz w:val="22"/>
        </w:rPr>
      </w:pPr>
      <w:r>
        <w:rPr>
          <w:rFonts w:hint="eastAsia" w:ascii="宋体" w:hAnsi="宋体" w:cs="宋体"/>
          <w:sz w:val="22"/>
        </w:rPr>
        <w:t>1.3.1 承包人的地址：     邮编：</w:t>
      </w:r>
    </w:p>
    <w:p>
      <w:pPr>
        <w:snapToGrid w:val="0"/>
        <w:spacing w:line="360" w:lineRule="auto"/>
        <w:ind w:firstLine="440" w:firstLineChars="200"/>
        <w:rPr>
          <w:rFonts w:ascii="宋体" w:hAnsi="宋体" w:cs="宋体"/>
          <w:sz w:val="22"/>
        </w:rPr>
      </w:pPr>
      <w:r>
        <w:rPr>
          <w:rFonts w:hint="eastAsia" w:ascii="宋体" w:hAnsi="宋体" w:cs="宋体"/>
          <w:sz w:val="22"/>
        </w:rPr>
        <w:t>1.3.2 发包人的地址：</w:t>
      </w:r>
      <w:r>
        <w:rPr>
          <w:rFonts w:hint="eastAsia" w:ascii="宋体" w:hAnsi="宋体" w:cs="宋体"/>
          <w:sz w:val="22"/>
          <w:u w:val="single"/>
        </w:rPr>
        <w:t>杭州萧山国际机场航空货站内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auto"/>
        <w:ind w:firstLine="440" w:firstLineChars="200"/>
        <w:rPr>
          <w:rFonts w:ascii="宋体" w:hAnsi="宋体" w:cs="宋体"/>
          <w:sz w:val="22"/>
        </w:rPr>
      </w:pPr>
      <w:r>
        <w:rPr>
          <w:rFonts w:hint="eastAsia" w:ascii="宋体" w:hAnsi="宋体" w:cs="宋体"/>
          <w:sz w:val="22"/>
        </w:rPr>
        <w:t>1.3.3如一方拒绝签收另一方通知，另一方以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auto"/>
        <w:rPr>
          <w:rFonts w:ascii="宋体" w:hAnsi="宋体" w:cs="宋体"/>
          <w:sz w:val="22"/>
        </w:rPr>
      </w:pPr>
      <w:r>
        <w:rPr>
          <w:rFonts w:hint="eastAsia" w:ascii="宋体" w:hAnsi="宋体" w:cs="宋体"/>
          <w:sz w:val="22"/>
        </w:rPr>
        <w:t>2．发包人义务</w:t>
      </w:r>
    </w:p>
    <w:p>
      <w:pPr>
        <w:snapToGrid w:val="0"/>
        <w:spacing w:line="360" w:lineRule="auto"/>
        <w:rPr>
          <w:rFonts w:ascii="宋体" w:hAnsi="宋体" w:cs="宋体"/>
          <w:sz w:val="22"/>
        </w:rPr>
      </w:pPr>
      <w:r>
        <w:rPr>
          <w:rFonts w:hint="eastAsia" w:ascii="宋体" w:hAnsi="宋体" w:cs="宋体"/>
          <w:sz w:val="22"/>
        </w:rPr>
        <w:t>2.1 提供施工场地</w:t>
      </w:r>
    </w:p>
    <w:p>
      <w:pPr>
        <w:snapToGrid w:val="0"/>
        <w:spacing w:line="360" w:lineRule="auto"/>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auto"/>
        <w:ind w:firstLine="440" w:firstLineChars="200"/>
        <w:rPr>
          <w:rFonts w:ascii="宋体" w:hAnsi="宋体" w:cs="宋体"/>
          <w:sz w:val="22"/>
        </w:rPr>
      </w:pPr>
      <w:r>
        <w:rPr>
          <w:rFonts w:hint="eastAsia" w:ascii="宋体" w:hAnsi="宋体" w:cs="宋体"/>
          <w:sz w:val="22"/>
        </w:rPr>
        <w:t>施工场地内设施等有关资料的提供时间：为开工日期前不少于3天。</w:t>
      </w:r>
    </w:p>
    <w:p>
      <w:pPr>
        <w:snapToGrid w:val="0"/>
        <w:spacing w:line="360" w:lineRule="auto"/>
        <w:rPr>
          <w:rFonts w:ascii="宋体" w:hAnsi="宋体" w:cs="宋体"/>
          <w:sz w:val="22"/>
        </w:rPr>
      </w:pPr>
      <w:r>
        <w:rPr>
          <w:rFonts w:hint="eastAsia" w:ascii="宋体" w:hAnsi="宋体" w:cs="宋体"/>
          <w:sz w:val="22"/>
        </w:rPr>
        <w:t>3．监理人</w:t>
      </w:r>
    </w:p>
    <w:p>
      <w:pPr>
        <w:snapToGrid w:val="0"/>
        <w:spacing w:line="360" w:lineRule="auto"/>
        <w:rPr>
          <w:rFonts w:ascii="宋体" w:hAnsi="宋体" w:cs="宋体"/>
          <w:sz w:val="22"/>
        </w:rPr>
      </w:pPr>
      <w:r>
        <w:rPr>
          <w:rFonts w:hint="eastAsia" w:ascii="宋体" w:hAnsi="宋体" w:cs="宋体"/>
          <w:sz w:val="22"/>
        </w:rPr>
        <w:t>3.1 监理人的职责和权力</w:t>
      </w:r>
    </w:p>
    <w:p>
      <w:pPr>
        <w:snapToGrid w:val="0"/>
        <w:spacing w:line="360" w:lineRule="auto"/>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auto"/>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auto"/>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auto"/>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auto"/>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auto"/>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auto"/>
        <w:ind w:firstLine="440" w:firstLineChars="200"/>
        <w:rPr>
          <w:rFonts w:ascii="宋体" w:hAnsi="宋体" w:cs="宋体"/>
          <w:sz w:val="22"/>
        </w:rPr>
      </w:pPr>
      <w:r>
        <w:rPr>
          <w:rFonts w:hint="eastAsia" w:ascii="宋体" w:hAnsi="宋体" w:cs="宋体"/>
          <w:sz w:val="22"/>
        </w:rPr>
        <w:t>（6）暂估价的确定；</w:t>
      </w:r>
    </w:p>
    <w:p>
      <w:pPr>
        <w:snapToGrid w:val="0"/>
        <w:spacing w:line="360" w:lineRule="auto"/>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auto"/>
        <w:rPr>
          <w:rFonts w:ascii="宋体" w:hAnsi="宋体" w:cs="宋体"/>
          <w:sz w:val="22"/>
        </w:rPr>
      </w:pPr>
      <w:r>
        <w:rPr>
          <w:rFonts w:hint="eastAsia" w:ascii="宋体" w:hAnsi="宋体" w:cs="宋体"/>
          <w:sz w:val="22"/>
        </w:rPr>
        <w:t>4．承包人</w:t>
      </w:r>
    </w:p>
    <w:p>
      <w:pPr>
        <w:snapToGrid w:val="0"/>
        <w:spacing w:line="360" w:lineRule="auto"/>
        <w:rPr>
          <w:rFonts w:ascii="宋体" w:hAnsi="宋体" w:cs="宋体"/>
          <w:sz w:val="22"/>
        </w:rPr>
      </w:pPr>
      <w:r>
        <w:rPr>
          <w:rFonts w:hint="eastAsia" w:ascii="宋体" w:hAnsi="宋体" w:cs="宋体"/>
          <w:sz w:val="22"/>
        </w:rPr>
        <w:t>4.1 承包人的一般义务</w:t>
      </w:r>
    </w:p>
    <w:p>
      <w:pPr>
        <w:snapToGrid w:val="0"/>
        <w:spacing w:line="360" w:lineRule="auto"/>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auto"/>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auto"/>
        <w:rPr>
          <w:rFonts w:ascii="宋体" w:hAnsi="宋体" w:cs="宋体"/>
          <w:sz w:val="22"/>
        </w:rPr>
      </w:pPr>
      <w:r>
        <w:rPr>
          <w:rFonts w:hint="eastAsia" w:ascii="宋体" w:hAnsi="宋体" w:cs="宋体"/>
          <w:sz w:val="22"/>
        </w:rPr>
        <w:t>4.2 履约担保</w:t>
      </w:r>
    </w:p>
    <w:p>
      <w:pPr>
        <w:snapToGrid w:val="0"/>
        <w:spacing w:line="360" w:lineRule="auto"/>
        <w:ind w:firstLine="440" w:firstLineChars="200"/>
        <w:rPr>
          <w:rFonts w:ascii="宋体" w:hAnsi="宋体" w:cs="宋体"/>
          <w:sz w:val="22"/>
        </w:rPr>
      </w:pPr>
      <w:r>
        <w:rPr>
          <w:rFonts w:hint="eastAsia" w:ascii="宋体" w:hAnsi="宋体" w:cs="宋体"/>
          <w:sz w:val="22"/>
        </w:rPr>
        <w:t>增加以下条款：</w:t>
      </w:r>
    </w:p>
    <w:p>
      <w:pPr>
        <w:snapToGrid w:val="0"/>
        <w:spacing w:line="360" w:lineRule="auto"/>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auto"/>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auto"/>
        <w:rPr>
          <w:rFonts w:ascii="宋体" w:hAnsi="宋体" w:cs="宋体"/>
          <w:sz w:val="22"/>
        </w:rPr>
      </w:pPr>
      <w:r>
        <w:rPr>
          <w:rFonts w:hint="eastAsia" w:ascii="宋体" w:hAnsi="宋体" w:cs="宋体"/>
          <w:sz w:val="22"/>
        </w:rPr>
        <w:t>4.5 承包人项目经理</w:t>
      </w:r>
    </w:p>
    <w:p>
      <w:pPr>
        <w:snapToGrid w:val="0"/>
        <w:spacing w:line="360" w:lineRule="auto"/>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auto"/>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auto"/>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auto"/>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auto"/>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auto"/>
        <w:rPr>
          <w:rFonts w:ascii="宋体" w:hAnsi="宋体" w:cs="宋体"/>
          <w:sz w:val="22"/>
        </w:rPr>
      </w:pPr>
      <w:r>
        <w:rPr>
          <w:rFonts w:hint="eastAsia" w:ascii="宋体" w:hAnsi="宋体" w:cs="宋体"/>
          <w:sz w:val="22"/>
        </w:rPr>
        <w:t>4.12 承包人其他义务</w:t>
      </w:r>
    </w:p>
    <w:p>
      <w:pPr>
        <w:snapToGrid w:val="0"/>
        <w:spacing w:line="360" w:lineRule="auto"/>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auto"/>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auto"/>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auto"/>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auto"/>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auto"/>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auto"/>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auto"/>
        <w:ind w:firstLine="440" w:firstLineChars="200"/>
        <w:rPr>
          <w:rFonts w:ascii="宋体" w:hAnsi="宋体" w:cs="宋体"/>
          <w:sz w:val="22"/>
        </w:rPr>
      </w:pPr>
      <w:r>
        <w:rPr>
          <w:rFonts w:hint="eastAsia" w:ascii="宋体" w:hAnsi="宋体" w:cs="宋体"/>
          <w:sz w:val="22"/>
        </w:rPr>
        <w:t>（1）承包人须自发、积极地负责对技术要求作出全面检查，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auto"/>
        <w:ind w:firstLine="440" w:firstLineChars="200"/>
        <w:rPr>
          <w:rFonts w:ascii="宋体" w:hAnsi="宋体" w:cs="宋体"/>
          <w:sz w:val="22"/>
        </w:rPr>
      </w:pPr>
      <w:r>
        <w:rPr>
          <w:rFonts w:hint="eastAsia" w:ascii="宋体" w:hAnsi="宋体" w:cs="宋体"/>
          <w:sz w:val="22"/>
        </w:rPr>
        <w:t>（2）发包人对合同标准、规范和技术要求内的矛盾、不一致的地方发出指示作出澄清不被视为工程变更指示，而承包人也不会因此获得工期延长及费用补偿。</w:t>
      </w:r>
    </w:p>
    <w:p>
      <w:pPr>
        <w:snapToGrid w:val="0"/>
        <w:spacing w:line="360" w:lineRule="auto"/>
        <w:rPr>
          <w:rFonts w:ascii="宋体" w:hAnsi="宋体" w:cs="宋体"/>
          <w:sz w:val="22"/>
        </w:rPr>
      </w:pPr>
      <w:r>
        <w:rPr>
          <w:rFonts w:hint="eastAsia" w:ascii="宋体" w:hAnsi="宋体" w:cs="宋体"/>
          <w:sz w:val="22"/>
        </w:rPr>
        <w:t>5．材料和工程设备</w:t>
      </w:r>
    </w:p>
    <w:p>
      <w:pPr>
        <w:snapToGrid w:val="0"/>
        <w:spacing w:line="360" w:lineRule="auto"/>
        <w:rPr>
          <w:rFonts w:ascii="宋体" w:hAnsi="宋体" w:cs="宋体"/>
          <w:sz w:val="22"/>
        </w:rPr>
      </w:pPr>
      <w:r>
        <w:rPr>
          <w:rFonts w:hint="eastAsia" w:ascii="宋体" w:hAnsi="宋体" w:cs="宋体"/>
          <w:sz w:val="22"/>
        </w:rPr>
        <w:t>5.1 承包人提供的材料和工程设备</w:t>
      </w:r>
    </w:p>
    <w:p>
      <w:pPr>
        <w:snapToGrid w:val="0"/>
        <w:spacing w:line="360" w:lineRule="auto"/>
        <w:ind w:firstLine="440" w:firstLineChars="200"/>
        <w:rPr>
          <w:rFonts w:ascii="宋体" w:hAnsi="宋体" w:cs="宋体"/>
          <w:sz w:val="22"/>
        </w:rPr>
      </w:pPr>
      <w:r>
        <w:rPr>
          <w:rFonts w:hint="eastAsia" w:ascii="宋体" w:hAnsi="宋体" w:cs="宋体"/>
          <w:sz w:val="22"/>
        </w:rPr>
        <w:t>增加以下条款：</w:t>
      </w:r>
    </w:p>
    <w:p>
      <w:pPr>
        <w:snapToGrid w:val="0"/>
        <w:spacing w:line="360" w:lineRule="auto"/>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auto"/>
        <w:rPr>
          <w:rFonts w:ascii="宋体" w:hAnsi="宋体" w:cs="宋体"/>
          <w:sz w:val="22"/>
        </w:rPr>
      </w:pPr>
      <w:r>
        <w:rPr>
          <w:rFonts w:hint="eastAsia" w:ascii="宋体" w:hAnsi="宋体" w:cs="宋体"/>
          <w:sz w:val="22"/>
        </w:rPr>
        <w:t>5.2 发包人提供的材料和工程设备</w:t>
      </w:r>
    </w:p>
    <w:p>
      <w:pPr>
        <w:snapToGrid w:val="0"/>
        <w:spacing w:line="360" w:lineRule="auto"/>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auto"/>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auto"/>
        <w:rPr>
          <w:rFonts w:ascii="宋体" w:hAnsi="宋体" w:cs="宋体"/>
          <w:sz w:val="22"/>
        </w:rPr>
      </w:pPr>
      <w:r>
        <w:rPr>
          <w:rFonts w:hint="eastAsia" w:ascii="宋体" w:hAnsi="宋体" w:cs="宋体"/>
          <w:sz w:val="22"/>
        </w:rPr>
        <w:t>7．交通运输</w:t>
      </w:r>
    </w:p>
    <w:p>
      <w:pPr>
        <w:snapToGrid w:val="0"/>
        <w:spacing w:line="360" w:lineRule="auto"/>
        <w:rPr>
          <w:rFonts w:ascii="宋体" w:hAnsi="宋体" w:cs="宋体"/>
          <w:sz w:val="22"/>
        </w:rPr>
      </w:pPr>
      <w:r>
        <w:rPr>
          <w:rFonts w:hint="eastAsia" w:ascii="宋体" w:hAnsi="宋体" w:cs="宋体"/>
          <w:sz w:val="22"/>
        </w:rPr>
        <w:t>7.1 道路通行权和场外设施</w:t>
      </w:r>
    </w:p>
    <w:p>
      <w:pPr>
        <w:snapToGrid w:val="0"/>
        <w:spacing w:line="360" w:lineRule="auto"/>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auto"/>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auto"/>
        <w:rPr>
          <w:rFonts w:ascii="宋体" w:hAnsi="宋体" w:cs="宋体"/>
          <w:sz w:val="22"/>
        </w:rPr>
      </w:pPr>
      <w:r>
        <w:rPr>
          <w:rFonts w:hint="eastAsia" w:ascii="宋体" w:hAnsi="宋体" w:cs="宋体"/>
          <w:sz w:val="22"/>
        </w:rPr>
        <w:t>9．施工安全、治安保卫和环境保护</w:t>
      </w:r>
    </w:p>
    <w:p>
      <w:pPr>
        <w:snapToGrid w:val="0"/>
        <w:spacing w:line="360" w:lineRule="auto"/>
        <w:rPr>
          <w:rFonts w:ascii="宋体" w:hAnsi="宋体" w:cs="宋体"/>
          <w:sz w:val="22"/>
        </w:rPr>
      </w:pPr>
      <w:r>
        <w:rPr>
          <w:rFonts w:hint="eastAsia" w:ascii="宋体" w:hAnsi="宋体" w:cs="宋体"/>
          <w:sz w:val="22"/>
        </w:rPr>
        <w:t>9.2 承包人的施工安全责任</w:t>
      </w:r>
    </w:p>
    <w:p>
      <w:pPr>
        <w:snapToGrid w:val="0"/>
        <w:spacing w:line="360" w:lineRule="auto"/>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auto"/>
        <w:ind w:firstLine="440" w:firstLineChars="200"/>
        <w:rPr>
          <w:rFonts w:ascii="宋体" w:hAnsi="宋体" w:cs="宋体"/>
          <w:sz w:val="22"/>
        </w:rPr>
      </w:pPr>
      <w:r>
        <w:rPr>
          <w:rFonts w:hint="eastAsia" w:ascii="宋体" w:hAnsi="宋体" w:cs="宋体"/>
          <w:sz w:val="22"/>
        </w:rPr>
        <w:t>增加以下条款：</w:t>
      </w:r>
    </w:p>
    <w:p>
      <w:pPr>
        <w:snapToGrid w:val="0"/>
        <w:spacing w:line="360" w:lineRule="auto"/>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auto"/>
        <w:rPr>
          <w:rFonts w:ascii="宋体" w:hAnsi="宋体" w:cs="宋体"/>
          <w:sz w:val="22"/>
        </w:rPr>
      </w:pPr>
      <w:r>
        <w:rPr>
          <w:rFonts w:hint="eastAsia" w:ascii="宋体" w:hAnsi="宋体" w:cs="宋体"/>
          <w:sz w:val="22"/>
        </w:rPr>
        <w:t>10．进度计划</w:t>
      </w:r>
    </w:p>
    <w:p>
      <w:pPr>
        <w:snapToGrid w:val="0"/>
        <w:spacing w:line="360" w:lineRule="auto"/>
        <w:rPr>
          <w:rFonts w:ascii="宋体" w:hAnsi="宋体" w:cs="宋体"/>
          <w:sz w:val="22"/>
        </w:rPr>
      </w:pPr>
      <w:r>
        <w:rPr>
          <w:rFonts w:hint="eastAsia" w:ascii="宋体" w:hAnsi="宋体" w:cs="宋体"/>
          <w:sz w:val="22"/>
        </w:rPr>
        <w:t>10.1 合同进度计划</w:t>
      </w:r>
    </w:p>
    <w:p>
      <w:pPr>
        <w:snapToGrid w:val="0"/>
        <w:spacing w:line="360" w:lineRule="auto"/>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auto"/>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auto"/>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auto"/>
        <w:rPr>
          <w:rFonts w:ascii="宋体" w:hAnsi="宋体" w:cs="宋体"/>
          <w:sz w:val="22"/>
        </w:rPr>
      </w:pPr>
      <w:r>
        <w:rPr>
          <w:rFonts w:hint="eastAsia" w:ascii="宋体" w:hAnsi="宋体" w:cs="宋体"/>
          <w:sz w:val="22"/>
        </w:rPr>
        <w:t>10.2 合同进度计划的修订</w:t>
      </w:r>
    </w:p>
    <w:p>
      <w:pPr>
        <w:snapToGrid w:val="0"/>
        <w:spacing w:line="360" w:lineRule="auto"/>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auto"/>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auto"/>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auto"/>
        <w:rPr>
          <w:rFonts w:ascii="宋体" w:hAnsi="宋体" w:cs="宋体"/>
          <w:sz w:val="22"/>
        </w:rPr>
      </w:pPr>
      <w:r>
        <w:rPr>
          <w:rFonts w:hint="eastAsia" w:ascii="宋体" w:hAnsi="宋体" w:cs="宋体"/>
          <w:sz w:val="22"/>
        </w:rPr>
        <w:t>11．开工和竣工</w:t>
      </w:r>
    </w:p>
    <w:p>
      <w:pPr>
        <w:snapToGrid w:val="0"/>
        <w:spacing w:line="360" w:lineRule="auto"/>
        <w:rPr>
          <w:rFonts w:ascii="宋体" w:hAnsi="宋体" w:cs="宋体"/>
          <w:sz w:val="22"/>
        </w:rPr>
      </w:pPr>
      <w:r>
        <w:rPr>
          <w:rFonts w:hint="eastAsia" w:ascii="宋体" w:hAnsi="宋体" w:cs="宋体"/>
          <w:sz w:val="22"/>
        </w:rPr>
        <w:t>11.5 承包人的工期延误</w:t>
      </w:r>
    </w:p>
    <w:p>
      <w:pPr>
        <w:snapToGrid w:val="0"/>
        <w:spacing w:line="360" w:lineRule="auto"/>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topLinePunct/>
        <w:spacing w:line="360" w:lineRule="auto"/>
        <w:ind w:firstLine="440" w:firstLineChars="200"/>
        <w:rPr>
          <w:rFonts w:ascii="宋体" w:hAnsi="宋体" w:cs="宋体"/>
          <w:sz w:val="22"/>
        </w:rPr>
      </w:pPr>
      <w:r>
        <w:rPr>
          <w:rFonts w:hint="eastAsia" w:ascii="宋体" w:hAnsi="宋体" w:cs="宋体"/>
          <w:sz w:val="22"/>
        </w:rPr>
        <w:t>（1）逾期交货：乙方逾期交货的，每逾期一天，向甲方支付1000元违约金， 整机中的的零部件逾期交货，按整机逾期交货计算违约金；</w:t>
      </w:r>
    </w:p>
    <w:p>
      <w:pPr>
        <w:snapToGrid w:val="0"/>
        <w:spacing w:line="360" w:lineRule="auto"/>
        <w:ind w:firstLine="440" w:firstLineChars="200"/>
        <w:rPr>
          <w:rFonts w:ascii="宋体" w:hAnsi="宋体" w:cs="宋体"/>
          <w:sz w:val="22"/>
        </w:rPr>
      </w:pPr>
      <w:r>
        <w:rPr>
          <w:rFonts w:hint="eastAsia" w:ascii="宋体" w:hAnsi="宋体" w:cs="宋体"/>
          <w:sz w:val="22"/>
        </w:rPr>
        <w:t>（2）</w:t>
      </w:r>
      <w:r>
        <w:rPr>
          <w:rFonts w:hint="eastAsia" w:ascii="宋体" w:hAnsi="宋体" w:cs="宋体"/>
          <w:sz w:val="22"/>
        </w:rPr>
        <w:tab/>
      </w:r>
      <w:r>
        <w:rPr>
          <w:rFonts w:hint="eastAsia" w:ascii="宋体" w:hAnsi="宋体" w:cs="宋体"/>
          <w:sz w:val="22"/>
        </w:rPr>
        <w:t>逾期交货的违约赔偿最高限额为逾期交货部分货款价值的5％，如违约金达到最高限额时投标人仍不能交货的，甲方有权解除本合同；</w:t>
      </w:r>
    </w:p>
    <w:p>
      <w:pPr>
        <w:snapToGrid w:val="0"/>
        <w:spacing w:line="360" w:lineRule="auto"/>
        <w:ind w:firstLine="440" w:firstLineChars="200"/>
        <w:rPr>
          <w:rFonts w:ascii="宋体" w:hAnsi="宋体" w:cs="宋体"/>
          <w:sz w:val="22"/>
        </w:rPr>
      </w:pPr>
      <w:r>
        <w:rPr>
          <w:rFonts w:hint="eastAsia" w:ascii="宋体" w:hAnsi="宋体" w:cs="宋体"/>
          <w:sz w:val="22"/>
        </w:rPr>
        <w:t>（3）</w:t>
      </w:r>
      <w:r>
        <w:rPr>
          <w:rFonts w:hint="eastAsia" w:ascii="宋体" w:hAnsi="宋体" w:cs="宋体"/>
          <w:sz w:val="22"/>
        </w:rPr>
        <w:tab/>
      </w:r>
      <w:r>
        <w:rPr>
          <w:rFonts w:hint="eastAsia" w:ascii="宋体" w:hAnsi="宋体" w:cs="宋体"/>
          <w:sz w:val="22"/>
        </w:rPr>
        <w:t>如乙方未能履行或违反本合同规定的任何一项义务的，甲方均有权从履约保证金中扣除乙方应当承担的违约金及/或赔偿款。</w:t>
      </w:r>
    </w:p>
    <w:p>
      <w:pPr>
        <w:snapToGrid w:val="0"/>
        <w:spacing w:line="360" w:lineRule="auto"/>
        <w:rPr>
          <w:rFonts w:ascii="宋体" w:hAnsi="宋体" w:cs="宋体"/>
          <w:sz w:val="22"/>
        </w:rPr>
      </w:pPr>
      <w:r>
        <w:rPr>
          <w:rFonts w:hint="eastAsia" w:ascii="宋体" w:hAnsi="宋体" w:cs="宋体"/>
          <w:sz w:val="22"/>
        </w:rPr>
        <w:t>12．暂停施工</w:t>
      </w:r>
    </w:p>
    <w:p>
      <w:pPr>
        <w:snapToGrid w:val="0"/>
        <w:spacing w:line="360" w:lineRule="auto"/>
        <w:rPr>
          <w:rFonts w:ascii="宋体" w:hAnsi="宋体" w:cs="宋体"/>
          <w:sz w:val="22"/>
        </w:rPr>
      </w:pPr>
      <w:r>
        <w:rPr>
          <w:rFonts w:hint="eastAsia" w:ascii="宋体" w:hAnsi="宋体" w:cs="宋体"/>
          <w:sz w:val="22"/>
        </w:rPr>
        <w:t>12.1 承包人暂停施工的责任</w:t>
      </w:r>
    </w:p>
    <w:p>
      <w:pPr>
        <w:snapToGrid w:val="0"/>
        <w:spacing w:line="360" w:lineRule="auto"/>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auto"/>
        <w:rPr>
          <w:rFonts w:ascii="宋体" w:hAnsi="宋体" w:cs="宋体"/>
          <w:sz w:val="22"/>
        </w:rPr>
      </w:pPr>
      <w:r>
        <w:rPr>
          <w:rFonts w:hint="eastAsia" w:ascii="宋体" w:hAnsi="宋体" w:cs="宋体"/>
          <w:sz w:val="22"/>
        </w:rPr>
        <w:t>13．工程质量</w:t>
      </w:r>
    </w:p>
    <w:p>
      <w:pPr>
        <w:snapToGrid w:val="0"/>
        <w:spacing w:line="360" w:lineRule="auto"/>
        <w:rPr>
          <w:rFonts w:ascii="宋体" w:hAnsi="宋体" w:cs="宋体"/>
          <w:sz w:val="22"/>
        </w:rPr>
      </w:pPr>
      <w:r>
        <w:rPr>
          <w:rFonts w:hint="eastAsia" w:ascii="宋体" w:hAnsi="宋体" w:cs="宋体"/>
          <w:sz w:val="22"/>
        </w:rPr>
        <w:t>13.7 承包人施工质量不达标的责任</w:t>
      </w:r>
    </w:p>
    <w:p>
      <w:pPr>
        <w:snapToGrid w:val="0"/>
        <w:spacing w:line="360" w:lineRule="auto"/>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auto"/>
        <w:rPr>
          <w:rFonts w:ascii="宋体" w:hAnsi="宋体" w:cs="宋体"/>
          <w:sz w:val="22"/>
        </w:rPr>
      </w:pPr>
      <w:r>
        <w:rPr>
          <w:rFonts w:hint="eastAsia" w:ascii="宋体" w:hAnsi="宋体" w:cs="宋体"/>
          <w:sz w:val="22"/>
        </w:rPr>
        <w:t>14．试验和检验</w:t>
      </w:r>
    </w:p>
    <w:p>
      <w:pPr>
        <w:snapToGrid w:val="0"/>
        <w:spacing w:line="360" w:lineRule="auto"/>
        <w:rPr>
          <w:rFonts w:ascii="宋体" w:hAnsi="宋体" w:cs="宋体"/>
          <w:sz w:val="22"/>
        </w:rPr>
      </w:pPr>
      <w:r>
        <w:rPr>
          <w:rFonts w:hint="eastAsia" w:ascii="宋体" w:hAnsi="宋体" w:cs="宋体"/>
          <w:sz w:val="22"/>
        </w:rPr>
        <w:t>14.4 检验费用的约定</w:t>
      </w:r>
    </w:p>
    <w:p>
      <w:pPr>
        <w:snapToGrid w:val="0"/>
        <w:spacing w:line="360" w:lineRule="auto"/>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auto"/>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auto"/>
        <w:rPr>
          <w:rFonts w:ascii="宋体" w:hAnsi="宋体" w:cs="宋体"/>
          <w:sz w:val="22"/>
        </w:rPr>
      </w:pPr>
      <w:r>
        <w:rPr>
          <w:rFonts w:hint="eastAsia" w:ascii="宋体" w:hAnsi="宋体" w:cs="宋体"/>
          <w:sz w:val="22"/>
        </w:rPr>
        <w:t>15．变更（本项目不存在变更）</w:t>
      </w:r>
    </w:p>
    <w:p>
      <w:pPr>
        <w:snapToGrid w:val="0"/>
        <w:spacing w:line="360" w:lineRule="auto"/>
        <w:rPr>
          <w:rFonts w:ascii="宋体" w:hAnsi="宋体" w:cs="宋体"/>
          <w:sz w:val="22"/>
        </w:rPr>
      </w:pPr>
      <w:r>
        <w:rPr>
          <w:rFonts w:hint="eastAsia" w:ascii="宋体" w:hAnsi="宋体" w:cs="宋体"/>
          <w:sz w:val="22"/>
        </w:rPr>
        <w:t>16．价格调整</w:t>
      </w:r>
    </w:p>
    <w:p>
      <w:pPr>
        <w:snapToGrid w:val="0"/>
        <w:spacing w:line="360" w:lineRule="auto"/>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auto"/>
        <w:rPr>
          <w:rFonts w:ascii="宋体" w:hAnsi="宋体" w:cs="宋体"/>
          <w:sz w:val="22"/>
        </w:rPr>
      </w:pPr>
      <w:r>
        <w:rPr>
          <w:rFonts w:hint="eastAsia" w:ascii="宋体" w:hAnsi="宋体" w:cs="宋体"/>
          <w:sz w:val="22"/>
        </w:rPr>
        <w:t>17．计量与支付</w:t>
      </w:r>
    </w:p>
    <w:p>
      <w:pPr>
        <w:snapToGrid w:val="0"/>
        <w:spacing w:line="360" w:lineRule="auto"/>
        <w:rPr>
          <w:rFonts w:ascii="宋体" w:hAnsi="宋体" w:cs="宋体"/>
          <w:sz w:val="22"/>
        </w:rPr>
      </w:pPr>
      <w:r>
        <w:rPr>
          <w:rFonts w:hint="eastAsia" w:ascii="宋体" w:hAnsi="宋体" w:cs="宋体"/>
          <w:sz w:val="22"/>
        </w:rPr>
        <w:t>17.2 预付款</w:t>
      </w:r>
    </w:p>
    <w:p>
      <w:pPr>
        <w:snapToGrid w:val="0"/>
        <w:spacing w:line="360" w:lineRule="auto"/>
        <w:ind w:firstLine="440" w:firstLineChars="200"/>
        <w:rPr>
          <w:rFonts w:ascii="宋体" w:hAnsi="宋体" w:cs="宋体"/>
          <w:sz w:val="22"/>
        </w:rPr>
      </w:pPr>
      <w:r>
        <w:rPr>
          <w:rFonts w:hint="eastAsia" w:ascii="宋体" w:hAnsi="宋体" w:cs="宋体"/>
          <w:sz w:val="22"/>
        </w:rPr>
        <w:t>17.2.1 预付款</w:t>
      </w:r>
    </w:p>
    <w:p>
      <w:pPr>
        <w:snapToGrid w:val="0"/>
        <w:spacing w:line="360" w:lineRule="auto"/>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auto"/>
        <w:ind w:firstLine="440" w:firstLineChars="200"/>
        <w:rPr>
          <w:rFonts w:ascii="宋体" w:hAnsi="宋体" w:cs="宋体"/>
          <w:sz w:val="22"/>
        </w:rPr>
      </w:pPr>
      <w:r>
        <w:rPr>
          <w:rFonts w:hint="eastAsia" w:ascii="宋体" w:hAnsi="宋体" w:cs="宋体"/>
          <w:sz w:val="22"/>
        </w:rPr>
        <w:t>17.2.3预付款扣回：/。</w:t>
      </w:r>
    </w:p>
    <w:p>
      <w:pPr>
        <w:snapToGrid w:val="0"/>
        <w:spacing w:line="360" w:lineRule="auto"/>
        <w:rPr>
          <w:rFonts w:ascii="宋体" w:hAnsi="宋体" w:cs="宋体"/>
          <w:sz w:val="22"/>
        </w:rPr>
      </w:pPr>
      <w:r>
        <w:rPr>
          <w:rFonts w:hint="eastAsia" w:ascii="宋体" w:hAnsi="宋体" w:cs="宋体"/>
          <w:sz w:val="22"/>
        </w:rPr>
        <w:t>17.3 工程进度付款</w:t>
      </w:r>
    </w:p>
    <w:p>
      <w:pPr>
        <w:snapToGrid w:val="0"/>
        <w:spacing w:line="360" w:lineRule="auto"/>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auto"/>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auto"/>
        <w:ind w:firstLine="440" w:firstLineChars="200"/>
        <w:rPr>
          <w:rFonts w:ascii="宋体" w:hAnsi="宋体" w:cs="宋体"/>
          <w:sz w:val="22"/>
        </w:rPr>
      </w:pPr>
      <w:r>
        <w:rPr>
          <w:rFonts w:hint="eastAsia" w:ascii="宋体" w:hAnsi="宋体" w:cs="宋体"/>
          <w:sz w:val="22"/>
        </w:rPr>
        <w:t>17.3.2工程进度款：</w:t>
      </w:r>
    </w:p>
    <w:p>
      <w:pPr>
        <w:snapToGrid w:val="0"/>
        <w:spacing w:line="360" w:lineRule="auto"/>
        <w:ind w:firstLine="440" w:firstLineChars="200"/>
        <w:rPr>
          <w:rFonts w:ascii="宋体" w:hAnsi="宋体" w:cs="宋体"/>
          <w:sz w:val="22"/>
          <w:u w:val="single"/>
        </w:rPr>
      </w:pPr>
      <w:r>
        <w:rPr>
          <w:rFonts w:hint="eastAsia" w:ascii="宋体" w:hAnsi="宋体" w:cs="宋体"/>
          <w:sz w:val="22"/>
        </w:rPr>
        <w:t>双方约定的进度付款的支付方式和金额：</w:t>
      </w:r>
      <w:r>
        <w:rPr>
          <w:rFonts w:hint="eastAsia" w:ascii="宋体" w:hAnsi="宋体" w:cs="宋体"/>
          <w:sz w:val="22"/>
          <w:u w:val="single"/>
        </w:rPr>
        <w:t>工程竣工验收通过并完成工程结算，经发包人认可后</w:t>
      </w:r>
      <w:r>
        <w:rPr>
          <w:rFonts w:ascii="宋体" w:hAnsi="宋体" w:cs="宋体"/>
          <w:sz w:val="22"/>
          <w:u w:val="single"/>
        </w:rPr>
        <w:t>30</w:t>
      </w:r>
      <w:r>
        <w:rPr>
          <w:rFonts w:hint="eastAsia" w:ascii="宋体" w:hAnsi="宋体" w:cs="宋体"/>
          <w:sz w:val="22"/>
          <w:u w:val="single"/>
        </w:rPr>
        <w:t>天内，发包人向承包人支付结算价的</w:t>
      </w:r>
      <w:r>
        <w:rPr>
          <w:rFonts w:ascii="宋体" w:hAnsi="宋体" w:cs="宋体"/>
          <w:sz w:val="22"/>
          <w:u w:val="single"/>
        </w:rPr>
        <w:t>9</w:t>
      </w:r>
      <w:r>
        <w:rPr>
          <w:rFonts w:hint="eastAsia" w:ascii="宋体" w:hAnsi="宋体" w:cs="宋体"/>
          <w:sz w:val="22"/>
          <w:u w:val="single"/>
        </w:rPr>
        <w:t>5</w:t>
      </w:r>
      <w:r>
        <w:rPr>
          <w:rFonts w:ascii="宋体" w:hAnsi="宋体" w:cs="宋体"/>
          <w:sz w:val="22"/>
          <w:u w:val="single"/>
        </w:rPr>
        <w:t>%</w:t>
      </w:r>
      <w:r>
        <w:rPr>
          <w:rFonts w:hint="eastAsia" w:ascii="宋体" w:hAnsi="宋体" w:cs="宋体"/>
          <w:sz w:val="22"/>
          <w:u w:val="single"/>
        </w:rPr>
        <w:t>，并无息退还承包人履约保证金。结算价的5</w:t>
      </w:r>
      <w:r>
        <w:rPr>
          <w:rFonts w:ascii="宋体" w:hAnsi="宋体" w:cs="宋体"/>
          <w:sz w:val="22"/>
          <w:u w:val="single"/>
        </w:rPr>
        <w:t>%</w:t>
      </w:r>
      <w:r>
        <w:rPr>
          <w:rFonts w:hint="eastAsia" w:ascii="宋体" w:hAnsi="宋体" w:cs="宋体"/>
          <w:sz w:val="22"/>
          <w:u w:val="single"/>
        </w:rPr>
        <w:t>留作质量保证金，待缺陷责任期满后无利息支付。</w:t>
      </w:r>
    </w:p>
    <w:p>
      <w:pPr>
        <w:snapToGrid w:val="0"/>
        <w:spacing w:line="360" w:lineRule="auto"/>
        <w:ind w:firstLine="440" w:firstLineChars="200"/>
        <w:rPr>
          <w:rFonts w:ascii="宋体" w:hAnsi="宋体" w:cs="宋体"/>
          <w:sz w:val="22"/>
        </w:rPr>
      </w:pPr>
      <w:r>
        <w:rPr>
          <w:rFonts w:hint="eastAsia" w:ascii="宋体" w:hAnsi="宋体" w:cs="宋体"/>
          <w:sz w:val="22"/>
        </w:rPr>
        <w:t>17.4 质量保证金</w:t>
      </w:r>
    </w:p>
    <w:p>
      <w:pPr>
        <w:snapToGrid w:val="0"/>
        <w:spacing w:line="360" w:lineRule="auto"/>
        <w:ind w:firstLine="440" w:firstLineChars="200"/>
        <w:rPr>
          <w:rFonts w:ascii="宋体" w:hAnsi="宋体" w:cs="宋体"/>
          <w:sz w:val="22"/>
        </w:rPr>
      </w:pPr>
      <w:r>
        <w:rPr>
          <w:rFonts w:hint="eastAsia" w:ascii="宋体" w:hAnsi="宋体" w:cs="宋体"/>
          <w:sz w:val="22"/>
        </w:rPr>
        <w:t>修改以下内容：</w:t>
      </w:r>
    </w:p>
    <w:p>
      <w:pPr>
        <w:snapToGrid w:val="0"/>
        <w:spacing w:line="360" w:lineRule="auto"/>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auto"/>
        <w:rPr>
          <w:rFonts w:ascii="宋体" w:hAnsi="宋体" w:cs="宋体"/>
          <w:sz w:val="22"/>
        </w:rPr>
      </w:pPr>
      <w:r>
        <w:rPr>
          <w:rFonts w:hint="eastAsia" w:ascii="宋体" w:hAnsi="宋体" w:cs="宋体"/>
          <w:sz w:val="22"/>
        </w:rPr>
        <w:t>17.5 竣工结算</w:t>
      </w:r>
    </w:p>
    <w:p>
      <w:pPr>
        <w:snapToGrid w:val="0"/>
        <w:spacing w:line="360" w:lineRule="auto"/>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auto"/>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auto"/>
        <w:rPr>
          <w:rFonts w:ascii="宋体" w:hAnsi="宋体" w:cs="宋体"/>
          <w:sz w:val="22"/>
        </w:rPr>
      </w:pPr>
      <w:r>
        <w:rPr>
          <w:rFonts w:hint="eastAsia" w:ascii="宋体" w:hAnsi="宋体" w:cs="宋体"/>
          <w:sz w:val="22"/>
        </w:rPr>
        <w:t>17.6 最终结清</w:t>
      </w:r>
    </w:p>
    <w:p>
      <w:pPr>
        <w:snapToGrid w:val="0"/>
        <w:spacing w:line="360" w:lineRule="auto"/>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auto"/>
        <w:ind w:firstLine="440" w:firstLineChars="200"/>
        <w:rPr>
          <w:rFonts w:ascii="宋体" w:hAnsi="宋体" w:cs="宋体"/>
          <w:sz w:val="22"/>
        </w:rPr>
      </w:pPr>
      <w:r>
        <w:rPr>
          <w:rFonts w:hint="eastAsia" w:ascii="宋体" w:hAnsi="宋体" w:cs="宋体"/>
          <w:sz w:val="22"/>
        </w:rPr>
        <w:t>双方约定承包人提交的最终结清申请单份数： 6份，时间：质保期终止后28天内。</w:t>
      </w:r>
    </w:p>
    <w:p>
      <w:pPr>
        <w:snapToGrid w:val="0"/>
        <w:spacing w:line="360" w:lineRule="auto"/>
        <w:rPr>
          <w:rFonts w:ascii="宋体" w:hAnsi="宋体" w:cs="宋体"/>
          <w:sz w:val="22"/>
        </w:rPr>
      </w:pPr>
      <w:r>
        <w:rPr>
          <w:rFonts w:hint="eastAsia" w:ascii="宋体" w:hAnsi="宋体" w:cs="宋体"/>
          <w:sz w:val="22"/>
        </w:rPr>
        <w:t>18．竣工验收</w:t>
      </w:r>
    </w:p>
    <w:p>
      <w:pPr>
        <w:snapToGrid w:val="0"/>
        <w:spacing w:line="360" w:lineRule="auto"/>
        <w:rPr>
          <w:rFonts w:ascii="宋体" w:hAnsi="宋体" w:cs="宋体"/>
          <w:sz w:val="22"/>
        </w:rPr>
      </w:pPr>
      <w:r>
        <w:rPr>
          <w:rFonts w:hint="eastAsia" w:ascii="宋体" w:hAnsi="宋体" w:cs="宋体"/>
          <w:sz w:val="22"/>
        </w:rPr>
        <w:t>18.9竣工归档资料</w:t>
      </w:r>
    </w:p>
    <w:p>
      <w:pPr>
        <w:snapToGrid w:val="0"/>
        <w:spacing w:line="360" w:lineRule="auto"/>
        <w:ind w:firstLine="440" w:firstLineChars="200"/>
        <w:rPr>
          <w:rFonts w:ascii="宋体" w:hAnsi="宋体" w:cs="宋体"/>
          <w:sz w:val="22"/>
        </w:rPr>
      </w:pPr>
      <w:r>
        <w:rPr>
          <w:rFonts w:hint="eastAsia" w:ascii="宋体" w:hAnsi="宋体" w:cs="宋体"/>
          <w:sz w:val="22"/>
        </w:rPr>
        <w:t>承包人应在合同规定的工程竣工日的7天前，免费向发包人提交4套竣工资料（包括相片）。如因资料不符合要求而产生的资料整理费用，由承包人承担。</w:t>
      </w:r>
    </w:p>
    <w:p>
      <w:pPr>
        <w:snapToGrid w:val="0"/>
        <w:spacing w:line="360" w:lineRule="auto"/>
        <w:rPr>
          <w:rFonts w:ascii="宋体" w:hAnsi="宋体" w:cs="宋体"/>
          <w:sz w:val="22"/>
        </w:rPr>
      </w:pPr>
      <w:r>
        <w:rPr>
          <w:rFonts w:hint="eastAsia" w:ascii="宋体" w:hAnsi="宋体" w:cs="宋体"/>
          <w:sz w:val="22"/>
        </w:rPr>
        <w:t>19．缺陷责任与保修责任</w:t>
      </w:r>
    </w:p>
    <w:p>
      <w:pPr>
        <w:snapToGrid w:val="0"/>
        <w:spacing w:line="360" w:lineRule="auto"/>
        <w:rPr>
          <w:rFonts w:ascii="宋体" w:hAnsi="宋体" w:cs="宋体"/>
          <w:sz w:val="22"/>
        </w:rPr>
      </w:pPr>
      <w:r>
        <w:rPr>
          <w:rFonts w:hint="eastAsia" w:ascii="宋体" w:hAnsi="宋体" w:cs="宋体"/>
          <w:sz w:val="22"/>
        </w:rPr>
        <w:t>19.7 保修责任</w:t>
      </w:r>
    </w:p>
    <w:p>
      <w:pPr>
        <w:snapToGrid w:val="0"/>
        <w:spacing w:line="360" w:lineRule="auto"/>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auto"/>
        <w:rPr>
          <w:rFonts w:ascii="宋体" w:hAnsi="宋体" w:cs="宋体"/>
          <w:sz w:val="22"/>
        </w:rPr>
      </w:pPr>
      <w:r>
        <w:rPr>
          <w:rFonts w:hint="eastAsia" w:ascii="宋体" w:hAnsi="宋体" w:cs="宋体"/>
          <w:sz w:val="22"/>
        </w:rPr>
        <w:t>20．保险</w:t>
      </w:r>
    </w:p>
    <w:p>
      <w:pPr>
        <w:snapToGrid w:val="0"/>
        <w:spacing w:line="360" w:lineRule="auto"/>
        <w:rPr>
          <w:rFonts w:ascii="宋体" w:hAnsi="宋体" w:cs="宋体"/>
          <w:sz w:val="22"/>
        </w:rPr>
      </w:pPr>
      <w:r>
        <w:rPr>
          <w:rFonts w:hint="eastAsia" w:ascii="宋体" w:hAnsi="宋体" w:cs="宋体"/>
          <w:sz w:val="22"/>
        </w:rPr>
        <w:t>20.1 工程保险</w:t>
      </w:r>
    </w:p>
    <w:p>
      <w:pPr>
        <w:snapToGrid w:val="0"/>
        <w:spacing w:line="360" w:lineRule="auto"/>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auto"/>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发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auto"/>
        <w:ind w:firstLine="440" w:firstLineChars="200"/>
        <w:rPr>
          <w:rFonts w:ascii="宋体" w:hAnsi="宋体" w:cs="宋体"/>
          <w:sz w:val="22"/>
        </w:rPr>
      </w:pPr>
      <w:r>
        <w:rPr>
          <w:rFonts w:hint="eastAsia" w:ascii="宋体" w:hAnsi="宋体" w:cs="宋体"/>
          <w:sz w:val="22"/>
        </w:rPr>
        <w:t>承包人须在签订本合同之日起20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auto"/>
        <w:rPr>
          <w:rFonts w:ascii="宋体" w:hAnsi="宋体" w:cs="宋体"/>
          <w:sz w:val="22"/>
        </w:rPr>
      </w:pPr>
      <w:r>
        <w:rPr>
          <w:rFonts w:hint="eastAsia" w:ascii="宋体" w:hAnsi="宋体" w:cs="宋体"/>
          <w:sz w:val="22"/>
        </w:rPr>
        <w:t>21．不可抗力</w:t>
      </w:r>
    </w:p>
    <w:p>
      <w:pPr>
        <w:snapToGrid w:val="0"/>
        <w:spacing w:line="360" w:lineRule="auto"/>
        <w:rPr>
          <w:rFonts w:ascii="宋体" w:hAnsi="宋体" w:cs="宋体"/>
          <w:sz w:val="22"/>
        </w:rPr>
      </w:pPr>
      <w:r>
        <w:rPr>
          <w:rFonts w:hint="eastAsia" w:ascii="宋体" w:hAnsi="宋体" w:cs="宋体"/>
          <w:sz w:val="22"/>
        </w:rPr>
        <w:t>21.1 不可抗力的确认</w:t>
      </w:r>
    </w:p>
    <w:p>
      <w:pPr>
        <w:snapToGrid w:val="0"/>
        <w:spacing w:line="360" w:lineRule="auto"/>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auto"/>
        <w:rPr>
          <w:rFonts w:ascii="宋体" w:hAnsi="宋体" w:cs="宋体"/>
          <w:sz w:val="22"/>
        </w:rPr>
      </w:pPr>
      <w:r>
        <w:rPr>
          <w:rFonts w:hint="eastAsia" w:ascii="宋体" w:hAnsi="宋体" w:cs="宋体"/>
          <w:sz w:val="22"/>
        </w:rPr>
        <w:t>22．违约</w:t>
      </w:r>
    </w:p>
    <w:p>
      <w:pPr>
        <w:snapToGrid w:val="0"/>
        <w:spacing w:line="360" w:lineRule="auto"/>
        <w:rPr>
          <w:rFonts w:ascii="宋体" w:hAnsi="宋体" w:cs="宋体"/>
          <w:sz w:val="22"/>
        </w:rPr>
      </w:pPr>
      <w:r>
        <w:rPr>
          <w:rFonts w:hint="eastAsia" w:ascii="宋体" w:hAnsi="宋体" w:cs="宋体"/>
          <w:sz w:val="22"/>
        </w:rPr>
        <w:t>22.1 承包人违约</w:t>
      </w:r>
    </w:p>
    <w:p>
      <w:pPr>
        <w:snapToGrid w:val="0"/>
        <w:spacing w:line="360" w:lineRule="auto"/>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auto"/>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auto"/>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auto"/>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auto"/>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auto"/>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auto"/>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auto"/>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auto"/>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auto"/>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auto"/>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auto"/>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auto"/>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auto"/>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auto"/>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auto"/>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auto"/>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auto"/>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auto"/>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auto"/>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auto"/>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auto"/>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auto"/>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auto"/>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auto"/>
        <w:rPr>
          <w:rFonts w:ascii="宋体" w:hAnsi="宋体" w:cs="宋体"/>
          <w:sz w:val="22"/>
        </w:rPr>
      </w:pPr>
      <w:r>
        <w:rPr>
          <w:rFonts w:hint="eastAsia" w:ascii="宋体" w:hAnsi="宋体" w:cs="宋体"/>
          <w:sz w:val="22"/>
        </w:rPr>
        <w:t>24．争议的解决</w:t>
      </w:r>
    </w:p>
    <w:p>
      <w:pPr>
        <w:snapToGrid w:val="0"/>
        <w:spacing w:line="360" w:lineRule="auto"/>
        <w:rPr>
          <w:rFonts w:ascii="宋体" w:hAnsi="宋体" w:cs="宋体"/>
          <w:sz w:val="22"/>
        </w:rPr>
      </w:pPr>
      <w:r>
        <w:rPr>
          <w:rFonts w:hint="eastAsia" w:ascii="宋体" w:hAnsi="宋体" w:cs="宋体"/>
          <w:sz w:val="22"/>
        </w:rPr>
        <w:t>24.1 争议的解决方式</w:t>
      </w:r>
    </w:p>
    <w:p>
      <w:pPr>
        <w:snapToGrid w:val="0"/>
        <w:spacing w:line="360" w:lineRule="auto"/>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auto"/>
        <w:rPr>
          <w:rFonts w:ascii="宋体" w:hAnsi="宋体" w:cs="宋体"/>
          <w:sz w:val="22"/>
        </w:rPr>
      </w:pPr>
      <w:r>
        <w:rPr>
          <w:rFonts w:hint="eastAsia" w:ascii="宋体" w:hAnsi="宋体" w:cs="宋体"/>
          <w:sz w:val="22"/>
        </w:rPr>
        <w:t>25．其他补充条款</w:t>
      </w:r>
    </w:p>
    <w:p>
      <w:pPr>
        <w:snapToGrid w:val="0"/>
        <w:spacing w:line="360" w:lineRule="auto"/>
        <w:rPr>
          <w:rFonts w:ascii="宋体" w:hAnsi="宋体" w:cs="宋体"/>
          <w:sz w:val="22"/>
        </w:rPr>
      </w:pPr>
      <w:r>
        <w:rPr>
          <w:rFonts w:hint="eastAsia" w:ascii="宋体" w:hAnsi="宋体" w:cs="宋体"/>
          <w:sz w:val="22"/>
        </w:rPr>
        <w:t>25.1 投标文件的充分性</w:t>
      </w:r>
    </w:p>
    <w:p>
      <w:pPr>
        <w:snapToGrid w:val="0"/>
        <w:spacing w:line="360" w:lineRule="auto"/>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auto"/>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auto"/>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auto"/>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auto"/>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auto"/>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auto"/>
        <w:rPr>
          <w:rFonts w:ascii="宋体" w:hAnsi="宋体" w:cs="宋体"/>
          <w:sz w:val="22"/>
        </w:rPr>
      </w:pPr>
      <w:r>
        <w:rPr>
          <w:rFonts w:hint="eastAsia" w:ascii="宋体" w:hAnsi="宋体" w:cs="宋体"/>
          <w:sz w:val="22"/>
        </w:rPr>
        <w:t>25.5本工程须注意以下事项：</w:t>
      </w:r>
    </w:p>
    <w:p>
      <w:pPr>
        <w:snapToGrid w:val="0"/>
        <w:spacing w:line="360" w:lineRule="auto"/>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auto"/>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auto"/>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auto"/>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auto"/>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auto"/>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auto"/>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auto"/>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auto"/>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auto"/>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auto"/>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auto"/>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auto"/>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auto"/>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auto"/>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auto"/>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auto"/>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auto"/>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auto"/>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auto"/>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auto"/>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auto"/>
        <w:rPr>
          <w:rFonts w:ascii="宋体" w:hAnsi="宋体" w:cs="宋体"/>
          <w:sz w:val="22"/>
        </w:rPr>
      </w:pPr>
      <w:r>
        <w:rPr>
          <w:rFonts w:hint="eastAsia" w:ascii="宋体" w:hAnsi="宋体" w:cs="宋体"/>
          <w:sz w:val="22"/>
        </w:rPr>
        <w:t>25.12承包人进场后应服从发包人的监督和管理。</w:t>
      </w:r>
    </w:p>
    <w:p>
      <w:pPr>
        <w:snapToGrid w:val="0"/>
        <w:spacing w:line="360" w:lineRule="auto"/>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auto"/>
        <w:rPr>
          <w:rFonts w:ascii="宋体" w:hAnsi="宋体" w:cs="宋体"/>
          <w:sz w:val="22"/>
        </w:rPr>
      </w:pPr>
      <w:r>
        <w:rPr>
          <w:rFonts w:hint="eastAsia" w:ascii="宋体" w:hAnsi="宋体" w:cs="宋体"/>
          <w:sz w:val="22"/>
        </w:rPr>
        <w:t>25.14施工用水：由发包人提供用水接口，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发包人计量为准。</w:t>
      </w:r>
    </w:p>
    <w:p>
      <w:pPr>
        <w:snapToGrid w:val="0"/>
        <w:spacing w:line="360" w:lineRule="auto"/>
        <w:rPr>
          <w:rFonts w:ascii="宋体" w:hAnsi="宋体" w:cs="宋体"/>
          <w:sz w:val="22"/>
        </w:rPr>
      </w:pPr>
      <w:r>
        <w:rPr>
          <w:rFonts w:hint="eastAsia" w:ascii="宋体" w:hAnsi="宋体" w:cs="宋体"/>
          <w:sz w:val="22"/>
        </w:rPr>
        <w:t>25.15施工用电：由发包人提供用电接口，场内接管、安装电表由承包人自行解决，承包人施工前需向机场水电管理部门提出申请并通过。电费以供电局电价0.8149元/度为基础单价，并在基础单价上加收【20%】的电费转供设施维护费（加收部分主要是损耗、运行维护、维修费等）。如供电局电价调整，电费单价也作相应的调整，收取的【20%】费率不变，收费单价保留小数点后两位，四舍五入，用电计量以发包人计量为准。</w:t>
      </w:r>
    </w:p>
    <w:p>
      <w:pPr>
        <w:snapToGrid w:val="0"/>
        <w:spacing w:line="360" w:lineRule="auto"/>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auto"/>
        <w:rPr>
          <w:rFonts w:ascii="宋体" w:hAnsi="宋体" w:cs="宋体"/>
          <w:sz w:val="22"/>
        </w:rPr>
      </w:pPr>
      <w:r>
        <w:rPr>
          <w:rFonts w:hint="eastAsia" w:ascii="宋体" w:hAnsi="宋体" w:cs="宋体"/>
          <w:sz w:val="22"/>
        </w:rPr>
        <w:t>25.17附件：</w:t>
      </w:r>
    </w:p>
    <w:p>
      <w:pPr>
        <w:snapToGrid w:val="0"/>
        <w:spacing w:line="360" w:lineRule="auto"/>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auto"/>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auto"/>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spacing w:line="360" w:lineRule="auto"/>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spacing w:line="360" w:lineRule="auto"/>
        <w:ind w:firstLine="723"/>
        <w:jc w:val="center"/>
        <w:rPr>
          <w:rFonts w:ascii="宋体" w:hAnsi="宋体" w:cs="宋体"/>
          <w:b/>
          <w:sz w:val="36"/>
        </w:rPr>
      </w:pPr>
      <w:r>
        <w:rPr>
          <w:rFonts w:hint="eastAsia" w:ascii="宋体" w:hAnsi="宋体" w:cs="宋体"/>
          <w:b/>
          <w:sz w:val="36"/>
        </w:rPr>
        <w:t>工程质量保修书</w:t>
      </w:r>
    </w:p>
    <w:p>
      <w:pPr>
        <w:spacing w:line="360" w:lineRule="auto"/>
        <w:rPr>
          <w:rFonts w:ascii="宋体" w:hAnsi="宋体" w:cs="宋体"/>
          <w:sz w:val="22"/>
        </w:rPr>
      </w:pPr>
      <w:r>
        <w:rPr>
          <w:rFonts w:hint="eastAsia" w:ascii="宋体" w:hAnsi="宋体" w:cs="宋体"/>
          <w:sz w:val="22"/>
        </w:rPr>
        <w:t xml:space="preserve">发包人（全称）：杭州萧山国际机场航空物流有限公司                                </w:t>
      </w:r>
    </w:p>
    <w:p>
      <w:pPr>
        <w:spacing w:line="360" w:lineRule="auto"/>
        <w:rPr>
          <w:rFonts w:ascii="宋体" w:hAnsi="宋体" w:cs="宋体"/>
          <w:sz w:val="22"/>
        </w:rPr>
      </w:pPr>
      <w:r>
        <w:rPr>
          <w:rFonts w:hint="eastAsia" w:ascii="宋体" w:hAnsi="宋体" w:cs="宋体"/>
          <w:sz w:val="22"/>
        </w:rPr>
        <w:t xml:space="preserve">承包人（全称）：                                 </w:t>
      </w:r>
    </w:p>
    <w:p>
      <w:pPr>
        <w:spacing w:line="360" w:lineRule="auto"/>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航空物流有限公司2019年海关监管库监控改造项目</w:t>
      </w:r>
      <w:r>
        <w:rPr>
          <w:rFonts w:hint="eastAsia" w:ascii="宋体" w:hAnsi="宋体" w:cs="宋体"/>
          <w:sz w:val="22"/>
        </w:rPr>
        <w:t>（工程全称）签订工程质量保修书。</w:t>
      </w:r>
    </w:p>
    <w:p>
      <w:pPr>
        <w:spacing w:line="360" w:lineRule="auto"/>
        <w:rPr>
          <w:rFonts w:ascii="宋体" w:hAnsi="宋体" w:cs="宋体"/>
          <w:sz w:val="22"/>
        </w:rPr>
      </w:pPr>
      <w:r>
        <w:rPr>
          <w:rFonts w:hint="eastAsia" w:ascii="宋体" w:hAnsi="宋体" w:cs="宋体"/>
          <w:sz w:val="22"/>
        </w:rPr>
        <w:t>　　一、工程质量保修范围和内容</w:t>
      </w:r>
    </w:p>
    <w:p>
      <w:pPr>
        <w:spacing w:line="360" w:lineRule="auto"/>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60" w:lineRule="auto"/>
        <w:ind w:firstLine="420"/>
        <w:rPr>
          <w:rFonts w:ascii="宋体" w:hAnsi="宋体" w:cs="宋体"/>
          <w:sz w:val="22"/>
        </w:rPr>
      </w:pPr>
      <w:r>
        <w:rPr>
          <w:rFonts w:hint="eastAsia" w:ascii="宋体" w:hAnsi="宋体" w:cs="宋体"/>
          <w:sz w:val="22"/>
        </w:rPr>
        <w:t>质量保修范围包括地基基础工程、立杆支架、网络架构工程、管线、设备及安装工程，以及双方约定的其他项目。具体保修的内容，双方约定为</w:t>
      </w:r>
      <w:r>
        <w:rPr>
          <w:rFonts w:hint="eastAsia" w:ascii="宋体" w:hAnsi="宋体" w:cs="宋体"/>
          <w:b/>
          <w:sz w:val="22"/>
          <w:u w:val="single"/>
        </w:rPr>
        <w:t>航空物流有限公司2019年海关监管库监控改造项目</w:t>
      </w:r>
      <w:r>
        <w:rPr>
          <w:rFonts w:hint="eastAsia" w:ascii="宋体" w:hAnsi="宋体" w:cs="宋体"/>
          <w:sz w:val="22"/>
        </w:rPr>
        <w:t>施工所示内容。</w:t>
      </w:r>
    </w:p>
    <w:p>
      <w:pPr>
        <w:spacing w:line="360" w:lineRule="auto"/>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60" w:lineRule="auto"/>
        <w:ind w:firstLine="440" w:firstLineChars="200"/>
        <w:rPr>
          <w:rFonts w:ascii="宋体" w:hAnsi="宋体" w:cs="宋体"/>
          <w:sz w:val="22"/>
        </w:rPr>
      </w:pPr>
      <w:r>
        <w:rPr>
          <w:rFonts w:hint="eastAsia" w:ascii="宋体" w:hAnsi="宋体" w:cs="宋体"/>
          <w:sz w:val="22"/>
        </w:rPr>
        <w:t>质量保证期为现场安装调试完毕，经竣工验收合格且双方共同签署验收合格证书并交付甲方使用之日起</w:t>
      </w:r>
      <w:r>
        <w:rPr>
          <w:rFonts w:hint="eastAsia" w:ascii="宋体" w:hAnsi="宋体" w:cs="宋体"/>
          <w:sz w:val="22"/>
          <w:u w:val="single"/>
        </w:rPr>
        <w:t xml:space="preserve">  24 </w:t>
      </w:r>
      <w:r>
        <w:rPr>
          <w:rFonts w:hint="eastAsia" w:ascii="宋体" w:hAnsi="宋体" w:cs="宋体"/>
          <w:sz w:val="22"/>
        </w:rPr>
        <w:t>个月。在质量保证期内如设备发生故障，承包人应负责维修、更换设备或零部件直至能正常使用。承包人须对合同中规定的整套设备正式使用后提供</w:t>
      </w:r>
      <w:r>
        <w:rPr>
          <w:rFonts w:hint="eastAsia" w:ascii="宋体" w:hAnsi="宋体" w:cs="宋体"/>
          <w:sz w:val="22"/>
          <w:u w:val="single"/>
        </w:rPr>
        <w:t>24个月</w:t>
      </w:r>
      <w:r>
        <w:rPr>
          <w:rFonts w:hint="eastAsia" w:ascii="宋体" w:hAnsi="宋体" w:cs="宋体"/>
          <w:sz w:val="22"/>
        </w:rPr>
        <w:t>的质保期（若第三方产品免费保修期明确大于24个月的则按原厂商的承诺执行）。</w:t>
      </w:r>
    </w:p>
    <w:p>
      <w:pPr>
        <w:spacing w:line="360" w:lineRule="auto"/>
        <w:rPr>
          <w:rFonts w:ascii="宋体" w:hAnsi="宋体" w:cs="宋体"/>
          <w:sz w:val="22"/>
        </w:rPr>
      </w:pPr>
      <w:r>
        <w:rPr>
          <w:rFonts w:hint="eastAsia" w:ascii="宋体" w:hAnsi="宋体" w:cs="宋体"/>
          <w:sz w:val="22"/>
        </w:rPr>
        <w:t>　　质量保修期自工程竣工验收合格之日起计算。质量保修期终止后，发包人应退还剩余的质量保证金。</w:t>
      </w:r>
    </w:p>
    <w:p>
      <w:pPr>
        <w:spacing w:line="360" w:lineRule="auto"/>
        <w:ind w:firstLine="440" w:firstLineChars="200"/>
        <w:rPr>
          <w:rFonts w:ascii="宋体" w:hAnsi="宋体" w:cs="宋体"/>
          <w:sz w:val="22"/>
        </w:rPr>
      </w:pPr>
      <w:r>
        <w:rPr>
          <w:rFonts w:hint="eastAsia" w:ascii="宋体" w:hAnsi="宋体" w:cs="宋体"/>
          <w:sz w:val="22"/>
        </w:rPr>
        <w:t>三、缺陷责任期</w:t>
      </w:r>
    </w:p>
    <w:p>
      <w:pPr>
        <w:spacing w:line="360" w:lineRule="auto"/>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60" w:lineRule="auto"/>
        <w:ind w:firstLine="440"/>
        <w:rPr>
          <w:rFonts w:ascii="宋体" w:hAnsi="宋体" w:cs="宋体"/>
          <w:sz w:val="22"/>
        </w:rPr>
      </w:pPr>
      <w:r>
        <w:rPr>
          <w:rFonts w:hint="eastAsia" w:ascii="宋体" w:hAnsi="宋体" w:cs="宋体"/>
          <w:sz w:val="22"/>
        </w:rPr>
        <w:t>四、质量保修责任</w:t>
      </w:r>
    </w:p>
    <w:p>
      <w:pPr>
        <w:spacing w:line="360" w:lineRule="auto"/>
        <w:ind w:firstLine="440" w:firstLineChars="200"/>
        <w:rPr>
          <w:rFonts w:ascii="宋体" w:hAnsi="宋体" w:cs="宋体"/>
          <w:sz w:val="22"/>
        </w:rPr>
      </w:pPr>
      <w:r>
        <w:rPr>
          <w:rFonts w:hint="eastAsia" w:ascii="宋体" w:hAnsi="宋体" w:cs="宋体"/>
          <w:sz w:val="22"/>
        </w:rPr>
        <w:t>1．承包人必须保证机场运行时间内及时响应发包人的报修，在接到报修后，承包人技术服务人员必须在接到报修后监控系统2小时，直至故障排除设备完全恢复正常使用为止。在故障解决之后，承包人应将故障现象及原因、处理过程和方法、完成处理及恢复正常的时间和日期等以书面形式报告发包人。</w:t>
      </w:r>
    </w:p>
    <w:p>
      <w:pPr>
        <w:spacing w:line="360" w:lineRule="auto"/>
        <w:ind w:firstLine="440" w:firstLineChars="200"/>
        <w:rPr>
          <w:rFonts w:ascii="宋体" w:hAnsi="宋体" w:cs="宋体"/>
          <w:sz w:val="22"/>
        </w:rPr>
      </w:pPr>
      <w:r>
        <w:rPr>
          <w:rFonts w:hint="eastAsia" w:ascii="宋体" w:hAnsi="宋体" w:cs="宋体"/>
          <w:sz w:val="22"/>
        </w:rPr>
        <w:t>2．质保期内承包人必须每月进行一次例行的系统检查并出具系统检查报告。</w:t>
      </w:r>
    </w:p>
    <w:p>
      <w:pPr>
        <w:spacing w:line="360" w:lineRule="auto"/>
        <w:ind w:firstLine="440" w:firstLineChars="200"/>
        <w:rPr>
          <w:rFonts w:ascii="宋体" w:hAnsi="宋体" w:cs="宋体"/>
          <w:sz w:val="22"/>
        </w:rPr>
      </w:pPr>
      <w:r>
        <w:rPr>
          <w:rFonts w:hint="eastAsia" w:ascii="宋体" w:hAnsi="宋体" w:cs="宋体"/>
          <w:sz w:val="22"/>
        </w:rPr>
        <w:t>3．质保期内承包人必须免费提供系统配置修改、软件缺陷修补。</w:t>
      </w:r>
    </w:p>
    <w:p>
      <w:pPr>
        <w:spacing w:line="360" w:lineRule="auto"/>
        <w:ind w:firstLine="440" w:firstLineChars="200"/>
        <w:rPr>
          <w:rFonts w:ascii="宋体" w:hAnsi="宋体" w:cs="宋体"/>
          <w:sz w:val="22"/>
        </w:rPr>
      </w:pPr>
      <w:r>
        <w:rPr>
          <w:rFonts w:hint="eastAsia" w:ascii="宋体" w:hAnsi="宋体" w:cs="宋体"/>
          <w:sz w:val="22"/>
        </w:rPr>
        <w:t>4．承包人承担系统质保期内的维修和维护保养工作，并委派指定的技术人员进行维修工作和定期进行维护保养，委派人员名单必须报发包人审批，发包人认为不合格的，承包人应及时给予更换。</w:t>
      </w:r>
    </w:p>
    <w:p>
      <w:pPr>
        <w:spacing w:line="360" w:lineRule="auto"/>
        <w:ind w:firstLine="440" w:firstLineChars="200"/>
        <w:rPr>
          <w:rFonts w:ascii="宋体" w:hAnsi="宋体" w:cs="宋体"/>
          <w:sz w:val="22"/>
        </w:rPr>
      </w:pPr>
      <w:r>
        <w:rPr>
          <w:rFonts w:hint="eastAsia" w:ascii="宋体" w:hAnsi="宋体" w:cs="宋体"/>
          <w:sz w:val="22"/>
        </w:rPr>
        <w:t>5．系统设备无论什么原因发生任何故障或损坏，承包人应在24小时内提供替换设备，承包人必须负责维修，平均维修期限不得超过15天，一切费用由承包人承担。如果平均维修时限超过15天，承包人应向发包人支付赔偿金，赔偿金额按超期天数计算，每超过一天承包人按质保金的0.2%赔偿发包人的经济损失，如造成的损失超过发包人实际损失的，发包人有权向承包人追偿全部损失。</w:t>
      </w:r>
    </w:p>
    <w:p>
      <w:pPr>
        <w:spacing w:line="360" w:lineRule="auto"/>
        <w:ind w:firstLine="440" w:firstLineChars="200"/>
        <w:rPr>
          <w:rFonts w:ascii="宋体" w:hAnsi="宋体" w:cs="宋体"/>
          <w:sz w:val="22"/>
        </w:rPr>
      </w:pPr>
      <w:r>
        <w:rPr>
          <w:rFonts w:hint="eastAsia" w:ascii="宋体" w:hAnsi="宋体" w:cs="宋体"/>
          <w:sz w:val="22"/>
        </w:rPr>
        <w:t>6．如质保期内的缺陷未能解决，质保期应相应延长，具体延长时间由双方协定。除延长质保期外，还应按照14.1追究违约责任。</w:t>
      </w:r>
    </w:p>
    <w:p>
      <w:pPr>
        <w:spacing w:line="360" w:lineRule="auto"/>
        <w:ind w:firstLine="440" w:firstLineChars="200"/>
        <w:rPr>
          <w:rFonts w:ascii="宋体" w:hAnsi="宋体" w:cs="宋体"/>
          <w:sz w:val="22"/>
        </w:rPr>
      </w:pPr>
      <w:r>
        <w:rPr>
          <w:rFonts w:hint="eastAsia" w:ascii="宋体" w:hAnsi="宋体" w:cs="宋体"/>
          <w:sz w:val="22"/>
        </w:rPr>
        <w:t>7．在系统质保期结束前，由专业工程师和发包人代表对整套系统进行一次全面检查，任何缺陷由承包人负责修理。在修理之后，承包人将成因、补救措施、完成修理及恢复正常的时间和日期等报告给发包人。</w:t>
      </w:r>
    </w:p>
    <w:p>
      <w:pPr>
        <w:spacing w:line="360" w:lineRule="auto"/>
        <w:ind w:firstLine="440" w:firstLineChars="200"/>
        <w:rPr>
          <w:rFonts w:ascii="宋体" w:hAnsi="宋体" w:cs="宋体"/>
          <w:sz w:val="22"/>
        </w:rPr>
      </w:pPr>
      <w:r>
        <w:rPr>
          <w:rFonts w:hint="eastAsia" w:ascii="宋体" w:hAnsi="宋体" w:cs="宋体"/>
          <w:sz w:val="22"/>
        </w:rPr>
        <w:t>8．在系统质保期结束时，承包人提供包括但不限于：质保期的维护和维修记录。</w:t>
      </w:r>
    </w:p>
    <w:p>
      <w:pPr>
        <w:spacing w:line="360" w:lineRule="auto"/>
        <w:rPr>
          <w:rFonts w:ascii="宋体" w:hAnsi="宋体" w:cs="宋体"/>
          <w:sz w:val="22"/>
        </w:rPr>
      </w:pPr>
      <w:r>
        <w:rPr>
          <w:rFonts w:hint="eastAsia" w:ascii="宋体" w:hAnsi="宋体" w:cs="宋体"/>
          <w:sz w:val="22"/>
        </w:rPr>
        <w:t>　　五、保修费用</w:t>
      </w:r>
    </w:p>
    <w:p>
      <w:pPr>
        <w:spacing w:line="360" w:lineRule="auto"/>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60" w:lineRule="auto"/>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60" w:lineRule="auto"/>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6.1质量保证金的返还：支付款项时扣除应由承包人承担的保修费用后，在质量保修期满后的30天内归还（不计利息）。</w:t>
      </w:r>
    </w:p>
    <w:p>
      <w:pPr>
        <w:spacing w:line="360" w:lineRule="auto"/>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60" w:lineRule="auto"/>
        <w:ind w:firstLine="440" w:firstLineChars="200"/>
        <w:rPr>
          <w:rFonts w:ascii="宋体" w:hAnsi="宋体" w:cs="宋体"/>
          <w:sz w:val="22"/>
        </w:rPr>
      </w:pPr>
    </w:p>
    <w:p>
      <w:pPr>
        <w:spacing w:line="360" w:lineRule="auto"/>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60" w:lineRule="auto"/>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spacing w:line="360" w:lineRule="auto"/>
        <w:ind w:firstLine="723"/>
        <w:jc w:val="center"/>
        <w:rPr>
          <w:rFonts w:ascii="宋体" w:hAnsi="宋体" w:cs="宋体"/>
          <w:b/>
          <w:sz w:val="36"/>
        </w:rPr>
      </w:pPr>
      <w:r>
        <w:rPr>
          <w:rFonts w:hint="eastAsia" w:ascii="宋体" w:hAnsi="宋体" w:cs="宋体"/>
          <w:b/>
          <w:sz w:val="36"/>
        </w:rPr>
        <w:t>安全文明施工协议书</w:t>
      </w:r>
    </w:p>
    <w:p>
      <w:pPr>
        <w:spacing w:line="360" w:lineRule="auto"/>
        <w:rPr>
          <w:rFonts w:ascii="宋体" w:hAnsi="宋体"/>
          <w:b/>
          <w:sz w:val="22"/>
        </w:rPr>
      </w:pPr>
      <w:r>
        <w:rPr>
          <w:rFonts w:hint="eastAsia" w:ascii="宋体" w:hAnsi="宋体"/>
          <w:b/>
          <w:sz w:val="22"/>
        </w:rPr>
        <w:t>发包人（甲方）：</w:t>
      </w:r>
      <w:r>
        <w:rPr>
          <w:rFonts w:hint="eastAsia" w:ascii="宋体" w:hAnsi="宋体"/>
          <w:b/>
          <w:sz w:val="22"/>
          <w:u w:val="single"/>
        </w:rPr>
        <w:t>杭州萧山国际机场航空物流有限公司</w:t>
      </w:r>
    </w:p>
    <w:p>
      <w:pPr>
        <w:spacing w:line="360" w:lineRule="auto"/>
        <w:rPr>
          <w:rFonts w:ascii="宋体" w:hAnsi="宋体"/>
          <w:b/>
          <w:sz w:val="22"/>
          <w:u w:val="single"/>
        </w:rPr>
      </w:pPr>
      <w:r>
        <w:rPr>
          <w:rFonts w:hint="eastAsia" w:ascii="宋体" w:hAnsi="宋体"/>
          <w:b/>
          <w:sz w:val="22"/>
        </w:rPr>
        <w:t>承包人（乙方）：</w:t>
      </w:r>
    </w:p>
    <w:p>
      <w:pPr>
        <w:spacing w:line="360" w:lineRule="auto"/>
        <w:ind w:firstLine="440" w:firstLineChars="200"/>
        <w:rPr>
          <w:rFonts w:ascii="宋体" w:hAnsi="宋体"/>
          <w:sz w:val="22"/>
        </w:rPr>
      </w:pPr>
      <w:r>
        <w:rPr>
          <w:rFonts w:ascii="宋体" w:hAnsi="宋体"/>
          <w:sz w:val="22"/>
        </w:rPr>
        <w:t>为确保</w:t>
      </w:r>
      <w:r>
        <w:rPr>
          <w:rFonts w:hint="eastAsia" w:ascii="宋体" w:hAnsi="宋体"/>
          <w:b/>
          <w:sz w:val="22"/>
        </w:rPr>
        <w:t>航空物流有限公司2019年海关监管库监控改造项目</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auto"/>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auto"/>
        <w:ind w:firstLine="440" w:firstLineChars="200"/>
        <w:rPr>
          <w:rFonts w:ascii="宋体" w:hAnsi="宋体"/>
          <w:sz w:val="22"/>
        </w:rPr>
      </w:pPr>
      <w:r>
        <w:rPr>
          <w:rFonts w:ascii="宋体" w:hAnsi="宋体"/>
          <w:sz w:val="22"/>
        </w:rPr>
        <w:t>1、无死亡事故和重大伤害事故(含道路交通事故)。</w:t>
      </w:r>
    </w:p>
    <w:p>
      <w:pPr>
        <w:spacing w:line="360" w:lineRule="auto"/>
        <w:ind w:firstLine="440" w:firstLineChars="200"/>
        <w:rPr>
          <w:rFonts w:ascii="宋体" w:hAnsi="宋体"/>
          <w:sz w:val="22"/>
        </w:rPr>
      </w:pPr>
      <w:r>
        <w:rPr>
          <w:rFonts w:ascii="宋体" w:hAnsi="宋体"/>
          <w:sz w:val="22"/>
        </w:rPr>
        <w:t>2、无重大责任事故。</w:t>
      </w:r>
    </w:p>
    <w:p>
      <w:pPr>
        <w:spacing w:line="360" w:lineRule="auto"/>
        <w:ind w:firstLine="440" w:firstLineChars="200"/>
        <w:rPr>
          <w:rFonts w:ascii="宋体" w:hAnsi="宋体"/>
          <w:sz w:val="22"/>
        </w:rPr>
      </w:pPr>
      <w:r>
        <w:rPr>
          <w:rFonts w:ascii="宋体" w:hAnsi="宋体"/>
          <w:sz w:val="22"/>
        </w:rPr>
        <w:t>3、无空防安全事故。</w:t>
      </w:r>
    </w:p>
    <w:p>
      <w:pPr>
        <w:spacing w:line="360" w:lineRule="auto"/>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auto"/>
        <w:ind w:firstLine="440" w:firstLineChars="200"/>
        <w:rPr>
          <w:rFonts w:ascii="宋体" w:hAnsi="宋体"/>
          <w:sz w:val="22"/>
        </w:rPr>
      </w:pPr>
      <w:r>
        <w:rPr>
          <w:rFonts w:ascii="宋体" w:hAnsi="宋体"/>
          <w:sz w:val="22"/>
        </w:rPr>
        <w:t>上述情况的认定按国家和行业的有关规定和标准执行。</w:t>
      </w:r>
    </w:p>
    <w:p>
      <w:pPr>
        <w:spacing w:line="360" w:lineRule="auto"/>
        <w:ind w:firstLine="442" w:firstLineChars="200"/>
        <w:rPr>
          <w:rFonts w:ascii="宋体" w:hAnsi="宋体"/>
          <w:b/>
          <w:sz w:val="22"/>
        </w:rPr>
      </w:pPr>
      <w:r>
        <w:rPr>
          <w:rFonts w:ascii="宋体" w:hAnsi="宋体"/>
          <w:b/>
          <w:sz w:val="22"/>
        </w:rPr>
        <w:t>二、甲方的协助责任和权利</w:t>
      </w:r>
    </w:p>
    <w:p>
      <w:pPr>
        <w:spacing w:line="360" w:lineRule="auto"/>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auto"/>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auto"/>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auto"/>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auto"/>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auto"/>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auto"/>
        <w:ind w:firstLine="440" w:firstLineChars="200"/>
        <w:rPr>
          <w:rFonts w:ascii="宋体" w:hAnsi="宋体"/>
          <w:sz w:val="22"/>
        </w:rPr>
      </w:pPr>
      <w:r>
        <w:rPr>
          <w:rFonts w:ascii="宋体" w:hAnsi="宋体"/>
          <w:sz w:val="22"/>
        </w:rPr>
        <w:t>11、甲方有权对乙方各项安全工作进行监督、检查。</w:t>
      </w:r>
    </w:p>
    <w:p>
      <w:pPr>
        <w:spacing w:line="360" w:lineRule="auto"/>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auto"/>
        <w:ind w:firstLine="442" w:firstLineChars="200"/>
        <w:rPr>
          <w:rFonts w:ascii="宋体" w:hAnsi="宋体"/>
          <w:b/>
          <w:sz w:val="22"/>
        </w:rPr>
      </w:pPr>
      <w:r>
        <w:rPr>
          <w:rFonts w:ascii="宋体" w:hAnsi="宋体"/>
          <w:b/>
          <w:sz w:val="22"/>
        </w:rPr>
        <w:t>三、乙方的安全责任和权利</w:t>
      </w:r>
    </w:p>
    <w:p>
      <w:pPr>
        <w:spacing w:line="360" w:lineRule="auto"/>
        <w:ind w:firstLine="440" w:firstLineChars="200"/>
        <w:rPr>
          <w:rFonts w:ascii="宋体" w:hAnsi="宋体"/>
          <w:sz w:val="22"/>
        </w:rPr>
      </w:pPr>
      <w:r>
        <w:rPr>
          <w:rFonts w:ascii="宋体" w:hAnsi="宋体"/>
          <w:sz w:val="22"/>
        </w:rPr>
        <w:t>（一）乙方应从事的施工安全管理</w:t>
      </w:r>
    </w:p>
    <w:p>
      <w:pPr>
        <w:spacing w:line="360" w:lineRule="auto"/>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auto"/>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auto"/>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auto"/>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auto"/>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auto"/>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auto"/>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auto"/>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auto"/>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auto"/>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auto"/>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auto"/>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auto"/>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auto"/>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auto"/>
        <w:ind w:firstLine="440" w:firstLineChars="200"/>
        <w:rPr>
          <w:rFonts w:ascii="宋体" w:hAnsi="宋体"/>
          <w:sz w:val="22"/>
        </w:rPr>
      </w:pPr>
      <w:r>
        <w:rPr>
          <w:rFonts w:ascii="宋体" w:hAnsi="宋体"/>
          <w:sz w:val="22"/>
        </w:rPr>
        <w:t>（二）乙方应从事的空防安全管理</w:t>
      </w:r>
    </w:p>
    <w:p>
      <w:pPr>
        <w:spacing w:line="360" w:lineRule="auto"/>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auto"/>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auto"/>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auto"/>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auto"/>
        <w:ind w:firstLine="440" w:firstLineChars="200"/>
        <w:rPr>
          <w:rFonts w:ascii="宋体" w:hAnsi="宋体"/>
          <w:sz w:val="22"/>
        </w:rPr>
      </w:pPr>
      <w:r>
        <w:rPr>
          <w:rFonts w:ascii="宋体" w:hAnsi="宋体"/>
          <w:sz w:val="22"/>
        </w:rPr>
        <w:t>（三）乙方应从事的不停航施工项目安全管理</w:t>
      </w:r>
    </w:p>
    <w:p>
      <w:pPr>
        <w:spacing w:line="360" w:lineRule="auto"/>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auto"/>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auto"/>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auto"/>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auto"/>
        <w:ind w:firstLine="440" w:firstLineChars="200"/>
        <w:rPr>
          <w:rFonts w:ascii="宋体" w:hAnsi="宋体"/>
          <w:sz w:val="22"/>
        </w:rPr>
      </w:pPr>
      <w:r>
        <w:rPr>
          <w:rFonts w:ascii="宋体" w:hAnsi="宋体"/>
          <w:sz w:val="22"/>
        </w:rPr>
        <w:t xml:space="preserve">（四）乙方的文明施工责任 </w:t>
      </w:r>
    </w:p>
    <w:p>
      <w:pPr>
        <w:spacing w:line="360" w:lineRule="auto"/>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auto"/>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auto"/>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auto"/>
        <w:ind w:firstLine="440" w:firstLineChars="200"/>
        <w:rPr>
          <w:rFonts w:ascii="宋体" w:hAnsi="宋体"/>
          <w:sz w:val="22"/>
        </w:rPr>
      </w:pPr>
      <w:r>
        <w:rPr>
          <w:rFonts w:ascii="宋体" w:hAnsi="宋体"/>
          <w:sz w:val="22"/>
        </w:rPr>
        <w:t>（五）乙方应从事的社会治安综合治理</w:t>
      </w:r>
    </w:p>
    <w:p>
      <w:pPr>
        <w:spacing w:line="360" w:lineRule="auto"/>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auto"/>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auto"/>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auto"/>
        <w:ind w:firstLine="440" w:firstLineChars="200"/>
        <w:rPr>
          <w:rFonts w:ascii="宋体" w:hAnsi="宋体"/>
          <w:sz w:val="22"/>
        </w:rPr>
      </w:pPr>
      <w:r>
        <w:rPr>
          <w:rFonts w:ascii="宋体" w:hAnsi="宋体"/>
          <w:sz w:val="22"/>
        </w:rPr>
        <w:t>（六）乙方应从事的消防安全管理</w:t>
      </w:r>
    </w:p>
    <w:p>
      <w:pPr>
        <w:spacing w:line="360" w:lineRule="auto"/>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auto"/>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auto"/>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auto"/>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auto"/>
        <w:ind w:firstLine="440" w:firstLineChars="200"/>
        <w:rPr>
          <w:rFonts w:ascii="宋体" w:hAnsi="宋体"/>
          <w:sz w:val="22"/>
        </w:rPr>
      </w:pPr>
      <w:r>
        <w:rPr>
          <w:rFonts w:ascii="宋体" w:hAnsi="宋体"/>
          <w:sz w:val="22"/>
        </w:rPr>
        <w:t>（七）乙方应从事的交通安全管理</w:t>
      </w:r>
    </w:p>
    <w:p>
      <w:pPr>
        <w:spacing w:line="360" w:lineRule="auto"/>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auto"/>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auto"/>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auto"/>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auto"/>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auto"/>
        <w:ind w:firstLine="442" w:firstLineChars="200"/>
        <w:rPr>
          <w:rFonts w:ascii="宋体" w:hAnsi="宋体"/>
          <w:b/>
          <w:sz w:val="22"/>
        </w:rPr>
      </w:pPr>
      <w:r>
        <w:rPr>
          <w:rFonts w:ascii="宋体" w:hAnsi="宋体"/>
          <w:b/>
          <w:sz w:val="22"/>
        </w:rPr>
        <w:t>四、违约责任</w:t>
      </w:r>
    </w:p>
    <w:p>
      <w:pPr>
        <w:spacing w:line="360" w:lineRule="auto"/>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auto"/>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auto"/>
        <w:ind w:firstLine="440" w:firstLineChars="200"/>
        <w:rPr>
          <w:rFonts w:ascii="宋体" w:hAnsi="宋体"/>
          <w:sz w:val="22"/>
        </w:rPr>
      </w:pPr>
      <w:r>
        <w:rPr>
          <w:rFonts w:ascii="宋体" w:hAnsi="宋体"/>
          <w:sz w:val="22"/>
        </w:rPr>
        <w:t>五、本协议书附于《施工合同》正副本后，签字盖章后生效。</w:t>
      </w:r>
    </w:p>
    <w:p>
      <w:pPr>
        <w:adjustRightInd w:val="0"/>
        <w:snapToGrid w:val="0"/>
        <w:spacing w:line="360" w:lineRule="auto"/>
        <w:rPr>
          <w:rFonts w:ascii="宋体" w:hAnsi="宋体"/>
          <w:b/>
          <w:bCs/>
          <w:sz w:val="22"/>
        </w:rPr>
      </w:pPr>
      <w:r>
        <w:rPr>
          <w:rFonts w:ascii="宋体" w:hAnsi="宋体"/>
          <w:b/>
          <w:bCs/>
          <w:sz w:val="22"/>
        </w:rPr>
        <w:t>五、附则：</w:t>
      </w:r>
    </w:p>
    <w:p>
      <w:pPr>
        <w:adjustRightInd w:val="0"/>
        <w:snapToGrid w:val="0"/>
        <w:spacing w:line="360" w:lineRule="auto"/>
        <w:rPr>
          <w:rFonts w:ascii="宋体" w:hAnsi="宋体"/>
          <w:sz w:val="22"/>
        </w:rPr>
      </w:pPr>
      <w:r>
        <w:rPr>
          <w:rFonts w:ascii="宋体" w:hAnsi="宋体"/>
          <w:sz w:val="22"/>
        </w:rPr>
        <w:t>（一）由于乙方行为违反国家法律、法规和杭州萧山国际机场</w:t>
      </w:r>
      <w:r>
        <w:rPr>
          <w:rFonts w:hint="eastAsia" w:ascii="宋体" w:hAnsi="宋体"/>
          <w:sz w:val="22"/>
        </w:rPr>
        <w:t>航空物流</w:t>
      </w:r>
      <w:r>
        <w:rPr>
          <w:rFonts w:ascii="宋体" w:hAnsi="宋体"/>
          <w:sz w:val="22"/>
        </w:rPr>
        <w:t>有限公司有关规章制度和责任书规定内容，甲方有权对乙方进行处罚。乙方触犯法律的，依法追究有关责任人的法律责任。</w:t>
      </w:r>
    </w:p>
    <w:p>
      <w:pPr>
        <w:adjustRightInd w:val="0"/>
        <w:snapToGrid w:val="0"/>
        <w:spacing w:line="360" w:lineRule="auto"/>
        <w:rPr>
          <w:rFonts w:ascii="宋体" w:hAnsi="宋体"/>
          <w:sz w:val="22"/>
        </w:rPr>
      </w:pPr>
      <w:r>
        <w:rPr>
          <w:rFonts w:ascii="宋体" w:hAnsi="宋体"/>
          <w:sz w:val="22"/>
        </w:rPr>
        <w:t>（二）本责任书解释权归甲方。</w:t>
      </w:r>
    </w:p>
    <w:p>
      <w:pPr>
        <w:adjustRightInd w:val="0"/>
        <w:snapToGrid w:val="0"/>
        <w:spacing w:line="360" w:lineRule="auto"/>
        <w:rPr>
          <w:rFonts w:ascii="宋体" w:hAnsi="宋体"/>
          <w:sz w:val="22"/>
        </w:rPr>
      </w:pPr>
      <w:r>
        <w:rPr>
          <w:rFonts w:ascii="宋体" w:hAnsi="宋体"/>
          <w:sz w:val="22"/>
        </w:rPr>
        <w:t>（三）本责任书由甲乙双方共同签字盖章后生效。</w:t>
      </w:r>
    </w:p>
    <w:p>
      <w:pPr>
        <w:adjustRightInd w:val="0"/>
        <w:snapToGrid w:val="0"/>
        <w:spacing w:line="360" w:lineRule="auto"/>
        <w:rPr>
          <w:rFonts w:ascii="宋体" w:hAnsi="宋体"/>
          <w:sz w:val="22"/>
        </w:rPr>
      </w:pPr>
    </w:p>
    <w:p>
      <w:pPr>
        <w:adjustRightInd w:val="0"/>
        <w:snapToGrid w:val="0"/>
        <w:spacing w:line="360" w:lineRule="auto"/>
        <w:ind w:left="5632" w:hanging="5632" w:hangingChars="2550"/>
        <w:rPr>
          <w:rFonts w:ascii="宋体" w:hAnsi="宋体"/>
          <w:b/>
          <w:sz w:val="22"/>
        </w:rPr>
      </w:pPr>
      <w:r>
        <w:rPr>
          <w:rFonts w:hint="eastAsia" w:ascii="宋体" w:hAnsi="宋体"/>
          <w:b/>
          <w:sz w:val="22"/>
        </w:rPr>
        <w:t>发包人：杭州萧山国际机场航空物流有限公司         承包人：</w:t>
      </w:r>
    </w:p>
    <w:p>
      <w:pPr>
        <w:adjustRightInd w:val="0"/>
        <w:snapToGrid w:val="0"/>
        <w:spacing w:line="360" w:lineRule="auto"/>
        <w:rPr>
          <w:rFonts w:ascii="宋体" w:hAnsi="宋体"/>
          <w:b/>
          <w:sz w:val="22"/>
        </w:rPr>
      </w:pPr>
      <w:r>
        <w:rPr>
          <w:rFonts w:hint="eastAsia" w:ascii="宋体" w:hAnsi="宋体"/>
          <w:b/>
          <w:sz w:val="22"/>
        </w:rPr>
        <w:t>法定代表人：                                     法定代表人</w:t>
      </w:r>
    </w:p>
    <w:p>
      <w:pPr>
        <w:adjustRightInd w:val="0"/>
        <w:snapToGrid w:val="0"/>
        <w:spacing w:line="360" w:lineRule="auto"/>
        <w:rPr>
          <w:rFonts w:ascii="宋体" w:hAnsi="宋体"/>
          <w:b/>
          <w:sz w:val="22"/>
        </w:rPr>
      </w:pPr>
    </w:p>
    <w:p>
      <w:pPr>
        <w:adjustRightInd w:val="0"/>
        <w:snapToGrid w:val="0"/>
        <w:spacing w:line="360" w:lineRule="auto"/>
        <w:rPr>
          <w:rFonts w:ascii="宋体" w:hAnsi="宋体"/>
          <w:b/>
          <w:sz w:val="22"/>
        </w:rPr>
      </w:pPr>
      <w:r>
        <w:rPr>
          <w:rFonts w:hint="eastAsia" w:ascii="宋体" w:hAnsi="宋体"/>
          <w:b/>
          <w:sz w:val="22"/>
        </w:rPr>
        <w:t>委托代理人：                                     委托代理人：</w:t>
      </w:r>
    </w:p>
    <w:p>
      <w:pPr>
        <w:spacing w:line="360" w:lineRule="auto"/>
        <w:rPr>
          <w:rFonts w:ascii="宋体" w:hAnsi="宋体"/>
          <w:sz w:val="22"/>
        </w:rPr>
      </w:pPr>
    </w:p>
    <w:p>
      <w:pPr>
        <w:adjustRightInd w:val="0"/>
        <w:snapToGrid w:val="0"/>
        <w:spacing w:line="360" w:lineRule="auto"/>
        <w:rPr>
          <w:rFonts w:ascii="宋体" w:hAnsi="宋体"/>
          <w:sz w:val="22"/>
        </w:rPr>
      </w:pPr>
      <w:r>
        <w:rPr>
          <w:rFonts w:hint="eastAsia" w:ascii="宋体" w:hAnsi="宋体"/>
          <w:b/>
          <w:sz w:val="22"/>
        </w:rPr>
        <w:t xml:space="preserve"> 年   月   日                                          年   月   日</w:t>
      </w:r>
    </w:p>
    <w:p>
      <w:pPr>
        <w:rPr>
          <w:rFonts w:ascii="宋体" w:hAnsi="宋体" w:cs="宋体"/>
          <w:bCs/>
          <w:sz w:val="22"/>
        </w:rPr>
      </w:pPr>
    </w:p>
    <w:p>
      <w:pPr>
        <w:pStyle w:val="188"/>
        <w:spacing w:line="360" w:lineRule="auto"/>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188"/>
        <w:spacing w:line="360" w:lineRule="auto"/>
        <w:ind w:firstLine="0" w:firstLineChars="0"/>
        <w:jc w:val="center"/>
        <w:rPr>
          <w:rFonts w:ascii="宋体" w:hAnsi="宋体"/>
          <w:b/>
          <w:color w:val="auto"/>
          <w:sz w:val="36"/>
        </w:rPr>
      </w:pPr>
      <w:r>
        <w:rPr>
          <w:rFonts w:hint="eastAsia" w:ascii="宋体" w:hAnsi="宋体"/>
          <w:b/>
          <w:color w:val="auto"/>
          <w:sz w:val="36"/>
        </w:rPr>
        <w:t>廉洁自律承诺书</w:t>
      </w:r>
    </w:p>
    <w:p>
      <w:pPr>
        <w:pStyle w:val="188"/>
        <w:spacing w:line="360" w:lineRule="auto"/>
        <w:ind w:firstLine="0" w:firstLineChars="0"/>
        <w:rPr>
          <w:rFonts w:ascii="宋体" w:hAnsi="宋体"/>
          <w:color w:val="auto"/>
        </w:rPr>
      </w:pPr>
    </w:p>
    <w:p>
      <w:pPr>
        <w:pStyle w:val="205"/>
        <w:adjustRightInd w:val="0"/>
        <w:snapToGrid w:val="0"/>
        <w:spacing w:line="360" w:lineRule="auto"/>
        <w:ind w:firstLine="0" w:firstLineChars="0"/>
        <w:rPr>
          <w:rFonts w:ascii="宋体" w:hAnsi="宋体"/>
          <w:sz w:val="22"/>
          <w:szCs w:val="22"/>
        </w:rPr>
      </w:pPr>
      <w:r>
        <w:rPr>
          <w:rFonts w:hint="eastAsia" w:ascii="宋体" w:hAnsi="宋体"/>
          <w:sz w:val="22"/>
          <w:szCs w:val="22"/>
        </w:rPr>
        <w:t>杭州萧山国际机场航空物流有限公司：</w:t>
      </w:r>
    </w:p>
    <w:p>
      <w:pPr>
        <w:pStyle w:val="205"/>
        <w:adjustRightInd w:val="0"/>
        <w:snapToGrid w:val="0"/>
        <w:spacing w:line="360" w:lineRule="auto"/>
        <w:ind w:firstLine="440"/>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205"/>
        <w:adjustRightInd w:val="0"/>
        <w:snapToGrid w:val="0"/>
        <w:spacing w:line="360" w:lineRule="auto"/>
        <w:ind w:firstLine="440"/>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205"/>
        <w:adjustRightInd w:val="0"/>
        <w:snapToGrid w:val="0"/>
        <w:spacing w:line="360" w:lineRule="auto"/>
        <w:ind w:firstLine="440"/>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205"/>
        <w:adjustRightInd w:val="0"/>
        <w:snapToGrid w:val="0"/>
        <w:spacing w:line="360" w:lineRule="auto"/>
        <w:ind w:firstLine="440"/>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205"/>
        <w:adjustRightInd w:val="0"/>
        <w:snapToGrid w:val="0"/>
        <w:spacing w:line="360" w:lineRule="auto"/>
        <w:ind w:firstLine="440"/>
        <w:rPr>
          <w:rFonts w:ascii="宋体" w:hAnsi="宋体"/>
          <w:sz w:val="22"/>
          <w:szCs w:val="22"/>
        </w:rPr>
      </w:pPr>
      <w:r>
        <w:rPr>
          <w:rFonts w:hint="eastAsia" w:ascii="宋体" w:hAnsi="宋体"/>
          <w:sz w:val="22"/>
          <w:szCs w:val="22"/>
        </w:rPr>
        <w:t>四、不为贵公司有关人员出国（境）、旅游等提供方便；</w:t>
      </w:r>
    </w:p>
    <w:p>
      <w:pPr>
        <w:pStyle w:val="205"/>
        <w:adjustRightInd w:val="0"/>
        <w:snapToGrid w:val="0"/>
        <w:spacing w:line="360" w:lineRule="auto"/>
        <w:ind w:firstLine="440"/>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205"/>
        <w:adjustRightInd w:val="0"/>
        <w:snapToGrid w:val="0"/>
        <w:spacing w:line="360" w:lineRule="auto"/>
        <w:ind w:firstLine="440"/>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205"/>
        <w:adjustRightInd w:val="0"/>
        <w:snapToGrid w:val="0"/>
        <w:spacing w:line="360" w:lineRule="auto"/>
        <w:ind w:firstLine="440"/>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205"/>
        <w:adjustRightInd w:val="0"/>
        <w:snapToGrid w:val="0"/>
        <w:spacing w:line="360" w:lineRule="auto"/>
        <w:ind w:firstLine="0" w:firstLineChars="0"/>
        <w:jc w:val="left"/>
        <w:rPr>
          <w:rFonts w:ascii="宋体" w:hAnsi="宋体"/>
          <w:sz w:val="22"/>
          <w:szCs w:val="22"/>
        </w:rPr>
      </w:pPr>
    </w:p>
    <w:p>
      <w:pPr>
        <w:pStyle w:val="205"/>
        <w:adjustRightInd w:val="0"/>
        <w:snapToGrid w:val="0"/>
        <w:spacing w:line="360" w:lineRule="auto"/>
        <w:ind w:firstLine="0" w:firstLineChars="0"/>
        <w:jc w:val="left"/>
        <w:rPr>
          <w:rFonts w:ascii="宋体" w:hAnsi="宋体"/>
          <w:sz w:val="22"/>
          <w:szCs w:val="22"/>
        </w:rPr>
      </w:pPr>
      <w:r>
        <w:rPr>
          <w:rFonts w:hint="eastAsia" w:ascii="宋体" w:hAnsi="宋体"/>
          <w:sz w:val="22"/>
          <w:szCs w:val="22"/>
        </w:rPr>
        <w:t xml:space="preserve">承诺人单位名称（盖章）：            </w:t>
      </w:r>
    </w:p>
    <w:p>
      <w:pPr>
        <w:pStyle w:val="205"/>
        <w:adjustRightInd w:val="0"/>
        <w:snapToGrid w:val="0"/>
        <w:spacing w:line="360" w:lineRule="auto"/>
        <w:ind w:firstLine="0" w:firstLineChars="0"/>
        <w:jc w:val="left"/>
        <w:rPr>
          <w:rFonts w:ascii="宋体" w:hAnsi="宋体"/>
          <w:sz w:val="22"/>
          <w:szCs w:val="22"/>
        </w:rPr>
      </w:pPr>
      <w:r>
        <w:rPr>
          <w:rFonts w:hint="eastAsia" w:ascii="宋体" w:hAnsi="宋体"/>
          <w:sz w:val="22"/>
          <w:szCs w:val="22"/>
        </w:rPr>
        <w:t xml:space="preserve">法定代表人 ：                    </w:t>
      </w:r>
    </w:p>
    <w:p>
      <w:pPr>
        <w:pStyle w:val="205"/>
        <w:adjustRightInd w:val="0"/>
        <w:snapToGrid w:val="0"/>
        <w:spacing w:line="360" w:lineRule="auto"/>
        <w:ind w:firstLine="0" w:firstLineChars="0"/>
        <w:jc w:val="left"/>
        <w:rPr>
          <w:rFonts w:ascii="宋体" w:hAnsi="宋体"/>
          <w:sz w:val="22"/>
          <w:szCs w:val="22"/>
        </w:rPr>
      </w:pPr>
      <w:r>
        <w:rPr>
          <w:rFonts w:hint="eastAsia" w:ascii="宋体" w:hAnsi="宋体"/>
          <w:sz w:val="22"/>
          <w:szCs w:val="22"/>
        </w:rPr>
        <w:t xml:space="preserve">或                            </w:t>
      </w:r>
    </w:p>
    <w:p>
      <w:pPr>
        <w:pStyle w:val="205"/>
        <w:adjustRightInd w:val="0"/>
        <w:snapToGrid w:val="0"/>
        <w:spacing w:line="360" w:lineRule="auto"/>
        <w:ind w:firstLine="0" w:firstLineChars="0"/>
        <w:jc w:val="left"/>
        <w:rPr>
          <w:rFonts w:ascii="宋体" w:hAnsi="宋体"/>
          <w:sz w:val="22"/>
          <w:szCs w:val="22"/>
        </w:rPr>
      </w:pPr>
      <w:r>
        <w:rPr>
          <w:rFonts w:hint="eastAsia" w:ascii="宋体" w:hAnsi="宋体"/>
          <w:sz w:val="22"/>
          <w:szCs w:val="22"/>
        </w:rPr>
        <w:t xml:space="preserve">委托代理人：                   </w:t>
      </w:r>
    </w:p>
    <w:p>
      <w:pPr>
        <w:pStyle w:val="205"/>
        <w:adjustRightInd w:val="0"/>
        <w:snapToGrid w:val="0"/>
        <w:spacing w:line="360" w:lineRule="auto"/>
        <w:ind w:firstLine="0" w:firstLineChars="0"/>
        <w:jc w:val="left"/>
        <w:rPr>
          <w:rFonts w:ascii="宋体" w:hAnsi="宋体"/>
          <w:sz w:val="22"/>
          <w:szCs w:val="22"/>
        </w:rPr>
      </w:pPr>
    </w:p>
    <w:p>
      <w:pPr>
        <w:widowControl/>
        <w:spacing w:line="360" w:lineRule="auto"/>
        <w:jc w:val="left"/>
        <w:rPr>
          <w:rFonts w:ascii="Cambria" w:hAnsi="Cambria" w:eastAsia="黑体"/>
          <w:b/>
          <w:bCs/>
          <w:kern w:val="0"/>
          <w:sz w:val="32"/>
          <w:szCs w:val="32"/>
        </w:rPr>
      </w:pPr>
      <w:r>
        <w:rPr>
          <w:rFonts w:hint="eastAsia" w:ascii="宋体" w:hAnsi="宋体"/>
          <w:sz w:val="22"/>
        </w:rPr>
        <w:t>签订日期：　年  月  日</w:t>
      </w:r>
    </w:p>
    <w:p>
      <w:pPr>
        <w:widowControl/>
        <w:jc w:val="left"/>
        <w:rPr>
          <w:rFonts w:ascii="Cambria" w:hAnsi="Cambria" w:eastAsia="黑体"/>
          <w:b/>
          <w:bCs/>
          <w:kern w:val="0"/>
          <w:sz w:val="32"/>
          <w:szCs w:val="32"/>
        </w:rPr>
      </w:pPr>
      <w:r>
        <w:br w:type="page"/>
      </w:r>
    </w:p>
    <w:p>
      <w:pPr>
        <w:pStyle w:val="50"/>
      </w:pPr>
      <w:bookmarkStart w:id="104" w:name="_Toc20834"/>
      <w:r>
        <w:rPr>
          <w:rFonts w:hint="eastAsia"/>
        </w:rPr>
        <w:t>第四章  参考工程量清单</w:t>
      </w:r>
      <w:bookmarkEnd w:id="104"/>
      <w:r>
        <w:rPr>
          <w:rFonts w:hint="eastAsia"/>
        </w:rPr>
        <w:t>（见技术规格书）</w:t>
      </w:r>
    </w:p>
    <w:p>
      <w:pPr>
        <w:widowControl/>
        <w:jc w:val="left"/>
      </w:pPr>
      <w:r>
        <w:br w:type="page"/>
      </w:r>
    </w:p>
    <w:p>
      <w:pPr>
        <w:widowControl/>
        <w:jc w:val="left"/>
        <w:rPr>
          <w:rFonts w:ascii="Cambria" w:hAnsi="Cambria" w:eastAsia="黑体"/>
          <w:b/>
          <w:bCs/>
          <w:kern w:val="0"/>
          <w:sz w:val="32"/>
          <w:szCs w:val="32"/>
        </w:rPr>
      </w:pPr>
    </w:p>
    <w:p>
      <w:pPr>
        <w:pStyle w:val="50"/>
      </w:pPr>
      <w:bookmarkStart w:id="105" w:name="_Toc3098"/>
      <w:r>
        <w:rPr>
          <w:rFonts w:hint="eastAsia"/>
        </w:rPr>
        <w:t>第五章  图纸（无）</w:t>
      </w:r>
      <w:bookmarkEnd w:id="105"/>
    </w:p>
    <w:p>
      <w:pPr>
        <w:pStyle w:val="50"/>
      </w:pPr>
    </w:p>
    <w:p>
      <w:pPr>
        <w:adjustRightInd w:val="0"/>
        <w:snapToGrid w:val="0"/>
        <w:spacing w:line="360" w:lineRule="exact"/>
        <w:ind w:firstLine="452"/>
        <w:jc w:val="left"/>
        <w:rPr>
          <w:rFonts w:ascii="宋体" w:hAnsi="宋体"/>
          <w:b/>
          <w:sz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188"/>
        <w:spacing w:line="360" w:lineRule="exact"/>
        <w:ind w:firstLine="0" w:firstLineChars="0"/>
        <w:jc w:val="left"/>
        <w:rPr>
          <w:rFonts w:ascii="Cambria" w:hAnsi="Cambria" w:eastAsia="黑体"/>
          <w:b/>
          <w:bCs/>
          <w:color w:val="auto"/>
          <w:kern w:val="0"/>
          <w:sz w:val="32"/>
          <w:szCs w:val="32"/>
        </w:rPr>
      </w:pPr>
      <w:r>
        <w:rPr>
          <w:rFonts w:ascii="宋体" w:hAnsi="宋体"/>
          <w:b/>
          <w:color w:val="auto"/>
          <w:sz w:val="22"/>
          <w:szCs w:val="22"/>
        </w:rPr>
        <w:br w:type="page"/>
      </w:r>
      <w:bookmarkStart w:id="106" w:name="_Toc275274581"/>
    </w:p>
    <w:p>
      <w:pPr>
        <w:pStyle w:val="50"/>
      </w:pPr>
      <w:bookmarkStart w:id="107" w:name="_Toc25783"/>
      <w:r>
        <w:t>第</w:t>
      </w:r>
      <w:r>
        <w:rPr>
          <w:rFonts w:hint="eastAsia"/>
        </w:rPr>
        <w:t>六</w:t>
      </w:r>
      <w:r>
        <w:t>章  投标文件格式</w:t>
      </w:r>
      <w:bookmarkEnd w:id="106"/>
      <w:bookmarkEnd w:id="107"/>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四、已标价工程量清单</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五、施工组织设计</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六、项目管理机构</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七、资格审查资料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八、投标人认为</w:t>
      </w:r>
      <w:r>
        <w:rPr>
          <w:rFonts w:ascii="宋体" w:hAnsi="宋体" w:cs="Calibri"/>
          <w:sz w:val="22"/>
        </w:rPr>
        <w:t>应该提供的其他材料</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ascii="宋体" w:hAnsi="宋体" w:cs="Calibri"/>
          <w:sz w:val="22"/>
        </w:rPr>
      </w:pPr>
      <w:r>
        <w:rPr>
          <w:rFonts w:hint="eastAsia" w:ascii="宋体" w:hAnsi="宋体" w:cs="Calibri"/>
          <w:sz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108" w:name="_Toc171421958"/>
      <w:r>
        <w:rPr>
          <w:rFonts w:cs="Calibri"/>
        </w:rPr>
        <w:t>封面</w:t>
      </w:r>
      <w:bookmarkEnd w:id="10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杭州萧山国际机场航空物流有限公司</w:t>
      </w:r>
    </w:p>
    <w:p>
      <w:pPr>
        <w:spacing w:line="440" w:lineRule="exact"/>
        <w:rPr>
          <w:rFonts w:cs="Calibri"/>
          <w:sz w:val="36"/>
          <w:szCs w:val="36"/>
        </w:rPr>
      </w:pPr>
    </w:p>
    <w:p>
      <w:pPr>
        <w:spacing w:line="440" w:lineRule="exact"/>
        <w:ind w:firstLine="420" w:firstLineChars="200"/>
        <w:jc w:val="center"/>
        <w:rPr>
          <w:rFonts w:cs="Calibri"/>
        </w:rPr>
      </w:pPr>
    </w:p>
    <w:p>
      <w:pPr>
        <w:spacing w:line="440" w:lineRule="exact"/>
        <w:rPr>
          <w:rFonts w:cs="Calibri"/>
          <w:sz w:val="44"/>
          <w:szCs w:val="44"/>
        </w:rPr>
      </w:pPr>
    </w:p>
    <w:p>
      <w:pPr>
        <w:spacing w:beforeLines="200" w:afterLines="200" w:line="440" w:lineRule="exact"/>
        <w:jc w:val="center"/>
        <w:rPr>
          <w:rFonts w:cs="Calibri"/>
          <w:b/>
          <w:bCs/>
          <w:sz w:val="84"/>
          <w:szCs w:val="84"/>
        </w:rPr>
      </w:pPr>
      <w:r>
        <w:rPr>
          <w:rFonts w:cs="Calibri"/>
          <w:b/>
          <w:bCs/>
          <w:sz w:val="84"/>
          <w:szCs w:val="84"/>
        </w:rPr>
        <w:t>投标文件</w:t>
      </w:r>
    </w:p>
    <w:p>
      <w:pPr>
        <w:spacing w:line="440" w:lineRule="exact"/>
        <w:ind w:firstLine="420" w:firstLineChars="200"/>
        <w:jc w:val="center"/>
        <w:rPr>
          <w:rFonts w:cs="Calibri"/>
        </w:rPr>
      </w:pPr>
    </w:p>
    <w:p>
      <w:pPr>
        <w:spacing w:line="440" w:lineRule="exact"/>
        <w:ind w:firstLine="420" w:firstLineChars="200"/>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杭州萧山国际机场航空物流</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1．我方已仔细研究了（项目名称）施工招标文件的全部内容，愿意以人民币（大写）元（¥）的投标总报价，</w:t>
      </w:r>
      <w:r>
        <w:rPr>
          <w:rFonts w:hint="eastAsia" w:ascii="宋体" w:hAnsi="宋体"/>
          <w:sz w:val="22"/>
        </w:rPr>
        <w:t>工期日历天，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sz w:val="22"/>
        </w:rPr>
      </w:pPr>
      <w:r>
        <w:rPr>
          <w:rFonts w:ascii="宋体" w:hAnsi="宋体" w:cs="Calibri"/>
          <w:sz w:val="22"/>
        </w:rPr>
        <w:t>投标人：（盖单位章）</w:t>
      </w:r>
    </w:p>
    <w:p>
      <w:pPr>
        <w:snapToGrid w:val="0"/>
        <w:spacing w:line="440" w:lineRule="exact"/>
        <w:ind w:firstLine="3300" w:firstLineChars="1500"/>
        <w:rPr>
          <w:rFonts w:ascii="宋体" w:hAnsi="宋体" w:cs="Calibri"/>
          <w:sz w:val="22"/>
        </w:rPr>
      </w:pPr>
      <w:r>
        <w:rPr>
          <w:rFonts w:ascii="宋体" w:hAnsi="宋体" w:cs="Calibri"/>
          <w:sz w:val="22"/>
        </w:rPr>
        <w:t>法定代表人或其委托代理人：（签字或盖章）</w:t>
      </w:r>
    </w:p>
    <w:p>
      <w:pPr>
        <w:snapToGrid w:val="0"/>
        <w:spacing w:line="440" w:lineRule="exact"/>
        <w:ind w:firstLine="3300" w:firstLineChars="1500"/>
        <w:rPr>
          <w:rFonts w:ascii="宋体" w:hAnsi="宋体" w:cs="Calibri"/>
          <w:sz w:val="22"/>
        </w:rPr>
      </w:pPr>
      <w:r>
        <w:rPr>
          <w:rFonts w:ascii="宋体" w:hAnsi="宋体" w:cs="Calibri"/>
          <w:sz w:val="22"/>
        </w:rPr>
        <w:t>地    址：</w:t>
      </w:r>
    </w:p>
    <w:p>
      <w:pPr>
        <w:snapToGrid w:val="0"/>
        <w:spacing w:line="440" w:lineRule="exact"/>
        <w:ind w:firstLine="3300" w:firstLineChars="1500"/>
        <w:rPr>
          <w:rFonts w:ascii="宋体" w:hAnsi="宋体" w:cs="Calibri"/>
          <w:sz w:val="22"/>
        </w:rPr>
      </w:pPr>
      <w:r>
        <w:rPr>
          <w:rFonts w:ascii="宋体" w:hAnsi="宋体" w:cs="Calibri"/>
          <w:sz w:val="22"/>
        </w:rPr>
        <w:t>邮政编码：</w:t>
      </w:r>
    </w:p>
    <w:p>
      <w:pPr>
        <w:snapToGrid w:val="0"/>
        <w:spacing w:line="440" w:lineRule="exact"/>
        <w:ind w:firstLine="3300" w:firstLineChars="1500"/>
        <w:rPr>
          <w:rFonts w:ascii="宋体" w:hAnsi="宋体" w:cs="Calibri"/>
          <w:sz w:val="22"/>
        </w:rPr>
      </w:pPr>
      <w:r>
        <w:rPr>
          <w:rFonts w:ascii="宋体" w:hAnsi="宋体" w:cs="Calibri"/>
          <w:sz w:val="22"/>
        </w:rPr>
        <w:t>电    话：</w:t>
      </w:r>
    </w:p>
    <w:p>
      <w:pPr>
        <w:snapToGrid w:val="0"/>
        <w:spacing w:line="440" w:lineRule="exact"/>
        <w:ind w:firstLine="3300" w:firstLineChars="1500"/>
        <w:rPr>
          <w:rFonts w:ascii="宋体" w:hAnsi="宋体" w:cs="Calibri"/>
          <w:sz w:val="22"/>
        </w:rPr>
      </w:pPr>
      <w:r>
        <w:rPr>
          <w:rFonts w:ascii="宋体" w:hAnsi="宋体" w:cs="Calibri"/>
          <w:sz w:val="22"/>
        </w:rPr>
        <w:t>传    真：</w:t>
      </w:r>
    </w:p>
    <w:p>
      <w:pPr>
        <w:snapToGrid w:val="0"/>
        <w:spacing w:line="440" w:lineRule="exact"/>
        <w:ind w:firstLine="3300" w:firstLineChars="1500"/>
        <w:rPr>
          <w:rFonts w:ascii="宋体" w:hAnsi="宋体" w:cs="Calibri"/>
          <w:sz w:val="22"/>
        </w:rPr>
      </w:pPr>
      <w:r>
        <w:rPr>
          <w:rFonts w:ascii="宋体" w:hAnsi="宋体" w:cs="Calibri"/>
          <w:sz w:val="22"/>
        </w:rPr>
        <w:t>开户银行：</w:t>
      </w:r>
    </w:p>
    <w:p>
      <w:pPr>
        <w:snapToGrid w:val="0"/>
        <w:spacing w:line="440" w:lineRule="exact"/>
        <w:ind w:firstLine="3300" w:firstLineChars="1500"/>
        <w:rPr>
          <w:rFonts w:ascii="宋体" w:hAnsi="宋体" w:cs="Calibri"/>
          <w:sz w:val="22"/>
        </w:rPr>
      </w:pPr>
      <w:r>
        <w:rPr>
          <w:rFonts w:ascii="宋体" w:hAnsi="宋体" w:cs="Calibri"/>
          <w:sz w:val="22"/>
        </w:rPr>
        <w:t>账    号：</w:t>
      </w:r>
    </w:p>
    <w:p>
      <w:pPr>
        <w:snapToGrid w:val="0"/>
        <w:spacing w:line="440" w:lineRule="exact"/>
        <w:ind w:firstLine="3300" w:firstLineChars="1500"/>
        <w:rPr>
          <w:rFonts w:ascii="宋体" w:hAnsi="宋体" w:cs="Calibri"/>
          <w:sz w:val="22"/>
        </w:rPr>
      </w:pPr>
      <w:r>
        <w:rPr>
          <w:rFonts w:ascii="宋体" w:hAnsi="宋体" w:cs="Calibri"/>
          <w:sz w:val="22"/>
        </w:rPr>
        <w:t>日    期：    年     月     日</w:t>
      </w:r>
    </w:p>
    <w:p>
      <w:pPr>
        <w:adjustRightInd w:val="0"/>
        <w:snapToGrid w:val="0"/>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Lines="50" w:line="440" w:lineRule="exact"/>
        <w:rPr>
          <w:rFonts w:cs="Calibri"/>
        </w:rPr>
      </w:pPr>
    </w:p>
    <w:p>
      <w:pPr>
        <w:spacing w:afterLines="50" w:line="440" w:lineRule="exact"/>
        <w:rPr>
          <w:rFonts w:cs="Calibri"/>
          <w:sz w:val="22"/>
          <w:u w:val="single"/>
        </w:rPr>
      </w:pPr>
      <w:r>
        <w:rPr>
          <w:rFonts w:cs="Calibri"/>
          <w:sz w:val="22"/>
        </w:rPr>
        <w:t>投标人名称：</w:t>
      </w:r>
    </w:p>
    <w:p>
      <w:pPr>
        <w:spacing w:afterLines="50" w:line="440" w:lineRule="exact"/>
        <w:rPr>
          <w:rFonts w:cs="Calibri"/>
          <w:sz w:val="22"/>
          <w:u w:val="single"/>
        </w:rPr>
      </w:pPr>
      <w:r>
        <w:rPr>
          <w:rFonts w:cs="Calibri"/>
          <w:sz w:val="22"/>
        </w:rPr>
        <w:t>单位性质：</w:t>
      </w:r>
    </w:p>
    <w:p>
      <w:pPr>
        <w:spacing w:afterLines="50" w:line="440" w:lineRule="exact"/>
        <w:rPr>
          <w:rFonts w:cs="Calibri"/>
          <w:sz w:val="22"/>
          <w:u w:val="single"/>
        </w:rPr>
      </w:pPr>
      <w:r>
        <w:rPr>
          <w:rFonts w:cs="Calibri"/>
          <w:sz w:val="22"/>
        </w:rPr>
        <w:t>地址：</w:t>
      </w:r>
    </w:p>
    <w:p>
      <w:pPr>
        <w:spacing w:afterLines="50" w:line="440" w:lineRule="exact"/>
        <w:rPr>
          <w:rFonts w:cs="Calibri"/>
          <w:sz w:val="22"/>
          <w:u w:val="single"/>
        </w:rPr>
      </w:pPr>
      <w:r>
        <w:rPr>
          <w:rFonts w:cs="Calibri"/>
          <w:sz w:val="22"/>
        </w:rPr>
        <w:t>成立时间：年月日</w:t>
      </w:r>
    </w:p>
    <w:p>
      <w:pPr>
        <w:spacing w:afterLines="50" w:line="440" w:lineRule="exact"/>
        <w:rPr>
          <w:rFonts w:cs="Calibri"/>
          <w:sz w:val="22"/>
          <w:u w:val="single"/>
        </w:rPr>
      </w:pPr>
      <w:r>
        <w:rPr>
          <w:rFonts w:cs="Calibri"/>
          <w:sz w:val="22"/>
        </w:rPr>
        <w:t>经营期限：</w:t>
      </w:r>
    </w:p>
    <w:p>
      <w:pPr>
        <w:spacing w:afterLines="50" w:line="440" w:lineRule="exact"/>
        <w:rPr>
          <w:rFonts w:cs="Calibri"/>
          <w:sz w:val="22"/>
          <w:u w:val="single"/>
        </w:rPr>
      </w:pPr>
      <w:r>
        <w:rPr>
          <w:rFonts w:cs="Calibri"/>
          <w:sz w:val="22"/>
        </w:rPr>
        <w:t>姓名：  性别：  年龄：  职务：</w:t>
      </w:r>
    </w:p>
    <w:p>
      <w:pPr>
        <w:spacing w:afterLines="50" w:line="440" w:lineRule="exact"/>
        <w:rPr>
          <w:rFonts w:cs="Calibri"/>
          <w:sz w:val="22"/>
          <w:u w:val="single"/>
        </w:rPr>
      </w:pPr>
      <w:r>
        <w:rPr>
          <w:rFonts w:cs="Calibri"/>
          <w:sz w:val="22"/>
        </w:rPr>
        <w:t>身份证号码：</w:t>
      </w:r>
    </w:p>
    <w:p>
      <w:pPr>
        <w:spacing w:line="440" w:lineRule="exact"/>
        <w:ind w:firstLine="560"/>
        <w:rPr>
          <w:rFonts w:cs="Calibri"/>
          <w:sz w:val="22"/>
        </w:rPr>
      </w:pPr>
    </w:p>
    <w:p>
      <w:pPr>
        <w:spacing w:line="440" w:lineRule="exact"/>
        <w:rPr>
          <w:rFonts w:cs="Calibri"/>
          <w:sz w:val="22"/>
        </w:rPr>
      </w:pPr>
      <w:r>
        <w:rPr>
          <w:rFonts w:cs="Calibri"/>
          <w:sz w:val="22"/>
        </w:rPr>
        <w:t xml:space="preserve">    系（投标人名称）的法定代表人。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 xml:space="preserve">投标人：（盖单位章） </w:t>
      </w:r>
    </w:p>
    <w:p>
      <w:pPr>
        <w:spacing w:line="440" w:lineRule="exact"/>
        <w:ind w:firstLine="4936" w:firstLineChars="2235"/>
        <w:rPr>
          <w:rFonts w:cs="Calibri"/>
          <w:b/>
          <w:sz w:val="22"/>
        </w:rPr>
      </w:pPr>
      <w:r>
        <w:rPr>
          <w:rFonts w:cs="Calibri"/>
          <w:b/>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w:t>
      </w:r>
    </w:p>
    <w:p>
      <w:pPr>
        <w:spacing w:line="440" w:lineRule="exact"/>
        <w:ind w:firstLine="4730" w:firstLineChars="2150"/>
        <w:rPr>
          <w:rFonts w:cs="Calibri"/>
          <w:sz w:val="22"/>
        </w:rPr>
      </w:pPr>
      <w:r>
        <w:rPr>
          <w:rFonts w:cs="Calibri"/>
          <w:sz w:val="22"/>
        </w:rPr>
        <w:t>日期：年月日</w:t>
      </w:r>
    </w:p>
    <w:p>
      <w:pPr>
        <w:snapToGrid w:val="0"/>
        <w:spacing w:line="440" w:lineRule="exact"/>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szCs w:val="21"/>
        </w:rPr>
      </w:pP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rPr>
      </w:pPr>
      <w:r>
        <w:rPr>
          <w:rFonts w:cs="Calibri"/>
          <w:sz w:val="22"/>
        </w:rPr>
        <w:t>注：如投标文件由委托代理人签字或盖章的，投标文件必须附此授权委托书。</w:t>
      </w:r>
    </w:p>
    <w:p>
      <w:pPr>
        <w:spacing w:line="360" w:lineRule="auto"/>
        <w:jc w:val="left"/>
        <w:rPr>
          <w:rFonts w:ascii="宋体" w:hAnsi="宋体" w:cs="宋体"/>
          <w:sz w:val="22"/>
        </w:rPr>
      </w:pPr>
    </w:p>
    <w:p>
      <w:pPr>
        <w:pStyle w:val="30"/>
        <w:spacing w:afterLines="50" w:line="360" w:lineRule="auto"/>
        <w:jc w:val="left"/>
        <w:rPr>
          <w:rFonts w:hAnsi="宋体" w:cs="宋体"/>
          <w:b/>
        </w:rPr>
      </w:pPr>
      <w:r>
        <w:rPr>
          <w:rFonts w:hAnsi="宋体" w:cs="宋体"/>
          <w:b/>
        </w:rPr>
        <w:br w:type="page"/>
      </w:r>
      <w:bookmarkStart w:id="109" w:name="_Toc133214102"/>
      <w:bookmarkStart w:id="110" w:name="_Toc133214309"/>
      <w:bookmarkStart w:id="111" w:name="_Toc133470542"/>
      <w:bookmarkStart w:id="112" w:name="_Toc137373398"/>
      <w:bookmarkStart w:id="113" w:name="_Toc144265958"/>
    </w:p>
    <w:p>
      <w:pPr>
        <w:pStyle w:val="30"/>
        <w:spacing w:afterLines="50" w:line="360" w:lineRule="auto"/>
        <w:jc w:val="left"/>
        <w:rPr>
          <w:rFonts w:hAnsi="宋体" w:cs="宋体"/>
          <w:sz w:val="22"/>
          <w:szCs w:val="22"/>
        </w:rPr>
      </w:pPr>
    </w:p>
    <w:p>
      <w:pPr>
        <w:spacing w:line="440" w:lineRule="exact"/>
        <w:jc w:val="center"/>
        <w:rPr>
          <w:rFonts w:eastAsia="黑体" w:cs="Calibri"/>
          <w:sz w:val="32"/>
          <w:szCs w:val="32"/>
        </w:rPr>
      </w:pPr>
      <w:r>
        <w:rPr>
          <w:rFonts w:hint="eastAsia" w:eastAsia="黑体" w:cs="Calibri"/>
          <w:sz w:val="32"/>
          <w:szCs w:val="32"/>
        </w:rPr>
        <w:t>四、已标价工程量清单</w:t>
      </w:r>
    </w:p>
    <w:p>
      <w:pPr>
        <w:pStyle w:val="30"/>
        <w:spacing w:afterLines="50" w:line="360" w:lineRule="auto"/>
        <w:jc w:val="center"/>
        <w:rPr>
          <w:rFonts w:hAnsi="宋体" w:cs="宋体"/>
        </w:rPr>
      </w:pPr>
    </w:p>
    <w:bookmarkEnd w:id="109"/>
    <w:bookmarkEnd w:id="110"/>
    <w:bookmarkEnd w:id="111"/>
    <w:bookmarkEnd w:id="112"/>
    <w:bookmarkEnd w:id="113"/>
    <w:p>
      <w:pPr>
        <w:snapToGrid w:val="0"/>
        <w:spacing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eastAsia="黑体" w:cs="Calibri"/>
          <w:sz w:val="32"/>
          <w:szCs w:val="32"/>
        </w:rPr>
      </w:pPr>
      <w:r>
        <w:rPr>
          <w:rFonts w:hint="eastAsia" w:eastAsia="黑体" w:cs="Calibri"/>
          <w:sz w:val="32"/>
          <w:szCs w:val="32"/>
        </w:rPr>
        <w:t>五、施工组织设计</w:t>
      </w:r>
    </w:p>
    <w:p>
      <w:pPr>
        <w:spacing w:line="440" w:lineRule="exact"/>
        <w:jc w:val="center"/>
        <w:rPr>
          <w:rFonts w:eastAsia="黑体" w:cs="Calibri"/>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99"/>
        <w:rPr>
          <w:rFonts w:ascii="宋体" w:hAnsi="宋体" w:eastAsia="宋体"/>
          <w:szCs w:val="23"/>
        </w:rPr>
      </w:pPr>
      <w:bookmarkStart w:id="114" w:name="_Toc144974865"/>
      <w:bookmarkStart w:id="115" w:name="_Toc152042586"/>
      <w:bookmarkStart w:id="116" w:name="_Toc152045797"/>
      <w:bookmarkStart w:id="117" w:name="_Toc179632817"/>
      <w:bookmarkStart w:id="118" w:name="_Toc246392155"/>
      <w:bookmarkStart w:id="119" w:name="_Toc11710"/>
      <w:r>
        <w:rPr>
          <w:rFonts w:hint="eastAsia" w:ascii="宋体" w:hAnsi="宋体" w:eastAsia="宋体"/>
        </w:rPr>
        <w:t>附表一：</w:t>
      </w:r>
      <w:r>
        <w:rPr>
          <w:rFonts w:hint="eastAsia" w:ascii="宋体" w:hAnsi="宋体" w:eastAsia="宋体"/>
          <w:szCs w:val="23"/>
        </w:rPr>
        <w:t>拟投入本标段的主要施工设备表</w:t>
      </w:r>
      <w:bookmarkEnd w:id="114"/>
      <w:bookmarkEnd w:id="115"/>
      <w:bookmarkEnd w:id="116"/>
      <w:bookmarkEnd w:id="117"/>
      <w:bookmarkEnd w:id="118"/>
      <w:bookmarkEnd w:id="119"/>
    </w:p>
    <w:p>
      <w:pPr>
        <w:spacing w:line="440" w:lineRule="exact"/>
        <w:rPr>
          <w:rFonts w:ascii="宋体" w:hAnsi="宋体"/>
          <w:sz w:val="20"/>
          <w:szCs w:val="20"/>
        </w:rPr>
      </w:pPr>
    </w:p>
    <w:tbl>
      <w:tblPr>
        <w:tblStyle w:val="5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99"/>
        <w:rPr>
          <w:rFonts w:ascii="宋体" w:hAnsi="宋体" w:eastAsia="宋体"/>
        </w:rPr>
      </w:pPr>
      <w:bookmarkStart w:id="120" w:name="_Toc246392156"/>
      <w:bookmarkStart w:id="121" w:name="_Toc4957"/>
      <w:bookmarkStart w:id="122" w:name="_Toc152045798"/>
      <w:bookmarkStart w:id="123" w:name="_Toc152042587"/>
      <w:bookmarkStart w:id="124" w:name="_Toc144974866"/>
      <w:bookmarkStart w:id="125" w:name="_Toc179632818"/>
      <w:r>
        <w:rPr>
          <w:rFonts w:hint="eastAsia" w:ascii="宋体" w:hAnsi="宋体" w:eastAsia="宋体"/>
        </w:rPr>
        <w:t>附表二：拟配备本标段的试验和检测仪器设备表</w:t>
      </w:r>
      <w:bookmarkEnd w:id="120"/>
      <w:bookmarkEnd w:id="121"/>
      <w:bookmarkEnd w:id="122"/>
      <w:bookmarkEnd w:id="123"/>
      <w:bookmarkEnd w:id="124"/>
      <w:bookmarkEnd w:id="125"/>
    </w:p>
    <w:p>
      <w:pPr>
        <w:spacing w:line="440" w:lineRule="exact"/>
        <w:rPr>
          <w:rFonts w:ascii="宋体" w:hAnsi="宋体"/>
          <w:sz w:val="20"/>
          <w:szCs w:val="20"/>
        </w:rPr>
      </w:pPr>
    </w:p>
    <w:tbl>
      <w:tblPr>
        <w:tblStyle w:val="5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99"/>
        <w:rPr>
          <w:rFonts w:ascii="宋体" w:hAnsi="宋体" w:eastAsia="宋体"/>
        </w:rPr>
      </w:pPr>
      <w:bookmarkStart w:id="126" w:name="_Toc144974867"/>
      <w:bookmarkStart w:id="127" w:name="_Toc179632819"/>
      <w:bookmarkStart w:id="128" w:name="_Toc246392157"/>
      <w:bookmarkStart w:id="129" w:name="_Toc152045799"/>
      <w:bookmarkStart w:id="130" w:name="_Toc8928"/>
      <w:bookmarkStart w:id="131" w:name="_Toc152042588"/>
      <w:r>
        <w:rPr>
          <w:rFonts w:hint="eastAsia" w:ascii="宋体" w:hAnsi="宋体" w:eastAsia="宋体"/>
        </w:rPr>
        <w:t>附表三：劳动力计划表</w:t>
      </w:r>
      <w:bookmarkEnd w:id="126"/>
      <w:bookmarkEnd w:id="127"/>
      <w:bookmarkEnd w:id="128"/>
      <w:bookmarkEnd w:id="129"/>
      <w:bookmarkEnd w:id="130"/>
      <w:bookmarkEnd w:id="131"/>
    </w:p>
    <w:p>
      <w:pPr>
        <w:spacing w:line="440" w:lineRule="exact"/>
        <w:ind w:right="200"/>
        <w:jc w:val="right"/>
        <w:rPr>
          <w:rFonts w:ascii="宋体" w:hAnsi="宋体"/>
          <w:szCs w:val="21"/>
        </w:rPr>
      </w:pPr>
      <w:r>
        <w:rPr>
          <w:rFonts w:hint="eastAsia" w:ascii="宋体" w:hAnsi="宋体"/>
          <w:szCs w:val="21"/>
        </w:rPr>
        <w:t>单位：人</w:t>
      </w:r>
    </w:p>
    <w:tbl>
      <w:tblPr>
        <w:tblStyle w:val="5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99"/>
        <w:rPr>
          <w:rFonts w:ascii="宋体" w:hAnsi="宋体" w:eastAsia="宋体"/>
          <w:sz w:val="22"/>
          <w:szCs w:val="22"/>
        </w:rPr>
      </w:pPr>
      <w:bookmarkStart w:id="132" w:name="_Toc152045800"/>
      <w:bookmarkStart w:id="133" w:name="_Toc144974868"/>
      <w:bookmarkStart w:id="134" w:name="_Toc246392158"/>
      <w:bookmarkStart w:id="135" w:name="_Toc152042589"/>
      <w:bookmarkStart w:id="136" w:name="_Toc3750"/>
      <w:bookmarkStart w:id="137" w:name="_Toc179632820"/>
      <w:r>
        <w:rPr>
          <w:rFonts w:hint="eastAsia" w:ascii="宋体" w:hAnsi="宋体" w:eastAsia="宋体"/>
          <w:sz w:val="22"/>
          <w:szCs w:val="22"/>
        </w:rPr>
        <w:t>附表四：计划开、竣工日期和施工进度网络图</w:t>
      </w:r>
      <w:bookmarkEnd w:id="132"/>
      <w:bookmarkEnd w:id="133"/>
      <w:bookmarkEnd w:id="134"/>
      <w:bookmarkEnd w:id="135"/>
      <w:bookmarkEnd w:id="136"/>
      <w:bookmarkEnd w:id="137"/>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38" w:name="_Toc152042590"/>
      <w:bookmarkStart w:id="139" w:name="_Toc144974869"/>
      <w:bookmarkStart w:id="140" w:name="_Toc246392159"/>
      <w:bookmarkStart w:id="141" w:name="_Toc152045801"/>
      <w:bookmarkStart w:id="142" w:name="_Toc179632821"/>
      <w:r>
        <w:rPr>
          <w:rFonts w:hint="eastAsia" w:ascii="宋体" w:hAnsi="宋体"/>
          <w:sz w:val="22"/>
        </w:rPr>
        <w:t>附表五：施工总平面图</w:t>
      </w:r>
      <w:bookmarkEnd w:id="138"/>
      <w:bookmarkEnd w:id="139"/>
      <w:bookmarkEnd w:id="140"/>
      <w:bookmarkEnd w:id="141"/>
      <w:bookmarkEnd w:id="142"/>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eastAsia="黑体" w:cs="Calibri"/>
          <w:sz w:val="32"/>
          <w:szCs w:val="32"/>
        </w:rPr>
      </w:pPr>
      <w:r>
        <w:rPr>
          <w:rFonts w:hint="eastAsia" w:eastAsia="黑体" w:cs="Calibri"/>
          <w:sz w:val="32"/>
          <w:szCs w:val="32"/>
        </w:rPr>
        <w:t>六、项目管理机构</w:t>
      </w:r>
    </w:p>
    <w:p>
      <w:pPr>
        <w:pStyle w:val="199"/>
        <w:rPr>
          <w:rFonts w:ascii="宋体" w:hAnsi="宋体" w:eastAsia="宋体"/>
          <w:szCs w:val="23"/>
        </w:rPr>
      </w:pPr>
      <w:bookmarkStart w:id="143" w:name="_Toc152042593"/>
      <w:bookmarkStart w:id="144" w:name="_Toc144974872"/>
      <w:bookmarkStart w:id="145" w:name="_Toc29304"/>
      <w:bookmarkStart w:id="146" w:name="_Toc179632824"/>
      <w:bookmarkStart w:id="147" w:name="_Toc246392161"/>
      <w:bookmarkStart w:id="148" w:name="_Toc152045804"/>
      <w:r>
        <w:rPr>
          <w:rFonts w:hint="eastAsia" w:ascii="宋体" w:hAnsi="宋体" w:eastAsia="宋体"/>
          <w:szCs w:val="23"/>
        </w:rPr>
        <w:t>（一）项目管理机构组成表</w:t>
      </w:r>
      <w:bookmarkEnd w:id="143"/>
      <w:bookmarkEnd w:id="144"/>
      <w:bookmarkEnd w:id="145"/>
      <w:bookmarkEnd w:id="146"/>
      <w:bookmarkEnd w:id="147"/>
      <w:bookmarkEnd w:id="148"/>
    </w:p>
    <w:tbl>
      <w:tblPr>
        <w:tblStyle w:val="5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99"/>
        <w:rPr>
          <w:rFonts w:ascii="宋体" w:hAnsi="宋体" w:eastAsia="宋体"/>
          <w:szCs w:val="23"/>
        </w:rPr>
      </w:pPr>
      <w:bookmarkStart w:id="149" w:name="_Toc152045805"/>
      <w:bookmarkStart w:id="150" w:name="_Toc179632825"/>
      <w:bookmarkStart w:id="151" w:name="_Toc152042594"/>
      <w:bookmarkStart w:id="152" w:name="_Toc25718"/>
      <w:bookmarkStart w:id="153" w:name="_Toc246392162"/>
      <w:bookmarkStart w:id="154" w:name="_Toc144974873"/>
      <w:r>
        <w:rPr>
          <w:rFonts w:hint="eastAsia" w:ascii="宋体" w:hAnsi="宋体" w:eastAsia="宋体"/>
          <w:szCs w:val="23"/>
        </w:rPr>
        <w:t>（二）主要人员简历表</w:t>
      </w:r>
      <w:bookmarkEnd w:id="149"/>
      <w:bookmarkEnd w:id="150"/>
      <w:bookmarkEnd w:id="151"/>
      <w:bookmarkEnd w:id="152"/>
      <w:bookmarkEnd w:id="153"/>
      <w:bookmarkEnd w:id="154"/>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4"/>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eastAsia="黑体" w:cs="Calibri"/>
          <w:sz w:val="32"/>
          <w:szCs w:val="32"/>
        </w:rPr>
      </w:pPr>
      <w:r>
        <w:rPr>
          <w:rFonts w:hint="eastAsia" w:ascii="宋体" w:hAnsi="宋体"/>
        </w:rPr>
        <w:br w:type="page"/>
      </w:r>
      <w:bookmarkStart w:id="155" w:name="_Toc245036711"/>
      <w:bookmarkStart w:id="156" w:name="_Toc7025"/>
      <w:r>
        <w:rPr>
          <w:rFonts w:hint="eastAsia" w:eastAsia="黑体" w:cs="Calibri"/>
          <w:sz w:val="32"/>
          <w:szCs w:val="32"/>
        </w:rPr>
        <w:t>七、资格审查资料</w:t>
      </w:r>
      <w:bookmarkEnd w:id="155"/>
      <w:bookmarkEnd w:id="156"/>
    </w:p>
    <w:p>
      <w:pPr>
        <w:topLinePunct/>
        <w:spacing w:line="440" w:lineRule="exact"/>
        <w:jc w:val="center"/>
        <w:rPr>
          <w:rFonts w:ascii="宋体" w:hAnsi="宋体"/>
          <w:sz w:val="27"/>
          <w:szCs w:val="27"/>
        </w:rPr>
      </w:pPr>
    </w:p>
    <w:p>
      <w:pPr>
        <w:pStyle w:val="199"/>
        <w:rPr>
          <w:rFonts w:ascii="宋体" w:hAnsi="宋体" w:eastAsia="宋体"/>
          <w:szCs w:val="23"/>
        </w:rPr>
      </w:pPr>
      <w:bookmarkStart w:id="157" w:name="_Toc152042597"/>
      <w:bookmarkStart w:id="158" w:name="_Toc152045808"/>
      <w:bookmarkStart w:id="159" w:name="_Toc144974876"/>
      <w:bookmarkStart w:id="160" w:name="_Toc17487"/>
      <w:bookmarkStart w:id="161" w:name="_Toc245036712"/>
      <w:r>
        <w:rPr>
          <w:rFonts w:hint="eastAsia" w:ascii="宋体" w:hAnsi="宋体" w:eastAsia="宋体"/>
          <w:szCs w:val="23"/>
        </w:rPr>
        <w:t>（一）投标人基本情况表</w:t>
      </w:r>
      <w:bookmarkEnd w:id="157"/>
      <w:bookmarkEnd w:id="158"/>
      <w:bookmarkEnd w:id="159"/>
      <w:bookmarkEnd w:id="160"/>
      <w:bookmarkEnd w:id="161"/>
    </w:p>
    <w:p>
      <w:pPr>
        <w:topLinePunct/>
        <w:spacing w:line="440" w:lineRule="exact"/>
        <w:jc w:val="center"/>
        <w:rPr>
          <w:rFonts w:ascii="宋体" w:hAnsi="宋体"/>
          <w:sz w:val="23"/>
          <w:szCs w:val="23"/>
        </w:rPr>
      </w:pPr>
    </w:p>
    <w:tbl>
      <w:tblPr>
        <w:tblStyle w:val="54"/>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7"/>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99"/>
        <w:rPr>
          <w:rFonts w:ascii="宋体" w:hAnsi="宋体" w:eastAsia="宋体"/>
          <w:szCs w:val="23"/>
        </w:rPr>
      </w:pPr>
      <w:bookmarkStart w:id="162" w:name="_Toc16950"/>
      <w:bookmarkStart w:id="163" w:name="_Toc245036713"/>
      <w:bookmarkStart w:id="164" w:name="_Toc152045809"/>
      <w:bookmarkStart w:id="165" w:name="_Toc144974877"/>
      <w:bookmarkStart w:id="166" w:name="_Toc152042598"/>
      <w:r>
        <w:rPr>
          <w:rFonts w:hint="eastAsia" w:ascii="宋体" w:hAnsi="宋体" w:eastAsia="宋体"/>
        </w:rPr>
        <w:br w:type="page"/>
      </w:r>
      <w:r>
        <w:rPr>
          <w:rFonts w:hint="eastAsia" w:ascii="宋体" w:hAnsi="宋体" w:eastAsia="宋体"/>
        </w:rPr>
        <w:t>（二）近年财务状况表</w:t>
      </w:r>
      <w:bookmarkEnd w:id="162"/>
      <w:bookmarkEnd w:id="163"/>
      <w:bookmarkEnd w:id="164"/>
      <w:bookmarkEnd w:id="165"/>
      <w:bookmarkEnd w:id="166"/>
    </w:p>
    <w:p>
      <w:pPr>
        <w:spacing w:line="440" w:lineRule="exact"/>
        <w:rPr>
          <w:rFonts w:ascii="宋体" w:hAnsi="宋体"/>
          <w:sz w:val="23"/>
          <w:szCs w:val="23"/>
        </w:rPr>
      </w:pPr>
    </w:p>
    <w:p>
      <w:pPr>
        <w:pStyle w:val="199"/>
        <w:rPr>
          <w:rFonts w:ascii="宋体" w:hAnsi="宋体" w:eastAsia="宋体"/>
          <w:szCs w:val="23"/>
        </w:rPr>
      </w:pPr>
      <w:bookmarkStart w:id="167" w:name="_Toc31021"/>
      <w:bookmarkStart w:id="168" w:name="_Toc245036714"/>
      <w:bookmarkStart w:id="169" w:name="_Toc152045810"/>
      <w:bookmarkStart w:id="170" w:name="_Toc152042599"/>
      <w:bookmarkStart w:id="171" w:name="_Toc144974878"/>
      <w:r>
        <w:rPr>
          <w:rFonts w:hint="eastAsia" w:ascii="宋体" w:hAnsi="宋体" w:eastAsia="宋体"/>
          <w:szCs w:val="23"/>
        </w:rPr>
        <w:t>（三）近年完成的类似项目情况表</w:t>
      </w:r>
      <w:bookmarkEnd w:id="167"/>
      <w:bookmarkEnd w:id="168"/>
      <w:bookmarkEnd w:id="169"/>
      <w:bookmarkEnd w:id="170"/>
      <w:bookmarkEnd w:id="171"/>
    </w:p>
    <w:p>
      <w:pPr>
        <w:spacing w:line="440" w:lineRule="exact"/>
        <w:jc w:val="center"/>
        <w:rPr>
          <w:rFonts w:ascii="宋体" w:hAnsi="宋体"/>
          <w:sz w:val="23"/>
          <w:szCs w:val="23"/>
        </w:rPr>
      </w:pPr>
    </w:p>
    <w:tbl>
      <w:tblPr>
        <w:tblStyle w:val="54"/>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72" w:name="_Toc13233"/>
            <w:r>
              <w:rPr>
                <w:rFonts w:hint="eastAsia" w:ascii="宋体" w:hAnsi="宋体"/>
                <w:szCs w:val="21"/>
              </w:rPr>
              <w:t>项目所在地</w:t>
            </w:r>
            <w:bookmarkEnd w:id="17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73" w:name="_Toc20896"/>
            <w:r>
              <w:rPr>
                <w:rFonts w:hint="eastAsia" w:ascii="宋体" w:hAnsi="宋体"/>
                <w:szCs w:val="21"/>
              </w:rPr>
              <w:t>发包人地址</w:t>
            </w:r>
            <w:bookmarkEnd w:id="17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74" w:name="_Toc3155"/>
            <w:r>
              <w:rPr>
                <w:rFonts w:hint="eastAsia" w:ascii="宋体" w:hAnsi="宋体"/>
                <w:szCs w:val="21"/>
              </w:rPr>
              <w:t>承担的工作</w:t>
            </w:r>
            <w:bookmarkEnd w:id="17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99"/>
        <w:rPr>
          <w:rFonts w:ascii="宋体" w:hAnsi="宋体" w:eastAsia="宋体"/>
          <w:szCs w:val="23"/>
        </w:rPr>
      </w:pPr>
      <w:bookmarkStart w:id="175" w:name="_Toc26600"/>
      <w:bookmarkStart w:id="176" w:name="_Toc245036715"/>
      <w:bookmarkStart w:id="177" w:name="_Toc144974879"/>
      <w:bookmarkStart w:id="178" w:name="_Toc152042600"/>
      <w:bookmarkStart w:id="179"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75"/>
      <w:bookmarkEnd w:id="176"/>
      <w:bookmarkEnd w:id="177"/>
      <w:bookmarkEnd w:id="178"/>
      <w:bookmarkEnd w:id="179"/>
    </w:p>
    <w:p>
      <w:pPr>
        <w:keepNext/>
        <w:keepLines/>
        <w:topLinePunct/>
        <w:spacing w:beforeLines="100" w:line="280" w:lineRule="exact"/>
        <w:outlineLvl w:val="2"/>
        <w:rPr>
          <w:rFonts w:ascii="宋体" w:hAnsi="宋体"/>
          <w:b/>
          <w:bCs/>
          <w:szCs w:val="21"/>
        </w:rPr>
      </w:pPr>
    </w:p>
    <w:tbl>
      <w:tblPr>
        <w:tblStyle w:val="5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80" w:name="_Toc5773"/>
            <w:bookmarkStart w:id="181" w:name="_Toc144974880"/>
            <w:bookmarkStart w:id="182" w:name="_Toc152042601"/>
            <w:bookmarkStart w:id="183" w:name="_Toc152045812"/>
            <w:bookmarkStart w:id="184" w:name="_Toc245036716"/>
            <w:r>
              <w:rPr>
                <w:rFonts w:hint="eastAsia" w:ascii="宋体" w:hAnsi="宋体"/>
                <w:szCs w:val="21"/>
              </w:rPr>
              <w:t>项目名称</w:t>
            </w:r>
            <w:bookmarkEnd w:id="180"/>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Lines="100" w:line="280" w:lineRule="exact"/>
              <w:outlineLvl w:val="2"/>
              <w:rPr>
                <w:rFonts w:ascii="宋体" w:hAnsi="宋体"/>
                <w:b/>
                <w:bCs/>
                <w:szCs w:val="21"/>
              </w:rPr>
            </w:pPr>
          </w:p>
        </w:tc>
      </w:tr>
      <w:bookmarkEnd w:id="181"/>
      <w:bookmarkEnd w:id="182"/>
      <w:bookmarkEnd w:id="183"/>
      <w:bookmarkEnd w:id="184"/>
    </w:tbl>
    <w:p>
      <w:pPr>
        <w:spacing w:line="440" w:lineRule="exact"/>
        <w:rPr>
          <w:rFonts w:ascii="宋体" w:hAnsi="宋体"/>
          <w:sz w:val="20"/>
          <w:szCs w:val="20"/>
        </w:rPr>
      </w:pPr>
    </w:p>
    <w:p>
      <w:pPr>
        <w:spacing w:line="440" w:lineRule="exact"/>
        <w:jc w:val="center"/>
        <w:rPr>
          <w:rFonts w:eastAsia="黑体" w:cs="Calibri"/>
          <w:sz w:val="32"/>
          <w:szCs w:val="32"/>
        </w:rPr>
      </w:pPr>
      <w:bookmarkStart w:id="185" w:name="_Toc675"/>
      <w:bookmarkStart w:id="186" w:name="_Toc152042602"/>
      <w:bookmarkStart w:id="187" w:name="_Toc152045813"/>
      <w:bookmarkStart w:id="188" w:name="_Toc245036717"/>
      <w:bookmarkStart w:id="189" w:name="_Toc144974881"/>
      <w:r>
        <w:rPr>
          <w:rFonts w:hint="eastAsia" w:ascii="宋体" w:hAnsi="宋体"/>
        </w:rPr>
        <w:br w:type="page"/>
      </w:r>
      <w:r>
        <w:rPr>
          <w:rFonts w:hint="eastAsia" w:eastAsia="黑体" w:cs="Calibri"/>
          <w:sz w:val="32"/>
          <w:szCs w:val="32"/>
        </w:rPr>
        <w:t>八、</w:t>
      </w:r>
      <w:bookmarkEnd w:id="185"/>
      <w:bookmarkEnd w:id="186"/>
      <w:bookmarkEnd w:id="187"/>
      <w:bookmarkEnd w:id="188"/>
      <w:bookmarkEnd w:id="189"/>
      <w:bookmarkStart w:id="190" w:name="_Toc21221"/>
      <w:r>
        <w:rPr>
          <w:rFonts w:hint="eastAsia" w:eastAsia="黑体" w:cs="Calibri"/>
          <w:sz w:val="32"/>
          <w:szCs w:val="32"/>
        </w:rPr>
        <w:t>投标人认为</w:t>
      </w:r>
      <w:r>
        <w:rPr>
          <w:rFonts w:eastAsia="黑体" w:cs="Calibri"/>
          <w:sz w:val="32"/>
          <w:szCs w:val="32"/>
        </w:rPr>
        <w:t>应该提供的其他材料</w:t>
      </w:r>
    </w:p>
    <w:bookmarkEnd w:id="190"/>
    <w:p>
      <w:pPr>
        <w:overflowPunct w:val="0"/>
        <w:autoSpaceDE w:val="0"/>
        <w:autoSpaceDN w:val="0"/>
        <w:spacing w:line="440" w:lineRule="exact"/>
        <w:ind w:left="839" w:hanging="839"/>
        <w:jc w:val="cente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tabs>
          <w:tab w:val="left" w:pos="2429"/>
        </w:tabs>
        <w:jc w:val="left"/>
        <w:rPr>
          <w:rFonts w:ascii="宋体" w:hAnsi="宋体" w:cs="宋体"/>
          <w:b/>
          <w:sz w:val="32"/>
          <w:szCs w:val="32"/>
        </w:rPr>
      </w:pPr>
      <w:r>
        <w:rPr>
          <w:rFonts w:hint="eastAsia" w:ascii="宋体" w:hAnsi="宋体" w:cs="宋体"/>
          <w:b/>
          <w:sz w:val="32"/>
          <w:szCs w:val="32"/>
        </w:rPr>
        <w:tab/>
      </w:r>
    </w:p>
    <w:p>
      <w:pPr>
        <w:tabs>
          <w:tab w:val="left" w:pos="2429"/>
        </w:tabs>
        <w:jc w:val="left"/>
        <w:rPr>
          <w:rFonts w:ascii="宋体" w:hAnsi="宋体" w:cs="宋体"/>
          <w:b/>
          <w:sz w:val="32"/>
          <w:szCs w:val="32"/>
        </w:rPr>
      </w:pPr>
    </w:p>
    <w:p>
      <w:pPr>
        <w:spacing w:line="300" w:lineRule="auto"/>
        <w:rPr>
          <w:rFonts w:ascii="宋体" w:hAnsi="宋体" w:cs="宋体"/>
          <w:b/>
          <w:sz w:val="44"/>
          <w:szCs w:val="44"/>
        </w:rPr>
      </w:pPr>
      <w:r>
        <w:rPr>
          <w:rFonts w:hint="eastAsia" w:ascii="Cambria" w:hAnsi="Cambria" w:eastAsia="黑体"/>
          <w:b/>
          <w:bCs/>
          <w:kern w:val="0"/>
          <w:sz w:val="32"/>
          <w:szCs w:val="32"/>
        </w:rPr>
        <w:t>附件1</w:t>
      </w:r>
    </w:p>
    <w:p>
      <w:pPr>
        <w:spacing w:line="300" w:lineRule="auto"/>
        <w:ind w:firstLine="1044"/>
        <w:jc w:val="center"/>
        <w:rPr>
          <w:b/>
          <w:sz w:val="52"/>
        </w:rPr>
      </w:pPr>
    </w:p>
    <w:p>
      <w:pPr>
        <w:pStyle w:val="50"/>
      </w:pPr>
      <w:bookmarkStart w:id="191" w:name="_Toc32703"/>
      <w:r>
        <w:rPr>
          <w:rFonts w:hint="eastAsia"/>
        </w:rPr>
        <w:t>技术规格书</w:t>
      </w:r>
      <w:bookmarkEnd w:id="191"/>
    </w:p>
    <w:p>
      <w:pPr>
        <w:spacing w:line="300" w:lineRule="auto"/>
        <w:ind w:firstLine="883"/>
        <w:jc w:val="center"/>
        <w:rPr>
          <w:b/>
          <w:sz w:val="44"/>
        </w:rPr>
      </w:pPr>
    </w:p>
    <w:p>
      <w:pPr>
        <w:spacing w:line="300" w:lineRule="auto"/>
        <w:ind w:firstLine="883"/>
        <w:jc w:val="center"/>
        <w:rPr>
          <w:b/>
          <w:sz w:val="44"/>
        </w:rPr>
      </w:pPr>
    </w:p>
    <w:p>
      <w:pPr>
        <w:spacing w:line="300" w:lineRule="auto"/>
        <w:ind w:firstLine="883"/>
        <w:jc w:val="center"/>
        <w:rPr>
          <w:b/>
          <w:sz w:val="44"/>
        </w:rPr>
      </w:pPr>
    </w:p>
    <w:p>
      <w:pPr>
        <w:spacing w:line="300" w:lineRule="auto"/>
        <w:ind w:firstLine="883"/>
        <w:jc w:val="center"/>
        <w:rPr>
          <w:b/>
          <w:sz w:val="44"/>
          <w:szCs w:val="44"/>
        </w:rPr>
      </w:pPr>
    </w:p>
    <w:p/>
    <w:p>
      <w:pPr>
        <w:autoSpaceDE w:val="0"/>
        <w:autoSpaceDN w:val="0"/>
        <w:ind w:firstLine="482"/>
        <w:jc w:val="center"/>
        <w:textAlignment w:val="bottom"/>
        <w:rPr>
          <w:b/>
        </w:rPr>
      </w:pPr>
    </w:p>
    <w:p>
      <w:pPr>
        <w:autoSpaceDE w:val="0"/>
        <w:autoSpaceDN w:val="0"/>
        <w:ind w:firstLine="944" w:firstLineChars="448"/>
        <w:jc w:val="center"/>
        <w:textAlignment w:val="bottom"/>
        <w:rPr>
          <w:b/>
        </w:rPr>
      </w:pPr>
    </w:p>
    <w:p>
      <w:pPr>
        <w:pStyle w:val="48"/>
        <w:widowControl w:val="0"/>
        <w:snapToGrid w:val="0"/>
        <w:spacing w:before="0" w:beforeAutospacing="0" w:after="120" w:afterAutospacing="0" w:line="360" w:lineRule="auto"/>
        <w:jc w:val="both"/>
        <w:rPr>
          <w:b/>
          <w:color w:val="auto"/>
          <w:sz w:val="72"/>
          <w:szCs w:val="72"/>
        </w:rPr>
      </w:pPr>
    </w:p>
    <w:p>
      <w:pPr>
        <w:pStyle w:val="48"/>
        <w:widowControl w:val="0"/>
        <w:snapToGrid w:val="0"/>
        <w:spacing w:before="0" w:beforeAutospacing="0" w:after="120" w:afterAutospacing="0" w:line="360" w:lineRule="auto"/>
        <w:jc w:val="both"/>
        <w:rPr>
          <w:b/>
          <w:color w:val="auto"/>
          <w:sz w:val="72"/>
          <w:szCs w:val="72"/>
        </w:rPr>
      </w:pPr>
    </w:p>
    <w:p>
      <w:pPr>
        <w:pStyle w:val="48"/>
        <w:widowControl w:val="0"/>
        <w:snapToGrid w:val="0"/>
        <w:spacing w:before="0" w:beforeAutospacing="0" w:after="120" w:afterAutospacing="0" w:line="360" w:lineRule="auto"/>
        <w:jc w:val="both"/>
        <w:rPr>
          <w:b/>
          <w:color w:val="auto"/>
          <w:sz w:val="72"/>
          <w:szCs w:val="72"/>
        </w:rPr>
      </w:pPr>
    </w:p>
    <w:p>
      <w:pPr>
        <w:pStyle w:val="48"/>
        <w:widowControl w:val="0"/>
        <w:snapToGrid w:val="0"/>
        <w:spacing w:before="0" w:beforeAutospacing="0" w:after="120" w:afterAutospacing="0" w:line="360" w:lineRule="auto"/>
        <w:jc w:val="both"/>
        <w:rPr>
          <w:b/>
          <w:color w:val="auto"/>
          <w:sz w:val="72"/>
          <w:szCs w:val="72"/>
        </w:rPr>
      </w:pPr>
    </w:p>
    <w:p>
      <w:pPr>
        <w:pStyle w:val="48"/>
        <w:widowControl w:val="0"/>
        <w:snapToGrid w:val="0"/>
        <w:spacing w:before="0" w:beforeAutospacing="0" w:after="120" w:afterAutospacing="0" w:line="360" w:lineRule="auto"/>
        <w:jc w:val="both"/>
        <w:rPr>
          <w:b/>
          <w:color w:val="auto"/>
          <w:sz w:val="72"/>
          <w:szCs w:val="72"/>
        </w:rPr>
      </w:pPr>
    </w:p>
    <w:p>
      <w:pPr>
        <w:pStyle w:val="48"/>
        <w:widowControl w:val="0"/>
        <w:snapToGrid w:val="0"/>
        <w:spacing w:before="0" w:beforeAutospacing="0" w:after="120" w:afterAutospacing="0" w:line="360" w:lineRule="auto"/>
        <w:jc w:val="both"/>
        <w:rPr>
          <w:b/>
          <w:color w:val="auto"/>
          <w:sz w:val="72"/>
          <w:szCs w:val="72"/>
        </w:rPr>
      </w:pPr>
    </w:p>
    <w:p>
      <w:pPr>
        <w:pStyle w:val="2"/>
        <w:widowControl/>
        <w:ind w:right="2" w:rightChars="1"/>
        <w:jc w:val="both"/>
      </w:pPr>
      <w:bookmarkStart w:id="192" w:name="_主要设备、软件、服务清单要求"/>
      <w:bookmarkEnd w:id="192"/>
      <w:bookmarkStart w:id="193" w:name="_Toc392056798"/>
      <w:bookmarkStart w:id="194" w:name="_Toc119504303"/>
      <w:bookmarkStart w:id="195" w:name="_Toc127347639"/>
      <w:bookmarkStart w:id="196" w:name="_Toc118624721"/>
      <w:bookmarkStart w:id="197" w:name="_Toc122958925"/>
      <w:bookmarkStart w:id="198" w:name="_Toc386910844"/>
      <w:bookmarkStart w:id="199" w:name="_Toc105213123"/>
      <w:bookmarkStart w:id="200" w:name="_Toc214177989"/>
      <w:bookmarkStart w:id="201" w:name="_Toc119378476"/>
      <w:bookmarkStart w:id="202" w:name="_Toc124561160"/>
      <w:bookmarkStart w:id="203" w:name="_Toc123028527"/>
      <w:bookmarkStart w:id="204" w:name="_Toc118101327"/>
      <w:bookmarkStart w:id="205" w:name="_Toc119258084"/>
      <w:bookmarkStart w:id="206" w:name="_Toc119378288"/>
      <w:bookmarkStart w:id="207" w:name="_Toc118207929"/>
      <w:bookmarkStart w:id="208" w:name="_Toc17021"/>
      <w:bookmarkStart w:id="209" w:name="_1总则"/>
      <w:bookmarkStart w:id="210" w:name="_Toc122958933"/>
      <w:bookmarkStart w:id="211" w:name="_Toc119258098"/>
      <w:bookmarkStart w:id="212" w:name="_Toc124561168"/>
      <w:bookmarkStart w:id="213" w:name="_Toc123028535"/>
      <w:bookmarkStart w:id="214" w:name="_Toc214177997"/>
      <w:bookmarkStart w:id="215" w:name="_Toc127347647"/>
      <w:r>
        <w:rPr>
          <w:rFonts w:cs="黑体"/>
        </w:rPr>
        <w:t>1</w:t>
      </w:r>
      <w:r>
        <w:rPr>
          <w:rFonts w:hint="eastAsia" w:cs="黑体"/>
        </w:rPr>
        <w:t>总则</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bookmarkEnd w:id="209"/>
    <w:p>
      <w:pPr>
        <w:pStyle w:val="3"/>
        <w:keepNext w:val="0"/>
        <w:keepLines w:val="0"/>
        <w:tabs>
          <w:tab w:val="left" w:pos="576"/>
        </w:tabs>
        <w:spacing w:before="0" w:after="0"/>
        <w:ind w:left="576" w:hanging="576"/>
        <w:jc w:val="both"/>
        <w:rPr>
          <w:rFonts w:ascii="Times New Roman" w:hAnsi="Times New Roman"/>
          <w:sz w:val="22"/>
          <w:szCs w:val="22"/>
        </w:rPr>
      </w:pPr>
      <w:bookmarkStart w:id="216" w:name="_Toc119258085"/>
      <w:bookmarkStart w:id="217" w:name="_Toc392056799"/>
      <w:bookmarkStart w:id="218" w:name="_Toc119378289"/>
      <w:bookmarkStart w:id="219" w:name="_Toc214177990"/>
      <w:bookmarkStart w:id="220" w:name="_Toc123028528"/>
      <w:bookmarkStart w:id="221" w:name="_Toc122958926"/>
      <w:bookmarkStart w:id="222" w:name="_Toc119504304"/>
      <w:bookmarkStart w:id="223" w:name="_Toc127347640"/>
      <w:bookmarkStart w:id="224" w:name="_Toc386910845"/>
      <w:bookmarkStart w:id="225" w:name="_Toc124561161"/>
      <w:bookmarkStart w:id="226" w:name="_Toc119378477"/>
      <w:r>
        <w:rPr>
          <w:rFonts w:ascii="Times New Roman" w:hAnsi="Times New Roman"/>
          <w:sz w:val="22"/>
          <w:szCs w:val="22"/>
        </w:rPr>
        <w:t>1.1</w:t>
      </w:r>
      <w:r>
        <w:rPr>
          <w:rFonts w:hint="eastAsia" w:ascii="Times New Roman" w:hAnsi="Times New Roman" w:cs="宋体"/>
          <w:sz w:val="22"/>
          <w:szCs w:val="22"/>
        </w:rPr>
        <w:t>概述</w:t>
      </w:r>
      <w:bookmarkEnd w:id="216"/>
      <w:bookmarkEnd w:id="217"/>
      <w:bookmarkEnd w:id="218"/>
      <w:bookmarkEnd w:id="219"/>
      <w:bookmarkEnd w:id="220"/>
      <w:bookmarkEnd w:id="221"/>
      <w:bookmarkEnd w:id="222"/>
      <w:bookmarkEnd w:id="223"/>
      <w:bookmarkEnd w:id="224"/>
      <w:bookmarkEnd w:id="225"/>
      <w:bookmarkEnd w:id="226"/>
    </w:p>
    <w:p>
      <w:pPr>
        <w:snapToGrid w:val="0"/>
        <w:spacing w:line="360" w:lineRule="auto"/>
        <w:ind w:right="2" w:rightChars="1" w:firstLine="440" w:firstLineChars="200"/>
        <w:rPr>
          <w:rFonts w:ascii="宋体" w:hAnsi="宋体" w:cs="宋体"/>
          <w:b/>
          <w:sz w:val="22"/>
        </w:rPr>
      </w:pPr>
      <w:r>
        <w:rPr>
          <w:rFonts w:hint="eastAsia" w:ascii="宋体" w:hAnsi="宋体" w:cs="宋体"/>
          <w:sz w:val="22"/>
        </w:rPr>
        <w:t>本技术规格书是招标文件的组成部分，内容包括</w:t>
      </w:r>
      <w:r>
        <w:rPr>
          <w:rFonts w:hint="eastAsia" w:ascii="宋体" w:hAnsi="宋体" w:cs="Arial"/>
          <w:kern w:val="0"/>
          <w:sz w:val="22"/>
        </w:rPr>
        <w:t>航空物流有限公司2019年海关监管库监控改造项目</w:t>
      </w:r>
      <w:r>
        <w:rPr>
          <w:rFonts w:hint="eastAsia" w:ascii="宋体" w:hAnsi="宋体" w:cs="宋体"/>
          <w:sz w:val="22"/>
        </w:rPr>
        <w:t>的主要规格、要求、资料及有关文件。</w:t>
      </w:r>
    </w:p>
    <w:p>
      <w:pPr>
        <w:snapToGrid w:val="0"/>
        <w:spacing w:line="360" w:lineRule="auto"/>
        <w:ind w:right="2" w:rightChars="1" w:firstLine="440" w:firstLineChars="200"/>
        <w:rPr>
          <w:rFonts w:ascii="宋体" w:hAnsi="宋体" w:cs="宋体"/>
          <w:sz w:val="22"/>
        </w:rPr>
      </w:pPr>
      <w:r>
        <w:rPr>
          <w:rFonts w:hint="eastAsia" w:ascii="宋体" w:hAnsi="宋体" w:cs="宋体"/>
          <w:sz w:val="22"/>
        </w:rPr>
        <w:t>投标人必须按招标文件各章节条款的内容合理编制投标文件，并在投标文件中按本技术规格书要求按顺序逐项作出实质性应答，投标文件与本技术规格书内容的任何偏差都必须列入投标文件中的技术规格偏差表。否则，将承担不经任何澄清就被判定为未能满足招标文件要求而废标的风险。中标后中标方在合同谈判中的任何偏差都不得超越此偏差表中已被招标人确认的条款。</w:t>
      </w:r>
    </w:p>
    <w:p>
      <w:pPr>
        <w:snapToGrid w:val="0"/>
        <w:spacing w:line="360" w:lineRule="auto"/>
        <w:ind w:firstLine="440" w:firstLineChars="200"/>
        <w:rPr>
          <w:rFonts w:ascii="宋体" w:hAnsi="宋体" w:cs="宋体"/>
          <w:sz w:val="22"/>
        </w:rPr>
      </w:pPr>
      <w:bookmarkStart w:id="227" w:name="_Toc283888221"/>
      <w:bookmarkStart w:id="228" w:name="_Toc283888180"/>
      <w:r>
        <w:rPr>
          <w:rFonts w:hint="eastAsia" w:ascii="宋体" w:hAnsi="宋体" w:cs="宋体"/>
          <w:sz w:val="22"/>
        </w:rPr>
        <w:t>投标人提供的安防系统必须是全新的未曾使用过的设备。</w:t>
      </w:r>
      <w:bookmarkEnd w:id="227"/>
      <w:bookmarkEnd w:id="228"/>
    </w:p>
    <w:p>
      <w:pPr>
        <w:snapToGrid w:val="0"/>
        <w:spacing w:line="360" w:lineRule="auto"/>
        <w:ind w:right="2" w:rightChars="1" w:firstLine="440" w:firstLineChars="200"/>
        <w:rPr>
          <w:rFonts w:ascii="宋体" w:hAnsi="宋体" w:cs="宋体"/>
          <w:sz w:val="22"/>
        </w:rPr>
      </w:pPr>
      <w:bookmarkStart w:id="229" w:name="_Toc283888222"/>
      <w:bookmarkStart w:id="230" w:name="_Toc283888181"/>
      <w:r>
        <w:rPr>
          <w:rFonts w:hint="eastAsia" w:ascii="宋体" w:hAnsi="宋体" w:cs="宋体"/>
          <w:sz w:val="22"/>
        </w:rPr>
        <w:t>投标人应保证所供安防系统的先进性、可靠性和适用性。</w:t>
      </w:r>
      <w:bookmarkEnd w:id="229"/>
      <w:bookmarkEnd w:id="230"/>
    </w:p>
    <w:p>
      <w:pPr>
        <w:snapToGrid w:val="0"/>
        <w:spacing w:line="360" w:lineRule="auto"/>
        <w:ind w:right="2" w:rightChars="1" w:firstLine="440" w:firstLineChars="200"/>
        <w:rPr>
          <w:rFonts w:ascii="宋体" w:hAnsi="宋体" w:cs="宋体"/>
          <w:sz w:val="22"/>
        </w:rPr>
      </w:pPr>
      <w:bookmarkStart w:id="231" w:name="_Toc283888182"/>
      <w:bookmarkStart w:id="232" w:name="_Toc283888223"/>
      <w:r>
        <w:rPr>
          <w:rFonts w:hint="eastAsia" w:ascii="宋体" w:hAnsi="宋体" w:cs="宋体"/>
          <w:sz w:val="22"/>
        </w:rPr>
        <w:t>投标人应保证所供安防系统的完整性和成套性，能保证安防系统的正常运行和使用。</w:t>
      </w:r>
      <w:bookmarkEnd w:id="231"/>
      <w:bookmarkEnd w:id="232"/>
    </w:p>
    <w:p>
      <w:pPr>
        <w:snapToGrid w:val="0"/>
        <w:spacing w:line="360" w:lineRule="auto"/>
        <w:ind w:right="2" w:rightChars="1" w:firstLine="440" w:firstLineChars="200"/>
        <w:rPr>
          <w:rFonts w:ascii="宋体" w:hAnsi="宋体" w:cs="宋体"/>
          <w:sz w:val="22"/>
        </w:rPr>
      </w:pPr>
      <w:r>
        <w:rPr>
          <w:rFonts w:hint="eastAsia" w:ascii="宋体" w:hAnsi="宋体" w:cs="宋体"/>
          <w:sz w:val="22"/>
        </w:rPr>
        <w:t>投标人应根据招标文件所提出的设备技术规格和服务要求，综合考虑设备的适应性，选择具有最佳性能价格比的设备前来投标，以精良的设备、优良的服务和优惠的价格，充分显示竞争实力。</w:t>
      </w:r>
    </w:p>
    <w:p>
      <w:pPr>
        <w:snapToGrid w:val="0"/>
        <w:spacing w:line="360" w:lineRule="auto"/>
        <w:ind w:right="2" w:rightChars="1" w:firstLine="440" w:firstLineChars="200"/>
        <w:rPr>
          <w:rFonts w:ascii="宋体" w:hAnsi="宋体" w:cs="宋体"/>
          <w:sz w:val="22"/>
        </w:rPr>
      </w:pPr>
      <w:r>
        <w:rPr>
          <w:rFonts w:hint="eastAsia" w:ascii="宋体" w:hAnsi="宋体" w:cs="宋体"/>
          <w:sz w:val="22"/>
        </w:rPr>
        <w:t>投标人须充分考虑在如果中标并履行合同时安防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pPr>
        <w:pStyle w:val="4"/>
        <w:keepNext w:val="0"/>
        <w:numPr>
          <w:ilvl w:val="0"/>
          <w:numId w:val="0"/>
        </w:numPr>
        <w:tabs>
          <w:tab w:val="left" w:pos="720"/>
        </w:tabs>
        <w:snapToGrid w:val="0"/>
        <w:spacing w:line="360" w:lineRule="auto"/>
        <w:ind w:right="2" w:rightChars="1"/>
        <w:rPr>
          <w:rFonts w:hAnsi="宋体" w:cs="黑体"/>
          <w:bCs/>
          <w:sz w:val="22"/>
          <w:szCs w:val="22"/>
        </w:rPr>
      </w:pPr>
      <w:bookmarkStart w:id="233" w:name="_Toc119258088"/>
      <w:r>
        <w:rPr>
          <w:rFonts w:ascii="Times New Roman" w:hAnsi="Times New Roman"/>
          <w:bCs/>
          <w:sz w:val="22"/>
          <w:szCs w:val="22"/>
        </w:rPr>
        <w:t>1.1.1</w:t>
      </w:r>
      <w:r>
        <w:rPr>
          <w:rFonts w:hint="eastAsia" w:hAnsi="宋体" w:cs="黑体"/>
          <w:bCs/>
          <w:sz w:val="22"/>
          <w:szCs w:val="22"/>
        </w:rPr>
        <w:t>工程项目概况</w:t>
      </w:r>
      <w:bookmarkEnd w:id="233"/>
    </w:p>
    <w:p>
      <w:pPr>
        <w:snapToGrid w:val="0"/>
        <w:spacing w:line="360" w:lineRule="auto"/>
        <w:ind w:right="2" w:rightChars="1" w:firstLine="442" w:firstLineChars="200"/>
        <w:rPr>
          <w:rFonts w:ascii="宋体" w:hAnsi="宋体" w:cs="宋体"/>
          <w:b/>
          <w:sz w:val="22"/>
        </w:rPr>
      </w:pPr>
      <w:bookmarkStart w:id="234" w:name="_Toc119378478"/>
      <w:bookmarkStart w:id="235" w:name="_Toc119504305"/>
      <w:bookmarkStart w:id="236" w:name="_Toc119258091"/>
      <w:bookmarkStart w:id="237" w:name="_Toc386910846"/>
      <w:bookmarkStart w:id="238" w:name="_Toc127347641"/>
      <w:bookmarkStart w:id="239" w:name="_Toc214177991"/>
      <w:bookmarkStart w:id="240" w:name="_Toc119378290"/>
      <w:bookmarkStart w:id="241" w:name="_Toc123028529"/>
      <w:bookmarkStart w:id="242" w:name="_Toc392056800"/>
      <w:bookmarkStart w:id="243" w:name="_Toc124561162"/>
      <w:bookmarkStart w:id="244" w:name="_Toc122958927"/>
      <w:bookmarkStart w:id="245" w:name="OLE_LINK6"/>
      <w:r>
        <w:rPr>
          <w:rFonts w:hint="eastAsia" w:ascii="宋体" w:hAnsi="宋体" w:cs="宋体"/>
          <w:b/>
          <w:kern w:val="0"/>
          <w:sz w:val="22"/>
        </w:rPr>
        <w:t>在航空货站B区海关监管作业场所安装19路带广角、云台的球机及6路枪机，分别满足现有安检通道、集中查验场地、卡车航班转关装车区、前置拦截区、核辐射探测仪、检疫处理区、登临检查区、机坪装载区等区域的监控要求。</w:t>
      </w:r>
      <w:r>
        <w:rPr>
          <w:rFonts w:hint="eastAsia" w:ascii="宋体" w:hAnsi="宋体" w:cs="宋体"/>
          <w:b/>
          <w:sz w:val="22"/>
        </w:rPr>
        <w:t>该25路需接入海关监控平台，视频存储时间为</w:t>
      </w:r>
      <w:r>
        <w:rPr>
          <w:rFonts w:ascii="宋体" w:hAnsi="宋体" w:cs="宋体"/>
          <w:b/>
          <w:sz w:val="22"/>
        </w:rPr>
        <w:t>90</w:t>
      </w:r>
      <w:r>
        <w:rPr>
          <w:rFonts w:hint="eastAsia" w:ascii="宋体" w:hAnsi="宋体" w:cs="宋体"/>
          <w:b/>
          <w:sz w:val="22"/>
        </w:rPr>
        <w:t>天。</w:t>
      </w:r>
    </w:p>
    <w:p>
      <w:pPr>
        <w:pStyle w:val="3"/>
        <w:keepNext w:val="0"/>
        <w:keepLines w:val="0"/>
        <w:tabs>
          <w:tab w:val="left" w:pos="576"/>
        </w:tabs>
        <w:spacing w:before="0" w:after="0"/>
        <w:ind w:left="576" w:hanging="576"/>
        <w:jc w:val="both"/>
        <w:rPr>
          <w:rFonts w:ascii="Times New Roman" w:hAnsi="Times New Roman"/>
          <w:sz w:val="22"/>
          <w:szCs w:val="22"/>
        </w:rPr>
      </w:pPr>
      <w:r>
        <w:rPr>
          <w:rFonts w:ascii="宋体" w:hAnsi="宋体"/>
          <w:sz w:val="22"/>
          <w:szCs w:val="22"/>
        </w:rPr>
        <w:t>1.2</w:t>
      </w:r>
      <w:r>
        <w:rPr>
          <w:rFonts w:hint="eastAsia" w:ascii="Times New Roman" w:hAnsi="Times New Roman" w:cs="宋体"/>
          <w:sz w:val="22"/>
          <w:szCs w:val="22"/>
        </w:rPr>
        <w:t>总体要求</w:t>
      </w:r>
      <w:bookmarkEnd w:id="234"/>
      <w:bookmarkEnd w:id="235"/>
      <w:bookmarkEnd w:id="236"/>
      <w:bookmarkEnd w:id="237"/>
      <w:bookmarkEnd w:id="238"/>
      <w:bookmarkEnd w:id="239"/>
      <w:bookmarkEnd w:id="240"/>
      <w:bookmarkEnd w:id="241"/>
      <w:bookmarkEnd w:id="242"/>
      <w:bookmarkEnd w:id="243"/>
      <w:bookmarkEnd w:id="244"/>
    </w:p>
    <w:bookmarkEnd w:id="245"/>
    <w:p>
      <w:pPr>
        <w:pStyle w:val="4"/>
        <w:keepNext w:val="0"/>
        <w:numPr>
          <w:ilvl w:val="0"/>
          <w:numId w:val="0"/>
        </w:numPr>
        <w:tabs>
          <w:tab w:val="left" w:pos="720"/>
        </w:tabs>
        <w:snapToGrid w:val="0"/>
        <w:spacing w:line="360" w:lineRule="auto"/>
        <w:rPr>
          <w:rFonts w:hAnsi="宋体"/>
          <w:b w:val="0"/>
          <w:bCs/>
          <w:sz w:val="22"/>
          <w:szCs w:val="22"/>
        </w:rPr>
      </w:pPr>
      <w:r>
        <w:rPr>
          <w:rFonts w:hAnsi="宋体"/>
          <w:bCs/>
          <w:sz w:val="22"/>
          <w:szCs w:val="22"/>
        </w:rPr>
        <w:t>1.2.1</w:t>
      </w:r>
      <w:r>
        <w:rPr>
          <w:rFonts w:hint="eastAsia" w:hAnsi="宋体" w:cs="宋体"/>
          <w:b w:val="0"/>
          <w:bCs/>
          <w:sz w:val="22"/>
          <w:szCs w:val="22"/>
        </w:rPr>
        <w:t>投标人须认真阅读本技术规格书，若投标人与招标人对条款的理解不一致或者技术规格书中描述的内容出现前后不一致，以招标人的解释为准。</w:t>
      </w:r>
    </w:p>
    <w:p>
      <w:pPr>
        <w:pStyle w:val="4"/>
        <w:keepNext w:val="0"/>
        <w:numPr>
          <w:ilvl w:val="0"/>
          <w:numId w:val="0"/>
        </w:numPr>
        <w:tabs>
          <w:tab w:val="left" w:pos="720"/>
        </w:tabs>
        <w:snapToGrid w:val="0"/>
        <w:spacing w:line="360" w:lineRule="auto"/>
        <w:rPr>
          <w:rFonts w:hAnsi="宋体"/>
          <w:b w:val="0"/>
          <w:bCs/>
          <w:sz w:val="22"/>
          <w:szCs w:val="22"/>
        </w:rPr>
      </w:pPr>
      <w:r>
        <w:rPr>
          <w:rFonts w:hAnsi="宋体"/>
          <w:bCs/>
          <w:sz w:val="22"/>
          <w:szCs w:val="22"/>
        </w:rPr>
        <w:t>1.2.2</w:t>
      </w:r>
      <w:r>
        <w:rPr>
          <w:rFonts w:hint="eastAsia" w:hAnsi="宋体" w:cs="宋体"/>
          <w:b w:val="0"/>
          <w:bCs/>
          <w:sz w:val="22"/>
          <w:szCs w:val="22"/>
        </w:rPr>
        <w:t>投标人必须根据</w:t>
      </w:r>
      <w:bookmarkStart w:id="246" w:name="OLE_LINK7"/>
      <w:r>
        <w:rPr>
          <w:rFonts w:hint="eastAsia" w:hAnsi="宋体" w:cs="宋体"/>
          <w:b w:val="0"/>
          <w:bCs/>
          <w:sz w:val="22"/>
          <w:szCs w:val="22"/>
        </w:rPr>
        <w:t>本技术规格书的要求在投标时提供投标技术规格书，投标人必须清楚地描述自己对工程范围、业务需求、性能和功能需求的理解，并在投标文件中进行清楚的描述。该描述将作为投标人的承诺，一旦中标后将无条件执行。</w:t>
      </w:r>
    </w:p>
    <w:p>
      <w:pPr>
        <w:pStyle w:val="4"/>
        <w:keepNext w:val="0"/>
        <w:numPr>
          <w:ilvl w:val="0"/>
          <w:numId w:val="0"/>
        </w:numPr>
        <w:tabs>
          <w:tab w:val="left" w:pos="720"/>
        </w:tabs>
        <w:snapToGrid w:val="0"/>
        <w:spacing w:line="360" w:lineRule="auto"/>
        <w:rPr>
          <w:rFonts w:hAnsi="宋体"/>
          <w:b w:val="0"/>
          <w:bCs/>
          <w:sz w:val="22"/>
          <w:szCs w:val="22"/>
        </w:rPr>
      </w:pPr>
      <w:r>
        <w:rPr>
          <w:rFonts w:hAnsi="宋体"/>
          <w:bCs/>
          <w:sz w:val="22"/>
          <w:szCs w:val="22"/>
        </w:rPr>
        <w:t>1.2.3</w:t>
      </w:r>
      <w:bookmarkStart w:id="247" w:name="OLE_LINK15"/>
      <w:r>
        <w:rPr>
          <w:rFonts w:hint="eastAsia" w:hAnsi="宋体" w:cs="宋体"/>
          <w:b w:val="0"/>
          <w:bCs/>
          <w:sz w:val="22"/>
          <w:szCs w:val="22"/>
        </w:rPr>
        <w:t>本技术规格书仅指工程的主要要求，不应作为完整</w:t>
      </w:r>
      <w:bookmarkEnd w:id="246"/>
      <w:r>
        <w:rPr>
          <w:rFonts w:hint="eastAsia" w:hAnsi="宋体" w:cs="宋体"/>
          <w:b w:val="0"/>
          <w:bCs/>
          <w:sz w:val="22"/>
          <w:szCs w:val="22"/>
        </w:rPr>
        <w:t>的详细的要求，投标人应提供完整的详细的系统设计、设备材料配置，并计入投标总价。如果满足本技术规格书所要求的系统功能和性能所需的软件、硬件、服务未列入投标总价，投标人必须在不变更投标总价的前提下予以补足。</w:t>
      </w:r>
    </w:p>
    <w:bookmarkEnd w:id="247"/>
    <w:p>
      <w:pPr>
        <w:pStyle w:val="4"/>
        <w:keepNext w:val="0"/>
        <w:numPr>
          <w:ilvl w:val="0"/>
          <w:numId w:val="0"/>
        </w:numPr>
        <w:tabs>
          <w:tab w:val="left" w:pos="720"/>
        </w:tabs>
        <w:snapToGrid w:val="0"/>
        <w:spacing w:line="360" w:lineRule="auto"/>
        <w:rPr>
          <w:rFonts w:hAnsi="宋体"/>
          <w:b w:val="0"/>
          <w:bCs/>
          <w:sz w:val="22"/>
          <w:szCs w:val="22"/>
        </w:rPr>
      </w:pPr>
      <w:r>
        <w:rPr>
          <w:rFonts w:hAnsi="宋体"/>
          <w:bCs/>
          <w:sz w:val="22"/>
          <w:szCs w:val="22"/>
        </w:rPr>
        <w:t>1.2.4</w:t>
      </w:r>
      <w:r>
        <w:rPr>
          <w:rFonts w:hint="eastAsia" w:hAnsi="宋体" w:cs="宋体"/>
          <w:b w:val="0"/>
          <w:bCs/>
          <w:sz w:val="22"/>
          <w:szCs w:val="22"/>
        </w:rPr>
        <w:t>为满足本技术规格书中要求的系统功能和性能，投标人应提供本技术规格书中未描述的所需的全部设备、附件、软件、工具和服务，费用包含在投标总价内。</w:t>
      </w:r>
    </w:p>
    <w:p>
      <w:pPr>
        <w:pStyle w:val="4"/>
        <w:keepNext w:val="0"/>
        <w:numPr>
          <w:ilvl w:val="0"/>
          <w:numId w:val="0"/>
        </w:numPr>
        <w:tabs>
          <w:tab w:val="left" w:pos="720"/>
        </w:tabs>
        <w:snapToGrid w:val="0"/>
        <w:spacing w:line="360" w:lineRule="auto"/>
        <w:ind w:left="-720" w:leftChars="-343" w:firstLine="753" w:firstLineChars="341"/>
        <w:rPr>
          <w:rFonts w:hAnsi="宋体"/>
          <w:b w:val="0"/>
          <w:bCs/>
          <w:sz w:val="22"/>
          <w:szCs w:val="22"/>
        </w:rPr>
      </w:pPr>
      <w:bookmarkStart w:id="248" w:name="_Toc107240627"/>
      <w:r>
        <w:rPr>
          <w:rFonts w:hAnsi="宋体"/>
          <w:bCs/>
          <w:sz w:val="22"/>
          <w:szCs w:val="22"/>
        </w:rPr>
        <w:t>1.2.5</w:t>
      </w:r>
      <w:r>
        <w:rPr>
          <w:rFonts w:hint="eastAsia" w:hAnsi="宋体" w:cs="宋体"/>
          <w:b w:val="0"/>
          <w:bCs/>
          <w:sz w:val="22"/>
          <w:szCs w:val="22"/>
        </w:rPr>
        <w:t>招标人保留采纳投标人所提供的更为优秀可靠的系统设计方案的权利。</w:t>
      </w:r>
      <w:bookmarkEnd w:id="248"/>
    </w:p>
    <w:p>
      <w:pPr>
        <w:pStyle w:val="4"/>
        <w:keepNext w:val="0"/>
        <w:numPr>
          <w:ilvl w:val="0"/>
          <w:numId w:val="0"/>
        </w:numPr>
        <w:tabs>
          <w:tab w:val="left" w:pos="720"/>
        </w:tabs>
        <w:snapToGrid w:val="0"/>
        <w:spacing w:line="360" w:lineRule="auto"/>
        <w:rPr>
          <w:rFonts w:hAnsi="宋体"/>
          <w:b w:val="0"/>
          <w:bCs/>
          <w:sz w:val="22"/>
          <w:szCs w:val="22"/>
        </w:rPr>
      </w:pPr>
      <w:r>
        <w:rPr>
          <w:rFonts w:hAnsi="宋体"/>
          <w:bCs/>
          <w:sz w:val="22"/>
          <w:szCs w:val="22"/>
        </w:rPr>
        <w:t>1.2.6</w:t>
      </w:r>
      <w:r>
        <w:rPr>
          <w:rFonts w:hint="eastAsia" w:hAnsi="宋体" w:cs="宋体"/>
          <w:b w:val="0"/>
          <w:bCs/>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pPr>
        <w:pStyle w:val="4"/>
        <w:keepNext w:val="0"/>
        <w:numPr>
          <w:ilvl w:val="0"/>
          <w:numId w:val="0"/>
        </w:numPr>
        <w:tabs>
          <w:tab w:val="left" w:pos="720"/>
        </w:tabs>
        <w:snapToGrid w:val="0"/>
        <w:spacing w:line="360" w:lineRule="auto"/>
        <w:rPr>
          <w:rFonts w:hAnsi="宋体"/>
          <w:b w:val="0"/>
          <w:bCs/>
          <w:sz w:val="22"/>
          <w:szCs w:val="22"/>
        </w:rPr>
      </w:pPr>
      <w:r>
        <w:rPr>
          <w:rFonts w:hAnsi="宋体"/>
          <w:bCs/>
          <w:sz w:val="22"/>
          <w:szCs w:val="22"/>
        </w:rPr>
        <w:t>1.2.7</w:t>
      </w:r>
      <w:r>
        <w:rPr>
          <w:rFonts w:hint="eastAsia" w:hAnsi="宋体" w:cs="宋体"/>
          <w:b w:val="0"/>
          <w:bCs/>
          <w:sz w:val="22"/>
          <w:szCs w:val="22"/>
        </w:rPr>
        <w:t>投标人应仔细研究本技术规格书，在满足规格书所有技术要求的前提下，结合土建结构和系统设备的特点，对本规格书提出的安防系统的设计和系统配置提出更详细的系统方案，并用文字和图纸做详细说明。</w:t>
      </w:r>
    </w:p>
    <w:p>
      <w:pPr>
        <w:pStyle w:val="4"/>
        <w:keepNext w:val="0"/>
        <w:numPr>
          <w:ilvl w:val="0"/>
          <w:numId w:val="0"/>
        </w:numPr>
        <w:tabs>
          <w:tab w:val="left" w:pos="720"/>
        </w:tabs>
        <w:snapToGrid w:val="0"/>
        <w:spacing w:line="360" w:lineRule="auto"/>
        <w:rPr>
          <w:rFonts w:hAnsi="宋体"/>
          <w:b w:val="0"/>
          <w:bCs/>
          <w:sz w:val="22"/>
          <w:szCs w:val="22"/>
        </w:rPr>
      </w:pPr>
      <w:r>
        <w:rPr>
          <w:rFonts w:hAnsi="宋体"/>
          <w:bCs/>
          <w:sz w:val="22"/>
          <w:szCs w:val="22"/>
        </w:rPr>
        <w:t>1.2.8</w:t>
      </w:r>
      <w:r>
        <w:rPr>
          <w:rFonts w:hint="eastAsia" w:hAnsi="宋体" w:cs="宋体"/>
          <w:b w:val="0"/>
          <w:bCs/>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pPr>
        <w:pStyle w:val="4"/>
        <w:keepNext w:val="0"/>
        <w:numPr>
          <w:ilvl w:val="0"/>
          <w:numId w:val="0"/>
        </w:numPr>
        <w:tabs>
          <w:tab w:val="left" w:pos="720"/>
        </w:tabs>
        <w:snapToGrid w:val="0"/>
        <w:spacing w:line="360" w:lineRule="auto"/>
        <w:rPr>
          <w:rFonts w:hAnsi="宋体"/>
          <w:b w:val="0"/>
          <w:bCs/>
          <w:sz w:val="22"/>
          <w:szCs w:val="22"/>
        </w:rPr>
      </w:pPr>
      <w:r>
        <w:rPr>
          <w:rFonts w:hAnsi="宋体"/>
          <w:bCs/>
          <w:sz w:val="22"/>
          <w:szCs w:val="22"/>
        </w:rPr>
        <w:t>1.2.9</w:t>
      </w:r>
      <w:r>
        <w:rPr>
          <w:rFonts w:hint="eastAsia" w:hAnsi="宋体" w:cs="宋体"/>
          <w:b w:val="0"/>
          <w:bCs/>
          <w:sz w:val="22"/>
          <w:szCs w:val="22"/>
        </w:rPr>
        <w:t>遵循竞争公平、技术客观、利益无关的原则，参与本工程相关的设计、监理、咨询、顾问、评测、测试等活动的公司实体不可参与本工程。</w:t>
      </w:r>
    </w:p>
    <w:p>
      <w:pPr>
        <w:pStyle w:val="4"/>
        <w:keepNext w:val="0"/>
        <w:numPr>
          <w:ilvl w:val="0"/>
          <w:numId w:val="0"/>
        </w:numPr>
        <w:tabs>
          <w:tab w:val="left" w:pos="720"/>
        </w:tabs>
        <w:snapToGrid w:val="0"/>
        <w:spacing w:line="360" w:lineRule="auto"/>
        <w:rPr>
          <w:rFonts w:hAnsi="宋体"/>
          <w:bCs/>
          <w:sz w:val="22"/>
          <w:szCs w:val="22"/>
        </w:rPr>
      </w:pPr>
      <w:bookmarkStart w:id="249" w:name="_Toc107586417"/>
      <w:bookmarkStart w:id="250" w:name="_Toc113810169"/>
      <w:r>
        <w:rPr>
          <w:rFonts w:hAnsi="宋体"/>
          <w:bCs/>
          <w:sz w:val="22"/>
          <w:szCs w:val="22"/>
        </w:rPr>
        <w:t>1.2.10</w:t>
      </w:r>
      <w:r>
        <w:rPr>
          <w:rFonts w:hint="eastAsia" w:hAnsi="宋体" w:cs="宋体"/>
          <w:bCs/>
          <w:sz w:val="22"/>
          <w:szCs w:val="22"/>
        </w:rPr>
        <w:t>系统总体产品及服务质量保证要求</w:t>
      </w:r>
      <w:bookmarkEnd w:id="249"/>
      <w:bookmarkEnd w:id="250"/>
    </w:p>
    <w:p>
      <w:pPr>
        <w:pStyle w:val="5"/>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1.2.10.1</w:t>
      </w:r>
      <w:r>
        <w:rPr>
          <w:rFonts w:hint="eastAsia" w:ascii="宋体" w:hAnsi="宋体" w:eastAsia="宋体" w:cs="宋体"/>
          <w:b w:val="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pPr>
        <w:pStyle w:val="5"/>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1.2.10.2</w:t>
      </w:r>
      <w:r>
        <w:rPr>
          <w:rFonts w:hint="eastAsia" w:ascii="宋体" w:hAnsi="宋体" w:eastAsia="宋体" w:cs="宋体"/>
          <w:b w:val="0"/>
          <w:sz w:val="22"/>
          <w:szCs w:val="22"/>
        </w:rPr>
        <w:t>投标人所提供产品的质量、安装施工工艺、测试手段及方法都应符合最新颁布的标准和规范要求。</w:t>
      </w:r>
    </w:p>
    <w:p>
      <w:pPr>
        <w:pStyle w:val="5"/>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1.2.10.3</w:t>
      </w:r>
      <w:r>
        <w:rPr>
          <w:rFonts w:hint="eastAsia" w:ascii="宋体" w:hAnsi="宋体" w:eastAsia="宋体" w:cs="宋体"/>
          <w:b w:val="0"/>
          <w:sz w:val="22"/>
          <w:szCs w:val="22"/>
        </w:rPr>
        <w:t>投标人所提供的产品必须是全新的、无破损的，为原厂包装，并符合本技术规格书规定的规格、质量。</w:t>
      </w:r>
    </w:p>
    <w:p>
      <w:pPr>
        <w:pStyle w:val="5"/>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1.2.10.4</w:t>
      </w:r>
      <w:r>
        <w:rPr>
          <w:rFonts w:hint="eastAsia" w:ascii="宋体" w:hAnsi="宋体" w:eastAsia="宋体" w:cs="宋体"/>
          <w:b w:val="0"/>
          <w:sz w:val="22"/>
          <w:szCs w:val="22"/>
        </w:rPr>
        <w:t>投标技术文件中应提供投标硬件产品的检测证明或产品最新印刷样本。投标文件内容与样本、检测证明内容应保持一致。</w:t>
      </w:r>
    </w:p>
    <w:p>
      <w:pPr>
        <w:pStyle w:val="4"/>
        <w:keepNext w:val="0"/>
        <w:numPr>
          <w:ilvl w:val="0"/>
          <w:numId w:val="0"/>
        </w:numPr>
        <w:tabs>
          <w:tab w:val="left" w:pos="720"/>
        </w:tabs>
        <w:snapToGrid w:val="0"/>
        <w:spacing w:line="360" w:lineRule="auto"/>
        <w:ind w:left="-720"/>
        <w:rPr>
          <w:rFonts w:hAnsi="宋体"/>
          <w:bCs/>
          <w:sz w:val="22"/>
          <w:szCs w:val="22"/>
        </w:rPr>
      </w:pPr>
      <w:bookmarkStart w:id="251" w:name="_Toc113810170"/>
      <w:bookmarkStart w:id="252" w:name="_Toc107586418"/>
      <w:r>
        <w:rPr>
          <w:rFonts w:hint="eastAsia" w:hAnsi="宋体"/>
          <w:bCs/>
          <w:sz w:val="22"/>
          <w:szCs w:val="22"/>
        </w:rPr>
        <w:t xml:space="preserve">       </w:t>
      </w:r>
      <w:r>
        <w:rPr>
          <w:rFonts w:hAnsi="宋体"/>
          <w:bCs/>
          <w:sz w:val="22"/>
          <w:szCs w:val="22"/>
        </w:rPr>
        <w:t>1.2.11</w:t>
      </w:r>
      <w:r>
        <w:rPr>
          <w:rFonts w:hint="eastAsia" w:hAnsi="宋体" w:cs="宋体"/>
          <w:bCs/>
          <w:sz w:val="22"/>
          <w:szCs w:val="22"/>
        </w:rPr>
        <w:t>资料管理要求</w:t>
      </w:r>
      <w:bookmarkEnd w:id="251"/>
      <w:bookmarkEnd w:id="252"/>
    </w:p>
    <w:p>
      <w:pPr>
        <w:snapToGrid w:val="0"/>
        <w:spacing w:line="360" w:lineRule="auto"/>
        <w:ind w:firstLine="440" w:firstLineChars="200"/>
        <w:rPr>
          <w:rFonts w:ascii="宋体" w:hAnsi="宋体"/>
          <w:sz w:val="22"/>
        </w:rPr>
      </w:pPr>
      <w:r>
        <w:rPr>
          <w:rFonts w:hint="eastAsia" w:ascii="宋体" w:hAnsi="宋体" w:cs="宋体"/>
          <w:sz w:val="22"/>
        </w:rPr>
        <w:t>提供的资料（除随机资料外）要求以中文为准。</w:t>
      </w:r>
    </w:p>
    <w:p>
      <w:pPr>
        <w:pStyle w:val="4"/>
        <w:keepNext w:val="0"/>
        <w:numPr>
          <w:ilvl w:val="0"/>
          <w:numId w:val="0"/>
        </w:numPr>
        <w:tabs>
          <w:tab w:val="left" w:pos="720"/>
        </w:tabs>
        <w:snapToGrid w:val="0"/>
        <w:spacing w:line="360" w:lineRule="auto"/>
        <w:ind w:left="-720"/>
        <w:rPr>
          <w:rFonts w:hAnsi="宋体"/>
          <w:bCs/>
          <w:sz w:val="22"/>
          <w:szCs w:val="22"/>
        </w:rPr>
      </w:pPr>
      <w:bookmarkStart w:id="253" w:name="_Toc81122692"/>
      <w:bookmarkStart w:id="254" w:name="_Toc81122222"/>
      <w:bookmarkStart w:id="255" w:name="_Toc51336888"/>
      <w:bookmarkStart w:id="256" w:name="_Toc81378259"/>
      <w:bookmarkStart w:id="257" w:name="_Toc81390750"/>
      <w:bookmarkStart w:id="258" w:name="_Toc81122749"/>
      <w:r>
        <w:rPr>
          <w:rFonts w:hint="eastAsia" w:hAnsi="宋体"/>
          <w:bCs/>
          <w:sz w:val="22"/>
          <w:szCs w:val="22"/>
        </w:rPr>
        <w:t xml:space="preserve">       </w:t>
      </w:r>
      <w:r>
        <w:rPr>
          <w:rFonts w:hAnsi="宋体"/>
          <w:bCs/>
          <w:sz w:val="22"/>
          <w:szCs w:val="22"/>
        </w:rPr>
        <w:t>1.2.12</w:t>
      </w:r>
      <w:r>
        <w:rPr>
          <w:rFonts w:hint="eastAsia" w:hAnsi="宋体" w:cs="宋体"/>
          <w:bCs/>
          <w:sz w:val="22"/>
          <w:szCs w:val="22"/>
        </w:rPr>
        <w:t>工地勘察</w:t>
      </w:r>
      <w:bookmarkEnd w:id="253"/>
      <w:bookmarkEnd w:id="254"/>
      <w:bookmarkEnd w:id="255"/>
      <w:bookmarkEnd w:id="256"/>
      <w:bookmarkEnd w:id="257"/>
      <w:bookmarkEnd w:id="258"/>
    </w:p>
    <w:p>
      <w:pPr>
        <w:pStyle w:val="5"/>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1.2.12.1</w:t>
      </w:r>
      <w:r>
        <w:rPr>
          <w:rFonts w:hint="eastAsia" w:ascii="宋体" w:hAnsi="宋体" w:eastAsia="宋体" w:cs="宋体"/>
          <w:b w:val="0"/>
          <w:sz w:val="22"/>
          <w:szCs w:val="22"/>
        </w:rPr>
        <w:t>投标人应对工程现场及其周围环境进行现场考察，以获取与投标准备、签署合同和进场施工有关的所有资料和信息。考察现场的费用由投标人承担。</w:t>
      </w:r>
    </w:p>
    <w:p>
      <w:pPr>
        <w:pStyle w:val="5"/>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 xml:space="preserve">1.2.12.2 </w:t>
      </w:r>
      <w:bookmarkStart w:id="259" w:name="OLE_LINK8"/>
      <w:r>
        <w:rPr>
          <w:rFonts w:hint="eastAsia" w:ascii="宋体" w:hAnsi="宋体" w:eastAsia="宋体" w:cs="宋体"/>
          <w:b w:val="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259"/>
    <w:p>
      <w:pPr>
        <w:pStyle w:val="5"/>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 xml:space="preserve">1.2.12.3 </w:t>
      </w:r>
      <w:r>
        <w:rPr>
          <w:rFonts w:hint="eastAsia" w:ascii="宋体" w:hAnsi="宋体" w:eastAsia="宋体" w:cs="宋体"/>
          <w:b w:val="0"/>
          <w:sz w:val="22"/>
          <w:szCs w:val="22"/>
        </w:rPr>
        <w:t>投标人的一切人员在进入工地时，须遵守发包人的所有规定和条例。</w:t>
      </w:r>
    </w:p>
    <w:p>
      <w:pPr>
        <w:pStyle w:val="3"/>
        <w:keepNext w:val="0"/>
        <w:keepLines w:val="0"/>
        <w:tabs>
          <w:tab w:val="left" w:pos="576"/>
        </w:tabs>
        <w:spacing w:before="0" w:after="0"/>
        <w:ind w:left="576" w:hanging="576"/>
        <w:jc w:val="both"/>
        <w:rPr>
          <w:rFonts w:ascii="Times New Roman" w:hAnsi="Times New Roman"/>
          <w:sz w:val="30"/>
          <w:szCs w:val="30"/>
        </w:rPr>
      </w:pPr>
      <w:bookmarkStart w:id="260" w:name="_Toc127347643"/>
      <w:bookmarkStart w:id="261" w:name="_Toc124561164"/>
      <w:bookmarkStart w:id="262" w:name="_Toc119258094"/>
      <w:bookmarkStart w:id="263" w:name="_Toc122958929"/>
      <w:bookmarkStart w:id="264" w:name="_Toc392056802"/>
      <w:bookmarkStart w:id="265" w:name="_Toc123028531"/>
      <w:bookmarkStart w:id="266" w:name="_Toc386910848"/>
      <w:bookmarkStart w:id="267" w:name="_Toc214177993"/>
      <w:bookmarkStart w:id="268" w:name="_Toc119258096"/>
      <w:r>
        <w:rPr>
          <w:rFonts w:ascii="Times New Roman" w:hAnsi="Times New Roman"/>
          <w:sz w:val="30"/>
          <w:szCs w:val="30"/>
        </w:rPr>
        <w:t>1.3</w:t>
      </w:r>
      <w:r>
        <w:rPr>
          <w:rFonts w:hint="eastAsia" w:ascii="Times New Roman" w:hAnsi="Times New Roman" w:cs="宋体"/>
          <w:sz w:val="30"/>
          <w:szCs w:val="30"/>
        </w:rPr>
        <w:t>标准和规范</w:t>
      </w:r>
      <w:bookmarkEnd w:id="260"/>
      <w:bookmarkEnd w:id="261"/>
      <w:bookmarkEnd w:id="262"/>
      <w:bookmarkEnd w:id="263"/>
      <w:bookmarkEnd w:id="264"/>
      <w:bookmarkEnd w:id="265"/>
      <w:bookmarkEnd w:id="266"/>
      <w:bookmarkEnd w:id="267"/>
    </w:p>
    <w:p>
      <w:pPr>
        <w:pStyle w:val="5"/>
        <w:keepNext w:val="0"/>
        <w:keepLines w:val="0"/>
        <w:tabs>
          <w:tab w:val="left" w:pos="840"/>
          <w:tab w:val="left" w:pos="900"/>
          <w:tab w:val="left" w:pos="1584"/>
        </w:tabs>
        <w:snapToGrid w:val="0"/>
        <w:spacing w:before="0" w:after="0" w:line="360" w:lineRule="auto"/>
        <w:rPr>
          <w:rFonts w:ascii="Times New Roman" w:hAnsi="Times New Roman"/>
          <w:b w:val="0"/>
          <w:sz w:val="22"/>
          <w:szCs w:val="22"/>
        </w:rPr>
      </w:pPr>
      <w:r>
        <w:rPr>
          <w:rFonts w:ascii="Times New Roman" w:hAnsi="Times New Roman"/>
          <w:sz w:val="22"/>
          <w:szCs w:val="22"/>
        </w:rPr>
        <w:t>1.3.1</w:t>
      </w:r>
      <w:r>
        <w:rPr>
          <w:rFonts w:hint="eastAsia" w:ascii="Times New Roman" w:hAnsi="Times New Roman" w:eastAsia="宋体" w:cs="宋体"/>
          <w:b w:val="0"/>
          <w:sz w:val="22"/>
          <w:szCs w:val="22"/>
        </w:rPr>
        <w:t>投标人所提供的设备及系统至少符合下列标准和规范这些标准应包括但不限于：</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民用建筑电气设计规范</w:t>
      </w:r>
      <w:r>
        <w:rPr>
          <w:b w:val="0"/>
          <w:bCs/>
          <w:sz w:val="22"/>
          <w:szCs w:val="22"/>
        </w:rPr>
        <w:t xml:space="preserve"> JGJ/T16-92</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中国电气装置安装工程施工及验收规范</w:t>
      </w:r>
      <w:r>
        <w:rPr>
          <w:b w:val="0"/>
          <w:bCs/>
          <w:sz w:val="22"/>
          <w:szCs w:val="22"/>
        </w:rPr>
        <w:t xml:space="preserve"> GBJ232-82</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国际民航组织理事会“国际标准和建议措施《附件</w:t>
      </w:r>
      <w:r>
        <w:rPr>
          <w:b w:val="0"/>
          <w:bCs/>
          <w:sz w:val="22"/>
          <w:szCs w:val="22"/>
        </w:rPr>
        <w:t>14--</w:t>
      </w:r>
      <w:r>
        <w:rPr>
          <w:rFonts w:hint="eastAsia" w:ascii="Times New Roman" w:cs="宋体"/>
          <w:b w:val="0"/>
          <w:bCs/>
          <w:sz w:val="22"/>
          <w:szCs w:val="22"/>
        </w:rPr>
        <w:t>机场》”；</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国际民航组织理事会“国际标准和建议措施、航空电信、国际民用航空公约”《附件</w:t>
      </w:r>
      <w:r>
        <w:rPr>
          <w:b w:val="0"/>
          <w:bCs/>
          <w:sz w:val="22"/>
          <w:szCs w:val="22"/>
        </w:rPr>
        <w:t>10</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建筑与建筑群综合布线系统工程设计规范</w:t>
      </w:r>
      <w:r>
        <w:rPr>
          <w:b w:val="0"/>
          <w:bCs/>
          <w:sz w:val="22"/>
          <w:szCs w:val="22"/>
        </w:rPr>
        <w:t xml:space="preserve"> CECS 72:97</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信息技术设备</w:t>
      </w:r>
      <w:r>
        <w:rPr>
          <w:b w:val="0"/>
          <w:bCs/>
          <w:sz w:val="22"/>
          <w:szCs w:val="22"/>
        </w:rPr>
        <w:t>(</w:t>
      </w:r>
      <w:r>
        <w:rPr>
          <w:rFonts w:hint="eastAsia" w:ascii="Times New Roman" w:cs="宋体"/>
          <w:b w:val="0"/>
          <w:bCs/>
          <w:sz w:val="22"/>
          <w:szCs w:val="22"/>
        </w:rPr>
        <w:t>包括电气事务设备</w:t>
      </w:r>
      <w:r>
        <w:rPr>
          <w:b w:val="0"/>
          <w:bCs/>
          <w:sz w:val="22"/>
          <w:szCs w:val="22"/>
        </w:rPr>
        <w:t>)</w:t>
      </w:r>
      <w:r>
        <w:rPr>
          <w:rFonts w:hint="eastAsia" w:ascii="Times New Roman" w:cs="宋体"/>
          <w:b w:val="0"/>
          <w:bCs/>
          <w:sz w:val="22"/>
          <w:szCs w:val="22"/>
        </w:rPr>
        <w:t>的安全</w:t>
      </w:r>
      <w:r>
        <w:rPr>
          <w:b w:val="0"/>
          <w:bCs/>
          <w:sz w:val="22"/>
          <w:szCs w:val="22"/>
        </w:rPr>
        <w:t>GB4943-1995</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电子设备雷击保护导则</w:t>
      </w:r>
      <w:r>
        <w:rPr>
          <w:b w:val="0"/>
          <w:bCs/>
          <w:sz w:val="22"/>
          <w:szCs w:val="22"/>
        </w:rPr>
        <w:t>GB7450-87</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智能建筑工程质量验收规范（</w:t>
      </w:r>
      <w:r>
        <w:rPr>
          <w:b w:val="0"/>
          <w:bCs/>
          <w:sz w:val="22"/>
          <w:szCs w:val="22"/>
        </w:rPr>
        <w:t>GB 50339-2003</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建筑物电子信息系统防雷技术规范（</w:t>
      </w:r>
      <w:r>
        <w:rPr>
          <w:b w:val="0"/>
          <w:bCs/>
          <w:sz w:val="22"/>
          <w:szCs w:val="22"/>
        </w:rPr>
        <w:t>GB 50343-2004</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建筑设计防火规范（</w:t>
      </w:r>
      <w:r>
        <w:rPr>
          <w:b w:val="0"/>
          <w:bCs/>
          <w:sz w:val="22"/>
          <w:szCs w:val="22"/>
        </w:rPr>
        <w:t>GBJ 16-87</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电磁兼容标准综述电磁兼容基本术语和定义的应用与解释（</w:t>
      </w:r>
      <w:r>
        <w:rPr>
          <w:b w:val="0"/>
          <w:bCs/>
          <w:sz w:val="22"/>
          <w:szCs w:val="22"/>
        </w:rPr>
        <w:t>GB/T 17624.1-1998</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取自电缆的材料燃烧时析出气体的试验方法（</w:t>
      </w:r>
      <w:r>
        <w:rPr>
          <w:b w:val="0"/>
          <w:bCs/>
          <w:sz w:val="22"/>
          <w:szCs w:val="22"/>
        </w:rPr>
        <w:t>GB/T 17650-1998</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用户终端设备耐过电压和过电流能力要求和试验方法（</w:t>
      </w:r>
      <w:r>
        <w:rPr>
          <w:b w:val="0"/>
          <w:bCs/>
          <w:sz w:val="22"/>
          <w:szCs w:val="22"/>
        </w:rPr>
        <w:t>YD/T870-906</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安全防范工程费用概预算编制办法（</w:t>
      </w:r>
      <w:r>
        <w:rPr>
          <w:b w:val="0"/>
          <w:bCs/>
          <w:sz w:val="22"/>
          <w:szCs w:val="22"/>
        </w:rPr>
        <w:t>GT/T70-94</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安全防范系统通用图形符号（</w:t>
      </w:r>
      <w:r>
        <w:rPr>
          <w:b w:val="0"/>
          <w:bCs/>
          <w:sz w:val="22"/>
          <w:szCs w:val="22"/>
        </w:rPr>
        <w:t>GT/T74-94</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安全防范工程程序与要求（</w:t>
      </w:r>
      <w:r>
        <w:rPr>
          <w:b w:val="0"/>
          <w:bCs/>
          <w:sz w:val="22"/>
          <w:szCs w:val="22"/>
        </w:rPr>
        <w:t>GT/T75-94</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保安电视监控工程技术规范（</w:t>
      </w:r>
      <w:r>
        <w:rPr>
          <w:b w:val="0"/>
          <w:bCs/>
          <w:sz w:val="22"/>
          <w:szCs w:val="22"/>
        </w:rPr>
        <w:t>GT/76-94</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入侵报警工程设计规范（</w:t>
      </w:r>
      <w:r>
        <w:rPr>
          <w:b w:val="0"/>
          <w:bCs/>
          <w:sz w:val="22"/>
          <w:szCs w:val="22"/>
        </w:rPr>
        <w:t>GA/77-94</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用户终端设备耐过电压和过电流能要求和试验方法（</w:t>
      </w:r>
      <w:r>
        <w:rPr>
          <w:b w:val="0"/>
          <w:bCs/>
          <w:sz w:val="22"/>
          <w:szCs w:val="22"/>
        </w:rPr>
        <w:t>YD/T870-906</w:t>
      </w:r>
      <w:r>
        <w:rPr>
          <w:rFonts w:hint="eastAsia" w:ascii="Times New Roman" w:cs="宋体"/>
          <w:b w:val="0"/>
          <w:bCs/>
          <w:sz w:val="22"/>
          <w:szCs w:val="22"/>
        </w:rPr>
        <w:t>）；</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其他相关标准和图集；</w:t>
      </w:r>
    </w:p>
    <w:p>
      <w:pPr>
        <w:pStyle w:val="4"/>
        <w:keepNext w:val="0"/>
        <w:numPr>
          <w:ilvl w:val="0"/>
          <w:numId w:val="6"/>
        </w:numPr>
        <w:tabs>
          <w:tab w:val="left" w:pos="720"/>
        </w:tabs>
        <w:snapToGrid w:val="0"/>
        <w:spacing w:line="360" w:lineRule="auto"/>
        <w:ind w:right="2" w:rightChars="1"/>
        <w:rPr>
          <w:b w:val="0"/>
          <w:bCs/>
          <w:sz w:val="22"/>
          <w:szCs w:val="22"/>
        </w:rPr>
      </w:pPr>
      <w:r>
        <w:rPr>
          <w:rFonts w:hint="eastAsia" w:ascii="Times New Roman" w:cs="宋体"/>
          <w:b w:val="0"/>
          <w:bCs/>
          <w:sz w:val="22"/>
          <w:szCs w:val="22"/>
        </w:rPr>
        <w:t>现行的国家有关建筑消防标准和规范；</w:t>
      </w:r>
    </w:p>
    <w:p>
      <w:pPr>
        <w:pStyle w:val="4"/>
        <w:keepNext w:val="0"/>
        <w:numPr>
          <w:ilvl w:val="0"/>
          <w:numId w:val="0"/>
        </w:numPr>
        <w:tabs>
          <w:tab w:val="left" w:pos="720"/>
        </w:tabs>
        <w:snapToGrid w:val="0"/>
        <w:spacing w:line="360" w:lineRule="auto"/>
        <w:ind w:right="2" w:rightChars="1"/>
        <w:rPr>
          <w:b w:val="0"/>
          <w:bCs/>
          <w:sz w:val="22"/>
          <w:szCs w:val="22"/>
        </w:rPr>
      </w:pPr>
      <w:r>
        <w:rPr>
          <w:rFonts w:hint="eastAsia" w:ascii="Times New Roman" w:cs="宋体"/>
          <w:b w:val="0"/>
          <w:bCs/>
          <w:sz w:val="22"/>
          <w:szCs w:val="22"/>
        </w:rPr>
        <w:t>若上述条例和规范尚不能满足本工程的需要，或未能达到国际标准，投标人应采用一切方法令</w:t>
      </w:r>
    </w:p>
    <w:p>
      <w:pPr>
        <w:pStyle w:val="4"/>
        <w:keepNext w:val="0"/>
        <w:numPr>
          <w:ilvl w:val="0"/>
          <w:numId w:val="0"/>
        </w:numPr>
        <w:tabs>
          <w:tab w:val="left" w:pos="720"/>
        </w:tabs>
        <w:snapToGrid w:val="0"/>
        <w:spacing w:line="360" w:lineRule="auto"/>
        <w:ind w:right="2" w:rightChars="1"/>
        <w:rPr>
          <w:b w:val="0"/>
          <w:bCs/>
          <w:sz w:val="22"/>
          <w:szCs w:val="22"/>
        </w:rPr>
      </w:pPr>
      <w:r>
        <w:rPr>
          <w:rFonts w:hint="eastAsia" w:ascii="Times New Roman" w:cs="宋体"/>
          <w:b w:val="0"/>
          <w:bCs/>
          <w:sz w:val="22"/>
          <w:szCs w:val="22"/>
        </w:rPr>
        <w:t>所有材料及安装，符合所有最通用、最新的，适合于国际的标准、规范和运用的最新版本的要求并</w:t>
      </w:r>
    </w:p>
    <w:p>
      <w:pPr>
        <w:pStyle w:val="4"/>
        <w:keepNext w:val="0"/>
        <w:numPr>
          <w:ilvl w:val="0"/>
          <w:numId w:val="0"/>
        </w:numPr>
        <w:tabs>
          <w:tab w:val="left" w:pos="720"/>
        </w:tabs>
        <w:snapToGrid w:val="0"/>
        <w:spacing w:line="360" w:lineRule="auto"/>
        <w:ind w:right="2" w:rightChars="1"/>
        <w:rPr>
          <w:b w:val="0"/>
          <w:bCs/>
          <w:sz w:val="22"/>
          <w:szCs w:val="22"/>
        </w:rPr>
      </w:pPr>
      <w:r>
        <w:rPr>
          <w:rFonts w:hint="eastAsia" w:ascii="Times New Roman" w:cs="宋体"/>
          <w:b w:val="0"/>
          <w:bCs/>
          <w:sz w:val="22"/>
          <w:szCs w:val="22"/>
        </w:rPr>
        <w:t>提供书面文件得到业主认可。</w:t>
      </w:r>
    </w:p>
    <w:p>
      <w:pPr>
        <w:pStyle w:val="4"/>
        <w:keepNext w:val="0"/>
        <w:numPr>
          <w:ilvl w:val="0"/>
          <w:numId w:val="0"/>
        </w:numPr>
        <w:tabs>
          <w:tab w:val="left" w:pos="720"/>
        </w:tabs>
        <w:snapToGrid w:val="0"/>
        <w:spacing w:line="360" w:lineRule="auto"/>
        <w:ind w:right="2" w:rightChars="1"/>
        <w:rPr>
          <w:b w:val="0"/>
          <w:bCs/>
          <w:sz w:val="22"/>
          <w:szCs w:val="22"/>
        </w:rPr>
      </w:pPr>
      <w:r>
        <w:rPr>
          <w:bCs/>
          <w:sz w:val="22"/>
          <w:szCs w:val="22"/>
        </w:rPr>
        <w:t>1.3.2</w:t>
      </w:r>
      <w:r>
        <w:rPr>
          <w:rFonts w:hint="eastAsia" w:ascii="Times New Roman" w:cs="宋体"/>
          <w:bCs/>
          <w:sz w:val="22"/>
          <w:szCs w:val="22"/>
        </w:rPr>
        <w:t>计量标准</w:t>
      </w:r>
    </w:p>
    <w:p>
      <w:pPr>
        <w:snapToGrid w:val="0"/>
        <w:spacing w:line="360" w:lineRule="auto"/>
        <w:ind w:firstLine="440" w:firstLineChars="200"/>
        <w:rPr>
          <w:sz w:val="22"/>
        </w:rPr>
      </w:pPr>
      <w:r>
        <w:rPr>
          <w:rFonts w:hint="eastAsia" w:cs="宋体"/>
          <w:sz w:val="22"/>
        </w:rPr>
        <w:t>计量单位除本技术规格另有规定，应以中华人民共和国法定计量单位作为计量单位。不在法定计量单位范围内的，将使用国际计量单位和国家选定的其它计量单位。</w:t>
      </w:r>
    </w:p>
    <w:bookmarkEnd w:id="268"/>
    <w:p>
      <w:pPr>
        <w:pStyle w:val="3"/>
        <w:keepNext w:val="0"/>
        <w:keepLines w:val="0"/>
        <w:tabs>
          <w:tab w:val="left" w:pos="576"/>
        </w:tabs>
        <w:spacing w:before="0" w:after="0"/>
        <w:ind w:left="576" w:hanging="576"/>
        <w:jc w:val="both"/>
        <w:rPr>
          <w:rFonts w:ascii="Times New Roman" w:hAnsi="Times New Roman"/>
          <w:sz w:val="30"/>
          <w:szCs w:val="30"/>
        </w:rPr>
      </w:pPr>
      <w:bookmarkStart w:id="269" w:name="_Toc386910851"/>
      <w:bookmarkStart w:id="270" w:name="_Toc127347646"/>
      <w:bookmarkStart w:id="271" w:name="_Toc120933823"/>
      <w:bookmarkStart w:id="272" w:name="_Toc214177996"/>
      <w:bookmarkStart w:id="273" w:name="_Toc123028534"/>
      <w:bookmarkStart w:id="274" w:name="_Toc392056805"/>
      <w:bookmarkStart w:id="275" w:name="_Toc124561167"/>
      <w:bookmarkStart w:id="276" w:name="_Toc122958932"/>
      <w:r>
        <w:rPr>
          <w:rFonts w:ascii="Times New Roman" w:hAnsi="Times New Roman"/>
          <w:sz w:val="30"/>
          <w:szCs w:val="30"/>
        </w:rPr>
        <w:t>1.4</w:t>
      </w:r>
      <w:r>
        <w:rPr>
          <w:rFonts w:hint="eastAsia" w:ascii="Times New Roman" w:hAnsi="Times New Roman" w:cs="宋体"/>
          <w:sz w:val="30"/>
          <w:szCs w:val="30"/>
        </w:rPr>
        <w:t>工程</w:t>
      </w:r>
      <w:bookmarkEnd w:id="269"/>
      <w:bookmarkEnd w:id="270"/>
      <w:bookmarkEnd w:id="271"/>
      <w:bookmarkEnd w:id="272"/>
      <w:bookmarkEnd w:id="273"/>
      <w:bookmarkEnd w:id="274"/>
      <w:bookmarkEnd w:id="275"/>
      <w:bookmarkEnd w:id="276"/>
      <w:r>
        <w:rPr>
          <w:rFonts w:hint="eastAsia" w:ascii="Times New Roman" w:hAnsi="Times New Roman" w:cs="宋体"/>
          <w:sz w:val="30"/>
          <w:szCs w:val="30"/>
        </w:rPr>
        <w:t>施工内容</w:t>
      </w:r>
    </w:p>
    <w:p>
      <w:pPr>
        <w:snapToGrid w:val="0"/>
        <w:spacing w:line="360" w:lineRule="auto"/>
        <w:rPr>
          <w:rFonts w:ascii="宋体" w:hAnsi="宋体"/>
          <w:b/>
          <w:sz w:val="22"/>
        </w:rPr>
      </w:pPr>
      <w:bookmarkStart w:id="277" w:name="_Toc536443890"/>
      <w:r>
        <w:rPr>
          <w:rFonts w:hint="eastAsia" w:ascii="宋体" w:hAnsi="宋体" w:cs="宋体"/>
          <w:b/>
          <w:bCs/>
          <w:sz w:val="22"/>
        </w:rPr>
        <w:t xml:space="preserve">1.4.1 </w:t>
      </w:r>
      <w:r>
        <w:rPr>
          <w:rFonts w:hint="eastAsia" w:ascii="宋体" w:hAnsi="宋体" w:cs="宋体"/>
          <w:b/>
          <w:sz w:val="22"/>
        </w:rPr>
        <w:t>施工方必须完成的工程内容如下：</w:t>
      </w:r>
    </w:p>
    <w:p>
      <w:pPr>
        <w:snapToGrid w:val="0"/>
        <w:spacing w:line="360" w:lineRule="auto"/>
        <w:ind w:firstLine="442" w:firstLineChars="200"/>
        <w:rPr>
          <w:rFonts w:ascii="宋体" w:hAnsi="宋体" w:cs="Arial"/>
          <w:b/>
          <w:bCs/>
          <w:kern w:val="0"/>
          <w:sz w:val="22"/>
        </w:rPr>
      </w:pPr>
      <w:r>
        <w:rPr>
          <w:rFonts w:hint="eastAsia" w:ascii="宋体" w:hAnsi="宋体" w:cs="宋体"/>
          <w:b/>
          <w:kern w:val="0"/>
          <w:sz w:val="22"/>
        </w:rPr>
        <w:t>在航空货站B区海关监管作业场所安装19路带广角、云台的球机及6路枪机，分别满足现有安检通道、集中查验场地、卡车航班转关装车区、前置拦截区、核辐射探测仪、检疫处理区、登临检查区、机坪装载区等区域的监控要求。</w:t>
      </w:r>
      <w:r>
        <w:rPr>
          <w:rFonts w:hint="eastAsia" w:ascii="宋体" w:hAnsi="宋体" w:cs="宋体"/>
          <w:b/>
          <w:sz w:val="22"/>
        </w:rPr>
        <w:t>该25路需接入海关监控平台，视频存储时间为</w:t>
      </w:r>
      <w:r>
        <w:rPr>
          <w:rFonts w:ascii="宋体" w:hAnsi="宋体" w:cs="宋体"/>
          <w:b/>
          <w:sz w:val="22"/>
        </w:rPr>
        <w:t>90</w:t>
      </w:r>
      <w:r>
        <w:rPr>
          <w:rFonts w:hint="eastAsia" w:ascii="宋体" w:hAnsi="宋体" w:cs="宋体"/>
          <w:b/>
          <w:sz w:val="22"/>
        </w:rPr>
        <w:t>天。</w:t>
      </w:r>
    </w:p>
    <w:p>
      <w:pPr>
        <w:pStyle w:val="4"/>
        <w:keepNext w:val="0"/>
        <w:numPr>
          <w:ilvl w:val="0"/>
          <w:numId w:val="0"/>
        </w:numPr>
        <w:tabs>
          <w:tab w:val="left" w:pos="720"/>
        </w:tabs>
        <w:snapToGrid w:val="0"/>
        <w:spacing w:line="360" w:lineRule="auto"/>
        <w:ind w:right="2" w:rightChars="1"/>
        <w:rPr>
          <w:rFonts w:ascii="Times New Roman" w:cs="宋体"/>
          <w:bCs/>
          <w:sz w:val="22"/>
          <w:szCs w:val="22"/>
        </w:rPr>
      </w:pPr>
      <w:r>
        <w:rPr>
          <w:rFonts w:hint="eastAsia" w:ascii="Times New Roman" w:cs="宋体"/>
          <w:bCs/>
          <w:sz w:val="22"/>
          <w:szCs w:val="22"/>
        </w:rPr>
        <w:t>1.4.2 本工程涉及安防系统现状及要求：</w:t>
      </w:r>
    </w:p>
    <w:p>
      <w:pPr>
        <w:snapToGrid w:val="0"/>
        <w:spacing w:line="360" w:lineRule="auto"/>
        <w:ind w:firstLine="442" w:firstLineChars="200"/>
        <w:rPr>
          <w:sz w:val="22"/>
        </w:rPr>
      </w:pPr>
      <w:r>
        <w:rPr>
          <w:rFonts w:ascii="Times New Roman" w:hAnsi="Times New Roman"/>
          <w:b/>
          <w:sz w:val="22"/>
        </w:rPr>
        <w:t>1.4.2.1</w:t>
      </w:r>
      <w:r>
        <w:rPr>
          <w:rFonts w:hint="eastAsia"/>
          <w:sz w:val="22"/>
        </w:rPr>
        <w:t>工程更新摄像机接入监控平台为大华监控平台；</w:t>
      </w:r>
    </w:p>
    <w:p>
      <w:pPr>
        <w:pStyle w:val="3"/>
        <w:keepNext w:val="0"/>
        <w:keepLines w:val="0"/>
        <w:tabs>
          <w:tab w:val="left" w:pos="576"/>
        </w:tabs>
        <w:snapToGrid w:val="0"/>
        <w:spacing w:before="0" w:after="0"/>
        <w:ind w:left="576" w:right="2" w:rightChars="1" w:hanging="576"/>
        <w:jc w:val="both"/>
        <w:rPr>
          <w:rFonts w:ascii="Times New Roman" w:hAnsi="Times New Roman"/>
          <w:sz w:val="22"/>
          <w:szCs w:val="22"/>
        </w:rPr>
      </w:pPr>
      <w:bookmarkStart w:id="278" w:name="_Toc386910852"/>
      <w:bookmarkStart w:id="279" w:name="_Toc392056806"/>
      <w:r>
        <w:rPr>
          <w:rFonts w:ascii="Times New Roman" w:hAnsi="Times New Roman"/>
          <w:sz w:val="22"/>
          <w:szCs w:val="22"/>
        </w:rPr>
        <w:t>1.5</w:t>
      </w:r>
      <w:r>
        <w:rPr>
          <w:rFonts w:hint="eastAsia" w:ascii="Times New Roman" w:hAnsi="Times New Roman" w:cs="宋体"/>
          <w:sz w:val="22"/>
          <w:szCs w:val="22"/>
        </w:rPr>
        <w:t>参考工程量清单</w:t>
      </w:r>
      <w:bookmarkEnd w:id="278"/>
      <w:bookmarkEnd w:id="279"/>
    </w:p>
    <w:tbl>
      <w:tblPr>
        <w:tblStyle w:val="54"/>
        <w:tblW w:w="9503" w:type="dxa"/>
        <w:tblInd w:w="108" w:type="dxa"/>
        <w:tblLayout w:type="fixed"/>
        <w:tblCellMar>
          <w:top w:w="0" w:type="dxa"/>
          <w:left w:w="108" w:type="dxa"/>
          <w:bottom w:w="0" w:type="dxa"/>
          <w:right w:w="108" w:type="dxa"/>
        </w:tblCellMar>
      </w:tblPr>
      <w:tblGrid>
        <w:gridCol w:w="720"/>
        <w:gridCol w:w="2541"/>
        <w:gridCol w:w="2102"/>
        <w:gridCol w:w="720"/>
        <w:gridCol w:w="720"/>
        <w:gridCol w:w="2700"/>
      </w:tblGrid>
      <w:tr>
        <w:tblPrEx>
          <w:tblLayout w:type="fixed"/>
          <w:tblCellMar>
            <w:top w:w="0" w:type="dxa"/>
            <w:left w:w="108" w:type="dxa"/>
            <w:bottom w:w="0" w:type="dxa"/>
            <w:right w:w="108" w:type="dxa"/>
          </w:tblCellMar>
        </w:tblPrEx>
        <w:trPr>
          <w:trHeight w:val="375"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2541"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设备名称</w:t>
            </w:r>
          </w:p>
        </w:tc>
        <w:tc>
          <w:tcPr>
            <w:tcW w:w="2102"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规格</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单位</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数量</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备注</w:t>
            </w:r>
          </w:p>
        </w:tc>
      </w:tr>
      <w:tr>
        <w:tblPrEx>
          <w:tblLayout w:type="fixed"/>
          <w:tblCellMar>
            <w:top w:w="0" w:type="dxa"/>
            <w:left w:w="108" w:type="dxa"/>
            <w:bottom w:w="0" w:type="dxa"/>
            <w:right w:w="108" w:type="dxa"/>
          </w:tblCellMar>
        </w:tblPrEx>
        <w:trPr>
          <w:trHeight w:val="481"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w:t>
            </w:r>
          </w:p>
        </w:tc>
        <w:tc>
          <w:tcPr>
            <w:tcW w:w="2541"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szCs w:val="21"/>
              </w:rPr>
              <w:t>高清红外枪型网络摄像机</w:t>
            </w:r>
          </w:p>
        </w:tc>
        <w:tc>
          <w:tcPr>
            <w:tcW w:w="210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szCs w:val="21"/>
              </w:rPr>
              <w:t>200</w:t>
            </w:r>
            <w:r>
              <w:rPr>
                <w:rFonts w:hint="eastAsia" w:ascii="宋体" w:hAnsi="宋体" w:cs="宋体"/>
                <w:szCs w:val="21"/>
              </w:rPr>
              <w:t>万像素</w:t>
            </w: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台</w:t>
            </w: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6</w:t>
            </w: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szCs w:val="21"/>
              </w:rPr>
              <w:t>含安装支架及护罩</w:t>
            </w:r>
          </w:p>
        </w:tc>
      </w:tr>
      <w:tr>
        <w:tblPrEx>
          <w:tblLayout w:type="fixed"/>
          <w:tblCellMar>
            <w:top w:w="0" w:type="dxa"/>
            <w:left w:w="108" w:type="dxa"/>
            <w:bottom w:w="0" w:type="dxa"/>
            <w:right w:w="108" w:type="dxa"/>
          </w:tblCellMar>
        </w:tblPrEx>
        <w:trPr>
          <w:trHeight w:val="454"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w:t>
            </w:r>
          </w:p>
        </w:tc>
        <w:tc>
          <w:tcPr>
            <w:tcW w:w="2541"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szCs w:val="21"/>
              </w:rPr>
              <w:t>高清红外快球摄像机</w:t>
            </w:r>
          </w:p>
        </w:tc>
        <w:tc>
          <w:tcPr>
            <w:tcW w:w="2102"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szCs w:val="21"/>
              </w:rPr>
              <w:t>200</w:t>
            </w:r>
            <w:r>
              <w:rPr>
                <w:rFonts w:hint="eastAsia" w:ascii="宋体" w:hAnsi="宋体" w:cs="宋体"/>
                <w:szCs w:val="21"/>
              </w:rPr>
              <w:t>万像素</w:t>
            </w: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个</w:t>
            </w: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19</w:t>
            </w:r>
          </w:p>
        </w:tc>
        <w:tc>
          <w:tcPr>
            <w:tcW w:w="2700" w:type="dxa"/>
            <w:tcBorders>
              <w:top w:val="nil"/>
              <w:left w:val="nil"/>
              <w:bottom w:val="single" w:color="auto" w:sz="4" w:space="0"/>
              <w:right w:val="single" w:color="auto" w:sz="4" w:space="0"/>
            </w:tcBorders>
            <w:vAlign w:val="center"/>
          </w:tcPr>
          <w:p>
            <w:pPr>
              <w:widowControl/>
              <w:ind w:firstLine="630" w:firstLineChars="300"/>
              <w:rPr>
                <w:rFonts w:ascii="宋体" w:cs="宋体"/>
                <w:kern w:val="0"/>
                <w:szCs w:val="21"/>
              </w:rPr>
            </w:pPr>
            <w:r>
              <w:rPr>
                <w:rFonts w:hint="eastAsia" w:ascii="宋体" w:hAnsi="宋体" w:cs="宋体"/>
                <w:szCs w:val="21"/>
              </w:rPr>
              <w:t>含安装支架</w:t>
            </w: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2541"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szCs w:val="21"/>
              </w:rPr>
              <w:t>网络录像机</w:t>
            </w:r>
          </w:p>
        </w:tc>
        <w:tc>
          <w:tcPr>
            <w:tcW w:w="2102"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台</w:t>
            </w:r>
          </w:p>
        </w:tc>
        <w:tc>
          <w:tcPr>
            <w:tcW w:w="7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2</w:t>
            </w: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企业级硬盘</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6T</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块</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11</w:t>
            </w: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千兆光纤收发器</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8口千兆交换机</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台</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7</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16口千兆交换机</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台</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安防箱</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9</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机柜</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1200*600*600</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组</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10</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液晶显示器</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21寸</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台</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11</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室外光纤</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6芯单模</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12</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超五类网线</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UTP-CAT5E</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13</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电源线</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RVV2*0.5</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14</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电源线</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RVV2*1.5</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15</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PVC管</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￠25，国标</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bookmarkEnd w:id="210"/>
      <w:bookmarkEnd w:id="211"/>
      <w:bookmarkEnd w:id="212"/>
      <w:bookmarkEnd w:id="213"/>
      <w:bookmarkEnd w:id="214"/>
      <w:bookmarkEnd w:id="215"/>
      <w:bookmarkEnd w:id="277"/>
      <w:tr>
        <w:tblPrEx>
          <w:tblLayout w:type="fixed"/>
          <w:tblCellMar>
            <w:top w:w="0" w:type="dxa"/>
            <w:left w:w="108" w:type="dxa"/>
            <w:bottom w:w="0" w:type="dxa"/>
            <w:right w:w="108" w:type="dxa"/>
          </w:tblCellMar>
        </w:tblPrEx>
        <w:trPr>
          <w:trHeight w:val="422"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bookmarkStart w:id="280" w:name="_Toc386206737"/>
            <w:bookmarkStart w:id="281" w:name="_Toc127347687"/>
            <w:bookmarkStart w:id="282" w:name="_Toc119258201"/>
            <w:bookmarkStart w:id="283" w:name="_Toc214178028"/>
            <w:bookmarkStart w:id="284" w:name="_Toc107586469"/>
            <w:bookmarkStart w:id="285" w:name="_Toc123028574"/>
            <w:bookmarkStart w:id="286" w:name="_Toc113810222"/>
            <w:bookmarkStart w:id="287" w:name="_Toc119378346"/>
            <w:bookmarkStart w:id="288" w:name="_Toc122958973"/>
            <w:bookmarkStart w:id="289" w:name="_Toc124561208"/>
            <w:bookmarkStart w:id="290" w:name="_Toc119504362"/>
            <w:bookmarkStart w:id="291" w:name="_Toc119378534"/>
            <w:r>
              <w:rPr>
                <w:rFonts w:hint="eastAsia" w:ascii="宋体" w:hAnsi="宋体" w:cs="宋体"/>
                <w:kern w:val="0"/>
                <w:szCs w:val="21"/>
              </w:rPr>
              <w:t>16</w:t>
            </w:r>
          </w:p>
        </w:tc>
        <w:tc>
          <w:tcPr>
            <w:tcW w:w="254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辅材</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批</w:t>
            </w:r>
          </w:p>
        </w:tc>
        <w:tc>
          <w:tcPr>
            <w:tcW w:w="7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2700" w:type="dxa"/>
            <w:tcBorders>
              <w:top w:val="nil"/>
              <w:left w:val="nil"/>
              <w:bottom w:val="single" w:color="auto" w:sz="4" w:space="0"/>
              <w:right w:val="single" w:color="auto" w:sz="4" w:space="0"/>
            </w:tcBorders>
            <w:vAlign w:val="center"/>
          </w:tcPr>
          <w:p>
            <w:pPr>
              <w:widowControl/>
              <w:jc w:val="center"/>
              <w:rPr>
                <w:rFonts w:ascii="宋体" w:cs="宋体"/>
                <w:kern w:val="0"/>
                <w:szCs w:val="21"/>
              </w:rPr>
            </w:pPr>
          </w:p>
        </w:tc>
      </w:tr>
    </w:tbl>
    <w:p>
      <w:pPr>
        <w:pStyle w:val="48"/>
        <w:snapToGrid w:val="0"/>
        <w:spacing w:before="0" w:beforeAutospacing="0" w:after="0" w:afterAutospacing="0"/>
        <w:ind w:firstLine="440" w:firstLineChars="200"/>
        <w:jc w:val="both"/>
        <w:rPr>
          <w:rFonts w:ascii="宋体" w:hAnsi="宋体" w:eastAsia="宋体" w:cs="Arial"/>
          <w:color w:val="auto"/>
          <w:sz w:val="22"/>
          <w:szCs w:val="22"/>
        </w:rPr>
      </w:pPr>
    </w:p>
    <w:p>
      <w:pPr>
        <w:pStyle w:val="48"/>
        <w:snapToGrid w:val="0"/>
        <w:spacing w:before="0" w:beforeAutospacing="0" w:after="0" w:afterAutospacing="0" w:line="360" w:lineRule="auto"/>
        <w:ind w:firstLine="440" w:firstLineChars="200"/>
        <w:jc w:val="both"/>
        <w:rPr>
          <w:rFonts w:ascii="宋体" w:hAnsi="宋体" w:cs="Arial"/>
          <w:color w:val="auto"/>
          <w:sz w:val="22"/>
          <w:szCs w:val="22"/>
        </w:rPr>
      </w:pPr>
      <w:r>
        <w:rPr>
          <w:rFonts w:hint="eastAsia" w:ascii="宋体" w:hAnsi="宋体" w:eastAsia="宋体" w:cs="Arial"/>
          <w:color w:val="auto"/>
          <w:sz w:val="22"/>
          <w:szCs w:val="22"/>
        </w:rPr>
        <w:t>本项目为闭口包干项目。以上所述招标范围的主要内容并非详细完整的工程内容，投标人必须仔细踏勘现场，准确掌握全部工程内容。若有遗漏或缺项报价的风险由投标人承担。</w:t>
      </w:r>
    </w:p>
    <w:p>
      <w:pPr>
        <w:snapToGrid w:val="0"/>
        <w:spacing w:line="360" w:lineRule="auto"/>
        <w:ind w:right="2" w:rightChars="1"/>
        <w:rPr>
          <w:szCs w:val="21"/>
        </w:rPr>
      </w:pPr>
    </w:p>
    <w:p>
      <w:pPr>
        <w:pStyle w:val="3"/>
        <w:keepNext w:val="0"/>
        <w:keepLines w:val="0"/>
        <w:tabs>
          <w:tab w:val="left" w:pos="576"/>
        </w:tabs>
        <w:spacing w:before="0"/>
        <w:jc w:val="both"/>
        <w:rPr>
          <w:rFonts w:ascii="Times New Roman" w:hAnsi="Times New Roman"/>
          <w:sz w:val="30"/>
          <w:szCs w:val="30"/>
        </w:rPr>
      </w:pPr>
      <w:bookmarkStart w:id="292" w:name="_Toc119258136"/>
      <w:bookmarkStart w:id="293" w:name="_Toc119378491"/>
      <w:bookmarkStart w:id="294" w:name="_Toc214178004"/>
      <w:bookmarkStart w:id="295" w:name="_Toc124561178"/>
      <w:bookmarkStart w:id="296" w:name="_Toc127347657"/>
      <w:bookmarkStart w:id="297" w:name="_Toc123028544"/>
      <w:bookmarkStart w:id="298" w:name="_Toc392056813"/>
      <w:bookmarkStart w:id="299" w:name="_Toc119378303"/>
      <w:bookmarkStart w:id="300" w:name="_Toc122958942"/>
      <w:bookmarkStart w:id="301" w:name="_Toc119504318"/>
      <w:r>
        <w:rPr>
          <w:rFonts w:ascii="Times New Roman" w:hAnsi="Times New Roman"/>
          <w:sz w:val="30"/>
          <w:szCs w:val="30"/>
        </w:rPr>
        <w:t xml:space="preserve">1.6 </w:t>
      </w:r>
      <w:r>
        <w:rPr>
          <w:rFonts w:hint="eastAsia" w:ascii="Times New Roman" w:hAnsi="Times New Roman" w:cs="宋体"/>
          <w:sz w:val="30"/>
          <w:szCs w:val="30"/>
        </w:rPr>
        <w:t>详细技术要求</w:t>
      </w:r>
      <w:bookmarkEnd w:id="292"/>
      <w:bookmarkEnd w:id="293"/>
      <w:bookmarkEnd w:id="294"/>
      <w:bookmarkEnd w:id="295"/>
      <w:bookmarkEnd w:id="296"/>
      <w:bookmarkEnd w:id="297"/>
      <w:bookmarkEnd w:id="298"/>
      <w:bookmarkEnd w:id="299"/>
      <w:bookmarkEnd w:id="300"/>
      <w:bookmarkEnd w:id="301"/>
    </w:p>
    <w:p>
      <w:pPr>
        <w:pStyle w:val="5"/>
        <w:keepNext w:val="0"/>
        <w:keepLines w:val="0"/>
        <w:tabs>
          <w:tab w:val="left" w:pos="900"/>
          <w:tab w:val="left" w:pos="1584"/>
        </w:tabs>
        <w:snapToGrid w:val="0"/>
        <w:spacing w:before="0" w:after="0" w:line="360" w:lineRule="auto"/>
        <w:ind w:left="1584" w:right="2" w:rightChars="1" w:hanging="1584"/>
        <w:rPr>
          <w:rFonts w:ascii="宋体" w:hAnsi="宋体" w:eastAsia="宋体" w:cs="宋体"/>
          <w:sz w:val="22"/>
          <w:szCs w:val="22"/>
        </w:rPr>
      </w:pPr>
      <w:bookmarkStart w:id="302" w:name="_Toc128984433"/>
      <w:r>
        <w:rPr>
          <w:rFonts w:hint="eastAsia" w:ascii="宋体" w:hAnsi="宋体" w:eastAsia="宋体" w:cs="宋体"/>
          <w:sz w:val="22"/>
          <w:szCs w:val="22"/>
        </w:rPr>
        <w:t>1.6.1 总体性能指标</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hint="eastAsia" w:ascii="宋体" w:hAnsi="宋体"/>
          <w:bCs w:val="0"/>
          <w:sz w:val="22"/>
          <w:szCs w:val="22"/>
        </w:rPr>
        <w:t>1.6.1.1  高清网络枪型摄像机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hint="eastAsia" w:ascii="宋体" w:hAnsi="宋体"/>
          <w:bCs w:val="0"/>
          <w:sz w:val="22"/>
          <w:szCs w:val="22"/>
        </w:rPr>
        <w:t xml:space="preserve">  可接受的标准化产品品牌为：海康、大华、宇视同等或以上档次品牌。</w:t>
      </w:r>
    </w:p>
    <w:p>
      <w:pPr>
        <w:spacing w:line="220" w:lineRule="atLeast"/>
      </w:pPr>
    </w:p>
    <w:p>
      <w:pPr>
        <w:rPr>
          <w:rFonts w:ascii="宋体" w:hAnsi="宋体"/>
          <w:sz w:val="22"/>
        </w:rPr>
      </w:pPr>
      <w:r>
        <w:rPr>
          <w:rFonts w:hint="eastAsia" w:ascii="宋体" w:hAnsi="宋体"/>
          <w:sz w:val="22"/>
        </w:rPr>
        <w:t xml:space="preserve">序号 主要特征需求 </w:t>
      </w:r>
    </w:p>
    <w:p>
      <w:pPr>
        <w:rPr>
          <w:rFonts w:ascii="宋体" w:hAnsi="宋体"/>
          <w:sz w:val="22"/>
        </w:rPr>
      </w:pPr>
      <w:r>
        <w:rPr>
          <w:rFonts w:hint="eastAsia" w:ascii="宋体" w:hAnsi="宋体"/>
          <w:sz w:val="22"/>
        </w:rPr>
        <w:t xml:space="preserve">1 成像器件 ≥1/3英寸逐行扫描CMOS </w:t>
      </w:r>
    </w:p>
    <w:p>
      <w:pPr>
        <w:rPr>
          <w:rFonts w:ascii="宋体" w:hAnsi="宋体"/>
          <w:sz w:val="22"/>
        </w:rPr>
      </w:pPr>
      <w:r>
        <w:rPr>
          <w:rFonts w:hint="eastAsia" w:ascii="宋体" w:hAnsi="宋体"/>
          <w:sz w:val="22"/>
        </w:rPr>
        <w:t xml:space="preserve">2 有效像素 ≥200万像素 </w:t>
      </w:r>
    </w:p>
    <w:p>
      <w:pPr>
        <w:rPr>
          <w:rFonts w:ascii="宋体" w:hAnsi="宋体"/>
          <w:sz w:val="22"/>
        </w:rPr>
      </w:pPr>
      <w:r>
        <w:rPr>
          <w:rFonts w:hint="eastAsia" w:ascii="宋体" w:hAnsi="宋体"/>
          <w:sz w:val="22"/>
        </w:rPr>
        <w:t xml:space="preserve">3 帧率 30fps(1920×1080) </w:t>
      </w:r>
    </w:p>
    <w:p>
      <w:pPr>
        <w:rPr>
          <w:rFonts w:ascii="宋体" w:hAnsi="宋体"/>
          <w:sz w:val="22"/>
        </w:rPr>
      </w:pPr>
      <w:r>
        <w:rPr>
          <w:rFonts w:hint="eastAsia" w:ascii="宋体" w:hAnsi="宋体"/>
          <w:sz w:val="22"/>
        </w:rPr>
        <w:t xml:space="preserve">4 最低照度 彩色：≤0.002 lx  黑白：≤0.0002 lx </w:t>
      </w:r>
    </w:p>
    <w:p>
      <w:pPr>
        <w:rPr>
          <w:rFonts w:ascii="宋体" w:hAnsi="宋体"/>
          <w:sz w:val="22"/>
        </w:rPr>
      </w:pPr>
      <w:r>
        <w:rPr>
          <w:rFonts w:hint="eastAsia" w:ascii="宋体" w:hAnsi="宋体"/>
          <w:sz w:val="22"/>
        </w:rPr>
        <w:t xml:space="preserve">5 日夜转换 支持 </w:t>
      </w:r>
    </w:p>
    <w:p>
      <w:pPr>
        <w:rPr>
          <w:rFonts w:ascii="宋体" w:hAnsi="宋体"/>
          <w:sz w:val="22"/>
        </w:rPr>
      </w:pPr>
      <w:r>
        <w:rPr>
          <w:rFonts w:hint="eastAsia" w:ascii="宋体" w:hAnsi="宋体"/>
          <w:sz w:val="22"/>
        </w:rPr>
        <w:t xml:space="preserve">6 H.265/H.264/MJPEG编码 支持 </w:t>
      </w:r>
    </w:p>
    <w:p>
      <w:pPr>
        <w:rPr>
          <w:rFonts w:ascii="宋体" w:hAnsi="宋体"/>
          <w:sz w:val="22"/>
        </w:rPr>
      </w:pPr>
      <w:r>
        <w:rPr>
          <w:rFonts w:hint="eastAsia" w:ascii="宋体" w:hAnsi="宋体"/>
          <w:sz w:val="22"/>
        </w:rPr>
        <w:t xml:space="preserve">7 宽动态功能 支持 </w:t>
      </w:r>
    </w:p>
    <w:p>
      <w:pPr>
        <w:rPr>
          <w:rFonts w:ascii="宋体" w:hAnsi="宋体"/>
          <w:sz w:val="22"/>
        </w:rPr>
      </w:pPr>
      <w:r>
        <w:rPr>
          <w:rFonts w:hint="eastAsia" w:ascii="宋体" w:hAnsi="宋体"/>
          <w:sz w:val="22"/>
        </w:rPr>
        <w:t xml:space="preserve">8 码流 三码流功能 </w:t>
      </w:r>
    </w:p>
    <w:p>
      <w:pPr>
        <w:rPr>
          <w:rFonts w:ascii="宋体" w:hAnsi="宋体"/>
          <w:sz w:val="22"/>
        </w:rPr>
      </w:pPr>
      <w:r>
        <w:rPr>
          <w:rFonts w:hint="eastAsia" w:ascii="宋体" w:hAnsi="宋体"/>
          <w:sz w:val="22"/>
        </w:rPr>
        <w:t xml:space="preserve">9 信噪比 ≥50dB </w:t>
      </w:r>
    </w:p>
    <w:p>
      <w:pPr>
        <w:rPr>
          <w:rFonts w:ascii="宋体" w:hAnsi="宋体"/>
          <w:sz w:val="22"/>
        </w:rPr>
      </w:pPr>
      <w:r>
        <w:rPr>
          <w:rFonts w:hint="eastAsia" w:ascii="宋体" w:hAnsi="宋体"/>
          <w:sz w:val="22"/>
        </w:rPr>
        <w:t xml:space="preserve">10 焦距范围 2.8mm～12mm可调 </w:t>
      </w:r>
    </w:p>
    <w:p>
      <w:pPr>
        <w:rPr>
          <w:rFonts w:ascii="宋体" w:hAnsi="宋体"/>
          <w:sz w:val="22"/>
        </w:rPr>
      </w:pPr>
      <w:r>
        <w:rPr>
          <w:rFonts w:hint="eastAsia" w:ascii="宋体" w:hAnsi="宋体"/>
          <w:sz w:val="22"/>
        </w:rPr>
        <w:t xml:space="preserve">11 智能音视频分析 目标探测、人脸探测、智能移动探测、虚焦侦测 </w:t>
      </w:r>
    </w:p>
    <w:p>
      <w:pPr>
        <w:rPr>
          <w:rFonts w:ascii="宋体" w:hAnsi="宋体"/>
          <w:sz w:val="22"/>
        </w:rPr>
      </w:pPr>
      <w:r>
        <w:rPr>
          <w:rFonts w:hint="eastAsia" w:ascii="宋体" w:hAnsi="宋体"/>
          <w:sz w:val="22"/>
        </w:rPr>
        <w:t xml:space="preserve">12 本地SD卡存储 支持 </w:t>
      </w:r>
    </w:p>
    <w:p>
      <w:pPr>
        <w:rPr>
          <w:rFonts w:ascii="宋体" w:hAnsi="宋体"/>
          <w:sz w:val="22"/>
        </w:rPr>
      </w:pPr>
      <w:r>
        <w:rPr>
          <w:rFonts w:hint="eastAsia" w:ascii="宋体" w:hAnsi="宋体"/>
          <w:sz w:val="22"/>
        </w:rPr>
        <w:t xml:space="preserve">13 电源 AC 24V/DC12V </w:t>
      </w:r>
    </w:p>
    <w:p>
      <w:pPr>
        <w:rPr>
          <w:rFonts w:ascii="宋体" w:hAnsi="宋体"/>
          <w:sz w:val="22"/>
        </w:rPr>
      </w:pPr>
      <w:r>
        <w:rPr>
          <w:rFonts w:hint="eastAsia" w:ascii="宋体" w:hAnsi="宋体"/>
          <w:sz w:val="22"/>
        </w:rPr>
        <w:t xml:space="preserve">14 onvif协议 支持 </w:t>
      </w:r>
    </w:p>
    <w:p>
      <w:pPr>
        <w:ind w:firstLine="422" w:firstLineChars="200"/>
        <w:rPr>
          <w:rFonts w:ascii="宋体" w:hAnsi="宋体"/>
          <w:sz w:val="22"/>
        </w:rPr>
      </w:pPr>
      <w:r>
        <w:rPr>
          <w:rFonts w:hint="eastAsia" w:ascii="宋体" w:hAnsi="宋体"/>
          <w:b/>
          <w:szCs w:val="21"/>
        </w:rPr>
        <w:t>选用的摄像机应通过国家安全防范报警系统产品质量监督检验中心的检验。硬件免费保修不低于2年。投标时提供公安部检测报告。</w:t>
      </w:r>
    </w:p>
    <w:p>
      <w:pPr>
        <w:rPr>
          <w:rFonts w:ascii="宋体" w:hAnsi="宋体"/>
          <w:sz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ascii="宋体" w:hAnsi="宋体"/>
          <w:bCs w:val="0"/>
          <w:sz w:val="22"/>
          <w:szCs w:val="22"/>
        </w:rPr>
        <w:t>1.6.1.2</w:t>
      </w:r>
      <w:r>
        <w:rPr>
          <w:rFonts w:hint="eastAsia" w:ascii="宋体" w:hAnsi="宋体"/>
          <w:bCs w:val="0"/>
          <w:sz w:val="22"/>
          <w:szCs w:val="22"/>
        </w:rPr>
        <w:t xml:space="preserve">  高清网络快球</w:t>
      </w:r>
    </w:p>
    <w:p>
      <w:pPr>
        <w:pStyle w:val="6"/>
        <w:keepNext w:val="0"/>
        <w:keepLines w:val="0"/>
        <w:tabs>
          <w:tab w:val="left" w:pos="720"/>
          <w:tab w:val="left" w:pos="1080"/>
          <w:tab w:val="left" w:pos="1968"/>
        </w:tabs>
        <w:adjustRightInd w:val="0"/>
        <w:snapToGrid w:val="0"/>
        <w:spacing w:before="0" w:after="0" w:line="360" w:lineRule="auto"/>
        <w:ind w:right="2" w:rightChars="1" w:firstLine="221" w:firstLineChars="100"/>
        <w:rPr>
          <w:rFonts w:ascii="宋体" w:hAnsi="宋体"/>
          <w:bCs w:val="0"/>
          <w:color w:val="000000"/>
          <w:sz w:val="22"/>
          <w:szCs w:val="22"/>
        </w:rPr>
      </w:pPr>
      <w:r>
        <w:rPr>
          <w:rFonts w:hint="eastAsia" w:ascii="宋体" w:hAnsi="宋体"/>
          <w:bCs w:val="0"/>
          <w:sz w:val="22"/>
          <w:szCs w:val="22"/>
        </w:rPr>
        <w:t>可接受的标准化产品品牌为：</w:t>
      </w:r>
      <w:r>
        <w:rPr>
          <w:rFonts w:hint="eastAsia" w:ascii="宋体" w:hAnsi="宋体"/>
          <w:bCs w:val="0"/>
          <w:color w:val="000000"/>
          <w:sz w:val="22"/>
          <w:szCs w:val="22"/>
        </w:rPr>
        <w:t>海康、大华、宇视同</w:t>
      </w:r>
      <w:r>
        <w:rPr>
          <w:rFonts w:hint="eastAsia" w:ascii="宋体" w:hAnsi="宋体"/>
          <w:sz w:val="22"/>
        </w:rPr>
        <w:t>等或以上</w:t>
      </w:r>
      <w:r>
        <w:rPr>
          <w:rFonts w:hint="eastAsia" w:ascii="宋体" w:hAnsi="宋体"/>
          <w:bCs w:val="0"/>
          <w:color w:val="000000"/>
          <w:sz w:val="22"/>
          <w:szCs w:val="22"/>
        </w:rPr>
        <w:t>档次品牌。</w:t>
      </w:r>
    </w:p>
    <w:p>
      <w:pPr>
        <w:rPr>
          <w:rFonts w:ascii="宋体" w:hAnsi="宋体"/>
          <w:sz w:val="22"/>
        </w:rPr>
      </w:pPr>
    </w:p>
    <w:p>
      <w:pPr>
        <w:rPr>
          <w:rFonts w:ascii="宋体" w:hAnsi="宋体"/>
          <w:sz w:val="22"/>
        </w:rPr>
      </w:pPr>
      <w:r>
        <w:rPr>
          <w:rFonts w:hint="eastAsia" w:ascii="宋体" w:hAnsi="宋体"/>
          <w:sz w:val="22"/>
        </w:rPr>
        <w:t xml:space="preserve">序号 主要特征需求 </w:t>
      </w:r>
    </w:p>
    <w:p>
      <w:pPr>
        <w:rPr>
          <w:rFonts w:ascii="宋体" w:hAnsi="宋体"/>
          <w:sz w:val="22"/>
        </w:rPr>
      </w:pPr>
      <w:r>
        <w:rPr>
          <w:rFonts w:hint="eastAsia" w:ascii="宋体" w:hAnsi="宋体"/>
          <w:sz w:val="22"/>
        </w:rPr>
        <w:t xml:space="preserve">1 成像器件 ≥1/3英寸逐行扫描CMOS </w:t>
      </w:r>
    </w:p>
    <w:p>
      <w:pPr>
        <w:rPr>
          <w:rFonts w:ascii="宋体" w:hAnsi="宋体"/>
          <w:sz w:val="22"/>
        </w:rPr>
      </w:pPr>
      <w:r>
        <w:rPr>
          <w:rFonts w:hint="eastAsia" w:ascii="宋体" w:hAnsi="宋体"/>
          <w:sz w:val="22"/>
        </w:rPr>
        <w:t xml:space="preserve">2 有效像素 ≥200万像素 </w:t>
      </w:r>
    </w:p>
    <w:p>
      <w:pPr>
        <w:rPr>
          <w:rFonts w:ascii="宋体" w:hAnsi="宋体"/>
          <w:sz w:val="22"/>
        </w:rPr>
      </w:pPr>
      <w:r>
        <w:rPr>
          <w:rFonts w:hint="eastAsia" w:ascii="宋体" w:hAnsi="宋体"/>
          <w:sz w:val="22"/>
        </w:rPr>
        <w:t xml:space="preserve">3 帧率 ≥30fps(1920×1080) </w:t>
      </w:r>
    </w:p>
    <w:p>
      <w:pPr>
        <w:rPr>
          <w:rFonts w:ascii="宋体" w:hAnsi="宋体"/>
          <w:sz w:val="22"/>
        </w:rPr>
      </w:pPr>
      <w:r>
        <w:rPr>
          <w:rFonts w:hint="eastAsia" w:ascii="宋体" w:hAnsi="宋体"/>
          <w:sz w:val="22"/>
        </w:rPr>
        <w:t xml:space="preserve">4 最低照度 彩色：≤0.005lx  黑白：≤0.0005 lx </w:t>
      </w:r>
    </w:p>
    <w:p>
      <w:pPr>
        <w:rPr>
          <w:rFonts w:ascii="宋体" w:hAnsi="宋体"/>
          <w:sz w:val="22"/>
        </w:rPr>
      </w:pPr>
      <w:r>
        <w:rPr>
          <w:rFonts w:hint="eastAsia" w:ascii="宋体" w:hAnsi="宋体"/>
          <w:sz w:val="22"/>
        </w:rPr>
        <w:t xml:space="preserve">5 H.265/H.264/MJPEG编码 支持 </w:t>
      </w:r>
    </w:p>
    <w:p>
      <w:pPr>
        <w:rPr>
          <w:rFonts w:ascii="宋体" w:hAnsi="宋体"/>
          <w:sz w:val="22"/>
        </w:rPr>
      </w:pPr>
      <w:r>
        <w:rPr>
          <w:rFonts w:hint="eastAsia" w:ascii="宋体" w:hAnsi="宋体"/>
          <w:sz w:val="22"/>
        </w:rPr>
        <w:t xml:space="preserve">6 宽动态 支持 </w:t>
      </w:r>
    </w:p>
    <w:p>
      <w:pPr>
        <w:rPr>
          <w:rFonts w:ascii="宋体" w:hAnsi="宋体"/>
          <w:sz w:val="22"/>
        </w:rPr>
      </w:pPr>
      <w:r>
        <w:rPr>
          <w:rFonts w:hint="eastAsia" w:ascii="宋体" w:hAnsi="宋体"/>
          <w:sz w:val="22"/>
        </w:rPr>
        <w:t xml:space="preserve">7 码流 三码流功能 </w:t>
      </w:r>
    </w:p>
    <w:p>
      <w:pPr>
        <w:rPr>
          <w:rFonts w:ascii="宋体" w:hAnsi="宋体"/>
          <w:sz w:val="22"/>
        </w:rPr>
      </w:pPr>
      <w:r>
        <w:rPr>
          <w:rFonts w:hint="eastAsia" w:ascii="宋体" w:hAnsi="宋体"/>
          <w:sz w:val="22"/>
        </w:rPr>
        <w:t xml:space="preserve">8 信噪比 ≥50dB </w:t>
      </w:r>
    </w:p>
    <w:p>
      <w:pPr>
        <w:rPr>
          <w:rFonts w:ascii="宋体" w:hAnsi="宋体"/>
          <w:sz w:val="22"/>
        </w:rPr>
      </w:pPr>
      <w:r>
        <w:rPr>
          <w:rFonts w:hint="eastAsia" w:ascii="宋体" w:hAnsi="宋体"/>
          <w:sz w:val="22"/>
        </w:rPr>
        <w:t xml:space="preserve">9 光学变焦 ≥23倍 </w:t>
      </w:r>
    </w:p>
    <w:p>
      <w:pPr>
        <w:rPr>
          <w:rFonts w:ascii="宋体" w:hAnsi="宋体"/>
          <w:sz w:val="22"/>
        </w:rPr>
      </w:pPr>
      <w:r>
        <w:rPr>
          <w:rFonts w:hint="eastAsia" w:ascii="宋体" w:hAnsi="宋体"/>
          <w:sz w:val="22"/>
        </w:rPr>
        <w:t xml:space="preserve">10 数字变焦 16倍 </w:t>
      </w:r>
    </w:p>
    <w:p>
      <w:pPr>
        <w:rPr>
          <w:rFonts w:ascii="宋体" w:hAnsi="宋体"/>
          <w:sz w:val="22"/>
        </w:rPr>
      </w:pPr>
      <w:r>
        <w:rPr>
          <w:rFonts w:hint="eastAsia" w:ascii="宋体" w:hAnsi="宋体"/>
          <w:sz w:val="22"/>
        </w:rPr>
        <w:t xml:space="preserve">11 日夜转换 支持 </w:t>
      </w:r>
    </w:p>
    <w:p>
      <w:pPr>
        <w:rPr>
          <w:rFonts w:ascii="宋体" w:hAnsi="宋体"/>
          <w:sz w:val="22"/>
        </w:rPr>
      </w:pPr>
      <w:r>
        <w:rPr>
          <w:rFonts w:hint="eastAsia" w:ascii="宋体" w:hAnsi="宋体"/>
          <w:sz w:val="22"/>
        </w:rPr>
        <w:t xml:space="preserve">12 本地SD卡存储 支持 </w:t>
      </w:r>
    </w:p>
    <w:p>
      <w:pPr>
        <w:rPr>
          <w:rFonts w:ascii="宋体" w:hAnsi="宋体"/>
          <w:sz w:val="22"/>
        </w:rPr>
      </w:pPr>
      <w:r>
        <w:rPr>
          <w:rFonts w:hint="eastAsia" w:ascii="宋体" w:hAnsi="宋体"/>
          <w:sz w:val="22"/>
        </w:rPr>
        <w:t xml:space="preserve">13 图像防抖 支持 </w:t>
      </w:r>
    </w:p>
    <w:p>
      <w:pPr>
        <w:rPr>
          <w:rFonts w:ascii="宋体" w:hAnsi="宋体"/>
          <w:sz w:val="22"/>
        </w:rPr>
      </w:pPr>
      <w:r>
        <w:rPr>
          <w:rFonts w:hint="eastAsia" w:ascii="宋体" w:hAnsi="宋体"/>
          <w:sz w:val="22"/>
        </w:rPr>
        <w:t xml:space="preserve">14 电源 AC 24V/DC12V </w:t>
      </w:r>
    </w:p>
    <w:p>
      <w:pPr>
        <w:rPr>
          <w:rFonts w:ascii="宋体" w:hAnsi="宋体"/>
          <w:sz w:val="22"/>
        </w:rPr>
      </w:pPr>
      <w:r>
        <w:rPr>
          <w:rFonts w:hint="eastAsia" w:ascii="宋体" w:hAnsi="宋体"/>
          <w:sz w:val="22"/>
        </w:rPr>
        <w:t>15 onvif协议 支持</w:t>
      </w:r>
    </w:p>
    <w:p>
      <w:pPr>
        <w:rPr>
          <w:rFonts w:ascii="宋体" w:hAnsi="宋体"/>
          <w:sz w:val="22"/>
        </w:rPr>
      </w:pPr>
      <w:r>
        <w:rPr>
          <w:rFonts w:hint="eastAsia" w:ascii="宋体" w:hAnsi="宋体"/>
          <w:b/>
          <w:szCs w:val="21"/>
        </w:rPr>
        <w:t>选用的摄像机应通过国家安全防范报警系统产品质量监督检验中心的检验。硬件免费保修不低于2年。投标时提供公安部检测报告。</w:t>
      </w:r>
    </w:p>
    <w:p>
      <w:pPr>
        <w:rPr>
          <w:rFonts w:ascii="宋体" w:hAnsi="宋体"/>
          <w:sz w:val="22"/>
        </w:rPr>
      </w:pPr>
    </w:p>
    <w:p>
      <w:pPr>
        <w:rPr>
          <w:rFonts w:ascii="宋体" w:hAnsi="宋体"/>
          <w:sz w:val="22"/>
        </w:rPr>
      </w:pPr>
    </w:p>
    <w:p>
      <w:pPr>
        <w:rPr>
          <w:rFonts w:ascii="宋体" w:hAnsi="宋体"/>
          <w:sz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hint="eastAsia" w:ascii="宋体" w:hAnsi="宋体"/>
          <w:bCs w:val="0"/>
          <w:sz w:val="22"/>
          <w:szCs w:val="22"/>
        </w:rPr>
        <w:t>1.6.1.3 存储管理服务器</w:t>
      </w:r>
    </w:p>
    <w:p>
      <w:pPr>
        <w:spacing w:line="360" w:lineRule="auto"/>
        <w:ind w:left="-315" w:leftChars="-150" w:firstLine="221" w:firstLineChars="100"/>
        <w:rPr>
          <w:rFonts w:ascii="宋体" w:hAnsi="宋体" w:cs="宋体"/>
          <w:b/>
          <w:sz w:val="22"/>
        </w:rPr>
      </w:pPr>
      <w:r>
        <w:rPr>
          <w:rFonts w:hint="eastAsia" w:ascii="宋体" w:hAnsi="宋体" w:cs="宋体"/>
          <w:b/>
          <w:sz w:val="22"/>
        </w:rPr>
        <w:t>主要特征需求：用于实现不同品牌摄像机接入大华平台，主要参数如下：</w:t>
      </w:r>
    </w:p>
    <w:p>
      <w:pPr>
        <w:rPr>
          <w:rFonts w:ascii="宋体" w:hAnsi="宋体"/>
          <w:sz w:val="22"/>
        </w:rPr>
      </w:pPr>
    </w:p>
    <w:p>
      <w:pPr>
        <w:spacing w:line="220" w:lineRule="atLeast"/>
      </w:pPr>
      <w:r>
        <w:rPr>
          <w:rFonts w:hint="eastAsia"/>
        </w:rPr>
        <w:t>视音频输入 网络视频输入 ≥32路 硬盘盘位16盘位</w:t>
      </w:r>
    </w:p>
    <w:p>
      <w:pPr>
        <w:spacing w:line="220" w:lineRule="atLeast"/>
      </w:pPr>
      <w:r>
        <w:rPr>
          <w:rFonts w:hint="eastAsia"/>
        </w:rPr>
        <w:t xml:space="preserve">网络视频接入带宽 ≥256Mbps </w:t>
      </w:r>
    </w:p>
    <w:p>
      <w:pPr>
        <w:rPr>
          <w:rFonts w:ascii="宋体" w:hAnsi="宋体"/>
          <w:sz w:val="22"/>
        </w:rPr>
      </w:pPr>
      <w:r>
        <w:rPr>
          <w:rFonts w:hint="eastAsia"/>
        </w:rPr>
        <w:t>网络管理 网络协议 UPnP（即插即用）、 SNMP（简单网络管理）、NTP（网络校时）、SADP（自动搜索IP地址）、SMTP（邮件服务）、 NFS（接入NAS）、iSCSI（IP SAN应用）、PPPoE（拨号上网）、DHCP（自动获取IP地址）</w:t>
      </w:r>
    </w:p>
    <w:p>
      <w:pPr>
        <w:rPr>
          <w:rFonts w:ascii="宋体" w:hAnsi="宋体"/>
          <w:sz w:val="22"/>
        </w:rPr>
      </w:pPr>
      <w:r>
        <w:rPr>
          <w:rFonts w:hint="eastAsia" w:ascii="宋体" w:hAnsi="宋体"/>
          <w:b/>
          <w:szCs w:val="21"/>
        </w:rPr>
        <w:t>硬件免费保修不低于2年,投标时提供公安部检测报告</w:t>
      </w: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pStyle w:val="6"/>
        <w:keepNext w:val="0"/>
        <w:tabs>
          <w:tab w:val="left" w:pos="720"/>
          <w:tab w:val="left" w:pos="1080"/>
          <w:tab w:val="left" w:pos="1968"/>
        </w:tabs>
        <w:adjustRightInd w:val="0"/>
        <w:snapToGrid w:val="0"/>
        <w:ind w:left="1080" w:right="2" w:rightChars="1" w:hanging="1080"/>
        <w:rPr>
          <w:rFonts w:ascii="宋体" w:hAnsi="宋体"/>
          <w:bCs w:val="0"/>
          <w:color w:val="000000"/>
          <w:sz w:val="22"/>
          <w:szCs w:val="22"/>
        </w:rPr>
      </w:pPr>
      <w:r>
        <w:rPr>
          <w:rFonts w:hint="eastAsia" w:ascii="宋体" w:hAnsi="宋体"/>
          <w:bCs w:val="0"/>
          <w:sz w:val="22"/>
          <w:szCs w:val="22"/>
        </w:rPr>
        <w:t xml:space="preserve">1.6.1.4 </w:t>
      </w:r>
      <w:r>
        <w:rPr>
          <w:rFonts w:hint="eastAsia" w:ascii="宋体" w:hAnsi="宋体"/>
          <w:bCs w:val="0"/>
          <w:color w:val="000000"/>
          <w:sz w:val="22"/>
          <w:szCs w:val="22"/>
        </w:rPr>
        <w:t>KBG管</w:t>
      </w:r>
    </w:p>
    <w:p>
      <w:pPr>
        <w:spacing w:line="220" w:lineRule="atLeast"/>
      </w:pPr>
      <w:r>
        <w:rPr>
          <w:rFonts w:hint="eastAsia"/>
        </w:rPr>
        <w:t xml:space="preserve">序号 主要特征需求 </w:t>
      </w:r>
    </w:p>
    <w:p>
      <w:pPr>
        <w:spacing w:line="220" w:lineRule="atLeast"/>
      </w:pPr>
      <w:r>
        <w:rPr>
          <w:rFonts w:hint="eastAsia"/>
        </w:rPr>
        <w:t xml:space="preserve">1 套接扣压式热镀锌薄壁钢导管； </w:t>
      </w:r>
    </w:p>
    <w:p>
      <w:pPr>
        <w:spacing w:line="220" w:lineRule="atLeast"/>
      </w:pPr>
      <w:r>
        <w:rPr>
          <w:rFonts w:hint="eastAsia"/>
        </w:rPr>
        <w:t xml:space="preserve">2 外观不得有砂眼及表皮剥落； </w:t>
      </w:r>
    </w:p>
    <w:p>
      <w:pPr>
        <w:spacing w:line="220" w:lineRule="atLeast"/>
      </w:pPr>
      <w:r>
        <w:rPr>
          <w:rFonts w:hint="eastAsia"/>
        </w:rPr>
        <w:t xml:space="preserve">3 管材内外壁均采用光亮热镀锌，厚度8um以上，不易脱落、氧化且外观一致性良好； </w:t>
      </w:r>
    </w:p>
    <w:p>
      <w:pPr>
        <w:spacing w:line="220" w:lineRule="atLeast"/>
      </w:pPr>
      <w:r>
        <w:rPr>
          <w:rFonts w:hint="eastAsia"/>
        </w:rPr>
        <w:t xml:space="preserve">4 两端管口倒角光滑、管材壁厚均匀； </w:t>
      </w:r>
    </w:p>
    <w:p>
      <w:pPr>
        <w:spacing w:line="220" w:lineRule="atLeast"/>
      </w:pPr>
      <w:r>
        <w:rPr>
          <w:rFonts w:hint="eastAsia"/>
        </w:rPr>
        <w:t xml:space="preserve">5 KBG敷设时，管的弯曲半径不应小于管外径的6倍； </w:t>
      </w:r>
    </w:p>
    <w:p>
      <w:pPr>
        <w:spacing w:line="220" w:lineRule="atLeast"/>
      </w:pPr>
      <w:r>
        <w:rPr>
          <w:rFonts w:hint="eastAsia"/>
        </w:rPr>
        <w:t xml:space="preserve">6 Φ20钢管壁厚不小于1.0mm；Φ25、Φ32钢管壁厚不小于1.2mm； </w:t>
      </w:r>
    </w:p>
    <w:p>
      <w:pPr>
        <w:spacing w:line="220" w:lineRule="atLeast"/>
      </w:pPr>
      <w:r>
        <w:rPr>
          <w:rFonts w:hint="eastAsia"/>
        </w:rPr>
        <w:t>7 KBG连接处扣压后，接口的缝隙，应采用封堵措施，可采用导电胶（电力复合脂）封堵，或用胶带纸封包</w:t>
      </w:r>
    </w:p>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hint="eastAsia" w:ascii="宋体" w:hAnsi="宋体"/>
          <w:bCs w:val="0"/>
          <w:sz w:val="22"/>
          <w:szCs w:val="22"/>
        </w:rPr>
        <w:t>1.6.1.5网线</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hint="eastAsia" w:ascii="宋体" w:hAnsi="宋体"/>
          <w:bCs w:val="0"/>
          <w:sz w:val="22"/>
          <w:szCs w:val="22"/>
        </w:rPr>
        <w:t>可接受的标准化产品品牌为：劳兰、康普、天际同等或以上档次品牌。</w:t>
      </w:r>
    </w:p>
    <w:p>
      <w:pPr>
        <w:rPr>
          <w:rFonts w:ascii="宋体" w:hAnsi="宋体"/>
          <w:b/>
          <w:kern w:val="0"/>
          <w:sz w:val="22"/>
        </w:rPr>
      </w:pPr>
    </w:p>
    <w:p>
      <w:pPr>
        <w:rPr>
          <w:rFonts w:ascii="宋体" w:hAnsi="宋体"/>
          <w:kern w:val="0"/>
          <w:sz w:val="22"/>
        </w:rPr>
      </w:pPr>
      <w:r>
        <w:rPr>
          <w:rFonts w:hint="eastAsia" w:ascii="宋体" w:hAnsi="宋体"/>
          <w:kern w:val="0"/>
          <w:sz w:val="22"/>
        </w:rPr>
        <w:t xml:space="preserve">序号 主要特征需求 </w:t>
      </w:r>
    </w:p>
    <w:p>
      <w:pPr>
        <w:rPr>
          <w:rFonts w:ascii="宋体" w:hAnsi="宋体"/>
          <w:kern w:val="0"/>
          <w:sz w:val="22"/>
        </w:rPr>
      </w:pPr>
      <w:r>
        <w:rPr>
          <w:rFonts w:hint="eastAsia" w:ascii="宋体" w:hAnsi="宋体"/>
          <w:kern w:val="0"/>
          <w:sz w:val="22"/>
        </w:rPr>
        <w:t xml:space="preserve">1 类型 五类UTP电缆，每线对具有隔离的骨架结构，以保证系统的传输性能，紧护套结构以保证施工前后的性能保持一致。 </w:t>
      </w:r>
    </w:p>
    <w:p>
      <w:pPr>
        <w:rPr>
          <w:rFonts w:ascii="宋体" w:hAnsi="宋体"/>
          <w:kern w:val="0"/>
          <w:sz w:val="22"/>
        </w:rPr>
      </w:pPr>
      <w:r>
        <w:rPr>
          <w:rFonts w:hint="eastAsia" w:ascii="宋体" w:hAnsi="宋体"/>
          <w:kern w:val="0"/>
          <w:sz w:val="22"/>
        </w:rPr>
        <w:t xml:space="preserve">2 芯线规格 23 AWG </w:t>
      </w:r>
    </w:p>
    <w:p>
      <w:pPr>
        <w:rPr>
          <w:rFonts w:ascii="宋体" w:hAnsi="宋体"/>
          <w:kern w:val="0"/>
          <w:sz w:val="22"/>
        </w:rPr>
      </w:pPr>
      <w:r>
        <w:rPr>
          <w:rFonts w:hint="eastAsia" w:ascii="宋体" w:hAnsi="宋体"/>
          <w:kern w:val="0"/>
          <w:sz w:val="22"/>
        </w:rPr>
        <w:t xml:space="preserve">3 芯线对数 4对，每芯带有彩色护套 </w:t>
      </w:r>
    </w:p>
    <w:p>
      <w:pPr>
        <w:rPr>
          <w:rFonts w:ascii="宋体" w:hAnsi="宋体"/>
          <w:kern w:val="0"/>
          <w:sz w:val="22"/>
        </w:rPr>
      </w:pPr>
      <w:r>
        <w:rPr>
          <w:rFonts w:hint="eastAsia" w:ascii="宋体" w:hAnsi="宋体"/>
          <w:kern w:val="0"/>
          <w:sz w:val="22"/>
        </w:rPr>
        <w:t xml:space="preserve">4 标准 ISO/IEC 11801:2002 Ed2.0 </w:t>
      </w:r>
    </w:p>
    <w:p>
      <w:pPr>
        <w:rPr>
          <w:rFonts w:ascii="宋体" w:hAnsi="宋体"/>
          <w:kern w:val="0"/>
          <w:sz w:val="22"/>
        </w:rPr>
      </w:pPr>
      <w:r>
        <w:rPr>
          <w:rFonts w:hint="eastAsia" w:ascii="宋体" w:hAnsi="宋体"/>
          <w:kern w:val="0"/>
          <w:sz w:val="22"/>
        </w:rPr>
        <w:t xml:space="preserve">5 带宽 ≥ 250MHz </w:t>
      </w:r>
    </w:p>
    <w:p>
      <w:pPr>
        <w:rPr>
          <w:rFonts w:ascii="宋体" w:hAnsi="宋体"/>
          <w:kern w:val="0"/>
          <w:sz w:val="22"/>
        </w:rPr>
      </w:pPr>
      <w:r>
        <w:rPr>
          <w:rFonts w:hint="eastAsia" w:ascii="宋体" w:hAnsi="宋体"/>
          <w:kern w:val="0"/>
          <w:sz w:val="22"/>
        </w:rPr>
        <w:t xml:space="preserve">6 直流电阻 9.38W </w:t>
      </w:r>
    </w:p>
    <w:p>
      <w:pPr>
        <w:rPr>
          <w:rFonts w:ascii="宋体" w:hAnsi="宋体"/>
          <w:kern w:val="0"/>
          <w:sz w:val="22"/>
        </w:rPr>
      </w:pPr>
      <w:r>
        <w:rPr>
          <w:rFonts w:hint="eastAsia" w:ascii="宋体" w:hAnsi="宋体"/>
          <w:kern w:val="0"/>
          <w:sz w:val="22"/>
        </w:rPr>
        <w:t xml:space="preserve">7 特性阻抗 100W </w:t>
      </w:r>
    </w:p>
    <w:p>
      <w:pPr>
        <w:rPr>
          <w:rFonts w:ascii="宋体" w:hAnsi="宋体"/>
          <w:kern w:val="0"/>
          <w:sz w:val="22"/>
        </w:rPr>
      </w:pPr>
      <w:r>
        <w:rPr>
          <w:rFonts w:hint="eastAsia" w:ascii="宋体" w:hAnsi="宋体"/>
          <w:kern w:val="0"/>
          <w:sz w:val="22"/>
        </w:rPr>
        <w:t xml:space="preserve">8 护套 低烟无卤阻燃护套 </w:t>
      </w:r>
    </w:p>
    <w:p>
      <w:pPr>
        <w:rPr>
          <w:rFonts w:ascii="宋体" w:hAnsi="宋体"/>
          <w:sz w:val="22"/>
        </w:rPr>
      </w:pPr>
      <w:r>
        <w:rPr>
          <w:rFonts w:hint="eastAsia" w:ascii="宋体" w:hAnsi="宋体"/>
          <w:kern w:val="0"/>
          <w:sz w:val="22"/>
        </w:rPr>
        <w:t>9 认证 IEC60332-1，IEC 61034、IEC60754性能要求</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hint="eastAsia" w:ascii="宋体" w:hAnsi="宋体"/>
          <w:bCs w:val="0"/>
          <w:sz w:val="22"/>
          <w:szCs w:val="22"/>
        </w:rPr>
        <w:t>1.6.1.6 电源线</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hint="eastAsia" w:ascii="宋体" w:hAnsi="宋体"/>
          <w:bCs w:val="0"/>
          <w:sz w:val="22"/>
          <w:szCs w:val="22"/>
        </w:rPr>
        <w:t>可接受的标准化产品品牌为：爱谱华顿、春天、天诚同等或以上档次品牌。</w:t>
      </w:r>
    </w:p>
    <w:p>
      <w:pPr>
        <w:rPr>
          <w:rFonts w:ascii="宋体" w:hAnsi="宋体"/>
          <w:sz w:val="22"/>
        </w:rPr>
      </w:pPr>
      <w:r>
        <w:rPr>
          <w:rFonts w:hint="eastAsia" w:ascii="宋体" w:hAnsi="宋体"/>
          <w:sz w:val="22"/>
        </w:rPr>
        <w:t xml:space="preserve">序号 主要特征需求 </w:t>
      </w:r>
    </w:p>
    <w:p>
      <w:pPr>
        <w:rPr>
          <w:rFonts w:ascii="宋体" w:hAnsi="宋体"/>
          <w:sz w:val="22"/>
        </w:rPr>
      </w:pPr>
      <w:r>
        <w:rPr>
          <w:rFonts w:hint="eastAsia" w:ascii="宋体" w:hAnsi="宋体"/>
          <w:sz w:val="22"/>
        </w:rPr>
        <w:t> </w:t>
      </w:r>
      <w:r>
        <w:rPr>
          <w:rFonts w:ascii="宋体" w:hAnsi="宋体"/>
          <w:sz w:val="22"/>
        </w:rPr>
        <w:t xml:space="preserve"> RVV </w:t>
      </w:r>
    </w:p>
    <w:p>
      <w:pPr>
        <w:rPr>
          <w:rFonts w:ascii="宋体" w:hAnsi="宋体"/>
          <w:sz w:val="22"/>
        </w:rPr>
      </w:pPr>
      <w:r>
        <w:rPr>
          <w:rFonts w:hint="eastAsia" w:ascii="宋体" w:hAnsi="宋体"/>
          <w:sz w:val="22"/>
        </w:rPr>
        <w:t xml:space="preserve">1 采用PVC材料，低烟低卤，符合UL 1666要求 </w:t>
      </w:r>
    </w:p>
    <w:p>
      <w:pPr>
        <w:rPr>
          <w:rFonts w:ascii="宋体" w:hAnsi="宋体"/>
          <w:sz w:val="22"/>
        </w:rPr>
      </w:pPr>
      <w:r>
        <w:rPr>
          <w:rFonts w:hint="eastAsia" w:ascii="宋体" w:hAnsi="宋体"/>
          <w:sz w:val="22"/>
        </w:rPr>
        <w:t xml:space="preserve">2 护套：PVC，低烟低卤，符合UL 1666要求 </w:t>
      </w:r>
    </w:p>
    <w:p>
      <w:pPr>
        <w:rPr>
          <w:rFonts w:ascii="宋体" w:hAnsi="宋体"/>
          <w:sz w:val="22"/>
        </w:rPr>
      </w:pPr>
      <w:r>
        <w:rPr>
          <w:rFonts w:hint="eastAsia" w:ascii="宋体" w:hAnsi="宋体"/>
          <w:sz w:val="22"/>
        </w:rPr>
        <w:t xml:space="preserve">3 最大工作电压：≥300V（25℃） </w:t>
      </w:r>
    </w:p>
    <w:p>
      <w:pPr>
        <w:rPr>
          <w:rFonts w:ascii="宋体" w:hAnsi="宋体"/>
          <w:sz w:val="22"/>
        </w:rPr>
      </w:pPr>
      <w:r>
        <w:rPr>
          <w:rFonts w:hint="eastAsia" w:ascii="宋体" w:hAnsi="宋体"/>
          <w:sz w:val="22"/>
        </w:rPr>
        <w:t xml:space="preserve">4 最小弯曲率：≤电缆外径的6倍 </w:t>
      </w:r>
    </w:p>
    <w:p>
      <w:pPr>
        <w:rPr>
          <w:rFonts w:ascii="宋体" w:hAnsi="宋体"/>
          <w:sz w:val="22"/>
        </w:rPr>
      </w:pPr>
      <w:r>
        <w:rPr>
          <w:rFonts w:hint="eastAsia" w:ascii="宋体" w:hAnsi="宋体"/>
          <w:sz w:val="22"/>
        </w:rPr>
        <w:t>5 线缆耐压300V</w:t>
      </w:r>
    </w:p>
    <w:p>
      <w:pPr>
        <w:rPr>
          <w:rFonts w:ascii="宋体" w:hAnsi="宋体"/>
          <w:sz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hint="eastAsia" w:ascii="宋体" w:hAnsi="宋体"/>
          <w:bCs w:val="0"/>
          <w:sz w:val="22"/>
          <w:szCs w:val="22"/>
        </w:rPr>
        <w:t>1.6.1.7光缆</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ascii="宋体" w:hAnsi="宋体"/>
          <w:bCs w:val="0"/>
          <w:sz w:val="22"/>
          <w:szCs w:val="22"/>
        </w:rPr>
        <w:t>可接受的标准化产品品牌为：劳兰</w:t>
      </w:r>
      <w:r>
        <w:rPr>
          <w:rFonts w:hint="eastAsia" w:ascii="宋体" w:hAnsi="宋体"/>
          <w:bCs w:val="0"/>
          <w:sz w:val="22"/>
          <w:szCs w:val="22"/>
        </w:rPr>
        <w:t>、</w:t>
      </w:r>
      <w:r>
        <w:rPr>
          <w:rFonts w:ascii="宋体" w:hAnsi="宋体"/>
          <w:bCs w:val="0"/>
          <w:sz w:val="22"/>
          <w:szCs w:val="22"/>
        </w:rPr>
        <w:t>南方</w:t>
      </w:r>
      <w:r>
        <w:rPr>
          <w:rFonts w:hint="eastAsia" w:ascii="宋体" w:hAnsi="宋体"/>
          <w:bCs w:val="0"/>
          <w:sz w:val="22"/>
          <w:szCs w:val="22"/>
        </w:rPr>
        <w:t>、</w:t>
      </w:r>
      <w:r>
        <w:rPr>
          <w:rFonts w:ascii="宋体" w:hAnsi="宋体"/>
          <w:bCs w:val="0"/>
          <w:sz w:val="22"/>
          <w:szCs w:val="22"/>
        </w:rPr>
        <w:t>中天</w:t>
      </w:r>
      <w:r>
        <w:rPr>
          <w:rFonts w:hint="eastAsia" w:ascii="宋体" w:hAnsi="宋体"/>
          <w:bCs w:val="0"/>
          <w:sz w:val="22"/>
          <w:szCs w:val="22"/>
        </w:rPr>
        <w:t>同等或以上</w:t>
      </w:r>
      <w:r>
        <w:rPr>
          <w:rFonts w:ascii="宋体" w:hAnsi="宋体"/>
          <w:bCs w:val="0"/>
          <w:sz w:val="22"/>
          <w:szCs w:val="22"/>
        </w:rPr>
        <w:t>档次品牌。</w:t>
      </w:r>
    </w:p>
    <w:p>
      <w:r>
        <w:rPr>
          <w:rFonts w:hint="eastAsia"/>
        </w:rPr>
        <w:t xml:space="preserve">序号 主要特征需求 </w:t>
      </w:r>
    </w:p>
    <w:p>
      <w:r>
        <w:rPr>
          <w:rFonts w:hint="eastAsia"/>
        </w:rPr>
        <w:t xml:space="preserve">1 光缆护套采用低烟无卤阻燃材料 </w:t>
      </w:r>
    </w:p>
    <w:p>
      <w:r>
        <w:rPr>
          <w:rFonts w:hint="eastAsia"/>
        </w:rPr>
        <w:t xml:space="preserve">2 符合GB/T 7424.3-2003。光纤传输损耗小、色散低 </w:t>
      </w:r>
    </w:p>
    <w:p>
      <w:r>
        <w:rPr>
          <w:rFonts w:hint="eastAsia"/>
        </w:rPr>
        <w:t xml:space="preserve">3 光缆具有优良的机械性能和环境性能 </w:t>
      </w:r>
    </w:p>
    <w:p>
      <w:r>
        <w:rPr>
          <w:rFonts w:hint="eastAsia"/>
        </w:rPr>
        <w:t xml:space="preserve">4 光缆结构紧凑，钢带与松套管之间热熔胶粘为一体，确保光缆防潮、阻水效果，保证光缆敷设后，松套管无回缩，重量轻，敷设方便 </w:t>
      </w:r>
    </w:p>
    <w:p>
      <w:r>
        <w:rPr>
          <w:rFonts w:hint="eastAsia"/>
        </w:rPr>
        <w:t>5 光缆柔韧性和抗弯曲能力优良</w:t>
      </w:r>
    </w:p>
    <w:bookmarkEnd w:id="302"/>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hint="eastAsia" w:ascii="宋体" w:hAnsi="宋体"/>
          <w:bCs w:val="0"/>
          <w:sz w:val="22"/>
          <w:szCs w:val="22"/>
        </w:rPr>
        <w:t>1.6.1.8硬盘</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rFonts w:hint="eastAsia" w:ascii="宋体" w:hAnsi="宋体"/>
          <w:bCs w:val="0"/>
          <w:sz w:val="22"/>
          <w:szCs w:val="22"/>
        </w:rPr>
        <w:t xml:space="preserve">  可接受标准化产品品牌为：希捷、西数同等或以上档次品牌。要求企业监控级硬盘</w:t>
      </w:r>
    </w:p>
    <w:p/>
    <w:p>
      <w:pPr>
        <w:pStyle w:val="6"/>
        <w:keepNext w:val="0"/>
        <w:tabs>
          <w:tab w:val="left" w:pos="720"/>
          <w:tab w:val="left" w:pos="1080"/>
          <w:tab w:val="left" w:pos="1968"/>
        </w:tabs>
        <w:adjustRightInd w:val="0"/>
        <w:snapToGrid w:val="0"/>
        <w:ind w:left="1080" w:right="2" w:rightChars="1" w:hanging="1080"/>
        <w:rPr>
          <w:rFonts w:ascii="宋体" w:hAnsi="宋体"/>
          <w:bCs w:val="0"/>
          <w:sz w:val="22"/>
          <w:szCs w:val="22"/>
        </w:rPr>
      </w:pPr>
      <w:r>
        <w:rPr>
          <w:rFonts w:hint="eastAsia" w:ascii="宋体" w:hAnsi="宋体"/>
          <w:bCs w:val="0"/>
          <w:sz w:val="22"/>
          <w:szCs w:val="22"/>
        </w:rPr>
        <w:t>1.6.1.9安防箱</w:t>
      </w:r>
    </w:p>
    <w:p>
      <w:r>
        <w:rPr>
          <w:rFonts w:hint="eastAsia"/>
        </w:rPr>
        <w:t xml:space="preserve">序号 主要特征需求 </w:t>
      </w:r>
    </w:p>
    <w:p>
      <w:r>
        <w:rPr>
          <w:rFonts w:hint="eastAsia"/>
        </w:rPr>
        <w:t xml:space="preserve">1 材质 不锈钢 </w:t>
      </w:r>
    </w:p>
    <w:p/>
    <w:p>
      <w:pPr>
        <w:pStyle w:val="6"/>
        <w:keepNext w:val="0"/>
        <w:tabs>
          <w:tab w:val="left" w:pos="720"/>
          <w:tab w:val="left" w:pos="1080"/>
          <w:tab w:val="left" w:pos="1968"/>
        </w:tabs>
        <w:adjustRightInd w:val="0"/>
        <w:snapToGrid w:val="0"/>
        <w:spacing w:line="360" w:lineRule="auto"/>
        <w:ind w:left="1080" w:right="2" w:rightChars="1" w:hanging="1080"/>
        <w:rPr>
          <w:rFonts w:ascii="宋体" w:hAnsi="宋体"/>
          <w:bCs w:val="0"/>
          <w:sz w:val="22"/>
          <w:szCs w:val="22"/>
        </w:rPr>
      </w:pPr>
    </w:p>
    <w:p>
      <w:pPr>
        <w:pStyle w:val="6"/>
        <w:keepNext w:val="0"/>
        <w:tabs>
          <w:tab w:val="left" w:pos="720"/>
          <w:tab w:val="left" w:pos="1080"/>
          <w:tab w:val="left" w:pos="1968"/>
        </w:tabs>
        <w:adjustRightInd w:val="0"/>
        <w:snapToGrid w:val="0"/>
        <w:spacing w:line="360" w:lineRule="auto"/>
        <w:ind w:left="1080" w:right="2" w:rightChars="1" w:hanging="1080"/>
        <w:rPr>
          <w:rFonts w:ascii="宋体" w:hAnsi="宋体"/>
          <w:bCs w:val="0"/>
          <w:sz w:val="22"/>
          <w:szCs w:val="22"/>
        </w:rPr>
      </w:pPr>
      <w:r>
        <w:rPr>
          <w:rFonts w:hint="eastAsia" w:ascii="宋体" w:hAnsi="宋体"/>
          <w:bCs w:val="0"/>
          <w:sz w:val="22"/>
          <w:szCs w:val="22"/>
        </w:rPr>
        <w:t>1.6.1.10接入层工业交换机</w:t>
      </w:r>
    </w:p>
    <w:p>
      <w:pPr>
        <w:spacing w:line="360" w:lineRule="auto"/>
        <w:rPr>
          <w:b/>
          <w:bCs/>
          <w:color w:val="000000"/>
          <w:sz w:val="22"/>
        </w:rPr>
      </w:pPr>
      <w:r>
        <w:rPr>
          <w:rFonts w:hint="eastAsia"/>
        </w:rPr>
        <w:t xml:space="preserve"> </w:t>
      </w:r>
      <w:r>
        <w:rPr>
          <w:rFonts w:hint="eastAsia"/>
          <w:b/>
          <w:sz w:val="22"/>
        </w:rPr>
        <w:t xml:space="preserve"> 可接受标准化产品品牌为：</w:t>
      </w:r>
      <w:r>
        <w:rPr>
          <w:rFonts w:hint="eastAsia"/>
          <w:b/>
          <w:bCs/>
          <w:color w:val="000000"/>
          <w:sz w:val="22"/>
        </w:rPr>
        <w:t>华三、思科</w:t>
      </w:r>
      <w:r>
        <w:rPr>
          <w:rFonts w:hint="eastAsia" w:ascii="宋体" w:hAnsi="宋体"/>
          <w:b/>
          <w:bCs/>
          <w:color w:val="000000"/>
          <w:sz w:val="22"/>
        </w:rPr>
        <w:t>同</w:t>
      </w:r>
      <w:r>
        <w:rPr>
          <w:rFonts w:hint="eastAsia" w:ascii="宋体" w:hAnsi="宋体"/>
          <w:b/>
          <w:sz w:val="22"/>
        </w:rPr>
        <w:t>等或以上</w:t>
      </w:r>
      <w:r>
        <w:rPr>
          <w:rFonts w:hint="eastAsia"/>
          <w:b/>
          <w:bCs/>
          <w:color w:val="000000"/>
          <w:sz w:val="22"/>
        </w:rPr>
        <w:t>档次品牌。</w:t>
      </w:r>
    </w:p>
    <w:p>
      <w:pPr>
        <w:rPr>
          <w:bCs/>
          <w:color w:val="000000"/>
          <w:sz w:val="22"/>
        </w:rPr>
      </w:pPr>
      <w:r>
        <w:rPr>
          <w:rFonts w:hint="eastAsia"/>
          <w:bCs/>
          <w:color w:val="000000"/>
          <w:sz w:val="22"/>
        </w:rPr>
        <w:t xml:space="preserve">功能及技术指标 参数要求 备注 </w:t>
      </w:r>
    </w:p>
    <w:p>
      <w:pPr>
        <w:rPr>
          <w:bCs/>
          <w:color w:val="000000"/>
          <w:sz w:val="22"/>
        </w:rPr>
      </w:pPr>
      <w:r>
        <w:rPr>
          <w:rFonts w:hint="eastAsia"/>
          <w:bCs/>
          <w:color w:val="000000"/>
          <w:sz w:val="22"/>
        </w:rPr>
        <w:t xml:space="preserve">交换容量 &gt;=32Gbps   </w:t>
      </w:r>
    </w:p>
    <w:p>
      <w:pPr>
        <w:rPr>
          <w:bCs/>
          <w:color w:val="000000"/>
          <w:sz w:val="22"/>
        </w:rPr>
      </w:pPr>
      <w:r>
        <w:rPr>
          <w:rFonts w:hint="eastAsia"/>
          <w:bCs/>
          <w:color w:val="000000"/>
          <w:sz w:val="22"/>
        </w:rPr>
        <w:t xml:space="preserve">转发性能 &gt;=7.2Mpps    </w:t>
      </w:r>
    </w:p>
    <w:p>
      <w:pPr>
        <w:rPr>
          <w:bCs/>
          <w:color w:val="000000"/>
          <w:sz w:val="22"/>
        </w:rPr>
      </w:pPr>
      <w:r>
        <w:rPr>
          <w:rFonts w:hint="eastAsia"/>
          <w:bCs/>
          <w:color w:val="000000"/>
          <w:sz w:val="22"/>
        </w:rPr>
        <w:t xml:space="preserve">要求整机达全线速转发能力   </w:t>
      </w:r>
    </w:p>
    <w:p>
      <w:pPr>
        <w:rPr>
          <w:bCs/>
          <w:color w:val="000000"/>
          <w:sz w:val="22"/>
        </w:rPr>
      </w:pPr>
      <w:r>
        <w:rPr>
          <w:rFonts w:hint="eastAsia"/>
          <w:bCs/>
          <w:color w:val="000000"/>
          <w:sz w:val="22"/>
        </w:rPr>
        <w:t>接口类型 可用千兆接口数量&gt;=8</w:t>
      </w:r>
    </w:p>
    <w:p>
      <w:pPr>
        <w:rPr>
          <w:sz w:val="22"/>
        </w:rPr>
      </w:pPr>
    </w:p>
    <w:p>
      <w:pPr>
        <w:rPr>
          <w:rFonts w:ascii="宋体" w:hAnsi="宋体"/>
          <w:sz w:val="22"/>
        </w:rPr>
      </w:pPr>
      <w:r>
        <w:rPr>
          <w:rFonts w:hint="eastAsia" w:ascii="宋体" w:hAnsi="宋体"/>
          <w:sz w:val="22"/>
        </w:rPr>
        <w:t xml:space="preserve">  </w:t>
      </w:r>
    </w:p>
    <w:p/>
    <w:p>
      <w:pPr>
        <w:pStyle w:val="5"/>
        <w:keepNext w:val="0"/>
        <w:keepLines w:val="0"/>
        <w:tabs>
          <w:tab w:val="left" w:pos="900"/>
          <w:tab w:val="left" w:pos="1584"/>
        </w:tabs>
        <w:snapToGrid w:val="0"/>
        <w:spacing w:before="0" w:after="0" w:line="360" w:lineRule="auto"/>
        <w:ind w:left="1584" w:right="2" w:rightChars="1" w:hanging="1584"/>
        <w:rPr>
          <w:rFonts w:ascii="宋体" w:hAnsi="宋体" w:eastAsia="宋体" w:cs="宋体"/>
          <w:sz w:val="22"/>
          <w:szCs w:val="22"/>
        </w:rPr>
      </w:pPr>
      <w:r>
        <w:rPr>
          <w:rFonts w:ascii="宋体" w:hAnsi="宋体" w:eastAsia="宋体" w:cs="宋体"/>
          <w:sz w:val="22"/>
          <w:szCs w:val="22"/>
        </w:rPr>
        <w:t>1.6.2</w:t>
      </w:r>
      <w:r>
        <w:rPr>
          <w:rFonts w:hint="eastAsia" w:ascii="宋体" w:hAnsi="宋体" w:eastAsia="宋体" w:cs="宋体"/>
          <w:sz w:val="22"/>
          <w:szCs w:val="22"/>
        </w:rPr>
        <w:t>工作制度和施工要求</w:t>
      </w:r>
    </w:p>
    <w:p>
      <w:pPr>
        <w:spacing w:line="360" w:lineRule="auto"/>
        <w:ind w:firstLine="454"/>
        <w:rPr>
          <w:rFonts w:ascii="宋体" w:hAnsi="宋体" w:cs="宋体"/>
          <w:sz w:val="22"/>
        </w:rPr>
      </w:pPr>
      <w:r>
        <w:rPr>
          <w:rFonts w:hint="eastAsia" w:ascii="宋体" w:hAnsi="宋体" w:cs="宋体"/>
          <w:sz w:val="22"/>
        </w:rPr>
        <w:t>杭州萧山国际机场工作制度为365天∕24小时。</w:t>
      </w:r>
    </w:p>
    <w:p>
      <w:pPr>
        <w:spacing w:line="360" w:lineRule="auto"/>
        <w:ind w:firstLine="440" w:firstLineChars="200"/>
        <w:rPr>
          <w:rFonts w:ascii="宋体" w:hAnsi="宋体" w:cs="宋体"/>
          <w:sz w:val="22"/>
        </w:rPr>
      </w:pPr>
      <w:r>
        <w:rPr>
          <w:rFonts w:hint="eastAsia" w:ascii="宋体" w:hAnsi="宋体" w:cs="宋体"/>
          <w:sz w:val="22"/>
        </w:rPr>
        <w:t>由于本工程施工地点属于航空货站隔离区域，涉及空防安全，施工必须严格遵守民航局及杭州萧山国际机场不停航施工管理规定，所采用的任务设备、仪器和施工工艺不得对机场安全运行造成影响。所以，投标人应充分重视施工中的工程管理和施工组织，并充分考虑由此给施工带来的困难。</w:t>
      </w:r>
    </w:p>
    <w:p>
      <w:pPr>
        <w:spacing w:line="360" w:lineRule="auto"/>
        <w:ind w:firstLine="440" w:firstLineChars="200"/>
        <w:rPr>
          <w:rFonts w:ascii="宋体" w:hAnsi="宋体" w:cs="宋体"/>
          <w:sz w:val="22"/>
        </w:rPr>
      </w:pPr>
      <w:r>
        <w:rPr>
          <w:rFonts w:hint="eastAsia" w:ascii="宋体" w:hAnsi="宋体" w:cs="宋体"/>
          <w:sz w:val="22"/>
        </w:rPr>
        <w:t>施工道路：所有人员必须按招标人指定的进出场路口进出，并不得违反。</w:t>
      </w:r>
    </w:p>
    <w:p>
      <w:pPr>
        <w:spacing w:line="360" w:lineRule="auto"/>
        <w:ind w:firstLine="440" w:firstLineChars="200"/>
        <w:rPr>
          <w:rFonts w:ascii="宋体" w:hAnsi="宋体" w:cs="宋体"/>
          <w:sz w:val="22"/>
        </w:rPr>
      </w:pPr>
      <w:r>
        <w:rPr>
          <w:rFonts w:hint="eastAsia" w:ascii="宋体" w:hAnsi="宋体" w:cs="宋体"/>
          <w:sz w:val="22"/>
        </w:rPr>
        <w:t>施工临时设施：报价人根据现场情况及招标文件要求，综合考虑施工生产临时设施(包括仓库、料场)。所有的施工生产临时设施的方案需经招标人批准后方可实施。</w:t>
      </w:r>
    </w:p>
    <w:p>
      <w:pPr>
        <w:spacing w:line="360" w:lineRule="auto"/>
        <w:rPr>
          <w:rFonts w:ascii="宋体" w:hAnsi="宋体" w:cs="宋体"/>
          <w:b/>
          <w:kern w:val="0"/>
          <w:sz w:val="22"/>
        </w:rPr>
      </w:pPr>
      <w:r>
        <w:rPr>
          <w:rFonts w:hint="eastAsia" w:ascii="宋体" w:hAnsi="宋体" w:cs="宋体"/>
          <w:b/>
          <w:kern w:val="0"/>
          <w:sz w:val="22"/>
        </w:rPr>
        <w:t>1.6.2.1线缆敷设</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所有弱电管路、线槽（或桥架）及弱电终端设备施工、安装均应按相应弱电规范要求与强电保持足够的间距。</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平面图中由弱电井引出的管路、线槽均按弱电井详图对应系统位置整齐连接到位。</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施工中遇管线过长,须加中间过路盒,图中未注明处须按施工规范施工。</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所有穿越防火分区的管、槽施工完毕后需做防火封堵处理。</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所有弱电管路、线槽在相应设备未到位时，仅埋（敷）管路。</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电线暗配管保护层应沿最近的路线敷设并减少弯曲。与建筑物、构筑物表面的距离不应小于150mm。</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弯曲处，不应有折皱、凹陷和裂缝，且弯扁程度不应大于管外径的10%。</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暗配管的弯曲半径应符合下列规定：弯曲半径不应小于管外径的6倍，当埋设砼内时，其弯曲半径不应小于管外径的10倍。</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当暗配管遇以下情况之一时，中间应增设接线盒，且接线盒的位置应便于穿线:管长度每超过30m，</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无弯曲；管长度每超过20m，有一个弯曲；管长度每超过15m，有二个弯曲；管长度每超过8m，有三个弯曲。</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管口应平整，光滑；接口应牢固密封。</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机柜、控制台内的线缆应排列整齐，并绑扎在机柜内的布线槽内，同时做出标识。线缆的敷设不得影响机柜门的开启或关闭、设备的更换</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线缆的排列应避免交叉。线缆布放时长度应有冗余。在前端设备安装位置、设备间的铜缆的预留长度一般为1m～2m，光缆在设备端预留长度至少为5m。有特殊要求的应按设计要求预留长度。</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除非已进入设备机柜，所有线缆必须放置于线槽、线管内，不得外露。线管的接续必须按照工艺标准视现场情况使用压接接头和过线盒。</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所有管路应做接地处理。</w:t>
      </w:r>
      <w:bookmarkStart w:id="303" w:name="_Toc118771464"/>
      <w:bookmarkStart w:id="304" w:name="_Toc119378314"/>
      <w:bookmarkStart w:id="305" w:name="_Toc119378502"/>
      <w:bookmarkStart w:id="306" w:name="_Toc123028558"/>
      <w:bookmarkStart w:id="307" w:name="_Toc127347671"/>
      <w:bookmarkStart w:id="308" w:name="_Toc119504328"/>
      <w:bookmarkStart w:id="309" w:name="_Toc214178012"/>
      <w:bookmarkStart w:id="310" w:name="_Toc118214040"/>
      <w:bookmarkStart w:id="311" w:name="_Toc392056822"/>
      <w:bookmarkStart w:id="312" w:name="_Toc107586453"/>
      <w:bookmarkStart w:id="313" w:name="_Toc122958957"/>
      <w:bookmarkStart w:id="314" w:name="_Toc119258153"/>
      <w:bookmarkStart w:id="315" w:name="_Toc124561192"/>
    </w:p>
    <w:p>
      <w:pPr>
        <w:spacing w:line="360" w:lineRule="auto"/>
        <w:rPr>
          <w:rFonts w:ascii="宋体" w:hAnsi="宋体" w:cs="宋体"/>
          <w:b/>
          <w:sz w:val="22"/>
        </w:rPr>
      </w:pPr>
      <w:r>
        <w:rPr>
          <w:rFonts w:hint="eastAsia" w:ascii="宋体" w:hAnsi="宋体" w:cs="宋体"/>
          <w:b/>
          <w:kern w:val="0"/>
          <w:sz w:val="22"/>
        </w:rPr>
        <w:t>1.6.2.2</w:t>
      </w:r>
      <w:r>
        <w:rPr>
          <w:rFonts w:hint="eastAsia" w:ascii="宋体" w:hAnsi="宋体" w:cs="宋体"/>
          <w:b/>
          <w:sz w:val="22"/>
        </w:rPr>
        <w:t>接地</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投标人须保证所提供的设备都能可靠接地，并负责实施。所有接地线应采用多股铜线或铜带，与机房设备的接地点端接。</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所有接地要求符合TIA/EIA-607标准。</w:t>
      </w:r>
    </w:p>
    <w:p>
      <w:pPr>
        <w:pStyle w:val="6"/>
        <w:keepNext w:val="0"/>
        <w:keepLines w:val="0"/>
        <w:numPr>
          <w:ilvl w:val="0"/>
          <w:numId w:val="7"/>
        </w:numPr>
        <w:tabs>
          <w:tab w:val="left" w:pos="720"/>
          <w:tab w:val="left" w:pos="1080"/>
          <w:tab w:val="left" w:pos="1968"/>
        </w:tabs>
        <w:adjustRightInd w:val="0"/>
        <w:snapToGrid w:val="0"/>
        <w:spacing w:before="0" w:after="0" w:line="360" w:lineRule="auto"/>
        <w:ind w:right="2" w:rightChars="1"/>
        <w:rPr>
          <w:rFonts w:ascii="宋体" w:hAnsi="宋体"/>
          <w:b w:val="0"/>
          <w:bCs w:val="0"/>
          <w:sz w:val="22"/>
          <w:szCs w:val="22"/>
        </w:rPr>
      </w:pPr>
      <w:r>
        <w:rPr>
          <w:rFonts w:ascii="宋体" w:hAnsi="宋体"/>
          <w:b w:val="0"/>
          <w:bCs w:val="0"/>
          <w:sz w:val="22"/>
          <w:szCs w:val="22"/>
        </w:rPr>
        <w:t>室外设备接地电阻不得大于4Ω。</w:t>
      </w:r>
    </w:p>
    <w:p>
      <w:pPr>
        <w:pStyle w:val="5"/>
        <w:keepNext w:val="0"/>
        <w:keepLines w:val="0"/>
        <w:tabs>
          <w:tab w:val="left" w:pos="900"/>
          <w:tab w:val="left" w:pos="1584"/>
        </w:tabs>
        <w:snapToGrid w:val="0"/>
        <w:spacing w:before="0" w:after="0" w:line="360" w:lineRule="auto"/>
        <w:ind w:left="1584" w:right="2" w:rightChars="1" w:hanging="1584"/>
        <w:rPr>
          <w:rFonts w:ascii="宋体" w:hAnsi="宋体" w:eastAsia="宋体" w:cs="宋体"/>
          <w:sz w:val="22"/>
          <w:szCs w:val="22"/>
        </w:rPr>
      </w:pPr>
      <w:bookmarkStart w:id="316" w:name="_Toc430266657"/>
      <w:bookmarkStart w:id="317" w:name="OLE_LINK12"/>
      <w:r>
        <w:rPr>
          <w:rFonts w:ascii="宋体" w:hAnsi="宋体" w:eastAsia="宋体" w:cs="宋体"/>
          <w:sz w:val="22"/>
          <w:szCs w:val="22"/>
        </w:rPr>
        <w:t>1.6</w:t>
      </w:r>
      <w:r>
        <w:rPr>
          <w:rFonts w:hint="eastAsia" w:ascii="宋体" w:hAnsi="宋体" w:eastAsia="宋体" w:cs="宋体"/>
          <w:sz w:val="22"/>
          <w:szCs w:val="22"/>
        </w:rPr>
        <w:t>.</w:t>
      </w:r>
      <w:r>
        <w:rPr>
          <w:rFonts w:ascii="宋体" w:hAnsi="宋体" w:eastAsia="宋体" w:cs="宋体"/>
          <w:sz w:val="22"/>
          <w:szCs w:val="22"/>
        </w:rPr>
        <w:t>3</w:t>
      </w:r>
      <w:r>
        <w:rPr>
          <w:rFonts w:hint="eastAsia" w:ascii="宋体" w:hAnsi="宋体" w:eastAsia="宋体" w:cs="宋体"/>
          <w:sz w:val="22"/>
          <w:szCs w:val="22"/>
        </w:rPr>
        <w:t>不停航施工方案</w:t>
      </w:r>
      <w:bookmarkEnd w:id="316"/>
    </w:p>
    <w:bookmarkEnd w:id="317"/>
    <w:p>
      <w:pPr>
        <w:spacing w:line="360" w:lineRule="auto"/>
        <w:ind w:firstLine="440" w:firstLineChars="200"/>
        <w:rPr>
          <w:rFonts w:ascii="宋体" w:hAnsi="宋体" w:cs="宋体"/>
          <w:b/>
          <w:sz w:val="22"/>
        </w:rPr>
      </w:pPr>
      <w:r>
        <w:rPr>
          <w:rFonts w:hint="eastAsia" w:ascii="宋体" w:hAnsi="宋体" w:cs="Arial"/>
          <w:kern w:val="0"/>
          <w:sz w:val="22"/>
        </w:rPr>
        <w:t>航空物流有限公司2019年海关监管库监控改造项目</w:t>
      </w:r>
      <w:r>
        <w:rPr>
          <w:rFonts w:hint="eastAsia" w:ascii="宋体" w:hAnsi="宋体" w:cs="宋体"/>
          <w:sz w:val="22"/>
        </w:rPr>
        <w:t>是在机场不关闭且航班计划不变的情况下实施的，为确保飞行安全和航班正常，</w:t>
      </w:r>
      <w:r>
        <w:rPr>
          <w:rFonts w:hint="eastAsia" w:ascii="宋体" w:hAnsi="宋体" w:cs="宋体"/>
          <w:b/>
          <w:sz w:val="22"/>
        </w:rPr>
        <w:t>投标人应按照民航局第191令颁布实施的《民用机场运行安全管理规定》（CCAR－140）的要求，制定本次施工的不停航施工方案。</w:t>
      </w:r>
    </w:p>
    <w:p>
      <w:pPr>
        <w:spacing w:line="360" w:lineRule="auto"/>
        <w:rPr>
          <w:rFonts w:ascii="宋体" w:hAnsi="宋体" w:cs="宋体"/>
          <w:sz w:val="22"/>
        </w:rPr>
      </w:pPr>
      <w:r>
        <w:rPr>
          <w:rFonts w:hint="eastAsia" w:ascii="宋体" w:hAnsi="宋体" w:cs="宋体"/>
          <w:b/>
          <w:sz w:val="22"/>
        </w:rPr>
        <w:t>1.6.3.1</w:t>
      </w:r>
      <w:r>
        <w:rPr>
          <w:rFonts w:hint="eastAsia" w:ascii="宋体" w:hAnsi="宋体" w:cs="宋体"/>
          <w:sz w:val="22"/>
        </w:rPr>
        <w:t>对施工区域应实行封闭式施工管理，航班运行期间，任何施工机具，车辆不得超出障碍物限制面。</w:t>
      </w:r>
    </w:p>
    <w:p>
      <w:pPr>
        <w:spacing w:line="360" w:lineRule="auto"/>
        <w:rPr>
          <w:rFonts w:ascii="宋体" w:hAnsi="宋体" w:cs="宋体"/>
          <w:sz w:val="22"/>
        </w:rPr>
      </w:pPr>
      <w:r>
        <w:rPr>
          <w:rFonts w:hint="eastAsia" w:ascii="宋体" w:hAnsi="宋体" w:cs="宋体"/>
          <w:b/>
          <w:sz w:val="22"/>
        </w:rPr>
        <w:t>1.6.3.2</w:t>
      </w:r>
      <w:r>
        <w:rPr>
          <w:rFonts w:hint="eastAsia" w:ascii="宋体" w:hAnsi="宋体" w:cs="宋体"/>
          <w:sz w:val="22"/>
        </w:rPr>
        <w:t>施工材料及施工垃圾应采取有效措施避免被风或飞机尾气吹入飞行区或停机坪。</w:t>
      </w:r>
    </w:p>
    <w:p>
      <w:pPr>
        <w:spacing w:line="360" w:lineRule="auto"/>
        <w:rPr>
          <w:rFonts w:ascii="宋体" w:hAnsi="宋体" w:cs="宋体"/>
          <w:sz w:val="22"/>
        </w:rPr>
      </w:pPr>
      <w:r>
        <w:rPr>
          <w:rFonts w:hint="eastAsia" w:ascii="宋体" w:hAnsi="宋体" w:cs="宋体"/>
          <w:b/>
          <w:sz w:val="22"/>
        </w:rPr>
        <w:t>1.6.3.3</w:t>
      </w:r>
      <w:r>
        <w:rPr>
          <w:rFonts w:hint="eastAsia" w:ascii="宋体" w:hAnsi="宋体" w:cs="宋体"/>
          <w:sz w:val="22"/>
        </w:rPr>
        <w:t>投标人应在投标文件中明确设立一名专职安全负责人，负责不停航施工期间的安全管理工作。</w:t>
      </w:r>
    </w:p>
    <w:p>
      <w:pPr>
        <w:spacing w:line="360" w:lineRule="auto"/>
        <w:rPr>
          <w:rFonts w:ascii="宋体" w:hAnsi="宋体" w:cs="宋体"/>
          <w:sz w:val="22"/>
        </w:rPr>
      </w:pPr>
      <w:r>
        <w:rPr>
          <w:rFonts w:hint="eastAsia" w:ascii="宋体" w:hAnsi="宋体" w:cs="宋体"/>
          <w:b/>
          <w:sz w:val="22"/>
        </w:rPr>
        <w:t>1.6.3.4</w:t>
      </w:r>
      <w:r>
        <w:rPr>
          <w:rFonts w:hint="eastAsia" w:ascii="宋体" w:hAnsi="宋体" w:cs="宋体"/>
          <w:sz w:val="22"/>
        </w:rPr>
        <w:t>投标人应充分考虑不停航施工及采取各种保障飞行安全措施引起的各类必要的费用及时间需求，不得以此为理由要求业主增加费用和延长工期。</w:t>
      </w:r>
    </w:p>
    <w:p>
      <w:pPr>
        <w:spacing w:line="360" w:lineRule="auto"/>
        <w:rPr>
          <w:rFonts w:ascii="宋体" w:hAnsi="宋体" w:cs="宋体"/>
          <w:sz w:val="22"/>
        </w:rPr>
      </w:pPr>
      <w:r>
        <w:rPr>
          <w:rFonts w:hint="eastAsia" w:ascii="宋体" w:hAnsi="宋体" w:cs="宋体"/>
          <w:b/>
          <w:sz w:val="22"/>
        </w:rPr>
        <w:t>1.6.3.5</w:t>
      </w:r>
      <w:r>
        <w:rPr>
          <w:rFonts w:hint="eastAsia" w:ascii="宋体" w:hAnsi="宋体" w:cs="宋体"/>
          <w:sz w:val="22"/>
        </w:rPr>
        <w:t>投标人应充分了解机场隔离区管理规定，提前做好车辆、人员进入隔离区的证件办理工作，不得以此为理由要求业主增加费用和延长工期。</w:t>
      </w:r>
    </w:p>
    <w:p>
      <w:pPr>
        <w:pStyle w:val="3"/>
        <w:keepNext w:val="0"/>
        <w:keepLines w:val="0"/>
        <w:tabs>
          <w:tab w:val="left" w:pos="576"/>
        </w:tabs>
        <w:spacing w:before="0" w:after="0"/>
        <w:ind w:left="576" w:hanging="576"/>
        <w:jc w:val="both"/>
        <w:rPr>
          <w:rFonts w:ascii="Times New Roman" w:hAnsi="Times New Roman"/>
          <w:sz w:val="30"/>
          <w:szCs w:val="30"/>
        </w:rPr>
      </w:pPr>
      <w:r>
        <w:rPr>
          <w:rFonts w:ascii="Times New Roman" w:hAnsi="Times New Roman"/>
          <w:sz w:val="30"/>
          <w:szCs w:val="30"/>
        </w:rPr>
        <w:t>1.7</w:t>
      </w:r>
      <w:r>
        <w:rPr>
          <w:rFonts w:hint="eastAsia" w:ascii="Times New Roman" w:hAnsi="Times New Roman" w:cs="宋体"/>
          <w:sz w:val="30"/>
          <w:szCs w:val="30"/>
        </w:rPr>
        <w:t>合同签定后的工作任务及要求</w:t>
      </w:r>
      <w:bookmarkEnd w:id="303"/>
      <w:bookmarkEnd w:id="304"/>
      <w:bookmarkEnd w:id="305"/>
      <w:bookmarkEnd w:id="306"/>
      <w:bookmarkEnd w:id="307"/>
      <w:bookmarkEnd w:id="308"/>
      <w:bookmarkEnd w:id="309"/>
      <w:bookmarkEnd w:id="310"/>
      <w:bookmarkEnd w:id="311"/>
      <w:bookmarkEnd w:id="312"/>
      <w:bookmarkEnd w:id="313"/>
      <w:bookmarkEnd w:id="314"/>
      <w:bookmarkEnd w:id="315"/>
    </w:p>
    <w:p>
      <w:pPr>
        <w:pStyle w:val="4"/>
        <w:keepNext w:val="0"/>
        <w:numPr>
          <w:ilvl w:val="0"/>
          <w:numId w:val="0"/>
        </w:numPr>
        <w:tabs>
          <w:tab w:val="left" w:pos="720"/>
        </w:tabs>
        <w:snapToGrid w:val="0"/>
        <w:spacing w:line="360" w:lineRule="auto"/>
        <w:ind w:right="2" w:rightChars="1"/>
        <w:rPr>
          <w:rFonts w:hAnsi="宋体"/>
          <w:bCs/>
          <w:sz w:val="22"/>
          <w:szCs w:val="22"/>
        </w:rPr>
      </w:pPr>
      <w:r>
        <w:rPr>
          <w:rFonts w:hAnsi="宋体"/>
          <w:bCs/>
          <w:sz w:val="22"/>
          <w:szCs w:val="22"/>
        </w:rPr>
        <w:t>1.7.1</w:t>
      </w:r>
      <w:r>
        <w:rPr>
          <w:rFonts w:hint="eastAsia" w:hAnsi="宋体" w:cs="宋体"/>
          <w:bCs/>
          <w:sz w:val="22"/>
          <w:szCs w:val="22"/>
        </w:rPr>
        <w:t>资料管理要求</w:t>
      </w:r>
    </w:p>
    <w:p>
      <w:pPr>
        <w:pStyle w:val="5"/>
        <w:keepNext w:val="0"/>
        <w:keepLines w:val="0"/>
        <w:tabs>
          <w:tab w:val="left" w:pos="840"/>
          <w:tab w:val="left" w:pos="900"/>
          <w:tab w:val="left" w:pos="1584"/>
        </w:tabs>
        <w:snapToGrid w:val="0"/>
        <w:spacing w:before="0" w:after="0" w:line="360" w:lineRule="auto"/>
        <w:ind w:left="840" w:right="2" w:rightChars="1" w:hanging="840"/>
        <w:rPr>
          <w:rFonts w:ascii="宋体" w:hAnsi="宋体" w:eastAsia="宋体" w:cs="宋体"/>
          <w:b w:val="0"/>
          <w:sz w:val="22"/>
          <w:szCs w:val="22"/>
        </w:rPr>
      </w:pPr>
      <w:r>
        <w:rPr>
          <w:rFonts w:ascii="宋体" w:hAnsi="宋体" w:eastAsia="宋体" w:cs="宋体"/>
          <w:sz w:val="22"/>
          <w:szCs w:val="22"/>
        </w:rPr>
        <w:t>1.7.1.1</w:t>
      </w:r>
      <w:r>
        <w:rPr>
          <w:rFonts w:hint="eastAsia" w:ascii="宋体" w:hAnsi="宋体" w:eastAsia="宋体" w:cs="宋体"/>
          <w:b w:val="0"/>
          <w:kern w:val="2"/>
          <w:sz w:val="22"/>
          <w:szCs w:val="22"/>
        </w:rPr>
        <w:t>提供的资料以中文为准，资料提交包括但不限于资料提交汇总表的内容。</w:t>
      </w:r>
    </w:p>
    <w:p>
      <w:pPr>
        <w:pStyle w:val="5"/>
        <w:keepNext w:val="0"/>
        <w:keepLines w:val="0"/>
        <w:tabs>
          <w:tab w:val="left" w:pos="840"/>
          <w:tab w:val="left" w:pos="900"/>
          <w:tab w:val="left" w:pos="1584"/>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1.7.1.2</w:t>
      </w:r>
      <w:r>
        <w:rPr>
          <w:rFonts w:hint="eastAsia" w:ascii="宋体" w:hAnsi="宋体" w:eastAsia="宋体" w:cs="宋体"/>
          <w:b w:val="0"/>
          <w:kern w:val="2"/>
          <w:sz w:val="22"/>
          <w:szCs w:val="22"/>
        </w:rPr>
        <w:t xml:space="preserve">项目资料管理必须包括需求整理及确认、深化设计、开发、试验室测试、现场安装调试、现场测试、验收、技术培训等、文档、竣工资料等的编制、提交、存档等。 </w:t>
      </w:r>
    </w:p>
    <w:p>
      <w:pPr>
        <w:pStyle w:val="3"/>
        <w:keepNext w:val="0"/>
        <w:keepLines w:val="0"/>
        <w:tabs>
          <w:tab w:val="left" w:pos="576"/>
        </w:tabs>
        <w:snapToGrid w:val="0"/>
        <w:spacing w:before="0" w:after="0"/>
        <w:ind w:left="576" w:right="2" w:rightChars="1" w:hanging="576"/>
        <w:jc w:val="both"/>
        <w:rPr>
          <w:rFonts w:ascii="宋体" w:hAnsi="宋体"/>
          <w:sz w:val="22"/>
          <w:szCs w:val="22"/>
        </w:rPr>
      </w:pPr>
      <w:bookmarkStart w:id="318" w:name="_Toc123028564"/>
      <w:bookmarkStart w:id="319" w:name="_Toc122958963"/>
      <w:bookmarkStart w:id="320" w:name="_Toc392056827"/>
      <w:bookmarkStart w:id="321" w:name="_Toc121826436"/>
      <w:bookmarkStart w:id="322" w:name="_Toc127347677"/>
      <w:bookmarkStart w:id="323" w:name="_Toc124561198"/>
      <w:bookmarkStart w:id="324" w:name="_Toc214178018"/>
      <w:r>
        <w:rPr>
          <w:rFonts w:ascii="宋体" w:hAnsi="宋体"/>
          <w:sz w:val="22"/>
          <w:szCs w:val="22"/>
        </w:rPr>
        <w:t>1.7.4</w:t>
      </w:r>
      <w:r>
        <w:rPr>
          <w:rFonts w:hint="eastAsia" w:ascii="宋体" w:hAnsi="宋体" w:cs="宋体"/>
          <w:sz w:val="22"/>
          <w:szCs w:val="22"/>
        </w:rPr>
        <w:t>设备及产品运输包装、到货开箱及仓储</w:t>
      </w:r>
      <w:bookmarkEnd w:id="318"/>
      <w:bookmarkEnd w:id="319"/>
      <w:bookmarkEnd w:id="320"/>
      <w:bookmarkEnd w:id="321"/>
      <w:bookmarkEnd w:id="322"/>
      <w:bookmarkEnd w:id="323"/>
      <w:bookmarkEnd w:id="324"/>
    </w:p>
    <w:p>
      <w:pPr>
        <w:pStyle w:val="4"/>
        <w:keepNext w:val="0"/>
        <w:numPr>
          <w:ilvl w:val="0"/>
          <w:numId w:val="0"/>
        </w:numPr>
        <w:tabs>
          <w:tab w:val="left" w:pos="720"/>
        </w:tabs>
        <w:snapToGrid w:val="0"/>
        <w:spacing w:line="360" w:lineRule="auto"/>
        <w:ind w:right="2" w:rightChars="1"/>
        <w:rPr>
          <w:rFonts w:hAnsi="宋体" w:cs="宋体"/>
          <w:b w:val="0"/>
          <w:kern w:val="2"/>
          <w:sz w:val="22"/>
          <w:szCs w:val="22"/>
        </w:rPr>
      </w:pPr>
      <w:r>
        <w:rPr>
          <w:rFonts w:hAnsi="宋体"/>
          <w:bCs/>
          <w:sz w:val="22"/>
          <w:szCs w:val="22"/>
        </w:rPr>
        <w:t>1.7.4.1</w:t>
      </w:r>
      <w:r>
        <w:rPr>
          <w:rFonts w:hint="eastAsia" w:hAnsi="宋体" w:cs="宋体"/>
          <w:b w:val="0"/>
          <w:kern w:val="2"/>
          <w:sz w:val="22"/>
          <w:szCs w:val="22"/>
        </w:rPr>
        <w:t>投标人所提供的产品须为原厂包装，并予以保护以防由于多次搬运、天气及其它原因而造成损坏。</w:t>
      </w:r>
    </w:p>
    <w:p>
      <w:pPr>
        <w:pStyle w:val="4"/>
        <w:keepNext w:val="0"/>
        <w:numPr>
          <w:ilvl w:val="0"/>
          <w:numId w:val="0"/>
        </w:numPr>
        <w:tabs>
          <w:tab w:val="left" w:pos="720"/>
        </w:tabs>
        <w:snapToGrid w:val="0"/>
        <w:spacing w:line="360" w:lineRule="auto"/>
        <w:rPr>
          <w:rFonts w:hAnsi="宋体" w:cs="宋体"/>
          <w:b w:val="0"/>
          <w:kern w:val="2"/>
          <w:sz w:val="22"/>
          <w:szCs w:val="22"/>
        </w:rPr>
      </w:pPr>
      <w:r>
        <w:rPr>
          <w:rFonts w:hAnsi="宋体"/>
          <w:bCs/>
          <w:sz w:val="22"/>
          <w:szCs w:val="22"/>
        </w:rPr>
        <w:t>1.7.4.2</w:t>
      </w:r>
      <w:r>
        <w:rPr>
          <w:rFonts w:hint="eastAsia" w:hAnsi="宋体" w:cs="宋体"/>
          <w:b w:val="0"/>
          <w:kern w:val="2"/>
          <w:sz w:val="22"/>
          <w:szCs w:val="22"/>
        </w:rPr>
        <w:t>所有货物必须放在发包人确认或指定的仓储区域，所有因此产生的仓储、运输、保险等费用由投标人承担。</w:t>
      </w:r>
    </w:p>
    <w:p>
      <w:pPr>
        <w:pStyle w:val="4"/>
        <w:keepNext w:val="0"/>
        <w:numPr>
          <w:ilvl w:val="0"/>
          <w:numId w:val="0"/>
        </w:numPr>
        <w:tabs>
          <w:tab w:val="left" w:pos="720"/>
        </w:tabs>
        <w:snapToGrid w:val="0"/>
        <w:spacing w:line="360" w:lineRule="auto"/>
        <w:rPr>
          <w:rFonts w:hAnsi="宋体"/>
          <w:b w:val="0"/>
          <w:sz w:val="22"/>
          <w:szCs w:val="22"/>
        </w:rPr>
      </w:pPr>
      <w:r>
        <w:rPr>
          <w:rFonts w:hAnsi="宋体"/>
          <w:bCs/>
          <w:sz w:val="22"/>
          <w:szCs w:val="22"/>
        </w:rPr>
        <w:t>1.7.4.3</w:t>
      </w:r>
      <w:r>
        <w:rPr>
          <w:rFonts w:hint="eastAsia" w:hAnsi="宋体" w:cs="宋体"/>
          <w:b w:val="0"/>
          <w:sz w:val="22"/>
          <w:szCs w:val="22"/>
        </w:rPr>
        <w:t>设备到达发包人指定现场后，投标人应根据发包人的要求，派员参加到货签收，并作好签收记录。</w:t>
      </w:r>
    </w:p>
    <w:p>
      <w:pPr>
        <w:pStyle w:val="4"/>
        <w:keepNext w:val="0"/>
        <w:numPr>
          <w:ilvl w:val="0"/>
          <w:numId w:val="0"/>
        </w:numPr>
        <w:tabs>
          <w:tab w:val="left" w:pos="720"/>
        </w:tabs>
        <w:snapToGrid w:val="0"/>
        <w:spacing w:line="360" w:lineRule="auto"/>
        <w:rPr>
          <w:rFonts w:hAnsi="宋体"/>
          <w:b w:val="0"/>
          <w:sz w:val="22"/>
          <w:szCs w:val="22"/>
        </w:rPr>
      </w:pPr>
      <w:r>
        <w:rPr>
          <w:rFonts w:hAnsi="宋体"/>
          <w:bCs/>
          <w:sz w:val="22"/>
          <w:szCs w:val="22"/>
        </w:rPr>
        <w:t>1.7.4.4</w:t>
      </w:r>
      <w:r>
        <w:rPr>
          <w:rFonts w:hint="eastAsia" w:hAnsi="宋体" w:cs="宋体"/>
          <w:b w:val="0"/>
          <w:bCs/>
          <w:sz w:val="22"/>
          <w:szCs w:val="22"/>
        </w:rPr>
        <w:t>投标人</w:t>
      </w:r>
      <w:r>
        <w:rPr>
          <w:rFonts w:hint="eastAsia" w:hAnsi="宋体" w:cs="宋体"/>
          <w:b w:val="0"/>
          <w:sz w:val="22"/>
          <w:szCs w:val="22"/>
        </w:rPr>
        <w:t>应根据</w:t>
      </w:r>
      <w:r>
        <w:rPr>
          <w:rFonts w:hint="eastAsia" w:hAnsi="宋体" w:cs="宋体"/>
          <w:b w:val="0"/>
          <w:bCs/>
          <w:sz w:val="22"/>
          <w:szCs w:val="22"/>
        </w:rPr>
        <w:t>工程</w:t>
      </w:r>
      <w:r>
        <w:rPr>
          <w:rFonts w:hint="eastAsia" w:hAnsi="宋体" w:cs="宋体"/>
          <w:b w:val="0"/>
          <w:sz w:val="22"/>
          <w:szCs w:val="22"/>
        </w:rPr>
        <w:t>进度分批到货。在</w:t>
      </w:r>
      <w:r>
        <w:rPr>
          <w:rFonts w:hint="eastAsia" w:hAnsi="宋体" w:cs="宋体"/>
          <w:b w:val="0"/>
          <w:bCs/>
          <w:sz w:val="22"/>
          <w:szCs w:val="22"/>
        </w:rPr>
        <w:t>硬件设备</w:t>
      </w:r>
      <w:r>
        <w:rPr>
          <w:rFonts w:hint="eastAsia" w:hAnsi="宋体" w:cs="宋体"/>
          <w:b w:val="0"/>
          <w:sz w:val="22"/>
          <w:szCs w:val="22"/>
        </w:rPr>
        <w:t>软硬件购买前，</w:t>
      </w:r>
      <w:r>
        <w:rPr>
          <w:rFonts w:hint="eastAsia" w:hAnsi="宋体" w:cs="宋体"/>
          <w:b w:val="0"/>
          <w:bCs/>
          <w:sz w:val="22"/>
          <w:szCs w:val="22"/>
        </w:rPr>
        <w:t>投标人</w:t>
      </w:r>
      <w:r>
        <w:rPr>
          <w:rFonts w:hint="eastAsia" w:hAnsi="宋体" w:cs="宋体"/>
          <w:b w:val="0"/>
          <w:sz w:val="22"/>
          <w:szCs w:val="22"/>
        </w:rPr>
        <w:t>须以书面的形式向发包人提供</w:t>
      </w:r>
      <w:r>
        <w:rPr>
          <w:rFonts w:hint="eastAsia" w:hAnsi="宋体" w:cs="宋体"/>
          <w:b w:val="0"/>
          <w:bCs/>
          <w:sz w:val="22"/>
          <w:szCs w:val="22"/>
        </w:rPr>
        <w:t>硬件设备</w:t>
      </w:r>
      <w:r>
        <w:rPr>
          <w:rFonts w:hint="eastAsia" w:hAnsi="宋体" w:cs="宋体"/>
          <w:b w:val="0"/>
          <w:sz w:val="22"/>
          <w:szCs w:val="22"/>
        </w:rPr>
        <w:t>的详细配置和版本的清单，并报发包人备案。</w:t>
      </w:r>
    </w:p>
    <w:p>
      <w:pPr>
        <w:pStyle w:val="3"/>
        <w:keepNext w:val="0"/>
        <w:keepLines w:val="0"/>
        <w:tabs>
          <w:tab w:val="left" w:pos="576"/>
        </w:tabs>
        <w:snapToGrid w:val="0"/>
        <w:spacing w:before="0" w:after="0"/>
        <w:ind w:left="576" w:right="2" w:rightChars="1" w:hanging="576"/>
        <w:jc w:val="both"/>
        <w:rPr>
          <w:rFonts w:ascii="宋体" w:hAnsi="宋体"/>
          <w:sz w:val="22"/>
          <w:szCs w:val="22"/>
        </w:rPr>
      </w:pPr>
      <w:bookmarkStart w:id="325" w:name="_Toc127347679"/>
      <w:bookmarkStart w:id="326" w:name="_Toc107586461"/>
      <w:bookmarkStart w:id="327" w:name="_Toc119684696"/>
      <w:bookmarkStart w:id="328" w:name="_Toc118214048"/>
      <w:bookmarkStart w:id="329" w:name="_Toc121826438"/>
      <w:bookmarkStart w:id="330" w:name="_Toc392056829"/>
      <w:bookmarkStart w:id="331" w:name="_Toc122958965"/>
      <w:bookmarkStart w:id="332" w:name="_Toc124561200"/>
      <w:bookmarkStart w:id="333" w:name="_Toc123028566"/>
      <w:bookmarkStart w:id="334" w:name="_Toc214178020"/>
      <w:r>
        <w:rPr>
          <w:rFonts w:ascii="宋体" w:hAnsi="宋体"/>
          <w:sz w:val="22"/>
          <w:szCs w:val="22"/>
        </w:rPr>
        <w:t>1.7.4</w:t>
      </w:r>
      <w:r>
        <w:rPr>
          <w:rFonts w:hint="eastAsia" w:ascii="宋体" w:hAnsi="宋体" w:cs="宋体"/>
          <w:sz w:val="22"/>
          <w:szCs w:val="22"/>
        </w:rPr>
        <w:t>安装调试</w:t>
      </w:r>
      <w:bookmarkEnd w:id="325"/>
      <w:bookmarkEnd w:id="326"/>
      <w:bookmarkEnd w:id="327"/>
      <w:bookmarkEnd w:id="328"/>
      <w:bookmarkEnd w:id="329"/>
      <w:bookmarkEnd w:id="330"/>
      <w:bookmarkEnd w:id="331"/>
      <w:bookmarkEnd w:id="332"/>
      <w:bookmarkEnd w:id="333"/>
      <w:bookmarkEnd w:id="334"/>
    </w:p>
    <w:p>
      <w:pPr>
        <w:pStyle w:val="4"/>
        <w:keepNext w:val="0"/>
        <w:numPr>
          <w:ilvl w:val="0"/>
          <w:numId w:val="0"/>
        </w:numPr>
        <w:tabs>
          <w:tab w:val="left" w:pos="720"/>
        </w:tabs>
        <w:snapToGrid w:val="0"/>
        <w:spacing w:line="360" w:lineRule="auto"/>
        <w:ind w:right="2" w:rightChars="1"/>
        <w:rPr>
          <w:rFonts w:hAnsi="宋体"/>
          <w:bCs/>
          <w:sz w:val="22"/>
          <w:szCs w:val="22"/>
        </w:rPr>
      </w:pPr>
      <w:r>
        <w:rPr>
          <w:rFonts w:hAnsi="宋体"/>
          <w:bCs/>
          <w:sz w:val="22"/>
          <w:szCs w:val="22"/>
        </w:rPr>
        <w:t>1.7.4.1</w:t>
      </w:r>
      <w:r>
        <w:rPr>
          <w:rFonts w:hint="eastAsia" w:hAnsi="宋体" w:cs="宋体"/>
          <w:bCs/>
          <w:sz w:val="22"/>
          <w:szCs w:val="22"/>
        </w:rPr>
        <w:t>安装</w:t>
      </w:r>
    </w:p>
    <w:p>
      <w:pPr>
        <w:pStyle w:val="5"/>
        <w:keepNext w:val="0"/>
        <w:keepLines w:val="0"/>
        <w:tabs>
          <w:tab w:val="left" w:pos="720"/>
          <w:tab w:val="left" w:pos="840"/>
          <w:tab w:val="left" w:pos="1584"/>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1.7.4.1.1</w:t>
      </w:r>
      <w:r>
        <w:rPr>
          <w:rFonts w:hint="eastAsia" w:ascii="宋体" w:hAnsi="宋体" w:eastAsia="宋体" w:cs="宋体"/>
          <w:b w:val="0"/>
          <w:kern w:val="2"/>
          <w:sz w:val="22"/>
          <w:szCs w:val="22"/>
        </w:rPr>
        <w:t>投标人应负责整个系统设备的安装及负责向质量监督部门办理报监，并负责系统的调试及运行。</w:t>
      </w:r>
    </w:p>
    <w:p>
      <w:pPr>
        <w:pStyle w:val="5"/>
        <w:keepNext w:val="0"/>
        <w:keepLines w:val="0"/>
        <w:tabs>
          <w:tab w:val="left" w:pos="720"/>
          <w:tab w:val="left" w:pos="840"/>
          <w:tab w:val="left" w:pos="1584"/>
        </w:tabs>
        <w:snapToGrid w:val="0"/>
        <w:spacing w:before="0" w:after="0" w:line="360" w:lineRule="auto"/>
        <w:ind w:left="840" w:right="2" w:rightChars="1" w:hanging="840"/>
        <w:rPr>
          <w:rFonts w:ascii="宋体" w:hAnsi="宋体" w:eastAsia="宋体" w:cs="宋体"/>
          <w:b w:val="0"/>
          <w:kern w:val="2"/>
          <w:sz w:val="22"/>
          <w:szCs w:val="22"/>
        </w:rPr>
      </w:pPr>
      <w:r>
        <w:rPr>
          <w:rFonts w:ascii="宋体" w:hAnsi="宋体" w:eastAsia="宋体" w:cs="宋体"/>
          <w:sz w:val="22"/>
          <w:szCs w:val="22"/>
        </w:rPr>
        <w:t xml:space="preserve">1.7.4.1.2 </w:t>
      </w:r>
      <w:r>
        <w:rPr>
          <w:rFonts w:hint="eastAsia" w:ascii="宋体" w:hAnsi="宋体" w:eastAsia="宋体" w:cs="宋体"/>
          <w:b w:val="0"/>
          <w:kern w:val="2"/>
          <w:sz w:val="22"/>
          <w:szCs w:val="22"/>
        </w:rPr>
        <w:t>投标人须派遣足够人数的、合格的工程师、技术人员和技术工人进行本项目工程的施工。</w:t>
      </w:r>
    </w:p>
    <w:p>
      <w:pPr>
        <w:pStyle w:val="5"/>
        <w:keepNext w:val="0"/>
        <w:keepLines w:val="0"/>
        <w:tabs>
          <w:tab w:val="left" w:pos="720"/>
          <w:tab w:val="left" w:pos="840"/>
          <w:tab w:val="left" w:pos="900"/>
          <w:tab w:val="left" w:pos="1584"/>
        </w:tabs>
        <w:snapToGrid w:val="0"/>
        <w:spacing w:before="0" w:after="0" w:line="360" w:lineRule="auto"/>
        <w:ind w:left="840" w:right="2" w:rightChars="1" w:hanging="840"/>
        <w:rPr>
          <w:rFonts w:ascii="宋体" w:hAnsi="宋体" w:eastAsia="宋体" w:cs="宋体"/>
          <w:b w:val="0"/>
          <w:kern w:val="2"/>
          <w:sz w:val="22"/>
          <w:szCs w:val="22"/>
        </w:rPr>
      </w:pPr>
      <w:r>
        <w:rPr>
          <w:rFonts w:ascii="宋体" w:hAnsi="宋体" w:eastAsia="宋体" w:cs="宋体"/>
          <w:sz w:val="22"/>
          <w:szCs w:val="22"/>
        </w:rPr>
        <w:t xml:space="preserve">1.7.4.1.3 </w:t>
      </w:r>
      <w:r>
        <w:rPr>
          <w:rFonts w:hint="eastAsia" w:ascii="宋体" w:hAnsi="宋体" w:eastAsia="宋体" w:cs="宋体"/>
          <w:b w:val="0"/>
          <w:kern w:val="2"/>
          <w:sz w:val="22"/>
          <w:szCs w:val="22"/>
        </w:rPr>
        <w:t>工程施工和设备安装单位所有进驻现场的施工人员必须是具有相关资格的正式员工。</w:t>
      </w:r>
    </w:p>
    <w:p>
      <w:pPr>
        <w:pStyle w:val="5"/>
        <w:keepNext w:val="0"/>
        <w:keepLines w:val="0"/>
        <w:tabs>
          <w:tab w:val="left" w:pos="720"/>
          <w:tab w:val="left" w:pos="840"/>
          <w:tab w:val="left" w:pos="900"/>
          <w:tab w:val="left" w:pos="1584"/>
        </w:tabs>
        <w:snapToGrid w:val="0"/>
        <w:spacing w:before="0" w:after="0" w:line="360" w:lineRule="auto"/>
        <w:ind w:right="2" w:rightChars="1"/>
        <w:rPr>
          <w:rFonts w:ascii="宋体" w:hAnsi="宋体" w:eastAsia="宋体" w:cs="宋体"/>
          <w:b w:val="0"/>
          <w:kern w:val="2"/>
          <w:sz w:val="22"/>
          <w:szCs w:val="22"/>
        </w:rPr>
      </w:pPr>
      <w:r>
        <w:rPr>
          <w:rFonts w:ascii="宋体" w:hAnsi="宋体" w:eastAsia="宋体" w:cs="宋体"/>
          <w:sz w:val="22"/>
          <w:szCs w:val="22"/>
        </w:rPr>
        <w:t xml:space="preserve">1.7.4.1.4 </w:t>
      </w:r>
      <w:r>
        <w:rPr>
          <w:rFonts w:hint="eastAsia" w:ascii="宋体" w:hAnsi="宋体" w:eastAsia="宋体" w:cs="宋体"/>
          <w:b w:val="0"/>
          <w:kern w:val="2"/>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 xml:space="preserve">1.7.4.1.5 </w:t>
      </w:r>
      <w:bookmarkStart w:id="335" w:name="OLE_LINK13"/>
      <w:r>
        <w:rPr>
          <w:rFonts w:hint="eastAsia" w:ascii="宋体" w:hAnsi="宋体" w:eastAsia="宋体" w:cs="宋体"/>
          <w:b w:val="0"/>
          <w:kern w:val="2"/>
          <w:sz w:val="22"/>
          <w:szCs w:val="22"/>
        </w:rPr>
        <w:t>工程所产生的临时费用及所需设备的产品现场保护、工作设施、工作照明、防护、安装脚手、围栏、警告标志和守护人员等由投标人负责。</w:t>
      </w:r>
    </w:p>
    <w:bookmarkEnd w:id="335"/>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1.7.4.1.6</w:t>
      </w:r>
      <w:r>
        <w:rPr>
          <w:rFonts w:hint="eastAsia" w:ascii="宋体" w:hAnsi="宋体" w:eastAsia="宋体" w:cs="宋体"/>
          <w:b w:val="0"/>
          <w:kern w:val="2"/>
          <w:sz w:val="22"/>
          <w:szCs w:val="22"/>
        </w:rPr>
        <w:t>投标人在进驻现场前1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1.7.4.1.7</w:t>
      </w:r>
      <w:r>
        <w:rPr>
          <w:rFonts w:hint="eastAsia" w:ascii="宋体" w:hAnsi="宋体" w:eastAsia="宋体" w:cs="宋体"/>
          <w:b w:val="0"/>
          <w:kern w:val="2"/>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pPr>
        <w:pStyle w:val="4"/>
        <w:keepNext w:val="0"/>
        <w:numPr>
          <w:ilvl w:val="0"/>
          <w:numId w:val="0"/>
        </w:numPr>
        <w:tabs>
          <w:tab w:val="left" w:pos="720"/>
        </w:tabs>
        <w:snapToGrid w:val="0"/>
        <w:spacing w:line="360" w:lineRule="auto"/>
        <w:ind w:right="2" w:rightChars="1"/>
        <w:rPr>
          <w:rFonts w:hAnsi="宋体"/>
          <w:bCs/>
          <w:sz w:val="22"/>
          <w:szCs w:val="22"/>
        </w:rPr>
      </w:pPr>
      <w:r>
        <w:rPr>
          <w:rFonts w:hAnsi="宋体"/>
          <w:bCs/>
          <w:sz w:val="22"/>
          <w:szCs w:val="22"/>
        </w:rPr>
        <w:t>1.7.4.2</w:t>
      </w:r>
      <w:r>
        <w:rPr>
          <w:rFonts w:hint="eastAsia" w:hAnsi="宋体" w:cs="宋体"/>
          <w:bCs/>
          <w:sz w:val="22"/>
          <w:szCs w:val="22"/>
        </w:rPr>
        <w:t>调试</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1.7.4.2.1</w:t>
      </w:r>
      <w:r>
        <w:rPr>
          <w:rFonts w:hint="eastAsia" w:ascii="宋体" w:hAnsi="宋体" w:eastAsia="宋体" w:cs="宋体"/>
          <w:b w:val="0"/>
          <w:kern w:val="2"/>
          <w:sz w:val="22"/>
          <w:szCs w:val="22"/>
        </w:rPr>
        <w:t>投标人应在现场对设备进行调试、现场测试，以检验其设计制作、操作性能和功能等方面的情况，并应提供所有调试和设备运行所需的工具、材料、仪器及劳务。</w:t>
      </w:r>
    </w:p>
    <w:p>
      <w:pPr>
        <w:pStyle w:val="5"/>
        <w:keepNext w:val="0"/>
        <w:keepLines w:val="0"/>
        <w:tabs>
          <w:tab w:val="left" w:pos="720"/>
          <w:tab w:val="left" w:pos="900"/>
          <w:tab w:val="left" w:pos="1584"/>
        </w:tabs>
        <w:snapToGrid w:val="0"/>
        <w:spacing w:before="0" w:after="0" w:line="360" w:lineRule="auto"/>
        <w:ind w:left="1584" w:right="2" w:rightChars="1" w:hanging="1584"/>
        <w:rPr>
          <w:rFonts w:ascii="宋体" w:hAnsi="宋体" w:eastAsia="宋体" w:cs="宋体"/>
          <w:b w:val="0"/>
          <w:kern w:val="2"/>
          <w:sz w:val="22"/>
          <w:szCs w:val="22"/>
        </w:rPr>
      </w:pPr>
      <w:r>
        <w:rPr>
          <w:rFonts w:ascii="宋体" w:hAnsi="宋体" w:eastAsia="宋体" w:cs="宋体"/>
          <w:sz w:val="22"/>
          <w:szCs w:val="22"/>
        </w:rPr>
        <w:t xml:space="preserve">1.7.4.2.2 </w:t>
      </w:r>
      <w:r>
        <w:rPr>
          <w:rFonts w:hint="eastAsia" w:ascii="宋体" w:hAnsi="宋体" w:eastAsia="宋体" w:cs="宋体"/>
          <w:b w:val="0"/>
          <w:kern w:val="2"/>
          <w:sz w:val="22"/>
          <w:szCs w:val="22"/>
        </w:rPr>
        <w:t>调试前，相关部门的建议和要求均应作为调试及验收要求的补充。</w:t>
      </w:r>
    </w:p>
    <w:p>
      <w:pPr>
        <w:pStyle w:val="3"/>
        <w:keepNext w:val="0"/>
        <w:keepLines w:val="0"/>
        <w:tabs>
          <w:tab w:val="left" w:pos="576"/>
        </w:tabs>
        <w:snapToGrid w:val="0"/>
        <w:spacing w:before="0" w:after="0"/>
        <w:ind w:left="576" w:right="2" w:rightChars="1" w:hanging="576"/>
        <w:jc w:val="both"/>
        <w:rPr>
          <w:rFonts w:ascii="宋体" w:hAnsi="宋体"/>
          <w:sz w:val="22"/>
          <w:szCs w:val="22"/>
        </w:rPr>
      </w:pPr>
      <w:bookmarkStart w:id="336" w:name="_Toc214178024"/>
      <w:bookmarkStart w:id="337" w:name="_Toc124561204"/>
      <w:bookmarkStart w:id="338" w:name="_Toc123028570"/>
      <w:bookmarkStart w:id="339" w:name="_Toc392056833"/>
      <w:bookmarkStart w:id="340" w:name="_Toc127347683"/>
      <w:bookmarkStart w:id="341" w:name="_Toc122958969"/>
      <w:r>
        <w:rPr>
          <w:rFonts w:ascii="宋体" w:hAnsi="宋体"/>
          <w:sz w:val="22"/>
          <w:szCs w:val="22"/>
        </w:rPr>
        <w:t>1.7.5</w:t>
      </w:r>
      <w:r>
        <w:rPr>
          <w:rFonts w:hint="eastAsia" w:ascii="宋体" w:hAnsi="宋体" w:cs="宋体"/>
          <w:sz w:val="22"/>
          <w:szCs w:val="22"/>
        </w:rPr>
        <w:t>最终验收</w:t>
      </w:r>
      <w:bookmarkEnd w:id="336"/>
      <w:bookmarkEnd w:id="337"/>
      <w:bookmarkEnd w:id="338"/>
      <w:bookmarkEnd w:id="339"/>
      <w:bookmarkEnd w:id="340"/>
      <w:bookmarkEnd w:id="341"/>
    </w:p>
    <w:p>
      <w:pPr>
        <w:pStyle w:val="4"/>
        <w:keepNext w:val="0"/>
        <w:numPr>
          <w:ilvl w:val="0"/>
          <w:numId w:val="0"/>
        </w:numPr>
        <w:tabs>
          <w:tab w:val="left" w:pos="720"/>
        </w:tabs>
        <w:snapToGrid w:val="0"/>
        <w:spacing w:line="360" w:lineRule="auto"/>
        <w:ind w:right="2" w:rightChars="1"/>
        <w:rPr>
          <w:rFonts w:hAnsi="宋体"/>
          <w:sz w:val="22"/>
          <w:szCs w:val="22"/>
        </w:rPr>
      </w:pPr>
      <w:r>
        <w:rPr>
          <w:rFonts w:hAnsi="宋体"/>
          <w:sz w:val="22"/>
          <w:szCs w:val="22"/>
        </w:rPr>
        <w:t>1.7.5.1</w:t>
      </w:r>
      <w:r>
        <w:rPr>
          <w:rFonts w:hint="eastAsia" w:hAnsi="宋体" w:cs="宋体"/>
          <w:sz w:val="22"/>
          <w:szCs w:val="22"/>
        </w:rPr>
        <w:t>系统验收合格必须满足以下所有条件：</w:t>
      </w:r>
    </w:p>
    <w:p>
      <w:pPr>
        <w:pStyle w:val="5"/>
        <w:keepNext w:val="0"/>
        <w:keepLines w:val="0"/>
        <w:tabs>
          <w:tab w:val="left" w:pos="960"/>
          <w:tab w:val="left" w:pos="1584"/>
        </w:tabs>
        <w:snapToGrid w:val="0"/>
        <w:spacing w:before="0" w:after="0" w:line="360" w:lineRule="auto"/>
        <w:ind w:left="960" w:right="2" w:rightChars="1" w:hanging="960"/>
        <w:rPr>
          <w:rFonts w:ascii="宋体" w:hAnsi="宋体" w:eastAsia="宋体" w:cs="黑体"/>
          <w:b w:val="0"/>
          <w:sz w:val="22"/>
          <w:szCs w:val="22"/>
        </w:rPr>
      </w:pPr>
      <w:r>
        <w:rPr>
          <w:rFonts w:ascii="宋体" w:hAnsi="宋体" w:eastAsia="宋体"/>
          <w:sz w:val="22"/>
          <w:szCs w:val="22"/>
        </w:rPr>
        <w:t>1.7.5.1.</w:t>
      </w:r>
      <w:r>
        <w:rPr>
          <w:rFonts w:hint="eastAsia" w:ascii="宋体" w:hAnsi="宋体" w:eastAsia="宋体"/>
          <w:sz w:val="22"/>
          <w:szCs w:val="22"/>
        </w:rPr>
        <w:t>1</w:t>
      </w:r>
      <w:r>
        <w:rPr>
          <w:rFonts w:hint="eastAsia" w:ascii="宋体" w:hAnsi="宋体" w:eastAsia="宋体" w:cs="黑体"/>
          <w:b w:val="0"/>
          <w:sz w:val="22"/>
          <w:szCs w:val="22"/>
        </w:rPr>
        <w:t>现场测试时出现的问题已被解决至发包人满意，对其它工程项目的影响已消除。</w:t>
      </w:r>
    </w:p>
    <w:p>
      <w:pPr>
        <w:pStyle w:val="5"/>
        <w:keepNext w:val="0"/>
        <w:keepLines w:val="0"/>
        <w:tabs>
          <w:tab w:val="left" w:pos="960"/>
          <w:tab w:val="left" w:pos="1584"/>
        </w:tabs>
        <w:snapToGrid w:val="0"/>
        <w:spacing w:before="0" w:after="0" w:line="360" w:lineRule="auto"/>
        <w:ind w:left="960" w:right="2" w:rightChars="1" w:hanging="960"/>
        <w:rPr>
          <w:rFonts w:ascii="宋体" w:hAnsi="宋体" w:eastAsia="宋体"/>
          <w:b w:val="0"/>
          <w:sz w:val="22"/>
          <w:szCs w:val="22"/>
        </w:rPr>
      </w:pPr>
      <w:r>
        <w:rPr>
          <w:rFonts w:ascii="宋体" w:hAnsi="宋体" w:eastAsia="宋体"/>
          <w:sz w:val="22"/>
          <w:szCs w:val="22"/>
        </w:rPr>
        <w:t>1.7.5.1.</w:t>
      </w:r>
      <w:r>
        <w:rPr>
          <w:rFonts w:hint="eastAsia" w:ascii="宋体" w:hAnsi="宋体" w:eastAsia="宋体"/>
          <w:sz w:val="22"/>
          <w:szCs w:val="22"/>
        </w:rPr>
        <w:t>2</w:t>
      </w:r>
      <w:r>
        <w:rPr>
          <w:rFonts w:ascii="宋体" w:hAnsi="宋体" w:eastAsia="宋体"/>
          <w:sz w:val="22"/>
          <w:szCs w:val="22"/>
        </w:rPr>
        <w:t xml:space="preserve"> </w:t>
      </w:r>
      <w:r>
        <w:rPr>
          <w:rFonts w:hint="eastAsia" w:ascii="宋体" w:hAnsi="宋体" w:eastAsia="宋体" w:cs="宋体"/>
          <w:b w:val="0"/>
          <w:sz w:val="22"/>
          <w:szCs w:val="22"/>
        </w:rPr>
        <w:t>已按本技术规范和政府有关管理部门的规定提供了全部货物和资料。</w:t>
      </w:r>
    </w:p>
    <w:p>
      <w:pPr>
        <w:pStyle w:val="5"/>
        <w:keepNext w:val="0"/>
        <w:keepLines w:val="0"/>
        <w:tabs>
          <w:tab w:val="left" w:pos="960"/>
          <w:tab w:val="left" w:pos="1584"/>
        </w:tabs>
        <w:snapToGrid w:val="0"/>
        <w:spacing w:before="0" w:after="0" w:line="360" w:lineRule="auto"/>
        <w:ind w:left="960" w:right="2" w:rightChars="1" w:hanging="960"/>
        <w:rPr>
          <w:rFonts w:ascii="宋体" w:hAnsi="宋体" w:eastAsia="宋体"/>
          <w:b w:val="0"/>
          <w:sz w:val="22"/>
          <w:szCs w:val="22"/>
        </w:rPr>
      </w:pPr>
      <w:r>
        <w:rPr>
          <w:rFonts w:ascii="宋体" w:hAnsi="宋体" w:eastAsia="宋体"/>
          <w:sz w:val="22"/>
          <w:szCs w:val="22"/>
        </w:rPr>
        <w:t>1.7.5.1.</w:t>
      </w:r>
      <w:r>
        <w:rPr>
          <w:rFonts w:hint="eastAsia" w:ascii="宋体" w:hAnsi="宋体" w:eastAsia="宋体"/>
          <w:sz w:val="22"/>
          <w:szCs w:val="22"/>
        </w:rPr>
        <w:t>3</w:t>
      </w:r>
      <w:r>
        <w:rPr>
          <w:rFonts w:ascii="宋体" w:hAnsi="宋体" w:eastAsia="宋体"/>
          <w:sz w:val="22"/>
          <w:szCs w:val="22"/>
        </w:rPr>
        <w:t xml:space="preserve"> </w:t>
      </w:r>
      <w:r>
        <w:rPr>
          <w:rFonts w:hint="eastAsia" w:ascii="宋体" w:hAnsi="宋体" w:eastAsia="宋体" w:cs="宋体"/>
          <w:b w:val="0"/>
          <w:sz w:val="22"/>
          <w:szCs w:val="22"/>
        </w:rPr>
        <w:t>按照</w:t>
      </w:r>
      <w:r>
        <w:rPr>
          <w:rFonts w:ascii="宋体" w:hAnsi="宋体" w:eastAsia="宋体"/>
          <w:b w:val="0"/>
          <w:sz w:val="22"/>
          <w:szCs w:val="22"/>
        </w:rPr>
        <w:t>HXIA</w:t>
      </w:r>
      <w:r>
        <w:rPr>
          <w:rFonts w:hint="eastAsia" w:ascii="宋体" w:hAnsi="宋体" w:eastAsia="宋体" w:cs="宋体"/>
          <w:b w:val="0"/>
          <w:sz w:val="22"/>
          <w:szCs w:val="22"/>
        </w:rPr>
        <w:t>工程档案管理要求进行竣工资料归档。</w:t>
      </w:r>
    </w:p>
    <w:p>
      <w:pPr>
        <w:pStyle w:val="4"/>
        <w:keepNext w:val="0"/>
        <w:numPr>
          <w:ilvl w:val="0"/>
          <w:numId w:val="0"/>
        </w:numPr>
        <w:tabs>
          <w:tab w:val="left" w:pos="720"/>
        </w:tabs>
        <w:snapToGrid w:val="0"/>
        <w:spacing w:line="360" w:lineRule="auto"/>
        <w:rPr>
          <w:rFonts w:hAnsi="宋体" w:cs="宋体"/>
          <w:b w:val="0"/>
          <w:kern w:val="2"/>
          <w:sz w:val="22"/>
          <w:szCs w:val="22"/>
        </w:rPr>
      </w:pPr>
      <w:r>
        <w:rPr>
          <w:rFonts w:hAnsi="宋体"/>
          <w:bCs/>
          <w:sz w:val="22"/>
          <w:szCs w:val="22"/>
        </w:rPr>
        <w:t>1.7.5.1.</w:t>
      </w:r>
      <w:r>
        <w:rPr>
          <w:rFonts w:hint="eastAsia" w:hAnsi="宋体"/>
          <w:bCs/>
          <w:sz w:val="22"/>
          <w:szCs w:val="22"/>
        </w:rPr>
        <w:t>4</w:t>
      </w:r>
      <w:r>
        <w:rPr>
          <w:rFonts w:hint="eastAsia" w:hAnsi="宋体" w:cs="宋体"/>
          <w:b w:val="0"/>
          <w:kern w:val="2"/>
          <w:sz w:val="22"/>
          <w:szCs w:val="22"/>
        </w:rPr>
        <w:t>投标人负责全部设备设施及系统的保护和清洁工作至项目验收合格为止。若因进行工程实施过程中污损工程的设备、设施结构或其它设备仪器等，投标人须负责修理或者给予赔偿。</w:t>
      </w:r>
    </w:p>
    <w:p>
      <w:pPr>
        <w:pStyle w:val="4"/>
        <w:keepNext w:val="0"/>
        <w:numPr>
          <w:ilvl w:val="0"/>
          <w:numId w:val="0"/>
        </w:numPr>
        <w:tabs>
          <w:tab w:val="left" w:pos="720"/>
        </w:tabs>
        <w:snapToGrid w:val="0"/>
        <w:spacing w:line="360" w:lineRule="auto"/>
        <w:ind w:right="2" w:rightChars="1"/>
        <w:rPr>
          <w:rFonts w:hAnsi="宋体"/>
          <w:b w:val="0"/>
          <w:sz w:val="22"/>
          <w:szCs w:val="22"/>
        </w:rPr>
      </w:pPr>
      <w:r>
        <w:rPr>
          <w:rFonts w:hAnsi="宋体"/>
          <w:bCs/>
          <w:sz w:val="22"/>
          <w:szCs w:val="22"/>
        </w:rPr>
        <w:t>1.7.5.1.</w:t>
      </w:r>
      <w:r>
        <w:rPr>
          <w:rFonts w:hint="eastAsia" w:hAnsi="宋体"/>
          <w:bCs/>
          <w:sz w:val="22"/>
          <w:szCs w:val="22"/>
        </w:rPr>
        <w:t>5</w:t>
      </w:r>
      <w:r>
        <w:rPr>
          <w:rFonts w:hint="eastAsia" w:hAnsi="宋体" w:cs="宋体"/>
          <w:b w:val="0"/>
          <w:sz w:val="22"/>
          <w:szCs w:val="22"/>
        </w:rPr>
        <w:t>工程最终验收合格后，发包人给投标人颁发工程接收证书，同时进入为期</w:t>
      </w:r>
      <w:r>
        <w:rPr>
          <w:rFonts w:hint="eastAsia" w:hAnsi="宋体"/>
          <w:b w:val="0"/>
          <w:sz w:val="22"/>
          <w:szCs w:val="22"/>
        </w:rPr>
        <w:t>2</w:t>
      </w:r>
      <w:r>
        <w:rPr>
          <w:rFonts w:hint="eastAsia" w:hAnsi="宋体" w:cs="宋体"/>
          <w:b w:val="0"/>
          <w:sz w:val="22"/>
          <w:szCs w:val="22"/>
        </w:rPr>
        <w:t>年的质保期。</w:t>
      </w:r>
    </w:p>
    <w:p>
      <w:pPr>
        <w:pStyle w:val="3"/>
        <w:keepNext w:val="0"/>
        <w:keepLines w:val="0"/>
        <w:tabs>
          <w:tab w:val="left" w:pos="576"/>
        </w:tabs>
        <w:snapToGrid w:val="0"/>
        <w:spacing w:before="0" w:after="0"/>
        <w:ind w:left="576" w:right="2" w:rightChars="1" w:hanging="576"/>
        <w:jc w:val="both"/>
        <w:rPr>
          <w:rFonts w:ascii="宋体" w:hAnsi="宋体"/>
          <w:sz w:val="22"/>
          <w:szCs w:val="22"/>
        </w:rPr>
      </w:pPr>
      <w:bookmarkStart w:id="342" w:name="_Toc110162598"/>
      <w:bookmarkStart w:id="343" w:name="_Toc119258174"/>
      <w:bookmarkStart w:id="344" w:name="_Toc119378328"/>
      <w:bookmarkStart w:id="345" w:name="_Toc113810220"/>
      <w:bookmarkStart w:id="346" w:name="_Toc122958970"/>
      <w:bookmarkStart w:id="347" w:name="_Toc119378516"/>
      <w:bookmarkStart w:id="348" w:name="_Toc214178025"/>
      <w:bookmarkStart w:id="349" w:name="_Toc123028571"/>
      <w:bookmarkStart w:id="350" w:name="_Toc127347684"/>
      <w:bookmarkStart w:id="351" w:name="_Toc124561205"/>
      <w:bookmarkStart w:id="352" w:name="_Toc119504343"/>
      <w:bookmarkStart w:id="353" w:name="_Toc392056834"/>
      <w:r>
        <w:rPr>
          <w:rFonts w:ascii="宋体" w:hAnsi="宋体"/>
          <w:sz w:val="22"/>
          <w:szCs w:val="22"/>
        </w:rPr>
        <w:t>1.7.6</w:t>
      </w:r>
      <w:r>
        <w:rPr>
          <w:rFonts w:hint="eastAsia" w:ascii="宋体" w:hAnsi="宋体" w:cs="宋体"/>
          <w:sz w:val="22"/>
          <w:szCs w:val="22"/>
        </w:rPr>
        <w:t>系统质保期</w:t>
      </w:r>
      <w:bookmarkEnd w:id="342"/>
      <w:bookmarkEnd w:id="343"/>
      <w:bookmarkEnd w:id="344"/>
      <w:bookmarkEnd w:id="345"/>
      <w:bookmarkEnd w:id="346"/>
      <w:bookmarkEnd w:id="347"/>
      <w:bookmarkEnd w:id="348"/>
      <w:bookmarkEnd w:id="349"/>
      <w:bookmarkEnd w:id="350"/>
      <w:bookmarkEnd w:id="351"/>
      <w:bookmarkEnd w:id="352"/>
      <w:bookmarkEnd w:id="353"/>
    </w:p>
    <w:p>
      <w:pPr>
        <w:pStyle w:val="4"/>
        <w:keepNext w:val="0"/>
        <w:numPr>
          <w:ilvl w:val="0"/>
          <w:numId w:val="0"/>
        </w:numPr>
        <w:tabs>
          <w:tab w:val="left" w:pos="720"/>
        </w:tabs>
        <w:snapToGrid w:val="0"/>
        <w:spacing w:line="360" w:lineRule="auto"/>
        <w:ind w:right="2" w:rightChars="1"/>
        <w:rPr>
          <w:rFonts w:hAnsi="宋体" w:cs="黑体"/>
          <w:bCs/>
          <w:sz w:val="22"/>
          <w:szCs w:val="22"/>
        </w:rPr>
      </w:pPr>
      <w:r>
        <w:rPr>
          <w:rFonts w:hAnsi="宋体" w:cs="黑体"/>
          <w:bCs/>
          <w:sz w:val="22"/>
          <w:szCs w:val="22"/>
        </w:rPr>
        <w:t>1.7.6.1</w:t>
      </w:r>
      <w:r>
        <w:rPr>
          <w:rFonts w:hint="eastAsia" w:hAnsi="宋体" w:cs="黑体"/>
          <w:bCs/>
          <w:sz w:val="22"/>
          <w:szCs w:val="22"/>
        </w:rPr>
        <w:t>系统质保期内</w:t>
      </w:r>
    </w:p>
    <w:p>
      <w:pPr>
        <w:pStyle w:val="5"/>
        <w:keepNext w:val="0"/>
        <w:keepLines w:val="0"/>
        <w:tabs>
          <w:tab w:val="left" w:pos="900"/>
          <w:tab w:val="left" w:pos="960"/>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1.7.6.1.1</w:t>
      </w:r>
      <w:r>
        <w:rPr>
          <w:rFonts w:hint="eastAsia" w:ascii="宋体" w:hAnsi="宋体" w:eastAsia="宋体" w:cs="宋体"/>
          <w:b w:val="0"/>
          <w:kern w:val="2"/>
          <w:sz w:val="22"/>
          <w:szCs w:val="22"/>
        </w:rPr>
        <w:t>投标人必须为合同内所供应系统和服务提供24个月的质保期服务（若第三方产品免费保修期明确大于24个月的则按原厂商的承诺执行），计算日期从最终系统验收之日计算。</w:t>
      </w:r>
    </w:p>
    <w:p>
      <w:pPr>
        <w:pStyle w:val="5"/>
        <w:keepNext w:val="0"/>
        <w:keepLines w:val="0"/>
        <w:tabs>
          <w:tab w:val="left" w:pos="900"/>
          <w:tab w:val="left" w:pos="1584"/>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 xml:space="preserve">1.7.6.1.2 </w:t>
      </w:r>
      <w:r>
        <w:rPr>
          <w:rFonts w:hint="eastAsia" w:ascii="宋体" w:hAnsi="宋体" w:eastAsia="宋体" w:cs="宋体"/>
          <w:b w:val="0"/>
          <w:kern w:val="2"/>
          <w:sz w:val="22"/>
          <w:szCs w:val="22"/>
        </w:rPr>
        <w:t>投标人必须保证机场运行时间内及时响应发包人的请求，在接到报修后2小时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cs="宋体"/>
          <w:b w:val="0"/>
          <w:kern w:val="2"/>
          <w:sz w:val="22"/>
          <w:szCs w:val="22"/>
        </w:rPr>
      </w:pPr>
      <w:r>
        <w:rPr>
          <w:rFonts w:ascii="宋体" w:hAnsi="宋体" w:eastAsia="宋体" w:cs="宋体"/>
          <w:sz w:val="22"/>
          <w:szCs w:val="22"/>
        </w:rPr>
        <w:t>1.7.6.1.3</w:t>
      </w:r>
      <w:r>
        <w:rPr>
          <w:rFonts w:hint="eastAsia" w:ascii="宋体" w:hAnsi="宋体" w:eastAsia="宋体" w:cs="宋体"/>
          <w:b w:val="0"/>
          <w:kern w:val="2"/>
          <w:sz w:val="22"/>
          <w:szCs w:val="22"/>
        </w:rPr>
        <w:t xml:space="preserve"> 质保期内投标人必须免费提供系统配置修改、配置升级服务、软件缺陷修补。</w:t>
      </w:r>
    </w:p>
    <w:p>
      <w:pPr>
        <w:pStyle w:val="5"/>
        <w:keepNext w:val="0"/>
        <w:keepLines w:val="0"/>
        <w:tabs>
          <w:tab w:val="left" w:pos="900"/>
          <w:tab w:val="left" w:pos="1584"/>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 xml:space="preserve">1.7.6.1.5 </w:t>
      </w:r>
      <w:r>
        <w:rPr>
          <w:rFonts w:hint="eastAsia" w:ascii="宋体" w:hAnsi="宋体" w:eastAsia="宋体" w:cs="宋体"/>
          <w:b w:val="0"/>
          <w:kern w:val="2"/>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pPr>
        <w:pStyle w:val="5"/>
        <w:keepNext w:val="0"/>
        <w:keepLines w:val="0"/>
        <w:tabs>
          <w:tab w:val="left" w:pos="900"/>
          <w:tab w:val="left" w:pos="1584"/>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 xml:space="preserve">1.7.6.1.6 </w:t>
      </w:r>
      <w:r>
        <w:rPr>
          <w:rFonts w:hint="eastAsia" w:ascii="宋体" w:hAnsi="宋体" w:eastAsia="宋体" w:cs="宋体"/>
          <w:b w:val="0"/>
          <w:kern w:val="2"/>
          <w:sz w:val="22"/>
          <w:szCs w:val="22"/>
        </w:rPr>
        <w:t>系统设备无论什么原因发生任何故障或损坏，投标人应及时提供替换设备，以保证每年不低于99.9%的设备可使用率，投标人必须负责维修，平均维修期限不得超过15天，一切费用由投标人承担。</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cs="宋体"/>
          <w:b w:val="0"/>
          <w:kern w:val="2"/>
          <w:sz w:val="22"/>
          <w:szCs w:val="22"/>
        </w:rPr>
      </w:pPr>
      <w:r>
        <w:rPr>
          <w:rFonts w:ascii="宋体" w:hAnsi="宋体" w:eastAsia="宋体" w:cs="宋体"/>
          <w:sz w:val="22"/>
          <w:szCs w:val="22"/>
        </w:rPr>
        <w:t xml:space="preserve">1.7.6.1.7 </w:t>
      </w:r>
      <w:r>
        <w:rPr>
          <w:rFonts w:hint="eastAsia" w:ascii="宋体" w:hAnsi="宋体" w:eastAsia="宋体" w:cs="宋体"/>
          <w:b w:val="0"/>
          <w:kern w:val="2"/>
          <w:sz w:val="22"/>
          <w:szCs w:val="22"/>
        </w:rPr>
        <w:t>如质保期内的缺陷未能解决，质保期应相应延长，具体延长时间由双方协定。</w:t>
      </w:r>
    </w:p>
    <w:p>
      <w:pPr>
        <w:pStyle w:val="5"/>
        <w:keepNext w:val="0"/>
        <w:keepLines w:val="0"/>
        <w:tabs>
          <w:tab w:val="left" w:pos="900"/>
          <w:tab w:val="left" w:pos="1080"/>
        </w:tabs>
        <w:snapToGrid w:val="0"/>
        <w:spacing w:before="0" w:after="0" w:line="360" w:lineRule="auto"/>
        <w:rPr>
          <w:rFonts w:ascii="宋体" w:hAnsi="宋体" w:eastAsia="宋体" w:cs="宋体"/>
          <w:b w:val="0"/>
          <w:kern w:val="2"/>
          <w:sz w:val="22"/>
          <w:szCs w:val="22"/>
        </w:rPr>
      </w:pPr>
      <w:r>
        <w:rPr>
          <w:rFonts w:ascii="宋体" w:hAnsi="宋体" w:eastAsia="宋体" w:cs="宋体"/>
          <w:sz w:val="22"/>
          <w:szCs w:val="22"/>
        </w:rPr>
        <w:t xml:space="preserve">1.7.6.1.8 </w:t>
      </w:r>
      <w:r>
        <w:rPr>
          <w:rFonts w:hint="eastAsia" w:ascii="宋体" w:hAnsi="宋体" w:eastAsia="宋体" w:cs="宋体"/>
          <w:b w:val="0"/>
          <w:kern w:val="2"/>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pPr>
        <w:pStyle w:val="4"/>
        <w:keepNext w:val="0"/>
        <w:numPr>
          <w:ilvl w:val="0"/>
          <w:numId w:val="0"/>
        </w:numPr>
        <w:tabs>
          <w:tab w:val="left" w:pos="720"/>
        </w:tabs>
        <w:snapToGrid w:val="0"/>
        <w:spacing w:line="360" w:lineRule="auto"/>
        <w:ind w:right="2" w:rightChars="1"/>
        <w:rPr>
          <w:rFonts w:hAnsi="宋体"/>
          <w:b w:val="0"/>
          <w:bCs/>
          <w:sz w:val="22"/>
          <w:szCs w:val="22"/>
        </w:rPr>
      </w:pPr>
      <w:bookmarkStart w:id="354" w:name="_Toc118214033"/>
      <w:bookmarkStart w:id="355" w:name="_Toc107586446"/>
      <w:bookmarkStart w:id="356" w:name="_Toc119684723"/>
      <w:bookmarkStart w:id="357" w:name="_Toc119684722"/>
      <w:bookmarkStart w:id="358" w:name="_Toc118214032"/>
      <w:r>
        <w:rPr>
          <w:rFonts w:hAnsi="宋体"/>
          <w:sz w:val="22"/>
          <w:szCs w:val="22"/>
        </w:rPr>
        <w:t>1.7.8</w:t>
      </w:r>
      <w:r>
        <w:rPr>
          <w:rFonts w:hint="eastAsia" w:hAnsi="宋体" w:cs="宋体"/>
          <w:bCs/>
          <w:sz w:val="22"/>
          <w:szCs w:val="22"/>
        </w:rPr>
        <w:t>质量管理</w:t>
      </w:r>
      <w:bookmarkEnd w:id="354"/>
      <w:bookmarkEnd w:id="355"/>
      <w:bookmarkEnd w:id="356"/>
    </w:p>
    <w:p>
      <w:pPr>
        <w:pStyle w:val="5"/>
        <w:keepNext w:val="0"/>
        <w:keepLines w:val="0"/>
        <w:tabs>
          <w:tab w:val="left" w:pos="900"/>
          <w:tab w:val="left" w:pos="1584"/>
        </w:tabs>
        <w:snapToGrid w:val="0"/>
        <w:spacing w:before="0" w:after="0" w:line="360" w:lineRule="auto"/>
        <w:rPr>
          <w:rFonts w:ascii="宋体" w:hAnsi="宋体" w:eastAsia="宋体"/>
          <w:b w:val="0"/>
          <w:sz w:val="22"/>
          <w:szCs w:val="22"/>
        </w:rPr>
      </w:pPr>
      <w:r>
        <w:rPr>
          <w:rFonts w:ascii="宋体" w:hAnsi="宋体" w:eastAsia="宋体"/>
          <w:sz w:val="22"/>
          <w:szCs w:val="22"/>
        </w:rPr>
        <w:t>1.7.8.1</w:t>
      </w:r>
      <w:r>
        <w:rPr>
          <w:rFonts w:hint="eastAsia" w:ascii="宋体" w:hAnsi="宋体" w:eastAsia="宋体" w:cs="宋体"/>
          <w:b w:val="0"/>
          <w:sz w:val="22"/>
          <w:szCs w:val="22"/>
        </w:rPr>
        <w:t>在设计、供应、开发、安装、调试、测试、验收直至质保期结束的各阶段，投标人应负责所有交付内容和产品的质量。</w:t>
      </w:r>
    </w:p>
    <w:p>
      <w:pPr>
        <w:pStyle w:val="5"/>
        <w:keepNext w:val="0"/>
        <w:keepLines w:val="0"/>
        <w:tabs>
          <w:tab w:val="left" w:pos="900"/>
          <w:tab w:val="left" w:pos="1584"/>
        </w:tabs>
        <w:snapToGrid w:val="0"/>
        <w:spacing w:before="0" w:after="0" w:line="360" w:lineRule="auto"/>
        <w:rPr>
          <w:rFonts w:ascii="宋体" w:hAnsi="宋体" w:eastAsia="宋体"/>
          <w:b w:val="0"/>
          <w:sz w:val="22"/>
          <w:szCs w:val="22"/>
        </w:rPr>
      </w:pPr>
      <w:r>
        <w:rPr>
          <w:rFonts w:ascii="宋体" w:hAnsi="宋体" w:eastAsia="宋体"/>
          <w:sz w:val="22"/>
          <w:szCs w:val="22"/>
        </w:rPr>
        <w:t>1.7.8.2</w:t>
      </w:r>
      <w:r>
        <w:rPr>
          <w:rFonts w:hint="eastAsia" w:ascii="宋体" w:hAnsi="宋体" w:eastAsia="宋体" w:cs="宋体"/>
          <w:b w:val="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pPr>
        <w:pStyle w:val="5"/>
        <w:keepNext w:val="0"/>
        <w:keepLines w:val="0"/>
        <w:tabs>
          <w:tab w:val="left" w:pos="900"/>
          <w:tab w:val="left" w:pos="1584"/>
        </w:tabs>
        <w:snapToGrid w:val="0"/>
        <w:spacing w:before="0" w:after="0" w:line="360" w:lineRule="auto"/>
        <w:rPr>
          <w:rFonts w:ascii="宋体" w:hAnsi="宋体" w:eastAsia="宋体"/>
          <w:b w:val="0"/>
          <w:sz w:val="22"/>
          <w:szCs w:val="22"/>
        </w:rPr>
      </w:pPr>
      <w:r>
        <w:rPr>
          <w:rFonts w:ascii="宋体" w:hAnsi="宋体" w:eastAsia="宋体"/>
          <w:sz w:val="22"/>
          <w:szCs w:val="22"/>
        </w:rPr>
        <w:t>1.7.8.3</w:t>
      </w:r>
      <w:r>
        <w:rPr>
          <w:rFonts w:hint="eastAsia" w:ascii="宋体" w:hAnsi="宋体" w:eastAsia="宋体" w:cs="宋体"/>
          <w:b w:val="0"/>
          <w:sz w:val="22"/>
          <w:szCs w:val="22"/>
        </w:rPr>
        <w:t>投标人应按照</w:t>
      </w:r>
      <w:r>
        <w:rPr>
          <w:rFonts w:ascii="宋体" w:hAnsi="宋体" w:eastAsia="宋体"/>
          <w:b w:val="0"/>
          <w:sz w:val="22"/>
          <w:szCs w:val="22"/>
        </w:rPr>
        <w:t>ISO9000</w:t>
      </w:r>
      <w:r>
        <w:rPr>
          <w:rFonts w:hint="eastAsia" w:ascii="宋体" w:hAnsi="宋体" w:eastAsia="宋体" w:cs="宋体"/>
          <w:b w:val="0"/>
          <w:sz w:val="22"/>
          <w:szCs w:val="22"/>
        </w:rPr>
        <w:t>系列质量管理体系的实施、竣工和修补缺陷的规范，建立适当和可行的质量保证体系，并保证工程的实施、竣工和修补缺陷的全部过程符合该质量保证体系的要求。</w:t>
      </w:r>
    </w:p>
    <w:p>
      <w:pPr>
        <w:pStyle w:val="5"/>
        <w:keepNext w:val="0"/>
        <w:keepLines w:val="0"/>
        <w:tabs>
          <w:tab w:val="left" w:pos="900"/>
          <w:tab w:val="left" w:pos="1584"/>
        </w:tabs>
        <w:snapToGrid w:val="0"/>
        <w:spacing w:before="0" w:after="0" w:line="360" w:lineRule="auto"/>
        <w:rPr>
          <w:rFonts w:ascii="宋体" w:hAnsi="宋体" w:eastAsia="宋体"/>
          <w:b w:val="0"/>
          <w:sz w:val="22"/>
          <w:szCs w:val="22"/>
        </w:rPr>
      </w:pPr>
      <w:r>
        <w:rPr>
          <w:rFonts w:ascii="宋体" w:hAnsi="宋体" w:eastAsia="宋体"/>
          <w:sz w:val="22"/>
          <w:szCs w:val="22"/>
        </w:rPr>
        <w:t>1.7.8.4</w:t>
      </w:r>
      <w:r>
        <w:rPr>
          <w:rFonts w:hint="eastAsia" w:ascii="宋体" w:hAnsi="宋体" w:eastAsia="宋体" w:cs="宋体"/>
          <w:b w:val="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b w:val="0"/>
          <w:sz w:val="22"/>
          <w:szCs w:val="22"/>
        </w:rPr>
      </w:pPr>
      <w:r>
        <w:rPr>
          <w:rFonts w:ascii="宋体" w:hAnsi="宋体" w:eastAsia="宋体"/>
          <w:sz w:val="22"/>
          <w:szCs w:val="22"/>
        </w:rPr>
        <w:t>1.7.8.5</w:t>
      </w:r>
      <w:r>
        <w:rPr>
          <w:rFonts w:hint="eastAsia" w:ascii="宋体" w:hAnsi="宋体" w:eastAsia="宋体" w:cs="宋体"/>
          <w:b w:val="0"/>
          <w:sz w:val="22"/>
          <w:szCs w:val="22"/>
        </w:rPr>
        <w:t>质量体系中应包含对软硬件测试和检验的方法和手段，并在工程中予以使用。</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b w:val="0"/>
          <w:sz w:val="22"/>
          <w:szCs w:val="22"/>
        </w:rPr>
      </w:pPr>
      <w:r>
        <w:rPr>
          <w:rFonts w:ascii="宋体" w:hAnsi="宋体" w:eastAsia="宋体"/>
          <w:sz w:val="22"/>
          <w:szCs w:val="22"/>
        </w:rPr>
        <w:t>1.7.8.6</w:t>
      </w:r>
      <w:r>
        <w:rPr>
          <w:rFonts w:hint="eastAsia" w:ascii="宋体" w:hAnsi="宋体" w:eastAsia="宋体" w:cs="宋体"/>
          <w:b w:val="0"/>
          <w:sz w:val="22"/>
          <w:szCs w:val="22"/>
        </w:rPr>
        <w:t>质量体系还应包括但不限于以下内容：</w:t>
      </w:r>
    </w:p>
    <w:p>
      <w:pPr>
        <w:numPr>
          <w:ilvl w:val="0"/>
          <w:numId w:val="8"/>
        </w:numPr>
        <w:snapToGrid w:val="0"/>
        <w:spacing w:line="360" w:lineRule="auto"/>
        <w:ind w:right="2" w:rightChars="1"/>
        <w:rPr>
          <w:rFonts w:ascii="宋体" w:hAnsi="宋体"/>
          <w:sz w:val="22"/>
        </w:rPr>
      </w:pPr>
      <w:r>
        <w:rPr>
          <w:rFonts w:hint="eastAsia" w:ascii="宋体" w:hAnsi="宋体" w:cs="宋体"/>
          <w:sz w:val="22"/>
        </w:rPr>
        <w:t>施工、生产、安装及测试活动精确完整的测量记录。</w:t>
      </w:r>
    </w:p>
    <w:p>
      <w:pPr>
        <w:numPr>
          <w:ilvl w:val="0"/>
          <w:numId w:val="8"/>
        </w:numPr>
        <w:snapToGrid w:val="0"/>
        <w:spacing w:line="360" w:lineRule="auto"/>
        <w:ind w:right="2" w:rightChars="1"/>
        <w:rPr>
          <w:rFonts w:ascii="宋体" w:hAnsi="宋体"/>
          <w:sz w:val="22"/>
        </w:rPr>
      </w:pPr>
      <w:r>
        <w:rPr>
          <w:rFonts w:hint="eastAsia" w:ascii="宋体" w:hAnsi="宋体" w:cs="宋体"/>
          <w:sz w:val="22"/>
        </w:rPr>
        <w:t>设备及其安装位置的直接关系。</w:t>
      </w:r>
    </w:p>
    <w:p>
      <w:pPr>
        <w:numPr>
          <w:ilvl w:val="0"/>
          <w:numId w:val="8"/>
        </w:numPr>
        <w:snapToGrid w:val="0"/>
        <w:spacing w:line="360" w:lineRule="auto"/>
        <w:ind w:right="2" w:rightChars="1"/>
        <w:rPr>
          <w:rFonts w:ascii="宋体" w:hAnsi="宋体"/>
          <w:sz w:val="22"/>
        </w:rPr>
      </w:pPr>
      <w:r>
        <w:rPr>
          <w:rFonts w:hint="eastAsia" w:ascii="宋体" w:hAnsi="宋体" w:cs="宋体"/>
          <w:sz w:val="22"/>
        </w:rPr>
        <w:t>跟踪</w:t>
      </w:r>
      <w:r>
        <w:rPr>
          <w:rFonts w:hint="eastAsia" w:ascii="宋体" w:hAnsi="宋体" w:cs="宋体"/>
          <w:bCs/>
          <w:sz w:val="22"/>
        </w:rPr>
        <w:t>工程</w:t>
      </w:r>
      <w:r>
        <w:rPr>
          <w:rFonts w:hint="eastAsia" w:ascii="宋体" w:hAnsi="宋体" w:cs="宋体"/>
          <w:sz w:val="22"/>
        </w:rPr>
        <w:t>进度，维护</w:t>
      </w:r>
      <w:r>
        <w:rPr>
          <w:rFonts w:hint="eastAsia" w:ascii="宋体" w:hAnsi="宋体" w:cs="宋体"/>
          <w:bCs/>
          <w:sz w:val="22"/>
        </w:rPr>
        <w:t>工程</w:t>
      </w:r>
      <w:r>
        <w:rPr>
          <w:rFonts w:hint="eastAsia" w:ascii="宋体" w:hAnsi="宋体" w:cs="宋体"/>
          <w:sz w:val="22"/>
        </w:rPr>
        <w:t>全过程中的质量检测记录文档。</w:t>
      </w:r>
    </w:p>
    <w:p>
      <w:pPr>
        <w:numPr>
          <w:ilvl w:val="0"/>
          <w:numId w:val="8"/>
        </w:numPr>
        <w:snapToGrid w:val="0"/>
        <w:spacing w:line="360" w:lineRule="auto"/>
        <w:ind w:right="2" w:rightChars="1"/>
        <w:rPr>
          <w:rFonts w:ascii="宋体" w:hAnsi="宋体"/>
          <w:sz w:val="22"/>
        </w:rPr>
      </w:pPr>
      <w:r>
        <w:rPr>
          <w:rFonts w:hint="eastAsia" w:ascii="宋体" w:hAnsi="宋体" w:cs="宋体"/>
          <w:bCs/>
          <w:sz w:val="22"/>
        </w:rPr>
        <w:t>工程</w:t>
      </w:r>
      <w:r>
        <w:rPr>
          <w:rFonts w:hint="eastAsia" w:ascii="宋体" w:hAnsi="宋体" w:cs="宋体"/>
          <w:sz w:val="22"/>
        </w:rPr>
        <w:t>的关键节点进度表。</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1.7.8.7</w:t>
      </w:r>
      <w:r>
        <w:rPr>
          <w:rFonts w:hint="eastAsia" w:ascii="宋体" w:hAnsi="宋体" w:eastAsia="宋体" w:cs="宋体"/>
          <w:b w:val="0"/>
          <w:sz w:val="22"/>
          <w:szCs w:val="22"/>
        </w:rPr>
        <w:t>投标人应按照质量体系的要求提供、填写、整理并保存任何必要的过程记录。发包人可随时查阅这些过程记录。</w:t>
      </w:r>
    </w:p>
    <w:bookmarkEnd w:id="357"/>
    <w:bookmarkEnd w:id="358"/>
    <w:p>
      <w:pPr>
        <w:pStyle w:val="4"/>
        <w:keepNext w:val="0"/>
        <w:numPr>
          <w:ilvl w:val="0"/>
          <w:numId w:val="0"/>
        </w:numPr>
        <w:tabs>
          <w:tab w:val="left" w:pos="720"/>
        </w:tabs>
        <w:snapToGrid w:val="0"/>
        <w:spacing w:line="360" w:lineRule="auto"/>
        <w:ind w:right="2" w:rightChars="1"/>
        <w:rPr>
          <w:rFonts w:hAnsi="宋体"/>
          <w:bCs/>
          <w:sz w:val="22"/>
          <w:szCs w:val="22"/>
        </w:rPr>
      </w:pPr>
      <w:bookmarkStart w:id="359" w:name="_Toc118214035"/>
      <w:bookmarkStart w:id="360" w:name="_Toc119684725"/>
      <w:r>
        <w:rPr>
          <w:rFonts w:hAnsi="宋体"/>
          <w:sz w:val="22"/>
          <w:szCs w:val="22"/>
        </w:rPr>
        <w:t>1.7.9</w:t>
      </w:r>
      <w:r>
        <w:rPr>
          <w:rFonts w:hint="eastAsia" w:hAnsi="宋体" w:cs="宋体"/>
          <w:bCs/>
          <w:sz w:val="22"/>
          <w:szCs w:val="22"/>
        </w:rPr>
        <w:t>变更管理</w:t>
      </w:r>
      <w:bookmarkEnd w:id="359"/>
      <w:bookmarkEnd w:id="360"/>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1.7.9.1</w:t>
      </w:r>
      <w:r>
        <w:rPr>
          <w:rFonts w:hint="eastAsia" w:ascii="宋体" w:hAnsi="宋体" w:eastAsia="宋体" w:cs="宋体"/>
          <w:b w:val="0"/>
          <w:sz w:val="22"/>
          <w:szCs w:val="22"/>
        </w:rPr>
        <w:t>在发生变更的情况下，投标人不应提出任何合同价格之外的费用要求，如果投标人提出合同价格之外的费用要求，发包人有权拒绝且不需说明理由。</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1.7.9..2</w:t>
      </w:r>
      <w:r>
        <w:rPr>
          <w:rFonts w:hint="eastAsia" w:ascii="宋体" w:hAnsi="宋体" w:eastAsia="宋体" w:cs="宋体"/>
          <w:b w:val="0"/>
          <w:sz w:val="22"/>
          <w:szCs w:val="22"/>
        </w:rPr>
        <w:t>投标人应及时把所有的变更体现在有关的文档，记录变更的原因、内容、影响、处理过程、处理结果、日期等，并向发包人书面备案。</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1.7.9.3</w:t>
      </w:r>
      <w:r>
        <w:rPr>
          <w:rFonts w:hint="eastAsia" w:ascii="宋体" w:hAnsi="宋体" w:eastAsia="宋体" w:cs="宋体"/>
          <w:b w:val="0"/>
          <w:sz w:val="22"/>
          <w:szCs w:val="22"/>
        </w:rPr>
        <w:t>所有设备的安装位置、信息点位置等，由于建筑结构、土建装修、使用需求或其它因素造成的变更，由发包人发出变更指示，投标人应遵照执行。</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1.7.9.4</w:t>
      </w:r>
      <w:r>
        <w:rPr>
          <w:rFonts w:hint="eastAsia" w:ascii="宋体" w:hAnsi="宋体" w:eastAsia="宋体" w:cs="宋体"/>
          <w:b w:val="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1.7.9.5</w:t>
      </w:r>
      <w:r>
        <w:rPr>
          <w:rFonts w:hint="eastAsia" w:ascii="宋体" w:hAnsi="宋体" w:eastAsia="宋体" w:cs="宋体"/>
          <w:b w:val="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pPr>
        <w:pStyle w:val="5"/>
        <w:keepNext w:val="0"/>
        <w:keepLines w:val="0"/>
        <w:tabs>
          <w:tab w:val="left" w:pos="900"/>
          <w:tab w:val="left" w:pos="960"/>
        </w:tabs>
        <w:snapToGrid w:val="0"/>
        <w:spacing w:before="0" w:after="0" w:line="360" w:lineRule="auto"/>
        <w:ind w:left="960" w:right="2" w:rightChars="1" w:hanging="960"/>
        <w:rPr>
          <w:rFonts w:ascii="宋体" w:hAnsi="宋体" w:eastAsia="宋体"/>
          <w:b w:val="0"/>
          <w:sz w:val="22"/>
          <w:szCs w:val="22"/>
        </w:rPr>
      </w:pPr>
      <w:r>
        <w:rPr>
          <w:rFonts w:ascii="宋体" w:hAnsi="宋体" w:eastAsia="宋体"/>
          <w:sz w:val="22"/>
          <w:szCs w:val="22"/>
        </w:rPr>
        <w:t>1.7.9.6</w:t>
      </w:r>
      <w:r>
        <w:rPr>
          <w:rFonts w:hint="eastAsia" w:ascii="宋体" w:hAnsi="宋体" w:eastAsia="宋体" w:cs="宋体"/>
          <w:b w:val="0"/>
          <w:sz w:val="22"/>
          <w:szCs w:val="22"/>
        </w:rPr>
        <w:t>没有发包人的书面指示，投标人不得作任何变更。</w:t>
      </w:r>
    </w:p>
    <w:p>
      <w:pPr>
        <w:pStyle w:val="4"/>
        <w:keepNext w:val="0"/>
        <w:numPr>
          <w:ilvl w:val="0"/>
          <w:numId w:val="0"/>
        </w:numPr>
        <w:tabs>
          <w:tab w:val="left" w:pos="720"/>
        </w:tabs>
        <w:snapToGrid w:val="0"/>
        <w:spacing w:line="360" w:lineRule="auto"/>
        <w:ind w:right="2" w:rightChars="1"/>
        <w:rPr>
          <w:rFonts w:hAnsi="宋体"/>
          <w:b w:val="0"/>
          <w:bCs/>
          <w:sz w:val="22"/>
          <w:szCs w:val="22"/>
        </w:rPr>
      </w:pPr>
      <w:r>
        <w:rPr>
          <w:rFonts w:hAnsi="宋体"/>
          <w:sz w:val="22"/>
          <w:szCs w:val="22"/>
        </w:rPr>
        <w:t>1.7.10</w:t>
      </w:r>
      <w:r>
        <w:rPr>
          <w:rFonts w:hint="eastAsia" w:hAnsi="宋体" w:cs="宋体"/>
          <w:bCs/>
          <w:sz w:val="22"/>
          <w:szCs w:val="22"/>
        </w:rPr>
        <w:t>施工、安装与测试</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1.7.10.1</w:t>
      </w:r>
      <w:r>
        <w:rPr>
          <w:rFonts w:hint="eastAsia" w:ascii="宋体" w:hAnsi="宋体" w:eastAsia="宋体" w:cs="宋体"/>
          <w:b w:val="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1.7.10.2</w:t>
      </w:r>
      <w:r>
        <w:rPr>
          <w:rFonts w:hint="eastAsia" w:ascii="宋体" w:hAnsi="宋体" w:eastAsia="宋体" w:cs="宋体"/>
          <w:b w:val="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pPr>
        <w:pStyle w:val="4"/>
        <w:keepNext w:val="0"/>
        <w:numPr>
          <w:ilvl w:val="0"/>
          <w:numId w:val="0"/>
        </w:numPr>
        <w:tabs>
          <w:tab w:val="left" w:pos="720"/>
          <w:tab w:val="left" w:pos="960"/>
        </w:tabs>
        <w:snapToGrid w:val="0"/>
        <w:spacing w:line="360" w:lineRule="auto"/>
        <w:ind w:right="2" w:rightChars="1"/>
        <w:rPr>
          <w:rFonts w:hAnsi="宋体"/>
          <w:b w:val="0"/>
          <w:bCs/>
          <w:sz w:val="22"/>
          <w:szCs w:val="22"/>
        </w:rPr>
      </w:pPr>
      <w:bookmarkStart w:id="361" w:name="_Toc118214039"/>
      <w:bookmarkStart w:id="362" w:name="_Toc119684729"/>
      <w:r>
        <w:rPr>
          <w:rFonts w:hAnsi="宋体"/>
          <w:sz w:val="22"/>
          <w:szCs w:val="22"/>
        </w:rPr>
        <w:t>1.7.11</w:t>
      </w:r>
      <w:r>
        <w:rPr>
          <w:rFonts w:hint="eastAsia" w:hAnsi="宋体" w:cs="宋体"/>
          <w:bCs/>
          <w:sz w:val="22"/>
          <w:szCs w:val="22"/>
        </w:rPr>
        <w:t>日常管理</w:t>
      </w:r>
      <w:bookmarkEnd w:id="361"/>
      <w:bookmarkEnd w:id="362"/>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1.7.11.1</w:t>
      </w:r>
      <w:r>
        <w:rPr>
          <w:rFonts w:hint="eastAsia" w:ascii="宋体" w:hAnsi="宋体" w:eastAsia="宋体" w:cs="宋体"/>
          <w:b w:val="0"/>
          <w:sz w:val="22"/>
          <w:szCs w:val="22"/>
        </w:rPr>
        <w:t>投标人就安全、消防、卫生、用电等方面制定相应的管理规章制度，报发包人并严格执行，做到安全施工、文明管理。</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1.7.11.2</w:t>
      </w:r>
      <w:r>
        <w:rPr>
          <w:rFonts w:hint="eastAsia" w:ascii="宋体" w:hAnsi="宋体" w:eastAsia="宋体" w:cs="宋体"/>
          <w:b w:val="0"/>
          <w:sz w:val="22"/>
          <w:szCs w:val="22"/>
        </w:rPr>
        <w:t>在工程施工期间，投标人保持现场不出现不必要的障碍物，存放并处置好设备和材料，清运废料、垃圾。</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1.7.11.3</w:t>
      </w:r>
      <w:r>
        <w:rPr>
          <w:rFonts w:hint="eastAsia" w:ascii="宋体" w:hAnsi="宋体" w:eastAsia="宋体" w:cs="宋体"/>
          <w:b w:val="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1.7.11.4</w:t>
      </w:r>
      <w:r>
        <w:rPr>
          <w:rFonts w:hint="eastAsia" w:ascii="宋体" w:hAnsi="宋体" w:eastAsia="宋体" w:cs="宋体"/>
          <w:b w:val="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pPr>
        <w:pStyle w:val="5"/>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1.7.11.5</w:t>
      </w:r>
      <w:r>
        <w:rPr>
          <w:rFonts w:hint="eastAsia" w:ascii="宋体" w:hAnsi="宋体" w:eastAsia="宋体" w:cs="宋体"/>
          <w:b w:val="0"/>
          <w:sz w:val="22"/>
          <w:szCs w:val="22"/>
        </w:rPr>
        <w:t>工程期间，投标人的中间成果、设备、材料损坏或丢失，不论何种原因，投标人必须免费修理或补足。</w:t>
      </w:r>
    </w:p>
    <w:p>
      <w:pPr>
        <w:pStyle w:val="4"/>
        <w:keepNext w:val="0"/>
        <w:numPr>
          <w:ilvl w:val="0"/>
          <w:numId w:val="0"/>
        </w:numPr>
        <w:tabs>
          <w:tab w:val="left" w:pos="720"/>
          <w:tab w:val="left" w:pos="960"/>
        </w:tabs>
        <w:snapToGrid w:val="0"/>
        <w:spacing w:line="360" w:lineRule="auto"/>
        <w:ind w:right="2" w:rightChars="1"/>
        <w:rPr>
          <w:rFonts w:hAnsi="宋体"/>
          <w:sz w:val="22"/>
          <w:szCs w:val="22"/>
        </w:rPr>
      </w:pPr>
      <w:r>
        <w:rPr>
          <w:rFonts w:hAnsi="宋体"/>
          <w:sz w:val="22"/>
          <w:szCs w:val="22"/>
        </w:rPr>
        <w:t>1.7.12</w:t>
      </w:r>
      <w:r>
        <w:rPr>
          <w:rFonts w:hint="eastAsia" w:hAnsi="宋体" w:cs="宋体"/>
          <w:sz w:val="22"/>
          <w:szCs w:val="22"/>
        </w:rPr>
        <w:t>招标人对工程主要材料（设备）的要求</w:t>
      </w:r>
      <w:bookmarkEnd w:id="280"/>
    </w:p>
    <w:p>
      <w:pPr>
        <w:spacing w:line="360" w:lineRule="auto"/>
        <w:ind w:firstLine="440" w:firstLineChars="200"/>
        <w:rPr>
          <w:rFonts w:ascii="宋体" w:hAnsi="宋体"/>
          <w:sz w:val="22"/>
        </w:rPr>
      </w:pPr>
      <w:r>
        <w:rPr>
          <w:rFonts w:hint="eastAsia" w:ascii="宋体" w:hAnsi="宋体" w:cs="宋体"/>
          <w:sz w:val="22"/>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pPr>
        <w:spacing w:line="360" w:lineRule="auto"/>
        <w:ind w:firstLine="440" w:firstLineChars="200"/>
        <w:rPr>
          <w:rFonts w:ascii="宋体" w:hAnsi="宋体"/>
          <w:sz w:val="22"/>
        </w:rPr>
      </w:pPr>
      <w:r>
        <w:rPr>
          <w:rFonts w:hint="eastAsia" w:ascii="宋体" w:hAnsi="宋体" w:cs="宋体"/>
          <w:sz w:val="22"/>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bookmarkEnd w:id="281"/>
      <w:bookmarkEnd w:id="282"/>
      <w:bookmarkEnd w:id="283"/>
      <w:bookmarkEnd w:id="284"/>
      <w:bookmarkEnd w:id="285"/>
      <w:bookmarkEnd w:id="286"/>
      <w:bookmarkEnd w:id="287"/>
      <w:bookmarkEnd w:id="288"/>
      <w:bookmarkEnd w:id="289"/>
      <w:bookmarkEnd w:id="290"/>
      <w:bookmarkEnd w:id="291"/>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Heiti SC Light">
    <w:altName w:val="仿宋_GB2312"/>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Futura Bk">
    <w:altName w:val="Arial"/>
    <w:panose1 w:val="00000000000000000000"/>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 PAGE   \* MERGEFORMAT </w:instrText>
    </w:r>
    <w:r>
      <w:fldChar w:fldCharType="separate"/>
    </w:r>
    <w:r>
      <w:rPr>
        <w:lang w:val="zh-CN"/>
      </w:rPr>
      <w:t>-</w:t>
    </w:r>
    <w:r>
      <w:t xml:space="preserve"> 3 -</w:t>
    </w:r>
    <w:r>
      <w:fldChar w:fldCharType="end"/>
    </w:r>
  </w:p>
  <w:p>
    <w:pPr>
      <w:pStyle w:val="3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8"/>
      </w:rPr>
    </w:pPr>
    <w:r>
      <w:fldChar w:fldCharType="begin"/>
    </w:r>
    <w:r>
      <w:rPr>
        <w:rStyle w:val="58"/>
      </w:rPr>
      <w:instrText xml:space="preserve">PAGE  </w:instrTex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8"/>
      </w:rPr>
    </w:pPr>
    <w:r>
      <w:fldChar w:fldCharType="begin"/>
    </w:r>
    <w:r>
      <w:rPr>
        <w:rStyle w:val="58"/>
      </w:rPr>
      <w:instrText xml:space="preserve">PAGE  </w:instrText>
    </w:r>
    <w:r>
      <w:fldChar w:fldCharType="separate"/>
    </w:r>
    <w:r>
      <w:rPr>
        <w:rStyle w:val="58"/>
      </w:rPr>
      <w:t>40</w:t>
    </w:r>
    <w:r>
      <w:fldChar w:fldCharType="end"/>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180" w:firstLineChars="100"/>
      <w:rPr>
        <w:rFonts w:asciiTheme="majorEastAsia" w:hAnsiTheme="majorEastAsia" w:eastAsiaTheme="majorEastAsia"/>
        <w:szCs w:val="18"/>
        <w:u w:val="single"/>
      </w:rPr>
    </w:pPr>
    <w:r>
      <w:rPr>
        <w:rFonts w:hint="eastAsia" w:asciiTheme="majorEastAsia" w:hAnsiTheme="majorEastAsia" w:eastAsiaTheme="majorEastAsia"/>
        <w:szCs w:val="18"/>
        <w:u w:val="single"/>
      </w:rPr>
      <w:t>航空物流有限公司2019年海关监管库监控改造项目招标文</w:t>
    </w:r>
    <w:r>
      <w:rPr>
        <w:rFonts w:hint="eastAsia" w:ascii="宋体" w:hAnsi="宋体"/>
        <w:color w:val="000000"/>
        <w:szCs w:val="18"/>
        <w:u w:val="single"/>
      </w:rPr>
      <w:t xml:space="preserve">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4509D0"/>
    <w:multiLevelType w:val="multilevel"/>
    <w:tmpl w:val="004509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580EB212"/>
    <w:multiLevelType w:val="singleLevel"/>
    <w:tmpl w:val="580EB212"/>
    <w:lvl w:ilvl="0" w:tentative="0">
      <w:start w:val="1"/>
      <w:numFmt w:val="lowerLetter"/>
      <w:suff w:val="space"/>
      <w:lvlText w:val="%1、"/>
      <w:lvlJc w:val="left"/>
    </w:lvl>
  </w:abstractNum>
  <w:abstractNum w:abstractNumId="5">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6">
    <w:nsid w:val="580ED022"/>
    <w:multiLevelType w:val="multilevel"/>
    <w:tmpl w:val="580ED022"/>
    <w:lvl w:ilvl="0" w:tentative="0">
      <w:start w:val="1"/>
      <w:numFmt w:val="decimal"/>
      <w:lvlText w:val="%1)"/>
      <w:lvlJc w:val="left"/>
      <w:pPr>
        <w:tabs>
          <w:tab w:val="left" w:pos="1140"/>
        </w:tabs>
        <w:ind w:left="1140" w:hanging="420"/>
      </w:pPr>
    </w:lvl>
    <w:lvl w:ilvl="1" w:tentative="0">
      <w:start w:val="1"/>
      <w:numFmt w:val="bullet"/>
      <w:lvlText w:val=""/>
      <w:lvlJc w:val="left"/>
      <w:pPr>
        <w:tabs>
          <w:tab w:val="left" w:pos="420"/>
        </w:tabs>
        <w:ind w:left="420" w:hanging="420"/>
      </w:pPr>
      <w:rPr>
        <w:rFonts w:hint="default" w:ascii="Wingdings" w:hAnsi="Wingdings" w:cs="Wingdings"/>
      </w:rPr>
    </w:lvl>
    <w:lvl w:ilvl="2" w:tentative="0">
      <w:start w:val="1"/>
      <w:numFmt w:val="bullet"/>
      <w:lvlText w:val=""/>
      <w:lvlJc w:val="left"/>
      <w:pPr>
        <w:tabs>
          <w:tab w:val="left" w:pos="840"/>
        </w:tabs>
        <w:ind w:left="840" w:hanging="420"/>
      </w:pPr>
      <w:rPr>
        <w:rFonts w:hint="default" w:ascii="Wingdings" w:hAnsi="Wingdings" w:cs="Wingdings"/>
      </w:rPr>
    </w:lvl>
    <w:lvl w:ilvl="3" w:tentative="0">
      <w:start w:val="1"/>
      <w:numFmt w:val="bullet"/>
      <w:lvlText w:val=""/>
      <w:lvlJc w:val="left"/>
      <w:pPr>
        <w:tabs>
          <w:tab w:val="left" w:pos="1260"/>
        </w:tabs>
        <w:ind w:left="1260" w:hanging="420"/>
      </w:pPr>
      <w:rPr>
        <w:rFonts w:hint="default" w:ascii="Wingdings" w:hAnsi="Wingdings" w:cs="Wingdings"/>
      </w:rPr>
    </w:lvl>
    <w:lvl w:ilvl="4" w:tentative="0">
      <w:start w:val="1"/>
      <w:numFmt w:val="bullet"/>
      <w:lvlText w:val=""/>
      <w:lvlJc w:val="left"/>
      <w:pPr>
        <w:tabs>
          <w:tab w:val="left" w:pos="1680"/>
        </w:tabs>
        <w:ind w:left="1680" w:hanging="420"/>
      </w:pPr>
      <w:rPr>
        <w:rFonts w:hint="default" w:ascii="Wingdings" w:hAnsi="Wingdings" w:cs="Wingdings"/>
      </w:rPr>
    </w:lvl>
    <w:lvl w:ilvl="5" w:tentative="0">
      <w:start w:val="1"/>
      <w:numFmt w:val="bullet"/>
      <w:lvlText w:val=""/>
      <w:lvlJc w:val="left"/>
      <w:pPr>
        <w:tabs>
          <w:tab w:val="left" w:pos="2100"/>
        </w:tabs>
        <w:ind w:left="2100" w:hanging="420"/>
      </w:pPr>
      <w:rPr>
        <w:rFonts w:hint="default" w:ascii="Wingdings" w:hAnsi="Wingdings" w:cs="Wingdings"/>
      </w:rPr>
    </w:lvl>
    <w:lvl w:ilvl="6" w:tentative="0">
      <w:start w:val="1"/>
      <w:numFmt w:val="bullet"/>
      <w:lvlText w:val=""/>
      <w:lvlJc w:val="left"/>
      <w:pPr>
        <w:tabs>
          <w:tab w:val="left" w:pos="2520"/>
        </w:tabs>
        <w:ind w:left="2520" w:hanging="420"/>
      </w:pPr>
      <w:rPr>
        <w:rFonts w:hint="default" w:ascii="Wingdings" w:hAnsi="Wingdings" w:cs="Wingdings"/>
      </w:rPr>
    </w:lvl>
    <w:lvl w:ilvl="7" w:tentative="0">
      <w:start w:val="1"/>
      <w:numFmt w:val="bullet"/>
      <w:lvlText w:val=""/>
      <w:lvlJc w:val="left"/>
      <w:pPr>
        <w:tabs>
          <w:tab w:val="left" w:pos="2940"/>
        </w:tabs>
        <w:ind w:left="2940" w:hanging="420"/>
      </w:pPr>
      <w:rPr>
        <w:rFonts w:hint="default" w:ascii="Wingdings" w:hAnsi="Wingdings" w:cs="Wingdings"/>
      </w:rPr>
    </w:lvl>
    <w:lvl w:ilvl="8" w:tentative="0">
      <w:start w:val="1"/>
      <w:numFmt w:val="bullet"/>
      <w:lvlText w:val=""/>
      <w:lvlJc w:val="left"/>
      <w:pPr>
        <w:tabs>
          <w:tab w:val="left" w:pos="3360"/>
        </w:tabs>
        <w:ind w:left="3360" w:hanging="420"/>
      </w:pPr>
      <w:rPr>
        <w:rFonts w:hint="default" w:ascii="Wingdings" w:hAnsi="Wingdings" w:cs="Wingdings"/>
      </w:rPr>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92"/>
      <w:lvlText w:val=""/>
      <w:lvlJc w:val="left"/>
      <w:pPr>
        <w:tabs>
          <w:tab w:val="left" w:pos="3780"/>
        </w:tabs>
        <w:ind w:left="3780" w:hanging="420"/>
      </w:pPr>
      <w:rPr>
        <w:rFonts w:hint="default" w:ascii="Wingdings" w:hAnsi="Wingdings"/>
      </w:rPr>
    </w:lvl>
  </w:abstractNum>
  <w:num w:numId="1">
    <w:abstractNumId w:val="3"/>
  </w:num>
  <w:num w:numId="2">
    <w:abstractNumId w:val="1"/>
  </w:num>
  <w:num w:numId="3">
    <w:abstractNumId w:val="0"/>
  </w:num>
  <w:num w:numId="4">
    <w:abstractNumId w:val="7"/>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4BB9"/>
    <w:rsid w:val="0003704B"/>
    <w:rsid w:val="0006077B"/>
    <w:rsid w:val="00087BFF"/>
    <w:rsid w:val="000A2E42"/>
    <w:rsid w:val="000B6C20"/>
    <w:rsid w:val="000C4952"/>
    <w:rsid w:val="00112B08"/>
    <w:rsid w:val="00165726"/>
    <w:rsid w:val="00182CE9"/>
    <w:rsid w:val="0021064E"/>
    <w:rsid w:val="00273C9E"/>
    <w:rsid w:val="00300CE6"/>
    <w:rsid w:val="0032557A"/>
    <w:rsid w:val="003831C0"/>
    <w:rsid w:val="004827C2"/>
    <w:rsid w:val="004F719C"/>
    <w:rsid w:val="00505A13"/>
    <w:rsid w:val="005E3633"/>
    <w:rsid w:val="006107FB"/>
    <w:rsid w:val="006F640B"/>
    <w:rsid w:val="00717AE0"/>
    <w:rsid w:val="007300AC"/>
    <w:rsid w:val="007D4651"/>
    <w:rsid w:val="00882021"/>
    <w:rsid w:val="00902C8A"/>
    <w:rsid w:val="009C6300"/>
    <w:rsid w:val="00A13D04"/>
    <w:rsid w:val="00A52C66"/>
    <w:rsid w:val="00A65657"/>
    <w:rsid w:val="00AA3F10"/>
    <w:rsid w:val="00AA77EE"/>
    <w:rsid w:val="00AC2B7F"/>
    <w:rsid w:val="00AE1AC2"/>
    <w:rsid w:val="00BB73B0"/>
    <w:rsid w:val="00BF0E9D"/>
    <w:rsid w:val="00CA36C0"/>
    <w:rsid w:val="00CF38D2"/>
    <w:rsid w:val="00D453D3"/>
    <w:rsid w:val="00D64BD6"/>
    <w:rsid w:val="00D916C8"/>
    <w:rsid w:val="00D969A2"/>
    <w:rsid w:val="00E4135E"/>
    <w:rsid w:val="00E716F8"/>
    <w:rsid w:val="00EA4BB9"/>
    <w:rsid w:val="00ED7711"/>
    <w:rsid w:val="00EF7897"/>
    <w:rsid w:val="00F011DD"/>
    <w:rsid w:val="00F43ED4"/>
    <w:rsid w:val="00FB1033"/>
    <w:rsid w:val="00FC6CDD"/>
    <w:rsid w:val="040210CE"/>
    <w:rsid w:val="094C39F1"/>
    <w:rsid w:val="5CC0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iPriority="99" w:name="footnote text"/>
    <w:lsdException w:uiPriority="99" w:semiHidden="0" w:name="annotation text"/>
    <w:lsdException w:qFormat="1"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qFormat="1" w:unhideWhenUsed="0" w:uiPriority="0" w:semiHidden="0" w:name="List"/>
    <w:lsdException w:unhideWhenUsed="0" w:uiPriority="0" w:semiHidden="0"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qFormat="1"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3"/>
    <w:qFormat/>
    <w:uiPriority w:val="0"/>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80"/>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97"/>
    <w:qFormat/>
    <w:uiPriority w:val="0"/>
    <w:pPr>
      <w:keepNext/>
      <w:numPr>
        <w:ilvl w:val="0"/>
        <w:numId w:val="1"/>
      </w:numPr>
      <w:spacing w:line="216" w:lineRule="auto"/>
      <w:outlineLvl w:val="2"/>
    </w:pPr>
    <w:rPr>
      <w:rFonts w:ascii="宋体"/>
      <w:b/>
      <w:kern w:val="0"/>
      <w:sz w:val="28"/>
      <w:szCs w:val="20"/>
    </w:rPr>
  </w:style>
  <w:style w:type="paragraph" w:styleId="5">
    <w:name w:val="heading 4"/>
    <w:basedOn w:val="1"/>
    <w:next w:val="1"/>
    <w:link w:val="123"/>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146"/>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159"/>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88"/>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9">
    <w:name w:val="heading 8"/>
    <w:basedOn w:val="1"/>
    <w:next w:val="1"/>
    <w:link w:val="83"/>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138"/>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6">
    <w:name w:val="Default Paragraph Font"/>
    <w:semiHidden/>
    <w:unhideWhenUsed/>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szCs w:val="24"/>
    </w:rPr>
  </w:style>
  <w:style w:type="paragraph" w:styleId="12">
    <w:name w:val="toc 7"/>
    <w:basedOn w:val="1"/>
    <w:next w:val="1"/>
    <w:uiPriority w:val="0"/>
    <w:pPr>
      <w:ind w:left="1260"/>
      <w:jc w:val="left"/>
    </w:pPr>
    <w:rPr>
      <w:rFonts w:ascii="Times New Roman" w:hAnsi="Times New Roman"/>
      <w:sz w:val="20"/>
      <w:szCs w:val="20"/>
    </w:rPr>
  </w:style>
  <w:style w:type="paragraph" w:styleId="13">
    <w:name w:val="table of authorities"/>
    <w:basedOn w:val="1"/>
    <w:next w:val="1"/>
    <w:uiPriority w:val="0"/>
    <w:pPr>
      <w:ind w:left="420" w:leftChars="200"/>
    </w:pPr>
    <w:rPr>
      <w:rFonts w:ascii="Times New Roman" w:hAnsi="Times New Roman"/>
      <w:szCs w:val="24"/>
    </w:rPr>
  </w:style>
  <w:style w:type="paragraph" w:styleId="14">
    <w:name w:val="Normal Indent"/>
    <w:basedOn w:val="1"/>
    <w:link w:val="121"/>
    <w:uiPriority w:val="0"/>
    <w:pPr>
      <w:ind w:firstLine="420"/>
    </w:pPr>
    <w:rPr>
      <w:rFonts w:ascii="Times New Roman" w:hAnsi="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uiPriority w:val="0"/>
    <w:pPr>
      <w:ind w:left="800" w:leftChars="800"/>
    </w:pPr>
    <w:rPr>
      <w:rFonts w:ascii="Times New Roman" w:hAnsi="Times New Roman"/>
      <w:szCs w:val="24"/>
    </w:rPr>
  </w:style>
  <w:style w:type="paragraph" w:styleId="17">
    <w:name w:val="List Bullet"/>
    <w:basedOn w:val="1"/>
    <w:uiPriority w:val="0"/>
    <w:pPr>
      <w:numPr>
        <w:ilvl w:val="0"/>
        <w:numId w:val="2"/>
      </w:numPr>
    </w:pPr>
    <w:rPr>
      <w:rFonts w:ascii="Times New Roman" w:hAnsi="Times New Roman"/>
      <w:szCs w:val="24"/>
    </w:rPr>
  </w:style>
  <w:style w:type="paragraph" w:styleId="18">
    <w:name w:val="Document Map"/>
    <w:basedOn w:val="1"/>
    <w:link w:val="106"/>
    <w:qFormat/>
    <w:uiPriority w:val="0"/>
    <w:pPr>
      <w:shd w:val="clear" w:color="auto" w:fill="000080"/>
    </w:pPr>
    <w:rPr>
      <w:rFonts w:ascii="Times New Roman" w:hAnsi="Times New Roman"/>
      <w:kern w:val="0"/>
      <w:sz w:val="20"/>
      <w:szCs w:val="24"/>
    </w:rPr>
  </w:style>
  <w:style w:type="paragraph" w:styleId="19">
    <w:name w:val="annotation text"/>
    <w:basedOn w:val="1"/>
    <w:link w:val="101"/>
    <w:unhideWhenUsed/>
    <w:uiPriority w:val="99"/>
    <w:pPr>
      <w:jc w:val="left"/>
    </w:pPr>
  </w:style>
  <w:style w:type="paragraph" w:styleId="20">
    <w:name w:val="Salutation"/>
    <w:basedOn w:val="1"/>
    <w:next w:val="1"/>
    <w:link w:val="161"/>
    <w:unhideWhenUsed/>
    <w:uiPriority w:val="99"/>
    <w:rPr>
      <w:rFonts w:ascii="Cambria" w:hAnsi="Cambria"/>
      <w:sz w:val="24"/>
      <w:szCs w:val="24"/>
    </w:rPr>
  </w:style>
  <w:style w:type="paragraph" w:styleId="21">
    <w:name w:val="Body Text 3"/>
    <w:basedOn w:val="1"/>
    <w:link w:val="109"/>
    <w:uiPriority w:val="0"/>
    <w:pPr>
      <w:adjustRightInd w:val="0"/>
      <w:spacing w:after="120" w:line="360" w:lineRule="atLeast"/>
      <w:textAlignment w:val="baseline"/>
    </w:pPr>
    <w:rPr>
      <w:rFonts w:ascii="Times New Roman" w:hAnsi="Times New Roman"/>
      <w:kern w:val="0"/>
      <w:sz w:val="16"/>
      <w:szCs w:val="16"/>
    </w:rPr>
  </w:style>
  <w:style w:type="paragraph" w:styleId="22">
    <w:name w:val="Body Text"/>
    <w:basedOn w:val="1"/>
    <w:link w:val="127"/>
    <w:unhideWhenUsed/>
    <w:uiPriority w:val="99"/>
    <w:pPr>
      <w:spacing w:after="120"/>
    </w:pPr>
  </w:style>
  <w:style w:type="paragraph" w:styleId="23">
    <w:name w:val="Body Text Indent"/>
    <w:basedOn w:val="1"/>
    <w:link w:val="134"/>
    <w:uiPriority w:val="0"/>
    <w:pPr>
      <w:ind w:firstLine="560" w:firstLineChars="200"/>
    </w:pPr>
    <w:rPr>
      <w:rFonts w:ascii="宋体" w:hAnsi="宋体"/>
      <w:kern w:val="0"/>
      <w:sz w:val="28"/>
      <w:szCs w:val="28"/>
    </w:rPr>
  </w:style>
  <w:style w:type="paragraph" w:styleId="24">
    <w:name w:val="List 2"/>
    <w:basedOn w:val="1"/>
    <w:uiPriority w:val="0"/>
    <w:pPr>
      <w:ind w:left="100" w:leftChars="200" w:hanging="200" w:hangingChars="200"/>
    </w:pPr>
    <w:rPr>
      <w:rFonts w:ascii="Times New Roman" w:hAnsi="Times New Roman"/>
      <w:szCs w:val="24"/>
    </w:rPr>
  </w:style>
  <w:style w:type="paragraph" w:styleId="25">
    <w:name w:val="List Continue"/>
    <w:basedOn w:val="1"/>
    <w:uiPriority w:val="0"/>
    <w:pPr>
      <w:spacing w:after="120"/>
      <w:ind w:left="420" w:leftChars="200"/>
    </w:pPr>
    <w:rPr>
      <w:rFonts w:ascii="Times New Roman" w:hAnsi="Times New Roman"/>
      <w:szCs w:val="24"/>
    </w:rPr>
  </w:style>
  <w:style w:type="paragraph" w:styleId="26">
    <w:name w:val="Block Text"/>
    <w:basedOn w:val="1"/>
    <w:qFormat/>
    <w:uiPriority w:val="0"/>
    <w:pPr>
      <w:spacing w:before="120" w:after="120" w:line="360" w:lineRule="auto"/>
      <w:ind w:left="525" w:right="202"/>
    </w:pPr>
    <w:rPr>
      <w:rFonts w:ascii="宋体" w:hAnsi="宋体"/>
      <w:spacing w:val="-4"/>
      <w:sz w:val="24"/>
      <w:szCs w:val="24"/>
    </w:rPr>
  </w:style>
  <w:style w:type="paragraph" w:styleId="27">
    <w:name w:val="List Bullet 2"/>
    <w:basedOn w:val="1"/>
    <w:qFormat/>
    <w:uiPriority w:val="0"/>
    <w:pPr>
      <w:numPr>
        <w:ilvl w:val="0"/>
        <w:numId w:val="3"/>
      </w:numPr>
    </w:pPr>
    <w:rPr>
      <w:rFonts w:ascii="Times New Roman" w:hAnsi="Times New Roman"/>
      <w:szCs w:val="24"/>
    </w:rPr>
  </w:style>
  <w:style w:type="paragraph" w:styleId="28">
    <w:name w:val="toc 5"/>
    <w:basedOn w:val="1"/>
    <w:next w:val="1"/>
    <w:qFormat/>
    <w:uiPriority w:val="0"/>
    <w:pPr>
      <w:ind w:left="840"/>
      <w:jc w:val="left"/>
    </w:pPr>
    <w:rPr>
      <w:rFonts w:ascii="Times New Roman" w:hAnsi="Times New Roman"/>
      <w:sz w:val="20"/>
      <w:szCs w:val="20"/>
    </w:rPr>
  </w:style>
  <w:style w:type="paragraph" w:styleId="29">
    <w:name w:val="toc 3"/>
    <w:basedOn w:val="1"/>
    <w:next w:val="1"/>
    <w:uiPriority w:val="0"/>
    <w:pPr>
      <w:tabs>
        <w:tab w:val="left" w:pos="1050"/>
        <w:tab w:val="right" w:leader="dot" w:pos="8636"/>
      </w:tabs>
      <w:spacing w:line="360" w:lineRule="auto"/>
      <w:jc w:val="left"/>
    </w:pPr>
    <w:rPr>
      <w:rFonts w:ascii="楷体_GB2312" w:hAnsi="黑体" w:eastAsia="楷体_GB2312"/>
      <w:sz w:val="28"/>
      <w:szCs w:val="20"/>
    </w:rPr>
  </w:style>
  <w:style w:type="paragraph" w:styleId="30">
    <w:name w:val="Plain Text"/>
    <w:basedOn w:val="1"/>
    <w:link w:val="140"/>
    <w:uiPriority w:val="0"/>
    <w:rPr>
      <w:rFonts w:ascii="宋体" w:hAnsi="Courier New"/>
      <w:kern w:val="0"/>
      <w:sz w:val="20"/>
      <w:szCs w:val="21"/>
    </w:rPr>
  </w:style>
  <w:style w:type="paragraph" w:styleId="31">
    <w:name w:val="toc 8"/>
    <w:basedOn w:val="1"/>
    <w:next w:val="1"/>
    <w:uiPriority w:val="0"/>
    <w:pPr>
      <w:ind w:left="1470"/>
      <w:jc w:val="left"/>
    </w:pPr>
    <w:rPr>
      <w:rFonts w:ascii="Times New Roman" w:hAnsi="Times New Roman"/>
      <w:sz w:val="20"/>
      <w:szCs w:val="20"/>
    </w:rPr>
  </w:style>
  <w:style w:type="paragraph" w:styleId="32">
    <w:name w:val="Date"/>
    <w:basedOn w:val="1"/>
    <w:next w:val="1"/>
    <w:link w:val="69"/>
    <w:uiPriority w:val="0"/>
    <w:pPr>
      <w:ind w:left="100" w:leftChars="2500"/>
    </w:pPr>
    <w:rPr>
      <w:rFonts w:ascii="Times New Roman" w:hAnsi="Times New Roman"/>
      <w:kern w:val="0"/>
      <w:sz w:val="20"/>
      <w:szCs w:val="24"/>
    </w:rPr>
  </w:style>
  <w:style w:type="paragraph" w:styleId="33">
    <w:name w:val="Body Text Indent 2"/>
    <w:basedOn w:val="1"/>
    <w:link w:val="82"/>
    <w:uiPriority w:val="0"/>
    <w:pPr>
      <w:spacing w:after="120" w:line="480" w:lineRule="auto"/>
      <w:ind w:left="420" w:leftChars="200"/>
    </w:pPr>
    <w:rPr>
      <w:rFonts w:ascii="Times New Roman" w:hAnsi="Times New Roman"/>
      <w:kern w:val="0"/>
      <w:sz w:val="20"/>
      <w:szCs w:val="24"/>
    </w:rPr>
  </w:style>
  <w:style w:type="paragraph" w:styleId="34">
    <w:name w:val="Balloon Text"/>
    <w:basedOn w:val="1"/>
    <w:link w:val="113"/>
    <w:semiHidden/>
    <w:uiPriority w:val="0"/>
    <w:rPr>
      <w:rFonts w:ascii="Times New Roman" w:hAnsi="Times New Roman"/>
      <w:kern w:val="0"/>
      <w:sz w:val="18"/>
      <w:szCs w:val="18"/>
    </w:rPr>
  </w:style>
  <w:style w:type="paragraph" w:styleId="35">
    <w:name w:val="footer"/>
    <w:basedOn w:val="1"/>
    <w:link w:val="111"/>
    <w:uiPriority w:val="99"/>
    <w:pPr>
      <w:tabs>
        <w:tab w:val="center" w:pos="4153"/>
        <w:tab w:val="right" w:pos="8306"/>
      </w:tabs>
      <w:snapToGrid w:val="0"/>
      <w:jc w:val="left"/>
    </w:pPr>
    <w:rPr>
      <w:rFonts w:ascii="Times New Roman" w:hAnsi="Times New Roman"/>
      <w:kern w:val="0"/>
      <w:sz w:val="18"/>
      <w:szCs w:val="20"/>
    </w:rPr>
  </w:style>
  <w:style w:type="paragraph" w:styleId="36">
    <w:name w:val="header"/>
    <w:basedOn w:val="1"/>
    <w:link w:val="17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20"/>
    </w:rPr>
  </w:style>
  <w:style w:type="paragraph" w:styleId="37">
    <w:name w:val="toc 1"/>
    <w:basedOn w:val="1"/>
    <w:next w:val="1"/>
    <w:qFormat/>
    <w:uiPriority w:val="39"/>
    <w:pPr>
      <w:adjustRightInd w:val="0"/>
      <w:snapToGrid w:val="0"/>
    </w:pPr>
    <w:rPr>
      <w:rFonts w:ascii="Times New Roman" w:hAnsi="Times New Roman" w:eastAsia="仿宋"/>
      <w:szCs w:val="24"/>
    </w:rPr>
  </w:style>
  <w:style w:type="paragraph" w:styleId="38">
    <w:name w:val="toc 4"/>
    <w:basedOn w:val="1"/>
    <w:next w:val="1"/>
    <w:qFormat/>
    <w:uiPriority w:val="0"/>
    <w:pPr>
      <w:ind w:left="630"/>
      <w:jc w:val="left"/>
    </w:pPr>
    <w:rPr>
      <w:rFonts w:ascii="楷体_GB2312" w:hAnsi="Times New Roman" w:eastAsia="楷体_GB2312"/>
      <w:sz w:val="28"/>
      <w:szCs w:val="20"/>
    </w:rPr>
  </w:style>
  <w:style w:type="paragraph" w:styleId="39">
    <w:name w:val="List"/>
    <w:basedOn w:val="1"/>
    <w:qFormat/>
    <w:uiPriority w:val="0"/>
    <w:pPr>
      <w:ind w:left="200" w:hanging="200" w:hangingChars="200"/>
    </w:pPr>
    <w:rPr>
      <w:rFonts w:ascii="Times New Roman" w:hAnsi="Times New Roman"/>
      <w:szCs w:val="24"/>
    </w:rPr>
  </w:style>
  <w:style w:type="paragraph" w:styleId="40">
    <w:name w:val="toc 6"/>
    <w:basedOn w:val="1"/>
    <w:next w:val="1"/>
    <w:uiPriority w:val="0"/>
    <w:pPr>
      <w:ind w:left="1050"/>
      <w:jc w:val="left"/>
    </w:pPr>
    <w:rPr>
      <w:rFonts w:ascii="Times New Roman" w:hAnsi="Times New Roman"/>
      <w:sz w:val="20"/>
      <w:szCs w:val="20"/>
    </w:rPr>
  </w:style>
  <w:style w:type="paragraph" w:styleId="41">
    <w:name w:val="Body Text Indent 3"/>
    <w:basedOn w:val="1"/>
    <w:link w:val="137"/>
    <w:qFormat/>
    <w:uiPriority w:val="0"/>
    <w:pPr>
      <w:spacing w:after="120"/>
      <w:ind w:left="420" w:leftChars="200"/>
    </w:pPr>
    <w:rPr>
      <w:rFonts w:ascii="Times New Roman" w:hAnsi="Times New Roman"/>
      <w:kern w:val="0"/>
      <w:sz w:val="16"/>
      <w:szCs w:val="16"/>
    </w:rPr>
  </w:style>
  <w:style w:type="paragraph" w:styleId="42">
    <w:name w:val="toc 2"/>
    <w:basedOn w:val="1"/>
    <w:next w:val="1"/>
    <w:uiPriority w:val="0"/>
    <w:pPr>
      <w:tabs>
        <w:tab w:val="left" w:pos="0"/>
        <w:tab w:val="left" w:pos="840"/>
        <w:tab w:val="right" w:leader="dot" w:pos="8688"/>
      </w:tabs>
      <w:adjustRightInd w:val="0"/>
      <w:snapToGrid w:val="0"/>
      <w:spacing w:before="120"/>
      <w:jc w:val="left"/>
    </w:pPr>
    <w:rPr>
      <w:rFonts w:ascii="楷体_GB2312" w:hAnsi="Times New Roman" w:eastAsia="仿宋"/>
      <w:sz w:val="24"/>
      <w:szCs w:val="28"/>
    </w:rPr>
  </w:style>
  <w:style w:type="paragraph" w:styleId="43">
    <w:name w:val="toc 9"/>
    <w:basedOn w:val="1"/>
    <w:next w:val="1"/>
    <w:qFormat/>
    <w:uiPriority w:val="0"/>
    <w:pPr>
      <w:ind w:left="1680"/>
      <w:jc w:val="left"/>
    </w:pPr>
    <w:rPr>
      <w:rFonts w:ascii="Times New Roman" w:hAnsi="Times New Roman"/>
      <w:sz w:val="20"/>
      <w:szCs w:val="20"/>
    </w:rPr>
  </w:style>
  <w:style w:type="paragraph" w:styleId="44">
    <w:name w:val="Body Text 2"/>
    <w:basedOn w:val="1"/>
    <w:link w:val="114"/>
    <w:unhideWhenUsed/>
    <w:qFormat/>
    <w:uiPriority w:val="0"/>
    <w:pPr>
      <w:spacing w:after="120" w:line="480" w:lineRule="auto"/>
    </w:pPr>
    <w:rPr>
      <w:rFonts w:ascii="Times New Roman" w:hAnsi="Times New Roman"/>
      <w:kern w:val="0"/>
      <w:sz w:val="20"/>
      <w:szCs w:val="24"/>
    </w:rPr>
  </w:style>
  <w:style w:type="paragraph" w:styleId="45">
    <w:name w:val="List 4"/>
    <w:basedOn w:val="1"/>
    <w:uiPriority w:val="0"/>
    <w:pPr>
      <w:ind w:left="100" w:leftChars="600" w:hanging="200" w:hangingChars="200"/>
    </w:pPr>
    <w:rPr>
      <w:rFonts w:ascii="Times New Roman" w:hAnsi="Times New Roman"/>
      <w:szCs w:val="24"/>
    </w:rPr>
  </w:style>
  <w:style w:type="paragraph" w:styleId="46">
    <w:name w:val="List Continue 2"/>
    <w:basedOn w:val="1"/>
    <w:uiPriority w:val="0"/>
    <w:pPr>
      <w:spacing w:after="120"/>
      <w:ind w:left="840" w:leftChars="400"/>
    </w:pPr>
    <w:rPr>
      <w:rFonts w:ascii="Times New Roman" w:hAnsi="Times New Roman"/>
      <w:szCs w:val="24"/>
    </w:rPr>
  </w:style>
  <w:style w:type="paragraph" w:styleId="47">
    <w:name w:val="HTML Preformatted"/>
    <w:basedOn w:val="1"/>
    <w:link w:val="81"/>
    <w:unhideWhenUsed/>
    <w:uiPriority w:val="99"/>
    <w:rPr>
      <w:rFonts w:ascii="Courier New" w:hAnsi="Courier New"/>
      <w:sz w:val="20"/>
      <w:szCs w:val="24"/>
    </w:rPr>
  </w:style>
  <w:style w:type="paragraph" w:styleId="48">
    <w:name w:val="Normal (Web)"/>
    <w:basedOn w:val="1"/>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9">
    <w:name w:val="index 1"/>
    <w:basedOn w:val="1"/>
    <w:next w:val="1"/>
    <w:uiPriority w:val="0"/>
    <w:pPr>
      <w:adjustRightInd w:val="0"/>
      <w:snapToGrid w:val="0"/>
      <w:jc w:val="center"/>
    </w:pPr>
    <w:rPr>
      <w:rFonts w:ascii="Times New Roman" w:hAnsi="Times New Roman"/>
      <w:szCs w:val="20"/>
    </w:rPr>
  </w:style>
  <w:style w:type="paragraph" w:styleId="50">
    <w:name w:val="Title"/>
    <w:basedOn w:val="1"/>
    <w:next w:val="1"/>
    <w:link w:val="132"/>
    <w:qFormat/>
    <w:uiPriority w:val="0"/>
    <w:pPr>
      <w:spacing w:before="60" w:after="60"/>
      <w:jc w:val="center"/>
      <w:outlineLvl w:val="0"/>
    </w:pPr>
    <w:rPr>
      <w:rFonts w:ascii="Cambria" w:hAnsi="Cambria" w:eastAsia="黑体"/>
      <w:b/>
      <w:bCs/>
      <w:kern w:val="0"/>
      <w:sz w:val="32"/>
      <w:szCs w:val="32"/>
    </w:rPr>
  </w:style>
  <w:style w:type="paragraph" w:styleId="51">
    <w:name w:val="annotation subject"/>
    <w:basedOn w:val="19"/>
    <w:next w:val="19"/>
    <w:link w:val="147"/>
    <w:semiHidden/>
    <w:uiPriority w:val="0"/>
    <w:rPr>
      <w:rFonts w:ascii="Times New Roman" w:hAnsi="Times New Roman"/>
      <w:b/>
      <w:bCs/>
      <w:kern w:val="0"/>
      <w:sz w:val="20"/>
      <w:szCs w:val="24"/>
    </w:rPr>
  </w:style>
  <w:style w:type="paragraph" w:styleId="52">
    <w:name w:val="Body Text First Indent"/>
    <w:basedOn w:val="22"/>
    <w:link w:val="164"/>
    <w:uiPriority w:val="0"/>
    <w:pPr>
      <w:ind w:firstLine="420" w:firstLineChars="100"/>
    </w:pPr>
    <w:rPr>
      <w:rFonts w:ascii="Times New Roman" w:hAnsi="Times New Roman"/>
      <w:kern w:val="0"/>
      <w:sz w:val="20"/>
      <w:szCs w:val="24"/>
    </w:rPr>
  </w:style>
  <w:style w:type="paragraph" w:styleId="53">
    <w:name w:val="Body Text First Indent 2"/>
    <w:basedOn w:val="23"/>
    <w:link w:val="86"/>
    <w:uiPriority w:val="0"/>
    <w:pPr>
      <w:spacing w:after="120"/>
      <w:ind w:left="420" w:leftChars="200" w:firstLine="420"/>
    </w:pPr>
    <w:rPr>
      <w:kern w:val="2"/>
      <w:szCs w:val="24"/>
    </w:rPr>
  </w:style>
  <w:style w:type="table" w:styleId="55">
    <w:name w:val="Table Grid"/>
    <w:basedOn w:val="54"/>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7">
    <w:name w:val="Strong"/>
    <w:qFormat/>
    <w:uiPriority w:val="0"/>
    <w:rPr>
      <w:b/>
      <w:bCs/>
    </w:rPr>
  </w:style>
  <w:style w:type="character" w:styleId="58">
    <w:name w:val="page number"/>
    <w:uiPriority w:val="0"/>
  </w:style>
  <w:style w:type="character" w:styleId="59">
    <w:name w:val="FollowedHyperlink"/>
    <w:unhideWhenUsed/>
    <w:uiPriority w:val="99"/>
    <w:rPr>
      <w:color w:val="800080"/>
      <w:u w:val="single"/>
    </w:rPr>
  </w:style>
  <w:style w:type="character" w:styleId="60">
    <w:name w:val="Emphasis"/>
    <w:qFormat/>
    <w:uiPriority w:val="20"/>
    <w:rPr>
      <w:color w:val="CC0000"/>
    </w:rPr>
  </w:style>
  <w:style w:type="character" w:styleId="61">
    <w:name w:val="Hyperlink"/>
    <w:uiPriority w:val="99"/>
    <w:rPr>
      <w:color w:val="0000FF"/>
      <w:u w:val="single"/>
    </w:rPr>
  </w:style>
  <w:style w:type="character" w:styleId="62">
    <w:name w:val="annotation reference"/>
    <w:semiHidden/>
    <w:uiPriority w:val="0"/>
    <w:rPr>
      <w:sz w:val="21"/>
      <w:szCs w:val="21"/>
    </w:rPr>
  </w:style>
  <w:style w:type="character" w:customStyle="1" w:styleId="63">
    <w:name w:val="正文文本 Char2"/>
    <w:semiHidden/>
    <w:uiPriority w:val="99"/>
    <w:rPr>
      <w:kern w:val="2"/>
      <w:sz w:val="21"/>
      <w:szCs w:val="22"/>
    </w:rPr>
  </w:style>
  <w:style w:type="character" w:customStyle="1" w:styleId="64">
    <w:name w:val="标题 4 Char"/>
    <w:qFormat/>
    <w:uiPriority w:val="0"/>
    <w:rPr>
      <w:rFonts w:ascii="Cambria" w:hAnsi="Cambria" w:eastAsia="宋体" w:cs="Times New Roman"/>
      <w:b/>
      <w:bCs/>
      <w:kern w:val="2"/>
      <w:sz w:val="28"/>
      <w:szCs w:val="28"/>
    </w:rPr>
  </w:style>
  <w:style w:type="character" w:customStyle="1" w:styleId="65">
    <w:name w:val="正文文本缩进 2 Char"/>
    <w:qFormat/>
    <w:uiPriority w:val="0"/>
    <w:rPr>
      <w:kern w:val="2"/>
      <w:sz w:val="21"/>
      <w:szCs w:val="22"/>
    </w:rPr>
  </w:style>
  <w:style w:type="character" w:customStyle="1" w:styleId="66">
    <w:name w:val="Char Char2"/>
    <w:uiPriority w:val="0"/>
    <w:rPr>
      <w:rFonts w:eastAsia="宋体"/>
      <w:kern w:val="2"/>
      <w:sz w:val="18"/>
      <w:szCs w:val="18"/>
      <w:lang w:val="en-US" w:eastAsia="zh-CN" w:bidi="ar-SA"/>
    </w:rPr>
  </w:style>
  <w:style w:type="character" w:customStyle="1" w:styleId="67">
    <w:name w:val="日期 Char3"/>
    <w:semiHidden/>
    <w:uiPriority w:val="99"/>
    <w:rPr>
      <w:kern w:val="2"/>
      <w:sz w:val="21"/>
      <w:szCs w:val="22"/>
    </w:rPr>
  </w:style>
  <w:style w:type="character" w:customStyle="1" w:styleId="68">
    <w:name w:val="日期 Char"/>
    <w:uiPriority w:val="0"/>
    <w:rPr>
      <w:kern w:val="2"/>
      <w:sz w:val="21"/>
      <w:szCs w:val="22"/>
    </w:rPr>
  </w:style>
  <w:style w:type="character" w:customStyle="1" w:styleId="69">
    <w:name w:val="日期 Char2"/>
    <w:link w:val="32"/>
    <w:qFormat/>
    <w:uiPriority w:val="0"/>
    <w:rPr>
      <w:rFonts w:ascii="Times New Roman" w:hAnsi="Times New Roman"/>
      <w:szCs w:val="24"/>
    </w:rPr>
  </w:style>
  <w:style w:type="character" w:customStyle="1" w:styleId="70">
    <w:name w:val="font41"/>
    <w:qFormat/>
    <w:uiPriority w:val="0"/>
    <w:rPr>
      <w:rFonts w:hint="eastAsia" w:ascii="宋体" w:hAnsi="宋体" w:eastAsia="宋体" w:cs="宋体"/>
      <w:b/>
      <w:color w:val="000000"/>
      <w:sz w:val="24"/>
      <w:szCs w:val="24"/>
      <w:u w:val="none"/>
    </w:rPr>
  </w:style>
  <w:style w:type="character" w:customStyle="1" w:styleId="71">
    <w:name w:val="称呼 字符1"/>
    <w:uiPriority w:val="0"/>
  </w:style>
  <w:style w:type="character" w:customStyle="1" w:styleId="72">
    <w:name w:val="正文文本缩进 2字符1"/>
    <w:semiHidden/>
    <w:uiPriority w:val="99"/>
  </w:style>
  <w:style w:type="character" w:customStyle="1" w:styleId="73">
    <w:name w:val="页脚 Char2"/>
    <w:semiHidden/>
    <w:uiPriority w:val="99"/>
    <w:rPr>
      <w:kern w:val="2"/>
      <w:sz w:val="18"/>
      <w:szCs w:val="18"/>
    </w:rPr>
  </w:style>
  <w:style w:type="character" w:customStyle="1" w:styleId="74">
    <w:name w:val="标题 6 Char"/>
    <w:uiPriority w:val="0"/>
    <w:rPr>
      <w:rFonts w:ascii="Cambria" w:hAnsi="Cambria" w:eastAsia="宋体" w:cs="Times New Roman"/>
      <w:b/>
      <w:bCs/>
      <w:kern w:val="2"/>
      <w:sz w:val="24"/>
      <w:szCs w:val="24"/>
    </w:rPr>
  </w:style>
  <w:style w:type="character" w:customStyle="1" w:styleId="75">
    <w:name w:val="正文首行缩进 2 Char1"/>
    <w:basedOn w:val="76"/>
    <w:semiHidden/>
    <w:qFormat/>
    <w:uiPriority w:val="99"/>
  </w:style>
  <w:style w:type="character" w:customStyle="1" w:styleId="76">
    <w:name w:val="正文文本缩进 Char2"/>
    <w:semiHidden/>
    <w:uiPriority w:val="99"/>
    <w:rPr>
      <w:kern w:val="2"/>
      <w:sz w:val="21"/>
      <w:szCs w:val="22"/>
    </w:rPr>
  </w:style>
  <w:style w:type="character" w:customStyle="1" w:styleId="77">
    <w:name w:val="font71"/>
    <w:qFormat/>
    <w:uiPriority w:val="0"/>
    <w:rPr>
      <w:rFonts w:hint="eastAsia" w:ascii="宋体" w:hAnsi="宋体" w:eastAsia="宋体" w:cs="宋体"/>
      <w:color w:val="000000"/>
      <w:sz w:val="24"/>
      <w:szCs w:val="24"/>
      <w:u w:val="none"/>
    </w:rPr>
  </w:style>
  <w:style w:type="character" w:customStyle="1" w:styleId="78">
    <w:name w:val="正文首行缩进字符1"/>
    <w:semiHidden/>
    <w:uiPriority w:val="99"/>
  </w:style>
  <w:style w:type="character" w:customStyle="1" w:styleId="79">
    <w:name w:val="正文文本缩进字符1"/>
    <w:semiHidden/>
    <w:uiPriority w:val="99"/>
  </w:style>
  <w:style w:type="character" w:customStyle="1" w:styleId="80">
    <w:name w:val="标题 2 Char1"/>
    <w:link w:val="3"/>
    <w:qFormat/>
    <w:uiPriority w:val="0"/>
    <w:rPr>
      <w:rFonts w:ascii="Arial" w:hAnsi="Arial"/>
      <w:b/>
      <w:bCs/>
      <w:sz w:val="28"/>
      <w:szCs w:val="32"/>
    </w:rPr>
  </w:style>
  <w:style w:type="character" w:customStyle="1" w:styleId="81">
    <w:name w:val="HTML 预设格式 Char"/>
    <w:link w:val="47"/>
    <w:qFormat/>
    <w:uiPriority w:val="99"/>
    <w:rPr>
      <w:rFonts w:ascii="Courier New" w:hAnsi="Courier New"/>
      <w:kern w:val="2"/>
      <w:szCs w:val="24"/>
    </w:rPr>
  </w:style>
  <w:style w:type="character" w:customStyle="1" w:styleId="82">
    <w:name w:val="正文文本缩进 2 Char1"/>
    <w:link w:val="33"/>
    <w:qFormat/>
    <w:uiPriority w:val="0"/>
    <w:rPr>
      <w:rFonts w:ascii="Times New Roman" w:hAnsi="Times New Roman"/>
      <w:szCs w:val="24"/>
    </w:rPr>
  </w:style>
  <w:style w:type="character" w:customStyle="1" w:styleId="83">
    <w:name w:val="标题 8 Char1"/>
    <w:link w:val="9"/>
    <w:qFormat/>
    <w:uiPriority w:val="0"/>
    <w:rPr>
      <w:rFonts w:ascii="Arial" w:hAnsi="Arial" w:eastAsia="黑体"/>
      <w:sz w:val="24"/>
      <w:szCs w:val="24"/>
    </w:rPr>
  </w:style>
  <w:style w:type="character" w:customStyle="1" w:styleId="84">
    <w:name w:val="批注文字 Char"/>
    <w:semiHidden/>
    <w:qFormat/>
    <w:uiPriority w:val="99"/>
    <w:rPr>
      <w:kern w:val="2"/>
      <w:sz w:val="21"/>
      <w:szCs w:val="22"/>
    </w:rPr>
  </w:style>
  <w:style w:type="character" w:customStyle="1" w:styleId="85">
    <w:name w:val="批注主题 Char"/>
    <w:semiHidden/>
    <w:qFormat/>
    <w:uiPriority w:val="0"/>
    <w:rPr>
      <w:b/>
      <w:bCs/>
      <w:kern w:val="2"/>
      <w:sz w:val="21"/>
      <w:szCs w:val="22"/>
    </w:rPr>
  </w:style>
  <w:style w:type="character" w:customStyle="1" w:styleId="86">
    <w:name w:val="正文首行缩进 2 Char"/>
    <w:link w:val="53"/>
    <w:qFormat/>
    <w:uiPriority w:val="0"/>
    <w:rPr>
      <w:rFonts w:ascii="宋体" w:hAnsi="宋体"/>
      <w:kern w:val="2"/>
      <w:sz w:val="28"/>
      <w:szCs w:val="24"/>
    </w:rPr>
  </w:style>
  <w:style w:type="character" w:customStyle="1" w:styleId="87">
    <w:name w:val="正文文本缩进 3 Char"/>
    <w:qFormat/>
    <w:uiPriority w:val="0"/>
    <w:rPr>
      <w:kern w:val="2"/>
      <w:sz w:val="16"/>
      <w:szCs w:val="16"/>
    </w:rPr>
  </w:style>
  <w:style w:type="character" w:customStyle="1" w:styleId="88">
    <w:name w:val="标题 7 Char1"/>
    <w:link w:val="8"/>
    <w:qFormat/>
    <w:uiPriority w:val="0"/>
    <w:rPr>
      <w:rFonts w:ascii="Times New Roman" w:hAnsi="Times New Roman"/>
      <w:b/>
      <w:bCs/>
      <w:sz w:val="24"/>
      <w:szCs w:val="24"/>
    </w:rPr>
  </w:style>
  <w:style w:type="character" w:customStyle="1" w:styleId="89">
    <w:name w:val="标题 9 Char"/>
    <w:qFormat/>
    <w:uiPriority w:val="0"/>
    <w:rPr>
      <w:rFonts w:ascii="Cambria" w:hAnsi="Cambria" w:eastAsia="宋体" w:cs="Times New Roman"/>
      <w:kern w:val="2"/>
      <w:sz w:val="21"/>
      <w:szCs w:val="21"/>
    </w:rPr>
  </w:style>
  <w:style w:type="character" w:customStyle="1" w:styleId="90">
    <w:name w:val="文档结构图 Char2"/>
    <w:semiHidden/>
    <w:qFormat/>
    <w:uiPriority w:val="99"/>
    <w:rPr>
      <w:rFonts w:ascii="宋体"/>
      <w:kern w:val="2"/>
      <w:sz w:val="18"/>
      <w:szCs w:val="18"/>
    </w:rPr>
  </w:style>
  <w:style w:type="character" w:customStyle="1" w:styleId="91">
    <w:name w:val="正文文本 3字符1"/>
    <w:semiHidden/>
    <w:qFormat/>
    <w:uiPriority w:val="99"/>
    <w:rPr>
      <w:sz w:val="16"/>
      <w:szCs w:val="16"/>
    </w:rPr>
  </w:style>
  <w:style w:type="character" w:customStyle="1" w:styleId="92">
    <w:name w:val="正文首行缩进 Char"/>
    <w:uiPriority w:val="0"/>
  </w:style>
  <w:style w:type="character" w:customStyle="1" w:styleId="93">
    <w:name w:val="标题 1 Char1"/>
    <w:link w:val="2"/>
    <w:uiPriority w:val="0"/>
    <w:rPr>
      <w:rFonts w:ascii="Times New Roman" w:hAnsi="Times New Roman"/>
      <w:b/>
      <w:bCs/>
      <w:kern w:val="44"/>
      <w:sz w:val="30"/>
      <w:szCs w:val="44"/>
    </w:rPr>
  </w:style>
  <w:style w:type="character" w:customStyle="1" w:styleId="94">
    <w:name w:val="小正文 Char"/>
    <w:uiPriority w:val="0"/>
    <w:rPr>
      <w:rFonts w:hint="eastAsia" w:ascii="仿宋_GB2312" w:hAnsi="宋体" w:eastAsia="仿宋_GB2312" w:cs="仿宋_GB2312"/>
      <w:sz w:val="28"/>
      <w:szCs w:val="28"/>
    </w:rPr>
  </w:style>
  <w:style w:type="character" w:customStyle="1" w:styleId="95">
    <w:name w:val="样式 样式1 + Arial Char"/>
    <w:uiPriority w:val="0"/>
    <w:rPr>
      <w:rFonts w:hint="default" w:ascii="Arial" w:hAnsi="Arial" w:eastAsia="宋体" w:cs="Arial"/>
      <w:szCs w:val="32"/>
    </w:rPr>
  </w:style>
  <w:style w:type="character" w:customStyle="1" w:styleId="96">
    <w:name w:val="批注主题 Char2"/>
    <w:semiHidden/>
    <w:uiPriority w:val="99"/>
    <w:rPr>
      <w:b/>
      <w:bCs/>
      <w:kern w:val="2"/>
      <w:sz w:val="21"/>
      <w:szCs w:val="22"/>
    </w:rPr>
  </w:style>
  <w:style w:type="character" w:customStyle="1" w:styleId="97">
    <w:name w:val="标题 3 Char1"/>
    <w:link w:val="4"/>
    <w:uiPriority w:val="0"/>
    <w:rPr>
      <w:rFonts w:ascii="宋体"/>
      <w:b/>
      <w:sz w:val="28"/>
    </w:rPr>
  </w:style>
  <w:style w:type="character" w:customStyle="1" w:styleId="98">
    <w:name w:val="标题 3 Char"/>
    <w:qFormat/>
    <w:uiPriority w:val="0"/>
    <w:rPr>
      <w:b/>
      <w:bCs/>
      <w:kern w:val="2"/>
      <w:sz w:val="32"/>
      <w:szCs w:val="32"/>
    </w:rPr>
  </w:style>
  <w:style w:type="character" w:customStyle="1" w:styleId="99">
    <w:name w:val="批注文字 Char1"/>
    <w:uiPriority w:val="0"/>
    <w:rPr>
      <w:rFonts w:hint="default" w:ascii="Calibri" w:hAnsi="Calibri" w:eastAsia="宋体" w:cs="Calibri"/>
      <w:kern w:val="2"/>
      <w:sz w:val="21"/>
      <w:szCs w:val="22"/>
      <w:lang w:val="en-US" w:eastAsia="zh-CN"/>
    </w:rPr>
  </w:style>
  <w:style w:type="character" w:customStyle="1" w:styleId="100">
    <w:name w:val="批注框文本 Char"/>
    <w:semiHidden/>
    <w:uiPriority w:val="0"/>
    <w:rPr>
      <w:kern w:val="2"/>
      <w:sz w:val="18"/>
      <w:szCs w:val="18"/>
    </w:rPr>
  </w:style>
  <w:style w:type="character" w:customStyle="1" w:styleId="101">
    <w:name w:val="批注文字 Char2"/>
    <w:link w:val="19"/>
    <w:semiHidden/>
    <w:uiPriority w:val="99"/>
    <w:rPr>
      <w:kern w:val="2"/>
      <w:sz w:val="21"/>
      <w:szCs w:val="22"/>
    </w:rPr>
  </w:style>
  <w:style w:type="character" w:customStyle="1" w:styleId="102">
    <w:name w:val="lan181"/>
    <w:uiPriority w:val="0"/>
    <w:rPr>
      <w:rFonts w:hint="default" w:ascii="Arial" w:hAnsi="Arial" w:eastAsia="宋体" w:cs="Arial"/>
      <w:color w:val="008AA8"/>
      <w:sz w:val="30"/>
      <w:szCs w:val="30"/>
      <w:lang w:val="en-US" w:eastAsia="en-US"/>
    </w:rPr>
  </w:style>
  <w:style w:type="character" w:customStyle="1" w:styleId="103">
    <w:name w:val="正文文本缩进 Char"/>
    <w:uiPriority w:val="0"/>
    <w:rPr>
      <w:kern w:val="2"/>
      <w:sz w:val="21"/>
      <w:szCs w:val="22"/>
    </w:rPr>
  </w:style>
  <w:style w:type="character" w:customStyle="1" w:styleId="104">
    <w:name w:val="正文文本缩进 3字符1"/>
    <w:semiHidden/>
    <w:uiPriority w:val="99"/>
    <w:rPr>
      <w:sz w:val="16"/>
      <w:szCs w:val="16"/>
    </w:rPr>
  </w:style>
  <w:style w:type="character" w:customStyle="1" w:styleId="105">
    <w:name w:val="标题 Char1"/>
    <w:uiPriority w:val="10"/>
    <w:rPr>
      <w:rFonts w:ascii="Cambria" w:hAnsi="Cambria" w:cs="Times New Roman"/>
      <w:b/>
      <w:bCs/>
      <w:kern w:val="2"/>
      <w:sz w:val="32"/>
      <w:szCs w:val="32"/>
    </w:rPr>
  </w:style>
  <w:style w:type="character" w:customStyle="1" w:styleId="106">
    <w:name w:val="文档结构图 Char1"/>
    <w:link w:val="18"/>
    <w:uiPriority w:val="0"/>
    <w:rPr>
      <w:rFonts w:ascii="Times New Roman" w:hAnsi="Times New Roman"/>
      <w:szCs w:val="24"/>
      <w:shd w:val="clear" w:color="auto" w:fill="000080"/>
    </w:rPr>
  </w:style>
  <w:style w:type="character" w:customStyle="1" w:styleId="107">
    <w:name w:val="标题 8 Char"/>
    <w:uiPriority w:val="0"/>
    <w:rPr>
      <w:rFonts w:ascii="Cambria" w:hAnsi="Cambria" w:eastAsia="宋体" w:cs="Times New Roman"/>
      <w:kern w:val="2"/>
      <w:sz w:val="24"/>
      <w:szCs w:val="24"/>
    </w:rPr>
  </w:style>
  <w:style w:type="character" w:customStyle="1" w:styleId="108">
    <w:name w:val="正文文本 Char1"/>
    <w:uiPriority w:val="0"/>
    <w:rPr>
      <w:rFonts w:hint="eastAsia" w:ascii="宋体" w:hAnsi="宋体" w:eastAsia="宋体" w:cs="宋体"/>
    </w:rPr>
  </w:style>
  <w:style w:type="character" w:customStyle="1" w:styleId="109">
    <w:name w:val="正文文本 3 Char"/>
    <w:link w:val="21"/>
    <w:uiPriority w:val="0"/>
    <w:rPr>
      <w:rFonts w:ascii="Times New Roman" w:hAnsi="Times New Roman"/>
      <w:sz w:val="16"/>
      <w:szCs w:val="16"/>
    </w:rPr>
  </w:style>
  <w:style w:type="character" w:customStyle="1" w:styleId="110">
    <w:name w:val="日期字符1"/>
    <w:semiHidden/>
    <w:uiPriority w:val="99"/>
  </w:style>
  <w:style w:type="character" w:customStyle="1" w:styleId="111">
    <w:name w:val="页脚 Char1"/>
    <w:link w:val="35"/>
    <w:uiPriority w:val="99"/>
    <w:rPr>
      <w:rFonts w:ascii="Times New Roman" w:hAnsi="Times New Roman"/>
      <w:sz w:val="18"/>
    </w:rPr>
  </w:style>
  <w:style w:type="character" w:customStyle="1" w:styleId="112">
    <w:name w:val="页脚 Char"/>
    <w:uiPriority w:val="99"/>
    <w:rPr>
      <w:kern w:val="2"/>
      <w:sz w:val="18"/>
      <w:szCs w:val="18"/>
    </w:rPr>
  </w:style>
  <w:style w:type="character" w:customStyle="1" w:styleId="113">
    <w:name w:val="批注框文本 Char1"/>
    <w:link w:val="34"/>
    <w:semiHidden/>
    <w:uiPriority w:val="0"/>
    <w:rPr>
      <w:rFonts w:ascii="Times New Roman" w:hAnsi="Times New Roman"/>
      <w:sz w:val="18"/>
      <w:szCs w:val="18"/>
    </w:rPr>
  </w:style>
  <w:style w:type="character" w:customStyle="1" w:styleId="114">
    <w:name w:val="正文文本 2 Char1"/>
    <w:link w:val="44"/>
    <w:uiPriority w:val="0"/>
    <w:rPr>
      <w:rFonts w:ascii="Times New Roman" w:hAnsi="Times New Roman"/>
      <w:szCs w:val="24"/>
    </w:rPr>
  </w:style>
  <w:style w:type="character" w:customStyle="1" w:styleId="115">
    <w:name w:val="称呼 Char2"/>
    <w:semiHidden/>
    <w:uiPriority w:val="99"/>
    <w:rPr>
      <w:kern w:val="2"/>
      <w:sz w:val="21"/>
      <w:szCs w:val="22"/>
    </w:rPr>
  </w:style>
  <w:style w:type="character" w:customStyle="1" w:styleId="116">
    <w:name w:val="font51"/>
    <w:qFormat/>
    <w:uiPriority w:val="0"/>
    <w:rPr>
      <w:rFonts w:hint="default" w:ascii="Times New Roman" w:hAnsi="Times New Roman" w:cs="Times New Roman"/>
      <w:b/>
      <w:color w:val="000000"/>
      <w:sz w:val="24"/>
      <w:szCs w:val="24"/>
      <w:u w:val="none"/>
    </w:rPr>
  </w:style>
  <w:style w:type="character" w:customStyle="1" w:styleId="117">
    <w:name w:val="标题 1 Char"/>
    <w:uiPriority w:val="0"/>
    <w:rPr>
      <w:b/>
      <w:bCs/>
      <w:kern w:val="44"/>
      <w:sz w:val="44"/>
      <w:szCs w:val="44"/>
    </w:rPr>
  </w:style>
  <w:style w:type="character" w:customStyle="1" w:styleId="118">
    <w:name w:val="纯文本 Char1"/>
    <w:uiPriority w:val="0"/>
    <w:rPr>
      <w:rFonts w:hint="eastAsia" w:ascii="宋体" w:hAnsi="Courier New" w:eastAsia="宋体" w:cs="Courier New"/>
      <w:szCs w:val="21"/>
    </w:rPr>
  </w:style>
  <w:style w:type="character" w:customStyle="1" w:styleId="119">
    <w:name w:val="Char Char3"/>
    <w:uiPriority w:val="0"/>
    <w:rPr>
      <w:rFonts w:eastAsia="宋体"/>
      <w:kern w:val="2"/>
      <w:sz w:val="18"/>
      <w:szCs w:val="18"/>
      <w:lang w:val="en-US" w:eastAsia="zh-CN" w:bidi="ar-SA"/>
    </w:rPr>
  </w:style>
  <w:style w:type="character" w:customStyle="1" w:styleId="120">
    <w:name w:val="批注框文本字符1"/>
    <w:semiHidden/>
    <w:uiPriority w:val="99"/>
    <w:rPr>
      <w:rFonts w:ascii="Heiti SC Light" w:eastAsia="Heiti SC Light"/>
      <w:sz w:val="18"/>
      <w:szCs w:val="18"/>
    </w:rPr>
  </w:style>
  <w:style w:type="character" w:customStyle="1" w:styleId="121">
    <w:name w:val="正文缩进 Char"/>
    <w:link w:val="14"/>
    <w:uiPriority w:val="0"/>
    <w:rPr>
      <w:rFonts w:ascii="Times New Roman" w:hAnsi="Times New Roman"/>
      <w:kern w:val="2"/>
      <w:sz w:val="21"/>
    </w:rPr>
  </w:style>
  <w:style w:type="character" w:customStyle="1" w:styleId="122">
    <w:name w:val="zbggmain style9"/>
    <w:uiPriority w:val="0"/>
  </w:style>
  <w:style w:type="character" w:customStyle="1" w:styleId="123">
    <w:name w:val="标题 4 Char1"/>
    <w:link w:val="5"/>
    <w:uiPriority w:val="0"/>
    <w:rPr>
      <w:rFonts w:ascii="Arial" w:hAnsi="Arial" w:eastAsia="黑体"/>
      <w:b/>
      <w:bCs/>
      <w:sz w:val="28"/>
      <w:szCs w:val="28"/>
    </w:rPr>
  </w:style>
  <w:style w:type="character" w:customStyle="1" w:styleId="124">
    <w:name w:val="纯文本字符1"/>
    <w:semiHidden/>
    <w:uiPriority w:val="99"/>
    <w:rPr>
      <w:rFonts w:ascii="宋体" w:hAnsi="Courier" w:eastAsia="宋体"/>
    </w:rPr>
  </w:style>
  <w:style w:type="character" w:customStyle="1" w:styleId="125">
    <w:name w:val="HTML 预设格式 Char1"/>
    <w:semiHidden/>
    <w:uiPriority w:val="99"/>
    <w:rPr>
      <w:rFonts w:ascii="Courier New" w:hAnsi="Courier New" w:cs="Courier New"/>
      <w:kern w:val="2"/>
    </w:rPr>
  </w:style>
  <w:style w:type="character" w:customStyle="1" w:styleId="126">
    <w:name w:val="标题 5 Char"/>
    <w:qFormat/>
    <w:uiPriority w:val="0"/>
    <w:rPr>
      <w:b/>
      <w:bCs/>
      <w:kern w:val="2"/>
      <w:sz w:val="28"/>
      <w:szCs w:val="28"/>
    </w:rPr>
  </w:style>
  <w:style w:type="character" w:customStyle="1" w:styleId="127">
    <w:name w:val="正文文本 Char"/>
    <w:link w:val="22"/>
    <w:uiPriority w:val="99"/>
    <w:rPr>
      <w:kern w:val="2"/>
      <w:sz w:val="21"/>
      <w:szCs w:val="22"/>
    </w:rPr>
  </w:style>
  <w:style w:type="character" w:customStyle="1" w:styleId="128">
    <w:name w:val="一、 Char"/>
    <w:uiPriority w:val="0"/>
    <w:rPr>
      <w:rFonts w:hint="eastAsia" w:ascii="仿宋_GB2312" w:hAnsi="宋体" w:eastAsia="仿宋_GB2312" w:cs="仿宋_GB2312"/>
      <w:b/>
      <w:sz w:val="28"/>
      <w:szCs w:val="28"/>
      <w:lang w:val="zh-CN" w:eastAsia="zh-CN"/>
    </w:rPr>
  </w:style>
  <w:style w:type="character" w:customStyle="1" w:styleId="129">
    <w:name w:val="标题 7 Char"/>
    <w:uiPriority w:val="0"/>
    <w:rPr>
      <w:b/>
      <w:bCs/>
      <w:kern w:val="2"/>
      <w:sz w:val="24"/>
      <w:szCs w:val="24"/>
    </w:rPr>
  </w:style>
  <w:style w:type="character" w:customStyle="1" w:styleId="130">
    <w:name w:val="font11"/>
    <w:qFormat/>
    <w:uiPriority w:val="0"/>
    <w:rPr>
      <w:rFonts w:hint="default" w:ascii="Times New Roman" w:hAnsi="Times New Roman" w:cs="Times New Roman"/>
      <w:color w:val="000000"/>
      <w:sz w:val="21"/>
      <w:szCs w:val="21"/>
      <w:u w:val="none"/>
    </w:rPr>
  </w:style>
  <w:style w:type="character" w:customStyle="1" w:styleId="131">
    <w:name w:val="px1233"/>
    <w:uiPriority w:val="0"/>
  </w:style>
  <w:style w:type="character" w:customStyle="1" w:styleId="132">
    <w:name w:val="标题 Char"/>
    <w:link w:val="50"/>
    <w:qFormat/>
    <w:uiPriority w:val="0"/>
    <w:rPr>
      <w:rFonts w:ascii="Cambria" w:hAnsi="Cambria" w:eastAsia="黑体"/>
      <w:b/>
      <w:bCs/>
      <w:sz w:val="32"/>
      <w:szCs w:val="32"/>
    </w:rPr>
  </w:style>
  <w:style w:type="character" w:customStyle="1" w:styleId="133">
    <w:name w:val="第一部分 Char"/>
    <w:uiPriority w:val="0"/>
    <w:rPr>
      <w:rFonts w:hint="eastAsia" w:ascii="黑体" w:hAnsi="宋体" w:eastAsia="黑体" w:cs="黑体"/>
      <w:kern w:val="2"/>
      <w:sz w:val="36"/>
      <w:szCs w:val="36"/>
    </w:rPr>
  </w:style>
  <w:style w:type="character" w:customStyle="1" w:styleId="134">
    <w:name w:val="正文文本缩进 Char1"/>
    <w:link w:val="23"/>
    <w:uiPriority w:val="0"/>
    <w:rPr>
      <w:rFonts w:ascii="宋体" w:hAnsi="宋体"/>
      <w:sz w:val="28"/>
      <w:szCs w:val="28"/>
    </w:rPr>
  </w:style>
  <w:style w:type="character" w:customStyle="1" w:styleId="135">
    <w:name w:val="font61"/>
    <w:qFormat/>
    <w:uiPriority w:val="0"/>
    <w:rPr>
      <w:rFonts w:hint="default" w:ascii="Times New Roman" w:hAnsi="Times New Roman" w:cs="Times New Roman"/>
      <w:color w:val="000000"/>
      <w:sz w:val="24"/>
      <w:szCs w:val="24"/>
      <w:u w:val="none"/>
    </w:rPr>
  </w:style>
  <w:style w:type="character" w:customStyle="1" w:styleId="136">
    <w:name w:val="批注框文本 Char2"/>
    <w:semiHidden/>
    <w:uiPriority w:val="99"/>
    <w:rPr>
      <w:kern w:val="2"/>
      <w:sz w:val="18"/>
      <w:szCs w:val="18"/>
    </w:rPr>
  </w:style>
  <w:style w:type="character" w:customStyle="1" w:styleId="137">
    <w:name w:val="正文文本缩进 3 Char1"/>
    <w:link w:val="41"/>
    <w:uiPriority w:val="0"/>
    <w:rPr>
      <w:rFonts w:ascii="Times New Roman" w:hAnsi="Times New Roman"/>
      <w:sz w:val="16"/>
      <w:szCs w:val="16"/>
    </w:rPr>
  </w:style>
  <w:style w:type="character" w:customStyle="1" w:styleId="138">
    <w:name w:val="标题 9 Char1"/>
    <w:link w:val="10"/>
    <w:uiPriority w:val="0"/>
    <w:rPr>
      <w:rFonts w:ascii="Arial" w:hAnsi="Arial" w:eastAsia="黑体"/>
      <w:szCs w:val="21"/>
    </w:rPr>
  </w:style>
  <w:style w:type="character" w:customStyle="1" w:styleId="139">
    <w:name w:val="纯文本 Char3"/>
    <w:semiHidden/>
    <w:uiPriority w:val="99"/>
    <w:rPr>
      <w:rFonts w:ascii="宋体" w:hAnsi="Courier New" w:cs="Courier New"/>
      <w:kern w:val="2"/>
      <w:sz w:val="21"/>
      <w:szCs w:val="21"/>
    </w:rPr>
  </w:style>
  <w:style w:type="character" w:customStyle="1" w:styleId="140">
    <w:name w:val="纯文本 Char2"/>
    <w:link w:val="30"/>
    <w:uiPriority w:val="0"/>
    <w:rPr>
      <w:rFonts w:ascii="宋体" w:hAnsi="Courier New"/>
      <w:szCs w:val="21"/>
    </w:rPr>
  </w:style>
  <w:style w:type="character" w:customStyle="1" w:styleId="141">
    <w:name w:val="标题 2 Char"/>
    <w:uiPriority w:val="0"/>
    <w:rPr>
      <w:rFonts w:ascii="Cambria" w:hAnsi="Cambria" w:eastAsia="宋体" w:cs="Times New Roman"/>
      <w:b/>
      <w:bCs/>
      <w:kern w:val="2"/>
      <w:sz w:val="32"/>
      <w:szCs w:val="32"/>
    </w:rPr>
  </w:style>
  <w:style w:type="character" w:customStyle="1" w:styleId="142">
    <w:name w:val="页眉 Char"/>
    <w:uiPriority w:val="0"/>
    <w:rPr>
      <w:kern w:val="2"/>
      <w:sz w:val="18"/>
      <w:szCs w:val="18"/>
    </w:rPr>
  </w:style>
  <w:style w:type="character" w:customStyle="1" w:styleId="143">
    <w:name w:val="hlight1"/>
    <w:uiPriority w:val="0"/>
    <w:rPr>
      <w:b/>
      <w:color w:val="336666"/>
    </w:rPr>
  </w:style>
  <w:style w:type="character" w:customStyle="1" w:styleId="144">
    <w:name w:val="普通文字 Char Char2"/>
    <w:uiPriority w:val="0"/>
    <w:rPr>
      <w:rFonts w:hint="eastAsia" w:ascii="宋体" w:hAnsi="Courier New" w:eastAsia="宋体" w:cs="宋体"/>
    </w:rPr>
  </w:style>
  <w:style w:type="character" w:customStyle="1" w:styleId="145">
    <w:name w:val="font01"/>
    <w:qFormat/>
    <w:uiPriority w:val="0"/>
    <w:rPr>
      <w:rFonts w:hint="eastAsia" w:ascii="宋体" w:hAnsi="宋体" w:eastAsia="宋体" w:cs="宋体"/>
      <w:color w:val="000000"/>
      <w:sz w:val="21"/>
      <w:szCs w:val="21"/>
      <w:u w:val="none"/>
    </w:rPr>
  </w:style>
  <w:style w:type="character" w:customStyle="1" w:styleId="146">
    <w:name w:val="标题 5 Char1"/>
    <w:link w:val="6"/>
    <w:uiPriority w:val="0"/>
    <w:rPr>
      <w:rFonts w:ascii="Times New Roman" w:hAnsi="Times New Roman"/>
      <w:b/>
      <w:bCs/>
      <w:sz w:val="28"/>
      <w:szCs w:val="28"/>
    </w:rPr>
  </w:style>
  <w:style w:type="character" w:customStyle="1" w:styleId="147">
    <w:name w:val="批注主题 Char1"/>
    <w:link w:val="51"/>
    <w:semiHidden/>
    <w:uiPriority w:val="0"/>
    <w:rPr>
      <w:rFonts w:ascii="Times New Roman" w:hAnsi="Times New Roman"/>
      <w:b/>
      <w:bCs/>
      <w:szCs w:val="24"/>
    </w:rPr>
  </w:style>
  <w:style w:type="character" w:customStyle="1" w:styleId="148">
    <w:name w:val="注释文本字符"/>
    <w:semiHidden/>
    <w:uiPriority w:val="0"/>
    <w:rPr>
      <w:rFonts w:ascii="Times New Roman" w:hAnsi="Times New Roman" w:eastAsia="宋体" w:cs="Times New Roman"/>
      <w:kern w:val="0"/>
      <w:sz w:val="20"/>
      <w:szCs w:val="24"/>
    </w:rPr>
  </w:style>
  <w:style w:type="character" w:customStyle="1" w:styleId="149">
    <w:name w:val="表格非标题文字 Char"/>
    <w:link w:val="150"/>
    <w:uiPriority w:val="0"/>
    <w:rPr>
      <w:rFonts w:ascii="Futura Bk" w:hAnsi="Futura Bk"/>
      <w:kern w:val="2"/>
      <w:sz w:val="18"/>
      <w:szCs w:val="21"/>
    </w:rPr>
  </w:style>
  <w:style w:type="paragraph" w:customStyle="1" w:styleId="150">
    <w:name w:val="表格非标题文字"/>
    <w:link w:val="14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51">
    <w:name w:val="纯文本 Char"/>
    <w:uiPriority w:val="0"/>
    <w:rPr>
      <w:rFonts w:ascii="宋体" w:hAnsi="Courier New" w:cs="Courier New"/>
      <w:kern w:val="2"/>
      <w:sz w:val="21"/>
      <w:szCs w:val="21"/>
    </w:rPr>
  </w:style>
  <w:style w:type="character" w:customStyle="1" w:styleId="152">
    <w:name w:val="页眉字符1"/>
    <w:semiHidden/>
    <w:qFormat/>
    <w:uiPriority w:val="99"/>
    <w:rPr>
      <w:sz w:val="18"/>
      <w:szCs w:val="18"/>
    </w:rPr>
  </w:style>
  <w:style w:type="character" w:customStyle="1" w:styleId="153">
    <w:name w:val="正文文本缩进 2 Char2"/>
    <w:semiHidden/>
    <w:uiPriority w:val="99"/>
    <w:rPr>
      <w:kern w:val="2"/>
      <w:sz w:val="21"/>
      <w:szCs w:val="22"/>
    </w:rPr>
  </w:style>
  <w:style w:type="character" w:customStyle="1" w:styleId="154">
    <w:name w:val="文档结构图 字符1"/>
    <w:semiHidden/>
    <w:qFormat/>
    <w:uiPriority w:val="99"/>
    <w:rPr>
      <w:rFonts w:ascii="Heiti SC Light" w:eastAsia="Heiti SC Light"/>
    </w:rPr>
  </w:style>
  <w:style w:type="character" w:customStyle="1" w:styleId="155">
    <w:name w:val="无间隔 字符"/>
    <w:uiPriority w:val="0"/>
    <w:rPr>
      <w:kern w:val="2"/>
      <w:sz w:val="22"/>
      <w:szCs w:val="22"/>
      <w:lang w:val="en-US" w:eastAsia="zh-CN"/>
    </w:rPr>
  </w:style>
  <w:style w:type="character" w:customStyle="1" w:styleId="156">
    <w:name w:val="tpc_content"/>
    <w:uiPriority w:val="0"/>
  </w:style>
  <w:style w:type="character" w:customStyle="1" w:styleId="157">
    <w:name w:val="Char Char31"/>
    <w:uiPriority w:val="0"/>
    <w:rPr>
      <w:rFonts w:hint="eastAsia" w:ascii="宋体" w:hAnsi="宋体" w:eastAsia="宋体" w:cs="宋体"/>
      <w:kern w:val="2"/>
      <w:sz w:val="28"/>
      <w:lang w:val="en-US" w:eastAsia="zh-CN"/>
    </w:rPr>
  </w:style>
  <w:style w:type="character" w:customStyle="1" w:styleId="158">
    <w:name w:val="正文文本 2 Char"/>
    <w:uiPriority w:val="0"/>
    <w:rPr>
      <w:kern w:val="2"/>
      <w:sz w:val="21"/>
      <w:szCs w:val="22"/>
    </w:rPr>
  </w:style>
  <w:style w:type="character" w:customStyle="1" w:styleId="159">
    <w:name w:val="标题 6 Char1"/>
    <w:link w:val="7"/>
    <w:uiPriority w:val="0"/>
    <w:rPr>
      <w:rFonts w:ascii="Arial" w:hAnsi="Arial" w:eastAsia="黑体"/>
      <w:b/>
      <w:bCs/>
      <w:sz w:val="24"/>
      <w:szCs w:val="24"/>
    </w:rPr>
  </w:style>
  <w:style w:type="character" w:customStyle="1" w:styleId="160">
    <w:name w:val="正文文本 2 Char2"/>
    <w:semiHidden/>
    <w:uiPriority w:val="99"/>
    <w:rPr>
      <w:kern w:val="2"/>
      <w:sz w:val="21"/>
      <w:szCs w:val="22"/>
    </w:rPr>
  </w:style>
  <w:style w:type="character" w:customStyle="1" w:styleId="161">
    <w:name w:val="称呼 Char"/>
    <w:link w:val="20"/>
    <w:uiPriority w:val="99"/>
    <w:rPr>
      <w:rFonts w:ascii="Cambria" w:hAnsi="Cambria"/>
      <w:kern w:val="2"/>
      <w:sz w:val="24"/>
      <w:szCs w:val="24"/>
    </w:rPr>
  </w:style>
  <w:style w:type="character" w:customStyle="1" w:styleId="162">
    <w:name w:val="正文文本 3 Char1"/>
    <w:semiHidden/>
    <w:uiPriority w:val="99"/>
    <w:rPr>
      <w:kern w:val="2"/>
      <w:sz w:val="16"/>
      <w:szCs w:val="16"/>
    </w:rPr>
  </w:style>
  <w:style w:type="character" w:customStyle="1" w:styleId="163">
    <w:name w:val="日期 字符1"/>
    <w:uiPriority w:val="0"/>
  </w:style>
  <w:style w:type="character" w:customStyle="1" w:styleId="164">
    <w:name w:val="正文首行缩进 Char1"/>
    <w:link w:val="52"/>
    <w:uiPriority w:val="0"/>
    <w:rPr>
      <w:rFonts w:ascii="Times New Roman" w:hAnsi="Times New Roman"/>
      <w:szCs w:val="24"/>
    </w:rPr>
  </w:style>
  <w:style w:type="character" w:customStyle="1" w:styleId="165">
    <w:name w:val="标题字符1"/>
    <w:uiPriority w:val="10"/>
    <w:rPr>
      <w:rFonts w:ascii="Calibri" w:hAnsi="Calibri" w:eastAsia="宋体" w:cs="Times New Roman"/>
      <w:b/>
      <w:bCs/>
      <w:sz w:val="32"/>
      <w:szCs w:val="32"/>
    </w:rPr>
  </w:style>
  <w:style w:type="character" w:customStyle="1" w:styleId="166">
    <w:name w:val="批注主题字符1"/>
    <w:semiHidden/>
    <w:uiPriority w:val="99"/>
    <w:rPr>
      <w:b/>
      <w:bCs/>
      <w:kern w:val="2"/>
      <w:sz w:val="21"/>
      <w:szCs w:val="22"/>
    </w:rPr>
  </w:style>
  <w:style w:type="character" w:customStyle="1" w:styleId="167">
    <w:name w:val="文档结构图 Char"/>
    <w:uiPriority w:val="0"/>
    <w:rPr>
      <w:rFonts w:ascii="宋体"/>
      <w:kern w:val="2"/>
      <w:sz w:val="18"/>
      <w:szCs w:val="18"/>
    </w:rPr>
  </w:style>
  <w:style w:type="character" w:customStyle="1" w:styleId="168">
    <w:name w:val="日期 Char1"/>
    <w:uiPriority w:val="0"/>
    <w:rPr>
      <w:rFonts w:hint="default" w:ascii="Times New Roman" w:hAnsi="Times New Roman" w:eastAsia="宋体" w:cs="Times New Roman"/>
      <w:szCs w:val="20"/>
    </w:rPr>
  </w:style>
  <w:style w:type="character" w:customStyle="1" w:styleId="169">
    <w:name w:val="正文文本 2字符1"/>
    <w:semiHidden/>
    <w:qFormat/>
    <w:uiPriority w:val="99"/>
  </w:style>
  <w:style w:type="character" w:customStyle="1" w:styleId="170">
    <w:name w:val="正文首行缩进 2字符1"/>
    <w:semiHidden/>
    <w:uiPriority w:val="99"/>
  </w:style>
  <w:style w:type="character" w:customStyle="1" w:styleId="171">
    <w:name w:val="正文编号 Char"/>
    <w:uiPriority w:val="0"/>
    <w:rPr>
      <w:rFonts w:hint="eastAsia" w:ascii="宋体" w:hAnsi="宋体" w:eastAsia="宋体" w:cs="宋体"/>
      <w:color w:val="000000"/>
      <w:kern w:val="24"/>
      <w:sz w:val="24"/>
      <w:szCs w:val="24"/>
      <w:lang w:eastAsia="zh-CN"/>
    </w:rPr>
  </w:style>
  <w:style w:type="character" w:customStyle="1" w:styleId="172">
    <w:name w:val="页眉 Char1"/>
    <w:link w:val="36"/>
    <w:uiPriority w:val="0"/>
    <w:rPr>
      <w:rFonts w:ascii="Times New Roman" w:hAnsi="Times New Roman"/>
      <w:sz w:val="18"/>
    </w:rPr>
  </w:style>
  <w:style w:type="character" w:customStyle="1" w:styleId="173">
    <w:name w:val="font21"/>
    <w:qFormat/>
    <w:uiPriority w:val="0"/>
    <w:rPr>
      <w:rFonts w:hint="default" w:ascii="Times New Roman" w:hAnsi="Times New Roman" w:cs="Times New Roman"/>
      <w:color w:val="000000"/>
      <w:sz w:val="24"/>
      <w:szCs w:val="24"/>
      <w:u w:val="none"/>
      <w:vertAlign w:val="superscript"/>
    </w:rPr>
  </w:style>
  <w:style w:type="character" w:customStyle="1" w:styleId="174">
    <w:name w:val="页眉 Char2"/>
    <w:semiHidden/>
    <w:uiPriority w:val="99"/>
    <w:rPr>
      <w:kern w:val="2"/>
      <w:sz w:val="18"/>
      <w:szCs w:val="18"/>
    </w:rPr>
  </w:style>
  <w:style w:type="character" w:customStyle="1" w:styleId="175">
    <w:name w:val="页脚字符1"/>
    <w:semiHidden/>
    <w:uiPriority w:val="99"/>
    <w:rPr>
      <w:sz w:val="18"/>
      <w:szCs w:val="18"/>
    </w:rPr>
  </w:style>
  <w:style w:type="character" w:customStyle="1" w:styleId="176">
    <w:name w:val="正文首行缩进 Char2"/>
    <w:basedOn w:val="63"/>
    <w:semiHidden/>
    <w:uiPriority w:val="99"/>
  </w:style>
  <w:style w:type="character" w:customStyle="1" w:styleId="177">
    <w:name w:val="Char Char"/>
    <w:uiPriority w:val="0"/>
    <w:rPr>
      <w:rFonts w:ascii="宋体" w:hAnsi="Courier New" w:eastAsia="宋体" w:cs="Courier New"/>
      <w:kern w:val="2"/>
      <w:sz w:val="21"/>
      <w:szCs w:val="21"/>
      <w:lang w:val="en-US" w:eastAsia="zh-CN" w:bidi="ar-SA"/>
    </w:rPr>
  </w:style>
  <w:style w:type="character" w:customStyle="1" w:styleId="178">
    <w:name w:val="正文文本字符"/>
    <w:uiPriority w:val="0"/>
    <w:rPr>
      <w:rFonts w:ascii="Times New Roman" w:hAnsi="Times New Roman" w:eastAsia="宋体" w:cs="Times New Roman"/>
      <w:kern w:val="0"/>
      <w:sz w:val="20"/>
      <w:szCs w:val="24"/>
    </w:rPr>
  </w:style>
  <w:style w:type="character" w:customStyle="1" w:styleId="179">
    <w:name w:val="称呼 Char1"/>
    <w:uiPriority w:val="0"/>
    <w:rPr>
      <w:rFonts w:hint="default" w:ascii="Times New Roman" w:hAnsi="Times New Roman" w:eastAsia="宋体" w:cs="Times New Roman"/>
      <w:szCs w:val="20"/>
    </w:rPr>
  </w:style>
  <w:style w:type="character" w:customStyle="1" w:styleId="180">
    <w:name w:val="纯文本 字符1"/>
    <w:uiPriority w:val="0"/>
    <w:rPr>
      <w:rFonts w:hint="eastAsia" w:ascii="宋体" w:hAnsi="Courier New" w:eastAsia="宋体" w:cs="Courier New"/>
    </w:rPr>
  </w:style>
  <w:style w:type="character" w:customStyle="1" w:styleId="181">
    <w:name w:val="正文文本缩进 3 Char2"/>
    <w:semiHidden/>
    <w:uiPriority w:val="99"/>
    <w:rPr>
      <w:kern w:val="2"/>
      <w:sz w:val="16"/>
      <w:szCs w:val="16"/>
    </w:rPr>
  </w:style>
  <w:style w:type="paragraph" w:customStyle="1" w:styleId="182">
    <w:name w:val="legal 2"/>
    <w:basedOn w:val="183"/>
    <w:next w:val="183"/>
    <w:uiPriority w:val="0"/>
    <w:pPr>
      <w:spacing w:after="120"/>
    </w:pPr>
    <w:rPr>
      <w:rFonts w:cs="Times New Roman"/>
      <w:color w:val="auto"/>
    </w:rPr>
  </w:style>
  <w:style w:type="paragraph" w:customStyle="1" w:styleId="183">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4">
    <w:name w:val="图表标题"/>
    <w:basedOn w:val="1"/>
    <w:next w:val="22"/>
    <w:uiPriority w:val="0"/>
    <w:rPr>
      <w:rFonts w:ascii="Times New Roman" w:hAnsi="Times New Roman"/>
      <w:sz w:val="30"/>
      <w:szCs w:val="20"/>
    </w:rPr>
  </w:style>
  <w:style w:type="paragraph" w:customStyle="1" w:styleId="185">
    <w:name w:val="Char"/>
    <w:basedOn w:val="1"/>
    <w:qFormat/>
    <w:uiPriority w:val="0"/>
    <w:rPr>
      <w:rFonts w:ascii="仿宋_GB2312" w:hAnsi="Times New Roman" w:eastAsia="仿宋_GB2312"/>
      <w:b/>
      <w:sz w:val="32"/>
      <w:szCs w:val="32"/>
    </w:rPr>
  </w:style>
  <w:style w:type="paragraph" w:customStyle="1" w:styleId="186">
    <w:name w:val="Char Char Char Char"/>
    <w:basedOn w:val="1"/>
    <w:uiPriority w:val="0"/>
    <w:rPr>
      <w:rFonts w:ascii="Times New Roman" w:hAnsi="Times New Roman"/>
      <w:szCs w:val="24"/>
    </w:rPr>
  </w:style>
  <w:style w:type="paragraph" w:customStyle="1" w:styleId="18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89">
    <w:name w:val="Char4 Char Char Char"/>
    <w:basedOn w:val="18"/>
    <w:uiPriority w:val="0"/>
    <w:rPr>
      <w:rFonts w:ascii="Tahoma" w:hAnsi="Tahoma"/>
      <w:sz w:val="24"/>
    </w:rPr>
  </w:style>
  <w:style w:type="paragraph" w:customStyle="1" w:styleId="190">
    <w:name w:val="表内文字"/>
    <w:basedOn w:val="1"/>
    <w:uiPriority w:val="0"/>
    <w:pPr>
      <w:widowControl/>
      <w:ind w:firstLine="120" w:firstLineChars="50"/>
    </w:pPr>
    <w:rPr>
      <w:rFonts w:ascii="宋体" w:hAnsi="宋体"/>
      <w:sz w:val="24"/>
      <w:szCs w:val="20"/>
    </w:rPr>
  </w:style>
  <w:style w:type="paragraph" w:customStyle="1" w:styleId="191">
    <w:name w:val="1"/>
    <w:basedOn w:val="1"/>
    <w:uiPriority w:val="0"/>
    <w:rPr>
      <w:rFonts w:ascii="仿宋_GB2312" w:hAnsi="Times New Roman" w:eastAsia="仿宋_GB2312"/>
      <w:b/>
      <w:sz w:val="32"/>
      <w:szCs w:val="32"/>
    </w:rPr>
  </w:style>
  <w:style w:type="paragraph" w:customStyle="1" w:styleId="192">
    <w:name w:val="列表延续"/>
    <w:basedOn w:val="1"/>
    <w:uiPriority w:val="0"/>
    <w:pPr>
      <w:numPr>
        <w:ilvl w:val="8"/>
        <w:numId w:val="4"/>
      </w:numPr>
      <w:adjustRightInd w:val="0"/>
      <w:spacing w:line="360" w:lineRule="auto"/>
      <w:textAlignment w:val="baseline"/>
    </w:pPr>
    <w:rPr>
      <w:rFonts w:ascii="Times New Roman" w:hAnsi="Tms Rmn" w:eastAsia="楷体_GB2312"/>
      <w:kern w:val="28"/>
      <w:sz w:val="28"/>
      <w:szCs w:val="20"/>
    </w:rPr>
  </w:style>
  <w:style w:type="paragraph" w:customStyle="1" w:styleId="193">
    <w:name w:val="Legal 3"/>
    <w:basedOn w:val="183"/>
    <w:next w:val="183"/>
    <w:uiPriority w:val="0"/>
    <w:pPr>
      <w:spacing w:after="120"/>
    </w:pPr>
    <w:rPr>
      <w:rFonts w:cs="Times New Roman"/>
      <w:color w:val="auto"/>
    </w:rPr>
  </w:style>
  <w:style w:type="paragraph" w:customStyle="1" w:styleId="194">
    <w:name w:val="正文文字3"/>
    <w:basedOn w:val="22"/>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95">
    <w:name w:val="样式1"/>
    <w:basedOn w:val="5"/>
    <w:qFormat/>
    <w:uiPriority w:val="0"/>
    <w:pPr>
      <w:tabs>
        <w:tab w:val="left" w:pos="864"/>
      </w:tabs>
      <w:spacing w:before="120" w:after="120" w:line="360" w:lineRule="auto"/>
      <w:ind w:left="864" w:hanging="864"/>
    </w:pPr>
    <w:rPr>
      <w:b w:val="0"/>
      <w:bCs w:val="0"/>
    </w:rPr>
  </w:style>
  <w:style w:type="paragraph" w:customStyle="1" w:styleId="196">
    <w:name w:val="Legal 5"/>
    <w:basedOn w:val="183"/>
    <w:next w:val="183"/>
    <w:uiPriority w:val="0"/>
    <w:pPr>
      <w:spacing w:after="120"/>
    </w:pPr>
    <w:rPr>
      <w:rFonts w:cs="Times New Roman"/>
      <w:color w:val="auto"/>
    </w:rPr>
  </w:style>
  <w:style w:type="paragraph" w:customStyle="1" w:styleId="197">
    <w:name w:val="样式 标题 2 + Times New Roman 四号 非加粗 段前: 5 磅 段后: 0 磅 行距: 固定值 20..."/>
    <w:basedOn w:val="3"/>
    <w:uiPriority w:val="0"/>
    <w:pPr>
      <w:spacing w:before="100" w:after="0" w:line="400" w:lineRule="exact"/>
      <w:jc w:val="both"/>
    </w:pPr>
    <w:rPr>
      <w:rFonts w:ascii="Times New Roman" w:hAnsi="Times New Roman" w:eastAsia="黑体" w:cs="宋体"/>
      <w:b w:val="0"/>
      <w:bCs w:val="0"/>
      <w:kern w:val="2"/>
      <w:szCs w:val="24"/>
    </w:rPr>
  </w:style>
  <w:style w:type="paragraph" w:customStyle="1" w:styleId="198">
    <w:name w:val="Char Char Char Char Char Char"/>
    <w:basedOn w:val="1"/>
    <w:qFormat/>
    <w:uiPriority w:val="0"/>
    <w:rPr>
      <w:rFonts w:ascii="Times New Roman" w:hAnsi="Times New Roman"/>
      <w:szCs w:val="24"/>
    </w:rPr>
  </w:style>
  <w:style w:type="paragraph" w:customStyle="1" w:styleId="199">
    <w:name w:val="样式 标题 3 + (中文) 黑体 小四 非加粗 段前: 7.8 磅 段后: 0 磅 行距: 固定值 20 磅"/>
    <w:basedOn w:val="4"/>
    <w:uiPriority w:val="0"/>
    <w:pPr>
      <w:keepLines/>
      <w:numPr>
        <w:numId w:val="0"/>
      </w:numPr>
      <w:spacing w:line="400" w:lineRule="exact"/>
    </w:pPr>
    <w:rPr>
      <w:rFonts w:ascii="Times New Roman" w:eastAsia="黑体" w:cs="宋体"/>
      <w:b w:val="0"/>
      <w:kern w:val="2"/>
      <w:sz w:val="24"/>
    </w:rPr>
  </w:style>
  <w:style w:type="paragraph" w:customStyle="1" w:styleId="200">
    <w:name w:val="Char Char Char"/>
    <w:basedOn w:val="1"/>
    <w:uiPriority w:val="0"/>
    <w:pPr>
      <w:ind w:firstLine="360" w:firstLineChars="150"/>
    </w:pPr>
    <w:rPr>
      <w:rFonts w:ascii="Tahoma" w:hAnsi="Tahoma"/>
      <w:sz w:val="24"/>
      <w:szCs w:val="20"/>
    </w:rPr>
  </w:style>
  <w:style w:type="paragraph" w:customStyle="1" w:styleId="201">
    <w:name w:val="p0"/>
    <w:basedOn w:val="1"/>
    <w:uiPriority w:val="0"/>
    <w:pPr>
      <w:widowControl/>
    </w:pPr>
    <w:rPr>
      <w:rFonts w:ascii="Times New Roman" w:hAnsi="Times New Roman"/>
      <w:kern w:val="0"/>
      <w:szCs w:val="21"/>
    </w:rPr>
  </w:style>
  <w:style w:type="paragraph" w:customStyle="1" w:styleId="202">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Char Char Char1 Char Char Char Char"/>
    <w:basedOn w:val="1"/>
    <w:qFormat/>
    <w:uiPriority w:val="0"/>
    <w:rPr>
      <w:rFonts w:ascii="Times New Roman" w:hAnsi="Times New Roman"/>
      <w:szCs w:val="24"/>
    </w:rPr>
  </w:style>
  <w:style w:type="paragraph" w:customStyle="1" w:styleId="204">
    <w:name w:val="List Paragraph1"/>
    <w:basedOn w:val="1"/>
    <w:uiPriority w:val="0"/>
    <w:pPr>
      <w:ind w:firstLine="420" w:firstLineChars="200"/>
    </w:pPr>
    <w:rPr>
      <w:rFonts w:ascii="Times New Roman" w:hAnsi="Times New Roman"/>
      <w:szCs w:val="21"/>
    </w:rPr>
  </w:style>
  <w:style w:type="paragraph" w:customStyle="1" w:styleId="205">
    <w:name w:val="样式 样式1 + 首行缩进:  2 字符"/>
    <w:basedOn w:val="1"/>
    <w:uiPriority w:val="0"/>
    <w:pPr>
      <w:spacing w:line="360" w:lineRule="exact"/>
      <w:ind w:firstLine="420" w:firstLineChars="200"/>
    </w:pPr>
    <w:rPr>
      <w:rFonts w:ascii="Arial" w:hAnsi="Arial"/>
      <w:szCs w:val="20"/>
    </w:rPr>
  </w:style>
  <w:style w:type="paragraph" w:customStyle="1" w:styleId="206">
    <w:name w:val="列出段落1"/>
    <w:basedOn w:val="1"/>
    <w:unhideWhenUsed/>
    <w:qFormat/>
    <w:uiPriority w:val="99"/>
    <w:pPr>
      <w:ind w:firstLine="420" w:firstLineChars="200"/>
    </w:pPr>
  </w:style>
  <w:style w:type="paragraph" w:customStyle="1" w:styleId="207">
    <w:name w:val="列出段落2"/>
    <w:basedOn w:val="1"/>
    <w:qFormat/>
    <w:uiPriority w:val="34"/>
    <w:pPr>
      <w:ind w:firstLine="420" w:firstLineChars="200"/>
    </w:pPr>
    <w:rPr>
      <w:rFonts w:ascii="Cambria" w:hAnsi="Cambria"/>
      <w:sz w:val="24"/>
      <w:szCs w:val="24"/>
    </w:rPr>
  </w:style>
  <w:style w:type="paragraph" w:customStyle="1" w:styleId="20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9">
    <w:name w:val="Legal 4"/>
    <w:basedOn w:val="183"/>
    <w:next w:val="183"/>
    <w:uiPriority w:val="0"/>
    <w:pPr>
      <w:spacing w:after="120"/>
    </w:pPr>
    <w:rPr>
      <w:rFonts w:cs="Times New Roman"/>
      <w:color w:val="auto"/>
    </w:rPr>
  </w:style>
  <w:style w:type="paragraph" w:customStyle="1" w:styleId="210">
    <w:name w:val="p16"/>
    <w:basedOn w:val="1"/>
    <w:uiPriority w:val="0"/>
    <w:pPr>
      <w:widowControl/>
      <w:spacing w:line="360" w:lineRule="auto"/>
      <w:ind w:left="-2" w:firstLine="2"/>
      <w:jc w:val="left"/>
    </w:pPr>
    <w:rPr>
      <w:rFonts w:ascii="宋体" w:hAnsi="宋体" w:cs="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6827</Words>
  <Characters>38917</Characters>
  <Lines>324</Lines>
  <Paragraphs>91</Paragraphs>
  <TotalTime>410</TotalTime>
  <ScaleCrop>false</ScaleCrop>
  <LinksUpToDate>false</LinksUpToDate>
  <CharactersWithSpaces>45653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2019-09-30T00:43:00Z</dcterms:created>
  <dc:creator>俞楚石</dc:creator>
  <cp:lastModifiedBy>zbzx-jsx</cp:lastModifiedBy>
  <dcterms:modified xsi:type="dcterms:W3CDTF">2019-10-09T11:54:07Z</dcterms:modified>
  <dc:title>杭州萧山国际机场货机坪监控更新及存储扩容工程</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