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eastAsia="黑体" w:cs="Calibri"/>
          <w:b/>
          <w:sz w:val="44"/>
          <w:szCs w:val="44"/>
        </w:rPr>
      </w:pPr>
      <w:r>
        <w:rPr>
          <w:rFonts w:hint="eastAsia" w:eastAsia="黑体" w:cs="Calibri"/>
          <w:b/>
          <w:sz w:val="44"/>
          <w:szCs w:val="44"/>
          <w:u w:val="single"/>
        </w:rPr>
        <w:t>要客梯顶棚</w:t>
      </w:r>
      <w:r>
        <w:rPr>
          <w:rFonts w:hint="eastAsia" w:eastAsia="黑体" w:cs="Calibri"/>
          <w:b/>
          <w:sz w:val="44"/>
          <w:szCs w:val="44"/>
        </w:rPr>
        <w:t>采购项目</w:t>
      </w:r>
    </w:p>
    <w:p>
      <w:pPr>
        <w:widowControl/>
        <w:autoSpaceDE w:val="0"/>
        <w:autoSpaceDN w:val="0"/>
        <w:jc w:val="center"/>
        <w:textAlignment w:val="bottom"/>
        <w:rPr>
          <w:rFonts w:hint="eastAsia" w:eastAsia="黑体" w:cs="Calibri"/>
          <w:b/>
          <w:sz w:val="44"/>
          <w:szCs w:val="44"/>
          <w:lang w:eastAsia="zh-CN"/>
        </w:rPr>
      </w:pPr>
      <w:r>
        <w:rPr>
          <w:rFonts w:hint="eastAsia" w:eastAsia="黑体" w:cs="Calibri"/>
          <w:b/>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九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8"/>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bookmarkStart w:id="73" w:name="_GoBack"/>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shd w:val="clear" w:color="auto" w:fill="auto"/>
        </w:rPr>
        <w:t>要客梯顶棚</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2"/>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要客梯顶棚</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8套</w:t>
            </w:r>
          </w:p>
        </w:tc>
        <w:tc>
          <w:tcPr>
            <w:tcW w:w="2078" w:type="dxa"/>
            <w:vAlign w:val="center"/>
          </w:tcPr>
          <w:p>
            <w:pPr>
              <w:pStyle w:val="19"/>
              <w:snapToGrid w:val="0"/>
              <w:jc w:val="center"/>
              <w:rPr>
                <w:rFonts w:asciiTheme="minorEastAsia" w:hAnsiTheme="minorEastAsia"/>
                <w:sz w:val="22"/>
                <w:szCs w:val="22"/>
              </w:rPr>
            </w:pPr>
            <w:r>
              <w:rPr>
                <w:rFonts w:hint="eastAsia" w:asciiTheme="minorEastAsia" w:hAnsiTheme="minorEastAsia"/>
                <w:sz w:val="22"/>
                <w:szCs w:val="22"/>
              </w:rPr>
              <w:t>内部加装铝合金吊顶板、加装LED灯具2套、304不锈钢板造型封边、原顶棚耐力板密封胶重新打胶、清理</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 xml:space="preserve"> 30 </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r>
              <w:rPr>
                <w:rFonts w:hint="eastAsia" w:asciiTheme="minorEastAsia" w:hAnsiTheme="minorEastAsia"/>
                <w:sz w:val="22"/>
                <w:szCs w:val="22"/>
              </w:rPr>
              <w:t>航站楼内指定地点</w:t>
            </w:r>
          </w:p>
        </w:tc>
      </w:tr>
    </w:tbl>
    <w:p>
      <w:pPr>
        <w:widowControl/>
        <w:snapToGrid w:val="0"/>
        <w:spacing w:line="340" w:lineRule="exact"/>
        <w:jc w:val="left"/>
        <w:rPr>
          <w:rFonts w:cs="Arial" w:asciiTheme="minorEastAsia" w:hAnsiTheme="minorEastAsia"/>
          <w:b/>
          <w:bCs/>
          <w:kern w:val="0"/>
          <w:sz w:val="22"/>
          <w:szCs w:val="22"/>
        </w:rPr>
      </w:pP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Style w:val="93"/>
          <w:rFonts w:hint="eastAsia" w:cs="宋体"/>
          <w:sz w:val="22"/>
        </w:rPr>
        <w:t>具有独立法人资格，注册资金不少于人民币</w:t>
      </w:r>
      <w:r>
        <w:rPr>
          <w:rStyle w:val="93"/>
          <w:rFonts w:cs="宋体"/>
          <w:sz w:val="22"/>
        </w:rPr>
        <w:t>100</w:t>
      </w:r>
      <w:r>
        <w:rPr>
          <w:rStyle w:val="93"/>
          <w:rFonts w:hint="eastAsia" w:cs="宋体"/>
          <w:sz w:val="22"/>
        </w:rPr>
        <w:t>万元或等值外币(按投标截止日中国人民银行公布的汇率中间价换算)</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3）近年（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cs="Arial" w:asciiTheme="minorEastAsia" w:hAnsiTheme="minorEastAsia"/>
          <w:b/>
          <w:bCs/>
          <w:kern w:val="0"/>
          <w:sz w:val="22"/>
          <w:szCs w:val="22"/>
        </w:rPr>
      </w:pP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2019年10月30日下午14时00分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2019年10月30日下午14时00分（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lang w:eastAsia="zh-CN"/>
        </w:rPr>
        <w:t>2019年10月30日下午14时00分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sz w:val="22"/>
        </w:rPr>
      </w:pPr>
      <w:r>
        <w:rPr>
          <w:rFonts w:hint="eastAsia" w:ascii="宋体" w:hAnsi="宋体" w:cs="Arial"/>
          <w:kern w:val="0"/>
          <w:sz w:val="22"/>
        </w:rPr>
        <w:t>（2）</w:t>
      </w:r>
      <w:r>
        <w:rPr>
          <w:rFonts w:hint="eastAsia" w:ascii="宋体" w:hAnsi="宋体"/>
          <w:sz w:val="22"/>
        </w:rPr>
        <w:t>逾期送达或者未送达指定地点的投标文件，招标人有权不予受理。</w:t>
      </w:r>
    </w:p>
    <w:p>
      <w:pPr>
        <w:widowControl/>
        <w:snapToGrid w:val="0"/>
        <w:spacing w:line="340" w:lineRule="exact"/>
        <w:jc w:val="left"/>
        <w:rPr>
          <w:rFonts w:cs="Arial" w:asciiTheme="minorEastAsia" w:hAnsiTheme="minorEastAsia"/>
          <w:b/>
          <w:bCs/>
          <w:kern w:val="0"/>
          <w:sz w:val="22"/>
          <w:szCs w:val="22"/>
        </w:rPr>
      </w:pP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  工       联系电话：</w:t>
      </w:r>
      <w:r>
        <w:rPr>
          <w:rFonts w:hint="eastAsia" w:ascii="宋体" w:hAnsi="宋体"/>
        </w:rPr>
        <w:t>0571-</w:t>
      </w:r>
      <w:r>
        <w:rPr>
          <w:rFonts w:ascii="宋体" w:hAnsi="宋体"/>
        </w:rPr>
        <w:t>83837612</w:t>
      </w:r>
    </w:p>
    <w:p>
      <w:pPr>
        <w:widowControl/>
        <w:adjustRightInd w:val="0"/>
        <w:snapToGrid w:val="0"/>
        <w:spacing w:line="340" w:lineRule="exact"/>
        <w:ind w:firstLine="440" w:firstLineChars="200"/>
        <w:rPr>
          <w:rFonts w:ascii="宋体" w:hAnsi="宋体"/>
        </w:rPr>
      </w:pPr>
      <w:r>
        <w:rPr>
          <w:rFonts w:hint="eastAsia" w:ascii="宋体" w:hAnsi="宋体"/>
          <w:bCs/>
          <w:sz w:val="22"/>
        </w:rPr>
        <w:t>招标监督人：闻晓丽       联系电话：</w:t>
      </w:r>
      <w:r>
        <w:rPr>
          <w:rFonts w:hint="eastAsia" w:ascii="宋体" w:hAnsi="宋体"/>
        </w:rPr>
        <w:t>0571-8666213</w:t>
      </w:r>
      <w:r>
        <w:rPr>
          <w:rFonts w:ascii="宋体" w:hAnsi="宋体"/>
        </w:rPr>
        <w:t>2</w:t>
      </w:r>
    </w:p>
    <w:bookmarkEnd w:id="73"/>
    <w:p>
      <w:pPr>
        <w:pStyle w:val="48"/>
      </w:pPr>
      <w:r>
        <w:rPr>
          <w:rFonts w:asciiTheme="minorEastAsia" w:hAnsiTheme="minorEastAsia"/>
          <w:bCs w:val="0"/>
          <w:sz w:val="22"/>
          <w:szCs w:val="22"/>
        </w:rPr>
        <w:br w:type="page"/>
      </w:r>
      <w:bookmarkStart w:id="1" w:name="_Toc321925452"/>
      <w:bookmarkStart w:id="2" w:name="_Toc321925453"/>
      <w:r>
        <w:t>第</w:t>
      </w:r>
      <w:r>
        <w:rPr>
          <w:rFonts w:hint="eastAsia"/>
        </w:rPr>
        <w:t>二</w:t>
      </w:r>
      <w:r>
        <w:t>章  投标</w:t>
      </w:r>
      <w:r>
        <w:rPr>
          <w:rFonts w:hint="eastAsia"/>
        </w:rPr>
        <w:t>人须知</w:t>
      </w:r>
      <w:bookmarkEnd w:id="1"/>
    </w:p>
    <w:p>
      <w:pPr>
        <w:pStyle w:val="32"/>
        <w:spacing w:line="240" w:lineRule="auto"/>
        <w:ind w:left="480"/>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rPr>
            </w:pPr>
            <w:r>
              <w:rPr>
                <w:rFonts w:ascii="宋体" w:hAnsi="宋体" w:cs="Arial"/>
                <w:kern w:val="0"/>
                <w:sz w:val="22"/>
              </w:rPr>
              <w:t>杭州萧山国际机场</w:t>
            </w:r>
            <w:r>
              <w:rPr>
                <w:rFonts w:hint="eastAsia" w:ascii="宋体" w:hAnsi="宋体"/>
                <w:color w:val="000000"/>
                <w:szCs w:val="18"/>
              </w:rPr>
              <w:t>要客梯顶棚</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杭州萧山国际机场</w:t>
            </w:r>
            <w:r>
              <w:rPr>
                <w:rFonts w:hint="eastAsia" w:ascii="宋体" w:hAnsi="宋体" w:cs="Calibri"/>
                <w:kern w:val="0"/>
                <w:sz w:val="22"/>
              </w:rPr>
              <w:t>航站楼</w:t>
            </w:r>
            <w:r>
              <w:rPr>
                <w:rFonts w:ascii="宋体" w:hAnsi="宋体" w:cs="Calibri"/>
                <w:sz w:val="22"/>
              </w:rPr>
              <w:t>内</w:t>
            </w:r>
            <w:r>
              <w:rPr>
                <w:rFonts w:hint="eastAsia" w:ascii="宋体" w:hAnsi="宋体" w:cs="Calibri"/>
                <w:sz w:val="22"/>
              </w:rPr>
              <w:t>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rPr>
            </w:pPr>
            <w:r>
              <w:rPr>
                <w:rStyle w:val="93"/>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rPr>
            </w:pPr>
            <w:r>
              <w:rPr>
                <w:rFonts w:ascii="宋体" w:hAnsi="宋体" w:cs="Calibri"/>
                <w:kern w:val="0"/>
                <w:sz w:val="22"/>
              </w:rPr>
              <w:t>□组织，踏勘时间：</w:t>
            </w:r>
          </w:p>
          <w:p>
            <w:pPr>
              <w:autoSpaceDE w:val="0"/>
              <w:autoSpaceDN w:val="0"/>
              <w:adjustRightInd w:val="0"/>
              <w:snapToGrid w:val="0"/>
              <w:rPr>
                <w:rFonts w:ascii="宋体" w:hAnsi="宋体" w:cs="Calibri"/>
                <w:kern w:val="0"/>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rPr>
            </w:pPr>
            <w:r>
              <w:rPr>
                <w:rFonts w:ascii="宋体" w:hAnsi="宋体" w:cs="Calibri"/>
                <w:kern w:val="0"/>
                <w:sz w:val="22"/>
              </w:rPr>
              <w:t>□召开，召开时间：</w:t>
            </w:r>
          </w:p>
          <w:p>
            <w:pPr>
              <w:autoSpaceDE w:val="0"/>
              <w:autoSpaceDN w:val="0"/>
              <w:adjustRightInd w:val="0"/>
              <w:snapToGrid w:val="0"/>
              <w:rPr>
                <w:rFonts w:ascii="宋体" w:hAnsi="宋体" w:cs="Calibri"/>
                <w:kern w:val="0"/>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Arial"/>
                <w:kern w:val="0"/>
                <w:sz w:val="22"/>
              </w:rPr>
              <w:t>2019年</w:t>
            </w:r>
            <w:r>
              <w:rPr>
                <w:rFonts w:hint="eastAsia" w:ascii="宋体" w:hAnsi="宋体" w:cs="Arial"/>
                <w:kern w:val="0"/>
                <w:sz w:val="22"/>
                <w:lang w:val="en-US" w:eastAsia="zh-CN"/>
              </w:rPr>
              <w:t>10月23</w:t>
            </w:r>
            <w:r>
              <w:rPr>
                <w:rFonts w:hint="eastAsia" w:ascii="宋体" w:hAnsi="宋体" w:cs="Arial"/>
                <w:kern w:val="0"/>
                <w:sz w:val="22"/>
              </w:rPr>
              <w:t>日上午</w:t>
            </w:r>
            <w:r>
              <w:rPr>
                <w:rFonts w:hint="eastAsia" w:ascii="宋体" w:hAnsi="宋体" w:cs="Arial"/>
                <w:kern w:val="0"/>
                <w:sz w:val="22"/>
                <w:lang w:val="en-US" w:eastAsia="zh-CN"/>
              </w:rPr>
              <w:t>11</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w:t>
            </w:r>
            <w:r>
              <w:rPr>
                <w:rFonts w:ascii="宋体" w:hAnsi="宋体" w:cs="Calibri"/>
                <w:kern w:val="0"/>
                <w:sz w:val="22"/>
              </w:rPr>
              <w:t>前，</w:t>
            </w:r>
            <w:r>
              <w:rPr>
                <w:rFonts w:hint="eastAsia" w:ascii="宋体" w:hAnsi="宋体" w:cs="Calibri"/>
                <w:kern w:val="0"/>
                <w:sz w:val="22"/>
              </w:rPr>
              <w:t>以书面加盖公章的形式通过</w:t>
            </w:r>
            <w:r>
              <w:rPr>
                <w:rFonts w:ascii="宋体" w:hAnsi="宋体" w:cs="Calibri"/>
                <w:kern w:val="0"/>
                <w:sz w:val="22"/>
              </w:rPr>
              <w:t>E-mail或传真提交给招标人（投标联系人:</w:t>
            </w:r>
            <w:r>
              <w:rPr>
                <w:rFonts w:hint="eastAsia" w:ascii="宋体" w:hAnsi="宋体" w:cs="Calibri"/>
                <w:kern w:val="0"/>
                <w:sz w:val="22"/>
              </w:rPr>
              <w:t>贾思勰</w:t>
            </w:r>
            <w:r>
              <w:rPr>
                <w:rFonts w:ascii="宋体" w:hAnsi="宋体" w:cs="Calibri"/>
                <w:kern w:val="0"/>
                <w:sz w:val="22"/>
              </w:rPr>
              <w:t>，电话0571-83837612；传真：0571-83837612；电子邮箱：zbzx@hzairport.com）投标人必须在规定时间前提出对招标文件的疑问，否则招标人有权拒绝接收和拒绝回答未在截止时间前提出的疑问。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rPr>
            </w:pPr>
            <w:r>
              <w:rPr>
                <w:rFonts w:hint="eastAsia" w:ascii="宋体" w:hAnsi="宋体" w:cs="Calibri"/>
                <w:b/>
                <w:kern w:val="0"/>
                <w:sz w:val="22"/>
                <w:lang w:eastAsia="zh-CN"/>
              </w:rPr>
              <w:t>2019年10月30日下午14时00分</w:t>
            </w:r>
            <w:r>
              <w:rPr>
                <w:rFonts w:ascii="宋体" w:hAnsi="宋体" w:cs="Calibri"/>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投标保证金</w:t>
            </w:r>
          </w:p>
        </w:tc>
        <w:tc>
          <w:tcPr>
            <w:tcW w:w="6487" w:type="dxa"/>
            <w:vAlign w:val="center"/>
          </w:tcPr>
          <w:p>
            <w:pPr>
              <w:snapToGrid w:val="0"/>
              <w:rPr>
                <w:rFonts w:ascii="宋体" w:hAnsi="宋体"/>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r>
              <w:rPr>
                <w:rFonts w:hint="eastAsia" w:ascii="宋体" w:hAnsi="宋体" w:cs="Calibri"/>
                <w:kern w:val="0"/>
                <w:sz w:val="22"/>
              </w:rPr>
              <w:t>，产品承诺函一份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rPr>
            </w:pPr>
            <w:r>
              <w:rPr>
                <w:rFonts w:ascii="宋体" w:hAnsi="宋体" w:cs="Calibri"/>
                <w:kern w:val="0"/>
                <w:sz w:val="22"/>
              </w:rPr>
              <w:t>□分册装订</w:t>
            </w:r>
          </w:p>
          <w:p>
            <w:pPr>
              <w:autoSpaceDE w:val="0"/>
              <w:autoSpaceDN w:val="0"/>
              <w:adjustRightInd w:val="0"/>
              <w:snapToGrid w:val="0"/>
              <w:rPr>
                <w:rFonts w:ascii="宋体" w:hAnsi="宋体" w:cs="Calibri"/>
                <w:kern w:val="0"/>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olor w:val="000000"/>
                <w:szCs w:val="18"/>
                <w:u w:val="single"/>
              </w:rPr>
              <w:t>要客梯顶棚采购项目</w:t>
            </w:r>
            <w:r>
              <w:rPr>
                <w:rFonts w:hint="eastAsia" w:ascii="宋体" w:hAnsi="宋体" w:cs="宋体"/>
                <w:sz w:val="22"/>
                <w:u w:val="single"/>
              </w:rPr>
              <w:t>投标文件</w:t>
            </w:r>
          </w:p>
          <w:p>
            <w:pPr>
              <w:autoSpaceDE w:val="0"/>
              <w:autoSpaceDN w:val="0"/>
              <w:adjustRightInd w:val="0"/>
              <w:snapToGrid w:val="0"/>
              <w:rPr>
                <w:rFonts w:ascii="宋体" w:hAnsi="宋体" w:cs="Calibri"/>
                <w:kern w:val="0"/>
              </w:rPr>
            </w:pPr>
            <w:r>
              <w:rPr>
                <w:rFonts w:ascii="宋体" w:hAnsi="宋体" w:cs="Calibri"/>
                <w:kern w:val="0"/>
                <w:sz w:val="22"/>
              </w:rPr>
              <w:t>在</w:t>
            </w:r>
            <w:r>
              <w:rPr>
                <w:rFonts w:hint="eastAsia" w:ascii="宋体" w:hAnsi="宋体" w:cs="Calibri"/>
                <w:kern w:val="0"/>
                <w:sz w:val="22"/>
                <w:u w:val="single"/>
              </w:rPr>
              <w:t xml:space="preserve"> </w:t>
            </w:r>
            <w:r>
              <w:rPr>
                <w:rFonts w:hint="eastAsia" w:ascii="宋体" w:hAnsi="宋体" w:cs="Calibri"/>
                <w:kern w:val="0"/>
                <w:sz w:val="22"/>
                <w:u w:val="single"/>
                <w:lang w:eastAsia="zh-CN"/>
              </w:rPr>
              <w:t>2019年10月30日下午14时00分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□是</w:t>
            </w:r>
          </w:p>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10.2</w:t>
            </w:r>
          </w:p>
        </w:tc>
        <w:tc>
          <w:tcPr>
            <w:tcW w:w="2004" w:type="dxa"/>
            <w:shd w:val="clear" w:color="auto" w:fill="auto"/>
            <w:vAlign w:val="center"/>
          </w:tcPr>
          <w:p>
            <w:pPr>
              <w:pStyle w:val="47"/>
              <w:rPr>
                <w:rFonts w:ascii="宋体" w:hAnsi="宋体" w:cs="Calibri"/>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3" w:name="_Toc26216"/>
    </w:p>
    <w:bookmarkEnd w:id="3"/>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4"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5"/>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0"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0"/>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1"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2"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3"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4" w:name="_Toc143421657"/>
      <w:bookmarkStart w:id="15" w:name="_Toc15241"/>
      <w:r>
        <w:rPr>
          <w:rFonts w:ascii="宋体" w:hAnsi="宋体" w:cs="Calibri"/>
          <w:b/>
          <w:bCs/>
          <w:kern w:val="0"/>
          <w:sz w:val="22"/>
        </w:rPr>
        <w:t>2.招标文件</w:t>
      </w:r>
      <w:bookmarkEnd w:id="14"/>
      <w:bookmarkEnd w:id="15"/>
    </w:p>
    <w:p>
      <w:pPr>
        <w:autoSpaceDE w:val="0"/>
        <w:autoSpaceDN w:val="0"/>
        <w:adjustRightInd w:val="0"/>
        <w:snapToGrid w:val="0"/>
        <w:spacing w:line="360" w:lineRule="exact"/>
        <w:rPr>
          <w:rFonts w:ascii="宋体" w:hAnsi="宋体" w:cs="Calibri"/>
          <w:b/>
          <w:bCs/>
          <w:kern w:val="0"/>
          <w:sz w:val="22"/>
        </w:rPr>
      </w:pPr>
      <w:bookmarkStart w:id="16" w:name="_Toc1426"/>
      <w:r>
        <w:rPr>
          <w:rFonts w:ascii="宋体" w:hAnsi="宋体" w:cs="Calibri"/>
          <w:b/>
          <w:bCs/>
          <w:kern w:val="0"/>
          <w:sz w:val="22"/>
        </w:rPr>
        <w:t>2.1 招标文件的组成</w:t>
      </w:r>
      <w:bookmarkEnd w:id="16"/>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7" w:name="_Toc18230"/>
      <w:r>
        <w:rPr>
          <w:rFonts w:ascii="宋体" w:hAnsi="宋体" w:cs="Calibri"/>
          <w:b/>
          <w:bCs/>
          <w:kern w:val="0"/>
          <w:sz w:val="22"/>
        </w:rPr>
        <w:t>2.2 招标文件的澄清</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8" w:name="_Toc18303"/>
      <w:r>
        <w:rPr>
          <w:rFonts w:ascii="宋体" w:hAnsi="宋体" w:cs="Calibri"/>
          <w:b/>
          <w:bCs/>
          <w:kern w:val="0"/>
          <w:sz w:val="22"/>
        </w:rPr>
        <w:t>2.3 招标文件的修改</w:t>
      </w:r>
      <w:bookmarkEnd w:id="18"/>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9" w:name="_Toc18870"/>
      <w:bookmarkStart w:id="20" w:name="_Toc143421658"/>
      <w:r>
        <w:rPr>
          <w:rFonts w:ascii="宋体" w:hAnsi="宋体" w:cs="Calibri"/>
          <w:b/>
          <w:bCs/>
          <w:kern w:val="0"/>
          <w:sz w:val="22"/>
        </w:rPr>
        <w:t>3.投标文件</w:t>
      </w:r>
      <w:bookmarkEnd w:id="19"/>
      <w:bookmarkEnd w:id="20"/>
    </w:p>
    <w:p>
      <w:pPr>
        <w:autoSpaceDE w:val="0"/>
        <w:autoSpaceDN w:val="0"/>
        <w:adjustRightInd w:val="0"/>
        <w:snapToGrid w:val="0"/>
        <w:spacing w:line="360" w:lineRule="exact"/>
        <w:rPr>
          <w:rFonts w:ascii="宋体" w:hAnsi="宋体" w:cs="Calibri"/>
          <w:b/>
          <w:bCs/>
          <w:kern w:val="0"/>
          <w:sz w:val="22"/>
        </w:rPr>
      </w:pPr>
      <w:bookmarkStart w:id="21" w:name="_Toc461"/>
      <w:r>
        <w:rPr>
          <w:rFonts w:ascii="宋体" w:hAnsi="宋体" w:cs="Calibri"/>
          <w:b/>
          <w:bCs/>
          <w:kern w:val="0"/>
          <w:sz w:val="22"/>
        </w:rPr>
        <w:t>3.1 投标文件的语言和计量单位</w:t>
      </w:r>
      <w:bookmarkEnd w:id="21"/>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2" w:name="_Toc1411"/>
      <w:r>
        <w:rPr>
          <w:rFonts w:ascii="宋体" w:hAnsi="宋体" w:cs="Calibri"/>
          <w:b/>
          <w:bCs/>
          <w:kern w:val="0"/>
          <w:sz w:val="22"/>
        </w:rPr>
        <w:t>3.2 投标文件的组成</w:t>
      </w:r>
      <w:bookmarkEnd w:id="22"/>
    </w:p>
    <w:p>
      <w:pPr>
        <w:adjustRightInd w:val="0"/>
        <w:snapToGrid w:val="0"/>
        <w:spacing w:line="360" w:lineRule="exact"/>
        <w:ind w:firstLine="440"/>
        <w:rPr>
          <w:rFonts w:ascii="宋体" w:hAnsi="宋体" w:cs="Calibri"/>
          <w:sz w:val="22"/>
        </w:rPr>
      </w:pPr>
      <w:bookmarkStart w:id="23"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Calibri"/>
          <w:sz w:val="22"/>
        </w:rPr>
        <w:t>（2）信用中国网站www.creditchina.gov.cn 、中国裁判文书网</w:t>
      </w:r>
      <w:r>
        <w:rPr>
          <w:rFonts w:ascii="宋体" w:hAnsi="宋体" w:cs="Calibri"/>
          <w:sz w:val="22"/>
        </w:rPr>
        <w:fldChar w:fldCharType="begin"/>
      </w:r>
      <w:r>
        <w:rPr>
          <w:rFonts w:ascii="宋体" w:hAnsi="宋体" w:cs="Calibri"/>
          <w:sz w:val="22"/>
        </w:rPr>
        <w:instrText xml:space="preserve"> HYPERLINK "</w:instrText>
      </w:r>
      <w:r>
        <w:rPr>
          <w:rFonts w:hint="eastAsia" w:ascii="宋体" w:hAnsi="宋体" w:cs="Calibri"/>
          <w:sz w:val="22"/>
        </w:rPr>
        <w:instrText xml:space="preserve">http://wenshu.court.gov.cn</w:instrText>
      </w:r>
      <w:r>
        <w:rPr>
          <w:rFonts w:ascii="宋体" w:hAnsi="宋体" w:cs="Calibri"/>
          <w:sz w:val="22"/>
        </w:rPr>
        <w:instrText xml:space="preserve">" </w:instrText>
      </w:r>
      <w:r>
        <w:rPr>
          <w:rFonts w:ascii="宋体" w:hAnsi="宋体" w:cs="Calibri"/>
          <w:sz w:val="22"/>
        </w:rPr>
        <w:fldChar w:fldCharType="separate"/>
      </w:r>
      <w:r>
        <w:rPr>
          <w:rStyle w:val="58"/>
          <w:rFonts w:hint="eastAsia" w:ascii="宋体" w:hAnsi="宋体" w:cs="Calibri"/>
          <w:sz w:val="22"/>
        </w:rPr>
        <w:t>http://wenshu.court.gov.cn</w:t>
      </w:r>
      <w:r>
        <w:rPr>
          <w:rFonts w:ascii="宋体" w:hAnsi="宋体" w:cs="Calibri"/>
          <w:sz w:val="22"/>
        </w:rPr>
        <w:fldChar w:fldCharType="end"/>
      </w:r>
      <w:r>
        <w:rPr>
          <w:rFonts w:ascii="宋体" w:hAnsi="宋体" w:cs="Calibri"/>
          <w:sz w:val="22"/>
        </w:rPr>
        <w:t xml:space="preserve"> </w:t>
      </w:r>
      <w:r>
        <w:rPr>
          <w:rFonts w:hint="eastAsia" w:ascii="宋体" w:hAnsi="宋体" w:cs="Calibri"/>
          <w:sz w:val="22"/>
        </w:rPr>
        <w:t>查询结果证材料以及主管税务部门出具的一般纳税人资格认定《税务事项通知书》。</w:t>
      </w:r>
    </w:p>
    <w:p>
      <w:pPr>
        <w:adjustRightInd w:val="0"/>
        <w:snapToGrid w:val="0"/>
        <w:spacing w:line="360" w:lineRule="exact"/>
        <w:ind w:firstLine="44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cs="Calibri"/>
          <w:kern w:val="0"/>
          <w:sz w:val="22"/>
        </w:rPr>
        <w:t>（4）</w:t>
      </w:r>
      <w:r>
        <w:rPr>
          <w:rFonts w:hint="eastAsia" w:ascii="宋体" w:hAnsi="宋体" w:cs="Calibri"/>
          <w:color w:val="000000"/>
          <w:sz w:val="22"/>
        </w:rPr>
        <w:t>设备制造商的授权书（代理商投标时提供）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3"/>
    </w:p>
    <w:p>
      <w:pPr>
        <w:adjustRightInd w:val="0"/>
        <w:snapToGrid w:val="0"/>
        <w:spacing w:line="360" w:lineRule="exact"/>
        <w:ind w:firstLine="440"/>
        <w:rPr>
          <w:rFonts w:ascii="宋体" w:hAnsi="宋体" w:cs="Calibri"/>
          <w:sz w:val="22"/>
        </w:rPr>
      </w:pPr>
      <w:bookmarkStart w:id="24"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5" w:name="_Toc30464"/>
      <w:r>
        <w:rPr>
          <w:rFonts w:ascii="宋体" w:hAnsi="宋体" w:cs="Calibri"/>
          <w:b/>
          <w:bCs/>
          <w:kern w:val="0"/>
          <w:sz w:val="22"/>
        </w:rPr>
        <w:t>3.5 投标保证金</w:t>
      </w:r>
      <w:bookmarkEnd w:id="25"/>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6" w:name="_Toc29989"/>
      <w:r>
        <w:rPr>
          <w:rFonts w:ascii="宋体" w:hAnsi="宋体" w:cs="Calibri"/>
          <w:b/>
          <w:bCs/>
          <w:kern w:val="0"/>
          <w:sz w:val="22"/>
        </w:rPr>
        <w:t>3.6 投标文件的编制</w:t>
      </w:r>
      <w:bookmarkEnd w:id="26"/>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kern w:val="0"/>
          <w:sz w:val="22"/>
        </w:rPr>
      </w:pPr>
      <w:bookmarkStart w:id="28" w:name="_Toc32652"/>
      <w:r>
        <w:rPr>
          <w:rFonts w:ascii="宋体" w:hAnsi="宋体" w:cs="Calibri"/>
          <w:b/>
          <w:bCs/>
          <w:kern w:val="0"/>
          <w:sz w:val="22"/>
        </w:rPr>
        <w:t>4.投标</w:t>
      </w:r>
      <w:bookmarkEnd w:id="27"/>
      <w:bookmarkEnd w:id="28"/>
    </w:p>
    <w:p>
      <w:pPr>
        <w:autoSpaceDE w:val="0"/>
        <w:autoSpaceDN w:val="0"/>
        <w:adjustRightInd w:val="0"/>
        <w:snapToGrid w:val="0"/>
        <w:spacing w:line="360" w:lineRule="exact"/>
        <w:rPr>
          <w:rFonts w:ascii="宋体" w:hAnsi="宋体" w:cs="Calibri"/>
          <w:b/>
          <w:bCs/>
          <w:kern w:val="0"/>
          <w:sz w:val="22"/>
        </w:rPr>
      </w:pPr>
      <w:bookmarkStart w:id="29" w:name="_Toc649"/>
      <w:r>
        <w:rPr>
          <w:rFonts w:ascii="宋体" w:hAnsi="宋体" w:cs="Calibri"/>
          <w:b/>
          <w:bCs/>
          <w:kern w:val="0"/>
          <w:sz w:val="22"/>
        </w:rPr>
        <w:t>4.1 投标文件的密封和标识</w:t>
      </w:r>
      <w:bookmarkEnd w:id="29"/>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0" w:name="_Toc16616"/>
      <w:r>
        <w:rPr>
          <w:rFonts w:ascii="宋体" w:hAnsi="宋体" w:cs="Calibri"/>
          <w:b/>
          <w:bCs/>
          <w:kern w:val="0"/>
          <w:sz w:val="22"/>
        </w:rPr>
        <w:t xml:space="preserve">4.2 投标文件的递交 </w:t>
      </w:r>
      <w:bookmarkEnd w:id="30"/>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1" w:name="_Toc26099"/>
      <w:r>
        <w:rPr>
          <w:rFonts w:ascii="宋体" w:hAnsi="宋体" w:cs="Calibri"/>
          <w:b/>
          <w:bCs/>
          <w:kern w:val="0"/>
          <w:sz w:val="22"/>
        </w:rPr>
        <w:t>4.3 投标文件的修改和撤回</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2" w:name="_Toc29641"/>
      <w:r>
        <w:rPr>
          <w:rFonts w:ascii="宋体" w:hAnsi="宋体" w:cs="Calibri"/>
          <w:b/>
          <w:bCs/>
          <w:kern w:val="0"/>
          <w:sz w:val="22"/>
        </w:rPr>
        <w:t>5.开标</w:t>
      </w:r>
      <w:bookmarkEnd w:id="32"/>
    </w:p>
    <w:p>
      <w:pPr>
        <w:autoSpaceDE w:val="0"/>
        <w:autoSpaceDN w:val="0"/>
        <w:adjustRightInd w:val="0"/>
        <w:snapToGrid w:val="0"/>
        <w:spacing w:line="360" w:lineRule="exact"/>
        <w:rPr>
          <w:rFonts w:ascii="宋体" w:hAnsi="宋体" w:cs="Calibri"/>
          <w:b/>
          <w:bCs/>
          <w:kern w:val="0"/>
          <w:sz w:val="22"/>
        </w:rPr>
      </w:pPr>
      <w:bookmarkStart w:id="33" w:name="_Toc15123"/>
      <w:r>
        <w:rPr>
          <w:rFonts w:ascii="宋体" w:hAnsi="宋体" w:cs="Calibri"/>
          <w:b/>
          <w:bCs/>
          <w:kern w:val="0"/>
          <w:sz w:val="22"/>
        </w:rPr>
        <w:t>5.1 开标时间和地点</w:t>
      </w:r>
      <w:bookmarkEnd w:id="33"/>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ind w:firstLine="442" w:firstLineChars="200"/>
        <w:rPr>
          <w:rFonts w:ascii="宋体" w:hAnsi="宋体" w:cs="Calibri"/>
          <w:b/>
          <w:bCs/>
          <w:kern w:val="0"/>
          <w:sz w:val="22"/>
        </w:rPr>
      </w:pPr>
      <w:bookmarkStart w:id="34" w:name="_Toc7101"/>
      <w:r>
        <w:rPr>
          <w:rFonts w:ascii="宋体" w:hAnsi="宋体" w:cs="Calibri"/>
          <w:b/>
          <w:bCs/>
          <w:kern w:val="0"/>
          <w:sz w:val="22"/>
        </w:rPr>
        <w:t>5.2 开标程序</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5" w:name="_Toc31578"/>
      <w:r>
        <w:rPr>
          <w:rFonts w:ascii="宋体" w:hAnsi="宋体" w:cs="Calibri"/>
          <w:b/>
          <w:bCs/>
          <w:kern w:val="0"/>
          <w:sz w:val="22"/>
        </w:rPr>
        <w:t>6.评标</w:t>
      </w:r>
      <w:bookmarkEnd w:id="35"/>
    </w:p>
    <w:p>
      <w:pPr>
        <w:autoSpaceDE w:val="0"/>
        <w:autoSpaceDN w:val="0"/>
        <w:adjustRightInd w:val="0"/>
        <w:snapToGrid w:val="0"/>
        <w:spacing w:line="360" w:lineRule="exact"/>
        <w:rPr>
          <w:rFonts w:ascii="宋体" w:hAnsi="宋体" w:cs="Calibri"/>
          <w:b/>
          <w:bCs/>
          <w:kern w:val="0"/>
          <w:sz w:val="22"/>
        </w:rPr>
      </w:pPr>
      <w:bookmarkStart w:id="36" w:name="_Toc10279"/>
      <w:r>
        <w:rPr>
          <w:rFonts w:ascii="宋体" w:hAnsi="宋体" w:cs="Calibri"/>
          <w:b/>
          <w:bCs/>
          <w:kern w:val="0"/>
          <w:sz w:val="22"/>
        </w:rPr>
        <w:t>6.1 评标委员会</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7" w:name="_Toc3460"/>
      <w:r>
        <w:rPr>
          <w:rFonts w:ascii="宋体" w:hAnsi="宋体" w:cs="Calibri"/>
          <w:b/>
          <w:bCs/>
          <w:kern w:val="0"/>
          <w:sz w:val="22"/>
        </w:rPr>
        <w:t>6.2 评标原则</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8" w:name="_Toc28178"/>
      <w:r>
        <w:rPr>
          <w:rFonts w:ascii="宋体" w:hAnsi="宋体" w:cs="Calibri"/>
          <w:b/>
          <w:bCs/>
          <w:kern w:val="0"/>
          <w:sz w:val="22"/>
        </w:rPr>
        <w:t>6.3 评标</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9" w:name="_Toc24237"/>
      <w:r>
        <w:rPr>
          <w:rFonts w:ascii="宋体" w:hAnsi="宋体" w:cs="Calibri"/>
          <w:b/>
          <w:bCs/>
          <w:kern w:val="0"/>
          <w:sz w:val="22"/>
        </w:rPr>
        <w:t>7.合同授予</w:t>
      </w:r>
      <w:bookmarkEnd w:id="39"/>
    </w:p>
    <w:p>
      <w:pPr>
        <w:autoSpaceDE w:val="0"/>
        <w:autoSpaceDN w:val="0"/>
        <w:adjustRightInd w:val="0"/>
        <w:snapToGrid w:val="0"/>
        <w:spacing w:line="360" w:lineRule="exact"/>
        <w:rPr>
          <w:rFonts w:ascii="宋体" w:hAnsi="宋体" w:cs="Calibri"/>
          <w:b/>
          <w:bCs/>
          <w:kern w:val="0"/>
          <w:sz w:val="22"/>
        </w:rPr>
      </w:pPr>
      <w:bookmarkStart w:id="40" w:name="_Toc18809"/>
      <w:r>
        <w:rPr>
          <w:rFonts w:ascii="宋体" w:hAnsi="宋体" w:cs="Calibri"/>
          <w:b/>
          <w:bCs/>
          <w:kern w:val="0"/>
          <w:sz w:val="22"/>
        </w:rPr>
        <w:t>7.1 定标方式</w:t>
      </w:r>
      <w:bookmarkEnd w:id="40"/>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1" w:name="_Toc14573"/>
      <w:r>
        <w:rPr>
          <w:rFonts w:ascii="宋体" w:hAnsi="宋体" w:cs="Calibri"/>
          <w:b/>
          <w:bCs/>
          <w:kern w:val="0"/>
          <w:sz w:val="22"/>
        </w:rPr>
        <w:t>7.2 中标通知</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2" w:name="_Toc27132"/>
      <w:r>
        <w:rPr>
          <w:rFonts w:ascii="宋体" w:hAnsi="宋体" w:cs="Calibri"/>
          <w:b/>
          <w:bCs/>
          <w:kern w:val="0"/>
          <w:sz w:val="22"/>
        </w:rPr>
        <w:t>7.3 履约</w:t>
      </w:r>
      <w:r>
        <w:rPr>
          <w:rFonts w:hint="eastAsia" w:ascii="宋体" w:hAnsi="宋体" w:cs="Calibri"/>
          <w:b/>
          <w:bCs/>
          <w:kern w:val="0"/>
          <w:sz w:val="22"/>
        </w:rPr>
        <w:t>保证金</w:t>
      </w:r>
      <w:bookmarkEnd w:id="42"/>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3" w:name="_Toc27581"/>
      <w:r>
        <w:rPr>
          <w:rFonts w:ascii="宋体" w:hAnsi="宋体" w:cs="Calibri"/>
          <w:b/>
          <w:bCs/>
          <w:kern w:val="0"/>
          <w:sz w:val="22"/>
        </w:rPr>
        <w:t>7.4 签订合同</w:t>
      </w:r>
      <w:bookmarkEnd w:id="43"/>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4" w:name="_Toc11806"/>
      <w:bookmarkStart w:id="45" w:name="_Toc220123241"/>
      <w:bookmarkStart w:id="46"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4"/>
      <w:bookmarkEnd w:id="45"/>
      <w:bookmarkEnd w:id="46"/>
    </w:p>
    <w:p>
      <w:pPr>
        <w:autoSpaceDE w:val="0"/>
        <w:autoSpaceDN w:val="0"/>
        <w:adjustRightInd w:val="0"/>
        <w:snapToGrid w:val="0"/>
        <w:spacing w:line="360" w:lineRule="exact"/>
        <w:rPr>
          <w:rFonts w:ascii="宋体" w:hAnsi="宋体" w:cs="Calibri"/>
          <w:b/>
          <w:bCs/>
          <w:kern w:val="0"/>
          <w:sz w:val="22"/>
        </w:rPr>
      </w:pPr>
      <w:bookmarkStart w:id="47" w:name="_Toc219809802"/>
      <w:bookmarkStart w:id="48" w:name="_Toc15553"/>
      <w:bookmarkStart w:id="49" w:name="_Toc220123242"/>
      <w:r>
        <w:rPr>
          <w:rFonts w:ascii="宋体" w:hAnsi="宋体" w:cs="Calibri"/>
          <w:b/>
          <w:bCs/>
          <w:kern w:val="0"/>
          <w:sz w:val="22"/>
        </w:rPr>
        <w:t>8.1 重新招标</w:t>
      </w:r>
      <w:bookmarkEnd w:id="47"/>
      <w:bookmarkEnd w:id="48"/>
      <w:bookmarkEnd w:id="49"/>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0" w:name="_Toc219809803"/>
      <w:bookmarkStart w:id="51" w:name="_Toc220123243"/>
      <w:bookmarkStart w:id="52" w:name="_Toc18806"/>
      <w:r>
        <w:rPr>
          <w:rFonts w:ascii="宋体" w:hAnsi="宋体" w:cs="Calibri"/>
          <w:b/>
          <w:bCs/>
          <w:kern w:val="0"/>
          <w:sz w:val="22"/>
        </w:rPr>
        <w:t>8.2 不再招标</w:t>
      </w:r>
      <w:bookmarkEnd w:id="50"/>
      <w:bookmarkEnd w:id="51"/>
      <w:bookmarkEnd w:id="52"/>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3" w:name="_Toc2986"/>
      <w:bookmarkStart w:id="54" w:name="_Toc220123244"/>
      <w:bookmarkStart w:id="55" w:name="_Toc219809804"/>
      <w:bookmarkStart w:id="56" w:name="_Toc215941254"/>
      <w:r>
        <w:rPr>
          <w:rFonts w:ascii="宋体" w:hAnsi="宋体" w:cs="Calibri"/>
          <w:b/>
          <w:bCs/>
          <w:kern w:val="0"/>
          <w:sz w:val="22"/>
        </w:rPr>
        <w:t>9.纪律和监督</w:t>
      </w:r>
      <w:bookmarkEnd w:id="53"/>
      <w:bookmarkEnd w:id="54"/>
      <w:bookmarkEnd w:id="55"/>
      <w:bookmarkEnd w:id="56"/>
    </w:p>
    <w:p>
      <w:pPr>
        <w:autoSpaceDE w:val="0"/>
        <w:autoSpaceDN w:val="0"/>
        <w:adjustRightInd w:val="0"/>
        <w:snapToGrid w:val="0"/>
        <w:spacing w:line="360" w:lineRule="exact"/>
        <w:rPr>
          <w:rFonts w:ascii="宋体" w:hAnsi="宋体" w:cs="Calibri"/>
          <w:b/>
          <w:bCs/>
          <w:kern w:val="0"/>
          <w:sz w:val="22"/>
        </w:rPr>
      </w:pPr>
      <w:bookmarkStart w:id="57" w:name="_Toc220123245"/>
      <w:bookmarkStart w:id="58" w:name="_Toc219809805"/>
      <w:bookmarkStart w:id="59" w:name="_Toc5509"/>
      <w:r>
        <w:rPr>
          <w:rFonts w:ascii="宋体" w:hAnsi="宋体" w:cs="Calibri"/>
          <w:b/>
          <w:bCs/>
          <w:kern w:val="0"/>
          <w:sz w:val="22"/>
        </w:rPr>
        <w:t>9.1 对招标人的纪律要求</w:t>
      </w:r>
      <w:bookmarkEnd w:id="57"/>
      <w:bookmarkEnd w:id="58"/>
      <w:bookmarkEnd w:id="5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0" w:name="_Toc10820"/>
      <w:bookmarkStart w:id="61" w:name="_Toc220123246"/>
      <w:bookmarkStart w:id="62" w:name="_Toc219809806"/>
      <w:r>
        <w:rPr>
          <w:rFonts w:ascii="宋体" w:hAnsi="宋体" w:cs="Calibri"/>
          <w:b/>
          <w:bCs/>
          <w:kern w:val="0"/>
          <w:sz w:val="22"/>
        </w:rPr>
        <w:t>9.2 对投标人的纪律要求</w:t>
      </w:r>
      <w:bookmarkEnd w:id="60"/>
      <w:bookmarkEnd w:id="61"/>
      <w:bookmarkEnd w:id="6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3" w:name="_Toc219809807"/>
      <w:bookmarkStart w:id="64" w:name="_Toc220123247"/>
      <w:bookmarkStart w:id="65" w:name="_Toc10756"/>
      <w:r>
        <w:rPr>
          <w:rFonts w:ascii="宋体" w:hAnsi="宋体" w:cs="Calibri"/>
          <w:b/>
          <w:bCs/>
          <w:kern w:val="0"/>
          <w:sz w:val="22"/>
        </w:rPr>
        <w:t>9.3 对评标委员会成员的纪律要求</w:t>
      </w:r>
      <w:bookmarkEnd w:id="63"/>
      <w:bookmarkEnd w:id="64"/>
      <w:bookmarkEnd w:id="6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6" w:name="_Toc219809808"/>
      <w:bookmarkStart w:id="67" w:name="_Toc220123248"/>
      <w:bookmarkStart w:id="68" w:name="_Toc12792"/>
      <w:r>
        <w:rPr>
          <w:rFonts w:ascii="宋体" w:hAnsi="宋体" w:cs="Calibri"/>
          <w:b/>
          <w:bCs/>
          <w:kern w:val="0"/>
          <w:sz w:val="22"/>
        </w:rPr>
        <w:t>9.4 对评标活动有关的工作人员的纪律要求</w:t>
      </w:r>
      <w:bookmarkEnd w:id="66"/>
      <w:bookmarkEnd w:id="67"/>
      <w:bookmarkEnd w:id="6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9" w:name="_Toc219809809"/>
      <w:bookmarkStart w:id="70" w:name="_Toc220123249"/>
      <w:bookmarkStart w:id="71" w:name="_Toc239"/>
      <w:r>
        <w:rPr>
          <w:rFonts w:ascii="宋体" w:hAnsi="宋体" w:cs="Calibri"/>
          <w:b/>
          <w:bCs/>
          <w:kern w:val="0"/>
          <w:sz w:val="22"/>
        </w:rPr>
        <w:t>9.5 投诉</w:t>
      </w:r>
      <w:bookmarkEnd w:id="69"/>
      <w:bookmarkEnd w:id="70"/>
      <w:bookmarkEnd w:id="7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2" w:name="_Toc10817"/>
      <w:r>
        <w:rPr>
          <w:rFonts w:ascii="宋体" w:hAnsi="宋体" w:cs="Calibri"/>
          <w:b/>
          <w:bCs/>
          <w:kern w:val="0"/>
          <w:sz w:val="22"/>
        </w:rPr>
        <w:t>10. 需要补充的其他内容</w:t>
      </w:r>
      <w:bookmarkEnd w:id="72"/>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
    <w:bookmarkEnd w:id="2"/>
    <w:p>
      <w:pPr>
        <w:pStyle w:val="48"/>
      </w:pPr>
      <w:r>
        <w:t>第</w:t>
      </w:r>
      <w:r>
        <w:rPr>
          <w:rFonts w:hint="eastAsia"/>
        </w:rPr>
        <w:t>三</w:t>
      </w:r>
      <w:r>
        <w:t>章  货物需求一览表及技术规格</w:t>
      </w:r>
    </w:p>
    <w:p>
      <w:pPr>
        <w:widowControl/>
        <w:jc w:val="left"/>
        <w:rPr>
          <w:rFonts w:ascii="宋体" w:hAnsi="宋体"/>
          <w:b/>
          <w:sz w:val="22"/>
        </w:rPr>
      </w:pPr>
      <w:r>
        <w:rPr>
          <w:rFonts w:hint="eastAsia" w:ascii="宋体" w:hAnsi="宋体"/>
          <w:b/>
          <w:sz w:val="22"/>
        </w:rPr>
        <w:t>一、招标内容</w:t>
      </w:r>
    </w:p>
    <w:p>
      <w:pPr>
        <w:widowControl/>
        <w:jc w:val="left"/>
        <w:rPr>
          <w:rFonts w:ascii="宋体" w:hAnsi="宋体"/>
          <w:b/>
          <w:sz w:val="22"/>
        </w:rPr>
      </w:pPr>
      <w:r>
        <w:rPr>
          <w:rFonts w:hint="eastAsia" w:ascii="宋体" w:hAnsi="宋体"/>
          <w:sz w:val="22"/>
        </w:rPr>
        <w:t>要客梯顶棚</w:t>
      </w:r>
    </w:p>
    <w:p>
      <w:pPr>
        <w:widowControl/>
        <w:jc w:val="left"/>
        <w:rPr>
          <w:rFonts w:ascii="宋体" w:hAnsi="宋体"/>
          <w:b/>
          <w:sz w:val="22"/>
        </w:rPr>
      </w:pPr>
      <w:r>
        <w:rPr>
          <w:rFonts w:hint="eastAsia" w:ascii="宋体" w:hAnsi="宋体"/>
          <w:b/>
          <w:sz w:val="22"/>
        </w:rPr>
        <w:t>二</w:t>
      </w:r>
      <w:r>
        <w:rPr>
          <w:rFonts w:ascii="宋体" w:hAnsi="宋体"/>
          <w:b/>
          <w:sz w:val="22"/>
        </w:rPr>
        <w:t>、货物需求一览表</w:t>
      </w:r>
    </w:p>
    <w:tbl>
      <w:tblPr>
        <w:tblStyle w:val="52"/>
        <w:tblW w:w="9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1409"/>
        <w:gridCol w:w="2118"/>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rPr>
            </w:pPr>
            <w:r>
              <w:rPr>
                <w:rFonts w:hint="eastAsia" w:ascii="宋体" w:hAnsi="宋体"/>
                <w:sz w:val="22"/>
              </w:rPr>
              <w:t>货物名称</w:t>
            </w:r>
          </w:p>
        </w:tc>
        <w:tc>
          <w:tcPr>
            <w:tcW w:w="1409" w:type="dxa"/>
            <w:vAlign w:val="center"/>
          </w:tcPr>
          <w:p>
            <w:pPr>
              <w:widowControl/>
              <w:jc w:val="left"/>
              <w:rPr>
                <w:rFonts w:ascii="宋体" w:hAnsi="宋体"/>
              </w:rPr>
            </w:pPr>
            <w:r>
              <w:rPr>
                <w:rFonts w:hint="eastAsia" w:ascii="宋体" w:hAnsi="宋体"/>
                <w:sz w:val="22"/>
              </w:rPr>
              <w:t>数量</w:t>
            </w:r>
          </w:p>
        </w:tc>
        <w:tc>
          <w:tcPr>
            <w:tcW w:w="2118" w:type="dxa"/>
            <w:vAlign w:val="center"/>
          </w:tcPr>
          <w:p>
            <w:pPr>
              <w:widowControl/>
              <w:jc w:val="left"/>
              <w:rPr>
                <w:rFonts w:ascii="宋体" w:hAnsi="宋体"/>
              </w:rPr>
            </w:pPr>
            <w:r>
              <w:rPr>
                <w:rFonts w:hint="eastAsia" w:ascii="宋体" w:hAnsi="宋体"/>
                <w:sz w:val="22"/>
              </w:rPr>
              <w:t>交货日期</w:t>
            </w:r>
          </w:p>
        </w:tc>
        <w:tc>
          <w:tcPr>
            <w:tcW w:w="2151" w:type="dxa"/>
            <w:vAlign w:val="center"/>
          </w:tcPr>
          <w:p>
            <w:pPr>
              <w:widowControl/>
              <w:jc w:val="left"/>
              <w:rPr>
                <w:rFonts w:ascii="宋体" w:hAnsi="宋体"/>
              </w:rPr>
            </w:pPr>
            <w:r>
              <w:rPr>
                <w:rFonts w:ascii="宋体" w:hAnsi="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rPr>
            </w:pPr>
            <w:r>
              <w:rPr>
                <w:rFonts w:hint="eastAsia" w:ascii="宋体" w:hAnsi="宋体"/>
                <w:sz w:val="22"/>
              </w:rPr>
              <w:t>要客梯顶棚</w:t>
            </w:r>
          </w:p>
        </w:tc>
        <w:tc>
          <w:tcPr>
            <w:tcW w:w="1409" w:type="dxa"/>
            <w:vAlign w:val="center"/>
          </w:tcPr>
          <w:p>
            <w:pPr>
              <w:widowControl/>
              <w:jc w:val="left"/>
              <w:rPr>
                <w:rFonts w:ascii="宋体" w:hAnsi="宋体"/>
              </w:rPr>
            </w:pPr>
            <w:r>
              <w:rPr>
                <w:rFonts w:hint="eastAsia" w:ascii="宋体" w:hAnsi="宋体"/>
                <w:sz w:val="22"/>
              </w:rPr>
              <w:t>8套</w:t>
            </w:r>
          </w:p>
        </w:tc>
        <w:tc>
          <w:tcPr>
            <w:tcW w:w="2118" w:type="dxa"/>
            <w:vAlign w:val="center"/>
          </w:tcPr>
          <w:p>
            <w:pPr>
              <w:widowControl/>
              <w:jc w:val="left"/>
              <w:rPr>
                <w:rFonts w:ascii="宋体" w:hAnsi="宋体"/>
              </w:rPr>
            </w:pPr>
            <w:r>
              <w:rPr>
                <w:rFonts w:hint="eastAsia" w:ascii="宋体" w:hAnsi="宋体"/>
                <w:sz w:val="22"/>
              </w:rPr>
              <w:t>签订合同后30日历天内</w:t>
            </w:r>
          </w:p>
        </w:tc>
        <w:tc>
          <w:tcPr>
            <w:tcW w:w="2151" w:type="dxa"/>
            <w:vAlign w:val="center"/>
          </w:tcPr>
          <w:p>
            <w:pPr>
              <w:widowControl/>
              <w:jc w:val="left"/>
              <w:rPr>
                <w:rFonts w:ascii="宋体" w:hAnsi="宋体"/>
              </w:rPr>
            </w:pPr>
            <w:r>
              <w:rPr>
                <w:rFonts w:hint="eastAsia" w:ascii="宋体" w:hAnsi="宋体"/>
                <w:sz w:val="22"/>
              </w:rPr>
              <w:t>杭州萧山国际机场航站楼内指定地点</w:t>
            </w:r>
          </w:p>
        </w:tc>
      </w:tr>
    </w:tbl>
    <w:p>
      <w:pPr>
        <w:spacing w:line="360" w:lineRule="auto"/>
        <w:rPr>
          <w:rFonts w:ascii="宋体" w:hAnsi="宋体"/>
          <w:sz w:val="22"/>
        </w:rPr>
      </w:pPr>
      <w:r>
        <w:rPr>
          <w:rFonts w:hint="eastAsia" w:ascii="宋体" w:hAnsi="宋体"/>
          <w:sz w:val="22"/>
        </w:rPr>
        <w:t>备注：投标人报价为杭州萧山国际机场内交货价，包含但不限于产品价格、运输费、包装费、安装费、废旧设施拆除费、废旧材料清运费、原顶棚密封胶及胶印清理费、原顶棚密封胶打胶费、不停航施工现场监管费、保险费、税费等所有费用。甲方不再承担其他任何费用。</w:t>
      </w:r>
    </w:p>
    <w:p>
      <w:pPr>
        <w:spacing w:line="360" w:lineRule="auto"/>
        <w:rPr>
          <w:rFonts w:ascii="宋体" w:hAnsi="宋体"/>
          <w:sz w:val="22"/>
        </w:rPr>
      </w:pPr>
      <w:r>
        <w:rPr>
          <w:rFonts w:hint="eastAsia" w:ascii="宋体" w:hAnsi="宋体"/>
          <w:b/>
          <w:sz w:val="22"/>
        </w:rPr>
        <w:t>三、</w:t>
      </w:r>
      <w:r>
        <w:rPr>
          <w:rFonts w:ascii="宋体" w:hAnsi="宋体"/>
          <w:b/>
          <w:sz w:val="22"/>
        </w:rPr>
        <w:t>产品</w:t>
      </w:r>
      <w:r>
        <w:rPr>
          <w:rFonts w:hint="eastAsia" w:ascii="宋体" w:hAnsi="宋体"/>
          <w:b/>
          <w:sz w:val="22"/>
        </w:rPr>
        <w:t>需满足的</w:t>
      </w:r>
      <w:r>
        <w:rPr>
          <w:rFonts w:ascii="宋体" w:hAnsi="宋体"/>
          <w:b/>
          <w:sz w:val="22"/>
        </w:rPr>
        <w:t>标准和规范</w:t>
      </w:r>
    </w:p>
    <w:p>
      <w:pPr>
        <w:widowControl/>
        <w:jc w:val="left"/>
        <w:rPr>
          <w:rFonts w:ascii="宋体" w:hAnsi="宋体"/>
          <w:sz w:val="22"/>
        </w:rPr>
      </w:pPr>
      <w:r>
        <w:rPr>
          <w:rFonts w:hint="eastAsia" w:ascii="宋体" w:hAnsi="宋体"/>
          <w:sz w:val="22"/>
        </w:rPr>
        <w:t>（一）产品质量要求：</w:t>
      </w:r>
    </w:p>
    <w:p>
      <w:pPr>
        <w:widowControl/>
        <w:ind w:firstLine="220" w:firstLineChars="100"/>
        <w:jc w:val="left"/>
        <w:rPr>
          <w:rFonts w:ascii="宋体" w:hAnsi="宋体"/>
          <w:sz w:val="22"/>
        </w:rPr>
      </w:pPr>
      <w:r>
        <w:rPr>
          <w:rFonts w:hint="eastAsia" w:ascii="宋体" w:hAnsi="宋体"/>
          <w:sz w:val="22"/>
        </w:rPr>
        <w:t>（1）严格执行国家现行有效的质量标准制造和提供合格产品，如所供产品由于质量问题所造成的所有损失，当由投标人全权负责；</w:t>
      </w:r>
    </w:p>
    <w:p>
      <w:pPr>
        <w:widowControl/>
        <w:ind w:firstLine="220" w:firstLineChars="100"/>
        <w:jc w:val="left"/>
        <w:rPr>
          <w:rFonts w:ascii="宋体" w:hAnsi="宋体"/>
          <w:sz w:val="22"/>
        </w:rPr>
      </w:pPr>
      <w:r>
        <w:rPr>
          <w:rFonts w:hint="eastAsia" w:ascii="宋体" w:hAnsi="宋体"/>
          <w:sz w:val="22"/>
        </w:rPr>
        <w:t>（2）必须提供有效的主要材料及辅料的质检证明资料和技术资料等质量文件。</w:t>
      </w:r>
    </w:p>
    <w:p>
      <w:pPr>
        <w:spacing w:line="220" w:lineRule="atLeast"/>
        <w:rPr>
          <w:rFonts w:ascii="宋体" w:hAnsi="宋体" w:cs="宋体"/>
          <w:szCs w:val="21"/>
        </w:rPr>
      </w:pPr>
      <w:r>
        <w:rPr>
          <w:rFonts w:hint="eastAsia" w:ascii="宋体" w:hAnsi="宋体" w:eastAsia="宋体" w:cs="宋体"/>
          <w:sz w:val="21"/>
          <w:szCs w:val="21"/>
        </w:rPr>
        <w:t>（二）外观：</w:t>
      </w:r>
    </w:p>
    <w:p>
      <w:pPr>
        <w:spacing w:line="220" w:lineRule="atLeast"/>
        <w:rPr>
          <w:rFonts w:ascii="宋体"/>
          <w:sz w:val="22"/>
        </w:rPr>
      </w:pPr>
      <w:r>
        <w:rPr>
          <w:rFonts w:ascii="宋体" w:hAnsi="宋体" w:cs="Calibri"/>
          <w:kern w:val="0"/>
          <w:sz w:val="22"/>
        </w:rPr>
        <w:t>★</w:t>
      </w:r>
      <w:r>
        <w:rPr>
          <w:rFonts w:hint="eastAsia" w:ascii="宋体"/>
          <w:sz w:val="22"/>
        </w:rPr>
        <w:t>（1）吊顶外观设计需与324廊桥要客梯保持一致；</w:t>
      </w:r>
    </w:p>
    <w:p>
      <w:pPr>
        <w:spacing w:line="220" w:lineRule="atLeast"/>
        <w:rPr>
          <w:rFonts w:ascii="宋体"/>
          <w:sz w:val="22"/>
        </w:rPr>
      </w:pPr>
      <w:r>
        <w:rPr>
          <w:rFonts w:hint="eastAsia" w:ascii="宋体"/>
          <w:sz w:val="22"/>
        </w:rPr>
        <w:drawing>
          <wp:inline distT="0" distB="0" distL="0" distR="0">
            <wp:extent cx="2771775" cy="2078355"/>
            <wp:effectExtent l="0" t="0" r="952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4634" cy="2080975"/>
                    </a:xfrm>
                    <a:prstGeom prst="rect">
                      <a:avLst/>
                    </a:prstGeom>
                  </pic:spPr>
                </pic:pic>
              </a:graphicData>
            </a:graphic>
          </wp:inline>
        </w:drawing>
      </w:r>
      <w:r>
        <w:rPr>
          <w:rFonts w:hint="eastAsia" w:ascii="宋体"/>
          <w:sz w:val="22"/>
        </w:rPr>
        <w:t xml:space="preserve"> </w:t>
      </w:r>
      <w:r>
        <w:rPr>
          <w:rFonts w:ascii="宋体"/>
          <w:sz w:val="22"/>
        </w:rPr>
        <w:t xml:space="preserve"> </w:t>
      </w:r>
      <w:r>
        <w:rPr>
          <w:rFonts w:hint="eastAsia" w:ascii="宋体"/>
          <w:sz w:val="22"/>
        </w:rPr>
        <w:drawing>
          <wp:inline distT="0" distB="0" distL="0" distR="0">
            <wp:extent cx="2832100" cy="2124075"/>
            <wp:effectExtent l="0" t="0" r="635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2831" cy="2124623"/>
                    </a:xfrm>
                    <a:prstGeom prst="rect">
                      <a:avLst/>
                    </a:prstGeom>
                  </pic:spPr>
                </pic:pic>
              </a:graphicData>
            </a:graphic>
          </wp:inline>
        </w:drawing>
      </w:r>
    </w:p>
    <w:p>
      <w:pPr>
        <w:spacing w:line="220" w:lineRule="atLeast"/>
        <w:rPr>
          <w:rFonts w:ascii="宋体"/>
          <w:sz w:val="22"/>
        </w:rPr>
      </w:pPr>
      <w:r>
        <w:rPr>
          <w:rFonts w:ascii="宋体"/>
          <w:sz w:val="22"/>
        </w:rPr>
        <w:t xml:space="preserve">        </w:t>
      </w:r>
      <w:r>
        <w:rPr>
          <w:rFonts w:hint="eastAsia" w:ascii="宋体"/>
          <w:sz w:val="22"/>
        </w:rPr>
        <w:t>图1:324要客梯                               图2：324要客梯不锈钢封边</w:t>
      </w:r>
    </w:p>
    <w:p>
      <w:pPr>
        <w:spacing w:line="220" w:lineRule="atLeast"/>
        <w:rPr>
          <w:rFonts w:ascii="宋体"/>
          <w:sz w:val="22"/>
        </w:rPr>
      </w:pPr>
    </w:p>
    <w:p>
      <w:pPr>
        <w:spacing w:line="220" w:lineRule="atLeast"/>
        <w:rPr>
          <w:rFonts w:ascii="宋体"/>
          <w:sz w:val="22"/>
        </w:rPr>
      </w:pPr>
      <w:r>
        <w:rPr>
          <w:rFonts w:hint="eastAsia" w:ascii="宋体"/>
          <w:sz w:val="22"/>
        </w:rPr>
        <w:drawing>
          <wp:inline distT="0" distB="0" distL="0" distR="0">
            <wp:extent cx="2886075" cy="2164080"/>
            <wp:effectExtent l="0" t="0" r="952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6710" cy="2165032"/>
                    </a:xfrm>
                    <a:prstGeom prst="rect">
                      <a:avLst/>
                    </a:prstGeom>
                  </pic:spPr>
                </pic:pic>
              </a:graphicData>
            </a:graphic>
          </wp:inline>
        </w:drawing>
      </w:r>
      <w:r>
        <w:rPr>
          <w:rFonts w:hint="eastAsia" w:ascii="宋体"/>
          <w:sz w:val="22"/>
        </w:rPr>
        <w:t xml:space="preserve">  </w:t>
      </w:r>
      <w:r>
        <w:rPr>
          <w:rFonts w:hint="eastAsia" w:ascii="宋体"/>
          <w:sz w:val="22"/>
        </w:rPr>
        <w:drawing>
          <wp:inline distT="0" distB="0" distL="0" distR="0">
            <wp:extent cx="2908300" cy="2181225"/>
            <wp:effectExtent l="0" t="0" r="635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8300" cy="2181225"/>
                    </a:xfrm>
                    <a:prstGeom prst="rect">
                      <a:avLst/>
                    </a:prstGeom>
                  </pic:spPr>
                </pic:pic>
              </a:graphicData>
            </a:graphic>
          </wp:inline>
        </w:drawing>
      </w:r>
    </w:p>
    <w:p>
      <w:pPr>
        <w:spacing w:line="220" w:lineRule="atLeast"/>
        <w:rPr>
          <w:rFonts w:ascii="宋体"/>
          <w:sz w:val="22"/>
        </w:rPr>
      </w:pPr>
      <w:r>
        <w:rPr>
          <w:rFonts w:ascii="宋体"/>
          <w:sz w:val="22"/>
        </w:rPr>
        <w:t xml:space="preserve">             </w:t>
      </w:r>
      <w:r>
        <w:rPr>
          <w:rFonts w:hint="eastAsia" w:ascii="宋体"/>
          <w:sz w:val="22"/>
        </w:rPr>
        <w:t>图3：324要客梯吊顶图                     图4：未加吊顶的要客梯</w:t>
      </w:r>
    </w:p>
    <w:p>
      <w:pPr>
        <w:spacing w:line="220" w:lineRule="atLeast"/>
        <w:rPr>
          <w:rFonts w:ascii="宋体"/>
          <w:sz w:val="22"/>
        </w:rPr>
      </w:pPr>
    </w:p>
    <w:p>
      <w:pPr>
        <w:spacing w:line="220" w:lineRule="atLeast"/>
        <w:rPr>
          <w:rFonts w:hint="eastAsia" w:ascii="宋体"/>
          <w:sz w:val="22"/>
        </w:rPr>
      </w:pPr>
      <w:r>
        <w:rPr>
          <w:rFonts w:hint="eastAsia" w:ascii="宋体"/>
          <w:sz w:val="22"/>
        </w:rPr>
        <w:drawing>
          <wp:inline distT="0" distB="0" distL="0" distR="0">
            <wp:extent cx="2882900" cy="2162175"/>
            <wp:effectExtent l="0" t="0" r="1270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2900" cy="2162175"/>
                    </a:xfrm>
                    <a:prstGeom prst="rect">
                      <a:avLst/>
                    </a:prstGeom>
                  </pic:spPr>
                </pic:pic>
              </a:graphicData>
            </a:graphic>
          </wp:inline>
        </w:drawing>
      </w:r>
      <w:r>
        <w:rPr>
          <w:rFonts w:hint="eastAsia" w:ascii="宋体"/>
          <w:sz w:val="22"/>
        </w:rPr>
        <w:t xml:space="preserve">  </w:t>
      </w:r>
    </w:p>
    <w:p>
      <w:pPr>
        <w:spacing w:line="220" w:lineRule="atLeast"/>
        <w:rPr>
          <w:rFonts w:hint="eastAsia" w:ascii="宋体"/>
          <w:sz w:val="22"/>
        </w:rPr>
      </w:pPr>
      <w:r>
        <w:rPr>
          <w:rFonts w:ascii="宋体"/>
          <w:sz w:val="22"/>
        </w:rPr>
        <w:t xml:space="preserve">           </w:t>
      </w:r>
      <w:r>
        <w:rPr>
          <w:rFonts w:hint="eastAsia" w:ascii="宋体"/>
          <w:sz w:val="22"/>
        </w:rPr>
        <w:t>图5：未封边的要客梯</w:t>
      </w:r>
    </w:p>
    <w:p>
      <w:pPr>
        <w:pStyle w:val="140"/>
        <w:spacing w:line="220" w:lineRule="atLeast"/>
        <w:ind w:left="460" w:leftChars="100" w:hanging="220" w:hangingChars="100"/>
        <w:rPr>
          <w:rFonts w:ascii="宋体" w:eastAsiaTheme="minorEastAsia" w:cstheme="minorBidi"/>
          <w:sz w:val="22"/>
          <w:szCs w:val="24"/>
        </w:rPr>
      </w:pPr>
      <w:r>
        <w:rPr>
          <w:rFonts w:hint="eastAsia" w:ascii="宋体" w:eastAsiaTheme="minorEastAsia" w:cstheme="minorBidi"/>
          <w:sz w:val="22"/>
          <w:szCs w:val="24"/>
        </w:rPr>
        <w:t>（2）铝合金吊顶板周边采用304不锈钢收边条制作，要求简洁美观；</w:t>
      </w:r>
    </w:p>
    <w:p>
      <w:pPr>
        <w:pStyle w:val="140"/>
        <w:spacing w:line="220" w:lineRule="atLeast"/>
        <w:ind w:left="460" w:leftChars="100" w:hanging="220" w:hangingChars="100"/>
        <w:rPr>
          <w:rFonts w:ascii="宋体" w:eastAsiaTheme="minorEastAsia" w:cstheme="minorBidi"/>
          <w:color w:val="FF0000"/>
          <w:sz w:val="22"/>
          <w:szCs w:val="24"/>
        </w:rPr>
      </w:pPr>
      <w:r>
        <w:rPr>
          <w:rFonts w:hint="eastAsia" w:ascii="宋体" w:eastAsiaTheme="minorEastAsia" w:cstheme="minorBidi"/>
          <w:sz w:val="22"/>
          <w:szCs w:val="24"/>
        </w:rPr>
        <w:t>（3）原密度板顶棚胶印需清理干净，确保外观整洁</w:t>
      </w:r>
    </w:p>
    <w:p>
      <w:pPr>
        <w:spacing w:line="220" w:lineRule="atLeast"/>
        <w:rPr>
          <w:rFonts w:ascii="宋体"/>
          <w:sz w:val="22"/>
        </w:rPr>
      </w:pPr>
      <w:r>
        <w:rPr>
          <w:rFonts w:hint="eastAsia" w:ascii="宋体"/>
          <w:sz w:val="22"/>
        </w:rPr>
        <w:t>（三）工艺：</w:t>
      </w:r>
    </w:p>
    <w:p>
      <w:r>
        <w:rPr>
          <w:rFonts w:ascii="宋体" w:hAnsi="宋体" w:cs="Calibri"/>
          <w:kern w:val="0"/>
          <w:sz w:val="22"/>
        </w:rPr>
        <w:t>★</w:t>
      </w:r>
      <w:r>
        <w:rPr>
          <w:rFonts w:hint="eastAsia" w:ascii="宋体"/>
          <w:sz w:val="22"/>
        </w:rPr>
        <w:t>（1）</w:t>
      </w:r>
      <w:r>
        <w:rPr>
          <w:rFonts w:hint="eastAsia"/>
        </w:rPr>
        <w:t>铝合金吊顶板上口做防水层，边上用不锈钢板按照现场形状折成接水盘，将侧缝漏水引到室外，确保要客梯内无漏水；</w:t>
      </w:r>
    </w:p>
    <w:p>
      <w:pPr>
        <w:spacing w:line="220" w:lineRule="atLeast"/>
        <w:rPr>
          <w:rFonts w:ascii="宋体"/>
          <w:sz w:val="22"/>
        </w:rPr>
      </w:pPr>
      <w:r>
        <w:rPr>
          <w:rFonts w:ascii="宋体" w:hAnsi="宋体" w:cs="Calibri"/>
          <w:kern w:val="0"/>
          <w:sz w:val="22"/>
        </w:rPr>
        <w:t>★</w:t>
      </w:r>
      <w:r>
        <w:rPr>
          <w:rFonts w:hint="eastAsia" w:ascii="宋体"/>
          <w:sz w:val="22"/>
        </w:rPr>
        <w:t>（2）原密度板顶棚密封胶需整体清除并重新打胶，确保无漏点；</w:t>
      </w:r>
    </w:p>
    <w:p>
      <w:pPr>
        <w:spacing w:line="220" w:lineRule="atLeast"/>
        <w:ind w:firstLine="220" w:firstLineChars="100"/>
        <w:rPr>
          <w:rFonts w:ascii="宋体"/>
          <w:sz w:val="22"/>
        </w:rPr>
      </w:pPr>
      <w:r>
        <w:rPr>
          <w:rFonts w:hint="eastAsia" w:ascii="宋体"/>
          <w:sz w:val="22"/>
        </w:rPr>
        <w:t>（3）吊顶板主、副龙骨安装须调平，避免吊顶出现弯棱、凸鼓、倾斜等情况，吊顶两侧标高误差小于2MM</w:t>
      </w:r>
    </w:p>
    <w:p>
      <w:pPr>
        <w:rPr>
          <w:rFonts w:ascii="宋体"/>
          <w:sz w:val="22"/>
        </w:rPr>
      </w:pPr>
      <w:r>
        <w:rPr>
          <w:rFonts w:hint="eastAsia" w:ascii="宋体"/>
          <w:sz w:val="22"/>
        </w:rPr>
        <w:t>（四）材料：</w:t>
      </w:r>
    </w:p>
    <w:p>
      <w:pPr>
        <w:ind w:firstLine="220" w:firstLineChars="100"/>
        <w:rPr>
          <w:rFonts w:ascii="宋体"/>
          <w:sz w:val="22"/>
        </w:rPr>
      </w:pPr>
      <w:r>
        <w:rPr>
          <w:rFonts w:hint="eastAsia" w:ascii="宋体"/>
          <w:sz w:val="22"/>
        </w:rPr>
        <w:t>（1）要客梯顶棚与桥体幕墙接缝处采用304拉丝不锈钢制作，壁厚不小于2毫米；</w:t>
      </w:r>
    </w:p>
    <w:p>
      <w:pPr>
        <w:ind w:firstLine="220" w:firstLineChars="100"/>
        <w:rPr>
          <w:rFonts w:ascii="宋体"/>
          <w:sz w:val="22"/>
        </w:rPr>
      </w:pPr>
      <w:r>
        <w:rPr>
          <w:rFonts w:hint="eastAsia" w:ascii="宋体"/>
          <w:sz w:val="22"/>
        </w:rPr>
        <w:t>（2）吊顶需使用铝合金材质造型板；吊顶板厚度不小于1.2mm；</w:t>
      </w:r>
    </w:p>
    <w:p>
      <w:pPr>
        <w:ind w:firstLine="220" w:firstLineChars="100"/>
        <w:rPr>
          <w:rFonts w:ascii="宋体"/>
          <w:sz w:val="22"/>
        </w:rPr>
      </w:pPr>
      <w:r>
        <w:rPr>
          <w:rFonts w:hint="eastAsia" w:ascii="宋体"/>
          <w:sz w:val="22"/>
        </w:rPr>
        <w:t>（3）LED吊顶灯规格300MM×1200MM；</w:t>
      </w:r>
    </w:p>
    <w:p>
      <w:pPr>
        <w:ind w:firstLine="220" w:firstLineChars="100"/>
        <w:rPr>
          <w:rFonts w:ascii="宋体"/>
          <w:sz w:val="22"/>
        </w:rPr>
      </w:pPr>
      <w:r>
        <w:rPr>
          <w:rFonts w:hint="eastAsia" w:ascii="宋体"/>
          <w:sz w:val="22"/>
        </w:rPr>
        <w:t>（4）</w:t>
      </w:r>
      <w:r>
        <w:rPr>
          <w:rFonts w:hint="eastAsia" w:hAnsi="宋体" w:cs="宋体"/>
          <w:sz w:val="22"/>
          <w:szCs w:val="22"/>
        </w:rPr>
        <w:t>投标人须提供长度200MM的铝合金吊顶板及长度200MM的不锈钢收边条；</w:t>
      </w:r>
    </w:p>
    <w:p>
      <w:pPr>
        <w:ind w:firstLine="220" w:firstLineChars="100"/>
        <w:rPr>
          <w:rFonts w:ascii="宋体"/>
          <w:sz w:val="22"/>
        </w:rPr>
      </w:pPr>
      <w:r>
        <w:rPr>
          <w:rFonts w:hint="eastAsia" w:ascii="宋体"/>
          <w:sz w:val="22"/>
        </w:rPr>
        <w:t>（5）原密度板打胶为室外打胶，需要具有相应耐候性。</w:t>
      </w:r>
    </w:p>
    <w:p>
      <w:pPr>
        <w:rPr>
          <w:rFonts w:ascii="宋体"/>
          <w:sz w:val="22"/>
        </w:rPr>
      </w:pPr>
      <w:r>
        <w:rPr>
          <w:rFonts w:hint="eastAsia" w:ascii="宋体"/>
          <w:sz w:val="22"/>
        </w:rPr>
        <w:t>（五）安全性：</w:t>
      </w:r>
    </w:p>
    <w:p>
      <w:pPr>
        <w:rPr>
          <w:rFonts w:ascii="宋体"/>
          <w:sz w:val="22"/>
        </w:rPr>
      </w:pPr>
      <w:r>
        <w:rPr>
          <w:rFonts w:ascii="宋体" w:hAnsi="宋体" w:cs="Calibri"/>
          <w:kern w:val="0"/>
          <w:sz w:val="22"/>
        </w:rPr>
        <w:t>★</w:t>
      </w:r>
      <w:r>
        <w:rPr>
          <w:rFonts w:hint="eastAsia" w:ascii="宋体"/>
          <w:sz w:val="22"/>
        </w:rPr>
        <w:t>（1）吊顶整体稳固，龙骨对接处牢固，不得有虚接；</w:t>
      </w:r>
    </w:p>
    <w:p>
      <w:pPr>
        <w:widowControl/>
        <w:jc w:val="left"/>
        <w:rPr>
          <w:rFonts w:ascii="宋体" w:hAnsi="宋体"/>
          <w:b/>
          <w:sz w:val="22"/>
        </w:rPr>
      </w:pPr>
      <w:r>
        <w:rPr>
          <w:rFonts w:hint="eastAsia" w:ascii="宋体" w:hAnsi="宋体"/>
          <w:b/>
          <w:sz w:val="22"/>
        </w:rPr>
        <w:t>四、 资料要求</w:t>
      </w:r>
    </w:p>
    <w:p>
      <w:pPr>
        <w:widowControl/>
        <w:jc w:val="left"/>
        <w:rPr>
          <w:rFonts w:ascii="宋体" w:hAnsi="宋体"/>
          <w:sz w:val="22"/>
        </w:rPr>
      </w:pPr>
      <w:r>
        <w:rPr>
          <w:rFonts w:hint="eastAsia" w:ascii="宋体" w:hAnsi="宋体"/>
          <w:sz w:val="22"/>
        </w:rPr>
        <w:t>1、产品说明书、质量检验证明书、随配附件一并附于货物内</w:t>
      </w:r>
    </w:p>
    <w:p>
      <w:pPr>
        <w:widowControl/>
        <w:jc w:val="left"/>
        <w:rPr>
          <w:rFonts w:ascii="宋体" w:hAnsi="宋体"/>
          <w:sz w:val="22"/>
        </w:rPr>
      </w:pPr>
      <w:r>
        <w:rPr>
          <w:rFonts w:hint="eastAsia" w:ascii="宋体" w:hAnsi="宋体"/>
          <w:sz w:val="22"/>
        </w:rPr>
        <w:t>2、参与投标产品的外形图片或外形技术图纸。</w:t>
      </w:r>
    </w:p>
    <w:p>
      <w:pPr>
        <w:widowControl/>
        <w:jc w:val="left"/>
        <w:rPr>
          <w:rFonts w:ascii="宋体" w:hAnsi="宋体"/>
          <w:b/>
          <w:sz w:val="22"/>
        </w:rPr>
      </w:pPr>
      <w:r>
        <w:rPr>
          <w:rFonts w:hint="eastAsia" w:ascii="宋体" w:hAnsi="宋体"/>
          <w:b/>
          <w:sz w:val="22"/>
        </w:rPr>
        <w:t>五、运输和包装要求</w:t>
      </w:r>
    </w:p>
    <w:p>
      <w:pPr>
        <w:widowControl/>
        <w:jc w:val="left"/>
        <w:rPr>
          <w:rFonts w:ascii="宋体" w:hAnsi="宋体"/>
          <w:sz w:val="22"/>
        </w:rPr>
      </w:pPr>
      <w:r>
        <w:rPr>
          <w:rFonts w:hint="eastAsia" w:ascii="宋体" w:hAnsi="宋体"/>
          <w:sz w:val="22"/>
        </w:rPr>
        <w:t>1、中标人负责将全部货物运送到杭州萧山国际机场内指定地点，并承担一切费用及风险。</w:t>
      </w:r>
    </w:p>
    <w:p>
      <w:pPr>
        <w:widowControl/>
        <w:jc w:val="left"/>
        <w:rPr>
          <w:rFonts w:ascii="宋体" w:hAnsi="宋体"/>
          <w:sz w:val="22"/>
        </w:rPr>
      </w:pPr>
      <w:r>
        <w:rPr>
          <w:rFonts w:hint="eastAsia" w:ascii="宋体" w:hAnsi="宋体"/>
          <w:sz w:val="22"/>
        </w:rPr>
        <w:t>2、运输方式中标人自定，但必须确保运输方式适合货物特性及质量要求。</w:t>
      </w:r>
    </w:p>
    <w:p>
      <w:pPr>
        <w:widowControl/>
        <w:jc w:val="left"/>
        <w:rPr>
          <w:rFonts w:ascii="宋体" w:hAnsi="宋体"/>
          <w:sz w:val="22"/>
        </w:rPr>
      </w:pPr>
      <w:r>
        <w:rPr>
          <w:rFonts w:hint="eastAsia" w:ascii="宋体" w:hAnsi="宋体"/>
          <w:sz w:val="22"/>
        </w:rPr>
        <w:t>3、包装：符合产品性质及质量要求的原厂包装，完好无破损、无刮痕。</w:t>
      </w:r>
    </w:p>
    <w:p>
      <w:pPr>
        <w:widowControl/>
        <w:jc w:val="left"/>
        <w:rPr>
          <w:rFonts w:ascii="宋体" w:hAnsi="宋体"/>
          <w:sz w:val="22"/>
        </w:rPr>
      </w:pPr>
      <w:r>
        <w:rPr>
          <w:rFonts w:hint="eastAsia" w:ascii="宋体" w:hAnsi="宋体"/>
          <w:b/>
          <w:sz w:val="22"/>
        </w:rPr>
        <w:t>六、验收</w:t>
      </w:r>
    </w:p>
    <w:p>
      <w:pPr>
        <w:widowControl/>
        <w:jc w:val="left"/>
        <w:rPr>
          <w:rFonts w:ascii="宋体" w:hAnsi="宋体"/>
          <w:sz w:val="22"/>
        </w:rPr>
      </w:pPr>
      <w:r>
        <w:rPr>
          <w:rFonts w:hint="eastAsia" w:ascii="宋体" w:hAnsi="宋体"/>
          <w:sz w:val="22"/>
        </w:rPr>
        <w:t>验收标准：现场验收。</w:t>
      </w:r>
    </w:p>
    <w:p>
      <w:pPr>
        <w:widowControl/>
        <w:jc w:val="left"/>
        <w:rPr>
          <w:rFonts w:ascii="宋体" w:hAnsi="宋体"/>
          <w:b/>
          <w:sz w:val="22"/>
        </w:rPr>
      </w:pPr>
      <w:r>
        <w:rPr>
          <w:rFonts w:hint="eastAsia" w:ascii="宋体" w:hAnsi="宋体"/>
          <w:b/>
          <w:sz w:val="22"/>
        </w:rPr>
        <w:t>七、售后服务</w:t>
      </w:r>
    </w:p>
    <w:p>
      <w:pPr>
        <w:widowControl/>
        <w:jc w:val="left"/>
        <w:rPr>
          <w:rFonts w:ascii="宋体" w:hAnsi="宋体"/>
          <w:sz w:val="22"/>
        </w:rPr>
      </w:pPr>
      <w:r>
        <w:rPr>
          <w:rFonts w:hint="eastAsia" w:ascii="宋体" w:hAnsi="宋体"/>
          <w:sz w:val="22"/>
        </w:rPr>
        <w:t xml:space="preserve">     投标人应提供至少具备但不限于以下服务内容，投标人可提出更加优惠的服务项目或承诺，招标人将积极予以考虑：</w:t>
      </w:r>
    </w:p>
    <w:p>
      <w:pPr>
        <w:widowControl/>
        <w:jc w:val="left"/>
        <w:rPr>
          <w:rFonts w:ascii="宋体" w:hAnsi="宋体"/>
          <w:sz w:val="22"/>
        </w:rPr>
      </w:pPr>
      <w:r>
        <w:rPr>
          <w:rFonts w:hint="eastAsia" w:ascii="宋体" w:hAnsi="宋体"/>
          <w:sz w:val="22"/>
        </w:rPr>
        <w:t>1.在质保期内由于产品本身质量原因造成的任何损伤和损坏，中标人须免费负责处理，质保期时间为2年。</w:t>
      </w:r>
    </w:p>
    <w:p>
      <w:pPr>
        <w:widowControl/>
        <w:jc w:val="left"/>
        <w:rPr>
          <w:rFonts w:ascii="宋体" w:hAnsi="宋体"/>
          <w:sz w:val="22"/>
        </w:rPr>
      </w:pPr>
      <w:r>
        <w:rPr>
          <w:rFonts w:hint="eastAsia" w:ascii="宋体" w:hAnsi="宋体"/>
          <w:sz w:val="22"/>
        </w:rPr>
        <w:t>2.中标人承诺在接到招标人售后需求24小时内给出相应解决方案，48小时内解决。</w:t>
      </w:r>
    </w:p>
    <w:p>
      <w:pPr>
        <w:pStyle w:val="46"/>
        <w:snapToGrid w:val="0"/>
        <w:spacing w:before="0" w:beforeAutospacing="0" w:after="0" w:afterAutospacing="0" w:line="360" w:lineRule="exact"/>
        <w:jc w:val="both"/>
        <w:rPr>
          <w:rFonts w:ascii="宋体" w:hAnsi="宋体" w:eastAsiaTheme="minorEastAsia" w:cstheme="minorBidi"/>
          <w:color w:val="auto"/>
          <w:kern w:val="2"/>
          <w:sz w:val="22"/>
          <w:szCs w:val="24"/>
        </w:rPr>
      </w:pPr>
      <w:r>
        <w:rPr>
          <w:rFonts w:hint="eastAsia" w:ascii="宋体" w:hAnsi="宋体" w:eastAsiaTheme="minorEastAsia" w:cstheme="minorBidi"/>
          <w:color w:val="auto"/>
          <w:kern w:val="2"/>
          <w:sz w:val="22"/>
          <w:szCs w:val="24"/>
        </w:rPr>
        <w:t>3、免费质保期结束的【30】天前，乙方负责对货物进行一次全面的返修，并由甲方验收认可。</w:t>
      </w:r>
    </w:p>
    <w:p>
      <w:pPr>
        <w:widowControl/>
        <w:jc w:val="left"/>
        <w:rPr>
          <w:rFonts w:ascii="宋体" w:hAnsi="宋体"/>
          <w:sz w:val="22"/>
        </w:rPr>
      </w:pPr>
      <w:r>
        <w:rPr>
          <w:rFonts w:hint="eastAsia" w:ascii="宋体" w:hAnsi="宋体"/>
          <w:sz w:val="22"/>
        </w:rPr>
        <w:t>4.生产周期：订单确认后30日历天内完成完成安装。</w:t>
      </w:r>
    </w:p>
    <w:p>
      <w:pPr>
        <w:widowControl/>
        <w:jc w:val="left"/>
        <w:rPr>
          <w:rFonts w:ascii="宋体" w:hAnsi="宋体"/>
          <w:sz w:val="22"/>
        </w:rPr>
      </w:pPr>
      <w:r>
        <w:rPr>
          <w:rFonts w:hint="eastAsia" w:ascii="宋体" w:hAnsi="宋体"/>
          <w:sz w:val="22"/>
        </w:rPr>
        <w:t>5、中标人承诺根据招标人要求负责设备安装，对未通过验收的产品进行重新安装，直至符合招标人验收标准。</w:t>
      </w:r>
    </w:p>
    <w:p>
      <w:pPr>
        <w:widowControl/>
        <w:jc w:val="left"/>
        <w:rPr>
          <w:rFonts w:ascii="宋体" w:hAnsi="宋体"/>
          <w:sz w:val="22"/>
        </w:rPr>
      </w:pPr>
      <w:r>
        <w:rPr>
          <w:rFonts w:hint="eastAsia" w:ascii="宋体" w:hAnsi="宋体"/>
          <w:sz w:val="22"/>
        </w:rPr>
        <w:t xml:space="preserve">   </w:t>
      </w: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
    <w:p/>
    <w:p/>
    <w:p/>
    <w:p/>
    <w:p>
      <w:pPr>
        <w:spacing w:line="560" w:lineRule="exact"/>
        <w:ind w:firstLine="880" w:firstLineChars="200"/>
        <w:jc w:val="center"/>
        <w:rPr>
          <w:rFonts w:ascii="黑体" w:hAnsi="黑体" w:eastAsia="黑体"/>
          <w:sz w:val="44"/>
          <w:szCs w:val="44"/>
        </w:rPr>
      </w:pPr>
      <w:r>
        <w:rPr>
          <w:rFonts w:hint="eastAsia" w:ascii="黑体" w:hAnsi="黑体" w:eastAsia="黑体"/>
          <w:sz w:val="44"/>
          <w:szCs w:val="44"/>
        </w:rPr>
        <w:t>杭州萧山国际机场【】采购合同</w:t>
      </w:r>
    </w:p>
    <w:p>
      <w:pPr>
        <w:spacing w:line="560" w:lineRule="exact"/>
        <w:ind w:firstLine="562" w:firstLineChars="200"/>
        <w:jc w:val="center"/>
        <w:rPr>
          <w:rFonts w:ascii="黑体" w:hAnsi="黑体" w:eastAsia="黑体"/>
          <w:b/>
          <w:sz w:val="28"/>
          <w:szCs w:val="28"/>
        </w:rPr>
      </w:pP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甲方：杭州萧山国际机场有限公司</w:t>
      </w: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住所地：杭州萧山国际机场内</w:t>
      </w:r>
    </w:p>
    <w:p>
      <w:pPr>
        <w:adjustRightInd w:val="0"/>
        <w:snapToGrid w:val="0"/>
        <w:spacing w:line="560" w:lineRule="exact"/>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乙方:</w:t>
      </w:r>
    </w:p>
    <w:p>
      <w:pPr>
        <w:adjustRightInd w:val="0"/>
        <w:snapToGrid w:val="0"/>
        <w:spacing w:line="560" w:lineRule="exact"/>
        <w:ind w:firstLine="452"/>
        <w:rPr>
          <w:rFonts w:ascii="黑体" w:hAnsi="黑体" w:eastAsia="黑体"/>
          <w:sz w:val="28"/>
          <w:szCs w:val="28"/>
        </w:rPr>
      </w:pPr>
      <w:r>
        <w:rPr>
          <w:rFonts w:hint="eastAsia" w:ascii="黑体" w:hAnsi="黑体" w:eastAsia="黑体"/>
          <w:b/>
          <w:sz w:val="28"/>
          <w:szCs w:val="28"/>
        </w:rPr>
        <w:t>住所地:</w:t>
      </w:r>
    </w:p>
    <w:p>
      <w:pPr>
        <w:adjustRightInd w:val="0"/>
        <w:snapToGrid w:val="0"/>
        <w:spacing w:line="560" w:lineRule="exact"/>
        <w:ind w:firstLine="450"/>
        <w:rPr>
          <w:rFonts w:ascii="黑体" w:hAnsi="黑体" w:eastAsia="黑体"/>
          <w:sz w:val="28"/>
          <w:szCs w:val="28"/>
        </w:rPr>
      </w:pP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黑体" w:hAnsi="黑体" w:eastAsia="黑体"/>
          <w:b/>
          <w:bCs/>
          <w:sz w:val="28"/>
          <w:szCs w:val="28"/>
        </w:rPr>
      </w:pPr>
      <w:r>
        <w:rPr>
          <w:rFonts w:hint="eastAsia" w:ascii="黑体" w:hAnsi="黑体" w:eastAsia="黑体"/>
          <w:b/>
          <w:bCs/>
          <w:sz w:val="28"/>
          <w:szCs w:val="28"/>
        </w:rPr>
        <w:t>一、货物规格型号及参数</w:t>
      </w:r>
    </w:p>
    <w:tbl>
      <w:tblPr>
        <w:tblStyle w:val="52"/>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3"/>
              <w:spacing w:line="560" w:lineRule="exact"/>
              <w:jc w:val="center"/>
              <w:rPr>
                <w:rFonts w:ascii="黑体" w:hAnsi="黑体" w:eastAsia="黑体"/>
                <w:b/>
                <w:sz w:val="28"/>
                <w:szCs w:val="28"/>
              </w:rPr>
            </w:pPr>
            <w:r>
              <w:rPr>
                <w:rFonts w:hint="eastAsia" w:ascii="黑体" w:hAnsi="黑体" w:eastAsia="黑体"/>
                <w:b/>
                <w:sz w:val="28"/>
                <w:szCs w:val="28"/>
              </w:rPr>
              <w:t>序号</w:t>
            </w:r>
          </w:p>
        </w:tc>
        <w:tc>
          <w:tcPr>
            <w:tcW w:w="1559" w:type="dxa"/>
            <w:vAlign w:val="center"/>
          </w:tcPr>
          <w:p>
            <w:pPr>
              <w:pStyle w:val="133"/>
              <w:spacing w:line="560" w:lineRule="exact"/>
              <w:jc w:val="center"/>
              <w:rPr>
                <w:rFonts w:ascii="黑体" w:hAnsi="黑体" w:eastAsia="黑体"/>
                <w:b/>
                <w:sz w:val="28"/>
                <w:szCs w:val="28"/>
              </w:rPr>
            </w:pPr>
            <w:r>
              <w:rPr>
                <w:rFonts w:hint="eastAsia" w:ascii="黑体" w:hAnsi="黑体" w:eastAsia="黑体"/>
                <w:b/>
                <w:sz w:val="28"/>
                <w:szCs w:val="28"/>
              </w:rPr>
              <w:t>货物名称</w:t>
            </w:r>
          </w:p>
        </w:tc>
        <w:tc>
          <w:tcPr>
            <w:tcW w:w="1820" w:type="dxa"/>
            <w:vAlign w:val="center"/>
          </w:tcPr>
          <w:p>
            <w:pPr>
              <w:pStyle w:val="133"/>
              <w:spacing w:line="560" w:lineRule="exact"/>
              <w:jc w:val="center"/>
              <w:rPr>
                <w:rFonts w:ascii="黑体" w:hAnsi="黑体" w:eastAsia="黑体"/>
                <w:b/>
                <w:sz w:val="28"/>
                <w:szCs w:val="28"/>
              </w:rPr>
            </w:pPr>
            <w:r>
              <w:rPr>
                <w:rFonts w:hint="eastAsia" w:ascii="黑体" w:hAnsi="黑体" w:eastAsia="黑体"/>
                <w:b/>
                <w:sz w:val="28"/>
                <w:szCs w:val="28"/>
              </w:rPr>
              <w:t>品牌型号</w:t>
            </w:r>
          </w:p>
        </w:tc>
        <w:tc>
          <w:tcPr>
            <w:tcW w:w="2150" w:type="dxa"/>
            <w:vAlign w:val="center"/>
          </w:tcPr>
          <w:p>
            <w:pPr>
              <w:pStyle w:val="133"/>
              <w:spacing w:line="560" w:lineRule="exact"/>
              <w:jc w:val="center"/>
              <w:rPr>
                <w:rFonts w:ascii="黑体" w:hAnsi="黑体" w:eastAsia="黑体"/>
                <w:b/>
                <w:sz w:val="28"/>
                <w:szCs w:val="28"/>
              </w:rPr>
            </w:pPr>
            <w:r>
              <w:rPr>
                <w:rFonts w:hint="eastAsia" w:ascii="黑体" w:hAnsi="黑体" w:eastAsia="黑体"/>
                <w:b/>
                <w:sz w:val="28"/>
                <w:szCs w:val="28"/>
              </w:rPr>
              <w:t>单位</w:t>
            </w:r>
          </w:p>
        </w:tc>
        <w:tc>
          <w:tcPr>
            <w:tcW w:w="1180" w:type="dxa"/>
            <w:vAlign w:val="center"/>
          </w:tcPr>
          <w:p>
            <w:pPr>
              <w:pStyle w:val="133"/>
              <w:spacing w:line="560" w:lineRule="exact"/>
              <w:jc w:val="center"/>
              <w:rPr>
                <w:rFonts w:ascii="黑体" w:hAnsi="黑体" w:eastAsia="黑体"/>
                <w:b/>
                <w:sz w:val="28"/>
                <w:szCs w:val="28"/>
              </w:rPr>
            </w:pPr>
            <w:r>
              <w:rPr>
                <w:rFonts w:hint="eastAsia" w:ascii="黑体" w:hAnsi="黑体" w:eastAsia="黑体"/>
                <w:b/>
                <w:sz w:val="28"/>
                <w:szCs w:val="28"/>
              </w:rPr>
              <w:t>数量</w:t>
            </w:r>
          </w:p>
        </w:tc>
        <w:tc>
          <w:tcPr>
            <w:tcW w:w="1134" w:type="dxa"/>
            <w:vAlign w:val="center"/>
          </w:tcPr>
          <w:p>
            <w:pPr>
              <w:pStyle w:val="133"/>
              <w:spacing w:line="560" w:lineRule="exact"/>
              <w:jc w:val="center"/>
              <w:rPr>
                <w:rFonts w:ascii="黑体" w:hAnsi="黑体" w:eastAsia="黑体"/>
                <w:b/>
                <w:sz w:val="28"/>
                <w:szCs w:val="28"/>
              </w:rPr>
            </w:pPr>
            <w:r>
              <w:rPr>
                <w:rFonts w:hint="eastAsia" w:ascii="黑体" w:hAnsi="黑体" w:eastAsia="黑体"/>
                <w:b/>
                <w:sz w:val="28"/>
                <w:szCs w:val="28"/>
              </w:rPr>
              <w:t>单价</w:t>
            </w:r>
          </w:p>
        </w:tc>
        <w:tc>
          <w:tcPr>
            <w:tcW w:w="1476" w:type="dxa"/>
            <w:vAlign w:val="center"/>
          </w:tcPr>
          <w:p>
            <w:pPr>
              <w:pStyle w:val="133"/>
              <w:spacing w:line="560" w:lineRule="exact"/>
              <w:jc w:val="center"/>
              <w:rPr>
                <w:rFonts w:ascii="黑体" w:hAnsi="黑体" w:eastAsia="黑体"/>
                <w:b/>
                <w:sz w:val="28"/>
                <w:szCs w:val="28"/>
              </w:rPr>
            </w:pPr>
            <w:r>
              <w:rPr>
                <w:rFonts w:hint="eastAsia" w:ascii="黑体" w:hAnsi="黑体" w:eastAsia="黑体"/>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3"/>
              <w:spacing w:line="560" w:lineRule="exact"/>
              <w:jc w:val="center"/>
              <w:rPr>
                <w:rFonts w:ascii="黑体" w:hAnsi="黑体" w:eastAsia="黑体"/>
                <w:sz w:val="28"/>
                <w:szCs w:val="28"/>
              </w:rPr>
            </w:pPr>
            <w:r>
              <w:rPr>
                <w:rFonts w:hint="eastAsia" w:ascii="黑体" w:hAnsi="黑体" w:eastAsia="黑体"/>
                <w:sz w:val="28"/>
                <w:szCs w:val="28"/>
              </w:rPr>
              <w:t>1</w:t>
            </w:r>
          </w:p>
        </w:tc>
        <w:tc>
          <w:tcPr>
            <w:tcW w:w="1559" w:type="dxa"/>
            <w:vAlign w:val="center"/>
          </w:tcPr>
          <w:p>
            <w:pPr>
              <w:pStyle w:val="133"/>
              <w:spacing w:line="560" w:lineRule="exact"/>
              <w:jc w:val="center"/>
              <w:rPr>
                <w:rFonts w:ascii="黑体" w:hAnsi="黑体" w:eastAsia="黑体"/>
                <w:sz w:val="28"/>
                <w:szCs w:val="28"/>
              </w:rPr>
            </w:pPr>
            <w:r>
              <w:rPr>
                <w:rFonts w:hint="eastAsia" w:ascii="黑体" w:hAnsi="黑体" w:eastAsia="黑体"/>
                <w:sz w:val="28"/>
                <w:szCs w:val="28"/>
              </w:rPr>
              <w:t>要客梯顶棚</w:t>
            </w:r>
          </w:p>
        </w:tc>
        <w:tc>
          <w:tcPr>
            <w:tcW w:w="1820" w:type="dxa"/>
            <w:vAlign w:val="center"/>
          </w:tcPr>
          <w:p>
            <w:pPr>
              <w:pStyle w:val="133"/>
              <w:spacing w:line="560" w:lineRule="exact"/>
              <w:jc w:val="center"/>
              <w:rPr>
                <w:rFonts w:ascii="黑体" w:hAnsi="黑体" w:eastAsia="黑体"/>
                <w:sz w:val="28"/>
                <w:szCs w:val="28"/>
              </w:rPr>
            </w:pPr>
          </w:p>
        </w:tc>
        <w:tc>
          <w:tcPr>
            <w:tcW w:w="2150" w:type="dxa"/>
            <w:vAlign w:val="center"/>
          </w:tcPr>
          <w:p>
            <w:pPr>
              <w:pStyle w:val="133"/>
              <w:spacing w:line="560" w:lineRule="exact"/>
              <w:jc w:val="center"/>
              <w:rPr>
                <w:rFonts w:ascii="黑体" w:hAnsi="黑体" w:eastAsia="黑体"/>
                <w:sz w:val="28"/>
                <w:szCs w:val="28"/>
              </w:rPr>
            </w:pPr>
            <w:r>
              <w:rPr>
                <w:rFonts w:hint="eastAsia" w:ascii="黑体" w:hAnsi="黑体" w:eastAsia="黑体"/>
                <w:sz w:val="28"/>
                <w:szCs w:val="28"/>
              </w:rPr>
              <w:t>套</w:t>
            </w:r>
          </w:p>
        </w:tc>
        <w:tc>
          <w:tcPr>
            <w:tcW w:w="1180" w:type="dxa"/>
            <w:vAlign w:val="center"/>
          </w:tcPr>
          <w:p>
            <w:pPr>
              <w:pStyle w:val="133"/>
              <w:spacing w:line="560" w:lineRule="exact"/>
              <w:ind w:firstLine="140" w:firstLineChars="50"/>
              <w:jc w:val="center"/>
              <w:rPr>
                <w:rFonts w:ascii="黑体" w:hAnsi="黑体" w:eastAsia="黑体"/>
                <w:sz w:val="28"/>
                <w:szCs w:val="28"/>
              </w:rPr>
            </w:pPr>
            <w:r>
              <w:rPr>
                <w:rFonts w:hint="eastAsia" w:ascii="黑体" w:hAnsi="黑体" w:eastAsia="黑体"/>
                <w:sz w:val="28"/>
                <w:szCs w:val="28"/>
              </w:rPr>
              <w:t>8</w:t>
            </w:r>
          </w:p>
        </w:tc>
        <w:tc>
          <w:tcPr>
            <w:tcW w:w="1134" w:type="dxa"/>
            <w:vAlign w:val="center"/>
          </w:tcPr>
          <w:p>
            <w:pPr>
              <w:pStyle w:val="133"/>
              <w:spacing w:line="560" w:lineRule="exact"/>
              <w:jc w:val="center"/>
              <w:rPr>
                <w:rFonts w:ascii="黑体" w:hAnsi="黑体" w:eastAsia="黑体"/>
                <w:sz w:val="28"/>
                <w:szCs w:val="28"/>
              </w:rPr>
            </w:pPr>
          </w:p>
        </w:tc>
        <w:tc>
          <w:tcPr>
            <w:tcW w:w="1476" w:type="dxa"/>
            <w:vAlign w:val="center"/>
          </w:tcPr>
          <w:p>
            <w:pPr>
              <w:pStyle w:val="133"/>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3"/>
              <w:spacing w:line="560" w:lineRule="exact"/>
              <w:jc w:val="center"/>
              <w:rPr>
                <w:rFonts w:ascii="黑体" w:hAnsi="黑体" w:eastAsia="黑体"/>
                <w:sz w:val="28"/>
                <w:szCs w:val="28"/>
              </w:rPr>
            </w:pPr>
            <w:r>
              <w:rPr>
                <w:rFonts w:hint="eastAsia" w:ascii="黑体" w:hAnsi="黑体" w:eastAsia="黑体"/>
                <w:sz w:val="28"/>
                <w:szCs w:val="28"/>
              </w:rPr>
              <w:t>合计</w:t>
            </w:r>
          </w:p>
        </w:tc>
        <w:tc>
          <w:tcPr>
            <w:tcW w:w="9319" w:type="dxa"/>
            <w:gridSpan w:val="6"/>
          </w:tcPr>
          <w:p>
            <w:pPr>
              <w:pStyle w:val="133"/>
              <w:spacing w:line="560" w:lineRule="exact"/>
              <w:jc w:val="right"/>
              <w:rPr>
                <w:rFonts w:ascii="黑体" w:hAnsi="黑体" w:eastAsia="黑体"/>
                <w:sz w:val="28"/>
                <w:szCs w:val="28"/>
              </w:rPr>
            </w:pPr>
          </w:p>
        </w:tc>
      </w:tr>
    </w:tbl>
    <w:p>
      <w:pPr>
        <w:widowControl/>
        <w:jc w:val="left"/>
        <w:rPr>
          <w:rFonts w:ascii="黑体" w:hAnsi="黑体" w:eastAsia="黑体"/>
          <w:b/>
          <w:sz w:val="28"/>
          <w:szCs w:val="28"/>
        </w:rPr>
      </w:pPr>
      <w:r>
        <w:rPr>
          <w:rFonts w:hint="eastAsia" w:ascii="黑体" w:hAnsi="黑体" w:eastAsia="黑体"/>
          <w:b/>
          <w:sz w:val="28"/>
          <w:szCs w:val="28"/>
        </w:rPr>
        <w:t>备注：产品质量及外观、工艺要求</w:t>
      </w:r>
    </w:p>
    <w:p>
      <w:pPr>
        <w:adjustRightInd w:val="0"/>
        <w:snapToGrid w:val="0"/>
        <w:spacing w:line="560" w:lineRule="exact"/>
        <w:ind w:firstLine="440" w:firstLineChars="200"/>
        <w:rPr>
          <w:rFonts w:ascii="宋体" w:hAnsi="宋体" w:cs="Arial Unicode MS"/>
          <w:kern w:val="0"/>
          <w:sz w:val="22"/>
        </w:rPr>
      </w:pPr>
      <w:r>
        <w:rPr>
          <w:rFonts w:hint="eastAsia" w:ascii="宋体" w:hAnsi="宋体"/>
          <w:sz w:val="22"/>
        </w:rPr>
        <w:t>（</w:t>
      </w:r>
      <w:r>
        <w:rPr>
          <w:rFonts w:hint="eastAsia" w:ascii="宋体" w:hAnsi="宋体" w:cs="Arial Unicode MS"/>
          <w:kern w:val="0"/>
          <w:sz w:val="22"/>
        </w:rPr>
        <w:t>一）产品质量要求：</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（1）严格执行国家现行有效的质量标准制造和提供合格产品，如所供产品由于质量问题所造成的所有损失，当由投标人全权负责；</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（2）必须提供有效的主要材料及辅料的质检证明资料和技术资料等质量文件。</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（二）外观：</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（1）吊顶外观设计需与324廊桥要客梯保持一致；</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（2）铝合金吊顶板周边采用304不锈钢收边条制作，要求简洁美观；</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（3）原密度板顶棚胶印需清理干净，确保外观整洁</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（三）工艺：</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（1）铝合金吊顶板上口做防水层，边上用不锈钢板按照现场形状折成接水盘，将侧缝漏水引到室外，确保要客梯内无漏水；</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（2）原密度板顶棚密封胶需整体清除并重新打胶，确保无漏点；</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（3）吊顶板主、副龙骨安装须调平，避免吊顶出现弯棱、凸鼓、倾斜等情况，吊顶两侧标高误差小于2MM</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（四）材料：</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（1）要客梯顶棚与桥体幕墙接缝处采用304拉丝不锈钢制作，壁厚不小于2毫米；</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（2）吊顶需使用铝合金材质造型板；</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（五）安全性：</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（1）吊顶整体稳固，龙骨对接处牢固，不得有虚接；</w:t>
      </w:r>
    </w:p>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二、合同金额</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本合同金额为固定总价合同，合同金额为（大写）：人民币    ，（小写）¥       。本合同价为杭州萧山国际机场内交货价，含货物价格、运输费、包装费、保险费、税费等所有费用。甲方不再承担其他任何费用。</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三、技术资料</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1.乙方应在交付合同货物时同时向甲方提供使用货物的有关技术资料。</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四、知识产权</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五、产权担保</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六、转包或分包</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2.如有未经甲方书面同意的转让和分包行为，甲方有权解除合同，并有权要求乙方承担合同暂定总额【5%】的违约金。</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七、货物包装、发货及运输</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3. 乙方在货物发运手续办理完毕后【48】小时内必须书面通知甲方，以便甲方准备接货。</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4. 货物在本合同规定的交货地点交付甲方前发生的一切风险包括货物运输风险均由乙方负责。</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黑体" w:hAnsi="黑体" w:eastAsia="黑体"/>
          <w:sz w:val="28"/>
          <w:szCs w:val="28"/>
        </w:rPr>
      </w:pPr>
      <w:r>
        <w:rPr>
          <w:rFonts w:hint="eastAsia" w:ascii="黑体" w:hAnsi="黑体" w:eastAsia="黑体"/>
          <w:sz w:val="28"/>
          <w:szCs w:val="28"/>
        </w:rPr>
        <w:t>八、交货期、交货方式及交货地点</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 交货期：</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 交货方式：乙方送货上门，根据甲方要求进行安装。</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3. 交货地点：杭州萧山国际机场航站楼内指定地点</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九、验收</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黑体" w:hAnsi="黑体" w:eastAsia="黑体"/>
          <w:sz w:val="28"/>
          <w:szCs w:val="28"/>
        </w:rPr>
      </w:pPr>
      <w:r>
        <w:rPr>
          <w:rFonts w:hint="eastAsia" w:ascii="宋体" w:hAnsi="宋体" w:cs="Arial Unicode MS"/>
          <w:kern w:val="0"/>
          <w:sz w:val="22"/>
        </w:rPr>
        <w:t>3.甲方签收货物后如发现货物的品种、数量、花色或质量不符合合同约定或相关质量要求，甲方应在签收之日起【3】日内以书面或电话形式向乙方提出异议；乙方应当在收到甲方异议之日起【3】日内作出答复或与甲方协商处理，或在【5】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十、货款支付</w:t>
      </w:r>
    </w:p>
    <w:p>
      <w:pPr>
        <w:pStyle w:val="46"/>
        <w:widowControl w:val="0"/>
        <w:snapToGrid w:val="0"/>
        <w:spacing w:before="0" w:beforeAutospacing="0" w:after="0" w:afterAutospacing="0" w:line="5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.货物送达甲方指定地点，安装调试完毕，并经甲方验收合格后【15】个工作日内，支付合同总金额的95%。</w:t>
      </w:r>
    </w:p>
    <w:p>
      <w:pPr>
        <w:pStyle w:val="46"/>
        <w:widowControl w:val="0"/>
        <w:snapToGrid w:val="0"/>
        <w:spacing w:before="0" w:beforeAutospacing="0" w:after="0" w:afterAutospacing="0" w:line="560" w:lineRule="exact"/>
        <w:ind w:left="480" w:leftChars="200"/>
        <w:jc w:val="both"/>
        <w:rPr>
          <w:rFonts w:ascii="宋体" w:hAnsi="宋体" w:eastAsia="宋体"/>
          <w:color w:val="auto"/>
          <w:sz w:val="22"/>
          <w:szCs w:val="22"/>
        </w:rPr>
      </w:pPr>
      <w:r>
        <w:rPr>
          <w:rFonts w:hint="eastAsia" w:ascii="宋体" w:hAnsi="宋体" w:eastAsia="宋体"/>
          <w:b/>
          <w:color w:val="auto"/>
          <w:sz w:val="22"/>
          <w:szCs w:val="22"/>
        </w:rPr>
        <w:t>2.</w:t>
      </w:r>
      <w:r>
        <w:rPr>
          <w:rFonts w:hint="eastAsia" w:ascii="仿宋" w:hAnsi="仿宋" w:eastAsia="仿宋"/>
          <w:color w:val="auto"/>
        </w:rPr>
        <w:t xml:space="preserve"> </w:t>
      </w:r>
      <w:r>
        <w:rPr>
          <w:rFonts w:hint="eastAsia" w:ascii="宋体" w:hAnsi="宋体" w:eastAsia="宋体"/>
          <w:color w:val="auto"/>
          <w:sz w:val="22"/>
          <w:szCs w:val="22"/>
        </w:rPr>
        <w:t>质量保证金为合同总价5</w:t>
      </w:r>
      <w:r>
        <w:rPr>
          <w:rFonts w:ascii="宋体" w:hAnsi="宋体" w:eastAsia="宋体"/>
          <w:color w:val="auto"/>
          <w:sz w:val="22"/>
          <w:szCs w:val="22"/>
        </w:rPr>
        <w:t>%，</w:t>
      </w:r>
      <w:r>
        <w:rPr>
          <w:rFonts w:hint="eastAsia" w:ascii="宋体" w:hAnsi="宋体" w:eastAsia="宋体"/>
          <w:color w:val="auto"/>
          <w:sz w:val="22"/>
          <w:szCs w:val="22"/>
        </w:rPr>
        <w:t>质量保证金于质量保证期满后【十五】</w:t>
      </w:r>
      <w:r>
        <w:rPr>
          <w:rFonts w:ascii="宋体" w:hAnsi="宋体" w:eastAsia="宋体"/>
          <w:color w:val="auto"/>
          <w:sz w:val="22"/>
          <w:szCs w:val="22"/>
        </w:rPr>
        <w:t>工作日内</w:t>
      </w:r>
      <w:r>
        <w:rPr>
          <w:rFonts w:hint="eastAsia" w:ascii="宋体" w:hAnsi="宋体" w:eastAsia="宋体"/>
          <w:color w:val="auto"/>
          <w:sz w:val="22"/>
          <w:szCs w:val="22"/>
        </w:rPr>
        <w:t>一并无息</w:t>
      </w:r>
      <w:r>
        <w:rPr>
          <w:rFonts w:ascii="宋体" w:hAnsi="宋体" w:eastAsia="宋体"/>
          <w:color w:val="auto"/>
          <w:sz w:val="22"/>
          <w:szCs w:val="22"/>
        </w:rPr>
        <w:t>支付。</w:t>
      </w:r>
    </w:p>
    <w:p>
      <w:pPr>
        <w:pStyle w:val="46"/>
        <w:widowControl w:val="0"/>
        <w:snapToGrid w:val="0"/>
        <w:spacing w:before="0" w:beforeAutospacing="0" w:after="0" w:afterAutospacing="0" w:line="560" w:lineRule="exact"/>
        <w:ind w:left="480" w:leftChars="200"/>
        <w:jc w:val="both"/>
        <w:rPr>
          <w:rFonts w:ascii="宋体" w:hAnsi="宋体" w:eastAsia="宋体"/>
          <w:color w:val="auto"/>
          <w:sz w:val="22"/>
          <w:szCs w:val="22"/>
        </w:rPr>
      </w:pPr>
      <w:r>
        <w:rPr>
          <w:rFonts w:hint="eastAsia" w:ascii="宋体" w:hAnsi="宋体" w:eastAsia="宋体"/>
          <w:b/>
          <w:color w:val="auto"/>
          <w:sz w:val="22"/>
          <w:szCs w:val="22"/>
        </w:rPr>
        <w:t>3.</w:t>
      </w:r>
      <w:r>
        <w:rPr>
          <w:rFonts w:hint="eastAsia" w:ascii="宋体" w:hAnsi="宋体" w:eastAsia="宋体"/>
          <w:color w:val="auto"/>
          <w:sz w:val="22"/>
          <w:szCs w:val="22"/>
        </w:rPr>
        <w:t>乙方在甲方每次付款前开具增值税专用发票。</w:t>
      </w:r>
    </w:p>
    <w:p>
      <w:pPr>
        <w:pStyle w:val="46"/>
        <w:widowControl w:val="0"/>
        <w:spacing w:before="150" w:after="150" w:line="560" w:lineRule="exact"/>
        <w:ind w:firstLine="562" w:firstLineChars="200"/>
        <w:rPr>
          <w:rFonts w:ascii="黑体" w:hAnsi="黑体" w:eastAsia="黑体"/>
          <w:b/>
          <w:color w:val="444444"/>
          <w:sz w:val="28"/>
          <w:szCs w:val="28"/>
          <w:lang w:val="zh-CN"/>
        </w:rPr>
      </w:pPr>
      <w:r>
        <w:rPr>
          <w:rFonts w:hint="eastAsia" w:ascii="黑体" w:hAnsi="黑体" w:eastAsia="黑体"/>
          <w:b/>
          <w:color w:val="444444"/>
          <w:sz w:val="28"/>
          <w:szCs w:val="28"/>
        </w:rPr>
        <w:t>十一、</w:t>
      </w:r>
      <w:r>
        <w:rPr>
          <w:rFonts w:hint="eastAsia" w:ascii="黑体" w:hAnsi="黑体" w:eastAsia="黑体"/>
          <w:b/>
          <w:color w:val="444444"/>
          <w:sz w:val="28"/>
          <w:szCs w:val="28"/>
          <w:lang w:val="zh-CN"/>
        </w:rPr>
        <w:t>履约保证金</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1．乙方应在收到甲方中标通知书后【15】日内，向甲方支付合同总价的【10%】作为履约保证金。如果逾期未缴纳，甲方有权解除本合同，并要求乙方承担由此给甲方造成的损失。</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十二、免费质保期及服务内容</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 乙方保证其所供应的货物符合相关货物质量标准，不存在任何质量瑕疵或因质量瑕疵而导致的安全隐患，且为未经使用的全新货物。</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2. 乙方应为货物提供【24】个月的免费质保期，时间自甲方签署货物验收合格确认书之日起计算。</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4．乙方提供【24】小时售后服务，在接到报修通知后，维修人员应在【48】小时内赶到杭州萧山国际机场，并连续进行维修，直到货物恢复正常。修复部分的质保期自修复之日起重新开始计算。</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5.</w:t>
      </w:r>
      <w:r>
        <w:rPr>
          <w:rFonts w:ascii="宋体" w:hAnsi="宋体" w:eastAsia="宋体"/>
          <w:color w:val="auto"/>
          <w:sz w:val="22"/>
          <w:szCs w:val="22"/>
        </w:rPr>
        <w:t xml:space="preserve"> </w:t>
      </w:r>
      <w:r>
        <w:rPr>
          <w:rFonts w:hint="eastAsia" w:ascii="宋体" w:hAnsi="宋体" w:eastAsia="宋体"/>
          <w:color w:val="auto"/>
          <w:sz w:val="22"/>
          <w:szCs w:val="22"/>
        </w:rPr>
        <w:t>乙方</w:t>
      </w:r>
      <w:r>
        <w:rPr>
          <w:rFonts w:ascii="宋体" w:hAnsi="宋体" w:eastAsia="宋体"/>
          <w:color w:val="auto"/>
          <w:sz w:val="22"/>
          <w:szCs w:val="22"/>
        </w:rPr>
        <w:t>承诺对设备安装、保养等给予技术支持，根据</w:t>
      </w:r>
      <w:r>
        <w:rPr>
          <w:rFonts w:hint="eastAsia" w:ascii="宋体" w:hAnsi="宋体" w:eastAsia="宋体"/>
          <w:color w:val="auto"/>
          <w:sz w:val="22"/>
          <w:szCs w:val="22"/>
        </w:rPr>
        <w:t>甲方</w:t>
      </w:r>
      <w:r>
        <w:rPr>
          <w:rFonts w:ascii="宋体" w:hAnsi="宋体" w:eastAsia="宋体"/>
          <w:color w:val="auto"/>
          <w:sz w:val="22"/>
          <w:szCs w:val="22"/>
        </w:rPr>
        <w:t>要求组织培训。</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6.免费质保期结束的【30】天前，乙方负责对货物进行一次全面的检修，并由甲方验收认可。甲方验收认可并不免除乙方对于验收认可后发生的但尚在质保期限内的货物损坏的维修、退换货义务。</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7、若乙方提供的货物属于伪劣货物或者假冒货物或者欺诈甲方，使得甲方遭受损失，乙方应向甲方承担违约责任，同时，甲方可依法寻求其他法律救济。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十三、违约责任</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 甲方无故逾期支付货款的,甲方应按逾期付款总额每日【0.05】%向乙方支付违约金。</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 xml:space="preserve">2. 乙方逾期交付货物和本合同规定的文件资料的，乙方应按合同暂定总额每日【0.05】%向甲方支付违约金，由甲方从货款中扣除。逾期超过约定日期【10】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3.因乙方更换货物而逾期交货的，按乙方逾期交货处理。乙方拒绝更换货物的，甲方可单方面解除合同，不予支付相应货款，履约保证金不予以返还。</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5. 乙方不在约定期限内派人返修或返修质量验收不合格的，甲方可以委托他人修理，费用由乙方承担，甲方与第三方确认后可直接从履约保证金中扣除；履约保证金不足以抵扣的，继续向乙方追偿。</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十四、不可抗力事件处理</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 在合同有效期内，任何一方因不可抗力事件导致不能履行合同，则合同履行期可延长，其延长期与不可抗力影响期相同。</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2. 不可抗力事件发生后，遭遇不可抗力的一方应立即通知对方，并寄送有关官方权威机构出具的证明。</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3. 不可抗力事件延续【60】天以上，双方应通过友好协商，确定是否继续履行合同；协商无法达成一致的，本合同自动终止，双方互不承担赔偿或违约责任。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十五、争议解决</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黑体" w:hAnsi="黑体" w:eastAsia="黑体"/>
          <w:b/>
          <w:sz w:val="28"/>
          <w:szCs w:val="28"/>
        </w:rPr>
      </w:pPr>
      <w:r>
        <w:rPr>
          <w:rFonts w:hint="eastAsia" w:ascii="黑体" w:hAnsi="黑体" w:eastAsia="黑体"/>
          <w:b/>
          <w:sz w:val="28"/>
          <w:szCs w:val="28"/>
        </w:rPr>
        <w:t>十六、合同组成文件包含下列内容，且解释顺序如下：</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1.本合同协议书</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2.中标通知书</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3.招标文件</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4.投标书及其附件</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5.标准、规范及有关技术文件</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十七、合同生效及其它</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 合同经双方法定代表人或授权代表签字（包含签章）并加盖单位公章或者合同章之日起生效。</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2.本合同未尽事宜，双方可签订补充协议予以执行；未达成补充协议的，遵照《合同法》及有关法律法规执行。</w:t>
      </w:r>
    </w:p>
    <w:p>
      <w:pPr>
        <w:pStyle w:val="46"/>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3.本合同一式陆份，甲执四份，乙方持二份，具有同等法律效力。</w:t>
      </w:r>
    </w:p>
    <w:p>
      <w:pPr>
        <w:tabs>
          <w:tab w:val="right" w:pos="8306"/>
        </w:tabs>
        <w:adjustRightInd w:val="0"/>
        <w:snapToGrid w:val="0"/>
        <w:spacing w:line="560" w:lineRule="exact"/>
        <w:rPr>
          <w:rFonts w:ascii="黑体" w:hAnsi="黑体" w:eastAsia="黑体"/>
          <w:sz w:val="28"/>
          <w:szCs w:val="28"/>
        </w:rPr>
      </w:pPr>
    </w:p>
    <w:p>
      <w:pPr>
        <w:tabs>
          <w:tab w:val="right" w:pos="8306"/>
        </w:tabs>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（以下为签署页）</w:t>
      </w:r>
      <w:r>
        <w:rPr>
          <w:rFonts w:hint="eastAsia" w:ascii="黑体" w:hAnsi="黑体" w:eastAsia="黑体"/>
          <w:sz w:val="28"/>
          <w:szCs w:val="28"/>
        </w:rPr>
        <w:tab/>
      </w:r>
    </w:p>
    <w:p>
      <w:pPr>
        <w:adjustRightInd w:val="0"/>
        <w:snapToGrid w:val="0"/>
        <w:spacing w:line="560" w:lineRule="exact"/>
        <w:ind w:left="4480" w:hanging="4480" w:hangingChars="1600"/>
        <w:rPr>
          <w:rFonts w:ascii="黑体" w:hAnsi="黑体" w:eastAsia="黑体"/>
          <w:sz w:val="28"/>
          <w:szCs w:val="28"/>
        </w:rPr>
      </w:pPr>
      <w:r>
        <w:rPr>
          <w:rFonts w:hint="eastAsia" w:ascii="黑体" w:hAnsi="黑体" w:eastAsia="黑体"/>
          <w:sz w:val="28"/>
          <w:szCs w:val="28"/>
        </w:rPr>
        <w:t>甲方：杭州萧山国际机场有限公司  乙方：</w:t>
      </w:r>
    </w:p>
    <w:p>
      <w:pPr>
        <w:adjustRightInd w:val="0"/>
        <w:snapToGrid w:val="0"/>
        <w:spacing w:line="560" w:lineRule="exact"/>
        <w:ind w:left="6750" w:hanging="6750"/>
        <w:rPr>
          <w:rFonts w:ascii="黑体" w:hAnsi="黑体" w:eastAsia="黑体"/>
          <w:sz w:val="28"/>
          <w:szCs w:val="28"/>
        </w:rPr>
      </w:pPr>
      <w:r>
        <w:rPr>
          <w:rFonts w:hint="eastAsia" w:ascii="黑体" w:hAnsi="黑体" w:eastAsia="黑体"/>
          <w:sz w:val="28"/>
          <w:szCs w:val="28"/>
        </w:rPr>
        <w:t>地址：杭州萧山国际机场内        地址：</w:t>
      </w:r>
    </w:p>
    <w:p>
      <w:pPr>
        <w:adjustRightInd w:val="0"/>
        <w:snapToGrid w:val="0"/>
        <w:spacing w:line="560" w:lineRule="exact"/>
        <w:ind w:left="6750" w:hanging="6750"/>
        <w:rPr>
          <w:rFonts w:ascii="黑体" w:hAnsi="黑体" w:eastAsia="黑体"/>
          <w:sz w:val="28"/>
          <w:szCs w:val="28"/>
        </w:rPr>
      </w:pPr>
    </w:p>
    <w:p>
      <w:pPr>
        <w:adjustRightInd w:val="0"/>
        <w:snapToGrid w:val="0"/>
        <w:spacing w:line="560" w:lineRule="exact"/>
        <w:rPr>
          <w:rFonts w:ascii="黑体" w:hAnsi="黑体" w:eastAsia="黑体"/>
          <w:sz w:val="28"/>
          <w:szCs w:val="28"/>
        </w:rPr>
      </w:pPr>
      <w:r>
        <w:rPr>
          <w:rFonts w:hint="eastAsia" w:ascii="黑体" w:hAnsi="黑体" w:eastAsia="黑体"/>
          <w:sz w:val="28"/>
          <w:szCs w:val="28"/>
        </w:rPr>
        <w:t>法定代表人：                     法定代表人：</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或                               或</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授权代表：                       授权代表：</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 xml:space="preserve">签字日期：                       签字日期： </w:t>
      </w:r>
    </w:p>
    <w:p>
      <w:pPr>
        <w:adjustRightInd w:val="0"/>
        <w:snapToGrid w:val="0"/>
        <w:spacing w:line="560" w:lineRule="exact"/>
        <w:rPr>
          <w:rFonts w:ascii="黑体" w:hAnsi="黑体" w:eastAsia="黑体"/>
          <w:b/>
          <w:sz w:val="28"/>
          <w:szCs w:val="28"/>
        </w:rPr>
      </w:pPr>
    </w:p>
    <w:p>
      <w:pPr>
        <w:adjustRightInd w:val="0"/>
        <w:snapToGrid w:val="0"/>
        <w:spacing w:line="560" w:lineRule="exact"/>
        <w:ind w:firstLine="560" w:firstLineChars="200"/>
        <w:rPr>
          <w:rFonts w:ascii="黑体" w:hAnsi="黑体" w:eastAsia="黑体"/>
          <w:b/>
          <w:sz w:val="28"/>
          <w:szCs w:val="28"/>
        </w:rPr>
      </w:pPr>
      <w:r>
        <w:rPr>
          <w:rFonts w:hint="eastAsia" w:ascii="黑体" w:hAnsi="黑体" w:eastAsia="黑体"/>
          <w:sz w:val="28"/>
          <w:szCs w:val="28"/>
        </w:rPr>
        <w:t>年  月  日                      年  月  日</w:t>
      </w:r>
    </w:p>
    <w:p>
      <w:pPr>
        <w:pStyle w:val="48"/>
        <w:spacing w:line="560" w:lineRule="exact"/>
      </w:pPr>
    </w:p>
    <w:p>
      <w:pPr>
        <w:pStyle w:val="2"/>
        <w:keepNext w:val="0"/>
        <w:keepLines w:val="0"/>
        <w:spacing w:before="0" w:after="0" w:line="560" w:lineRule="exact"/>
        <w:rPr>
          <w:rFonts w:cs="Calibri"/>
          <w:kern w:val="0"/>
        </w:rPr>
      </w:pPr>
    </w:p>
    <w:p>
      <w:pPr>
        <w:adjustRightInd w:val="0"/>
        <w:snapToGrid w:val="0"/>
        <w:spacing w:line="5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sectPr>
          <w:pgSz w:w="11906" w:h="16838"/>
          <w:pgMar w:top="1134" w:right="1247" w:bottom="1134" w:left="1247" w:header="851" w:footer="992" w:gutter="0"/>
          <w:pgNumType w:fmt="numberInDash"/>
          <w:cols w:space="720" w:num="1"/>
          <w:docGrid w:linePitch="312" w:charSpace="0"/>
        </w:sect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r>
        <w:rPr>
          <w:rFonts w:hint="eastAsia" w:ascii="宋体" w:hAnsi="宋体" w:eastAsia="等线"/>
          <w:sz w:val="22"/>
          <w:lang w:bidi="en-US"/>
        </w:rPr>
        <w:t>附件1：</w:t>
      </w:r>
    </w:p>
    <w:p>
      <w:pPr>
        <w:adjustRightInd w:val="0"/>
        <w:snapToGrid w:val="0"/>
        <w:spacing w:line="360" w:lineRule="exact"/>
        <w:ind w:firstLine="452"/>
        <w:jc w:val="center"/>
        <w:rPr>
          <w:rFonts w:ascii="黑体" w:hAnsi="黑体" w:eastAsia="黑体"/>
          <w:sz w:val="30"/>
          <w:szCs w:val="30"/>
          <w:lang w:bidi="en-US"/>
        </w:rPr>
      </w:pPr>
      <w:r>
        <w:rPr>
          <w:rFonts w:hint="eastAsia" w:ascii="黑体" w:hAnsi="黑体" w:eastAsia="黑体"/>
          <w:sz w:val="30"/>
          <w:szCs w:val="30"/>
          <w:lang w:bidi="en-US"/>
        </w:rPr>
        <w:t>杭州萧山国际机场有限公司廉洁自律承诺书</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杭州萧山国际机场有限公司：</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二、不以任何名义为贵公司有关人员或项目第三方人员报销应由贵公司或个人支付的费用；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三、不向贵公司有关人员或项目第三方人员提供宴请、旅游、和健身娱乐等活动；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四、不为贵公司有关人员或项目第三方人员出国（境）、旅游等提供方便；</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五、不为贵公司有关人员或项目第三方人员个人装修住房、婚丧嫁娶、配偶子女工作安排等提供好处或便利条件；</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六、严格遵守国家招标投标法、合同法等法律规定，诚实守信，合法经营，坚决杜绝各种违法违纪行为。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八、如违反上述廉洁自律承诺，贵公司有权：</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（1）立即取消我单位投标、中标或在建项目的实施资格；</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（2）扣除我方向贵公司缴纳的履约保证金的10%作为违反廉洁自律承诺的违约金。如该违约金不足以弥补贵公司损失的，我单位仍将承担实际损失赔偿责任。</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（3）拒绝我单位在一定时期内进入贵公司进行项目建设或其它经营活动；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（4）由此引起的相应损失均由我单位承担。</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承诺人单位名称（盖章）：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法定代表人 ：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或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委托代理人：                   </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年     月     日</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附件2： </w:t>
      </w:r>
    </w:p>
    <w:p>
      <w:pPr>
        <w:adjustRightInd w:val="0"/>
        <w:snapToGrid w:val="0"/>
        <w:spacing w:line="360" w:lineRule="exact"/>
        <w:ind w:firstLine="452"/>
        <w:jc w:val="center"/>
        <w:rPr>
          <w:rFonts w:ascii="宋体" w:hAnsi="宋体" w:eastAsia="等线"/>
          <w:bCs/>
          <w:sz w:val="22"/>
          <w:lang w:bidi="en-US"/>
        </w:rPr>
      </w:pPr>
      <w:r>
        <w:rPr>
          <w:rFonts w:hint="eastAsia" w:ascii="宋体" w:hAnsi="宋体" w:eastAsia="等线"/>
          <w:bCs/>
          <w:sz w:val="22"/>
          <w:lang w:bidi="en-US"/>
        </w:rPr>
        <w:t>保密承诺书</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1.1商业秘密是指机场公司（包括机场公司关联公司）一切专有、不对外公开的资料和信息。包括但不限于以下方面：</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（1）经营信息（发展规划、运营状况、客户资源、货源情报、投融资计划、开发计划、标书等）；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（2）管理信息（管理方法、管理制度、员工管理、合同管理、纠纷管理等）；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（3）产品及技术信息（设计及图纸、样品及服务、技术方案、质量标准、技术标准、计算机程序等）；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（4）财务信息（财务收支、固定资产、流动资金、成本核算等）；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（5）我方单独或机场公司（包括机场公司关联公司）和我方共同为机场公司开发、设计、生产的产品、资料及相关信息；</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1.3、对于上述提及的商业秘密，不能仅因为公开发表的文章或资讯中包含其内容，就认为是可对外公开的特殊情况。</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1.4、以下资料不属于本承诺所指的商业秘密：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（2）已经公开或已成为常识性的资料，且该等公开并非因违反本承诺所致。</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（1）披露、使用或者允许他人以不正当手段获取的商业秘密；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（2）为机场公司以外的第三人窃取、刺探、收买、非法提供商业秘密。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（3）在电子公告系统、聊天系统、电子邮箱、论坛等计算机网络系统上传递、转发、抄送、发布、谈论和传播商业秘密；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（4）在私人交往和通信中，向亲属、朋友以及与工作无关人员泄露商业秘密，或在公共场所谈论商业秘密；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（5）擅自将属于商业秘密的文件、资料和其他物品携带、传递、寄运出机场公司办公场所或国（境）外。</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（6）未经机场公司同意就以任何方式私自保存、截留含有机场公司商业秘密的任何形式资料、文件和物品的复印件、复制品、副本。</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（7）将含有机场公司商业秘密的产品、技术或其他资料、信息向第三人销售、使用或以任何方式提供。</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8、违约责任</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8.1因我方违反保密义务的行为造成机场公司的一切损失，我方应当全部予以赔偿。</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8.2如我方违反本承诺书下保密义务，应当承担违约责任，除赔偿损失外，还应依据合同向机场公司支付相应的违约金；</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9、本承诺书适用中华人民共和国法律，如因履行本承诺书发生争议，则双方均有权向机场公司所在地法院提起诉讼。</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供应商(盖章):</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法定代表人或授权代表：</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电话/传真：</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地址：</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widowControl/>
        <w:jc w:val="left"/>
        <w:rPr>
          <w:rFonts w:ascii="宋体" w:hAnsi="宋体" w:eastAsia="等线"/>
          <w:sz w:val="22"/>
          <w:lang w:bidi="en-US"/>
        </w:rPr>
      </w:pPr>
      <w:r>
        <w:rPr>
          <w:rFonts w:hint="eastAsia" w:ascii="宋体" w:hAnsi="宋体" w:eastAsia="等线"/>
          <w:sz w:val="22"/>
          <w:lang w:bidi="en-US"/>
        </w:rPr>
        <w:t xml:space="preserve">日期：     年     月   </w:t>
      </w:r>
    </w:p>
    <w:p>
      <w:pPr>
        <w:widowControl/>
        <w:jc w:val="left"/>
        <w:rPr>
          <w:rFonts w:ascii="宋体" w:hAnsi="宋体" w:eastAsia="等线"/>
          <w:sz w:val="22"/>
          <w:lang w:bidi="en-US"/>
        </w:rPr>
      </w:pPr>
    </w:p>
    <w:p>
      <w:pPr>
        <w:pStyle w:val="2"/>
        <w:spacing w:before="0" w:after="0"/>
        <w:rPr>
          <w:rFonts w:cs="Calibri"/>
          <w:kern w:val="0"/>
        </w:rPr>
      </w:pPr>
    </w:p>
    <w:p>
      <w:pPr>
        <w:pStyle w:val="2"/>
        <w:spacing w:before="0" w:after="0"/>
        <w:rPr>
          <w:rFonts w:cs="Calibri"/>
          <w:kern w:val="0"/>
        </w:rPr>
      </w:pPr>
    </w:p>
    <w:p/>
    <w:p/>
    <w:p/>
    <w:p/>
    <w:p/>
    <w:p/>
    <w:p/>
    <w:p/>
    <w:p/>
    <w:p/>
    <w:p/>
    <w:p/>
    <w:p/>
    <w:p/>
    <w:p/>
    <w:p/>
    <w:p/>
    <w:p>
      <w:pPr>
        <w:sectPr>
          <w:pgSz w:w="11906" w:h="16838"/>
          <w:pgMar w:top="1134" w:right="1247" w:bottom="1134" w:left="1247" w:header="851" w:footer="992" w:gutter="0"/>
          <w:pgNumType w:fmt="numberInDash"/>
          <w:cols w:space="720" w:num="1"/>
          <w:docGrid w:linePitch="312" w:charSpace="0"/>
        </w:sectPr>
      </w:pPr>
    </w:p>
    <w:p/>
    <w:p>
      <w:pPr>
        <w:pStyle w:val="2"/>
        <w:spacing w:before="0" w:after="0"/>
        <w:rPr>
          <w:rFonts w:cs="Calibri"/>
          <w:kern w:val="0"/>
        </w:rPr>
      </w:pPr>
      <w:r>
        <w:rPr>
          <w:rFonts w:cs="Calibri"/>
          <w:kern w:val="0"/>
        </w:rPr>
        <w:t>第</w:t>
      </w:r>
      <w:r>
        <w:rPr>
          <w:rFonts w:hint="eastAsia" w:cs="Calibri"/>
          <w:kern w:val="0"/>
        </w:rPr>
        <w:t>五</w:t>
      </w:r>
      <w:r>
        <w:rPr>
          <w:rFonts w:cs="Calibri"/>
          <w:kern w:val="0"/>
        </w:rPr>
        <w:t>章  评标方法及标准</w:t>
      </w:r>
    </w:p>
    <w:p>
      <w:pPr>
        <w:spacing w:line="360" w:lineRule="exact"/>
        <w:ind w:firstLine="470" w:firstLineChars="214"/>
        <w:rPr>
          <w:rFonts w:ascii="宋体" w:hAnsi="宋体" w:cs="Calibri"/>
          <w:sz w:val="22"/>
          <w:szCs w:val="22"/>
        </w:rPr>
      </w:pPr>
      <w:r>
        <w:rPr>
          <w:rFonts w:ascii="宋体" w:hAnsi="宋体" w:cs="Calibri"/>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spacing w:line="360" w:lineRule="exact"/>
        <w:ind w:firstLine="470" w:firstLineChars="214"/>
        <w:rPr>
          <w:rFonts w:ascii="宋体" w:hAnsi="宋体" w:cs="Calibri"/>
          <w:sz w:val="22"/>
          <w:szCs w:val="22"/>
        </w:rPr>
      </w:pPr>
      <w:r>
        <w:rPr>
          <w:rFonts w:ascii="宋体" w:hAnsi="宋体" w:cs="Calibri"/>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spacing w:line="360" w:lineRule="exact"/>
        <w:ind w:firstLine="470" w:firstLineChars="214"/>
        <w:rPr>
          <w:rFonts w:ascii="宋体" w:hAnsi="宋体" w:cs="Calibri"/>
          <w:sz w:val="22"/>
          <w:szCs w:val="22"/>
        </w:rPr>
      </w:pPr>
      <w:r>
        <w:rPr>
          <w:rFonts w:ascii="宋体" w:hAnsi="宋体" w:cs="Calibri"/>
          <w:sz w:val="22"/>
          <w:szCs w:val="22"/>
        </w:rPr>
        <w:t>评标工作由招标人依法组建的评标委员会（小组）负责。评标委员会成员为</w:t>
      </w:r>
      <w:r>
        <w:rPr>
          <w:rFonts w:hint="eastAsia" w:ascii="宋体" w:hAnsi="宋体" w:cs="Calibri"/>
          <w:sz w:val="22"/>
          <w:szCs w:val="22"/>
        </w:rPr>
        <w:t>3</w:t>
      </w:r>
      <w:r>
        <w:rPr>
          <w:rFonts w:ascii="宋体" w:hAnsi="宋体" w:cs="Calibri"/>
          <w:sz w:val="22"/>
          <w:szCs w:val="22"/>
        </w:rPr>
        <w:t>人及以上单数，</w:t>
      </w:r>
      <w:r>
        <w:rPr>
          <w:rFonts w:hint="eastAsia" w:ascii="宋体" w:hAnsi="宋体" w:cs="Calibri"/>
          <w:sz w:val="22"/>
          <w:szCs w:val="22"/>
        </w:rPr>
        <w:t>评标委员会由招标人自行组建。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rPr>
      </w:pPr>
      <w:r>
        <w:rPr>
          <w:rFonts w:ascii="宋体" w:hAnsi="宋体" w:cs="Calibri"/>
          <w:sz w:val="22"/>
          <w:szCs w:val="22"/>
        </w:rPr>
        <w:t>1、</w:t>
      </w:r>
      <w:r>
        <w:rPr>
          <w:rFonts w:ascii="宋体" w:hAnsi="宋体" w:cs="Calibri"/>
          <w:bCs/>
          <w:kern w:val="0"/>
          <w:sz w:val="22"/>
          <w:szCs w:val="22"/>
        </w:rPr>
        <w:t>投标人的投标资格不满</w:t>
      </w:r>
      <w:r>
        <w:rPr>
          <w:rFonts w:ascii="宋体" w:hAnsi="宋体" w:cs="Calibri"/>
          <w:bCs/>
          <w:kern w:val="0"/>
          <w:sz w:val="22"/>
        </w:rPr>
        <w:t>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szCs w:val="22"/>
        </w:rPr>
        <w:t>否决投标</w:t>
      </w:r>
      <w:r>
        <w:rPr>
          <w:rFonts w:hAnsi="宋体" w:cs="Calibri"/>
          <w:b/>
          <w:sz w:val="22"/>
          <w:szCs w:val="22"/>
        </w:rPr>
        <w:t>处理</w:t>
      </w:r>
      <w:r>
        <w:rPr>
          <w:rFonts w:hAnsi="宋体" w:cs="Calibri"/>
          <w:sz w:val="22"/>
          <w:szCs w:val="22"/>
        </w:rPr>
        <w:t>。</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9"/>
        <w:adjustRightInd w:val="0"/>
        <w:snapToGrid w:val="0"/>
        <w:spacing w:line="360" w:lineRule="exact"/>
        <w:ind w:firstLine="440" w:firstLineChars="200"/>
        <w:rPr>
          <w:rFonts w:hAnsi="宋体"/>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w:t>
      </w:r>
      <w:r>
        <w:rPr>
          <w:rFonts w:hAnsi="宋体"/>
          <w:sz w:val="22"/>
          <w:szCs w:val="22"/>
        </w:rPr>
        <w:t>4个，则评标基准价为所有有效投标报价的算数平均值与最低价的算数平均值。</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个百分点按插值法计算，小数点后保留二位，四舍五入，商务分最低得分为30分）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0-30分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2"/>
        <w:tblW w:w="10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34"/>
        <w:gridCol w:w="1236"/>
        <w:gridCol w:w="6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rPr>
                <w:rFonts w:hAnsi="宋体" w:cs="宋体"/>
                <w:b/>
                <w:sz w:val="22"/>
                <w:szCs w:val="22"/>
              </w:rPr>
            </w:pPr>
            <w:r>
              <w:rPr>
                <w:rFonts w:hint="eastAsia" w:hAnsi="宋体" w:cs="宋体"/>
                <w:b/>
                <w:sz w:val="22"/>
                <w:szCs w:val="22"/>
              </w:rPr>
              <w:t>序号</w:t>
            </w:r>
          </w:p>
        </w:tc>
        <w:tc>
          <w:tcPr>
            <w:tcW w:w="1834"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rPr>
                <w:rFonts w:hAnsi="宋体" w:cs="宋体"/>
                <w:b/>
                <w:sz w:val="22"/>
                <w:szCs w:val="22"/>
              </w:rPr>
            </w:pPr>
            <w:r>
              <w:rPr>
                <w:rFonts w:hint="eastAsia" w:hAnsi="宋体" w:cs="宋体"/>
                <w:b/>
                <w:sz w:val="22"/>
                <w:szCs w:val="22"/>
              </w:rPr>
              <w:t>项目</w:t>
            </w:r>
          </w:p>
        </w:tc>
        <w:tc>
          <w:tcPr>
            <w:tcW w:w="1236"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rPr>
                <w:rFonts w:hAnsi="宋体" w:cs="宋体"/>
                <w:b/>
                <w:sz w:val="22"/>
                <w:szCs w:val="22"/>
              </w:rPr>
            </w:pPr>
            <w:r>
              <w:rPr>
                <w:rFonts w:hint="eastAsia" w:hAnsi="宋体" w:cs="宋体"/>
                <w:b/>
                <w:sz w:val="22"/>
                <w:szCs w:val="22"/>
              </w:rPr>
              <w:t>分值范围</w:t>
            </w:r>
          </w:p>
        </w:tc>
        <w:tc>
          <w:tcPr>
            <w:tcW w:w="6270"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rPr>
                <w:rFonts w:hAnsi="宋体" w:cs="宋体"/>
                <w:b/>
                <w:sz w:val="22"/>
                <w:szCs w:val="22"/>
              </w:rPr>
            </w:pPr>
            <w:r>
              <w:rPr>
                <w:rFonts w:hint="eastAsia" w:hAnsi="宋体" w:cs="宋体"/>
                <w:b/>
                <w:sz w:val="22"/>
                <w:szCs w:val="22"/>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blHeader/>
          <w:jc w:val="center"/>
        </w:trPr>
        <w:tc>
          <w:tcPr>
            <w:tcW w:w="816" w:type="dxa"/>
            <w:tcBorders>
              <w:top w:val="single" w:color="auto" w:sz="4" w:space="0"/>
              <w:left w:val="single" w:color="auto" w:sz="4" w:space="0"/>
              <w:right w:val="single" w:color="auto" w:sz="4" w:space="0"/>
            </w:tcBorders>
            <w:vAlign w:val="center"/>
          </w:tcPr>
          <w:p>
            <w:pPr>
              <w:pStyle w:val="29"/>
              <w:spacing w:line="360" w:lineRule="exact"/>
              <w:jc w:val="center"/>
              <w:rPr>
                <w:rFonts w:hAnsi="宋体" w:cs="宋体"/>
                <w:b/>
                <w:sz w:val="22"/>
                <w:szCs w:val="22"/>
              </w:rPr>
            </w:pPr>
            <w:r>
              <w:rPr>
                <w:rFonts w:hint="eastAsia" w:hAnsi="宋体" w:cs="宋体"/>
                <w:b/>
                <w:sz w:val="22"/>
                <w:szCs w:val="22"/>
              </w:rPr>
              <w:t>1</w:t>
            </w:r>
          </w:p>
        </w:tc>
        <w:tc>
          <w:tcPr>
            <w:tcW w:w="1834" w:type="dxa"/>
            <w:tcBorders>
              <w:top w:val="single" w:color="auto" w:sz="4" w:space="0"/>
              <w:left w:val="single" w:color="auto" w:sz="4" w:space="0"/>
              <w:right w:val="single" w:color="auto" w:sz="4" w:space="0"/>
            </w:tcBorders>
            <w:vAlign w:val="center"/>
          </w:tcPr>
          <w:p>
            <w:pPr>
              <w:pStyle w:val="29"/>
              <w:spacing w:line="360" w:lineRule="exact"/>
              <w:jc w:val="center"/>
              <w:rPr>
                <w:rFonts w:hAnsi="宋体" w:cs="宋体"/>
                <w:b/>
                <w:sz w:val="22"/>
                <w:szCs w:val="22"/>
              </w:rPr>
            </w:pPr>
            <w:r>
              <w:rPr>
                <w:rFonts w:hint="eastAsia" w:hAnsi="宋体" w:cs="宋体"/>
                <w:b/>
                <w:sz w:val="22"/>
                <w:szCs w:val="22"/>
              </w:rPr>
              <w:t>资信情况</w:t>
            </w:r>
          </w:p>
          <w:p>
            <w:pPr>
              <w:pStyle w:val="29"/>
              <w:spacing w:line="360" w:lineRule="exact"/>
              <w:jc w:val="center"/>
              <w:rPr>
                <w:rFonts w:hAnsi="宋体" w:cs="宋体"/>
                <w:b/>
                <w:sz w:val="22"/>
                <w:szCs w:val="22"/>
              </w:rPr>
            </w:pPr>
            <w:r>
              <w:rPr>
                <w:rFonts w:hint="eastAsia" w:hAnsi="宋体" w:cs="宋体"/>
                <w:b/>
                <w:sz w:val="22"/>
                <w:szCs w:val="22"/>
              </w:rPr>
              <w:t>（滿分4分）</w:t>
            </w:r>
          </w:p>
        </w:tc>
        <w:tc>
          <w:tcPr>
            <w:tcW w:w="1236" w:type="dxa"/>
            <w:tcBorders>
              <w:top w:val="single" w:color="auto" w:sz="4" w:space="0"/>
              <w:left w:val="single" w:color="auto" w:sz="4" w:space="0"/>
              <w:right w:val="single" w:color="auto" w:sz="4" w:space="0"/>
            </w:tcBorders>
            <w:vAlign w:val="center"/>
          </w:tcPr>
          <w:p>
            <w:pPr>
              <w:pStyle w:val="29"/>
              <w:spacing w:line="360" w:lineRule="exact"/>
              <w:jc w:val="center"/>
              <w:rPr>
                <w:rFonts w:hAnsi="宋体" w:cs="宋体"/>
                <w:b/>
                <w:sz w:val="22"/>
                <w:szCs w:val="22"/>
              </w:rPr>
            </w:pPr>
            <w:r>
              <w:rPr>
                <w:rFonts w:hint="eastAsia" w:hAnsi="宋体" w:cs="宋体"/>
                <w:b/>
                <w:sz w:val="22"/>
                <w:szCs w:val="22"/>
              </w:rPr>
              <w:t>0～4分</w:t>
            </w:r>
          </w:p>
        </w:tc>
        <w:tc>
          <w:tcPr>
            <w:tcW w:w="6270" w:type="dxa"/>
            <w:tcBorders>
              <w:top w:val="single" w:color="auto" w:sz="4" w:space="0"/>
              <w:left w:val="single" w:color="auto" w:sz="4" w:space="0"/>
              <w:right w:val="single" w:color="auto" w:sz="4" w:space="0"/>
            </w:tcBorders>
            <w:vAlign w:val="center"/>
          </w:tcPr>
          <w:p>
            <w:pPr>
              <w:pStyle w:val="29"/>
              <w:spacing w:line="360" w:lineRule="exact"/>
              <w:jc w:val="center"/>
              <w:rPr>
                <w:rFonts w:hAnsi="宋体" w:cs="宋体"/>
                <w:sz w:val="22"/>
                <w:szCs w:val="22"/>
              </w:rPr>
            </w:pPr>
            <w:r>
              <w:rPr>
                <w:rFonts w:hint="eastAsia" w:hAnsi="宋体" w:cs="宋体"/>
                <w:sz w:val="22"/>
                <w:szCs w:val="22"/>
              </w:rPr>
              <w:t>以往类似项目经验0-4分；提供两年内（自</w:t>
            </w:r>
            <w:r>
              <w:rPr>
                <w:rFonts w:hAnsi="宋体" w:cs="宋体"/>
                <w:sz w:val="22"/>
                <w:szCs w:val="22"/>
              </w:rPr>
              <w:t>2017年1月1日起至投标截止日止）</w:t>
            </w:r>
            <w:r>
              <w:rPr>
                <w:rFonts w:hint="eastAsia" w:hAnsi="宋体" w:cs="宋体"/>
                <w:sz w:val="22"/>
                <w:szCs w:val="22"/>
              </w:rPr>
              <w:t>类似项目合作成功案例，每一个项目得1分，得分合计不超过4分。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vMerge w:val="restart"/>
            <w:tcBorders>
              <w:top w:val="single" w:color="auto" w:sz="4" w:space="0"/>
              <w:left w:val="single" w:color="auto" w:sz="4" w:space="0"/>
              <w:right w:val="single" w:color="auto" w:sz="4" w:space="0"/>
            </w:tcBorders>
            <w:vAlign w:val="center"/>
          </w:tcPr>
          <w:p>
            <w:pPr>
              <w:pStyle w:val="29"/>
              <w:spacing w:line="360" w:lineRule="exact"/>
              <w:jc w:val="center"/>
              <w:rPr>
                <w:rFonts w:hAnsi="宋体" w:cs="宋体"/>
                <w:b/>
                <w:sz w:val="22"/>
                <w:szCs w:val="22"/>
              </w:rPr>
            </w:pPr>
            <w:r>
              <w:rPr>
                <w:rFonts w:hint="eastAsia" w:hAnsi="宋体" w:cs="宋体"/>
                <w:b/>
                <w:sz w:val="22"/>
                <w:szCs w:val="22"/>
              </w:rPr>
              <w:t>2</w:t>
            </w:r>
          </w:p>
        </w:tc>
        <w:tc>
          <w:tcPr>
            <w:tcW w:w="1834" w:type="dxa"/>
            <w:vMerge w:val="restart"/>
            <w:tcBorders>
              <w:top w:val="single" w:color="auto" w:sz="4" w:space="0"/>
              <w:left w:val="single" w:color="auto" w:sz="4" w:space="0"/>
              <w:right w:val="single" w:color="auto" w:sz="4" w:space="0"/>
            </w:tcBorders>
            <w:vAlign w:val="center"/>
          </w:tcPr>
          <w:p>
            <w:pPr>
              <w:pStyle w:val="29"/>
              <w:spacing w:line="360" w:lineRule="exact"/>
              <w:jc w:val="center"/>
              <w:rPr>
                <w:rFonts w:hAnsi="宋体" w:cs="宋体"/>
                <w:b/>
                <w:sz w:val="22"/>
                <w:szCs w:val="22"/>
              </w:rPr>
            </w:pPr>
            <w:r>
              <w:rPr>
                <w:rFonts w:hint="eastAsia" w:hAnsi="宋体" w:cs="宋体"/>
                <w:b/>
                <w:sz w:val="22"/>
                <w:szCs w:val="22"/>
              </w:rPr>
              <w:t>技术方案</w:t>
            </w:r>
          </w:p>
          <w:p>
            <w:pPr>
              <w:pStyle w:val="29"/>
              <w:spacing w:line="360" w:lineRule="exact"/>
              <w:jc w:val="center"/>
              <w:rPr>
                <w:rFonts w:hAnsi="宋体" w:cs="宋体"/>
                <w:b/>
                <w:sz w:val="22"/>
                <w:szCs w:val="22"/>
              </w:rPr>
            </w:pPr>
            <w:r>
              <w:rPr>
                <w:rFonts w:hint="eastAsia" w:hAnsi="宋体" w:cs="宋体"/>
                <w:b/>
                <w:sz w:val="22"/>
                <w:szCs w:val="22"/>
              </w:rPr>
              <w:t>（滿分15分）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jc w:val="center"/>
              <w:rPr>
                <w:rFonts w:hAnsi="宋体" w:cs="宋体"/>
                <w:b/>
                <w:sz w:val="22"/>
                <w:szCs w:val="22"/>
              </w:rPr>
            </w:pPr>
            <w:r>
              <w:rPr>
                <w:rFonts w:hint="eastAsia" w:hAnsi="宋体" w:cs="宋体"/>
                <w:b/>
                <w:sz w:val="22"/>
                <w:szCs w:val="22"/>
              </w:rPr>
              <w:t>0～5分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jc w:val="center"/>
              <w:rPr>
                <w:rFonts w:hAnsi="宋体" w:cs="宋体"/>
                <w:sz w:val="22"/>
                <w:szCs w:val="22"/>
              </w:rPr>
            </w:pPr>
            <w:r>
              <w:rPr>
                <w:rFonts w:hint="eastAsia" w:hAnsi="宋体" w:cs="宋体"/>
                <w:sz w:val="22"/>
                <w:szCs w:val="22"/>
              </w:rPr>
              <w:t>设计安全、合理、外观、材质、技术标准符合招标文件要求；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vMerge w:val="continue"/>
            <w:tcBorders>
              <w:left w:val="single" w:color="auto" w:sz="4" w:space="0"/>
              <w:right w:val="single" w:color="auto" w:sz="4" w:space="0"/>
            </w:tcBorders>
            <w:vAlign w:val="center"/>
          </w:tcPr>
          <w:p>
            <w:pPr>
              <w:pStyle w:val="29"/>
              <w:spacing w:line="360" w:lineRule="exact"/>
              <w:jc w:val="center"/>
              <w:rPr>
                <w:rFonts w:hAnsi="宋体" w:cs="宋体"/>
                <w:b/>
                <w:sz w:val="22"/>
                <w:szCs w:val="22"/>
              </w:rPr>
            </w:pPr>
          </w:p>
        </w:tc>
        <w:tc>
          <w:tcPr>
            <w:tcW w:w="1834" w:type="dxa"/>
            <w:vMerge w:val="continue"/>
            <w:tcBorders>
              <w:left w:val="single" w:color="auto" w:sz="4" w:space="0"/>
              <w:right w:val="single" w:color="auto" w:sz="4" w:space="0"/>
            </w:tcBorders>
            <w:vAlign w:val="center"/>
          </w:tcPr>
          <w:p>
            <w:pPr>
              <w:pStyle w:val="29"/>
              <w:spacing w:line="360" w:lineRule="exact"/>
              <w:jc w:val="center"/>
              <w:rPr>
                <w:rFonts w:hAnsi="宋体" w:cs="宋体"/>
                <w:b/>
                <w:sz w:val="22"/>
                <w:szCs w:val="22"/>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jc w:val="center"/>
              <w:rPr>
                <w:rFonts w:hAnsi="宋体" w:cs="宋体"/>
                <w:b/>
                <w:sz w:val="22"/>
                <w:szCs w:val="22"/>
              </w:rPr>
            </w:pPr>
            <w:r>
              <w:rPr>
                <w:rFonts w:hint="eastAsia" w:hAnsi="宋体" w:cs="宋体"/>
                <w:b/>
                <w:sz w:val="22"/>
                <w:szCs w:val="22"/>
              </w:rPr>
              <w:t>0～5分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jc w:val="center"/>
              <w:rPr>
                <w:rFonts w:hAnsi="宋体" w:cs="宋体"/>
                <w:sz w:val="22"/>
                <w:szCs w:val="22"/>
              </w:rPr>
            </w:pPr>
            <w:r>
              <w:rPr>
                <w:rFonts w:hint="eastAsia" w:hAnsi="宋体"/>
                <w:sz w:val="22"/>
                <w:szCs w:val="22"/>
              </w:rPr>
              <w:t>组织实施方案：投标人组织实施方案的科学性、合理性、规范性和可操作性，包括货物供货、验货、组装就位、关键步骤的思路和要点以及组织机构、工作时间进度表、工作程序和步骤等内容；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vMerge w:val="continue"/>
            <w:tcBorders>
              <w:left w:val="single" w:color="auto" w:sz="4" w:space="0"/>
              <w:bottom w:val="single" w:color="auto" w:sz="4" w:space="0"/>
              <w:right w:val="single" w:color="auto" w:sz="4" w:space="0"/>
            </w:tcBorders>
            <w:vAlign w:val="center"/>
          </w:tcPr>
          <w:p>
            <w:pPr>
              <w:pStyle w:val="29"/>
              <w:spacing w:line="360" w:lineRule="exact"/>
              <w:jc w:val="center"/>
              <w:rPr>
                <w:rFonts w:hAnsi="宋体" w:cs="宋体"/>
                <w:b/>
                <w:sz w:val="22"/>
                <w:szCs w:val="22"/>
              </w:rPr>
            </w:pPr>
          </w:p>
        </w:tc>
        <w:tc>
          <w:tcPr>
            <w:tcW w:w="1834" w:type="dxa"/>
            <w:vMerge w:val="continue"/>
            <w:tcBorders>
              <w:left w:val="single" w:color="auto" w:sz="4" w:space="0"/>
              <w:bottom w:val="single" w:color="auto" w:sz="4" w:space="0"/>
              <w:right w:val="single" w:color="auto" w:sz="4" w:space="0"/>
            </w:tcBorders>
            <w:vAlign w:val="center"/>
          </w:tcPr>
          <w:p>
            <w:pPr>
              <w:pStyle w:val="29"/>
              <w:spacing w:line="360" w:lineRule="exact"/>
              <w:jc w:val="center"/>
              <w:rPr>
                <w:rFonts w:hAnsi="宋体" w:cs="宋体"/>
                <w:b/>
                <w:sz w:val="22"/>
                <w:szCs w:val="22"/>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jc w:val="center"/>
              <w:rPr>
                <w:rFonts w:hAnsi="宋体" w:cs="宋体"/>
                <w:b/>
                <w:sz w:val="22"/>
                <w:szCs w:val="22"/>
              </w:rPr>
            </w:pPr>
            <w:r>
              <w:rPr>
                <w:rFonts w:hint="eastAsia" w:hAnsi="宋体" w:cs="宋体"/>
                <w:b/>
                <w:sz w:val="22"/>
                <w:szCs w:val="22"/>
              </w:rPr>
              <w:t>0～5分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jc w:val="center"/>
              <w:rPr>
                <w:rFonts w:hAnsi="宋体" w:cs="宋体"/>
                <w:sz w:val="22"/>
                <w:szCs w:val="22"/>
              </w:rPr>
            </w:pPr>
            <w:r>
              <w:rPr>
                <w:rFonts w:hint="eastAsia" w:hAnsi="宋体" w:cs="宋体"/>
                <w:sz w:val="22"/>
                <w:szCs w:val="22"/>
              </w:rPr>
              <w:t>投标人须提供长度200MM的铝合金吊顶板及长度200MM的不锈钢收边条，根据所提供样品进行横向比较后评分；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jc w:val="center"/>
              <w:rPr>
                <w:rFonts w:hAnsi="宋体" w:cs="宋体"/>
                <w:b/>
                <w:sz w:val="22"/>
                <w:szCs w:val="22"/>
              </w:rPr>
            </w:pPr>
            <w:r>
              <w:rPr>
                <w:rFonts w:hint="eastAsia" w:hAnsi="宋体" w:cs="宋体"/>
                <w:b/>
                <w:sz w:val="22"/>
                <w:szCs w:val="22"/>
              </w:rPr>
              <w:t>3</w:t>
            </w:r>
          </w:p>
        </w:tc>
        <w:tc>
          <w:tcPr>
            <w:tcW w:w="1834"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jc w:val="center"/>
              <w:rPr>
                <w:rFonts w:hAnsi="宋体" w:cs="宋体"/>
                <w:b/>
                <w:sz w:val="22"/>
                <w:szCs w:val="22"/>
              </w:rPr>
            </w:pPr>
            <w:r>
              <w:rPr>
                <w:rFonts w:hint="eastAsia" w:hAnsi="宋体" w:cs="宋体"/>
                <w:b/>
                <w:sz w:val="22"/>
                <w:szCs w:val="22"/>
              </w:rPr>
              <w:t>服务承诺</w:t>
            </w:r>
          </w:p>
          <w:p>
            <w:pPr>
              <w:pStyle w:val="29"/>
              <w:spacing w:line="360" w:lineRule="exact"/>
              <w:jc w:val="center"/>
              <w:rPr>
                <w:rFonts w:hAnsi="宋体" w:cs="宋体"/>
                <w:b/>
                <w:sz w:val="22"/>
                <w:szCs w:val="22"/>
              </w:rPr>
            </w:pPr>
            <w:r>
              <w:rPr>
                <w:rFonts w:hint="eastAsia" w:hAnsi="宋体" w:cs="宋体"/>
                <w:b/>
                <w:sz w:val="22"/>
                <w:szCs w:val="22"/>
              </w:rPr>
              <w:t>（满分10分）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jc w:val="center"/>
              <w:rPr>
                <w:rFonts w:hAnsi="宋体" w:cs="宋体"/>
                <w:b/>
                <w:sz w:val="22"/>
                <w:szCs w:val="22"/>
              </w:rPr>
            </w:pPr>
            <w:r>
              <w:rPr>
                <w:rFonts w:hint="eastAsia" w:hAnsi="宋体" w:cs="宋体"/>
                <w:b/>
                <w:sz w:val="22"/>
                <w:szCs w:val="22"/>
              </w:rPr>
              <w:t>0～10分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jc w:val="center"/>
              <w:rPr>
                <w:rFonts w:hAnsi="宋体" w:cs="宋体"/>
                <w:sz w:val="22"/>
                <w:szCs w:val="22"/>
              </w:rPr>
            </w:pPr>
            <w:r>
              <w:rPr>
                <w:rFonts w:hint="eastAsia" w:hAnsi="宋体" w:cs="宋体"/>
                <w:sz w:val="22"/>
                <w:szCs w:val="22"/>
              </w:rPr>
              <w:t>依据投标文件所体现的“三包”、免费保修及售后服务措施和方案情况，横比较后进行评分。其中，质保年限0-5分、服务措施0-5分（包括售后回访、本地化服务等）；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jc w:val="center"/>
              <w:rPr>
                <w:rFonts w:hAnsi="宋体" w:cs="宋体"/>
                <w:b/>
                <w:sz w:val="22"/>
                <w:szCs w:val="22"/>
              </w:rPr>
            </w:pPr>
            <w:r>
              <w:rPr>
                <w:rFonts w:hint="eastAsia" w:hAnsi="宋体" w:cs="宋体"/>
                <w:b/>
                <w:sz w:val="22"/>
                <w:szCs w:val="22"/>
              </w:rPr>
              <w:t>4</w:t>
            </w:r>
          </w:p>
        </w:tc>
        <w:tc>
          <w:tcPr>
            <w:tcW w:w="1834"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jc w:val="center"/>
              <w:rPr>
                <w:rFonts w:hAnsi="宋体" w:cs="宋体"/>
                <w:b/>
                <w:sz w:val="22"/>
                <w:szCs w:val="22"/>
              </w:rPr>
            </w:pPr>
            <w:r>
              <w:rPr>
                <w:rFonts w:hint="eastAsia" w:hAnsi="宋体" w:cs="宋体"/>
                <w:b/>
                <w:sz w:val="22"/>
                <w:szCs w:val="22"/>
              </w:rPr>
              <w:t>标书制作</w:t>
            </w:r>
          </w:p>
          <w:p>
            <w:pPr>
              <w:pStyle w:val="29"/>
              <w:spacing w:line="360" w:lineRule="exact"/>
              <w:jc w:val="center"/>
              <w:rPr>
                <w:rFonts w:hAnsi="宋体" w:cs="宋体"/>
                <w:b/>
                <w:sz w:val="22"/>
                <w:szCs w:val="22"/>
              </w:rPr>
            </w:pPr>
            <w:r>
              <w:rPr>
                <w:rFonts w:hint="eastAsia" w:hAnsi="宋体" w:cs="宋体"/>
                <w:b/>
                <w:sz w:val="22"/>
                <w:szCs w:val="22"/>
              </w:rPr>
              <w:t>（满分1分）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jc w:val="center"/>
              <w:rPr>
                <w:rFonts w:hAnsi="宋体" w:cs="宋体"/>
                <w:b/>
                <w:sz w:val="22"/>
                <w:szCs w:val="22"/>
              </w:rPr>
            </w:pPr>
            <w:r>
              <w:rPr>
                <w:rFonts w:hint="eastAsia" w:hAnsi="宋体" w:cs="宋体"/>
                <w:b/>
                <w:sz w:val="22"/>
                <w:szCs w:val="22"/>
              </w:rPr>
              <w:t>0～1分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9"/>
              <w:spacing w:line="360" w:lineRule="exact"/>
              <w:jc w:val="center"/>
              <w:rPr>
                <w:rFonts w:hAnsi="宋体" w:cs="宋体"/>
                <w:sz w:val="22"/>
                <w:szCs w:val="22"/>
              </w:rPr>
            </w:pPr>
            <w:r>
              <w:rPr>
                <w:rFonts w:hint="eastAsia" w:hAnsi="宋体" w:cs="宋体"/>
                <w:sz w:val="22"/>
                <w:szCs w:val="22"/>
              </w:rPr>
              <w:t>各投标文件横向比较后酌情评分。</w:t>
            </w:r>
          </w:p>
        </w:tc>
      </w:tr>
    </w:tbl>
    <w:p>
      <w:pPr>
        <w:pStyle w:val="29"/>
        <w:adjustRightInd w:val="0"/>
        <w:snapToGrid w:val="0"/>
        <w:spacing w:line="360" w:lineRule="exact"/>
        <w:ind w:firstLine="440" w:firstLineChars="200"/>
        <w:rPr>
          <w:rFonts w:hAnsi="宋体" w:cs="Calibri"/>
          <w:sz w:val="22"/>
          <w:szCs w:val="22"/>
        </w:rPr>
      </w:pPr>
    </w:p>
    <w:p>
      <w:pPr>
        <w:pStyle w:val="29"/>
        <w:spacing w:line="360" w:lineRule="exact"/>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sz w:val="22"/>
          <w:szCs w:val="22"/>
        </w:rPr>
      </w:pPr>
      <w:r>
        <w:rPr>
          <w:sz w:val="22"/>
          <w:szCs w:val="22"/>
        </w:rPr>
        <w:br w:type="page"/>
      </w:r>
    </w:p>
    <w:p>
      <w:pPr>
        <w:pStyle w:val="2"/>
        <w:spacing w:before="0" w:after="0"/>
      </w:pPr>
      <w:r>
        <w:t>第</w:t>
      </w:r>
      <w:r>
        <w:rPr>
          <w:rFonts w:hint="eastAsia"/>
        </w:rPr>
        <w:t>六</w:t>
      </w:r>
      <w:r>
        <w:t>章  投标文件格式</w:t>
      </w: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（34）设备制造商的授权书（代理商投标时提供）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r>
        <w:rPr>
          <w:rFonts w:cs="Calibri"/>
          <w:color w:val="000000"/>
        </w:rPr>
        <w:t>封面</w:t>
      </w:r>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eastAsia="等线"/>
          <w:sz w:val="22"/>
          <w:szCs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cs="Times New Roman"/>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75"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p>
    <w:p>
      <w:pPr>
        <w:pStyle w:val="29"/>
        <w:spacing w:after="120" w:afterLines="50" w:line="360" w:lineRule="auto"/>
        <w:jc w:val="left"/>
        <w:rPr>
          <w:rFonts w:hAnsi="宋体" w:cs="宋体"/>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9"/>
        <w:spacing w:after="120" w:afterLines="50" w:line="360" w:lineRule="auto"/>
        <w:jc w:val="center"/>
        <w:rPr>
          <w:rFonts w:hAnsi="宋体" w:cs="宋体"/>
        </w:rPr>
      </w:pPr>
    </w:p>
    <w:p>
      <w:pPr>
        <w:pStyle w:val="29"/>
        <w:numPr>
          <w:ilvl w:val="1"/>
          <w:numId w:val="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9"/>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hAnsi="宋体" w:cs="宋体"/>
          <w:sz w:val="22"/>
          <w:szCs w:val="22"/>
        </w:rPr>
      </w:pPr>
      <w:r>
        <w:rPr>
          <w:rFonts w:hint="eastAsia" w:ascii="宋体" w:hAnsi="宋体" w:cs="宋体"/>
          <w:sz w:val="22"/>
          <w:szCs w:val="22"/>
        </w:rPr>
        <w:t>(1)投标报价汇总表</w:t>
      </w:r>
    </w:p>
    <w:p>
      <w:pPr>
        <w:snapToGrid w:val="0"/>
        <w:spacing w:before="120" w:beforeLines="50" w:line="360" w:lineRule="exact"/>
        <w:ind w:left="1134"/>
        <w:rPr>
          <w:rFonts w:ascii="宋体" w:hAnsi="宋体" w:cs="宋体"/>
          <w:sz w:val="22"/>
          <w:szCs w:val="22"/>
        </w:rPr>
      </w:pPr>
      <w:r>
        <w:rPr>
          <w:rFonts w:hint="eastAsia" w:ascii="宋体" w:hAnsi="宋体" w:cs="宋体"/>
          <w:sz w:val="22"/>
          <w:szCs w:val="22"/>
        </w:rPr>
        <w:t>(2)设备费分项报价表</w:t>
      </w:r>
    </w:p>
    <w:p>
      <w:pPr>
        <w:snapToGrid w:val="0"/>
        <w:spacing w:before="120" w:beforeLines="50" w:line="360" w:lineRule="exact"/>
        <w:ind w:left="1134"/>
        <w:rPr>
          <w:rFonts w:ascii="宋体" w:hAnsi="宋体" w:cs="宋体"/>
          <w:sz w:val="22"/>
          <w:szCs w:val="22"/>
        </w:rPr>
      </w:pPr>
      <w:r>
        <w:rPr>
          <w:rFonts w:hint="eastAsia" w:ascii="宋体" w:hAnsi="宋体" w:cs="宋体"/>
          <w:sz w:val="22"/>
          <w:szCs w:val="22"/>
        </w:rPr>
        <w:t>(3)随机配件和专用工具分项报价表</w:t>
      </w:r>
    </w:p>
    <w:p>
      <w:pPr>
        <w:snapToGrid w:val="0"/>
        <w:spacing w:before="120" w:beforeLines="50" w:line="360" w:lineRule="exact"/>
        <w:ind w:left="1134"/>
        <w:rPr>
          <w:rFonts w:ascii="宋体" w:hAnsi="宋体" w:cs="宋体"/>
          <w:sz w:val="22"/>
          <w:szCs w:val="22"/>
        </w:rPr>
      </w:pPr>
      <w:r>
        <w:rPr>
          <w:rFonts w:hint="eastAsia" w:ascii="宋体" w:hAnsi="宋体" w:cs="宋体"/>
          <w:sz w:val="22"/>
          <w:szCs w:val="22"/>
        </w:rPr>
        <w:t>(4)备品备件分项报价表（不计入总价）</w:t>
      </w:r>
    </w:p>
    <w:p>
      <w:pPr>
        <w:snapToGrid w:val="0"/>
        <w:spacing w:before="120" w:beforeLines="50" w:line="360" w:lineRule="exact"/>
        <w:ind w:left="1134"/>
        <w:rPr>
          <w:rFonts w:ascii="宋体" w:hAnsi="宋体" w:cs="宋体"/>
          <w:sz w:val="22"/>
          <w:szCs w:val="22"/>
        </w:rPr>
      </w:pPr>
    </w:p>
    <w:p>
      <w:pPr>
        <w:spacing w:line="360" w:lineRule="auto"/>
        <w:jc w:val="center"/>
        <w:rPr>
          <w:rFonts w:ascii="宋体" w:hAnsi="宋体" w:cs="宋体"/>
          <w:b/>
          <w:sz w:val="32"/>
          <w:szCs w:val="32"/>
        </w:rPr>
      </w:pPr>
      <w:r>
        <w:rPr>
          <w:rFonts w:ascii="宋体" w:hAnsi="宋体" w:cs="宋体"/>
          <w:sz w:val="22"/>
          <w:szCs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2"/>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rPr>
            </w:pPr>
            <w:r>
              <w:rPr>
                <w:rFonts w:hint="eastAsia" w:ascii="宋体" w:hAnsi="宋体" w:cs="宋体"/>
                <w:b/>
                <w:sz w:val="22"/>
              </w:rPr>
              <w:t>序 号</w:t>
            </w:r>
          </w:p>
        </w:tc>
        <w:tc>
          <w:tcPr>
            <w:tcW w:w="2976" w:type="dxa"/>
            <w:vAlign w:val="center"/>
          </w:tcPr>
          <w:p>
            <w:pPr>
              <w:snapToGrid w:val="0"/>
              <w:jc w:val="center"/>
              <w:rPr>
                <w:rFonts w:ascii="宋体" w:hAnsi="宋体" w:cs="宋体"/>
                <w:b/>
              </w:rPr>
            </w:pPr>
            <w:r>
              <w:rPr>
                <w:rFonts w:hint="eastAsia" w:ascii="宋体" w:hAnsi="宋体" w:cs="宋体"/>
                <w:b/>
                <w:sz w:val="22"/>
              </w:rPr>
              <w:t>内    容</w:t>
            </w:r>
          </w:p>
        </w:tc>
        <w:tc>
          <w:tcPr>
            <w:tcW w:w="3544" w:type="dxa"/>
            <w:vAlign w:val="center"/>
          </w:tcPr>
          <w:p>
            <w:pPr>
              <w:snapToGrid w:val="0"/>
              <w:jc w:val="center"/>
              <w:rPr>
                <w:rFonts w:ascii="宋体" w:hAnsi="宋体" w:cs="宋体"/>
                <w:b/>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rPr>
            </w:pPr>
            <w:r>
              <w:rPr>
                <w:rFonts w:hint="eastAsia" w:ascii="宋体" w:hAnsi="宋体" w:cs="宋体"/>
                <w:sz w:val="22"/>
              </w:rPr>
              <w:t>1</w:t>
            </w:r>
          </w:p>
        </w:tc>
        <w:tc>
          <w:tcPr>
            <w:tcW w:w="2976" w:type="dxa"/>
            <w:vAlign w:val="center"/>
          </w:tcPr>
          <w:p>
            <w:pPr>
              <w:snapToGrid w:val="0"/>
              <w:jc w:val="center"/>
              <w:rPr>
                <w:rFonts w:ascii="宋体" w:hAnsi="宋体" w:cs="宋体"/>
              </w:rPr>
            </w:pPr>
            <w:r>
              <w:rPr>
                <w:rFonts w:hint="eastAsia" w:ascii="宋体" w:hAnsi="宋体" w:cs="宋体"/>
                <w:sz w:val="22"/>
              </w:rPr>
              <w:t>设备费(表4.2)</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rPr>
            </w:pPr>
            <w:r>
              <w:rPr>
                <w:rFonts w:hint="eastAsia" w:ascii="宋体" w:hAnsi="宋体" w:cs="宋体"/>
                <w:sz w:val="22"/>
              </w:rPr>
              <w:t>2</w:t>
            </w:r>
          </w:p>
        </w:tc>
        <w:tc>
          <w:tcPr>
            <w:tcW w:w="2976" w:type="dxa"/>
            <w:vAlign w:val="center"/>
          </w:tcPr>
          <w:p>
            <w:pPr>
              <w:snapToGrid w:val="0"/>
              <w:jc w:val="center"/>
              <w:rPr>
                <w:rFonts w:ascii="宋体" w:hAnsi="宋体" w:cs="宋体"/>
              </w:rPr>
            </w:pPr>
            <w:r>
              <w:rPr>
                <w:rFonts w:hint="eastAsia" w:ascii="宋体" w:hAnsi="宋体" w:cs="宋体"/>
                <w:sz w:val="22"/>
              </w:rPr>
              <w:t>随机配件和专用工具(表4.3)</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rPr>
            </w:pPr>
          </w:p>
        </w:tc>
        <w:tc>
          <w:tcPr>
            <w:tcW w:w="2976" w:type="dxa"/>
            <w:vAlign w:val="center"/>
          </w:tcPr>
          <w:p>
            <w:pPr>
              <w:snapToGrid w:val="0"/>
              <w:jc w:val="center"/>
              <w:rPr>
                <w:rFonts w:ascii="宋体" w:hAnsi="宋体" w:cs="宋体"/>
                <w:b/>
              </w:rPr>
            </w:pPr>
            <w:r>
              <w:rPr>
                <w:rFonts w:hint="eastAsia" w:ascii="宋体" w:hAnsi="宋体" w:cs="宋体"/>
                <w:b/>
                <w:sz w:val="22"/>
              </w:rPr>
              <w:t>总    计</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p>
    <w:p>
      <w:pPr>
        <w:spacing w:line="360" w:lineRule="auto"/>
        <w:jc w:val="center"/>
        <w:rPr>
          <w:rFonts w:ascii="宋体" w:hAnsi="宋体" w:cs="宋体"/>
          <w:b/>
          <w:sz w:val="32"/>
          <w:szCs w:val="32"/>
        </w:rPr>
      </w:pPr>
      <w:r>
        <w:rPr>
          <w:rFonts w:hint="eastAsia" w:ascii="宋体" w:hAnsi="宋体" w:cs="宋体"/>
          <w:b/>
          <w:sz w:val="32"/>
          <w:szCs w:val="32"/>
        </w:rPr>
        <w:br w:type="page"/>
      </w:r>
    </w:p>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2"/>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合计（不含税价）</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合计（含税价）</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2"/>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2"/>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rPr>
            </w:pPr>
          </w:p>
        </w:tc>
        <w:tc>
          <w:tcPr>
            <w:tcW w:w="1748" w:type="dxa"/>
            <w:gridSpan w:val="3"/>
            <w:vAlign w:val="center"/>
          </w:tcPr>
          <w:p>
            <w:pPr>
              <w:snapToGrid w:val="0"/>
              <w:ind w:left="-170" w:right="-170"/>
              <w:jc w:val="center"/>
              <w:rPr>
                <w:rFonts w:ascii="宋体" w:hAnsi="宋体" w:cs="宋体"/>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rPr>
            </w:pPr>
          </w:p>
        </w:tc>
        <w:tc>
          <w:tcPr>
            <w:tcW w:w="1748" w:type="dxa"/>
            <w:gridSpan w:val="3"/>
            <w:vAlign w:val="center"/>
          </w:tcPr>
          <w:p>
            <w:pPr>
              <w:snapToGrid w:val="0"/>
              <w:ind w:left="-170" w:right="-170"/>
              <w:jc w:val="center"/>
              <w:rPr>
                <w:rFonts w:ascii="宋体" w:hAnsi="宋体" w:cs="宋体"/>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单位优势</w:t>
            </w:r>
          </w:p>
          <w:p>
            <w:pPr>
              <w:snapToGrid w:val="0"/>
              <w:ind w:left="-170" w:right="-170"/>
              <w:jc w:val="center"/>
              <w:rPr>
                <w:rFonts w:ascii="宋体" w:hAnsi="宋体" w:cs="宋体"/>
              </w:rPr>
            </w:pPr>
            <w:r>
              <w:rPr>
                <w:rFonts w:hint="eastAsia" w:ascii="宋体" w:hAnsi="宋体" w:cs="宋体"/>
                <w:sz w:val="22"/>
              </w:rPr>
              <w:t>及 特 长</w:t>
            </w:r>
          </w:p>
        </w:tc>
        <w:tc>
          <w:tcPr>
            <w:tcW w:w="7643" w:type="dxa"/>
            <w:gridSpan w:val="10"/>
            <w:vAlign w:val="center"/>
          </w:tcPr>
          <w:p>
            <w:pPr>
              <w:ind w:firstLine="44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740" w:type="dxa"/>
            <w:gridSpan w:val="3"/>
            <w:vAlign w:val="center"/>
          </w:tcPr>
          <w:p>
            <w:pPr>
              <w:snapToGrid w:val="0"/>
              <w:ind w:left="-170" w:right="-170"/>
              <w:jc w:val="center"/>
              <w:rPr>
                <w:rFonts w:ascii="宋体" w:hAnsi="宋体" w:cs="宋体"/>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restart"/>
            <w:vAlign w:val="center"/>
          </w:tcPr>
          <w:p>
            <w:pPr>
              <w:snapToGrid w:val="0"/>
              <w:ind w:left="-170" w:right="-170"/>
              <w:jc w:val="center"/>
              <w:rPr>
                <w:rFonts w:ascii="宋体" w:hAnsi="宋体" w:cs="宋体"/>
              </w:rPr>
            </w:pPr>
            <w:r>
              <w:rPr>
                <w:rFonts w:hint="eastAsia" w:ascii="宋体" w:hAnsi="宋体" w:cs="宋体"/>
                <w:sz w:val="22"/>
              </w:rPr>
              <w:t>固定</w:t>
            </w:r>
          </w:p>
          <w:p>
            <w:pPr>
              <w:snapToGrid w:val="0"/>
              <w:ind w:left="-170" w:right="-170"/>
              <w:jc w:val="center"/>
              <w:rPr>
                <w:rFonts w:ascii="宋体" w:hAnsi="宋体" w:cs="宋体"/>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rPr>
            </w:pPr>
            <w:r>
              <w:rPr>
                <w:rFonts w:hint="eastAsia" w:ascii="宋体" w:hAnsi="宋体" w:cs="宋体"/>
                <w:sz w:val="22"/>
              </w:rPr>
              <w:t>资金</w:t>
            </w:r>
          </w:p>
          <w:p>
            <w:pPr>
              <w:snapToGrid w:val="0"/>
              <w:ind w:left="-170" w:right="-170"/>
              <w:jc w:val="center"/>
              <w:rPr>
                <w:rFonts w:ascii="宋体" w:hAnsi="宋体" w:cs="宋体"/>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continue"/>
            <w:vAlign w:val="center"/>
          </w:tcPr>
          <w:p>
            <w:pPr>
              <w:snapToGrid w:val="0"/>
              <w:ind w:left="-170" w:right="-170"/>
              <w:jc w:val="center"/>
              <w:rPr>
                <w:rFonts w:ascii="宋体" w:hAnsi="宋体" w:cs="宋体"/>
              </w:rPr>
            </w:pPr>
          </w:p>
        </w:tc>
        <w:tc>
          <w:tcPr>
            <w:tcW w:w="1575" w:type="dxa"/>
            <w:gridSpan w:val="3"/>
            <w:vMerge w:val="continue"/>
            <w:vAlign w:val="center"/>
          </w:tcPr>
          <w:p>
            <w:pPr>
              <w:snapToGrid w:val="0"/>
              <w:ind w:left="-170" w:right="-170"/>
              <w:jc w:val="center"/>
              <w:rPr>
                <w:rFonts w:ascii="宋体" w:hAnsi="宋体" w:cs="宋体"/>
              </w:rPr>
            </w:pPr>
          </w:p>
        </w:tc>
        <w:tc>
          <w:tcPr>
            <w:tcW w:w="840" w:type="dxa"/>
            <w:gridSpan w:val="2"/>
            <w:vMerge w:val="continue"/>
            <w:vAlign w:val="center"/>
          </w:tcPr>
          <w:p>
            <w:pPr>
              <w:snapToGrid w:val="0"/>
              <w:ind w:left="-170" w:right="-170"/>
              <w:jc w:val="center"/>
              <w:rPr>
                <w:rFonts w:ascii="宋体" w:hAnsi="宋体" w:cs="宋体"/>
              </w:rPr>
            </w:pPr>
          </w:p>
        </w:tc>
        <w:tc>
          <w:tcPr>
            <w:tcW w:w="1440" w:type="dxa"/>
            <w:vAlign w:val="center"/>
          </w:tcPr>
          <w:p>
            <w:pPr>
              <w:snapToGrid w:val="0"/>
              <w:ind w:left="-170" w:right="-170"/>
              <w:jc w:val="center"/>
              <w:rPr>
                <w:rFonts w:ascii="宋体" w:hAnsi="宋体" w:cs="宋体"/>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restart"/>
            <w:vAlign w:val="center"/>
          </w:tcPr>
          <w:p>
            <w:pPr>
              <w:snapToGrid w:val="0"/>
              <w:ind w:left="-170" w:right="-170"/>
              <w:jc w:val="center"/>
              <w:rPr>
                <w:rFonts w:ascii="宋体" w:hAnsi="宋体" w:cs="宋体"/>
              </w:rPr>
            </w:pPr>
            <w:r>
              <w:rPr>
                <w:rFonts w:hint="eastAsia" w:ascii="宋体" w:hAnsi="宋体" w:cs="宋体"/>
                <w:sz w:val="22"/>
              </w:rPr>
              <w:t>流动</w:t>
            </w:r>
          </w:p>
          <w:p>
            <w:pPr>
              <w:snapToGrid w:val="0"/>
              <w:ind w:left="-170" w:right="-170"/>
              <w:jc w:val="center"/>
              <w:rPr>
                <w:rFonts w:ascii="宋体" w:hAnsi="宋体" w:cs="宋体"/>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rPr>
            </w:pPr>
            <w:r>
              <w:rPr>
                <w:rFonts w:hint="eastAsia" w:ascii="宋体" w:hAnsi="宋体" w:cs="宋体"/>
                <w:sz w:val="22"/>
              </w:rPr>
              <w:t>资金</w:t>
            </w:r>
          </w:p>
          <w:p>
            <w:pPr>
              <w:snapToGrid w:val="0"/>
              <w:ind w:left="-170" w:right="-170"/>
              <w:jc w:val="center"/>
              <w:rPr>
                <w:rFonts w:ascii="宋体" w:hAnsi="宋体" w:cs="宋体"/>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continue"/>
            <w:vAlign w:val="center"/>
          </w:tcPr>
          <w:p>
            <w:pPr>
              <w:snapToGrid w:val="0"/>
              <w:ind w:left="-170" w:right="-170"/>
              <w:jc w:val="center"/>
              <w:rPr>
                <w:rFonts w:ascii="宋体" w:hAnsi="宋体" w:cs="宋体"/>
              </w:rPr>
            </w:pPr>
          </w:p>
        </w:tc>
        <w:tc>
          <w:tcPr>
            <w:tcW w:w="1575" w:type="dxa"/>
            <w:gridSpan w:val="3"/>
            <w:vMerge w:val="continue"/>
            <w:vAlign w:val="center"/>
          </w:tcPr>
          <w:p>
            <w:pPr>
              <w:snapToGrid w:val="0"/>
              <w:ind w:left="-170" w:right="-170"/>
              <w:jc w:val="center"/>
              <w:rPr>
                <w:rFonts w:ascii="宋体" w:hAnsi="宋体" w:cs="宋体"/>
              </w:rPr>
            </w:pPr>
          </w:p>
        </w:tc>
        <w:tc>
          <w:tcPr>
            <w:tcW w:w="840" w:type="dxa"/>
            <w:gridSpan w:val="2"/>
            <w:vMerge w:val="continue"/>
            <w:vAlign w:val="center"/>
          </w:tcPr>
          <w:p>
            <w:pPr>
              <w:snapToGrid w:val="0"/>
              <w:ind w:left="-170" w:right="-170"/>
              <w:jc w:val="center"/>
              <w:rPr>
                <w:rFonts w:ascii="宋体" w:hAnsi="宋体" w:cs="宋体"/>
              </w:rPr>
            </w:pPr>
          </w:p>
        </w:tc>
        <w:tc>
          <w:tcPr>
            <w:tcW w:w="1440" w:type="dxa"/>
            <w:vAlign w:val="center"/>
          </w:tcPr>
          <w:p>
            <w:pPr>
              <w:snapToGrid w:val="0"/>
              <w:ind w:left="-170" w:right="-170"/>
              <w:jc w:val="center"/>
              <w:rPr>
                <w:rFonts w:ascii="宋体" w:hAnsi="宋体" w:cs="宋体"/>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经营</w:t>
            </w:r>
          </w:p>
          <w:p>
            <w:pPr>
              <w:snapToGrid w:val="0"/>
              <w:ind w:left="-170" w:right="-170"/>
              <w:jc w:val="center"/>
              <w:rPr>
                <w:rFonts w:ascii="宋体" w:hAnsi="宋体" w:cs="宋体"/>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rPr>
            </w:pPr>
          </w:p>
          <w:p>
            <w:pPr>
              <w:snapToGrid w:val="0"/>
              <w:ind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rPr>
            </w:pPr>
            <w:r>
              <w:rPr>
                <w:rFonts w:hint="eastAsia" w:ascii="宋体" w:hAnsi="宋体" w:cs="宋体"/>
                <w:sz w:val="22"/>
              </w:rPr>
              <w:t>经 济</w:t>
            </w:r>
          </w:p>
          <w:p>
            <w:pPr>
              <w:snapToGrid w:val="0"/>
              <w:ind w:left="-170" w:right="-170"/>
              <w:jc w:val="center"/>
              <w:rPr>
                <w:rFonts w:ascii="宋体" w:hAnsi="宋体" w:cs="宋体"/>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553" w:type="dxa"/>
            <w:gridSpan w:val="2"/>
            <w:vAlign w:val="center"/>
          </w:tcPr>
          <w:p>
            <w:pPr>
              <w:snapToGrid w:val="0"/>
              <w:ind w:left="-170" w:right="-170"/>
              <w:jc w:val="center"/>
              <w:rPr>
                <w:rFonts w:ascii="宋体" w:hAnsi="宋体" w:cs="宋体"/>
              </w:rPr>
            </w:pPr>
          </w:p>
        </w:tc>
        <w:tc>
          <w:tcPr>
            <w:tcW w:w="6090" w:type="dxa"/>
            <w:gridSpan w:val="8"/>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553" w:type="dxa"/>
            <w:gridSpan w:val="2"/>
            <w:vAlign w:val="center"/>
          </w:tcPr>
          <w:p>
            <w:pPr>
              <w:snapToGrid w:val="0"/>
              <w:ind w:left="-170" w:right="-170"/>
              <w:jc w:val="center"/>
              <w:rPr>
                <w:rFonts w:ascii="宋体" w:hAnsi="宋体" w:cs="宋体"/>
              </w:rPr>
            </w:pPr>
          </w:p>
        </w:tc>
        <w:tc>
          <w:tcPr>
            <w:tcW w:w="6090" w:type="dxa"/>
            <w:gridSpan w:val="8"/>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rPr>
            </w:pPr>
          </w:p>
        </w:tc>
        <w:tc>
          <w:tcPr>
            <w:tcW w:w="1553" w:type="dxa"/>
            <w:gridSpan w:val="2"/>
            <w:tcBorders>
              <w:bottom w:val="single" w:color="auto" w:sz="4" w:space="0"/>
            </w:tcBorders>
            <w:vAlign w:val="center"/>
          </w:tcPr>
          <w:p>
            <w:pPr>
              <w:snapToGrid w:val="0"/>
              <w:ind w:left="-170" w:right="-170"/>
              <w:jc w:val="center"/>
              <w:rPr>
                <w:rFonts w:ascii="宋体" w:hAnsi="宋体" w:cs="宋体"/>
              </w:rPr>
            </w:pPr>
          </w:p>
        </w:tc>
        <w:tc>
          <w:tcPr>
            <w:tcW w:w="6090" w:type="dxa"/>
            <w:gridSpan w:val="8"/>
            <w:tcBorders>
              <w:bottom w:val="single" w:color="auto" w:sz="4" w:space="0"/>
            </w:tcBorders>
            <w:vAlign w:val="center"/>
          </w:tcPr>
          <w:p>
            <w:pPr>
              <w:snapToGrid w:val="0"/>
              <w:ind w:left="-170" w:right="-170"/>
              <w:jc w:val="center"/>
              <w:rPr>
                <w:rFonts w:ascii="宋体" w:hAnsi="宋体" w:cs="宋体"/>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3"/>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7"/>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ind w:right="506"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（三）投标产品近三年的销售业绩一览表</w:t>
      </w:r>
    </w:p>
    <w:tbl>
      <w:tblPr>
        <w:tblStyle w:val="52"/>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29"/>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四、技术规格偏离表</w:t>
      </w:r>
    </w:p>
    <w:p>
      <w:pPr>
        <w:spacing w:line="560" w:lineRule="exact"/>
        <w:rPr>
          <w:rFonts w:ascii="宋体" w:hAnsi="宋体"/>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9"/>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sz w:val="22"/>
              </w:rPr>
            </w:pPr>
            <w:r>
              <w:rPr>
                <w:rFonts w:hAnsi="宋体"/>
                <w:sz w:val="22"/>
              </w:rPr>
              <w:t>序号</w:t>
            </w:r>
          </w:p>
        </w:tc>
        <w:tc>
          <w:tcPr>
            <w:tcW w:w="900" w:type="dxa"/>
            <w:vAlign w:val="center"/>
          </w:tcPr>
          <w:p>
            <w:pPr>
              <w:pStyle w:val="29"/>
              <w:adjustRightInd w:val="0"/>
              <w:snapToGrid w:val="0"/>
              <w:jc w:val="center"/>
              <w:rPr>
                <w:rFonts w:hAnsi="宋体"/>
                <w:sz w:val="22"/>
              </w:rPr>
            </w:pPr>
            <w:r>
              <w:rPr>
                <w:rFonts w:hAnsi="宋体"/>
                <w:sz w:val="22"/>
              </w:rPr>
              <w:t>内容</w:t>
            </w:r>
          </w:p>
        </w:tc>
        <w:tc>
          <w:tcPr>
            <w:tcW w:w="3510" w:type="dxa"/>
            <w:vAlign w:val="center"/>
          </w:tcPr>
          <w:p>
            <w:pPr>
              <w:pStyle w:val="29"/>
              <w:adjustRightInd w:val="0"/>
              <w:snapToGrid w:val="0"/>
              <w:jc w:val="center"/>
              <w:rPr>
                <w:rFonts w:hAnsi="宋体"/>
                <w:sz w:val="22"/>
              </w:rPr>
            </w:pPr>
            <w:r>
              <w:rPr>
                <w:rFonts w:hAnsi="宋体"/>
                <w:sz w:val="22"/>
              </w:rPr>
              <w:t>招标文件要求</w:t>
            </w:r>
          </w:p>
        </w:tc>
        <w:tc>
          <w:tcPr>
            <w:tcW w:w="3510" w:type="dxa"/>
            <w:vAlign w:val="center"/>
          </w:tcPr>
          <w:p>
            <w:pPr>
              <w:pStyle w:val="29"/>
              <w:adjustRightInd w:val="0"/>
              <w:snapToGrid w:val="0"/>
              <w:jc w:val="center"/>
              <w:rPr>
                <w:rFonts w:hAnsi="宋体"/>
                <w:sz w:val="22"/>
              </w:rPr>
            </w:pPr>
            <w:r>
              <w:rPr>
                <w:rFonts w:hAnsi="宋体"/>
                <w:sz w:val="22"/>
              </w:rPr>
              <w:t>投标文件对应内容</w:t>
            </w:r>
          </w:p>
        </w:tc>
        <w:tc>
          <w:tcPr>
            <w:tcW w:w="827" w:type="dxa"/>
            <w:vAlign w:val="center"/>
          </w:tcPr>
          <w:p>
            <w:pPr>
              <w:pStyle w:val="29"/>
              <w:adjustRightInd w:val="0"/>
              <w:snapToGrid w:val="0"/>
              <w:jc w:val="center"/>
              <w:rPr>
                <w:rFonts w:hAnsi="宋体"/>
                <w:sz w:val="22"/>
              </w:rPr>
            </w:pPr>
            <w:r>
              <w:rPr>
                <w:rFonts w:hAnsi="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sz w:val="22"/>
              </w:rPr>
            </w:pPr>
          </w:p>
        </w:tc>
        <w:tc>
          <w:tcPr>
            <w:tcW w:w="90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827" w:type="dxa"/>
            <w:vAlign w:val="center"/>
          </w:tcPr>
          <w:p>
            <w:pPr>
              <w:pStyle w:val="29"/>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sz w:val="22"/>
              </w:rPr>
            </w:pPr>
          </w:p>
        </w:tc>
        <w:tc>
          <w:tcPr>
            <w:tcW w:w="90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827" w:type="dxa"/>
            <w:vAlign w:val="center"/>
          </w:tcPr>
          <w:p>
            <w:pPr>
              <w:pStyle w:val="29"/>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sz w:val="22"/>
              </w:rPr>
            </w:pPr>
          </w:p>
        </w:tc>
        <w:tc>
          <w:tcPr>
            <w:tcW w:w="90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827" w:type="dxa"/>
            <w:vAlign w:val="center"/>
          </w:tcPr>
          <w:p>
            <w:pPr>
              <w:pStyle w:val="29"/>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sz w:val="22"/>
              </w:rPr>
            </w:pPr>
          </w:p>
        </w:tc>
        <w:tc>
          <w:tcPr>
            <w:tcW w:w="90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827" w:type="dxa"/>
            <w:vAlign w:val="center"/>
          </w:tcPr>
          <w:p>
            <w:pPr>
              <w:pStyle w:val="29"/>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sz w:val="22"/>
              </w:rPr>
            </w:pPr>
          </w:p>
        </w:tc>
        <w:tc>
          <w:tcPr>
            <w:tcW w:w="90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827" w:type="dxa"/>
            <w:vAlign w:val="center"/>
          </w:tcPr>
          <w:p>
            <w:pPr>
              <w:pStyle w:val="29"/>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sz w:val="22"/>
              </w:rPr>
            </w:pPr>
          </w:p>
        </w:tc>
        <w:tc>
          <w:tcPr>
            <w:tcW w:w="90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827" w:type="dxa"/>
            <w:vAlign w:val="center"/>
          </w:tcPr>
          <w:p>
            <w:pPr>
              <w:pStyle w:val="29"/>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sz w:val="22"/>
              </w:rPr>
            </w:pPr>
          </w:p>
        </w:tc>
        <w:tc>
          <w:tcPr>
            <w:tcW w:w="90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827" w:type="dxa"/>
            <w:vAlign w:val="center"/>
          </w:tcPr>
          <w:p>
            <w:pPr>
              <w:pStyle w:val="29"/>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sz w:val="22"/>
              </w:rPr>
            </w:pPr>
          </w:p>
        </w:tc>
        <w:tc>
          <w:tcPr>
            <w:tcW w:w="90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827" w:type="dxa"/>
            <w:vAlign w:val="center"/>
          </w:tcPr>
          <w:p>
            <w:pPr>
              <w:pStyle w:val="29"/>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sz w:val="22"/>
              </w:rPr>
            </w:pPr>
          </w:p>
        </w:tc>
        <w:tc>
          <w:tcPr>
            <w:tcW w:w="90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827" w:type="dxa"/>
            <w:vAlign w:val="center"/>
          </w:tcPr>
          <w:p>
            <w:pPr>
              <w:pStyle w:val="29"/>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sz w:val="22"/>
              </w:rPr>
            </w:pPr>
          </w:p>
        </w:tc>
        <w:tc>
          <w:tcPr>
            <w:tcW w:w="90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827" w:type="dxa"/>
            <w:vAlign w:val="center"/>
          </w:tcPr>
          <w:p>
            <w:pPr>
              <w:pStyle w:val="29"/>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sz w:val="22"/>
              </w:rPr>
            </w:pPr>
          </w:p>
        </w:tc>
        <w:tc>
          <w:tcPr>
            <w:tcW w:w="90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827" w:type="dxa"/>
            <w:vAlign w:val="center"/>
          </w:tcPr>
          <w:p>
            <w:pPr>
              <w:pStyle w:val="29"/>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sz w:val="22"/>
              </w:rPr>
            </w:pPr>
          </w:p>
        </w:tc>
        <w:tc>
          <w:tcPr>
            <w:tcW w:w="90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827" w:type="dxa"/>
            <w:vAlign w:val="center"/>
          </w:tcPr>
          <w:p>
            <w:pPr>
              <w:pStyle w:val="29"/>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sz w:val="22"/>
              </w:rPr>
            </w:pPr>
          </w:p>
        </w:tc>
        <w:tc>
          <w:tcPr>
            <w:tcW w:w="90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3510" w:type="dxa"/>
            <w:vAlign w:val="center"/>
          </w:tcPr>
          <w:p>
            <w:pPr>
              <w:pStyle w:val="29"/>
              <w:adjustRightInd w:val="0"/>
              <w:snapToGrid w:val="0"/>
              <w:jc w:val="center"/>
              <w:rPr>
                <w:rFonts w:hAnsi="宋体"/>
                <w:sz w:val="22"/>
              </w:rPr>
            </w:pPr>
          </w:p>
        </w:tc>
        <w:tc>
          <w:tcPr>
            <w:tcW w:w="827" w:type="dxa"/>
            <w:vAlign w:val="center"/>
          </w:tcPr>
          <w:p>
            <w:pPr>
              <w:pStyle w:val="29"/>
              <w:adjustRightInd w:val="0"/>
              <w:snapToGrid w:val="0"/>
              <w:jc w:val="center"/>
              <w:rPr>
                <w:rFonts w:hAnsi="宋体"/>
                <w:sz w:val="22"/>
              </w:rPr>
            </w:pPr>
          </w:p>
        </w:tc>
      </w:tr>
    </w:tbl>
    <w:p>
      <w:pPr>
        <w:pStyle w:val="29"/>
        <w:adjustRightInd w:val="0"/>
        <w:snapToGrid w:val="0"/>
        <w:spacing w:line="560" w:lineRule="exact"/>
        <w:rPr>
          <w:rFonts w:hAnsi="宋体"/>
          <w:bCs/>
          <w:sz w:val="24"/>
          <w:szCs w:val="24"/>
        </w:rPr>
      </w:pPr>
    </w:p>
    <w:p>
      <w:pPr>
        <w:pStyle w:val="29"/>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
    <w:p/>
    <w:p/>
    <w:p/>
    <w:p/>
    <w:p>
      <w:pPr>
        <w:spacing w:line="220" w:lineRule="atLeast"/>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fldChar w:fldCharType="begin"/>
        </w:r>
        <w:r>
          <w:instrText xml:space="preserve"> PAGE   \* MERGEFORMAT </w:instrText>
        </w:r>
        <w:r>
          <w:fldChar w:fldCharType="separate"/>
        </w:r>
        <w:r>
          <w:rPr>
            <w:lang w:val="zh-CN"/>
          </w:rPr>
          <w:t>-</w:t>
        </w:r>
        <w:r>
          <w:t xml:space="preserve"> 12 -</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single" w:color="auto" w:sz="4" w:space="1"/>
      </w:pBdr>
      <w:jc w:val="left"/>
      <w:rPr>
        <w:rFonts w:ascii="宋体" w:hAnsi="宋体"/>
        <w:color w:val="000000"/>
      </w:rPr>
    </w:pPr>
    <w:r>
      <w:rPr>
        <w:rFonts w:hint="eastAsia" w:ascii="宋体" w:hAnsi="宋体"/>
        <w:color w:val="000000"/>
      </w:rPr>
      <w:t>杭州萧山国际机场要客梯顶棚采购项目招标文件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6">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7">
    <w:nsid w:val="5D804C47"/>
    <w:multiLevelType w:val="singleLevel"/>
    <w:tmpl w:val="5D804C47"/>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18">
    <w:nsid w:val="5D804C68"/>
    <w:multiLevelType w:val="singleLevel"/>
    <w:tmpl w:val="5D804C68"/>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num w:numId="1">
    <w:abstractNumId w:val="14"/>
  </w:num>
  <w:num w:numId="2">
    <w:abstractNumId w:val="17"/>
  </w:num>
  <w:num w:numId="3">
    <w:abstractNumId w:val="18"/>
  </w:num>
  <w:num w:numId="4">
    <w:abstractNumId w:val="19"/>
  </w:num>
  <w:num w:numId="5">
    <w:abstractNumId w:val="2"/>
  </w:num>
  <w:num w:numId="6">
    <w:abstractNumId w:val="13"/>
    <w:lvlOverride w:ilvl="0">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12"/>
  </w:num>
  <w:num w:numId="12">
    <w:abstractNumId w:val="1"/>
  </w:num>
  <w:num w:numId="13">
    <w:abstractNumId w:val="6"/>
  </w:num>
  <w:num w:numId="14">
    <w:abstractNumId w:val="8"/>
  </w:num>
  <w:num w:numId="15">
    <w:abstractNumId w:val="4"/>
  </w:num>
  <w:num w:numId="16">
    <w:abstractNumId w:val="0"/>
  </w:num>
  <w:num w:numId="17">
    <w:abstractNumId w:val="3"/>
  </w:num>
  <w:num w:numId="18">
    <w:abstractNumId w:val="10"/>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44903"/>
    <w:rsid w:val="495159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qFormat="1" w:uiPriority="0" w:semiHidden="0" w:name="List"/>
    <w:lsdException w:qFormat="1" w:uiPriority="0" w:semiHidden="0"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iPriority="0" w:semiHidden="0" w:name="List Continue"/>
    <w:lsdException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3"/>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4"/>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5"/>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6"/>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7"/>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8"/>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9"/>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70"/>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 w:val="21"/>
    </w:rPr>
  </w:style>
  <w:style w:type="paragraph" w:styleId="12">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unhideWhenUsed/>
    <w:qFormat/>
    <w:uiPriority w:val="0"/>
    <w:pPr>
      <w:ind w:left="420" w:leftChars="200"/>
    </w:pPr>
    <w:rPr>
      <w:rFonts w:ascii="Times New Roman" w:hAnsi="Times New Roman" w:eastAsia="宋体" w:cs="Times New Roman"/>
      <w:sz w:val="21"/>
    </w:rPr>
  </w:style>
  <w:style w:type="paragraph" w:styleId="14">
    <w:name w:val="Normal Indent"/>
    <w:basedOn w:val="1"/>
    <w:unhideWhenUsed/>
    <w:qFormat/>
    <w:uiPriority w:val="0"/>
    <w:pPr>
      <w:ind w:firstLine="420"/>
    </w:pPr>
    <w:rPr>
      <w:rFonts w:ascii="Times New Roman" w:hAnsi="Times New Roman" w:eastAsia="宋体" w:cs="Times New Roman"/>
      <w:sz w:val="21"/>
      <w:szCs w:val="20"/>
    </w:rPr>
  </w:style>
  <w:style w:type="paragraph" w:styleId="15">
    <w:name w:val="caption"/>
    <w:basedOn w:val="1"/>
    <w:next w:val="1"/>
    <w:unhideWhenUsed/>
    <w:qFormat/>
    <w:uiPriority w:val="0"/>
    <w:rPr>
      <w:rFonts w:ascii="Arial" w:hAnsi="Arial" w:eastAsia="黑体" w:cs="Arial"/>
      <w:sz w:val="20"/>
      <w:szCs w:val="20"/>
    </w:rPr>
  </w:style>
  <w:style w:type="paragraph" w:styleId="16">
    <w:name w:val="index 5"/>
    <w:basedOn w:val="1"/>
    <w:next w:val="1"/>
    <w:unhideWhenUsed/>
    <w:qFormat/>
    <w:uiPriority w:val="0"/>
    <w:pPr>
      <w:ind w:left="800" w:leftChars="800"/>
    </w:pPr>
    <w:rPr>
      <w:rFonts w:ascii="Times New Roman" w:hAnsi="Times New Roman" w:eastAsia="宋体" w:cs="Times New Roman"/>
      <w:sz w:val="21"/>
    </w:rPr>
  </w:style>
  <w:style w:type="paragraph" w:styleId="17">
    <w:name w:val="List Bullet"/>
    <w:basedOn w:val="1"/>
    <w:unhideWhenUsed/>
    <w:qFormat/>
    <w:uiPriority w:val="0"/>
    <w:pPr>
      <w:numPr>
        <w:ilvl w:val="0"/>
        <w:numId w:val="2"/>
      </w:numPr>
    </w:pPr>
  </w:style>
  <w:style w:type="paragraph" w:styleId="18">
    <w:name w:val="Document Map"/>
    <w:basedOn w:val="1"/>
    <w:link w:val="75"/>
    <w:unhideWhenUsed/>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71"/>
    <w:unhideWhenUsed/>
    <w:qFormat/>
    <w:uiPriority w:val="0"/>
    <w:pPr>
      <w:jc w:val="left"/>
    </w:pPr>
  </w:style>
  <w:style w:type="paragraph" w:styleId="20">
    <w:name w:val="Body Text 3"/>
    <w:basedOn w:val="1"/>
    <w:link w:val="76"/>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3"/>
    <w:unhideWhenUsed/>
    <w:qFormat/>
    <w:uiPriority w:val="0"/>
    <w:pPr>
      <w:spacing w:after="120"/>
    </w:pPr>
  </w:style>
  <w:style w:type="paragraph" w:styleId="22">
    <w:name w:val="Body Text Indent"/>
    <w:basedOn w:val="1"/>
    <w:link w:val="77"/>
    <w:unhideWhenUsed/>
    <w:qFormat/>
    <w:uiPriority w:val="0"/>
    <w:pPr>
      <w:ind w:firstLine="560" w:firstLineChars="200"/>
    </w:pPr>
    <w:rPr>
      <w:rFonts w:ascii="宋体" w:hAnsi="宋体" w:eastAsia="宋体" w:cs="Times New Roman"/>
      <w:kern w:val="0"/>
      <w:sz w:val="28"/>
      <w:szCs w:val="28"/>
    </w:rPr>
  </w:style>
  <w:style w:type="paragraph" w:styleId="23">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4">
    <w:name w:val="List Continue"/>
    <w:basedOn w:val="1"/>
    <w:unhideWhenUsed/>
    <w:qFormat/>
    <w:uiPriority w:val="0"/>
    <w:pPr>
      <w:spacing w:after="120"/>
      <w:ind w:left="420" w:leftChars="200"/>
    </w:pPr>
    <w:rPr>
      <w:rFonts w:ascii="Times New Roman" w:hAnsi="Times New Roman" w:eastAsia="宋体" w:cs="Times New Roman"/>
      <w:sz w:val="21"/>
    </w:rPr>
  </w:style>
  <w:style w:type="paragraph" w:styleId="25">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6">
    <w:name w:val="List Bullet 2"/>
    <w:basedOn w:val="1"/>
    <w:unhideWhenUsed/>
    <w:qFormat/>
    <w:uiPriority w:val="0"/>
    <w:pPr>
      <w:numPr>
        <w:ilvl w:val="0"/>
        <w:numId w:val="3"/>
      </w:numPr>
    </w:pPr>
  </w:style>
  <w:style w:type="paragraph" w:styleId="27">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28">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8"/>
    <w:unhideWhenUsed/>
    <w:qFormat/>
    <w:uiPriority w:val="0"/>
    <w:rPr>
      <w:rFonts w:ascii="宋体" w:hAnsi="Courier New" w:eastAsia="宋体" w:cs="Times New Roman"/>
      <w:kern w:val="0"/>
      <w:sz w:val="20"/>
      <w:szCs w:val="21"/>
    </w:rPr>
  </w:style>
  <w:style w:type="paragraph" w:styleId="30">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9"/>
    <w:unhideWhenUsed/>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80"/>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81"/>
    <w:unhideWhenUsed/>
    <w:qFormat/>
    <w:uiPriority w:val="0"/>
    <w:rPr>
      <w:rFonts w:ascii="Times New Roman" w:hAnsi="Times New Roman" w:eastAsia="宋体" w:cs="Times New Roman"/>
      <w:kern w:val="0"/>
      <w:sz w:val="18"/>
      <w:szCs w:val="18"/>
    </w:rPr>
  </w:style>
  <w:style w:type="paragraph" w:styleId="34">
    <w:name w:val="footer"/>
    <w:basedOn w:val="1"/>
    <w:link w:val="61"/>
    <w:unhideWhenUsed/>
    <w:qFormat/>
    <w:uiPriority w:val="99"/>
    <w:pPr>
      <w:tabs>
        <w:tab w:val="center" w:pos="4153"/>
        <w:tab w:val="right" w:pos="8306"/>
      </w:tabs>
    </w:pPr>
    <w:rPr>
      <w:sz w:val="18"/>
      <w:szCs w:val="18"/>
    </w:rPr>
  </w:style>
  <w:style w:type="paragraph" w:styleId="35">
    <w:name w:val="header"/>
    <w:basedOn w:val="1"/>
    <w:link w:val="60"/>
    <w:unhideWhenUsed/>
    <w:qFormat/>
    <w:uiPriority w:val="0"/>
    <w:pPr>
      <w:pBdr>
        <w:bottom w:val="single" w:color="auto" w:sz="6" w:space="1"/>
      </w:pBdr>
      <w:tabs>
        <w:tab w:val="center" w:pos="4153"/>
        <w:tab w:val="right" w:pos="8306"/>
      </w:tabs>
      <w:jc w:val="center"/>
    </w:pPr>
    <w:rPr>
      <w:sz w:val="18"/>
      <w:szCs w:val="18"/>
    </w:rPr>
  </w:style>
  <w:style w:type="paragraph" w:styleId="36">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37">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38">
    <w:name w:val="List"/>
    <w:basedOn w:val="1"/>
    <w:unhideWhenUsed/>
    <w:qFormat/>
    <w:uiPriority w:val="0"/>
    <w:pPr>
      <w:ind w:left="200" w:hanging="200" w:hangingChars="200"/>
    </w:pPr>
    <w:rPr>
      <w:rFonts w:ascii="Times New Roman" w:hAnsi="Times New Roman" w:eastAsia="宋体" w:cs="Times New Roman"/>
      <w:sz w:val="21"/>
    </w:rPr>
  </w:style>
  <w:style w:type="paragraph" w:styleId="39">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3"/>
    <w:unhideWhenUsed/>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2">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3">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5">
    <w:name w:val="List Continue 2"/>
    <w:basedOn w:val="1"/>
    <w:unhideWhenUsed/>
    <w:uiPriority w:val="0"/>
    <w:pPr>
      <w:spacing w:after="120"/>
      <w:ind w:left="840" w:leftChars="400"/>
    </w:pPr>
    <w:rPr>
      <w:rFonts w:ascii="Times New Roman" w:hAnsi="Times New Roman" w:eastAsia="宋体" w:cs="Times New Roman"/>
      <w:sz w:val="21"/>
    </w:rPr>
  </w:style>
  <w:style w:type="paragraph" w:styleId="46">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48">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72"/>
    <w:unhideWhenUsed/>
    <w:qFormat/>
    <w:uiPriority w:val="0"/>
    <w:rPr>
      <w:rFonts w:ascii="Times New Roman" w:hAnsi="Times New Roman" w:eastAsia="宋体" w:cs="Times New Roman"/>
      <w:b/>
      <w:bCs/>
      <w:kern w:val="0"/>
      <w:sz w:val="20"/>
    </w:rPr>
  </w:style>
  <w:style w:type="paragraph" w:styleId="50">
    <w:name w:val="Body Text First Indent"/>
    <w:basedOn w:val="21"/>
    <w:link w:val="74"/>
    <w:unhideWhenUsed/>
    <w:qFormat/>
    <w:uiPriority w:val="0"/>
    <w:pPr>
      <w:ind w:firstLine="420" w:firstLineChars="100"/>
    </w:pPr>
    <w:rPr>
      <w:rFonts w:ascii="Times New Roman" w:hAnsi="Times New Roman" w:eastAsia="宋体" w:cs="Times New Roman"/>
      <w:kern w:val="0"/>
      <w:sz w:val="20"/>
    </w:rPr>
  </w:style>
  <w:style w:type="paragraph" w:styleId="51">
    <w:name w:val="Body Text First Indent 2"/>
    <w:basedOn w:val="22"/>
    <w:link w:val="82"/>
    <w:unhideWhenUsed/>
    <w:qFormat/>
    <w:uiPriority w:val="0"/>
    <w:pPr>
      <w:spacing w:after="120"/>
      <w:ind w:left="420" w:leftChars="200" w:firstLine="420"/>
    </w:pPr>
    <w:rPr>
      <w:szCs w:val="24"/>
    </w:rPr>
  </w:style>
  <w:style w:type="table" w:styleId="53">
    <w:name w:val="Table Grid"/>
    <w:basedOn w:val="52"/>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5">
    <w:name w:val="Strong"/>
    <w:qFormat/>
    <w:uiPriority w:val="0"/>
    <w:rPr>
      <w:rFonts w:eastAsia="微软雅黑" w:asciiTheme="minorHAnsi" w:hAnsiTheme="minorHAnsi" w:cstheme="minorBidi"/>
      <w:b/>
      <w:bCs/>
      <w:sz w:val="22"/>
      <w:szCs w:val="22"/>
      <w:lang w:val="en-US" w:eastAsia="zh-CN" w:bidi="ar-SA"/>
    </w:rPr>
  </w:style>
  <w:style w:type="character" w:styleId="56">
    <w:name w:val="page number"/>
    <w:basedOn w:val="54"/>
    <w:unhideWhenUsed/>
    <w:qFormat/>
    <w:uiPriority w:val="0"/>
    <w:rPr>
      <w:rFonts w:eastAsia="微软雅黑" w:asciiTheme="minorHAnsi" w:hAnsiTheme="minorHAnsi" w:cstheme="minorBidi"/>
      <w:sz w:val="22"/>
      <w:szCs w:val="22"/>
      <w:lang w:val="en-US" w:eastAsia="zh-CN" w:bidi="ar-SA"/>
    </w:rPr>
  </w:style>
  <w:style w:type="character" w:styleId="57">
    <w:name w:val="FollowedHyperlink"/>
    <w:unhideWhenUsed/>
    <w:qFormat/>
    <w:uiPriority w:val="99"/>
    <w:rPr>
      <w:rFonts w:eastAsia="微软雅黑" w:asciiTheme="minorHAnsi" w:hAnsiTheme="minorHAnsi" w:cstheme="minorBidi"/>
      <w:color w:val="800080"/>
      <w:sz w:val="22"/>
      <w:szCs w:val="22"/>
      <w:u w:val="single"/>
      <w:lang w:val="en-US" w:eastAsia="zh-CN" w:bidi="ar-SA"/>
    </w:rPr>
  </w:style>
  <w:style w:type="character" w:styleId="58">
    <w:name w:val="Hyperlink"/>
    <w:unhideWhenUsed/>
    <w:uiPriority w:val="99"/>
    <w:rPr>
      <w:rFonts w:eastAsia="微软雅黑" w:asciiTheme="minorHAnsi" w:hAnsiTheme="minorHAnsi" w:cstheme="minorBidi"/>
      <w:color w:val="0000FF"/>
      <w:sz w:val="22"/>
      <w:szCs w:val="22"/>
      <w:u w:val="single"/>
      <w:lang w:val="en-US" w:eastAsia="zh-CN" w:bidi="ar-SA"/>
    </w:rPr>
  </w:style>
  <w:style w:type="character" w:styleId="59">
    <w:name w:val="annotation reference"/>
    <w:unhideWhenUsed/>
    <w:uiPriority w:val="0"/>
    <w:rPr>
      <w:rFonts w:eastAsia="微软雅黑" w:asciiTheme="minorHAnsi" w:hAnsiTheme="minorHAnsi" w:cstheme="minorBidi"/>
      <w:sz w:val="21"/>
      <w:szCs w:val="21"/>
      <w:lang w:val="en-US" w:eastAsia="zh-CN" w:bidi="ar-SA"/>
    </w:rPr>
  </w:style>
  <w:style w:type="character" w:customStyle="1" w:styleId="60">
    <w:name w:val="页眉 字符"/>
    <w:basedOn w:val="54"/>
    <w:link w:val="35"/>
    <w:qFormat/>
    <w:uiPriority w:val="0"/>
    <w:rPr>
      <w:rFonts w:eastAsia="微软雅黑" w:asciiTheme="minorHAnsi" w:hAnsiTheme="minorHAnsi" w:cstheme="minorBidi"/>
      <w:sz w:val="18"/>
      <w:szCs w:val="18"/>
      <w:lang w:val="en-US" w:eastAsia="zh-CN" w:bidi="ar-SA"/>
    </w:rPr>
  </w:style>
  <w:style w:type="character" w:customStyle="1" w:styleId="61">
    <w:name w:val="页脚 字符"/>
    <w:basedOn w:val="54"/>
    <w:link w:val="34"/>
    <w:qFormat/>
    <w:uiPriority w:val="99"/>
    <w:rPr>
      <w:rFonts w:eastAsia="微软雅黑" w:asciiTheme="minorHAnsi" w:hAnsiTheme="minorHAnsi" w:cstheme="minorBidi"/>
      <w:sz w:val="18"/>
      <w:szCs w:val="18"/>
      <w:lang w:val="en-US" w:eastAsia="zh-CN" w:bidi="ar-SA"/>
    </w:rPr>
  </w:style>
  <w:style w:type="character" w:customStyle="1" w:styleId="62">
    <w:name w:val="标题 1 字符1"/>
    <w:basedOn w:val="54"/>
    <w:link w:val="2"/>
    <w:uiPriority w:val="0"/>
    <w:rPr>
      <w:rFonts w:ascii="Times New Roman" w:hAnsi="Times New Roman" w:eastAsia="宋体" w:cs="Times New Roman"/>
      <w:b/>
      <w:bCs/>
      <w:kern w:val="44"/>
      <w:sz w:val="30"/>
      <w:szCs w:val="44"/>
      <w:lang w:val="en-US" w:eastAsia="zh-CN" w:bidi="ar-SA"/>
    </w:rPr>
  </w:style>
  <w:style w:type="character" w:customStyle="1" w:styleId="63">
    <w:name w:val="标题 2 字符"/>
    <w:basedOn w:val="54"/>
    <w:link w:val="3"/>
    <w:qFormat/>
    <w:uiPriority w:val="0"/>
    <w:rPr>
      <w:rFonts w:ascii="Arial" w:hAnsi="Arial" w:eastAsia="宋体" w:cs="Times New Roman"/>
      <w:b/>
      <w:bCs/>
      <w:kern w:val="0"/>
      <w:sz w:val="28"/>
      <w:szCs w:val="32"/>
      <w:lang w:val="en-US" w:eastAsia="zh-CN" w:bidi="ar-SA"/>
    </w:rPr>
  </w:style>
  <w:style w:type="character" w:customStyle="1" w:styleId="64">
    <w:name w:val="标题 3 字符"/>
    <w:basedOn w:val="54"/>
    <w:link w:val="4"/>
    <w:qFormat/>
    <w:uiPriority w:val="0"/>
    <w:rPr>
      <w:rFonts w:ascii="宋体" w:hAnsi="Times New Roman" w:eastAsia="宋体" w:cs="Times New Roman"/>
      <w:b/>
      <w:kern w:val="0"/>
      <w:sz w:val="28"/>
      <w:szCs w:val="20"/>
      <w:lang w:val="en-US" w:eastAsia="zh-CN" w:bidi="ar-SA"/>
    </w:rPr>
  </w:style>
  <w:style w:type="character" w:customStyle="1" w:styleId="65">
    <w:name w:val="标题 4 字符"/>
    <w:basedOn w:val="54"/>
    <w:link w:val="5"/>
    <w:qFormat/>
    <w:uiPriority w:val="0"/>
    <w:rPr>
      <w:rFonts w:ascii="Arial" w:hAnsi="Arial" w:eastAsia="黑体" w:cs="Times New Roman"/>
      <w:b/>
      <w:bCs/>
      <w:kern w:val="0"/>
      <w:sz w:val="28"/>
      <w:szCs w:val="28"/>
      <w:lang w:val="en-US" w:eastAsia="zh-CN" w:bidi="ar-SA"/>
    </w:rPr>
  </w:style>
  <w:style w:type="character" w:customStyle="1" w:styleId="66">
    <w:name w:val="标题 5 字符"/>
    <w:basedOn w:val="54"/>
    <w:link w:val="6"/>
    <w:qFormat/>
    <w:uiPriority w:val="0"/>
    <w:rPr>
      <w:rFonts w:ascii="Times New Roman" w:hAnsi="Times New Roman" w:eastAsia="宋体" w:cs="Times New Roman"/>
      <w:b/>
      <w:bCs/>
      <w:kern w:val="0"/>
      <w:sz w:val="28"/>
      <w:szCs w:val="28"/>
      <w:lang w:val="en-US" w:eastAsia="zh-CN" w:bidi="ar-SA"/>
    </w:rPr>
  </w:style>
  <w:style w:type="character" w:customStyle="1" w:styleId="67">
    <w:name w:val="标题 6 字符"/>
    <w:basedOn w:val="54"/>
    <w:link w:val="7"/>
    <w:qFormat/>
    <w:uiPriority w:val="0"/>
    <w:rPr>
      <w:rFonts w:ascii="Arial" w:hAnsi="Arial" w:eastAsia="黑体" w:cs="Times New Roman"/>
      <w:b/>
      <w:bCs/>
      <w:kern w:val="0"/>
      <w:sz w:val="22"/>
      <w:szCs w:val="22"/>
      <w:lang w:val="en-US" w:eastAsia="zh-CN" w:bidi="ar-SA"/>
    </w:rPr>
  </w:style>
  <w:style w:type="character" w:customStyle="1" w:styleId="68">
    <w:name w:val="标题 7 字符"/>
    <w:basedOn w:val="54"/>
    <w:link w:val="8"/>
    <w:uiPriority w:val="0"/>
    <w:rPr>
      <w:rFonts w:ascii="Times New Roman" w:hAnsi="Times New Roman" w:eastAsia="宋体" w:cs="Times New Roman"/>
      <w:b/>
      <w:bCs/>
      <w:kern w:val="0"/>
      <w:sz w:val="22"/>
      <w:szCs w:val="22"/>
      <w:lang w:val="en-US" w:eastAsia="zh-CN" w:bidi="ar-SA"/>
    </w:rPr>
  </w:style>
  <w:style w:type="character" w:customStyle="1" w:styleId="69">
    <w:name w:val="标题 8 字符"/>
    <w:basedOn w:val="54"/>
    <w:link w:val="9"/>
    <w:qFormat/>
    <w:uiPriority w:val="0"/>
    <w:rPr>
      <w:rFonts w:ascii="Arial" w:hAnsi="Arial" w:eastAsia="黑体" w:cs="Times New Roman"/>
      <w:kern w:val="0"/>
      <w:sz w:val="22"/>
      <w:szCs w:val="22"/>
      <w:lang w:val="en-US" w:eastAsia="zh-CN" w:bidi="ar-SA"/>
    </w:rPr>
  </w:style>
  <w:style w:type="character" w:customStyle="1" w:styleId="70">
    <w:name w:val="标题 9 字符"/>
    <w:basedOn w:val="54"/>
    <w:link w:val="10"/>
    <w:qFormat/>
    <w:uiPriority w:val="0"/>
    <w:rPr>
      <w:rFonts w:ascii="Arial" w:hAnsi="Arial" w:eastAsia="黑体" w:cs="Times New Roman"/>
      <w:kern w:val="0"/>
      <w:sz w:val="20"/>
      <w:szCs w:val="21"/>
      <w:lang w:val="en-US" w:eastAsia="zh-CN" w:bidi="ar-SA"/>
    </w:rPr>
  </w:style>
  <w:style w:type="character" w:customStyle="1" w:styleId="71">
    <w:name w:val="批注文字 字符"/>
    <w:basedOn w:val="54"/>
    <w:link w:val="19"/>
    <w:qFormat/>
    <w:uiPriority w:val="0"/>
    <w:rPr>
      <w:rFonts w:eastAsia="微软雅黑" w:asciiTheme="minorHAnsi" w:hAnsiTheme="minorHAnsi" w:cstheme="minorBidi"/>
      <w:sz w:val="22"/>
      <w:szCs w:val="22"/>
      <w:lang w:val="en-US" w:eastAsia="zh-CN" w:bidi="ar-SA"/>
    </w:rPr>
  </w:style>
  <w:style w:type="character" w:customStyle="1" w:styleId="72">
    <w:name w:val="批注主题 字符"/>
    <w:basedOn w:val="71"/>
    <w:link w:val="49"/>
    <w:semiHidden/>
    <w:qFormat/>
    <w:uiPriority w:val="0"/>
    <w:rPr>
      <w:rFonts w:ascii="Times New Roman" w:hAnsi="Times New Roman" w:eastAsia="宋体" w:cs="Times New Roman"/>
      <w:b/>
      <w:bCs/>
      <w:kern w:val="0"/>
      <w:sz w:val="20"/>
    </w:rPr>
  </w:style>
  <w:style w:type="character" w:customStyle="1" w:styleId="73">
    <w:name w:val="正文文本 字符"/>
    <w:basedOn w:val="54"/>
    <w:link w:val="21"/>
    <w:qFormat/>
    <w:uiPriority w:val="0"/>
    <w:rPr>
      <w:rFonts w:eastAsia="微软雅黑" w:asciiTheme="minorHAnsi" w:hAnsiTheme="minorHAnsi" w:cstheme="minorBidi"/>
      <w:sz w:val="22"/>
      <w:szCs w:val="22"/>
      <w:lang w:val="en-US" w:eastAsia="zh-CN" w:bidi="ar-SA"/>
    </w:rPr>
  </w:style>
  <w:style w:type="character" w:customStyle="1" w:styleId="74">
    <w:name w:val="正文首行缩进 字符"/>
    <w:basedOn w:val="73"/>
    <w:link w:val="50"/>
    <w:qFormat/>
    <w:uiPriority w:val="0"/>
    <w:rPr>
      <w:rFonts w:ascii="Times New Roman" w:hAnsi="Times New Roman" w:eastAsia="宋体" w:cs="Times New Roman"/>
      <w:kern w:val="0"/>
      <w:sz w:val="20"/>
    </w:rPr>
  </w:style>
  <w:style w:type="character" w:customStyle="1" w:styleId="75">
    <w:name w:val="文档结构图 字符"/>
    <w:basedOn w:val="54"/>
    <w:link w:val="18"/>
    <w:qFormat/>
    <w:uiPriority w:val="0"/>
    <w:rPr>
      <w:rFonts w:ascii="Times New Roman" w:hAnsi="Times New Roman" w:eastAsia="宋体" w:cs="Times New Roman"/>
      <w:kern w:val="0"/>
      <w:sz w:val="20"/>
      <w:szCs w:val="22"/>
      <w:lang w:val="en-US" w:eastAsia="zh-CN" w:bidi="ar-SA"/>
    </w:rPr>
  </w:style>
  <w:style w:type="character" w:customStyle="1" w:styleId="76">
    <w:name w:val="正文文本 3 字符"/>
    <w:basedOn w:val="54"/>
    <w:link w:val="20"/>
    <w:qFormat/>
    <w:uiPriority w:val="0"/>
    <w:rPr>
      <w:rFonts w:ascii="Times New Roman" w:hAnsi="Times New Roman" w:eastAsia="宋体" w:cs="Times New Roman"/>
      <w:kern w:val="0"/>
      <w:sz w:val="16"/>
      <w:szCs w:val="16"/>
      <w:lang w:val="en-US" w:eastAsia="zh-CN" w:bidi="ar-SA"/>
    </w:rPr>
  </w:style>
  <w:style w:type="character" w:customStyle="1" w:styleId="77">
    <w:name w:val="正文文本缩进 字符"/>
    <w:basedOn w:val="54"/>
    <w:link w:val="22"/>
    <w:uiPriority w:val="0"/>
    <w:rPr>
      <w:rFonts w:ascii="宋体" w:hAnsi="宋体" w:eastAsia="宋体" w:cs="Times New Roman"/>
      <w:kern w:val="0"/>
      <w:sz w:val="28"/>
      <w:szCs w:val="28"/>
      <w:lang w:val="en-US" w:eastAsia="zh-CN" w:bidi="ar-SA"/>
    </w:rPr>
  </w:style>
  <w:style w:type="character" w:customStyle="1" w:styleId="78">
    <w:name w:val="纯文本 字符"/>
    <w:basedOn w:val="54"/>
    <w:link w:val="29"/>
    <w:qFormat/>
    <w:uiPriority w:val="0"/>
    <w:rPr>
      <w:rFonts w:ascii="宋体" w:hAnsi="Courier New" w:eastAsia="宋体" w:cs="Times New Roman"/>
      <w:kern w:val="0"/>
      <w:sz w:val="20"/>
      <w:szCs w:val="21"/>
      <w:lang w:val="en-US" w:eastAsia="zh-CN" w:bidi="ar-SA"/>
    </w:rPr>
  </w:style>
  <w:style w:type="character" w:customStyle="1" w:styleId="79">
    <w:name w:val="日期 字符"/>
    <w:basedOn w:val="54"/>
    <w:link w:val="31"/>
    <w:uiPriority w:val="0"/>
    <w:rPr>
      <w:rFonts w:ascii="Times New Roman" w:hAnsi="Times New Roman" w:eastAsia="宋体" w:cs="Times New Roman"/>
      <w:kern w:val="0"/>
      <w:sz w:val="20"/>
      <w:szCs w:val="22"/>
      <w:lang w:val="en-US" w:eastAsia="zh-CN" w:bidi="ar-SA"/>
    </w:rPr>
  </w:style>
  <w:style w:type="character" w:customStyle="1" w:styleId="80">
    <w:name w:val="正文文本缩进 2 字符"/>
    <w:basedOn w:val="54"/>
    <w:link w:val="32"/>
    <w:qFormat/>
    <w:uiPriority w:val="0"/>
    <w:rPr>
      <w:rFonts w:ascii="Times New Roman" w:hAnsi="Times New Roman" w:eastAsia="宋体" w:cs="Times New Roman"/>
      <w:kern w:val="0"/>
      <w:sz w:val="20"/>
      <w:szCs w:val="22"/>
      <w:lang w:val="en-US" w:eastAsia="zh-CN" w:bidi="ar-SA"/>
    </w:rPr>
  </w:style>
  <w:style w:type="character" w:customStyle="1" w:styleId="81">
    <w:name w:val="批注框文本 字符"/>
    <w:basedOn w:val="54"/>
    <w:link w:val="33"/>
    <w:semiHidden/>
    <w:qFormat/>
    <w:uiPriority w:val="0"/>
    <w:rPr>
      <w:rFonts w:ascii="Times New Roman" w:hAnsi="Times New Roman" w:eastAsia="宋体" w:cs="Times New Roman"/>
      <w:kern w:val="0"/>
      <w:sz w:val="18"/>
      <w:szCs w:val="18"/>
      <w:lang w:val="en-US" w:eastAsia="zh-CN" w:bidi="ar-SA"/>
    </w:rPr>
  </w:style>
  <w:style w:type="character" w:customStyle="1" w:styleId="82">
    <w:name w:val="正文首行缩进 2 字符"/>
    <w:basedOn w:val="77"/>
    <w:link w:val="51"/>
    <w:qFormat/>
    <w:uiPriority w:val="0"/>
    <w:rPr>
      <w:szCs w:val="24"/>
    </w:rPr>
  </w:style>
  <w:style w:type="character" w:customStyle="1" w:styleId="83">
    <w:name w:val="正文文本缩进 3 字符"/>
    <w:basedOn w:val="54"/>
    <w:link w:val="40"/>
    <w:qFormat/>
    <w:uiPriority w:val="0"/>
    <w:rPr>
      <w:rFonts w:ascii="Times New Roman" w:hAnsi="Times New Roman" w:eastAsia="宋体" w:cs="Times New Roman"/>
      <w:kern w:val="0"/>
      <w:sz w:val="16"/>
      <w:szCs w:val="16"/>
      <w:lang w:val="en-US" w:eastAsia="zh-CN" w:bidi="ar-SA"/>
    </w:rPr>
  </w:style>
  <w:style w:type="character" w:customStyle="1" w:styleId="84">
    <w:name w:val="正文文本 2 字符"/>
    <w:basedOn w:val="54"/>
    <w:link w:val="43"/>
    <w:uiPriority w:val="0"/>
    <w:rPr>
      <w:rFonts w:ascii="Times New Roman" w:hAnsi="Times New Roman" w:eastAsia="宋体" w:cs="Times New Roman"/>
      <w:kern w:val="0"/>
      <w:sz w:val="20"/>
      <w:szCs w:val="22"/>
      <w:lang w:val="en-US" w:eastAsia="zh-CN" w:bidi="ar-SA"/>
    </w:rPr>
  </w:style>
  <w:style w:type="character" w:customStyle="1" w:styleId="85">
    <w:name w:val="标题 字符1"/>
    <w:basedOn w:val="54"/>
    <w:link w:val="48"/>
    <w:qFormat/>
    <w:uiPriority w:val="0"/>
    <w:rPr>
      <w:rFonts w:ascii="Cambria" w:hAnsi="Cambria" w:eastAsia="黑体" w:cs="Times New Roman"/>
      <w:b/>
      <w:bCs/>
      <w:kern w:val="0"/>
      <w:sz w:val="32"/>
      <w:szCs w:val="32"/>
      <w:lang w:val="en-US" w:eastAsia="zh-CN" w:bidi="ar-SA"/>
    </w:rPr>
  </w:style>
  <w:style w:type="character" w:customStyle="1" w:styleId="86">
    <w:name w:val="font51"/>
    <w:qFormat/>
    <w:uiPriority w:val="0"/>
    <w:rPr>
      <w:rFonts w:hint="default" w:ascii="Times New Roman" w:hAnsi="Times New Roman" w:eastAsia="微软雅黑" w:cs="Times New Roman"/>
      <w:b/>
      <w:color w:val="000000"/>
      <w:sz w:val="24"/>
      <w:szCs w:val="24"/>
      <w:u w:val="none"/>
      <w:lang w:val="en-US" w:eastAsia="zh-CN" w:bidi="ar-SA"/>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89">
    <w:name w:val="Char Char3"/>
    <w:uiPriority w:val="0"/>
    <w:rPr>
      <w:rFonts w:eastAsia="宋体" w:asciiTheme="minorHAnsi" w:hAnsiTheme="minorHAnsi" w:cstheme="minorBidi"/>
      <w:kern w:val="2"/>
      <w:sz w:val="18"/>
      <w:szCs w:val="18"/>
      <w:lang w:val="en-US" w:eastAsia="zh-CN" w:bidi="ar-SA"/>
    </w:rPr>
  </w:style>
  <w:style w:type="character" w:customStyle="1" w:styleId="90">
    <w:name w:val="font61"/>
    <w:qFormat/>
    <w:uiPriority w:val="0"/>
    <w:rPr>
      <w:rFonts w:hint="default" w:ascii="Times New Roman" w:hAnsi="Times New Roman" w:eastAsia="微软雅黑" w:cs="Times New Roman"/>
      <w:color w:val="000000"/>
      <w:sz w:val="24"/>
      <w:szCs w:val="24"/>
      <w:u w:val="none"/>
      <w:lang w:val="en-US" w:eastAsia="zh-CN" w:bidi="ar-SA"/>
    </w:rPr>
  </w:style>
  <w:style w:type="character" w:customStyle="1" w:styleId="91">
    <w:name w:val="font21"/>
    <w:qFormat/>
    <w:uiPriority w:val="0"/>
    <w:rPr>
      <w:rFonts w:hint="default" w:ascii="Times New Roman" w:hAnsi="Times New Roman" w:eastAsia="微软雅黑" w:cs="Times New Roman"/>
      <w:color w:val="000000"/>
      <w:sz w:val="24"/>
      <w:szCs w:val="24"/>
      <w:u w:val="none"/>
      <w:vertAlign w:val="superscript"/>
      <w:lang w:val="en-US" w:eastAsia="zh-CN" w:bidi="ar-SA"/>
    </w:rPr>
  </w:style>
  <w:style w:type="character" w:customStyle="1" w:styleId="92">
    <w:name w:val="font71"/>
    <w:qFormat/>
    <w:uiPriority w:val="0"/>
    <w:rPr>
      <w:rFonts w:hint="eastAsia" w:ascii="宋体" w:hAnsi="宋体" w:eastAsia="宋体" w:cs="宋体"/>
      <w:color w:val="000000"/>
      <w:sz w:val="24"/>
      <w:szCs w:val="24"/>
      <w:u w:val="none"/>
      <w:lang w:val="en-US" w:eastAsia="zh-CN" w:bidi="ar-SA"/>
    </w:rPr>
  </w:style>
  <w:style w:type="character" w:customStyle="1" w:styleId="93">
    <w:name w:val="zbggmain style9"/>
    <w:basedOn w:val="54"/>
    <w:qFormat/>
    <w:uiPriority w:val="0"/>
    <w:rPr>
      <w:rFonts w:eastAsia="微软雅黑" w:asciiTheme="minorHAnsi" w:hAnsiTheme="minorHAnsi" w:cstheme="minorBidi"/>
      <w:sz w:val="22"/>
      <w:szCs w:val="22"/>
      <w:lang w:val="en-US" w:eastAsia="zh-CN" w:bidi="ar-SA"/>
    </w:rPr>
  </w:style>
  <w:style w:type="character" w:customStyle="1" w:styleId="94">
    <w:name w:val="px1233"/>
    <w:basedOn w:val="54"/>
    <w:qFormat/>
    <w:uiPriority w:val="0"/>
    <w:rPr>
      <w:rFonts w:eastAsia="微软雅黑" w:asciiTheme="minorHAnsi" w:hAnsiTheme="minorHAnsi" w:cstheme="minorBidi"/>
      <w:sz w:val="22"/>
      <w:szCs w:val="22"/>
      <w:lang w:val="en-US" w:eastAsia="zh-CN" w:bidi="ar-SA"/>
    </w:rPr>
  </w:style>
  <w:style w:type="character" w:customStyle="1" w:styleId="95">
    <w:name w:val="font11"/>
    <w:qFormat/>
    <w:uiPriority w:val="0"/>
    <w:rPr>
      <w:rFonts w:hint="default" w:ascii="Times New Roman" w:hAnsi="Times New Roman" w:eastAsia="微软雅黑" w:cs="Times New Roman"/>
      <w:color w:val="000000"/>
      <w:sz w:val="21"/>
      <w:szCs w:val="21"/>
      <w:u w:val="none"/>
      <w:lang w:val="en-US" w:eastAsia="zh-CN" w:bidi="ar-SA"/>
    </w:rPr>
  </w:style>
  <w:style w:type="character" w:customStyle="1" w:styleId="96">
    <w:name w:val="font41"/>
    <w:qFormat/>
    <w:uiPriority w:val="0"/>
    <w:rPr>
      <w:rFonts w:hint="eastAsia" w:ascii="宋体" w:hAnsi="宋体" w:eastAsia="宋体" w:cs="宋体"/>
      <w:b/>
      <w:color w:val="000000"/>
      <w:sz w:val="24"/>
      <w:szCs w:val="24"/>
      <w:u w:val="none"/>
      <w:lang w:val="en-US" w:eastAsia="zh-CN" w:bidi="ar-SA"/>
    </w:rPr>
  </w:style>
  <w:style w:type="character" w:customStyle="1" w:styleId="97">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8">
    <w:name w:val="Char Char2"/>
    <w:qFormat/>
    <w:uiPriority w:val="0"/>
    <w:rPr>
      <w:rFonts w:eastAsia="宋体" w:asciiTheme="minorHAnsi" w:hAnsiTheme="minorHAnsi" w:cstheme="minorBidi"/>
      <w:kern w:val="2"/>
      <w:sz w:val="18"/>
      <w:szCs w:val="18"/>
      <w:lang w:val="en-US" w:eastAsia="zh-CN" w:bidi="ar-SA"/>
    </w:rPr>
  </w:style>
  <w:style w:type="character" w:customStyle="1" w:styleId="99">
    <w:name w:val="font01"/>
    <w:qFormat/>
    <w:uiPriority w:val="0"/>
    <w:rPr>
      <w:rFonts w:hint="eastAsia" w:ascii="宋体" w:hAnsi="宋体" w:eastAsia="宋体" w:cs="宋体"/>
      <w:color w:val="000000"/>
      <w:sz w:val="21"/>
      <w:szCs w:val="21"/>
      <w:u w:val="none"/>
      <w:lang w:val="en-US" w:eastAsia="zh-CN" w:bidi="ar-SA"/>
    </w:rPr>
  </w:style>
  <w:style w:type="paragraph" w:customStyle="1" w:styleId="100">
    <w:name w:val="样式1"/>
    <w:basedOn w:val="5"/>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 w:val="21"/>
    </w:rPr>
  </w:style>
  <w:style w:type="paragraph" w:customStyle="1" w:styleId="102">
    <w:name w:val="Char Char Char Char Char Char"/>
    <w:basedOn w:val="1"/>
    <w:qFormat/>
    <w:uiPriority w:val="0"/>
    <w:rPr>
      <w:rFonts w:ascii="Times New Roman" w:hAnsi="Times New Roman" w:eastAsia="宋体" w:cs="Times New Roman"/>
      <w:sz w:val="21"/>
    </w:rPr>
  </w:style>
  <w:style w:type="character" w:customStyle="1" w:styleId="103">
    <w:name w:val="批注框文本字符1"/>
    <w:basedOn w:val="54"/>
    <w:semiHidden/>
    <w:qFormat/>
    <w:uiPriority w:val="99"/>
    <w:rPr>
      <w:rFonts w:ascii="Heiti SC Light" w:eastAsia="Heiti SC Light" w:hAnsiTheme="minorHAnsi" w:cstheme="minorBidi"/>
      <w:sz w:val="18"/>
      <w:szCs w:val="18"/>
      <w:lang w:val="en-US" w:eastAsia="zh-CN" w:bidi="ar-SA"/>
    </w:rPr>
  </w:style>
  <w:style w:type="character" w:customStyle="1" w:styleId="104">
    <w:name w:val="日期字符1"/>
    <w:basedOn w:val="54"/>
    <w:semiHidden/>
    <w:qFormat/>
    <w:uiPriority w:val="99"/>
    <w:rPr>
      <w:rFonts w:eastAsia="微软雅黑" w:asciiTheme="minorHAnsi" w:hAnsiTheme="minorHAnsi" w:cstheme="minorBidi"/>
      <w:sz w:val="22"/>
      <w:szCs w:val="22"/>
      <w:lang w:val="en-US" w:eastAsia="zh-CN" w:bidi="ar-SA"/>
    </w:rPr>
  </w:style>
  <w:style w:type="character" w:customStyle="1" w:styleId="105">
    <w:name w:val="纯文本字符1"/>
    <w:basedOn w:val="54"/>
    <w:semiHidden/>
    <w:uiPriority w:val="99"/>
    <w:rPr>
      <w:rFonts w:ascii="宋体" w:hAnsi="Courier" w:eastAsia="宋体" w:cstheme="minorBidi"/>
      <w:sz w:val="22"/>
      <w:szCs w:val="22"/>
      <w:lang w:val="en-US" w:eastAsia="zh-CN" w:bidi="ar-SA"/>
    </w:rPr>
  </w:style>
  <w:style w:type="character" w:customStyle="1" w:styleId="106">
    <w:name w:val="批注主题字符1"/>
    <w:basedOn w:val="71"/>
    <w:semiHidden/>
    <w:uiPriority w:val="99"/>
    <w:rPr>
      <w:rFonts w:eastAsiaTheme="minorEastAsia"/>
      <w:b/>
      <w:bCs/>
      <w:kern w:val="2"/>
      <w:sz w:val="24"/>
      <w:szCs w:val="24"/>
    </w:rPr>
  </w:style>
  <w:style w:type="paragraph" w:customStyle="1" w:styleId="107">
    <w:name w:val="Char Char Char Char"/>
    <w:basedOn w:val="1"/>
    <w:uiPriority w:val="0"/>
    <w:rPr>
      <w:rFonts w:ascii="Times New Roman" w:hAnsi="Times New Roman" w:eastAsia="宋体" w:cs="Times New Roman"/>
      <w:sz w:val="21"/>
    </w:rPr>
  </w:style>
  <w:style w:type="character" w:customStyle="1" w:styleId="108">
    <w:name w:val="正文首行缩进字符1"/>
    <w:basedOn w:val="73"/>
    <w:semiHidden/>
    <w:qFormat/>
    <w:uiPriority w:val="99"/>
    <w:rPr>
      <w:rFonts w:eastAsiaTheme="minorEastAsia"/>
      <w:kern w:val="2"/>
      <w:sz w:val="24"/>
      <w:szCs w:val="24"/>
    </w:rPr>
  </w:style>
  <w:style w:type="character" w:customStyle="1" w:styleId="109">
    <w:name w:val="正文文本缩进 3字符1"/>
    <w:basedOn w:val="54"/>
    <w:semiHidden/>
    <w:qFormat/>
    <w:uiPriority w:val="99"/>
    <w:rPr>
      <w:rFonts w:eastAsia="微软雅黑" w:asciiTheme="minorHAnsi" w:hAnsiTheme="minorHAnsi" w:cstheme="minorBidi"/>
      <w:sz w:val="16"/>
      <w:szCs w:val="16"/>
      <w:lang w:val="en-US" w:eastAsia="zh-CN" w:bidi="ar-SA"/>
    </w:rPr>
  </w:style>
  <w:style w:type="paragraph" w:customStyle="1" w:styleId="110">
    <w:name w:val="p0"/>
    <w:basedOn w:val="1"/>
    <w:uiPriority w:val="0"/>
    <w:pPr>
      <w:widowControl/>
    </w:pPr>
    <w:rPr>
      <w:rFonts w:ascii="Times New Roman" w:hAnsi="Times New Roman" w:eastAsia="宋体" w:cs="Times New Roman"/>
      <w:kern w:val="0"/>
      <w:sz w:val="21"/>
      <w:szCs w:val="21"/>
    </w:rPr>
  </w:style>
  <w:style w:type="character" w:customStyle="1" w:styleId="111">
    <w:name w:val="文档结构图 字符1"/>
    <w:basedOn w:val="54"/>
    <w:semiHidden/>
    <w:qFormat/>
    <w:uiPriority w:val="99"/>
    <w:rPr>
      <w:rFonts w:ascii="Heiti SC Light" w:eastAsia="Heiti SC Light" w:hAnsiTheme="minorHAnsi" w:cstheme="minorBidi"/>
      <w:sz w:val="22"/>
      <w:szCs w:val="22"/>
      <w:lang w:val="en-US" w:eastAsia="zh-CN" w:bidi="ar-SA"/>
    </w:rPr>
  </w:style>
  <w:style w:type="character" w:customStyle="1" w:styleId="112">
    <w:name w:val="正文文本 3字符1"/>
    <w:basedOn w:val="54"/>
    <w:semiHidden/>
    <w:qFormat/>
    <w:uiPriority w:val="99"/>
    <w:rPr>
      <w:rFonts w:eastAsia="微软雅黑" w:asciiTheme="minorHAnsi" w:hAnsiTheme="minorHAnsi" w:cstheme="minorBidi"/>
      <w:sz w:val="16"/>
      <w:szCs w:val="16"/>
      <w:lang w:val="en-US" w:eastAsia="zh-CN" w:bidi="ar-SA"/>
    </w:rPr>
  </w:style>
  <w:style w:type="character" w:customStyle="1" w:styleId="113">
    <w:name w:val="正文文本缩进字符1"/>
    <w:basedOn w:val="54"/>
    <w:semiHidden/>
    <w:qFormat/>
    <w:uiPriority w:val="99"/>
    <w:rPr>
      <w:rFonts w:eastAsia="微软雅黑" w:asciiTheme="minorHAnsi" w:hAnsiTheme="minorHAnsi" w:cstheme="minorBidi"/>
      <w:sz w:val="22"/>
      <w:szCs w:val="22"/>
      <w:lang w:val="en-US" w:eastAsia="zh-CN" w:bidi="ar-SA"/>
    </w:rPr>
  </w:style>
  <w:style w:type="character" w:customStyle="1" w:styleId="114">
    <w:name w:val="正文文本缩进 2字符1"/>
    <w:basedOn w:val="54"/>
    <w:semiHidden/>
    <w:qFormat/>
    <w:uiPriority w:val="99"/>
    <w:rPr>
      <w:rFonts w:eastAsia="微软雅黑" w:asciiTheme="minorHAnsi" w:hAnsiTheme="minorHAnsi" w:cstheme="minorBidi"/>
      <w:sz w:val="22"/>
      <w:szCs w:val="22"/>
      <w:lang w:val="en-US" w:eastAsia="zh-CN" w:bidi="ar-SA"/>
    </w:rPr>
  </w:style>
  <w:style w:type="paragraph" w:customStyle="1" w:styleId="115">
    <w:name w:val="Legal 3"/>
    <w:basedOn w:val="116"/>
    <w:next w:val="116"/>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spacing w:after="0" w:line="240" w:lineRule="auto"/>
    </w:pPr>
    <w:rPr>
      <w:rFonts w:ascii="宋体" w:hAnsi="Times New Roman" w:eastAsia="宋体" w:cs="宋体"/>
      <w:color w:val="000000"/>
      <w:sz w:val="24"/>
      <w:szCs w:val="24"/>
      <w:lang w:val="en-US" w:eastAsia="zh-CN" w:bidi="ar-SA"/>
    </w:rPr>
  </w:style>
  <w:style w:type="character" w:customStyle="1" w:styleId="117">
    <w:name w:val="页脚字符1"/>
    <w:basedOn w:val="54"/>
    <w:semiHidden/>
    <w:qFormat/>
    <w:uiPriority w:val="99"/>
    <w:rPr>
      <w:rFonts w:eastAsia="微软雅黑" w:asciiTheme="minorHAnsi" w:hAnsiTheme="minorHAnsi" w:cstheme="minorBidi"/>
      <w:sz w:val="18"/>
      <w:szCs w:val="18"/>
      <w:lang w:val="en-US" w:eastAsia="zh-CN" w:bidi="ar-SA"/>
    </w:rPr>
  </w:style>
  <w:style w:type="character" w:customStyle="1" w:styleId="118">
    <w:name w:val="正文首行缩进 2字符1"/>
    <w:basedOn w:val="113"/>
    <w:semiHidden/>
    <w:qFormat/>
    <w:uiPriority w:val="99"/>
  </w:style>
  <w:style w:type="character" w:customStyle="1" w:styleId="119">
    <w:name w:val="页眉字符1"/>
    <w:basedOn w:val="54"/>
    <w:semiHidden/>
    <w:qFormat/>
    <w:uiPriority w:val="99"/>
    <w:rPr>
      <w:rFonts w:eastAsia="微软雅黑" w:asciiTheme="minorHAnsi" w:hAnsiTheme="minorHAnsi" w:cstheme="minorBidi"/>
      <w:sz w:val="18"/>
      <w:szCs w:val="18"/>
      <w:lang w:val="en-US" w:eastAsia="zh-CN" w:bidi="ar-SA"/>
    </w:rPr>
  </w:style>
  <w:style w:type="character" w:customStyle="1" w:styleId="120">
    <w:name w:val="正文文本 2字符1"/>
    <w:basedOn w:val="54"/>
    <w:semiHidden/>
    <w:qFormat/>
    <w:uiPriority w:val="99"/>
    <w:rPr>
      <w:rFonts w:eastAsia="微软雅黑" w:asciiTheme="minorHAnsi" w:hAnsiTheme="minorHAnsi" w:cstheme="minorBidi"/>
      <w:sz w:val="22"/>
      <w:szCs w:val="22"/>
      <w:lang w:val="en-US" w:eastAsia="zh-CN" w:bidi="ar-SA"/>
    </w:rPr>
  </w:style>
  <w:style w:type="character" w:customStyle="1" w:styleId="121">
    <w:name w:val="标题字符1"/>
    <w:basedOn w:val="54"/>
    <w:qFormat/>
    <w:uiPriority w:val="10"/>
    <w:rPr>
      <w:rFonts w:eastAsia="宋体" w:asciiTheme="majorHAnsi" w:hAnsiTheme="majorHAnsi" w:cstheme="majorBidi"/>
      <w:b/>
      <w:bCs/>
      <w:sz w:val="32"/>
      <w:szCs w:val="32"/>
      <w:lang w:val="en-US" w:eastAsia="zh-CN" w:bidi="ar-SA"/>
    </w:rPr>
  </w:style>
  <w:style w:type="paragraph" w:customStyle="1" w:styleId="122">
    <w:name w:val="列出段落1"/>
    <w:basedOn w:val="1"/>
    <w:unhideWhenUsed/>
    <w:qFormat/>
    <w:uiPriority w:val="0"/>
    <w:pPr>
      <w:ind w:firstLine="420" w:firstLineChars="200"/>
    </w:pPr>
    <w:rPr>
      <w:rFonts w:ascii="Calibri" w:hAnsi="Calibri" w:eastAsia="宋体" w:cs="Times New Roman"/>
      <w:sz w:val="21"/>
      <w:szCs w:val="22"/>
    </w:rPr>
  </w:style>
  <w:style w:type="paragraph" w:customStyle="1" w:styleId="123">
    <w:name w:val="图表标题"/>
    <w:basedOn w:val="1"/>
    <w:next w:val="21"/>
    <w:uiPriority w:val="0"/>
    <w:rPr>
      <w:rFonts w:ascii="Times New Roman" w:hAnsi="Times New Roman" w:eastAsia="宋体" w:cs="Times New Roman"/>
      <w:sz w:val="30"/>
      <w:szCs w:val="20"/>
    </w:rPr>
  </w:style>
  <w:style w:type="paragraph" w:customStyle="1" w:styleId="12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5">
    <w:name w:val="Char"/>
    <w:basedOn w:val="1"/>
    <w:uiPriority w:val="0"/>
    <w:rPr>
      <w:rFonts w:ascii="仿宋_GB2312" w:hAnsi="Times New Roman" w:eastAsia="仿宋_GB2312" w:cs="Times New Roman"/>
      <w:b/>
      <w:sz w:val="32"/>
      <w:szCs w:val="32"/>
    </w:rPr>
  </w:style>
  <w:style w:type="paragraph" w:customStyle="1" w:styleId="126">
    <w:name w:val="Char4 Char Char Char"/>
    <w:basedOn w:val="18"/>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Cs w:val="20"/>
    </w:rPr>
  </w:style>
  <w:style w:type="paragraph" w:customStyle="1" w:styleId="128">
    <w:name w:val="Char Char Char"/>
    <w:basedOn w:val="1"/>
    <w:uiPriority w:val="0"/>
    <w:pPr>
      <w:ind w:firstLine="360" w:firstLineChars="150"/>
    </w:pPr>
    <w:rPr>
      <w:rFonts w:ascii="Tahoma" w:hAnsi="Tahoma" w:eastAsia="宋体" w:cs="Times New Roman"/>
      <w:szCs w:val="20"/>
    </w:rPr>
  </w:style>
  <w:style w:type="paragraph" w:customStyle="1" w:styleId="129">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30">
    <w:name w:val="legal 2"/>
    <w:basedOn w:val="116"/>
    <w:next w:val="116"/>
    <w:qFormat/>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36">
    <w:name w:val="正文文字3"/>
    <w:basedOn w:val="21"/>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7">
    <w:name w:val="1"/>
    <w:basedOn w:val="1"/>
    <w:qFormat/>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140">
    <w:name w:val="列出段落2"/>
    <w:basedOn w:val="1"/>
    <w:qFormat/>
    <w:uiPriority w:val="34"/>
    <w:pPr>
      <w:spacing w:line="360" w:lineRule="auto"/>
      <w:ind w:left="450" w:firstLine="420" w:firstLineChars="200"/>
    </w:pPr>
    <w:rPr>
      <w:rFonts w:ascii="仿宋_GB2312" w:hAnsi="宋体" w:eastAsia="仿宋_GB2312" w:cs="Times New Roman"/>
      <w:sz w:val="30"/>
      <w:szCs w:val="30"/>
    </w:rPr>
  </w:style>
  <w:style w:type="character" w:customStyle="1" w:styleId="141">
    <w:name w:val="标题 1 字符"/>
    <w:basedOn w:val="54"/>
    <w:uiPriority w:val="9"/>
    <w:rPr>
      <w:rFonts w:eastAsia="微软雅黑" w:asciiTheme="minorHAnsi" w:hAnsiTheme="minorHAnsi" w:cstheme="minorBidi"/>
      <w:b/>
      <w:bCs/>
      <w:kern w:val="44"/>
      <w:sz w:val="44"/>
      <w:szCs w:val="44"/>
      <w:lang w:val="en-US" w:eastAsia="zh-CN" w:bidi="ar-SA"/>
    </w:rPr>
  </w:style>
  <w:style w:type="character" w:customStyle="1" w:styleId="142">
    <w:name w:val="批注框文本 Char1"/>
    <w:basedOn w:val="54"/>
    <w:semiHidden/>
    <w:qFormat/>
    <w:uiPriority w:val="99"/>
    <w:rPr>
      <w:rFonts w:eastAsia="宋体" w:asciiTheme="minorHAnsi" w:hAnsiTheme="minorHAnsi" w:cstheme="minorBidi"/>
      <w:kern w:val="2"/>
      <w:sz w:val="18"/>
      <w:szCs w:val="18"/>
      <w:lang w:val="en-US" w:eastAsia="zh-CN" w:bidi="ar-SA"/>
    </w:rPr>
  </w:style>
  <w:style w:type="character" w:customStyle="1" w:styleId="143">
    <w:name w:val="日期 Char1"/>
    <w:basedOn w:val="54"/>
    <w:semiHidden/>
    <w:uiPriority w:val="99"/>
    <w:rPr>
      <w:rFonts w:eastAsia="宋体" w:asciiTheme="minorHAnsi" w:hAnsiTheme="minorHAnsi" w:cstheme="minorBidi"/>
      <w:kern w:val="2"/>
      <w:sz w:val="21"/>
      <w:szCs w:val="22"/>
      <w:lang w:val="en-US" w:eastAsia="zh-CN" w:bidi="ar-SA"/>
    </w:rPr>
  </w:style>
  <w:style w:type="character" w:customStyle="1" w:styleId="144">
    <w:name w:val="纯文本 Char1"/>
    <w:basedOn w:val="54"/>
    <w:semiHidden/>
    <w:qFormat/>
    <w:uiPriority w:val="99"/>
    <w:rPr>
      <w:rFonts w:ascii="宋体" w:hAnsi="Courier New" w:eastAsia="宋体" w:cs="Courier New"/>
      <w:kern w:val="2"/>
      <w:sz w:val="21"/>
      <w:szCs w:val="21"/>
      <w:lang w:val="en-US" w:eastAsia="zh-CN" w:bidi="ar-SA"/>
    </w:rPr>
  </w:style>
  <w:style w:type="character" w:customStyle="1" w:styleId="145">
    <w:name w:val="批注主题 Char1"/>
    <w:basedOn w:val="71"/>
    <w:semiHidden/>
    <w:qFormat/>
    <w:uiPriority w:val="99"/>
    <w:rPr>
      <w:rFonts w:ascii="Cambria" w:hAnsi="Cambria" w:eastAsia="宋体" w:cs="Times New Roman"/>
      <w:b/>
      <w:bCs/>
      <w:kern w:val="2"/>
      <w:sz w:val="24"/>
      <w:szCs w:val="24"/>
    </w:rPr>
  </w:style>
  <w:style w:type="character" w:customStyle="1" w:styleId="146">
    <w:name w:val="正文文本缩进 3 Char1"/>
    <w:basedOn w:val="54"/>
    <w:semiHidden/>
    <w:uiPriority w:val="99"/>
    <w:rPr>
      <w:rFonts w:eastAsia="宋体" w:asciiTheme="minorHAnsi" w:hAnsiTheme="minorHAnsi" w:cstheme="minorBidi"/>
      <w:kern w:val="2"/>
      <w:sz w:val="16"/>
      <w:szCs w:val="16"/>
      <w:lang w:val="en-US" w:eastAsia="zh-CN" w:bidi="ar-SA"/>
    </w:rPr>
  </w:style>
  <w:style w:type="character" w:customStyle="1" w:styleId="147">
    <w:name w:val="文档结构图 Char1"/>
    <w:basedOn w:val="54"/>
    <w:semiHidden/>
    <w:qFormat/>
    <w:uiPriority w:val="99"/>
    <w:rPr>
      <w:rFonts w:ascii="宋体" w:eastAsia="宋体" w:hAnsiTheme="minorHAnsi" w:cstheme="minorBidi"/>
      <w:kern w:val="2"/>
      <w:sz w:val="18"/>
      <w:szCs w:val="18"/>
      <w:lang w:val="en-US" w:eastAsia="zh-CN" w:bidi="ar-SA"/>
    </w:rPr>
  </w:style>
  <w:style w:type="character" w:customStyle="1" w:styleId="148">
    <w:name w:val="正文文本 3 Char1"/>
    <w:basedOn w:val="54"/>
    <w:semiHidden/>
    <w:uiPriority w:val="99"/>
    <w:rPr>
      <w:rFonts w:eastAsia="宋体" w:asciiTheme="minorHAnsi" w:hAnsiTheme="minorHAnsi" w:cstheme="minorBidi"/>
      <w:kern w:val="2"/>
      <w:sz w:val="16"/>
      <w:szCs w:val="16"/>
      <w:lang w:val="en-US" w:eastAsia="zh-CN" w:bidi="ar-SA"/>
    </w:rPr>
  </w:style>
  <w:style w:type="character" w:customStyle="1" w:styleId="149">
    <w:name w:val="正文文本缩进 Char1"/>
    <w:basedOn w:val="54"/>
    <w:semiHidden/>
    <w:qFormat/>
    <w:uiPriority w:val="99"/>
    <w:rPr>
      <w:rFonts w:eastAsia="宋体" w:asciiTheme="minorHAnsi" w:hAnsiTheme="minorHAnsi" w:cstheme="minorBidi"/>
      <w:kern w:val="2"/>
      <w:sz w:val="21"/>
      <w:szCs w:val="22"/>
      <w:lang w:val="en-US" w:eastAsia="zh-CN" w:bidi="ar-SA"/>
    </w:rPr>
  </w:style>
  <w:style w:type="character" w:customStyle="1" w:styleId="150">
    <w:name w:val="正文文本缩进 2 Char1"/>
    <w:basedOn w:val="54"/>
    <w:semiHidden/>
    <w:qFormat/>
    <w:uiPriority w:val="99"/>
    <w:rPr>
      <w:rFonts w:eastAsia="宋体" w:asciiTheme="minorHAnsi" w:hAnsiTheme="minorHAnsi" w:cstheme="minorBidi"/>
      <w:kern w:val="2"/>
      <w:sz w:val="21"/>
      <w:szCs w:val="22"/>
      <w:lang w:val="en-US" w:eastAsia="zh-CN" w:bidi="ar-SA"/>
    </w:rPr>
  </w:style>
  <w:style w:type="character" w:customStyle="1" w:styleId="151">
    <w:name w:val="页脚 Char1"/>
    <w:semiHidden/>
    <w:uiPriority w:val="99"/>
    <w:rPr>
      <w:rFonts w:eastAsia="微软雅黑" w:asciiTheme="minorHAnsi" w:hAnsiTheme="minorHAnsi" w:cstheme="minorBidi"/>
      <w:kern w:val="2"/>
      <w:sz w:val="18"/>
      <w:szCs w:val="18"/>
      <w:lang w:val="en-US" w:eastAsia="zh-CN" w:bidi="ar-SA"/>
    </w:rPr>
  </w:style>
  <w:style w:type="character" w:customStyle="1" w:styleId="152">
    <w:name w:val="页眉 Char1"/>
    <w:semiHidden/>
    <w:qFormat/>
    <w:uiPriority w:val="99"/>
    <w:rPr>
      <w:rFonts w:eastAsia="微软雅黑" w:asciiTheme="minorHAnsi" w:hAnsiTheme="minorHAnsi" w:cstheme="minorBidi"/>
      <w:kern w:val="2"/>
      <w:sz w:val="18"/>
      <w:szCs w:val="18"/>
      <w:lang w:val="en-US" w:eastAsia="zh-CN" w:bidi="ar-SA"/>
    </w:rPr>
  </w:style>
  <w:style w:type="character" w:customStyle="1" w:styleId="153">
    <w:name w:val="正文文本 2 Char1"/>
    <w:basedOn w:val="54"/>
    <w:semiHidden/>
    <w:qFormat/>
    <w:uiPriority w:val="99"/>
    <w:rPr>
      <w:rFonts w:eastAsia="宋体" w:asciiTheme="minorHAnsi" w:hAnsiTheme="minorHAnsi" w:cstheme="minorBidi"/>
      <w:kern w:val="2"/>
      <w:sz w:val="21"/>
      <w:szCs w:val="22"/>
      <w:lang w:val="en-US" w:eastAsia="zh-CN" w:bidi="ar-SA"/>
    </w:rPr>
  </w:style>
  <w:style w:type="character" w:customStyle="1" w:styleId="154">
    <w:name w:val="标题 Char1"/>
    <w:basedOn w:val="54"/>
    <w:qFormat/>
    <w:uiPriority w:val="10"/>
    <w:rPr>
      <w:rFonts w:ascii="Cambria" w:hAnsi="Cambria" w:eastAsia="宋体" w:cs="Times New Roman"/>
      <w:b/>
      <w:bCs/>
      <w:kern w:val="2"/>
      <w:sz w:val="32"/>
      <w:szCs w:val="32"/>
      <w:lang w:val="en-US" w:eastAsia="zh-CN" w:bidi="ar-SA"/>
    </w:rPr>
  </w:style>
  <w:style w:type="character" w:customStyle="1" w:styleId="155">
    <w:name w:val="标题 字符"/>
    <w:basedOn w:val="54"/>
    <w:qFormat/>
    <w:uiPriority w:val="10"/>
    <w:rPr>
      <w:rFonts w:ascii="Cambria" w:hAnsi="Cambria" w:eastAsia="宋体" w:cs="Times New Roman"/>
      <w:b/>
      <w:bCs/>
      <w:sz w:val="32"/>
      <w:szCs w:val="32"/>
      <w:lang w:val="en-US" w:eastAsia="zh-CN" w:bidi="ar-SA"/>
    </w:rPr>
  </w:style>
  <w:style w:type="paragraph" w:customStyle="1" w:styleId="156">
    <w:name w:val="正文 New"/>
    <w:uiPriority w:val="0"/>
    <w:pPr>
      <w:widowControl w:val="0"/>
      <w:spacing w:after="0" w:line="400" w:lineRule="atLeast"/>
      <w:jc w:val="both"/>
    </w:pPr>
    <w:rPr>
      <w:rFonts w:ascii="Times New Roman" w:hAnsi="Times New Roman" w:eastAsia="仿宋_GB2312" w:cs="Times New Roman"/>
      <w:kern w:val="2"/>
      <w:sz w:val="24"/>
      <w:szCs w:val="20"/>
      <w:lang w:val="en-US" w:eastAsia="zh-CN" w:bidi="ar-SA"/>
    </w:rPr>
  </w:style>
  <w:style w:type="paragraph" w:customStyle="1" w:styleId="157">
    <w:name w:val="标准有序列表（L1）"/>
    <w:basedOn w:val="14"/>
    <w:qFormat/>
    <w:uiPriority w:val="0"/>
    <w:pPr>
      <w:tabs>
        <w:tab w:val="left" w:pos="0"/>
      </w:tabs>
      <w:adjustRightInd w:val="0"/>
      <w:snapToGrid w:val="0"/>
      <w:ind w:firstLine="0"/>
      <w:jc w:val="center"/>
    </w:pPr>
    <w:rPr>
      <w:rFonts w:ascii="宋体" w:hAnsi="宋体" w:cs="宋体"/>
      <w:color w:val="000000"/>
      <w:szCs w:val="21"/>
    </w:rPr>
  </w:style>
  <w:style w:type="character" w:customStyle="1" w:styleId="158">
    <w:name w:val="正文首行缩进 2 Char2"/>
    <w:basedOn w:val="149"/>
    <w:semiHidden/>
    <w:qFormat/>
    <w:uiPriority w:val="99"/>
    <w:rPr>
      <w:rFonts w:eastAsia="宋体"/>
      <w:kern w:val="2"/>
      <w:sz w:val="21"/>
    </w:rPr>
  </w:style>
  <w:style w:type="character" w:customStyle="1" w:styleId="159">
    <w:name w:val="正文首行缩进 Char2"/>
    <w:basedOn w:val="73"/>
    <w:semiHidden/>
    <w:qFormat/>
    <w:uiPriority w:val="99"/>
    <w:rPr>
      <w:rFonts w:ascii="Cambria" w:hAnsi="Cambria"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4463</Words>
  <Characters>25440</Characters>
  <Lines>212</Lines>
  <Paragraphs>59</Paragraphs>
  <TotalTime>2</TotalTime>
  <ScaleCrop>false</ScaleCrop>
  <LinksUpToDate>false</LinksUpToDate>
  <CharactersWithSpaces>29844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zbzx-jsx</dc:creator>
  <cp:lastModifiedBy>zbzx-jsx</cp:lastModifiedBy>
  <dcterms:modified xsi:type="dcterms:W3CDTF">2019-10-09T12:02:14Z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