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ASCO电力切换装置维保项目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二零一九年</w:t>
      </w:r>
      <w:r>
        <w:rPr>
          <w:rFonts w:hint="eastAsia" w:ascii="Calibri" w:hAnsi="Calibri" w:eastAsia="黑体" w:cs="Calibri"/>
          <w:sz w:val="32"/>
          <w:szCs w:val="32"/>
          <w:u w:val="single"/>
          <w:lang w:eastAsia="zh-CN"/>
        </w:rPr>
        <w:t>十</w:t>
      </w:r>
      <w:r>
        <w:rPr>
          <w:rFonts w:hint="eastAsia" w:ascii="Calibri" w:hAnsi="Calibri" w:eastAsia="黑体" w:cs="Calibri"/>
          <w:sz w:val="32"/>
          <w:szCs w:val="32"/>
          <w:lang w:eastAsia="zh-CN"/>
        </w:rPr>
        <w:t>月</w:t>
      </w:r>
    </w:p>
    <w:p>
      <w:pPr>
        <w:snapToGrid w:val="0"/>
        <w:spacing w:line="360" w:lineRule="auto"/>
        <w:jc w:val="center"/>
        <w:rPr>
          <w:rFonts w:cs="Calibri"/>
          <w:color w:val="000000"/>
          <w:sz w:val="32"/>
          <w:szCs w:val="32"/>
        </w:rPr>
      </w:pPr>
    </w:p>
    <w:p>
      <w:pPr>
        <w:pStyle w:val="8"/>
        <w:rPr>
          <w:rFonts w:ascii="Calibri" w:cs="Calibri"/>
          <w:b/>
          <w:color w:val="000000"/>
          <w:sz w:val="44"/>
        </w:rPr>
      </w:pPr>
      <w:bookmarkStart w:id="3" w:name="_Toc386363314"/>
      <w:bookmarkStart w:id="4" w:name="_Toc386359390"/>
      <w:bookmarkStart w:id="5" w:name="_Toc349011855"/>
      <w:bookmarkStart w:id="6" w:name="_Toc349007685"/>
      <w:r>
        <w:rPr>
          <w:rFonts w:hint="eastAsia" w:ascii="Calibri" w:cs="Calibri"/>
          <w:b/>
          <w:color w:val="000000"/>
          <w:sz w:val="44"/>
        </w:rPr>
        <w:t xml:space="preserve"> </w:t>
      </w:r>
    </w:p>
    <w:p>
      <w:pPr>
        <w:pStyle w:val="8"/>
        <w:rPr>
          <w:rFonts w:ascii="Calibri" w:hAnsi="Calibri" w:cs="Calibri"/>
          <w:b/>
          <w:color w:val="000000"/>
          <w:sz w:val="44"/>
        </w:rPr>
      </w:pPr>
      <w:bookmarkStart w:id="7" w:name="_Toc444811406"/>
      <w:bookmarkStart w:id="8" w:name="_Toc444173456"/>
      <w:bookmarkStart w:id="9" w:name="_Toc448002981"/>
      <w:bookmarkStart w:id="10" w:name="_Toc400369182"/>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8"/>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8"/>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8"/>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8"/>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8"/>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8"/>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8"/>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2"/>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24784"/>
      <w:bookmarkStart w:id="14" w:name="_Toc22293"/>
      <w:bookmarkStart w:id="15" w:name="_Toc18642"/>
      <w:bookmarkStart w:id="16" w:name="_Toc6832"/>
      <w:bookmarkStart w:id="17" w:name="_Toc7641"/>
      <w:bookmarkStart w:id="18" w:name="_Toc14628"/>
      <w:bookmarkStart w:id="19" w:name="_Toc8110"/>
      <w:bookmarkStart w:id="20" w:name="_Toc2493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（1）杭州萧山国际机场ASCO电力切换装置维保</w:t>
      </w:r>
      <w:r>
        <w:rPr>
          <w:rFonts w:ascii="宋体" w:hAnsi="宋体" w:cs="Arial"/>
          <w:kern w:val="0"/>
          <w:sz w:val="22"/>
        </w:rPr>
        <w:t>项目</w:t>
      </w:r>
      <w:r>
        <w:rPr>
          <w:rFonts w:hint="eastAsia" w:ascii="宋体" w:hAnsi="宋体" w:cs="Arial"/>
          <w:kern w:val="0"/>
          <w:sz w:val="22"/>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对杭州萧山国际机场T1、</w:t>
      </w:r>
      <w:r>
        <w:rPr>
          <w:rFonts w:ascii="宋体" w:hAnsi="宋体" w:cs="Arial"/>
          <w:kern w:val="0"/>
          <w:sz w:val="22"/>
        </w:rPr>
        <w:t>T2、T3航站楼、信息变电站、机务变电站共9台ASCO电力切换装置的维保工作进行公开招标，型号及数量详见第三部分招标内容及技术要求。包括负责对所有ASCO（总共9台）系统进行日常维护保养、故障维修和应急情况处置，每年两次定期对所有ASCO电力切换装置进行系统检查、测试维护工作</w:t>
      </w:r>
      <w:r>
        <w:rPr>
          <w:rFonts w:hint="eastAsia" w:ascii="宋体" w:hAnsi="宋体" w:cs="Arial"/>
          <w:kern w:val="0"/>
          <w:sz w:val="22"/>
        </w:rPr>
        <w:t>等服务内容。具体要求详见第三章“服务技术标准及要求”。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（3）服务期：一年，自2019年12月1日至2020年11月30日。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Theme="minorEastAsia" w:hAnsiTheme="minorEastAsia" w:cstheme="minorEastAsia"/>
          <w:color w:val="000000"/>
          <w:kern w:val="0"/>
          <w:sz w:val="22"/>
        </w:rPr>
        <w:t>（1）</w:t>
      </w:r>
      <w:r>
        <w:rPr>
          <w:rFonts w:hint="eastAsia" w:ascii="宋体" w:hAnsi="宋体" w:cs="Arial"/>
          <w:kern w:val="0"/>
          <w:sz w:val="22"/>
        </w:rPr>
        <w:t>（1）具有独立法人资格，持有</w:t>
      </w:r>
      <w:r>
        <w:rPr>
          <w:rFonts w:ascii="宋体" w:hAnsi="宋体" w:cs="Arial"/>
          <w:kern w:val="0"/>
          <w:sz w:val="22"/>
        </w:rPr>
        <w:t>有效营业执照。</w:t>
      </w:r>
      <w:r>
        <w:rPr>
          <w:rFonts w:hint="eastAsia" w:ascii="宋体" w:hAnsi="宋体" w:cs="Arial"/>
          <w:kern w:val="0"/>
          <w:sz w:val="22"/>
        </w:rPr>
        <w:t xml:space="preserve">需提供营业执照复印件并加盖投标人公章作为证明材料，原件备查。如营业执照未登记注册资本的，须另外提供企业在“全国企业信用信息公示系统”中自行公示的出资实缴情况，附相关公示网页复制件，并加盖投标人公章。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 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numPr>
          <w:ilvl w:val="0"/>
          <w:numId w:val="1"/>
        </w:numPr>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  </w:t>
      </w:r>
    </w:p>
    <w:p>
      <w:pPr>
        <w:widowControl/>
        <w:adjustRightInd w:val="0"/>
        <w:snapToGrid w:val="0"/>
        <w:spacing w:line="340" w:lineRule="exact"/>
        <w:rPr>
          <w:rFonts w:ascii="宋体" w:hAnsi="宋体" w:cs="Arial"/>
          <w:color w:val="000000" w:themeColor="text1"/>
          <w:kern w:val="0"/>
          <w:sz w:val="22"/>
          <w14:textFill>
            <w14:solidFill>
              <w14:schemeClr w14:val="tx1"/>
            </w14:solidFill>
          </w14:textFill>
        </w:rPr>
      </w:pPr>
      <w:r>
        <w:rPr>
          <w:rFonts w:hint="eastAsia" w:ascii="宋体" w:hAnsi="宋体" w:cs="Arial"/>
          <w:kern w:val="0"/>
          <w:sz w:val="22"/>
        </w:rPr>
        <w:t xml:space="preserve">    </w:t>
      </w:r>
      <w:r>
        <w:rPr>
          <w:rFonts w:hint="eastAsia" w:ascii="宋体" w:hAnsi="宋体" w:cs="Arial"/>
          <w:color w:val="000000" w:themeColor="text1"/>
          <w:kern w:val="0"/>
          <w:sz w:val="22"/>
          <w14:textFill>
            <w14:solidFill>
              <w14:schemeClr w14:val="tx1"/>
            </w14:solidFill>
          </w14:textFill>
        </w:rPr>
        <w:t>（5） 投标服务商需有</w:t>
      </w:r>
      <w:r>
        <w:rPr>
          <w:rFonts w:hint="eastAsia" w:ascii="宋体" w:hAnsi="宋体" w:cs="Arial"/>
          <w:kern w:val="0"/>
          <w:sz w:val="22"/>
        </w:rPr>
        <w:t>至</w:t>
      </w:r>
      <w:r>
        <w:rPr>
          <w:rFonts w:hint="eastAsia" w:ascii="宋体" w:hAnsi="宋体" w:cs="Arial"/>
          <w:color w:val="000000" w:themeColor="text1"/>
          <w:kern w:val="0"/>
          <w:sz w:val="22"/>
          <w14:textFill>
            <w14:solidFill>
              <w14:schemeClr w14:val="tx1"/>
            </w14:solidFill>
          </w14:textFill>
        </w:rPr>
        <w:t>少3年的</w:t>
      </w:r>
      <w:r>
        <w:rPr>
          <w:rFonts w:ascii="宋体" w:hAnsi="宋体" w:cs="Arial"/>
          <w:color w:val="000000" w:themeColor="text1"/>
          <w:kern w:val="0"/>
          <w:sz w:val="22"/>
          <w14:textFill>
            <w14:solidFill>
              <w14:schemeClr w14:val="tx1"/>
            </w14:solidFill>
          </w14:textFill>
        </w:rPr>
        <w:t>ASCO电力切换装置维护服务经验，并提供所做的工程业绩证明和履约记录，财务状况良好。</w:t>
      </w:r>
    </w:p>
    <w:p>
      <w:pPr>
        <w:widowControl/>
        <w:adjustRightInd w:val="0"/>
        <w:snapToGrid w:val="0"/>
        <w:spacing w:line="340" w:lineRule="exact"/>
        <w:rPr>
          <w:rFonts w:hint="eastAsia"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 xml:space="preserve">    （6）投标人必须具备国家能源局颁发的承装、承修、承试电力设施许可证，许可类别和等级：承装、承修、承试类5级（含）及以上资质。（须提供许可证复印件并加盖公章作为证明材料，否则不予认可，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日上午09时30分（北京时间）。投标文件在封口处加盖公章，并派专人于20</w:t>
      </w:r>
      <w:r>
        <w:rPr>
          <w:rFonts w:hint="eastAsia" w:ascii="宋体" w:hAnsi="宋体" w:cs="Arial"/>
          <w:kern w:val="0"/>
          <w:sz w:val="22"/>
          <w:lang w:val="en-US" w:eastAsia="zh-CN"/>
        </w:rPr>
        <w:t>19</w:t>
      </w:r>
      <w:r>
        <w:rPr>
          <w:rFonts w:hint="eastAsia" w:ascii="宋体" w:hAnsi="宋体" w:cs="Arial"/>
          <w:kern w:val="0"/>
          <w:sz w:val="22"/>
        </w:rPr>
        <w:t>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日上午09时30分（北京时间）前送至杭州萧山国际机场110kV变电站，逾期无效；若采用投递（邮寄）方式的，请于2019年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日上午09时30分（北京时间）前投递至杭州萧山国际机场110kV变电站</w:t>
      </w:r>
      <w:r>
        <w:rPr>
          <w:rFonts w:hint="eastAsia" w:ascii="宋体" w:hAnsi="宋体" w:cs="Arial"/>
          <w:kern w:val="0"/>
          <w:sz w:val="22"/>
          <w:lang w:val="zh-CN"/>
        </w:rPr>
        <w:t>，</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逾期送达或者未送达指定地点的投标文件，招标方不予受理。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投标联系人：金远       联系电话：0571-</w:t>
      </w:r>
      <w:r>
        <w:rPr>
          <w:rFonts w:asciiTheme="minorEastAsia" w:hAnsiTheme="minorEastAsia"/>
          <w:sz w:val="22"/>
        </w:rPr>
        <w:t>838376</w:t>
      </w:r>
      <w:r>
        <w:rPr>
          <w:rFonts w:hint="eastAsia" w:asciiTheme="minorEastAsia" w:hAnsiTheme="minorEastAsia"/>
          <w:sz w:val="22"/>
        </w:rPr>
        <w:t xml:space="preserve">48 </w:t>
      </w:r>
    </w:p>
    <w:p>
      <w:pPr>
        <w:widowControl/>
        <w:adjustRightInd w:val="0"/>
        <w:snapToGrid w:val="0"/>
        <w:spacing w:line="340" w:lineRule="exact"/>
        <w:ind w:firstLine="440" w:firstLineChars="200"/>
        <w:rPr>
          <w:rFonts w:ascii="宋体" w:hAnsi="宋体"/>
          <w:sz w:val="22"/>
        </w:rPr>
      </w:pPr>
      <w:r>
        <w:rPr>
          <w:rFonts w:hint="eastAsia" w:asciiTheme="minorEastAsia" w:hAnsiTheme="minorEastAsia"/>
          <w:bCs/>
          <w:sz w:val="22"/>
        </w:rPr>
        <w:t>招标监督人：杜鑫琴      联系电话：0571-86662361</w:t>
      </w: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4"/>
        <w:jc w:val="center"/>
        <w:rPr>
          <w:rFonts w:ascii="Calibri" w:hAnsi="Calibri" w:eastAsia="黑体" w:cs="Calibri"/>
          <w:kern w:val="2"/>
          <w:sz w:val="28"/>
          <w:szCs w:val="32"/>
        </w:rPr>
      </w:pPr>
      <w:bookmarkStart w:id="26" w:name="_Toc444811409"/>
      <w:bookmarkStart w:id="27" w:name="_Toc386359393"/>
      <w:bookmarkStart w:id="28" w:name="_Toc386363317"/>
      <w:bookmarkStart w:id="29" w:name="_Toc400369185"/>
      <w:bookmarkStart w:id="30" w:name="_Toc349011858"/>
      <w:bookmarkStart w:id="31" w:name="_Toc448002984"/>
      <w:bookmarkStart w:id="32" w:name="_Toc11881"/>
      <w:bookmarkStart w:id="33" w:name="_Toc349007688"/>
      <w:bookmarkStart w:id="34" w:name="_Toc444173459"/>
      <w:bookmarkStart w:id="35" w:name="_Toc44417497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ASCO电力切换装置</w:t>
            </w:r>
            <w:r>
              <w:rPr>
                <w:rFonts w:hint="eastAsia" w:cs="Arial" w:asciiTheme="minorEastAsia" w:hAnsiTheme="minorEastAsia"/>
                <w:kern w:val="0"/>
                <w:sz w:val="22"/>
              </w:rPr>
              <w:t>维保</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1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rPr>
              <w:t>一年，自2019年12月1日至2020年11月30日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相关</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kern w:val="0"/>
                <w:sz w:val="22"/>
              </w:rPr>
              <w:t>2019</w:t>
            </w:r>
            <w:r>
              <w:rPr>
                <w:rFonts w:cs="Calibri" w:asciiTheme="minorEastAsia" w:hAnsiTheme="minorEastAsia"/>
                <w:kern w:val="0"/>
                <w:sz w:val="22"/>
              </w:rPr>
              <w:t>年</w:t>
            </w:r>
            <w:r>
              <w:rPr>
                <w:rFonts w:hint="eastAsia" w:cs="Calibri" w:asciiTheme="minorEastAsia" w:hAnsiTheme="minorEastAsia"/>
                <w:kern w:val="0"/>
                <w:sz w:val="22"/>
                <w:lang w:val="en-US" w:eastAsia="zh-CN"/>
              </w:rPr>
              <w:t>10</w:t>
            </w:r>
            <w:r>
              <w:rPr>
                <w:rFonts w:cs="Calibri" w:asciiTheme="minorEastAsia" w:hAnsiTheme="minorEastAsia"/>
                <w:kern w:val="0"/>
                <w:sz w:val="22"/>
              </w:rPr>
              <w:t>月</w:t>
            </w:r>
            <w:r>
              <w:rPr>
                <w:rFonts w:hint="eastAsia" w:cs="Calibri" w:asciiTheme="minorEastAsia" w:hAnsiTheme="minorEastAsia"/>
                <w:kern w:val="0"/>
                <w:sz w:val="22"/>
                <w:lang w:val="en-US" w:eastAsia="zh-CN"/>
              </w:rPr>
              <w:t>17</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招标方</w:t>
            </w:r>
            <w:r>
              <w:rPr>
                <w:rFonts w:cs="Calibri" w:asciiTheme="minorEastAsia" w:hAnsiTheme="minorEastAsia"/>
                <w:kern w:val="0"/>
                <w:sz w:val="22"/>
              </w:rPr>
              <w:t>（</w:t>
            </w:r>
            <w:r>
              <w:rPr>
                <w:rFonts w:hint="eastAsia" w:cs="Calibri" w:asciiTheme="minorEastAsia" w:hAnsiTheme="minorEastAsia"/>
                <w:kern w:val="0"/>
                <w:sz w:val="22"/>
              </w:rPr>
              <w:t>投标联系人：金远；电话</w:t>
            </w:r>
            <w:r>
              <w:rPr>
                <w:rFonts w:cs="Calibri" w:asciiTheme="minorEastAsia" w:hAnsiTheme="minorEastAsia"/>
                <w:kern w:val="0"/>
                <w:sz w:val="22"/>
              </w:rPr>
              <w:t>：0571-</w:t>
            </w:r>
            <w:r>
              <w:rPr>
                <w:rFonts w:asciiTheme="minorEastAsia" w:hAnsiTheme="minorEastAsia"/>
                <w:sz w:val="22"/>
              </w:rPr>
              <w:t>838376</w:t>
            </w:r>
            <w:r>
              <w:rPr>
                <w:rFonts w:hint="eastAsia" w:asciiTheme="minorEastAsia" w:hAnsiTheme="minorEastAsia"/>
                <w:sz w:val="22"/>
              </w:rPr>
              <w:t>48</w:t>
            </w:r>
            <w:r>
              <w:rPr>
                <w:rFonts w:cs="Calibri" w:asciiTheme="minorEastAsia" w:hAnsiTheme="minorEastAsia"/>
                <w:kern w:val="0"/>
                <w:sz w:val="22"/>
              </w:rPr>
              <w:t>；</w:t>
            </w:r>
            <w:r>
              <w:rPr>
                <w:rFonts w:hint="eastAsia" w:cs="Calibri" w:asciiTheme="minorEastAsia" w:hAnsiTheme="minorEastAsia"/>
                <w:kern w:val="0"/>
                <w:sz w:val="22"/>
              </w:rPr>
              <w:t>传真：</w:t>
            </w:r>
            <w:r>
              <w:rPr>
                <w:rFonts w:cs="Calibri" w:asciiTheme="minorEastAsia" w:hAnsiTheme="minorEastAsia"/>
                <w:kern w:val="0"/>
                <w:sz w:val="22"/>
              </w:rPr>
              <w:t>0571-</w:t>
            </w:r>
            <w:r>
              <w:rPr>
                <w:rFonts w:asciiTheme="minorEastAsia" w:hAnsiTheme="minorEastAsia"/>
                <w:sz w:val="22"/>
              </w:rPr>
              <w:t>838376</w:t>
            </w:r>
            <w:r>
              <w:rPr>
                <w:rFonts w:hint="eastAsia" w:asciiTheme="minorEastAsia" w:hAnsiTheme="minorEastAsia"/>
                <w:sz w:val="22"/>
              </w:rPr>
              <w:t>49；</w:t>
            </w:r>
            <w:r>
              <w:rPr>
                <w:rFonts w:cs="Calibri" w:asciiTheme="minorEastAsia" w:hAnsiTheme="minorEastAsia"/>
                <w:kern w:val="0"/>
                <w:sz w:val="22"/>
              </w:rPr>
              <w:t>邮箱：</w:t>
            </w:r>
            <w:r>
              <w:rPr>
                <w:rFonts w:hint="eastAsia" w:cs="Calibri" w:asciiTheme="minorEastAsia" w:hAnsiTheme="minorEastAsia"/>
                <w:kern w:val="0"/>
                <w:sz w:val="22"/>
              </w:rPr>
              <w:t>451771200@qq.com</w:t>
            </w:r>
            <w:r>
              <w:rPr>
                <w:rFonts w:cs="Calibri" w:asciiTheme="minorEastAsia" w:hAnsiTheme="minorEastAsia"/>
                <w:kern w:val="0"/>
                <w:sz w:val="22"/>
              </w:rPr>
              <w:t>）投标人必须在规定时间前提出对招标文件的疑问，否则</w:t>
            </w:r>
            <w:r>
              <w:rPr>
                <w:rFonts w:hint="eastAsia" w:cs="Calibri" w:asciiTheme="minorEastAsia" w:hAnsiTheme="minorEastAsia"/>
                <w:kern w:val="0"/>
                <w:sz w:val="22"/>
              </w:rPr>
              <w:t>招标方</w:t>
            </w:r>
            <w:r>
              <w:rPr>
                <w:rFonts w:cs="Calibri" w:asciiTheme="minorEastAsia" w:hAnsiTheme="minorEastAsia"/>
                <w:kern w:val="0"/>
                <w:sz w:val="22"/>
              </w:rPr>
              <w:t>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b/>
                <w:kern w:val="0"/>
                <w:sz w:val="22"/>
              </w:rPr>
              <w:t>2019年月日上午09时30分（北京时间）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招标方可主动地或在解答投标人提出的澄清问题时对招标文件进行修改，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对招标文件的修改将以补充公告的形式发布，所有获得招标文件的投标人应自行关注网站公告，招标方不再一一通知。投标人因自身贻误行为导致投标失败的，责任自负。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kern w:val="0"/>
                <w:sz w:val="22"/>
                <w:u w:val="single"/>
              </w:rPr>
              <w:t>杭州萧山国际机场</w:t>
            </w:r>
            <w:bookmarkStart w:id="118" w:name="_GoBack"/>
            <w:bookmarkEnd w:id="118"/>
            <w:r>
              <w:rPr>
                <w:rFonts w:hint="eastAsia" w:cs="Calibri" w:asciiTheme="minorEastAsia" w:hAnsiTheme="minorEastAsia"/>
                <w:kern w:val="0"/>
                <w:sz w:val="22"/>
                <w:u w:val="single"/>
              </w:rPr>
              <w:t>ASCO电力切换装置</w:t>
            </w:r>
            <w:r>
              <w:rPr>
                <w:rFonts w:hint="eastAsia" w:cs="Arial" w:asciiTheme="minorEastAsia" w:hAnsiTheme="minorEastAsia"/>
                <w:kern w:val="0"/>
                <w:sz w:val="22"/>
                <w:u w:val="single"/>
              </w:rPr>
              <w:t>维保</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rPr>
              <w:t>2019</w:t>
            </w:r>
            <w:r>
              <w:rPr>
                <w:rFonts w:cs="Calibri" w:asciiTheme="minorEastAsia" w:hAnsiTheme="minorEastAsia"/>
                <w:kern w:val="0"/>
                <w:sz w:val="22"/>
              </w:rPr>
              <w:t>年</w:t>
            </w:r>
            <w:r>
              <w:rPr>
                <w:rFonts w:hint="eastAsia" w:cs="Calibri" w:asciiTheme="minorEastAsia" w:hAnsiTheme="minorEastAsia"/>
                <w:kern w:val="0"/>
                <w:sz w:val="22"/>
                <w:u w:val="single"/>
                <w:lang w:val="en-US" w:eastAsia="zh-CN"/>
              </w:rPr>
              <w:t>10</w:t>
            </w:r>
            <w:r>
              <w:rPr>
                <w:rFonts w:cs="Calibri" w:asciiTheme="minorEastAsia" w:hAnsiTheme="minorEastAsia"/>
                <w:kern w:val="0"/>
                <w:sz w:val="22"/>
              </w:rPr>
              <w:t>月</w:t>
            </w:r>
            <w:r>
              <w:rPr>
                <w:rFonts w:hint="eastAsia" w:cs="Calibri" w:asciiTheme="minorEastAsia" w:hAnsiTheme="minorEastAsia"/>
                <w:kern w:val="0"/>
                <w:sz w:val="22"/>
                <w:u w:val="single"/>
                <w:lang w:val="en-US" w:eastAsia="zh-CN"/>
              </w:rPr>
              <w:t>21</w:t>
            </w:r>
            <w:r>
              <w:rPr>
                <w:rFonts w:cs="Calibri" w:asciiTheme="minorEastAsia" w:hAnsiTheme="minorEastAsia"/>
                <w:kern w:val="0"/>
                <w:sz w:val="22"/>
              </w:rPr>
              <w:t>日</w:t>
            </w:r>
            <w:r>
              <w:rPr>
                <w:rFonts w:hint="eastAsia" w:cs="Calibri" w:asciiTheme="minorEastAsia" w:hAnsiTheme="minorEastAsia"/>
                <w:kern w:val="0"/>
                <w:sz w:val="22"/>
                <w:u w:val="single"/>
              </w:rPr>
              <w:t>09</w:t>
            </w:r>
            <w:r>
              <w:rPr>
                <w:rFonts w:cs="Calibri" w:asciiTheme="minorEastAsia" w:hAnsiTheme="minorEastAsia"/>
                <w:kern w:val="0"/>
                <w:sz w:val="22"/>
              </w:rPr>
              <w:t>时</w:t>
            </w:r>
            <w:r>
              <w:rPr>
                <w:rFonts w:hint="eastAsia" w:cs="Calibri" w:asciiTheme="minorEastAsia" w:hAnsiTheme="minorEastAsia"/>
                <w:kern w:val="0"/>
                <w:sz w:val="22"/>
                <w:u w:val="single"/>
              </w:rPr>
              <w:t>30</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Theme="minorEastAsia" w:hAnsiTheme="minorEastAsia"/>
                <w:b/>
                <w:color w:val="000000" w:themeColor="text1"/>
                <w:sz w:val="22"/>
                <w14:textFill>
                  <w14:solidFill>
                    <w14:schemeClr w14:val="tx1"/>
                  </w14:solidFill>
                </w14:textFill>
              </w:rPr>
              <w:t>杭州萧山国际机110kV变电站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评标委员会由招标方自行组建。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w:t>
            </w:r>
            <w:r>
              <w:rPr>
                <w:rFonts w:hint="eastAsia" w:cs="Calibri" w:asciiTheme="minorEastAsia" w:hAnsiTheme="minorEastAsia" w:eastAsiaTheme="minorEastAsia"/>
                <w:kern w:val="0"/>
                <w:sz w:val="22"/>
              </w:rPr>
              <w:t>中标方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9"/>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w:t>
            </w:r>
            <w:r>
              <w:rPr>
                <w:rFonts w:hint="eastAsia" w:cs="Calibri" w:asciiTheme="minorEastAsia" w:hAnsiTheme="minorEastAsia" w:eastAsiaTheme="minorEastAsia"/>
                <w:snapToGrid w:val="0"/>
                <w:kern w:val="0"/>
                <w:sz w:val="22"/>
              </w:rPr>
              <w:t>招标方</w:t>
            </w:r>
            <w:r>
              <w:rPr>
                <w:rFonts w:cs="Calibri" w:asciiTheme="minorEastAsia" w:hAnsiTheme="minorEastAsia" w:eastAsiaTheme="minorEastAsia"/>
                <w:snapToGrid w:val="0"/>
                <w:kern w:val="0"/>
                <w:sz w:val="22"/>
              </w:rPr>
              <w:t>书面反映，逾期不得再对招标文件的条款提出质疑。</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9"/>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 xml:space="preserve">.4 </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向投标人提供的有关现场的数据和资料，仅供投标人在编制投标文件时参考，</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工作不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w:t>
      </w:r>
      <w:r>
        <w:rPr>
          <w:rFonts w:hint="eastAsia" w:cs="Calibri" w:asciiTheme="minorEastAsia" w:hAnsiTheme="minorEastAsia"/>
          <w:color w:val="000000"/>
          <w:sz w:val="22"/>
        </w:rPr>
        <w:t>招标方</w:t>
      </w:r>
      <w:r>
        <w:rPr>
          <w:rFonts w:cs="Calibri" w:asciiTheme="minorEastAsia" w:hAnsiTheme="minorEastAsia"/>
          <w:color w:val="000000"/>
          <w:sz w:val="22"/>
        </w:rPr>
        <w:t>提出，以便补齐。如有疑问，应在投标人须知前附表规定的时间前以书面形式（包括信函、电报、传真等可以有形地表现所载内容的形式、下同），要求</w:t>
      </w:r>
      <w:r>
        <w:rPr>
          <w:rFonts w:hint="eastAsia" w:cs="Calibri" w:asciiTheme="minorEastAsia" w:hAnsiTheme="minorEastAsia"/>
          <w:color w:val="000000"/>
          <w:sz w:val="22"/>
        </w:rPr>
        <w:t>招标方</w:t>
      </w:r>
      <w:r>
        <w:rPr>
          <w:rFonts w:cs="Calibri" w:asciiTheme="minorEastAsia" w:hAnsiTheme="minorEastAsia"/>
          <w:color w:val="000000"/>
          <w:sz w:val="22"/>
        </w:rPr>
        <w:t>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招标方将视情况采用补充公告的方式予以澄清。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bCs/>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asciiTheme="minorEastAsia" w:hAnsiTheme="minorEastAsia" w:eastAsiaTheme="minorEastAsia"/>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bookmarkStart w:id="63" w:name="_Toc29989"/>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w:t>
      </w:r>
      <w:r>
        <w:rPr>
          <w:rFonts w:hint="eastAsia" w:cs="Calibri" w:asciiTheme="minorEastAsia" w:hAnsiTheme="minorEastAsia" w:eastAsiaTheme="minorEastAsia"/>
          <w:sz w:val="22"/>
        </w:rPr>
        <w:t>招标方</w:t>
      </w:r>
      <w:r>
        <w:rPr>
          <w:rFonts w:cs="Calibri" w:asciiTheme="minorEastAsia" w:hAnsiTheme="minorEastAsia" w:eastAsiaTheme="minorEastAsia"/>
          <w:sz w:val="22"/>
        </w:rPr>
        <w:t>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w:t>
      </w:r>
      <w:r>
        <w:rPr>
          <w:rFonts w:hint="eastAsia" w:cs="Calibri" w:asciiTheme="minorEastAsia" w:hAnsiTheme="minorEastAsia" w:eastAsiaTheme="minorEastAsia"/>
          <w:sz w:val="22"/>
        </w:rPr>
        <w:t>招标方</w:t>
      </w:r>
      <w:r>
        <w:rPr>
          <w:rFonts w:cs="Calibri" w:asciiTheme="minorEastAsia" w:hAnsiTheme="minorEastAsia" w:eastAsiaTheme="minorEastAsia"/>
          <w:sz w:val="22"/>
        </w:rPr>
        <w:t>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hint="eastAsia" w:ascii="宋体" w:hAnsi="宋体" w:cs="Calibri" w:eastAsiaTheme="minorEastAsia"/>
          <w:sz w:val="22"/>
        </w:rPr>
        <w:t>招标方</w:t>
      </w:r>
      <w:r>
        <w:rPr>
          <w:rFonts w:ascii="宋体" w:hAnsi="宋体" w:cs="Calibri"/>
          <w:sz w:val="22"/>
        </w:rPr>
        <w:t>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w:t>
      </w:r>
      <w:r>
        <w:rPr>
          <w:rFonts w:hint="eastAsia" w:cs="Calibri" w:asciiTheme="minorEastAsia" w:hAnsiTheme="minorEastAsia" w:eastAsiaTheme="minorEastAsia"/>
          <w:color w:val="000000"/>
          <w:sz w:val="22"/>
        </w:rPr>
        <w:t>招标方</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w:t>
      </w: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w:t>
      </w:r>
      <w:r>
        <w:rPr>
          <w:rFonts w:hint="eastAsia" w:cs="Calibri" w:asciiTheme="minorEastAsia" w:hAnsiTheme="minorEastAsia" w:eastAsiaTheme="minorEastAsia"/>
          <w:color w:val="000000"/>
          <w:sz w:val="22"/>
        </w:rPr>
        <w:t>中标方</w:t>
      </w:r>
      <w:r>
        <w:rPr>
          <w:rFonts w:cs="Calibri" w:asciiTheme="minorEastAsia" w:hAnsiTheme="minorEastAsia" w:eastAsiaTheme="minorEastAsia"/>
          <w:color w:val="000000"/>
          <w:sz w:val="22"/>
        </w:rPr>
        <w:t>外，</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依据评标委员会推荐的中标候选人确定</w:t>
      </w:r>
      <w:r>
        <w:rPr>
          <w:rFonts w:hint="eastAsia" w:cs="Calibri" w:asciiTheme="minorEastAsia" w:hAnsiTheme="minorEastAsia" w:eastAsiaTheme="minorEastAsia"/>
          <w:color w:val="000000"/>
          <w:sz w:val="22"/>
        </w:rPr>
        <w:t>中标方</w:t>
      </w:r>
      <w:r>
        <w:rPr>
          <w:rFonts w:cs="Calibri" w:asciiTheme="minorEastAsia" w:hAnsiTheme="minorEastAsia" w:eastAsiaTheme="minorEastAsia"/>
          <w:color w:val="000000"/>
          <w:sz w:val="22"/>
        </w:rPr>
        <w:t>，评标委员会推荐中标候选人的人数见投标人须知前附表。</w:t>
      </w:r>
      <w:r>
        <w:rPr>
          <w:rFonts w:hint="eastAsia" w:cs="Calibri" w:asciiTheme="minorEastAsia" w:hAnsiTheme="minorEastAsia" w:eastAsiaTheme="minorEastAsia"/>
          <w:color w:val="000000"/>
          <w:sz w:val="22"/>
        </w:rPr>
        <w:t>招标方对评标、定标结果不负责解释。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以书面形式向</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w:t>
      </w:r>
      <w:r>
        <w:rPr>
          <w:rFonts w:hint="eastAsia" w:cs="Calibri" w:asciiTheme="minorEastAsia" w:hAnsiTheme="minorEastAsia" w:eastAsiaTheme="minorEastAsia"/>
          <w:kern w:val="0"/>
          <w:sz w:val="22"/>
        </w:rPr>
        <w:t>中标方</w:t>
      </w:r>
      <w:r>
        <w:rPr>
          <w:rFonts w:cs="Calibri" w:asciiTheme="minorEastAsia" w:hAnsiTheme="minorEastAsia" w:eastAsiaTheme="minorEastAsia"/>
          <w:kern w:val="0"/>
          <w:sz w:val="22"/>
        </w:rPr>
        <w:t>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w:t>
      </w: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7.3.2 </w:t>
      </w:r>
      <w:r>
        <w:rPr>
          <w:rFonts w:hint="eastAsia" w:cs="Calibri" w:asciiTheme="minorEastAsia" w:hAnsiTheme="minorEastAsia" w:eastAsiaTheme="minorEastAsia"/>
          <w:kern w:val="0"/>
          <w:sz w:val="22"/>
        </w:rPr>
        <w:t>中标方</w:t>
      </w:r>
      <w:r>
        <w:rPr>
          <w:rFonts w:cs="Calibri" w:asciiTheme="minorEastAsia" w:hAnsiTheme="minorEastAsia" w:eastAsiaTheme="minorEastAsia"/>
          <w:kern w:val="0"/>
          <w:sz w:val="22"/>
        </w:rPr>
        <w:t>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w:t>
      </w:r>
      <w:r>
        <w:rPr>
          <w:rFonts w:hint="eastAsia" w:cs="Calibri" w:asciiTheme="minorEastAsia" w:hAnsiTheme="minorEastAsia" w:eastAsiaTheme="minorEastAsia"/>
          <w:kern w:val="0"/>
          <w:sz w:val="22"/>
        </w:rPr>
        <w:t>招标方</w:t>
      </w:r>
      <w:r>
        <w:rPr>
          <w:rFonts w:cs="Calibri" w:asciiTheme="minorEastAsia" w:hAnsiTheme="minorEastAsia" w:eastAsiaTheme="minorEastAsia"/>
          <w:kern w:val="0"/>
          <w:sz w:val="22"/>
        </w:rPr>
        <w:t>造成的损失超过投标保证金数额的，</w:t>
      </w:r>
      <w:r>
        <w:rPr>
          <w:rFonts w:hint="eastAsia" w:cs="Calibri" w:asciiTheme="minorEastAsia" w:hAnsiTheme="minorEastAsia" w:eastAsiaTheme="minorEastAsia"/>
          <w:kern w:val="0"/>
          <w:sz w:val="22"/>
        </w:rPr>
        <w:t>中标方</w:t>
      </w:r>
      <w:r>
        <w:rPr>
          <w:rFonts w:cs="Calibri" w:asciiTheme="minorEastAsia" w:hAnsiTheme="minorEastAsia" w:eastAsiaTheme="minorEastAsia"/>
          <w:kern w:val="0"/>
          <w:sz w:val="22"/>
        </w:rPr>
        <w:t>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19809801"/>
      <w:bookmarkStart w:id="83" w:name="_Toc220123241"/>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和</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无正当理由拒签协议的，</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取消其中标资格，其投标保证金不予退还；给</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造成的损失超过投标保证金数额的，</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无正当理由拒签合同的，</w:t>
      </w:r>
      <w:r>
        <w:rPr>
          <w:rFonts w:hint="eastAsia" w:cs="Calibri" w:asciiTheme="minorEastAsia" w:hAnsiTheme="minorEastAsia" w:eastAsiaTheme="minorEastAsia"/>
          <w:color w:val="000000"/>
          <w:kern w:val="0"/>
          <w:sz w:val="22"/>
        </w:rPr>
        <w:t>招标方</w:t>
      </w:r>
      <w:r>
        <w:rPr>
          <w:rFonts w:cs="Calibri" w:asciiTheme="minorEastAsia" w:hAnsiTheme="minorEastAsia" w:eastAsiaTheme="minorEastAsia"/>
          <w:color w:val="000000"/>
          <w:kern w:val="0"/>
          <w:sz w:val="22"/>
        </w:rPr>
        <w:t>向</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退还投标保证金；给</w:t>
      </w:r>
      <w:r>
        <w:rPr>
          <w:rFonts w:hint="eastAsia" w:cs="Calibri" w:asciiTheme="minorEastAsia" w:hAnsiTheme="minorEastAsia" w:eastAsiaTheme="minorEastAsia"/>
          <w:color w:val="000000"/>
          <w:kern w:val="0"/>
          <w:sz w:val="22"/>
        </w:rPr>
        <w:t>中标方</w:t>
      </w:r>
      <w:r>
        <w:rPr>
          <w:rFonts w:cs="Calibri" w:asciiTheme="minorEastAsia" w:hAnsiTheme="minorEastAsia" w:eastAsiaTheme="minorEastAsia"/>
          <w:color w:val="000000"/>
          <w:kern w:val="0"/>
          <w:sz w:val="22"/>
        </w:rPr>
        <w:t>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15553"/>
      <w:bookmarkStart w:id="85" w:name="_Toc220123242"/>
      <w:bookmarkStart w:id="86" w:name="_Toc21980980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所有投标人的报价均偏高，招标方无法接受的；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20123243"/>
      <w:bookmarkStart w:id="88" w:name="_Toc219809803"/>
      <w:bookmarkStart w:id="89" w:name="_Toc18806"/>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5941254"/>
      <w:bookmarkStart w:id="91" w:name="_Toc220123244"/>
      <w:bookmarkStart w:id="92" w:name="_Toc2986"/>
      <w:bookmarkStart w:id="93" w:name="_Toc21980980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5509"/>
      <w:bookmarkStart w:id="96" w:name="_Toc220123245"/>
      <w:r>
        <w:rPr>
          <w:rFonts w:cs="Calibri" w:asciiTheme="minorEastAsia" w:hAnsiTheme="minorEastAsia" w:eastAsiaTheme="minorEastAsia"/>
          <w:b/>
          <w:bCs/>
          <w:kern w:val="0"/>
          <w:sz w:val="22"/>
        </w:rPr>
        <w:t>9.1 对</w:t>
      </w:r>
      <w:r>
        <w:rPr>
          <w:rFonts w:hint="eastAsia" w:cs="Calibri" w:asciiTheme="minorEastAsia" w:hAnsiTheme="minorEastAsia" w:eastAsiaTheme="minorEastAsia"/>
          <w:b/>
          <w:bCs/>
          <w:kern w:val="0"/>
          <w:sz w:val="22"/>
        </w:rPr>
        <w:t>招标方</w:t>
      </w:r>
      <w:r>
        <w:rPr>
          <w:rFonts w:cs="Calibri" w:asciiTheme="minorEastAsia" w:hAnsiTheme="minorEastAsia" w:eastAsiaTheme="minorEastAsia"/>
          <w:b/>
          <w:bCs/>
          <w:kern w:val="0"/>
          <w:sz w:val="22"/>
        </w:rPr>
        <w:t>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19809806"/>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串通投标，不得向</w:t>
      </w:r>
      <w:r>
        <w:rPr>
          <w:rFonts w:hint="eastAsia" w:cs="Calibri" w:asciiTheme="minorEastAsia" w:hAnsiTheme="minorEastAsia" w:eastAsiaTheme="minorEastAsia"/>
          <w:color w:val="000000"/>
          <w:sz w:val="22"/>
        </w:rPr>
        <w:t>招标方</w:t>
      </w:r>
      <w:r>
        <w:rPr>
          <w:rFonts w:cs="Calibri" w:asciiTheme="minorEastAsia" w:hAnsiTheme="minorEastAsia" w:eastAsiaTheme="minorEastAsia"/>
          <w:color w:val="000000"/>
          <w:sz w:val="22"/>
        </w:rPr>
        <w:t>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若投标人存在串通投标或弄虚作假或有其他违法行为的，招标方有权没收投标人的投标保证金，2年内禁止参与招标方所有招标项目的投标，给招标方造成损失的，还需承担赔偿责任。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10756"/>
      <w:bookmarkStart w:id="102" w:name="_Toc22012324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220123248"/>
      <w:bookmarkStart w:id="105" w:name="_Toc12792"/>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39"/>
      <w:bookmarkStart w:id="108" w:name="_Toc22012324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djustRightInd w:val="0"/>
        <w:snapToGrid w:val="0"/>
        <w:spacing w:line="360" w:lineRule="exact"/>
        <w:jc w:val="left"/>
        <w:rPr>
          <w:rFonts w:ascii="宋体" w:hAnsi="宋体" w:cs="宋体"/>
          <w:b/>
          <w:bCs/>
          <w:color w:val="000000"/>
          <w:sz w:val="22"/>
        </w:rPr>
      </w:pPr>
      <w:r>
        <w:rPr>
          <w:rFonts w:hint="eastAsia" w:ascii="宋体" w:hAnsi="宋体" w:cs="宋体"/>
          <w:b/>
          <w:bCs/>
          <w:color w:val="000000"/>
          <w:sz w:val="22"/>
        </w:rPr>
        <w:t>1.项目概况</w:t>
      </w:r>
    </w:p>
    <w:p>
      <w:pPr>
        <w:adjustRightInd w:val="0"/>
        <w:snapToGrid w:val="0"/>
        <w:spacing w:line="360" w:lineRule="exact"/>
        <w:rPr>
          <w:rFonts w:ascii="宋体" w:hAnsi="宋体" w:cs="宋体"/>
          <w:b/>
          <w:bCs/>
          <w:color w:val="000000"/>
          <w:sz w:val="22"/>
        </w:rPr>
      </w:pPr>
      <w:r>
        <w:rPr>
          <w:rFonts w:hint="eastAsia" w:ascii="宋体" w:hAnsi="宋体" w:cs="宋体"/>
          <w:b/>
          <w:bCs/>
          <w:color w:val="000000"/>
          <w:sz w:val="22"/>
        </w:rPr>
        <w:t xml:space="preserve">    为确保机场</w:t>
      </w:r>
      <w:r>
        <w:rPr>
          <w:rFonts w:ascii="宋体" w:hAnsi="宋体" w:cs="宋体"/>
          <w:b/>
          <w:bCs/>
          <w:color w:val="000000"/>
          <w:sz w:val="22"/>
        </w:rPr>
        <w:t>ASCO电力切换装置安全、可靠地正常运行，杭州萧山国际机场对机场T1、T2、T3航站楼、信息变电站、机务变电站共9台ASCO电力切换装置的维保工作进行公开招标，招标内容包括负责对所列ASCO电力切换装置进行日常维护保养、故障维修和应急情况处置</w:t>
      </w:r>
      <w:r>
        <w:rPr>
          <w:rFonts w:hint="eastAsia" w:ascii="宋体" w:hAnsi="宋体" w:cs="宋体"/>
          <w:b/>
          <w:bCs/>
          <w:color w:val="000000"/>
          <w:sz w:val="22"/>
        </w:rPr>
        <w:t>。</w:t>
      </w:r>
    </w:p>
    <w:p>
      <w:pPr>
        <w:adjustRightInd w:val="0"/>
        <w:snapToGrid w:val="0"/>
        <w:spacing w:line="360" w:lineRule="exact"/>
        <w:jc w:val="left"/>
        <w:rPr>
          <w:rFonts w:ascii="宋体" w:hAnsi="宋体" w:cs="宋体"/>
          <w:b/>
          <w:bCs/>
          <w:color w:val="000000"/>
          <w:sz w:val="22"/>
        </w:rPr>
      </w:pPr>
      <w:r>
        <w:rPr>
          <w:rFonts w:hint="eastAsia" w:ascii="宋体" w:hAnsi="宋体" w:cs="宋体"/>
          <w:b/>
          <w:bCs/>
          <w:color w:val="000000"/>
          <w:sz w:val="22"/>
        </w:rPr>
        <w:t>2.招标内容</w:t>
      </w:r>
    </w:p>
    <w:p>
      <w:pPr>
        <w:adjustRightInd w:val="0"/>
        <w:snapToGrid w:val="0"/>
        <w:spacing w:line="360" w:lineRule="exact"/>
        <w:ind w:firstLine="221" w:firstLineChars="100"/>
        <w:jc w:val="left"/>
        <w:rPr>
          <w:rFonts w:ascii="宋体" w:hAnsi="宋体" w:cs="宋体"/>
          <w:b/>
          <w:bCs/>
          <w:color w:val="000000"/>
          <w:sz w:val="22"/>
        </w:rPr>
      </w:pPr>
      <w:r>
        <w:rPr>
          <w:rFonts w:hint="eastAsia" w:ascii="宋体" w:hAnsi="宋体" w:cs="宋体"/>
          <w:b/>
          <w:bCs/>
          <w:color w:val="000000"/>
          <w:sz w:val="22"/>
        </w:rPr>
        <w:t xml:space="preserve">  对杭州萧山国际机场T1、</w:t>
      </w:r>
      <w:r>
        <w:rPr>
          <w:rFonts w:ascii="宋体" w:hAnsi="宋体" w:cs="宋体"/>
          <w:b/>
          <w:bCs/>
          <w:color w:val="000000"/>
          <w:sz w:val="22"/>
        </w:rPr>
        <w:t>T2、T3航站楼、信息变电站、机务变电站共9台ASCO电力切换装置进行为期</w:t>
      </w:r>
      <w:r>
        <w:rPr>
          <w:rFonts w:hint="eastAsia" w:ascii="宋体" w:hAnsi="宋体" w:cs="宋体"/>
          <w:b/>
          <w:bCs/>
          <w:sz w:val="22"/>
        </w:rPr>
        <w:t>一年的</w:t>
      </w:r>
      <w:r>
        <w:rPr>
          <w:rFonts w:hint="eastAsia" w:ascii="宋体" w:hAnsi="宋体" w:cs="宋体"/>
          <w:b/>
          <w:bCs/>
          <w:color w:val="000000"/>
          <w:sz w:val="22"/>
        </w:rPr>
        <w:t>维保工作和</w:t>
      </w:r>
      <w:r>
        <w:rPr>
          <w:rFonts w:ascii="宋体" w:hAnsi="宋体" w:cs="宋体"/>
          <w:b/>
          <w:bCs/>
          <w:color w:val="000000"/>
          <w:sz w:val="22"/>
        </w:rPr>
        <w:t>T3航站楼1#、2#、5#ASCO柜</w:t>
      </w:r>
      <w:r>
        <w:rPr>
          <w:rFonts w:hint="eastAsia" w:ascii="宋体" w:hAnsi="宋体" w:cs="宋体"/>
          <w:b/>
          <w:bCs/>
          <w:color w:val="000000"/>
          <w:sz w:val="22"/>
        </w:rPr>
        <w:t>3台</w:t>
      </w:r>
      <w:r>
        <w:rPr>
          <w:rFonts w:ascii="宋体" w:hAnsi="宋体" w:cs="宋体"/>
          <w:b/>
          <w:bCs/>
          <w:color w:val="000000"/>
          <w:sz w:val="22"/>
        </w:rPr>
        <w:t>主控装置的更换</w:t>
      </w:r>
      <w:r>
        <w:rPr>
          <w:rFonts w:hint="eastAsia" w:ascii="宋体" w:hAnsi="宋体" w:cs="宋体"/>
          <w:b/>
          <w:bCs/>
          <w:color w:val="000000"/>
          <w:sz w:val="22"/>
        </w:rPr>
        <w:t>、</w:t>
      </w:r>
      <w:r>
        <w:rPr>
          <w:rFonts w:ascii="宋体" w:hAnsi="宋体" w:cs="宋体"/>
          <w:b/>
          <w:bCs/>
          <w:color w:val="000000"/>
          <w:sz w:val="22"/>
        </w:rPr>
        <w:t>调试工作</w:t>
      </w:r>
      <w:r>
        <w:rPr>
          <w:rFonts w:hint="eastAsia" w:ascii="宋体" w:hAnsi="宋体" w:cs="宋体"/>
          <w:b/>
          <w:bCs/>
          <w:color w:val="000000"/>
          <w:sz w:val="22"/>
        </w:rPr>
        <w:t>。</w:t>
      </w:r>
    </w:p>
    <w:p>
      <w:pPr>
        <w:adjustRightInd w:val="0"/>
        <w:snapToGrid w:val="0"/>
        <w:spacing w:line="360" w:lineRule="exact"/>
        <w:jc w:val="left"/>
        <w:rPr>
          <w:rFonts w:ascii="宋体" w:hAnsi="宋体" w:cs="宋体"/>
          <w:b/>
          <w:bCs/>
          <w:color w:val="000000"/>
          <w:sz w:val="22"/>
        </w:rPr>
      </w:pPr>
      <w:r>
        <w:rPr>
          <w:rFonts w:hint="eastAsia" w:ascii="宋体" w:hAnsi="宋体" w:cs="宋体"/>
          <w:b/>
          <w:bCs/>
          <w:color w:val="000000"/>
          <w:sz w:val="22"/>
        </w:rPr>
        <w:t xml:space="preserve">    </w:t>
      </w:r>
      <w:r>
        <w:rPr>
          <w:rFonts w:ascii="宋体" w:hAnsi="宋体" w:cs="宋体"/>
          <w:b/>
          <w:bCs/>
          <w:color w:val="000000"/>
          <w:sz w:val="22"/>
        </w:rPr>
        <w:t>ASCO电力切换装置</w:t>
      </w:r>
      <w:r>
        <w:rPr>
          <w:rFonts w:hint="eastAsia" w:ascii="宋体" w:hAnsi="宋体" w:cs="宋体"/>
          <w:b/>
          <w:bCs/>
          <w:color w:val="000000"/>
          <w:sz w:val="22"/>
        </w:rPr>
        <w:t>服务维保设备清单如下：</w:t>
      </w:r>
    </w:p>
    <w:p>
      <w:pPr>
        <w:adjustRightInd w:val="0"/>
        <w:snapToGrid w:val="0"/>
        <w:spacing w:line="360" w:lineRule="exact"/>
        <w:jc w:val="left"/>
        <w:rPr>
          <w:rFonts w:ascii="宋体" w:hAnsi="宋体" w:cs="宋体"/>
          <w:b/>
          <w:bCs/>
          <w:color w:val="000000"/>
          <w:sz w:val="22"/>
        </w:rPr>
      </w:pPr>
    </w:p>
    <w:tbl>
      <w:tblPr>
        <w:tblStyle w:val="13"/>
        <w:tblW w:w="7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984"/>
        <w:gridCol w:w="1447"/>
        <w:gridCol w:w="107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930" w:type="dxa"/>
            <w:vAlign w:val="center"/>
          </w:tcPr>
          <w:p>
            <w:pPr>
              <w:snapToGrid w:val="0"/>
              <w:jc w:val="center"/>
              <w:rPr>
                <w:rFonts w:ascii="仿宋_GB2312" w:hAnsi="宋体" w:eastAsia="仿宋_GB2312"/>
                <w:b/>
                <w:color w:val="000000"/>
                <w:szCs w:val="21"/>
              </w:rPr>
            </w:pPr>
            <w:r>
              <w:rPr>
                <w:rFonts w:hint="eastAsia" w:ascii="仿宋_GB2312" w:hAnsi="宋体" w:eastAsia="仿宋_GB2312"/>
                <w:b/>
                <w:color w:val="000000"/>
                <w:szCs w:val="21"/>
              </w:rPr>
              <w:t>安装位置</w:t>
            </w:r>
          </w:p>
        </w:tc>
        <w:tc>
          <w:tcPr>
            <w:tcW w:w="1984" w:type="dxa"/>
            <w:vAlign w:val="center"/>
          </w:tcPr>
          <w:p>
            <w:pPr>
              <w:snapToGrid w:val="0"/>
              <w:jc w:val="center"/>
              <w:rPr>
                <w:rFonts w:ascii="仿宋_GB2312" w:hAnsi="宋体" w:eastAsia="仿宋_GB2312"/>
                <w:b/>
                <w:bCs/>
                <w:szCs w:val="21"/>
              </w:rPr>
            </w:pPr>
            <w:r>
              <w:rPr>
                <w:rFonts w:hint="eastAsia" w:ascii="仿宋_GB2312" w:hAnsi="宋体" w:eastAsia="仿宋_GB2312"/>
                <w:b/>
                <w:bCs/>
                <w:szCs w:val="21"/>
              </w:rPr>
              <w:t>ASCO品牌/型号</w:t>
            </w:r>
          </w:p>
        </w:tc>
        <w:tc>
          <w:tcPr>
            <w:tcW w:w="1447" w:type="dxa"/>
            <w:vAlign w:val="center"/>
          </w:tcPr>
          <w:p>
            <w:pPr>
              <w:snapToGrid w:val="0"/>
              <w:jc w:val="center"/>
              <w:rPr>
                <w:rFonts w:ascii="仿宋_GB2312" w:hAnsi="宋体" w:eastAsia="仿宋_GB2312"/>
                <w:b/>
                <w:bCs/>
                <w:szCs w:val="21"/>
              </w:rPr>
            </w:pPr>
            <w:r>
              <w:rPr>
                <w:rFonts w:ascii="仿宋_GB2312" w:hAnsi="宋体" w:eastAsia="仿宋_GB2312"/>
                <w:b/>
                <w:bCs/>
                <w:szCs w:val="21"/>
              </w:rPr>
              <w:t>数量</w:t>
            </w:r>
          </w:p>
        </w:tc>
        <w:tc>
          <w:tcPr>
            <w:tcW w:w="1074" w:type="dxa"/>
            <w:vAlign w:val="center"/>
          </w:tcPr>
          <w:p>
            <w:pPr>
              <w:adjustRightInd w:val="0"/>
              <w:snapToGrid w:val="0"/>
              <w:jc w:val="center"/>
              <w:rPr>
                <w:rFonts w:ascii="仿宋_GB2312" w:hAnsi="宋体" w:eastAsia="仿宋_GB2312"/>
                <w:b/>
                <w:szCs w:val="21"/>
              </w:rPr>
            </w:pPr>
            <w:r>
              <w:rPr>
                <w:rFonts w:hint="eastAsia" w:ascii="仿宋_GB2312" w:hAnsi="宋体" w:eastAsia="仿宋_GB2312"/>
                <w:b/>
                <w:szCs w:val="21"/>
              </w:rPr>
              <w:t>年限</w:t>
            </w:r>
          </w:p>
        </w:tc>
        <w:tc>
          <w:tcPr>
            <w:tcW w:w="1121" w:type="dxa"/>
            <w:vAlign w:val="center"/>
          </w:tcPr>
          <w:p>
            <w:pPr>
              <w:adjustRightInd w:val="0"/>
              <w:snapToGrid w:val="0"/>
              <w:jc w:val="center"/>
              <w:rPr>
                <w:rFonts w:ascii="仿宋_GB2312" w:hAnsi="宋体" w:eastAsia="仿宋_GB2312"/>
                <w:b/>
                <w:szCs w:val="21"/>
              </w:rPr>
            </w:pPr>
            <w:r>
              <w:rPr>
                <w:rFonts w:hint="eastAsia" w:ascii="仿宋_GB2312" w:hAnsi="宋体" w:eastAsia="仿宋_GB2312"/>
                <w:b/>
                <w:szCs w:val="21"/>
              </w:rPr>
              <w:t>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1930" w:type="dxa"/>
            <w:vAlign w:val="center"/>
          </w:tcPr>
          <w:p>
            <w:pPr>
              <w:snapToGrid w:val="0"/>
              <w:jc w:val="center"/>
              <w:rPr>
                <w:bCs/>
                <w:szCs w:val="21"/>
              </w:rPr>
            </w:pPr>
            <w:r>
              <w:rPr>
                <w:rFonts w:hint="eastAsia"/>
                <w:bCs/>
                <w:szCs w:val="21"/>
              </w:rPr>
              <w:t>信息楼变电站</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30" w:type="dxa"/>
            <w:vAlign w:val="center"/>
          </w:tcPr>
          <w:p>
            <w:pPr>
              <w:snapToGrid w:val="0"/>
              <w:jc w:val="center"/>
              <w:rPr>
                <w:bCs/>
                <w:szCs w:val="21"/>
              </w:rPr>
            </w:pPr>
            <w:r>
              <w:rPr>
                <w:rFonts w:hint="eastAsia"/>
                <w:bCs/>
                <w:szCs w:val="21"/>
              </w:rPr>
              <w:t>机务楼变电站</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1930" w:type="dxa"/>
            <w:vAlign w:val="center"/>
          </w:tcPr>
          <w:p>
            <w:pPr>
              <w:snapToGrid w:val="0"/>
              <w:jc w:val="center"/>
              <w:rPr>
                <w:bCs/>
                <w:szCs w:val="21"/>
              </w:rPr>
            </w:pPr>
            <w:r>
              <w:rPr>
                <w:rFonts w:hint="eastAsia"/>
                <w:bCs/>
                <w:szCs w:val="21"/>
              </w:rPr>
              <w:t>T2航站楼东区变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930" w:type="dxa"/>
            <w:vAlign w:val="center"/>
          </w:tcPr>
          <w:p>
            <w:pPr>
              <w:snapToGrid w:val="0"/>
              <w:jc w:val="center"/>
              <w:rPr>
                <w:bCs/>
                <w:szCs w:val="21"/>
              </w:rPr>
            </w:pPr>
            <w:r>
              <w:rPr>
                <w:rFonts w:hint="eastAsia"/>
                <w:bCs/>
                <w:szCs w:val="21"/>
              </w:rPr>
              <w:t>T2航站楼西区变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930" w:type="dxa"/>
            <w:vAlign w:val="center"/>
          </w:tcPr>
          <w:p>
            <w:pPr>
              <w:snapToGrid w:val="0"/>
              <w:jc w:val="center"/>
              <w:rPr>
                <w:bCs/>
                <w:szCs w:val="21"/>
              </w:rPr>
            </w:pPr>
            <w:r>
              <w:rPr>
                <w:rFonts w:hint="eastAsia"/>
                <w:bCs/>
                <w:szCs w:val="21"/>
              </w:rPr>
              <w:t>T3航站楼3号变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1930" w:type="dxa"/>
            <w:vAlign w:val="center"/>
          </w:tcPr>
          <w:p>
            <w:pPr>
              <w:snapToGrid w:val="0"/>
              <w:jc w:val="center"/>
              <w:rPr>
                <w:bCs/>
                <w:szCs w:val="21"/>
              </w:rPr>
            </w:pPr>
            <w:r>
              <w:rPr>
                <w:rFonts w:hint="eastAsia"/>
                <w:bCs/>
                <w:szCs w:val="21"/>
              </w:rPr>
              <w:t>T1航站楼B7变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exact"/>
          <w:jc w:val="center"/>
        </w:trPr>
        <w:tc>
          <w:tcPr>
            <w:tcW w:w="1930" w:type="dxa"/>
            <w:vAlign w:val="center"/>
          </w:tcPr>
          <w:p>
            <w:pPr>
              <w:snapToGrid w:val="0"/>
              <w:jc w:val="center"/>
              <w:rPr>
                <w:bCs/>
                <w:szCs w:val="21"/>
              </w:rPr>
            </w:pPr>
            <w:r>
              <w:rPr>
                <w:rFonts w:hint="eastAsia"/>
                <w:bCs/>
                <w:szCs w:val="21"/>
              </w:rPr>
              <w:t>T3航站楼2号变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30" w:type="dxa"/>
            <w:vAlign w:val="center"/>
          </w:tcPr>
          <w:p>
            <w:pPr>
              <w:snapToGrid w:val="0"/>
              <w:jc w:val="center"/>
              <w:rPr>
                <w:bCs/>
                <w:szCs w:val="21"/>
              </w:rPr>
            </w:pPr>
            <w:r>
              <w:rPr>
                <w:rFonts w:hint="eastAsia"/>
                <w:bCs/>
                <w:szCs w:val="21"/>
              </w:rPr>
              <w:t>T3航站楼5号变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exact"/>
          <w:jc w:val="center"/>
        </w:trPr>
        <w:tc>
          <w:tcPr>
            <w:tcW w:w="1930" w:type="dxa"/>
            <w:vAlign w:val="center"/>
          </w:tcPr>
          <w:p>
            <w:pPr>
              <w:snapToGrid w:val="0"/>
              <w:jc w:val="center"/>
              <w:rPr>
                <w:bCs/>
                <w:szCs w:val="21"/>
              </w:rPr>
            </w:pPr>
            <w:r>
              <w:rPr>
                <w:rFonts w:hint="eastAsia"/>
                <w:bCs/>
                <w:szCs w:val="21"/>
              </w:rPr>
              <w:t>T3航站楼1号变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bl>
    <w:p>
      <w:pPr>
        <w:adjustRightInd w:val="0"/>
        <w:snapToGrid w:val="0"/>
        <w:spacing w:line="360" w:lineRule="auto"/>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r>
        <w:rPr>
          <w:rFonts w:hint="eastAsia" w:ascii="宋体" w:hAnsi="宋体" w:cs="宋体"/>
          <w:b/>
          <w:bCs/>
          <w:color w:val="000000"/>
          <w:sz w:val="22"/>
        </w:rPr>
        <w:t>需更换配件清单如下：</w:t>
      </w:r>
    </w:p>
    <w:tbl>
      <w:tblPr>
        <w:tblStyle w:val="13"/>
        <w:tblW w:w="7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297"/>
        <w:gridCol w:w="1134"/>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7827" w:type="dxa"/>
            <w:gridSpan w:val="4"/>
            <w:vAlign w:val="center"/>
          </w:tcPr>
          <w:p>
            <w:pPr>
              <w:snapToGrid w:val="0"/>
              <w:jc w:val="center"/>
              <w:rPr>
                <w:bCs/>
                <w:szCs w:val="21"/>
              </w:rPr>
            </w:pPr>
            <w:r>
              <w:rPr>
                <w:rFonts w:hint="eastAsia" w:ascii="仿宋_GB2312" w:hAnsi="宋体" w:eastAsia="仿宋_GB2312"/>
                <w:b/>
                <w:color w:val="000000"/>
                <w:szCs w:val="21"/>
              </w:rPr>
              <w:t>待更换设备情况表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930" w:type="dxa"/>
            <w:vAlign w:val="center"/>
          </w:tcPr>
          <w:p>
            <w:pPr>
              <w:snapToGrid w:val="0"/>
              <w:jc w:val="center"/>
              <w:rPr>
                <w:bCs/>
                <w:szCs w:val="21"/>
              </w:rPr>
            </w:pPr>
            <w:r>
              <w:rPr>
                <w:rFonts w:hint="eastAsia"/>
                <w:bCs/>
                <w:szCs w:val="21"/>
              </w:rPr>
              <w:t>备件名称</w:t>
            </w:r>
          </w:p>
        </w:tc>
        <w:tc>
          <w:tcPr>
            <w:tcW w:w="2297" w:type="dxa"/>
            <w:vAlign w:val="center"/>
          </w:tcPr>
          <w:p>
            <w:pPr>
              <w:snapToGrid w:val="0"/>
              <w:jc w:val="center"/>
              <w:rPr>
                <w:bCs/>
                <w:szCs w:val="21"/>
              </w:rPr>
            </w:pPr>
            <w:r>
              <w:rPr>
                <w:rFonts w:hint="eastAsia"/>
                <w:bCs/>
                <w:szCs w:val="21"/>
              </w:rPr>
              <w:t>型号</w:t>
            </w:r>
          </w:p>
        </w:tc>
        <w:tc>
          <w:tcPr>
            <w:tcW w:w="1134" w:type="dxa"/>
            <w:vAlign w:val="center"/>
          </w:tcPr>
          <w:p>
            <w:pPr>
              <w:snapToGrid w:val="0"/>
              <w:jc w:val="center"/>
              <w:rPr>
                <w:bCs/>
                <w:szCs w:val="21"/>
              </w:rPr>
            </w:pPr>
            <w:r>
              <w:rPr>
                <w:rFonts w:hint="eastAsia"/>
                <w:bCs/>
                <w:szCs w:val="21"/>
              </w:rPr>
              <w:t>数量</w:t>
            </w:r>
          </w:p>
        </w:tc>
        <w:tc>
          <w:tcPr>
            <w:tcW w:w="2466" w:type="dxa"/>
            <w:vAlign w:val="center"/>
          </w:tcPr>
          <w:p>
            <w:pPr>
              <w:snapToGrid w:val="0"/>
              <w:jc w:val="center"/>
              <w:rPr>
                <w:bCs/>
                <w:szCs w:val="21"/>
              </w:rPr>
            </w:pP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exact"/>
          <w:jc w:val="center"/>
        </w:trPr>
        <w:tc>
          <w:tcPr>
            <w:tcW w:w="1930" w:type="dxa"/>
            <w:vAlign w:val="center"/>
          </w:tcPr>
          <w:p>
            <w:pPr>
              <w:snapToGrid w:val="0"/>
              <w:jc w:val="center"/>
              <w:rPr>
                <w:bCs/>
                <w:szCs w:val="21"/>
              </w:rPr>
            </w:pPr>
            <w:r>
              <w:rPr>
                <w:rFonts w:hint="eastAsia"/>
                <w:bCs/>
                <w:szCs w:val="21"/>
              </w:rPr>
              <w:t>主控装置</w:t>
            </w:r>
          </w:p>
        </w:tc>
        <w:tc>
          <w:tcPr>
            <w:tcW w:w="2297" w:type="dxa"/>
            <w:vAlign w:val="center"/>
          </w:tcPr>
          <w:p>
            <w:pPr>
              <w:snapToGrid w:val="0"/>
              <w:jc w:val="center"/>
              <w:rPr>
                <w:bCs/>
                <w:szCs w:val="21"/>
              </w:rPr>
            </w:pPr>
            <w:r>
              <w:rPr>
                <w:rFonts w:hint="eastAsia"/>
                <w:bCs/>
                <w:szCs w:val="21"/>
              </w:rPr>
              <w:t>ASCO7000 Series</w:t>
            </w:r>
          </w:p>
        </w:tc>
        <w:tc>
          <w:tcPr>
            <w:tcW w:w="1134" w:type="dxa"/>
            <w:vAlign w:val="center"/>
          </w:tcPr>
          <w:p>
            <w:pPr>
              <w:snapToGrid w:val="0"/>
              <w:jc w:val="center"/>
              <w:rPr>
                <w:bCs/>
                <w:szCs w:val="21"/>
              </w:rPr>
            </w:pPr>
            <w:r>
              <w:rPr>
                <w:rFonts w:hint="eastAsia"/>
                <w:bCs/>
                <w:szCs w:val="21"/>
              </w:rPr>
              <w:t>3</w:t>
            </w:r>
          </w:p>
        </w:tc>
        <w:tc>
          <w:tcPr>
            <w:tcW w:w="2466" w:type="dxa"/>
            <w:vAlign w:val="center"/>
          </w:tcPr>
          <w:p>
            <w:pPr>
              <w:snapToGrid w:val="0"/>
              <w:jc w:val="center"/>
              <w:rPr>
                <w:bCs/>
                <w:szCs w:val="21"/>
              </w:rPr>
            </w:pPr>
            <w:r>
              <w:rPr>
                <w:rFonts w:hint="eastAsia"/>
                <w:bCs/>
                <w:szCs w:val="21"/>
              </w:rPr>
              <w:t>全新，质保2年</w:t>
            </w:r>
          </w:p>
        </w:tc>
      </w:tr>
    </w:tbl>
    <w:p>
      <w:pPr>
        <w:adjustRightInd w:val="0"/>
        <w:snapToGrid w:val="0"/>
        <w:spacing w:line="360" w:lineRule="exact"/>
        <w:rPr>
          <w:rFonts w:ascii="宋体" w:hAnsi="宋体" w:cs="宋体"/>
          <w:kern w:val="0"/>
          <w:sz w:val="22"/>
        </w:rPr>
      </w:pP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3.招标方式</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本次招标实行公开招标，采用总价报价的形式。</w:t>
      </w: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4.报价的要求</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4.1投标人根据标书要求以总价包干形式报价。</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投标人在报价中的标价应包括完成该业务的设备投入、损耗材料购买、技术人员的配备、投标人维护人员的劳务费、差旅费、保险费、备件运费等一切保养维护费以及税费等所有费用，因投标人报价漏算少计，中标后不予追加。</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4.3投标报价需包含</w:t>
      </w:r>
      <w:r>
        <w:rPr>
          <w:rFonts w:ascii="宋体" w:hAnsi="宋体" w:cs="宋体"/>
          <w:b/>
          <w:bCs/>
          <w:color w:val="000000"/>
          <w:sz w:val="22"/>
        </w:rPr>
        <w:t>T3航站楼1#、2#、5#ASCO柜</w:t>
      </w:r>
      <w:r>
        <w:rPr>
          <w:rFonts w:hint="eastAsia" w:ascii="宋体" w:hAnsi="宋体" w:cs="宋体"/>
          <w:kern w:val="0"/>
          <w:sz w:val="22"/>
        </w:rPr>
        <w:t>3台装控装置更换的费用，包括设备费、人工费和运输等费用。</w:t>
      </w:r>
    </w:p>
    <w:p>
      <w:pPr>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4.4投标中应充分考虑到维保过程中特殊情况需要，特殊情况处理的费用应列入总报价中。</w:t>
      </w:r>
    </w:p>
    <w:p>
      <w:pPr>
        <w:adjustRightInd w:val="0"/>
        <w:snapToGrid w:val="0"/>
        <w:spacing w:line="360" w:lineRule="exact"/>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5</w:t>
      </w:r>
      <w:r>
        <w:rPr>
          <w:rFonts w:ascii="宋体" w:hAnsi="宋体" w:cs="宋体"/>
          <w:kern w:val="0"/>
          <w:sz w:val="22"/>
        </w:rPr>
        <w:t>报价在60天内有效，因市场设备、材料、劳动力等因素发生变化均不予调整。</w:t>
      </w:r>
    </w:p>
    <w:p>
      <w:pPr>
        <w:adjustRightInd w:val="0"/>
        <w:snapToGrid w:val="0"/>
        <w:spacing w:line="360" w:lineRule="exact"/>
        <w:rPr>
          <w:rFonts w:ascii="宋体" w:hAnsi="宋体" w:cs="宋体"/>
          <w:b/>
          <w:bCs/>
          <w:kern w:val="0"/>
          <w:sz w:val="22"/>
        </w:rPr>
      </w:pPr>
      <w:r>
        <w:rPr>
          <w:rFonts w:hint="eastAsia" w:ascii="宋体" w:hAnsi="宋体" w:cs="宋体"/>
          <w:b/>
          <w:bCs/>
          <w:kern w:val="0"/>
          <w:sz w:val="22"/>
        </w:rPr>
        <w:t>5.服务要求</w:t>
      </w:r>
    </w:p>
    <w:p>
      <w:pPr>
        <w:adjustRightInd w:val="0"/>
        <w:snapToGrid w:val="0"/>
        <w:spacing w:line="360" w:lineRule="exact"/>
        <w:rPr>
          <w:rFonts w:ascii="宋体" w:hAnsi="宋体" w:cs="宋体"/>
          <w:kern w:val="0"/>
          <w:sz w:val="22"/>
        </w:rPr>
      </w:pPr>
      <w:r>
        <w:rPr>
          <w:rFonts w:ascii="宋体" w:hAnsi="宋体" w:cs="宋体"/>
          <w:kern w:val="0"/>
          <w:sz w:val="22"/>
        </w:rPr>
        <w:t>5.1负责对所有ASCO电力切换装置进行日常维护保养、故障维修和应急情况处置，一年两次定期对所有ASCO电力切换装置进行系统检查、测试维护工作。</w:t>
      </w:r>
    </w:p>
    <w:p>
      <w:pPr>
        <w:adjustRightInd w:val="0"/>
        <w:snapToGrid w:val="0"/>
        <w:spacing w:line="360" w:lineRule="exact"/>
        <w:rPr>
          <w:rFonts w:ascii="宋体" w:hAnsi="宋体" w:cs="宋体"/>
          <w:kern w:val="0"/>
          <w:sz w:val="22"/>
        </w:rPr>
      </w:pPr>
      <w:r>
        <w:rPr>
          <w:rFonts w:ascii="宋体" w:hAnsi="宋体" w:cs="宋体"/>
          <w:kern w:val="0"/>
          <w:sz w:val="22"/>
        </w:rPr>
        <w:t>5.2具体维修保养内容包括：</w:t>
      </w:r>
    </w:p>
    <w:p>
      <w:pPr>
        <w:adjustRightInd w:val="0"/>
        <w:snapToGrid w:val="0"/>
        <w:spacing w:line="360" w:lineRule="exact"/>
        <w:rPr>
          <w:rFonts w:ascii="宋体" w:hAnsi="宋体" w:cs="宋体"/>
          <w:kern w:val="0"/>
          <w:sz w:val="22"/>
        </w:rPr>
      </w:pPr>
      <w:r>
        <w:rPr>
          <w:rFonts w:ascii="宋体" w:hAnsi="宋体" w:cs="宋体"/>
          <w:kern w:val="0"/>
          <w:sz w:val="22"/>
        </w:rPr>
        <w:t>1、进行ASCO内、外部的清洁和除尘；</w:t>
      </w:r>
    </w:p>
    <w:p>
      <w:pPr>
        <w:adjustRightInd w:val="0"/>
        <w:snapToGrid w:val="0"/>
        <w:spacing w:line="360" w:lineRule="exact"/>
        <w:rPr>
          <w:rFonts w:ascii="宋体" w:hAnsi="宋体" w:cs="宋体"/>
          <w:kern w:val="0"/>
          <w:sz w:val="22"/>
        </w:rPr>
      </w:pPr>
      <w:r>
        <w:rPr>
          <w:rFonts w:ascii="宋体" w:hAnsi="宋体" w:cs="宋体"/>
          <w:kern w:val="0"/>
          <w:sz w:val="22"/>
        </w:rPr>
        <w:t>2、测试并调校所有时间延迟继电器及设定点。</w:t>
      </w:r>
    </w:p>
    <w:p>
      <w:pPr>
        <w:adjustRightInd w:val="0"/>
        <w:snapToGrid w:val="0"/>
        <w:spacing w:line="360" w:lineRule="exact"/>
        <w:rPr>
          <w:rFonts w:ascii="宋体" w:hAnsi="宋体" w:cs="宋体"/>
          <w:kern w:val="0"/>
          <w:sz w:val="22"/>
        </w:rPr>
      </w:pPr>
      <w:r>
        <w:rPr>
          <w:rFonts w:ascii="宋体" w:hAnsi="宋体" w:cs="宋体"/>
          <w:kern w:val="0"/>
          <w:sz w:val="22"/>
        </w:rPr>
        <w:t>3、检视消弧接点有否过度烧蚀。</w:t>
      </w:r>
    </w:p>
    <w:p>
      <w:pPr>
        <w:adjustRightInd w:val="0"/>
        <w:snapToGrid w:val="0"/>
        <w:spacing w:line="360" w:lineRule="exact"/>
        <w:rPr>
          <w:rFonts w:ascii="宋体" w:hAnsi="宋体" w:cs="宋体"/>
          <w:kern w:val="0"/>
          <w:sz w:val="22"/>
        </w:rPr>
      </w:pPr>
      <w:r>
        <w:rPr>
          <w:rFonts w:ascii="宋体" w:hAnsi="宋体" w:cs="宋体"/>
          <w:kern w:val="0"/>
          <w:sz w:val="22"/>
        </w:rPr>
        <w:t>4、检视主接点有否因高热而产生陷痕变色。</w:t>
      </w:r>
    </w:p>
    <w:p>
      <w:pPr>
        <w:adjustRightInd w:val="0"/>
        <w:snapToGrid w:val="0"/>
        <w:spacing w:line="360" w:lineRule="exact"/>
        <w:rPr>
          <w:rFonts w:ascii="宋体" w:hAnsi="宋体" w:cs="宋体"/>
          <w:kern w:val="0"/>
          <w:sz w:val="22"/>
        </w:rPr>
      </w:pPr>
      <w:r>
        <w:rPr>
          <w:rFonts w:ascii="宋体" w:hAnsi="宋体" w:cs="宋体"/>
          <w:kern w:val="0"/>
          <w:sz w:val="22"/>
        </w:rPr>
        <w:t>5、检查主触头弹簧情况，清除主接点及消弧接点上的污物以及氧化物。</w:t>
      </w:r>
    </w:p>
    <w:p>
      <w:pPr>
        <w:adjustRightInd w:val="0"/>
        <w:snapToGrid w:val="0"/>
        <w:spacing w:line="360" w:lineRule="exact"/>
        <w:rPr>
          <w:rFonts w:ascii="宋体" w:hAnsi="宋体" w:cs="宋体"/>
          <w:kern w:val="0"/>
          <w:sz w:val="22"/>
        </w:rPr>
      </w:pPr>
      <w:r>
        <w:rPr>
          <w:rFonts w:ascii="宋体" w:hAnsi="宋体" w:cs="宋体"/>
          <w:kern w:val="0"/>
          <w:sz w:val="22"/>
        </w:rPr>
        <w:t>6、检视所有控制继电器接点有否因高热而产生过渡腐蚀及变色。</w:t>
      </w:r>
    </w:p>
    <w:p>
      <w:pPr>
        <w:adjustRightInd w:val="0"/>
        <w:snapToGrid w:val="0"/>
        <w:spacing w:line="360" w:lineRule="exact"/>
        <w:rPr>
          <w:rFonts w:ascii="宋体" w:hAnsi="宋体" w:cs="宋体"/>
          <w:kern w:val="0"/>
          <w:sz w:val="22"/>
        </w:rPr>
      </w:pPr>
      <w:r>
        <w:rPr>
          <w:rFonts w:ascii="宋体" w:hAnsi="宋体" w:cs="宋体"/>
          <w:kern w:val="0"/>
          <w:sz w:val="22"/>
        </w:rPr>
        <w:t>7、检视开关本体灭弧罩情况、机械结构及相连接之连杆是否正常。</w:t>
      </w:r>
    </w:p>
    <w:p>
      <w:pPr>
        <w:adjustRightInd w:val="0"/>
        <w:snapToGrid w:val="0"/>
        <w:spacing w:line="360" w:lineRule="exact"/>
        <w:rPr>
          <w:rFonts w:ascii="宋体" w:hAnsi="宋体" w:cs="宋体"/>
          <w:kern w:val="0"/>
          <w:sz w:val="22"/>
        </w:rPr>
      </w:pPr>
      <w:r>
        <w:rPr>
          <w:rFonts w:ascii="宋体" w:hAnsi="宋体" w:cs="宋体"/>
          <w:kern w:val="0"/>
          <w:sz w:val="22"/>
        </w:rPr>
        <w:t>8、检视所有开关相连接的电缆线及控制线、柜体内部连接线接插头、元件连接线、过门连接线是否牢固正常。</w:t>
      </w:r>
    </w:p>
    <w:p>
      <w:pPr>
        <w:adjustRightInd w:val="0"/>
        <w:snapToGrid w:val="0"/>
        <w:spacing w:line="360" w:lineRule="exact"/>
        <w:rPr>
          <w:rFonts w:ascii="宋体" w:hAnsi="宋体" w:cs="宋体"/>
          <w:kern w:val="0"/>
          <w:sz w:val="22"/>
        </w:rPr>
      </w:pPr>
      <w:r>
        <w:rPr>
          <w:rFonts w:ascii="宋体" w:hAnsi="宋体" w:cs="宋体"/>
          <w:kern w:val="0"/>
          <w:sz w:val="22"/>
        </w:rPr>
        <w:t>9、检查所有与控制有关的螺丝并重新紧固。</w:t>
      </w:r>
    </w:p>
    <w:p>
      <w:pPr>
        <w:adjustRightInd w:val="0"/>
        <w:snapToGrid w:val="0"/>
        <w:spacing w:line="360" w:lineRule="exact"/>
        <w:rPr>
          <w:rFonts w:ascii="宋体" w:hAnsi="宋体" w:cs="宋体"/>
          <w:kern w:val="0"/>
          <w:sz w:val="22"/>
        </w:rPr>
      </w:pPr>
      <w:r>
        <w:rPr>
          <w:rFonts w:ascii="宋体" w:hAnsi="宋体" w:cs="宋体"/>
          <w:kern w:val="0"/>
          <w:sz w:val="22"/>
        </w:rPr>
        <w:t>10、检查开关机械和电气联锁功能，手动操作功能；</w:t>
      </w:r>
    </w:p>
    <w:p>
      <w:pPr>
        <w:adjustRightInd w:val="0"/>
        <w:snapToGrid w:val="0"/>
        <w:spacing w:line="360" w:lineRule="exact"/>
        <w:rPr>
          <w:rFonts w:ascii="宋体" w:hAnsi="宋体" w:cs="宋体"/>
          <w:kern w:val="0"/>
          <w:sz w:val="22"/>
        </w:rPr>
      </w:pPr>
      <w:r>
        <w:rPr>
          <w:rFonts w:ascii="宋体" w:hAnsi="宋体" w:cs="宋体"/>
          <w:kern w:val="0"/>
          <w:sz w:val="22"/>
        </w:rPr>
        <w:t>11、检查开关位置显示和二次回路电源存在与否的显示，以及二次回路节点除锈润滑；</w:t>
      </w:r>
    </w:p>
    <w:p>
      <w:pPr>
        <w:adjustRightInd w:val="0"/>
        <w:snapToGrid w:val="0"/>
        <w:spacing w:line="360" w:lineRule="exact"/>
        <w:rPr>
          <w:rFonts w:ascii="宋体" w:hAnsi="宋体" w:cs="宋体"/>
          <w:kern w:val="0"/>
          <w:sz w:val="22"/>
        </w:rPr>
      </w:pPr>
      <w:r>
        <w:rPr>
          <w:rFonts w:ascii="宋体" w:hAnsi="宋体" w:cs="宋体"/>
          <w:kern w:val="0"/>
          <w:sz w:val="22"/>
        </w:rPr>
        <w:t>12、检查具有远程监控功能的ATS开关监控接口的通信正常性；</w:t>
      </w:r>
    </w:p>
    <w:p>
      <w:pPr>
        <w:adjustRightInd w:val="0"/>
        <w:snapToGrid w:val="0"/>
        <w:spacing w:line="360" w:lineRule="exact"/>
        <w:rPr>
          <w:rFonts w:ascii="宋体" w:hAnsi="宋体" w:cs="宋体"/>
          <w:kern w:val="0"/>
          <w:sz w:val="22"/>
        </w:rPr>
      </w:pPr>
      <w:r>
        <w:rPr>
          <w:rFonts w:ascii="宋体" w:hAnsi="宋体" w:cs="宋体"/>
          <w:kern w:val="0"/>
          <w:sz w:val="22"/>
        </w:rPr>
        <w:t>13、控制器的参数检查，如主备用电源侧失效值、接受值、过电压（过频值）、不平衡电压；主用电源失效忽略延时（1C）；转换至备用侧延时</w:t>
      </w:r>
      <w:r>
        <w:rPr>
          <w:rFonts w:ascii="宋体" w:hAnsi="宋体" w:cs="宋体"/>
          <w:kern w:val="0"/>
          <w:sz w:val="22"/>
        </w:rPr>
        <w:tab/>
      </w:r>
      <w:r>
        <w:rPr>
          <w:rFonts w:hint="eastAsia" w:ascii="宋体" w:hAnsi="宋体" w:cs="宋体"/>
          <w:kern w:val="0"/>
          <w:sz w:val="22"/>
        </w:rPr>
        <w:t>（</w:t>
      </w:r>
      <w:r>
        <w:rPr>
          <w:rFonts w:ascii="宋体" w:hAnsi="宋体" w:cs="宋体"/>
          <w:kern w:val="0"/>
          <w:sz w:val="22"/>
        </w:rPr>
        <w:t>2B）；油机冷却延时（2E）；回切延时（3A）;控制器状态点检查（34A、34B、CNN、SE、ER、NR、9A、9B、9C、9D），同时，能通过232或485接口在远端阅读状态指示和动作参数，并对参数进行修改；</w:t>
      </w:r>
    </w:p>
    <w:p>
      <w:pPr>
        <w:adjustRightInd w:val="0"/>
        <w:snapToGrid w:val="0"/>
        <w:spacing w:line="360" w:lineRule="exact"/>
        <w:rPr>
          <w:rFonts w:ascii="宋体" w:hAnsi="宋体" w:cs="宋体"/>
          <w:kern w:val="0"/>
          <w:sz w:val="22"/>
        </w:rPr>
      </w:pPr>
      <w:r>
        <w:rPr>
          <w:rFonts w:ascii="宋体" w:hAnsi="宋体" w:cs="宋体"/>
          <w:kern w:val="0"/>
          <w:sz w:val="22"/>
        </w:rPr>
        <w:t>14、主回路温度测量：NA、NB、NC、EA、EB、EC、LA、LB、LC；</w:t>
      </w:r>
    </w:p>
    <w:p>
      <w:pPr>
        <w:adjustRightInd w:val="0"/>
        <w:snapToGrid w:val="0"/>
        <w:spacing w:line="360" w:lineRule="exact"/>
        <w:rPr>
          <w:rFonts w:ascii="宋体" w:hAnsi="宋体" w:cs="宋体"/>
          <w:kern w:val="0"/>
          <w:sz w:val="22"/>
        </w:rPr>
      </w:pPr>
      <w:r>
        <w:rPr>
          <w:rFonts w:ascii="宋体" w:hAnsi="宋体" w:cs="宋体"/>
          <w:kern w:val="0"/>
          <w:sz w:val="22"/>
        </w:rPr>
        <w:t xml:space="preserve">15、实地操作机房在不同的供电模式下的双电源切换功能； </w:t>
      </w:r>
    </w:p>
    <w:p>
      <w:pPr>
        <w:adjustRightInd w:val="0"/>
        <w:snapToGrid w:val="0"/>
        <w:spacing w:line="360" w:lineRule="exact"/>
        <w:rPr>
          <w:rFonts w:ascii="宋体" w:hAnsi="宋体" w:cs="宋体"/>
          <w:kern w:val="0"/>
          <w:sz w:val="22"/>
        </w:rPr>
      </w:pPr>
      <w:r>
        <w:rPr>
          <w:rFonts w:hint="eastAsia" w:ascii="宋体" w:hAnsi="宋体" w:cs="宋体"/>
          <w:kern w:val="0"/>
          <w:sz w:val="22"/>
        </w:rPr>
        <w:t>可设定三种模式：</w:t>
      </w:r>
    </w:p>
    <w:p>
      <w:pPr>
        <w:adjustRightInd w:val="0"/>
        <w:snapToGrid w:val="0"/>
        <w:spacing w:line="360" w:lineRule="exact"/>
        <w:rPr>
          <w:rFonts w:ascii="宋体" w:hAnsi="宋体" w:cs="宋体"/>
          <w:kern w:val="0"/>
          <w:sz w:val="22"/>
        </w:rPr>
      </w:pPr>
      <w:r>
        <w:rPr>
          <w:rFonts w:ascii="宋体" w:hAnsi="宋体" w:cs="宋体"/>
          <w:kern w:val="0"/>
          <w:sz w:val="22"/>
        </w:rPr>
        <w:t>(1)自动操作模式；</w:t>
      </w:r>
    </w:p>
    <w:p>
      <w:pPr>
        <w:adjustRightInd w:val="0"/>
        <w:snapToGrid w:val="0"/>
        <w:spacing w:line="360" w:lineRule="exact"/>
        <w:rPr>
          <w:rFonts w:ascii="宋体" w:hAnsi="宋体" w:cs="宋体"/>
          <w:kern w:val="0"/>
          <w:sz w:val="22"/>
        </w:rPr>
      </w:pPr>
      <w:r>
        <w:rPr>
          <w:rFonts w:ascii="宋体" w:hAnsi="宋体" w:cs="宋体"/>
          <w:kern w:val="0"/>
          <w:sz w:val="22"/>
        </w:rPr>
        <w:t>(2)带载测试模式，即模拟市电故障，油机自启动，负载转换开关自动转换，油机供电。</w:t>
      </w:r>
    </w:p>
    <w:p>
      <w:pPr>
        <w:adjustRightInd w:val="0"/>
        <w:snapToGrid w:val="0"/>
        <w:spacing w:line="360" w:lineRule="exact"/>
        <w:rPr>
          <w:rFonts w:ascii="宋体" w:hAnsi="宋体" w:cs="宋体"/>
          <w:kern w:val="0"/>
          <w:sz w:val="22"/>
        </w:rPr>
      </w:pPr>
      <w:r>
        <w:rPr>
          <w:rFonts w:ascii="宋体" w:hAnsi="宋体" w:cs="宋体"/>
          <w:kern w:val="0"/>
          <w:sz w:val="22"/>
        </w:rPr>
        <w:t>(3)不带载测试模式，即送出信号启动油机，</w:t>
      </w:r>
      <w:r>
        <w:rPr>
          <w:rFonts w:hint="eastAsia" w:ascii="宋体" w:hAnsi="宋体" w:cs="宋体"/>
          <w:kern w:val="0"/>
          <w:sz w:val="22"/>
        </w:rPr>
        <w:t>负载转换开关不转换，市电供电。</w:t>
      </w:r>
    </w:p>
    <w:p>
      <w:pPr>
        <w:adjustRightInd w:val="0"/>
        <w:snapToGrid w:val="0"/>
        <w:spacing w:line="360" w:lineRule="exact"/>
        <w:rPr>
          <w:rFonts w:ascii="宋体" w:hAnsi="宋体" w:cs="宋体"/>
          <w:kern w:val="0"/>
          <w:sz w:val="22"/>
        </w:rPr>
      </w:pPr>
      <w:r>
        <w:rPr>
          <w:rFonts w:ascii="宋体" w:hAnsi="宋体" w:cs="宋体"/>
          <w:kern w:val="0"/>
          <w:sz w:val="22"/>
        </w:rPr>
        <w:t>16、检查ATS配电柜保护功能：市电电压过低；市电缺相；发电机输</w:t>
      </w:r>
      <w:r>
        <w:rPr>
          <w:rFonts w:hint="eastAsia" w:ascii="宋体" w:hAnsi="宋体" w:cs="宋体"/>
          <w:kern w:val="0"/>
          <w:sz w:val="22"/>
        </w:rPr>
        <w:t>出电压过低；发电机机组缺相。</w:t>
      </w:r>
    </w:p>
    <w:p>
      <w:pPr>
        <w:adjustRightInd w:val="0"/>
        <w:snapToGrid w:val="0"/>
        <w:spacing w:line="360" w:lineRule="exact"/>
        <w:rPr>
          <w:rFonts w:ascii="宋体" w:hAnsi="宋体" w:cs="宋体"/>
          <w:kern w:val="0"/>
          <w:sz w:val="22"/>
        </w:rPr>
      </w:pPr>
      <w:r>
        <w:rPr>
          <w:rFonts w:ascii="宋体" w:hAnsi="宋体" w:cs="宋体"/>
          <w:kern w:val="0"/>
          <w:sz w:val="22"/>
        </w:rPr>
        <w:t xml:space="preserve">17、 </w:t>
      </w:r>
      <w:r>
        <w:rPr>
          <w:rFonts w:hint="eastAsia" w:ascii="宋体" w:hAnsi="宋体" w:cs="宋体"/>
          <w:kern w:val="0"/>
          <w:sz w:val="22"/>
        </w:rPr>
        <w:t>检查</w:t>
      </w:r>
      <w:r>
        <w:rPr>
          <w:rFonts w:ascii="宋体" w:hAnsi="宋体" w:cs="宋体"/>
          <w:kern w:val="0"/>
          <w:sz w:val="22"/>
        </w:rPr>
        <w:t>ATS配电柜功能：</w:t>
      </w:r>
    </w:p>
    <w:p>
      <w:pPr>
        <w:adjustRightInd w:val="0"/>
        <w:snapToGrid w:val="0"/>
        <w:spacing w:line="360" w:lineRule="exact"/>
        <w:rPr>
          <w:rFonts w:ascii="宋体" w:hAnsi="宋体" w:cs="宋体"/>
          <w:kern w:val="0"/>
          <w:sz w:val="22"/>
        </w:rPr>
      </w:pPr>
      <w:r>
        <w:rPr>
          <w:rFonts w:ascii="宋体" w:hAnsi="宋体" w:cs="宋体"/>
          <w:kern w:val="0"/>
          <w:sz w:val="22"/>
        </w:rPr>
        <w:t>(1)当市电供电时，ATS配电柜应能分别显示市电正常、市电供电的显示。</w:t>
      </w:r>
    </w:p>
    <w:p>
      <w:pPr>
        <w:adjustRightInd w:val="0"/>
        <w:snapToGrid w:val="0"/>
        <w:spacing w:line="360" w:lineRule="exact"/>
        <w:rPr>
          <w:rFonts w:ascii="宋体" w:hAnsi="宋体" w:cs="宋体"/>
          <w:kern w:val="0"/>
          <w:sz w:val="22"/>
        </w:rPr>
      </w:pPr>
      <w:r>
        <w:rPr>
          <w:rFonts w:ascii="宋体" w:hAnsi="宋体" w:cs="宋体"/>
          <w:kern w:val="0"/>
          <w:sz w:val="22"/>
        </w:rPr>
        <w:t>(2)当市电停电或市电三相的任何一相低于设定电压值(含缺相)时，能显示市电故障的显示，并送出信号启动油机。</w:t>
      </w:r>
    </w:p>
    <w:p>
      <w:pPr>
        <w:adjustRightInd w:val="0"/>
        <w:snapToGrid w:val="0"/>
        <w:spacing w:line="360" w:lineRule="exact"/>
        <w:rPr>
          <w:rFonts w:ascii="宋体" w:hAnsi="宋体" w:cs="宋体"/>
          <w:kern w:val="0"/>
          <w:sz w:val="22"/>
        </w:rPr>
      </w:pPr>
      <w:r>
        <w:rPr>
          <w:rFonts w:ascii="宋体" w:hAnsi="宋体" w:cs="宋体"/>
          <w:kern w:val="0"/>
          <w:sz w:val="22"/>
        </w:rPr>
        <w:t>(3)当油机启动成功并建立正常电压时，能显示油机正常的显示，转换延时继电器工作，在设定的时间内，油机稳定工作状态，时间一到，负载转换开关自动转换，油机供电，能显示油机供电的显示。</w:t>
      </w:r>
    </w:p>
    <w:p>
      <w:pPr>
        <w:adjustRightInd w:val="0"/>
        <w:snapToGrid w:val="0"/>
        <w:spacing w:line="360" w:lineRule="exact"/>
        <w:rPr>
          <w:rFonts w:ascii="宋体" w:hAnsi="宋体" w:cs="宋体"/>
          <w:kern w:val="0"/>
          <w:sz w:val="22"/>
        </w:rPr>
      </w:pPr>
      <w:r>
        <w:rPr>
          <w:rFonts w:ascii="宋体" w:hAnsi="宋体" w:cs="宋体"/>
          <w:kern w:val="0"/>
          <w:sz w:val="22"/>
        </w:rPr>
        <w:t>(4)当市电恢复正常后，能显示市电正常的显示，再转换延时继电器工作，在延时时间内，可确保市电稳定后才供电，如市电在该延时时间内出现故障，则再延时继电器不工作，直至市电重新恢复正常后再计时；当再转换延时继电器时间结束后，负载转换开关自动转换自市电侧，市电供电，能显示市电供电的显示，油机供电显示消失。</w:t>
      </w:r>
    </w:p>
    <w:p>
      <w:pPr>
        <w:adjustRightInd w:val="0"/>
        <w:snapToGrid w:val="0"/>
        <w:spacing w:line="360" w:lineRule="exact"/>
        <w:rPr>
          <w:rFonts w:ascii="宋体" w:hAnsi="宋体" w:cs="宋体"/>
          <w:kern w:val="0"/>
          <w:sz w:val="22"/>
        </w:rPr>
      </w:pPr>
      <w:r>
        <w:rPr>
          <w:rFonts w:ascii="宋体" w:hAnsi="宋体" w:cs="宋体"/>
          <w:kern w:val="0"/>
          <w:sz w:val="22"/>
        </w:rPr>
        <w:t>(5)在市电供电后，转换延时继电器开始工作，在延时时间内，油机继续空载运行一段时间(时间可调)，以保证机组冷却后才停止运行，在转换延时继电器时间到时，启动信号消失，油机自动停机，油机正常的显示消失，油机重新进入备用状态。</w:t>
      </w:r>
    </w:p>
    <w:p>
      <w:pPr>
        <w:adjustRightInd w:val="0"/>
        <w:snapToGrid w:val="0"/>
        <w:spacing w:line="360" w:lineRule="exact"/>
        <w:rPr>
          <w:rFonts w:ascii="宋体" w:hAnsi="宋体" w:cs="宋体"/>
          <w:kern w:val="0"/>
          <w:sz w:val="22"/>
        </w:rPr>
      </w:pPr>
      <w:r>
        <w:rPr>
          <w:rFonts w:ascii="宋体" w:hAnsi="宋体" w:cs="宋体"/>
          <w:kern w:val="0"/>
          <w:sz w:val="22"/>
        </w:rPr>
        <w:t xml:space="preserve">18、 </w:t>
      </w:r>
      <w:r>
        <w:rPr>
          <w:rFonts w:hint="eastAsia" w:ascii="宋体" w:hAnsi="宋体" w:cs="宋体"/>
          <w:kern w:val="0"/>
          <w:sz w:val="22"/>
        </w:rPr>
        <w:t>外观方面检查及要求标准：</w:t>
      </w:r>
    </w:p>
    <w:p>
      <w:pPr>
        <w:adjustRightInd w:val="0"/>
        <w:snapToGrid w:val="0"/>
        <w:spacing w:line="360" w:lineRule="exact"/>
        <w:rPr>
          <w:rFonts w:ascii="宋体" w:hAnsi="宋体" w:cs="宋体"/>
          <w:kern w:val="0"/>
          <w:sz w:val="22"/>
        </w:rPr>
      </w:pPr>
      <w:r>
        <w:rPr>
          <w:rFonts w:ascii="宋体" w:hAnsi="宋体" w:cs="宋体"/>
          <w:kern w:val="0"/>
          <w:sz w:val="22"/>
        </w:rPr>
        <w:t xml:space="preserve">(1) </w:t>
      </w:r>
      <w:r>
        <w:rPr>
          <w:rFonts w:hint="eastAsia" w:ascii="宋体" w:hAnsi="宋体" w:cs="宋体"/>
          <w:kern w:val="0"/>
          <w:sz w:val="22"/>
        </w:rPr>
        <w:t>机箱镀层牢固、漆面匀称、无削落、锈蚀及裂痕等现象。</w:t>
      </w:r>
    </w:p>
    <w:p>
      <w:pPr>
        <w:adjustRightInd w:val="0"/>
        <w:snapToGrid w:val="0"/>
        <w:spacing w:line="360" w:lineRule="exact"/>
        <w:rPr>
          <w:rFonts w:ascii="宋体" w:hAnsi="宋体" w:cs="宋体"/>
          <w:kern w:val="0"/>
          <w:sz w:val="22"/>
        </w:rPr>
      </w:pPr>
      <w:r>
        <w:rPr>
          <w:rFonts w:ascii="宋体" w:hAnsi="宋体" w:cs="宋体"/>
          <w:kern w:val="0"/>
          <w:sz w:val="22"/>
        </w:rPr>
        <w:t xml:space="preserve">(2) </w:t>
      </w:r>
      <w:r>
        <w:rPr>
          <w:rFonts w:hint="eastAsia" w:ascii="宋体" w:hAnsi="宋体" w:cs="宋体"/>
          <w:kern w:val="0"/>
          <w:sz w:val="22"/>
        </w:rPr>
        <w:t>机箱表面平整，所有标牌、标识、文字符号应清晰、正确、整齐。</w:t>
      </w:r>
    </w:p>
    <w:p>
      <w:pPr>
        <w:adjustRightInd w:val="0"/>
        <w:snapToGrid w:val="0"/>
        <w:spacing w:line="360" w:lineRule="exact"/>
        <w:rPr>
          <w:rFonts w:ascii="宋体" w:hAnsi="宋体" w:cs="宋体"/>
          <w:kern w:val="0"/>
          <w:sz w:val="22"/>
        </w:rPr>
      </w:pPr>
      <w:r>
        <w:rPr>
          <w:rFonts w:hint="eastAsia" w:ascii="宋体" w:hAnsi="宋体" w:cs="宋体"/>
          <w:kern w:val="0"/>
          <w:sz w:val="22"/>
        </w:rPr>
        <w:t>各种开关便于操作、灵活可靠。</w:t>
      </w:r>
    </w:p>
    <w:p>
      <w:pPr>
        <w:adjustRightInd w:val="0"/>
        <w:snapToGrid w:val="0"/>
        <w:spacing w:line="360" w:lineRule="exact"/>
        <w:rPr>
          <w:rFonts w:ascii="宋体" w:hAnsi="宋体" w:cs="宋体"/>
          <w:kern w:val="0"/>
          <w:sz w:val="22"/>
        </w:rPr>
      </w:pPr>
      <w:r>
        <w:rPr>
          <w:rFonts w:ascii="宋体" w:hAnsi="宋体" w:cs="宋体"/>
          <w:kern w:val="0"/>
          <w:sz w:val="22"/>
        </w:rPr>
        <w:t xml:space="preserve">(3) </w:t>
      </w:r>
      <w:r>
        <w:rPr>
          <w:rFonts w:hint="eastAsia" w:ascii="宋体" w:hAnsi="宋体" w:cs="宋体"/>
          <w:kern w:val="0"/>
          <w:sz w:val="22"/>
        </w:rPr>
        <w:t>所有紧固处应装有防松动装置。</w:t>
      </w:r>
    </w:p>
    <w:p>
      <w:pPr>
        <w:adjustRightInd w:val="0"/>
        <w:snapToGrid w:val="0"/>
        <w:spacing w:line="360" w:lineRule="exact"/>
        <w:rPr>
          <w:rFonts w:ascii="宋体" w:hAnsi="宋体" w:cs="宋体"/>
          <w:kern w:val="0"/>
          <w:sz w:val="22"/>
        </w:rPr>
      </w:pPr>
      <w:r>
        <w:rPr>
          <w:rFonts w:ascii="宋体" w:hAnsi="宋体" w:cs="宋体"/>
          <w:kern w:val="0"/>
          <w:sz w:val="22"/>
        </w:rPr>
        <w:t xml:space="preserve">19、 </w:t>
      </w:r>
      <w:r>
        <w:rPr>
          <w:rFonts w:hint="eastAsia" w:ascii="宋体" w:hAnsi="宋体" w:cs="宋体"/>
          <w:kern w:val="0"/>
          <w:sz w:val="22"/>
        </w:rPr>
        <w:t>检查接地情况</w:t>
      </w:r>
      <w:r>
        <w:rPr>
          <w:rFonts w:ascii="宋体" w:hAnsi="宋体" w:cs="宋体"/>
          <w:kern w:val="0"/>
          <w:sz w:val="22"/>
        </w:rPr>
        <w:t>:</w:t>
      </w:r>
    </w:p>
    <w:p>
      <w:pPr>
        <w:adjustRightInd w:val="0"/>
        <w:snapToGrid w:val="0"/>
        <w:spacing w:line="360" w:lineRule="exact"/>
        <w:rPr>
          <w:rFonts w:ascii="宋体" w:hAnsi="宋体" w:cs="宋体"/>
          <w:kern w:val="0"/>
          <w:sz w:val="22"/>
        </w:rPr>
      </w:pPr>
      <w:r>
        <w:rPr>
          <w:rFonts w:ascii="宋体" w:hAnsi="宋体" w:cs="宋体"/>
          <w:kern w:val="0"/>
          <w:sz w:val="22"/>
        </w:rPr>
        <w:t xml:space="preserve">(1) </w:t>
      </w:r>
      <w:r>
        <w:rPr>
          <w:rFonts w:hint="eastAsia" w:ascii="宋体" w:hAnsi="宋体" w:cs="宋体"/>
          <w:kern w:val="0"/>
          <w:sz w:val="22"/>
        </w:rPr>
        <w:t>金属外壳上焊有不小于</w:t>
      </w:r>
      <w:r>
        <w:rPr>
          <w:rFonts w:ascii="宋体" w:hAnsi="宋体" w:cs="宋体"/>
          <w:kern w:val="0"/>
          <w:sz w:val="22"/>
        </w:rPr>
        <w:t>M8的铜质螺母；</w:t>
      </w:r>
    </w:p>
    <w:p>
      <w:pPr>
        <w:adjustRightInd w:val="0"/>
        <w:snapToGrid w:val="0"/>
        <w:spacing w:line="360" w:lineRule="exact"/>
        <w:rPr>
          <w:rFonts w:ascii="宋体" w:hAnsi="宋体" w:cs="宋体"/>
          <w:kern w:val="0"/>
          <w:sz w:val="22"/>
        </w:rPr>
      </w:pPr>
      <w:r>
        <w:rPr>
          <w:rFonts w:ascii="宋体" w:hAnsi="宋体" w:cs="宋体"/>
          <w:kern w:val="0"/>
          <w:sz w:val="22"/>
        </w:rPr>
        <w:t xml:space="preserve">(2) </w:t>
      </w:r>
      <w:r>
        <w:rPr>
          <w:rFonts w:hint="eastAsia" w:ascii="宋体" w:hAnsi="宋体" w:cs="宋体"/>
          <w:kern w:val="0"/>
          <w:sz w:val="22"/>
        </w:rPr>
        <w:t>保护接地线接线端子要求采用接地铜排形式，铜排上预留</w:t>
      </w:r>
      <w:r>
        <w:rPr>
          <w:rFonts w:ascii="宋体" w:hAnsi="宋体" w:cs="宋体"/>
          <w:kern w:val="0"/>
          <w:sz w:val="22"/>
        </w:rPr>
        <w:t>M8的螺孔。</w:t>
      </w:r>
    </w:p>
    <w:p>
      <w:pPr>
        <w:adjustRightInd w:val="0"/>
        <w:snapToGrid w:val="0"/>
        <w:spacing w:line="360" w:lineRule="exact"/>
        <w:rPr>
          <w:rFonts w:ascii="宋体" w:hAnsi="宋体" w:cs="宋体"/>
          <w:kern w:val="0"/>
          <w:sz w:val="22"/>
        </w:rPr>
      </w:pPr>
      <w:r>
        <w:rPr>
          <w:rFonts w:ascii="宋体" w:hAnsi="宋体" w:cs="宋体"/>
          <w:kern w:val="0"/>
          <w:sz w:val="22"/>
        </w:rPr>
        <w:t xml:space="preserve">20、 </w:t>
      </w:r>
      <w:r>
        <w:rPr>
          <w:rFonts w:hint="eastAsia" w:ascii="宋体" w:hAnsi="宋体" w:cs="宋体"/>
          <w:kern w:val="0"/>
          <w:sz w:val="22"/>
        </w:rPr>
        <w:t>是否达到正常温升的要求</w:t>
      </w:r>
      <w:r>
        <w:rPr>
          <w:rFonts w:ascii="宋体" w:hAnsi="宋体" w:cs="宋体"/>
          <w:kern w:val="0"/>
          <w:sz w:val="22"/>
        </w:rPr>
        <w:t>:</w:t>
      </w:r>
    </w:p>
    <w:tbl>
      <w:tblPr>
        <w:tblStyle w:val="13"/>
        <w:tblW w:w="7080" w:type="dxa"/>
        <w:tblInd w:w="698" w:type="dxa"/>
        <w:tblLayout w:type="fixed"/>
        <w:tblCellMar>
          <w:top w:w="0" w:type="dxa"/>
          <w:left w:w="108" w:type="dxa"/>
          <w:bottom w:w="0" w:type="dxa"/>
          <w:right w:w="108" w:type="dxa"/>
        </w:tblCellMar>
      </w:tblPr>
      <w:tblGrid>
        <w:gridCol w:w="3662"/>
        <w:gridCol w:w="3418"/>
      </w:tblGrid>
      <w:tr>
        <w:tblPrEx>
          <w:tblLayout w:type="fixed"/>
          <w:tblCellMar>
            <w:top w:w="0" w:type="dxa"/>
            <w:left w:w="108" w:type="dxa"/>
            <w:bottom w:w="0" w:type="dxa"/>
            <w:right w:w="108" w:type="dxa"/>
          </w:tblCellMar>
        </w:tblPrEx>
        <w:tc>
          <w:tcPr>
            <w:tcW w:w="36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ascii="宋体" w:hAnsi="宋体" w:cs="宋体"/>
                <w:kern w:val="0"/>
                <w:sz w:val="22"/>
              </w:rPr>
            </w:pPr>
            <w:r>
              <w:rPr>
                <w:rFonts w:hint="eastAsia" w:ascii="宋体" w:hAnsi="宋体" w:cs="宋体"/>
                <w:kern w:val="0"/>
                <w:sz w:val="22"/>
              </w:rPr>
              <w:t>部件</w:t>
            </w:r>
          </w:p>
        </w:tc>
        <w:tc>
          <w:tcPr>
            <w:tcW w:w="3418" w:type="dxa"/>
            <w:tcBorders>
              <w:top w:val="single" w:color="auto" w:sz="4" w:space="0"/>
              <w:left w:val="nil"/>
              <w:bottom w:val="single" w:color="auto" w:sz="4" w:space="0"/>
              <w:right w:val="single" w:color="auto" w:sz="4" w:space="0"/>
            </w:tcBorders>
          </w:tcPr>
          <w:p>
            <w:pPr>
              <w:adjustRightInd w:val="0"/>
              <w:snapToGrid w:val="0"/>
              <w:spacing w:line="360" w:lineRule="exact"/>
              <w:rPr>
                <w:rFonts w:ascii="宋体" w:hAnsi="宋体" w:cs="宋体"/>
                <w:kern w:val="0"/>
                <w:sz w:val="22"/>
              </w:rPr>
            </w:pPr>
            <w:r>
              <w:rPr>
                <w:rFonts w:hint="eastAsia" w:ascii="宋体" w:hAnsi="宋体" w:cs="宋体"/>
                <w:kern w:val="0"/>
                <w:sz w:val="22"/>
              </w:rPr>
              <w:t>温升值（℃）</w:t>
            </w:r>
          </w:p>
        </w:tc>
      </w:tr>
      <w:tr>
        <w:tblPrEx>
          <w:tblLayout w:type="fixed"/>
          <w:tblCellMar>
            <w:top w:w="0" w:type="dxa"/>
            <w:left w:w="108" w:type="dxa"/>
            <w:bottom w:w="0" w:type="dxa"/>
            <w:right w:w="108" w:type="dxa"/>
          </w:tblCellMar>
        </w:tblPrEx>
        <w:tc>
          <w:tcPr>
            <w:tcW w:w="36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ascii="宋体" w:hAnsi="宋体" w:cs="宋体"/>
                <w:kern w:val="0"/>
                <w:sz w:val="22"/>
              </w:rPr>
            </w:pPr>
            <w:r>
              <w:rPr>
                <w:rFonts w:hint="eastAsia" w:ascii="宋体" w:hAnsi="宋体" w:cs="宋体"/>
                <w:kern w:val="0"/>
                <w:sz w:val="22"/>
              </w:rPr>
              <w:t>铜母线接头</w:t>
            </w:r>
          </w:p>
        </w:tc>
        <w:tc>
          <w:tcPr>
            <w:tcW w:w="3418" w:type="dxa"/>
            <w:tcBorders>
              <w:top w:val="single" w:color="auto" w:sz="4" w:space="0"/>
              <w:left w:val="nil"/>
              <w:bottom w:val="single" w:color="auto" w:sz="4" w:space="0"/>
              <w:right w:val="single" w:color="auto" w:sz="4" w:space="0"/>
            </w:tcBorders>
          </w:tcPr>
          <w:p>
            <w:pPr>
              <w:adjustRightInd w:val="0"/>
              <w:snapToGrid w:val="0"/>
              <w:spacing w:line="360" w:lineRule="exact"/>
              <w:rPr>
                <w:rFonts w:ascii="宋体" w:hAnsi="宋体" w:cs="宋体"/>
                <w:kern w:val="0"/>
                <w:sz w:val="22"/>
              </w:rPr>
            </w:pPr>
            <w:r>
              <w:rPr>
                <w:rFonts w:ascii="宋体" w:hAnsi="宋体" w:cs="宋体"/>
                <w:kern w:val="0"/>
                <w:sz w:val="22"/>
              </w:rPr>
              <w:t>70</w:t>
            </w:r>
          </w:p>
        </w:tc>
      </w:tr>
      <w:tr>
        <w:tblPrEx>
          <w:tblLayout w:type="fixed"/>
          <w:tblCellMar>
            <w:top w:w="0" w:type="dxa"/>
            <w:left w:w="108" w:type="dxa"/>
            <w:bottom w:w="0" w:type="dxa"/>
            <w:right w:w="108" w:type="dxa"/>
          </w:tblCellMar>
        </w:tblPrEx>
        <w:tc>
          <w:tcPr>
            <w:tcW w:w="36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ascii="宋体" w:hAnsi="宋体" w:cs="宋体"/>
                <w:kern w:val="0"/>
                <w:sz w:val="22"/>
              </w:rPr>
            </w:pPr>
            <w:r>
              <w:rPr>
                <w:rFonts w:hint="eastAsia" w:ascii="宋体" w:hAnsi="宋体" w:cs="宋体"/>
                <w:kern w:val="0"/>
                <w:sz w:val="22"/>
              </w:rPr>
              <w:t>开关接触处</w:t>
            </w:r>
          </w:p>
        </w:tc>
        <w:tc>
          <w:tcPr>
            <w:tcW w:w="3418" w:type="dxa"/>
            <w:tcBorders>
              <w:top w:val="single" w:color="auto" w:sz="4" w:space="0"/>
              <w:left w:val="nil"/>
              <w:bottom w:val="single" w:color="auto" w:sz="4" w:space="0"/>
              <w:right w:val="single" w:color="auto" w:sz="4" w:space="0"/>
            </w:tcBorders>
          </w:tcPr>
          <w:p>
            <w:pPr>
              <w:adjustRightInd w:val="0"/>
              <w:snapToGrid w:val="0"/>
              <w:spacing w:line="360" w:lineRule="exact"/>
              <w:rPr>
                <w:rFonts w:ascii="宋体" w:hAnsi="宋体" w:cs="宋体"/>
                <w:kern w:val="0"/>
                <w:sz w:val="22"/>
              </w:rPr>
            </w:pPr>
            <w:r>
              <w:rPr>
                <w:rFonts w:ascii="宋体" w:hAnsi="宋体" w:cs="宋体"/>
                <w:kern w:val="0"/>
                <w:sz w:val="22"/>
              </w:rPr>
              <w:t>50</w:t>
            </w:r>
          </w:p>
        </w:tc>
      </w:tr>
    </w:tbl>
    <w:p>
      <w:pPr>
        <w:adjustRightInd w:val="0"/>
        <w:snapToGrid w:val="0"/>
        <w:spacing w:line="360" w:lineRule="exact"/>
        <w:rPr>
          <w:rFonts w:ascii="宋体" w:hAnsi="宋体" w:cs="宋体"/>
          <w:kern w:val="0"/>
          <w:sz w:val="22"/>
        </w:rPr>
      </w:pPr>
      <w:r>
        <w:rPr>
          <w:rFonts w:hint="eastAsia" w:ascii="宋体" w:hAnsi="宋体" w:cs="宋体"/>
          <w:kern w:val="0"/>
          <w:sz w:val="22"/>
        </w:rPr>
        <w:t>以上服务根据现场各个站点的实际情况进行全部或者部分执行。</w:t>
      </w:r>
    </w:p>
    <w:p>
      <w:pPr>
        <w:adjustRightInd w:val="0"/>
        <w:snapToGrid w:val="0"/>
        <w:spacing w:line="360" w:lineRule="exact"/>
        <w:rPr>
          <w:rFonts w:ascii="宋体" w:hAnsi="宋体" w:cs="宋体"/>
          <w:kern w:val="0"/>
          <w:sz w:val="22"/>
        </w:rPr>
      </w:pPr>
      <w:r>
        <w:rPr>
          <w:rFonts w:hint="eastAsia" w:ascii="宋体" w:hAnsi="宋体" w:cs="宋体"/>
          <w:kern w:val="0"/>
          <w:sz w:val="22"/>
        </w:rPr>
        <w:t>其他服务内容：</w:t>
      </w:r>
    </w:p>
    <w:p>
      <w:pPr>
        <w:adjustRightInd w:val="0"/>
        <w:snapToGrid w:val="0"/>
        <w:spacing w:line="360" w:lineRule="exact"/>
        <w:rPr>
          <w:rFonts w:ascii="宋体" w:hAnsi="宋体" w:cs="宋体"/>
          <w:kern w:val="0"/>
          <w:sz w:val="22"/>
        </w:rPr>
      </w:pPr>
      <w:r>
        <w:rPr>
          <w:rFonts w:ascii="宋体" w:hAnsi="宋体" w:cs="宋体"/>
          <w:kern w:val="0"/>
          <w:sz w:val="22"/>
        </w:rPr>
        <w:t>a）进行ASCO电力切换装置快速维修；</w:t>
      </w:r>
    </w:p>
    <w:p>
      <w:pPr>
        <w:adjustRightInd w:val="0"/>
        <w:snapToGrid w:val="0"/>
        <w:spacing w:line="360" w:lineRule="exact"/>
        <w:rPr>
          <w:rFonts w:ascii="宋体" w:hAnsi="宋体" w:cs="宋体"/>
          <w:kern w:val="0"/>
          <w:sz w:val="22"/>
        </w:rPr>
      </w:pPr>
      <w:r>
        <w:rPr>
          <w:rFonts w:ascii="宋体" w:hAnsi="宋体" w:cs="宋体"/>
          <w:kern w:val="0"/>
          <w:sz w:val="22"/>
        </w:rPr>
        <w:t>b）每年须提供ASCO电力切换装置使用、维护、基本原理、故障判断、应急措施实施等培训；</w:t>
      </w:r>
    </w:p>
    <w:p>
      <w:pPr>
        <w:adjustRightInd w:val="0"/>
        <w:snapToGrid w:val="0"/>
        <w:spacing w:line="360" w:lineRule="exact"/>
        <w:rPr>
          <w:rFonts w:ascii="宋体" w:hAnsi="宋体" w:cs="宋体"/>
          <w:kern w:val="0"/>
          <w:sz w:val="22"/>
        </w:rPr>
      </w:pPr>
      <w:r>
        <w:rPr>
          <w:rFonts w:ascii="宋体" w:hAnsi="宋体" w:cs="宋体"/>
          <w:kern w:val="0"/>
          <w:sz w:val="22"/>
        </w:rPr>
        <w:t>c）在本地设立常驻办公点与备品备件库，储备足够的易损、易更换备件。</w:t>
      </w:r>
    </w:p>
    <w:p>
      <w:pPr>
        <w:adjustRightInd w:val="0"/>
        <w:snapToGrid w:val="0"/>
        <w:spacing w:line="360" w:lineRule="exact"/>
        <w:rPr>
          <w:rFonts w:ascii="宋体" w:hAnsi="宋体" w:cs="宋体"/>
          <w:kern w:val="0"/>
          <w:sz w:val="22"/>
        </w:rPr>
      </w:pPr>
      <w:r>
        <w:rPr>
          <w:rFonts w:ascii="宋体" w:hAnsi="宋体" w:cs="宋体"/>
          <w:kern w:val="0"/>
          <w:sz w:val="22"/>
        </w:rPr>
        <w:t>5.3技术服务要求：中标方保证以快速的响应、熟练的维护技术向机场提供优质的设备维护保养服务，具体包括设备的定期检查保养、预防性维护、故障及时修复、备件保障供应，以及提供相应的技术咨询、交流和培训等方面的服务，配合机场完成相关硬件搬迁、设备更换、应急预案演练等工作。</w:t>
      </w:r>
    </w:p>
    <w:p>
      <w:pPr>
        <w:adjustRightInd w:val="0"/>
        <w:snapToGrid w:val="0"/>
        <w:spacing w:line="360" w:lineRule="exact"/>
        <w:rPr>
          <w:rFonts w:ascii="宋体" w:hAnsi="宋体" w:cs="宋体"/>
          <w:kern w:val="0"/>
          <w:sz w:val="22"/>
        </w:rPr>
      </w:pPr>
      <w:r>
        <w:rPr>
          <w:rFonts w:ascii="宋体" w:hAnsi="宋体" w:cs="宋体"/>
          <w:kern w:val="0"/>
          <w:sz w:val="22"/>
        </w:rPr>
        <w:t>5.4中标方对招标方的设备必须提供定期预防性维护服务，具体是：在合同年度内进行每年两次定期的系统检查、测试维护工作，具体内容按 “维修保养内容”执行。</w:t>
      </w:r>
    </w:p>
    <w:p>
      <w:pPr>
        <w:adjustRightInd w:val="0"/>
        <w:snapToGrid w:val="0"/>
        <w:spacing w:line="360" w:lineRule="exact"/>
        <w:rPr>
          <w:rFonts w:ascii="宋体" w:hAnsi="宋体" w:cs="宋体"/>
          <w:kern w:val="0"/>
          <w:sz w:val="22"/>
        </w:rPr>
      </w:pPr>
      <w:r>
        <w:rPr>
          <w:rFonts w:ascii="宋体" w:hAnsi="宋体" w:cs="宋体"/>
          <w:kern w:val="0"/>
          <w:sz w:val="22"/>
        </w:rPr>
        <w:t>5.5根据招标人设备储备易损和常用备件，及时对招标人设备进行维护保养服务，维修发生</w:t>
      </w:r>
      <w:r>
        <w:rPr>
          <w:rFonts w:hint="eastAsia" w:ascii="宋体" w:hAnsi="宋体" w:cs="宋体"/>
          <w:kern w:val="0"/>
          <w:sz w:val="22"/>
        </w:rPr>
        <w:t>的</w:t>
      </w:r>
      <w:r>
        <w:rPr>
          <w:rFonts w:ascii="宋体" w:hAnsi="宋体" w:cs="宋体"/>
          <w:kern w:val="0"/>
          <w:sz w:val="22"/>
        </w:rPr>
        <w:t>材料费用由投标人承担，其他的人工费、劳务费、差旅费、保险费、备件运费等一切保养维修费以及税费等所有费用由中标方负责。</w:t>
      </w:r>
    </w:p>
    <w:p>
      <w:pPr>
        <w:adjustRightInd w:val="0"/>
        <w:snapToGrid w:val="0"/>
        <w:spacing w:line="360" w:lineRule="exact"/>
        <w:rPr>
          <w:rFonts w:ascii="宋体" w:hAnsi="宋体" w:cs="宋体"/>
          <w:b/>
          <w:bCs/>
          <w:kern w:val="0"/>
          <w:sz w:val="22"/>
        </w:rPr>
      </w:pPr>
      <w:r>
        <w:rPr>
          <w:rFonts w:ascii="宋体" w:hAnsi="宋体" w:cs="宋体"/>
          <w:b/>
          <w:bCs/>
          <w:kern w:val="0"/>
          <w:sz w:val="22"/>
        </w:rPr>
        <w:t>6.服务方式</w:t>
      </w:r>
    </w:p>
    <w:p>
      <w:pPr>
        <w:adjustRightInd w:val="0"/>
        <w:snapToGrid w:val="0"/>
        <w:spacing w:line="360" w:lineRule="exact"/>
        <w:rPr>
          <w:rFonts w:ascii="宋体" w:hAnsi="宋体" w:cs="宋体"/>
          <w:kern w:val="0"/>
          <w:sz w:val="22"/>
        </w:rPr>
      </w:pPr>
      <w:r>
        <w:rPr>
          <w:rFonts w:ascii="宋体" w:hAnsi="宋体" w:cs="宋体"/>
          <w:kern w:val="0"/>
          <w:sz w:val="22"/>
        </w:rPr>
        <w:t>6.1服务热线电话支持：中标方提供7*24小时服务热线电话支持，对机场发现设备发生异常或遇到难于解决的疑难问题给予及时的服务响应。</w:t>
      </w:r>
    </w:p>
    <w:p>
      <w:pPr>
        <w:adjustRightInd w:val="0"/>
        <w:snapToGrid w:val="0"/>
        <w:spacing w:line="360" w:lineRule="exact"/>
        <w:rPr>
          <w:rFonts w:ascii="宋体" w:hAnsi="宋体" w:cs="宋体"/>
          <w:kern w:val="0"/>
          <w:sz w:val="22"/>
        </w:rPr>
      </w:pPr>
      <w:r>
        <w:rPr>
          <w:rFonts w:ascii="宋体" w:hAnsi="宋体" w:cs="宋体"/>
          <w:kern w:val="0"/>
          <w:sz w:val="22"/>
        </w:rPr>
        <w:t>6.2到现场维护服务：当中标方接到机场设备故障要求维护的通知（电话、传真）后，应积极响应，并立即派有经验的ASCO专业工程师到机场指定的设备现场进行设备维护或更换设备部件来排除故障，保障设备及时地恢复正常进行。</w:t>
      </w:r>
    </w:p>
    <w:p>
      <w:pPr>
        <w:adjustRightInd w:val="0"/>
        <w:snapToGrid w:val="0"/>
        <w:spacing w:line="360" w:lineRule="exact"/>
        <w:rPr>
          <w:rFonts w:ascii="宋体" w:hAnsi="宋体" w:cs="宋体"/>
          <w:kern w:val="0"/>
          <w:sz w:val="22"/>
        </w:rPr>
      </w:pPr>
      <w:r>
        <w:rPr>
          <w:rFonts w:ascii="宋体" w:hAnsi="宋体" w:cs="宋体"/>
          <w:kern w:val="0"/>
          <w:sz w:val="22"/>
        </w:rPr>
        <w:t>6.3到现场时间限定：接到机场通知后到达机场指定现场的时间为4小时。维护范围内发生重大故障造成ASCO电力切换装置不能正常运行的，中标方应在接到通知后1.5小时内到达现场，6小时内给予恢复。</w:t>
      </w:r>
    </w:p>
    <w:p>
      <w:pPr>
        <w:adjustRightInd w:val="0"/>
        <w:snapToGrid w:val="0"/>
        <w:spacing w:line="360" w:lineRule="exact"/>
        <w:rPr>
          <w:rFonts w:ascii="宋体" w:hAnsi="宋体" w:cs="宋体"/>
          <w:kern w:val="0"/>
          <w:sz w:val="22"/>
        </w:rPr>
      </w:pPr>
      <w:r>
        <w:rPr>
          <w:rFonts w:ascii="宋体" w:hAnsi="宋体" w:cs="宋体"/>
          <w:b/>
          <w:bCs/>
          <w:kern w:val="0"/>
          <w:sz w:val="22"/>
        </w:rPr>
        <w:t>7.服务质量</w:t>
      </w:r>
    </w:p>
    <w:p>
      <w:pPr>
        <w:adjustRightInd w:val="0"/>
        <w:snapToGrid w:val="0"/>
        <w:spacing w:line="360" w:lineRule="exact"/>
        <w:rPr>
          <w:rFonts w:ascii="宋体" w:hAnsi="宋体" w:cs="宋体"/>
          <w:kern w:val="0"/>
          <w:sz w:val="22"/>
        </w:rPr>
      </w:pPr>
      <w:r>
        <w:rPr>
          <w:rFonts w:ascii="宋体" w:hAnsi="宋体" w:cs="宋体"/>
          <w:kern w:val="0"/>
          <w:sz w:val="22"/>
        </w:rPr>
        <w:t>7.1中标方对招标方设备所进行的设备故障保养及预防性维护中，应及时更换受损部件，在保养、维护结束后，必须出具维修结果报告的电子和书面文档交招标方维修设备所在部门有关人员确认，以备案待查。服务期满后，中标方应提供详细的年度维护报告资料，并通过招标方验收。</w:t>
      </w:r>
    </w:p>
    <w:p>
      <w:pPr>
        <w:adjustRightInd w:val="0"/>
        <w:snapToGrid w:val="0"/>
        <w:spacing w:line="360" w:lineRule="exact"/>
        <w:rPr>
          <w:rFonts w:ascii="宋体" w:hAnsi="宋体" w:cs="宋体"/>
          <w:kern w:val="0"/>
          <w:sz w:val="22"/>
        </w:rPr>
      </w:pPr>
      <w:r>
        <w:rPr>
          <w:rFonts w:ascii="宋体" w:hAnsi="宋体" w:cs="宋体"/>
          <w:kern w:val="0"/>
          <w:sz w:val="22"/>
        </w:rPr>
        <w:t>7.2所有维保人员必须服从机场的指挥，遵守机场的安全规定。</w:t>
      </w:r>
    </w:p>
    <w:p>
      <w:pPr>
        <w:adjustRightInd w:val="0"/>
        <w:snapToGrid w:val="0"/>
        <w:spacing w:line="360" w:lineRule="exact"/>
        <w:rPr>
          <w:rFonts w:ascii="宋体" w:hAnsi="宋体" w:cs="宋体"/>
          <w:kern w:val="0"/>
          <w:sz w:val="22"/>
        </w:rPr>
      </w:pPr>
      <w:r>
        <w:rPr>
          <w:rFonts w:ascii="宋体" w:hAnsi="宋体" w:cs="宋体"/>
          <w:kern w:val="0"/>
          <w:sz w:val="22"/>
        </w:rPr>
        <w:t>7.3中标方应有长期固定的完善的售后服务及维修机构，并配有较强的技术队伍，须提供联系地址、电话。</w:t>
      </w:r>
    </w:p>
    <w:p>
      <w:pPr>
        <w:adjustRightInd w:val="0"/>
        <w:snapToGrid w:val="0"/>
        <w:spacing w:line="360" w:lineRule="exact"/>
        <w:rPr>
          <w:rFonts w:ascii="宋体" w:hAnsi="宋体" w:cs="宋体"/>
          <w:kern w:val="0"/>
          <w:sz w:val="22"/>
        </w:rPr>
      </w:pPr>
      <w:r>
        <w:rPr>
          <w:rFonts w:ascii="宋体" w:hAnsi="宋体" w:cs="宋体"/>
          <w:kern w:val="0"/>
          <w:sz w:val="22"/>
        </w:rPr>
        <w:t>7.4中标方承诺在中国境内备有充足的耗材及备件以满足招标人的维修更换需要，耗材及备件的运输10天内运达招标人指定地点，做到及时、快捷。</w:t>
      </w:r>
    </w:p>
    <w:p>
      <w:pPr>
        <w:adjustRightInd w:val="0"/>
        <w:snapToGrid w:val="0"/>
        <w:spacing w:line="360" w:lineRule="exact"/>
        <w:ind w:firstLine="0" w:firstLineChars="0"/>
        <w:rPr>
          <w:rFonts w:hint="eastAsia" w:ascii="宋体" w:hAnsi="宋体" w:cs="Calibri"/>
          <w:sz w:val="22"/>
        </w:rPr>
      </w:pPr>
      <w:r>
        <w:rPr>
          <w:rFonts w:hint="eastAsia" w:ascii="宋体" w:hAnsi="宋体" w:cs="宋体"/>
          <w:b w:val="0"/>
          <w:bCs w:val="0"/>
          <w:kern w:val="0"/>
          <w:sz w:val="22"/>
          <w:szCs w:val="22"/>
          <w:lang w:val="en-US" w:eastAsia="zh-CN"/>
        </w:rPr>
        <w:t>7.5中标</w:t>
      </w:r>
      <w:r>
        <w:rPr>
          <w:rFonts w:hint="eastAsia" w:ascii="宋体" w:hAnsi="宋体" w:cs="Calibri"/>
          <w:sz w:val="22"/>
        </w:rPr>
        <w:t>方应为</w:t>
      </w:r>
      <w:r>
        <w:rPr>
          <w:rFonts w:hint="eastAsia" w:ascii="宋体" w:hAnsi="宋体" w:cs="Calibri"/>
          <w:sz w:val="22"/>
          <w:lang w:val="en-US" w:eastAsia="zh-CN"/>
        </w:rPr>
        <w:t>3台主控装置</w:t>
      </w:r>
      <w:r>
        <w:rPr>
          <w:rFonts w:hint="eastAsia" w:ascii="宋体" w:hAnsi="宋体" w:cs="Calibri"/>
          <w:sz w:val="22"/>
          <w:lang w:eastAsia="zh-CN"/>
        </w:rPr>
        <w:t>（</w:t>
      </w:r>
      <w:r>
        <w:rPr>
          <w:rFonts w:hint="eastAsia"/>
          <w:bCs/>
          <w:szCs w:val="21"/>
        </w:rPr>
        <w:t>ASCO7000 Series</w:t>
      </w:r>
      <w:r>
        <w:rPr>
          <w:rFonts w:hint="eastAsia" w:ascii="宋体" w:hAnsi="宋体" w:cs="Calibri"/>
          <w:sz w:val="22"/>
          <w:lang w:eastAsia="zh-CN"/>
        </w:rPr>
        <w:t>）</w:t>
      </w:r>
      <w:r>
        <w:rPr>
          <w:rFonts w:hint="eastAsia" w:ascii="宋体" w:hAnsi="宋体" w:cs="Calibri"/>
          <w:sz w:val="22"/>
        </w:rPr>
        <w:t>提供【两】年的免费保修期(含工时费和零部件费)，时间为</w:t>
      </w:r>
      <w:r>
        <w:rPr>
          <w:rFonts w:hint="eastAsia" w:ascii="宋体" w:hAnsi="宋体" w:cs="Calibri"/>
          <w:sz w:val="22"/>
          <w:lang w:val="en-US" w:eastAsia="zh-CN"/>
        </w:rPr>
        <w:t>中标</w:t>
      </w:r>
      <w:r>
        <w:rPr>
          <w:rFonts w:hint="eastAsia" w:ascii="宋体" w:hAnsi="宋体" w:cs="Calibri"/>
          <w:sz w:val="22"/>
        </w:rPr>
        <w:t>方安装调试完成，</w:t>
      </w:r>
      <w:r>
        <w:rPr>
          <w:rFonts w:hint="eastAsia" w:ascii="宋体" w:hAnsi="宋体" w:cs="Calibri"/>
          <w:sz w:val="22"/>
          <w:lang w:val="en-US" w:eastAsia="zh-CN"/>
        </w:rPr>
        <w:t>且维保结束</w:t>
      </w:r>
      <w:r>
        <w:rPr>
          <w:rFonts w:hint="eastAsia" w:ascii="宋体" w:hAnsi="宋体" w:cs="Calibri"/>
          <w:sz w:val="22"/>
        </w:rPr>
        <w:t>之日起算。</w:t>
      </w:r>
    </w:p>
    <w:p>
      <w:pPr>
        <w:adjustRightInd w:val="0"/>
        <w:snapToGrid w:val="0"/>
        <w:spacing w:line="360" w:lineRule="exact"/>
        <w:ind w:firstLine="0" w:firstLineChars="0"/>
        <w:rPr>
          <w:rFonts w:hint="eastAsia" w:ascii="宋体" w:hAnsi="宋体" w:cs="Calibri"/>
          <w:sz w:val="22"/>
        </w:rPr>
      </w:pPr>
      <w:r>
        <w:rPr>
          <w:rFonts w:hint="eastAsia" w:ascii="宋体" w:hAnsi="宋体" w:cs="Calibri"/>
          <w:sz w:val="22"/>
          <w:lang w:val="en-US" w:eastAsia="zh-CN"/>
        </w:rPr>
        <w:t>7.6</w:t>
      </w:r>
      <w:r>
        <w:rPr>
          <w:rFonts w:hint="eastAsia" w:ascii="宋体" w:hAnsi="宋体" w:cs="Calibri"/>
          <w:sz w:val="22"/>
        </w:rPr>
        <w:t>保修期内由于非</w:t>
      </w:r>
      <w:r>
        <w:rPr>
          <w:rFonts w:hint="eastAsia" w:ascii="宋体" w:hAnsi="宋体" w:cs="Calibri"/>
          <w:sz w:val="22"/>
          <w:lang w:val="en-US" w:eastAsia="zh-CN"/>
        </w:rPr>
        <w:t>招标</w:t>
      </w:r>
      <w:r>
        <w:rPr>
          <w:rFonts w:hint="eastAsia" w:ascii="宋体" w:hAnsi="宋体" w:cs="Calibri"/>
          <w:sz w:val="22"/>
        </w:rPr>
        <w:t>方原因发生的的故障或损坏，</w:t>
      </w:r>
      <w:r>
        <w:rPr>
          <w:rFonts w:hint="eastAsia" w:ascii="宋体" w:hAnsi="宋体" w:cs="Calibri"/>
          <w:sz w:val="22"/>
          <w:lang w:val="en-US" w:eastAsia="zh-CN"/>
        </w:rPr>
        <w:t>中标</w:t>
      </w:r>
      <w:r>
        <w:rPr>
          <w:rFonts w:hint="eastAsia" w:ascii="宋体" w:hAnsi="宋体" w:cs="Calibri"/>
          <w:sz w:val="22"/>
        </w:rPr>
        <w:t>方免费提供维修和备件直至设备性能、状态等达到正常标准，可以正常安全使用为止。如无法修复，</w:t>
      </w:r>
      <w:r>
        <w:rPr>
          <w:rFonts w:hint="eastAsia" w:ascii="宋体" w:hAnsi="宋体" w:cs="Calibri"/>
          <w:sz w:val="22"/>
          <w:lang w:val="en-US" w:eastAsia="zh-CN"/>
        </w:rPr>
        <w:t>中标</w:t>
      </w:r>
      <w:r>
        <w:rPr>
          <w:rFonts w:hint="eastAsia" w:ascii="宋体" w:hAnsi="宋体" w:cs="Calibri"/>
          <w:sz w:val="22"/>
        </w:rPr>
        <w:t>方应负责免费更换或由</w:t>
      </w:r>
      <w:r>
        <w:rPr>
          <w:rFonts w:hint="eastAsia" w:ascii="宋体" w:hAnsi="宋体" w:cs="Calibri"/>
          <w:sz w:val="22"/>
          <w:lang w:val="en-US" w:eastAsia="zh-CN"/>
        </w:rPr>
        <w:t>招标</w:t>
      </w:r>
      <w:r>
        <w:rPr>
          <w:rFonts w:hint="eastAsia" w:ascii="宋体" w:hAnsi="宋体" w:cs="Calibri"/>
          <w:sz w:val="22"/>
        </w:rPr>
        <w:t>方退还</w:t>
      </w:r>
      <w:r>
        <w:rPr>
          <w:rFonts w:hint="eastAsia" w:ascii="宋体" w:hAnsi="宋体" w:cs="Calibri"/>
          <w:sz w:val="22"/>
          <w:lang w:val="en-US" w:eastAsia="zh-CN"/>
        </w:rPr>
        <w:t>中标</w:t>
      </w:r>
      <w:r>
        <w:rPr>
          <w:rFonts w:hint="eastAsia" w:ascii="宋体" w:hAnsi="宋体" w:cs="Calibri"/>
          <w:sz w:val="22"/>
        </w:rPr>
        <w:t>方所供货物，</w:t>
      </w:r>
      <w:r>
        <w:rPr>
          <w:rFonts w:hint="eastAsia" w:ascii="宋体" w:hAnsi="宋体" w:cs="Calibri"/>
          <w:sz w:val="22"/>
          <w:lang w:val="en-US" w:eastAsia="zh-CN"/>
        </w:rPr>
        <w:t>中标</w:t>
      </w:r>
      <w:r>
        <w:rPr>
          <w:rFonts w:hint="eastAsia" w:ascii="宋体" w:hAnsi="宋体" w:cs="Calibri"/>
          <w:sz w:val="22"/>
        </w:rPr>
        <w:t>方退还</w:t>
      </w:r>
      <w:r>
        <w:rPr>
          <w:rFonts w:hint="eastAsia" w:ascii="宋体" w:hAnsi="宋体" w:cs="Calibri"/>
          <w:sz w:val="22"/>
          <w:lang w:val="en-US" w:eastAsia="zh-CN"/>
        </w:rPr>
        <w:t>招标</w:t>
      </w:r>
      <w:r>
        <w:rPr>
          <w:rFonts w:hint="eastAsia" w:ascii="宋体" w:hAnsi="宋体" w:cs="Calibri"/>
          <w:sz w:val="22"/>
        </w:rPr>
        <w:t>方支付的合同款，同时应承担该货物的直接费用（运输、保险、检验、货款利息及银行手续费等）以及由此给</w:t>
      </w:r>
      <w:r>
        <w:rPr>
          <w:rFonts w:hint="eastAsia" w:ascii="宋体" w:hAnsi="宋体" w:cs="Calibri"/>
          <w:sz w:val="22"/>
          <w:lang w:val="en-US" w:eastAsia="zh-CN"/>
        </w:rPr>
        <w:t>招标</w:t>
      </w:r>
      <w:r>
        <w:rPr>
          <w:rFonts w:hint="eastAsia" w:ascii="宋体" w:hAnsi="宋体" w:cs="Calibri"/>
          <w:sz w:val="22"/>
        </w:rPr>
        <w:t>方造成的损失。</w:t>
      </w:r>
    </w:p>
    <w:p>
      <w:pPr>
        <w:adjustRightInd w:val="0"/>
        <w:snapToGrid w:val="0"/>
        <w:spacing w:line="360" w:lineRule="exact"/>
        <w:rPr>
          <w:rFonts w:ascii="宋体" w:hAnsi="宋体" w:cs="宋体"/>
          <w:kern w:val="0"/>
          <w:sz w:val="22"/>
        </w:rPr>
      </w:pPr>
    </w:p>
    <w:p>
      <w:pPr>
        <w:adjustRightInd w:val="0"/>
        <w:snapToGrid w:val="0"/>
        <w:spacing w:line="360" w:lineRule="exact"/>
        <w:rPr>
          <w:rFonts w:ascii="宋体" w:hAnsi="宋体" w:cs="宋体"/>
          <w:b/>
          <w:bCs/>
          <w:kern w:val="0"/>
          <w:sz w:val="22"/>
        </w:rPr>
      </w:pPr>
      <w:r>
        <w:rPr>
          <w:rFonts w:ascii="宋体" w:hAnsi="宋体" w:cs="宋体"/>
          <w:b/>
          <w:bCs/>
          <w:kern w:val="0"/>
          <w:sz w:val="22"/>
        </w:rPr>
        <w:t>8.合同期限</w:t>
      </w: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合同期限为</w:t>
      </w:r>
      <w:r>
        <w:rPr>
          <w:rFonts w:hint="eastAsia" w:ascii="宋体" w:hAnsi="宋体" w:cs="宋体"/>
          <w:kern w:val="0"/>
          <w:sz w:val="22"/>
        </w:rPr>
        <w:t>一</w:t>
      </w:r>
      <w:r>
        <w:rPr>
          <w:rFonts w:ascii="宋体" w:hAnsi="宋体" w:cs="宋体"/>
          <w:kern w:val="0"/>
          <w:sz w:val="22"/>
        </w:rPr>
        <w:t>年，2019年</w:t>
      </w:r>
      <w:r>
        <w:rPr>
          <w:rFonts w:hint="eastAsia" w:ascii="宋体" w:hAnsi="宋体" w:cs="宋体"/>
          <w:kern w:val="0"/>
          <w:sz w:val="22"/>
        </w:rPr>
        <w:t>12</w:t>
      </w:r>
      <w:r>
        <w:rPr>
          <w:rFonts w:ascii="宋体" w:hAnsi="宋体" w:cs="宋体"/>
          <w:kern w:val="0"/>
          <w:sz w:val="22"/>
        </w:rPr>
        <w:t>月1日至202</w:t>
      </w:r>
      <w:r>
        <w:rPr>
          <w:rFonts w:hint="eastAsia" w:ascii="宋体" w:hAnsi="宋体" w:cs="宋体"/>
          <w:kern w:val="0"/>
          <w:sz w:val="22"/>
        </w:rPr>
        <w:t>0</w:t>
      </w:r>
      <w:r>
        <w:rPr>
          <w:rFonts w:ascii="宋体" w:hAnsi="宋体" w:cs="宋体"/>
          <w:kern w:val="0"/>
          <w:sz w:val="22"/>
        </w:rPr>
        <w:t>年1</w:t>
      </w:r>
      <w:r>
        <w:rPr>
          <w:rFonts w:hint="eastAsia" w:ascii="宋体" w:hAnsi="宋体" w:cs="宋体"/>
          <w:kern w:val="0"/>
          <w:sz w:val="22"/>
        </w:rPr>
        <w:t>1</w:t>
      </w:r>
      <w:r>
        <w:rPr>
          <w:rFonts w:ascii="宋体" w:hAnsi="宋体" w:cs="宋体"/>
          <w:kern w:val="0"/>
          <w:sz w:val="22"/>
        </w:rPr>
        <w:t>月3</w:t>
      </w:r>
      <w:r>
        <w:rPr>
          <w:rFonts w:hint="eastAsia" w:ascii="宋体" w:hAnsi="宋体" w:cs="宋体"/>
          <w:kern w:val="0"/>
          <w:sz w:val="22"/>
        </w:rPr>
        <w:t>0</w:t>
      </w:r>
      <w:r>
        <w:rPr>
          <w:rFonts w:ascii="宋体" w:hAnsi="宋体" w:cs="宋体"/>
          <w:kern w:val="0"/>
          <w:sz w:val="22"/>
        </w:rPr>
        <w:t>日。</w:t>
      </w:r>
    </w:p>
    <w:p>
      <w:pPr>
        <w:adjustRightInd w:val="0"/>
        <w:snapToGrid w:val="0"/>
        <w:spacing w:line="360" w:lineRule="exact"/>
        <w:rPr>
          <w:rFonts w:ascii="宋体" w:hAnsi="宋体" w:cs="宋体"/>
          <w:b/>
          <w:bCs/>
          <w:kern w:val="0"/>
          <w:sz w:val="22"/>
        </w:rPr>
      </w:pPr>
      <w:r>
        <w:rPr>
          <w:rFonts w:ascii="宋体" w:hAnsi="宋体" w:cs="宋体"/>
          <w:b/>
          <w:bCs/>
          <w:kern w:val="0"/>
          <w:sz w:val="22"/>
        </w:rPr>
        <w:t>9.付款方式</w:t>
      </w:r>
    </w:p>
    <w:p>
      <w:pPr>
        <w:widowControl/>
        <w:spacing w:line="288" w:lineRule="auto"/>
        <w:jc w:val="left"/>
        <w:rPr>
          <w:rFonts w:ascii="宋体" w:hAnsi="宋体" w:cs="Calibri"/>
          <w:sz w:val="22"/>
        </w:rPr>
      </w:pPr>
      <w:r>
        <w:rPr>
          <w:rFonts w:hint="eastAsia" w:ascii="宋体" w:hAnsi="宋体" w:cs="Calibri"/>
          <w:sz w:val="22"/>
        </w:rPr>
        <w:t xml:space="preserve">    合同费用支付：完成服务后，招标方根据中标方年度考核结果支付维保费用，合同执行到期后，一个月内以转账形式向中标方支付</w:t>
      </w:r>
      <w:r>
        <w:rPr>
          <w:rFonts w:hint="eastAsia" w:ascii="宋体" w:hAnsi="宋体" w:cs="宋体"/>
          <w:sz w:val="22"/>
        </w:rPr>
        <w:t>至合同总金额的95%，同时无息返还履约保证金；剩余5%质保金，在质保期结束且无质量问题后无息支付，</w:t>
      </w:r>
      <w:r>
        <w:rPr>
          <w:rFonts w:hint="eastAsia" w:ascii="宋体" w:hAnsi="宋体" w:cs="Calibri"/>
          <w:sz w:val="22"/>
        </w:rPr>
        <w:t>中标方应提供正式的6%增值税专用发票。</w:t>
      </w:r>
    </w:p>
    <w:p>
      <w:pPr>
        <w:adjustRightInd w:val="0"/>
        <w:snapToGrid w:val="0"/>
        <w:spacing w:line="360" w:lineRule="exact"/>
        <w:ind w:firstLine="440" w:firstLineChars="200"/>
        <w:rPr>
          <w:rFonts w:ascii="宋体" w:hAnsi="宋体" w:cs="宋体"/>
          <w:kern w:val="0"/>
          <w:sz w:val="22"/>
        </w:rPr>
      </w:pPr>
      <w:r>
        <w:rPr>
          <w:rFonts w:ascii="宋体" w:hAnsi="宋体" w:cs="Calibri"/>
          <w:sz w:val="22"/>
        </w:rPr>
        <w:t>在合同有效期限内，若因国家税收政策调整而引起的增值税税率变化的，应按照国家税收政策</w:t>
      </w:r>
      <w:r>
        <w:rPr>
          <w:rFonts w:ascii="宋体" w:hAnsi="宋体" w:cs="宋体"/>
          <w:kern w:val="0"/>
          <w:sz w:val="22"/>
        </w:rPr>
        <w:t>调整，合同总金额变更为原合同不含增值税货物或劳务价格与调整后税率计算税额的合计金额。</w:t>
      </w:r>
    </w:p>
    <w:p>
      <w:pPr>
        <w:pStyle w:val="2"/>
        <w:pageBreakBefore/>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甲方（委托方）: 杭州萧山国际机场有限公司</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住所地：杭州萧山国际机场            </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乙方（受委托方）: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住所地： </w:t>
      </w:r>
    </w:p>
    <w:p>
      <w:pPr>
        <w:adjustRightInd w:val="0"/>
        <w:snapToGrid w:val="0"/>
        <w:spacing w:line="360" w:lineRule="exact"/>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乙双方根据《中华人民共和国合同法》等相关法律法规，就杭州萧山国际机场使用的EPS（直流屏）系统产品，在互利、平等的原则基础上，经协商一致达成如下维护保养技术有偿服务条款事宜，特签订本合同，以共同遵守。</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一、服务内容</w:t>
      </w:r>
    </w:p>
    <w:p>
      <w:pPr>
        <w:adjustRightInd w:val="0"/>
        <w:snapToGrid w:val="0"/>
        <w:spacing w:line="360" w:lineRule="exact"/>
        <w:ind w:firstLine="442" w:firstLineChars="200"/>
        <w:jc w:val="left"/>
        <w:rPr>
          <w:rFonts w:ascii="宋体" w:hAnsi="宋体" w:cs="宋体"/>
          <w:b/>
          <w:bCs/>
          <w:color w:val="000000"/>
          <w:sz w:val="22"/>
        </w:rPr>
      </w:pPr>
      <w:r>
        <w:rPr>
          <w:rFonts w:hint="eastAsia" w:ascii="宋体" w:hAnsi="宋体" w:cs="宋体"/>
          <w:b/>
          <w:bCs/>
          <w:color w:val="000000"/>
          <w:sz w:val="22"/>
        </w:rPr>
        <w:t>对杭州萧山国际机场T1、T2、T3航站楼、信息变电站、机务变电站共9台ASCO电力切换装置进行为期一年的维保工作和T3航站楼1#、2#、5#ASCO柜主控装置的更换调试工作，包括负责对所有ASCO电力切换装置进行日常维护保养、故障维修和配合备自投装置应急情况处置等，一年两次定期对所有ASCO电力切换装置进行系统检查、测试维护工作等服务内容。</w:t>
      </w:r>
    </w:p>
    <w:p>
      <w:pPr>
        <w:adjustRightInd w:val="0"/>
        <w:snapToGrid w:val="0"/>
        <w:spacing w:line="360" w:lineRule="exact"/>
        <w:jc w:val="left"/>
        <w:rPr>
          <w:rFonts w:ascii="宋体" w:hAnsi="宋体" w:cs="宋体"/>
          <w:b/>
          <w:bCs/>
          <w:color w:val="000000"/>
          <w:sz w:val="22"/>
        </w:rPr>
      </w:pPr>
      <w:r>
        <w:rPr>
          <w:rFonts w:hint="eastAsia" w:ascii="宋体" w:hAnsi="宋体" w:cs="宋体"/>
          <w:b/>
          <w:bCs/>
          <w:color w:val="000000"/>
          <w:sz w:val="22"/>
        </w:rPr>
        <w:t>ASCO电力切换装置设备清单如下：</w:t>
      </w:r>
    </w:p>
    <w:p>
      <w:pPr>
        <w:adjustRightInd w:val="0"/>
        <w:snapToGrid w:val="0"/>
        <w:spacing w:line="360" w:lineRule="exact"/>
        <w:jc w:val="left"/>
        <w:rPr>
          <w:rFonts w:ascii="宋体" w:hAnsi="宋体" w:cs="宋体"/>
          <w:b/>
          <w:bCs/>
          <w:color w:val="000000"/>
          <w:sz w:val="22"/>
        </w:rPr>
      </w:pPr>
    </w:p>
    <w:tbl>
      <w:tblPr>
        <w:tblStyle w:val="13"/>
        <w:tblW w:w="7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984"/>
        <w:gridCol w:w="1447"/>
        <w:gridCol w:w="107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930" w:type="dxa"/>
            <w:vAlign w:val="center"/>
          </w:tcPr>
          <w:p>
            <w:pPr>
              <w:snapToGrid w:val="0"/>
              <w:jc w:val="center"/>
              <w:rPr>
                <w:rFonts w:ascii="仿宋_GB2312" w:hAnsi="宋体" w:eastAsia="仿宋_GB2312"/>
                <w:b/>
                <w:color w:val="000000"/>
                <w:szCs w:val="21"/>
              </w:rPr>
            </w:pPr>
            <w:r>
              <w:rPr>
                <w:rFonts w:hint="eastAsia" w:ascii="仿宋_GB2312" w:hAnsi="宋体" w:eastAsia="仿宋_GB2312"/>
                <w:b/>
                <w:color w:val="000000"/>
                <w:szCs w:val="21"/>
              </w:rPr>
              <w:t>安装位置</w:t>
            </w:r>
          </w:p>
        </w:tc>
        <w:tc>
          <w:tcPr>
            <w:tcW w:w="1984" w:type="dxa"/>
            <w:vAlign w:val="center"/>
          </w:tcPr>
          <w:p>
            <w:pPr>
              <w:snapToGrid w:val="0"/>
              <w:jc w:val="center"/>
              <w:rPr>
                <w:rFonts w:ascii="仿宋_GB2312" w:hAnsi="宋体" w:eastAsia="仿宋_GB2312"/>
                <w:b/>
                <w:bCs/>
                <w:szCs w:val="21"/>
              </w:rPr>
            </w:pPr>
            <w:r>
              <w:rPr>
                <w:rFonts w:hint="eastAsia" w:ascii="仿宋_GB2312" w:hAnsi="宋体" w:eastAsia="仿宋_GB2312"/>
                <w:b/>
                <w:bCs/>
                <w:szCs w:val="21"/>
              </w:rPr>
              <w:t>ASCO品牌/型号</w:t>
            </w:r>
          </w:p>
        </w:tc>
        <w:tc>
          <w:tcPr>
            <w:tcW w:w="1447" w:type="dxa"/>
            <w:vAlign w:val="center"/>
          </w:tcPr>
          <w:p>
            <w:pPr>
              <w:snapToGrid w:val="0"/>
              <w:jc w:val="center"/>
              <w:rPr>
                <w:rFonts w:ascii="仿宋_GB2312" w:hAnsi="宋体" w:eastAsia="仿宋_GB2312"/>
                <w:b/>
                <w:bCs/>
                <w:szCs w:val="21"/>
              </w:rPr>
            </w:pPr>
            <w:r>
              <w:rPr>
                <w:rFonts w:ascii="仿宋_GB2312" w:hAnsi="宋体" w:eastAsia="仿宋_GB2312"/>
                <w:b/>
                <w:bCs/>
                <w:szCs w:val="21"/>
              </w:rPr>
              <w:t>数量</w:t>
            </w:r>
          </w:p>
        </w:tc>
        <w:tc>
          <w:tcPr>
            <w:tcW w:w="1074" w:type="dxa"/>
            <w:vAlign w:val="center"/>
          </w:tcPr>
          <w:p>
            <w:pPr>
              <w:adjustRightInd w:val="0"/>
              <w:snapToGrid w:val="0"/>
              <w:jc w:val="center"/>
              <w:rPr>
                <w:rFonts w:ascii="仿宋_GB2312" w:hAnsi="宋体" w:eastAsia="仿宋_GB2312"/>
                <w:b/>
                <w:szCs w:val="21"/>
              </w:rPr>
            </w:pPr>
            <w:r>
              <w:rPr>
                <w:rFonts w:hint="eastAsia" w:ascii="仿宋_GB2312" w:hAnsi="宋体" w:eastAsia="仿宋_GB2312"/>
                <w:b/>
                <w:szCs w:val="21"/>
              </w:rPr>
              <w:t>年限</w:t>
            </w:r>
          </w:p>
        </w:tc>
        <w:tc>
          <w:tcPr>
            <w:tcW w:w="1121" w:type="dxa"/>
            <w:vAlign w:val="center"/>
          </w:tcPr>
          <w:p>
            <w:pPr>
              <w:adjustRightInd w:val="0"/>
              <w:snapToGrid w:val="0"/>
              <w:jc w:val="center"/>
              <w:rPr>
                <w:rFonts w:ascii="仿宋_GB2312" w:hAnsi="宋体" w:eastAsia="仿宋_GB2312"/>
                <w:b/>
                <w:szCs w:val="21"/>
              </w:rPr>
            </w:pPr>
            <w:r>
              <w:rPr>
                <w:rFonts w:hint="eastAsia" w:ascii="仿宋_GB2312" w:hAnsi="宋体" w:eastAsia="仿宋_GB2312"/>
                <w:b/>
                <w:szCs w:val="21"/>
              </w:rPr>
              <w:t>目前状态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1930" w:type="dxa"/>
            <w:vAlign w:val="center"/>
          </w:tcPr>
          <w:p>
            <w:pPr>
              <w:snapToGrid w:val="0"/>
              <w:jc w:val="center"/>
              <w:rPr>
                <w:bCs/>
                <w:szCs w:val="21"/>
              </w:rPr>
            </w:pPr>
            <w:r>
              <w:rPr>
                <w:rFonts w:hint="eastAsia"/>
                <w:bCs/>
                <w:szCs w:val="21"/>
              </w:rPr>
              <w:t>信息楼变电站</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30" w:type="dxa"/>
            <w:vAlign w:val="center"/>
          </w:tcPr>
          <w:p>
            <w:pPr>
              <w:snapToGrid w:val="0"/>
              <w:jc w:val="center"/>
              <w:rPr>
                <w:bCs/>
                <w:szCs w:val="21"/>
              </w:rPr>
            </w:pPr>
            <w:r>
              <w:rPr>
                <w:rFonts w:hint="eastAsia"/>
                <w:bCs/>
                <w:szCs w:val="21"/>
              </w:rPr>
              <w:t>机务楼变电站</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1930" w:type="dxa"/>
            <w:vAlign w:val="center"/>
          </w:tcPr>
          <w:p>
            <w:pPr>
              <w:snapToGrid w:val="0"/>
              <w:jc w:val="center"/>
              <w:rPr>
                <w:bCs/>
                <w:szCs w:val="21"/>
              </w:rPr>
            </w:pPr>
            <w:r>
              <w:rPr>
                <w:rFonts w:hint="eastAsia"/>
                <w:bCs/>
                <w:szCs w:val="21"/>
              </w:rPr>
              <w:t>T2航站楼东区变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930" w:type="dxa"/>
            <w:vAlign w:val="center"/>
          </w:tcPr>
          <w:p>
            <w:pPr>
              <w:snapToGrid w:val="0"/>
              <w:jc w:val="center"/>
              <w:rPr>
                <w:bCs/>
                <w:szCs w:val="21"/>
              </w:rPr>
            </w:pPr>
            <w:r>
              <w:rPr>
                <w:rFonts w:hint="eastAsia"/>
                <w:bCs/>
                <w:szCs w:val="21"/>
              </w:rPr>
              <w:t>T2航站楼西区变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930" w:type="dxa"/>
            <w:vAlign w:val="center"/>
          </w:tcPr>
          <w:p>
            <w:pPr>
              <w:snapToGrid w:val="0"/>
              <w:jc w:val="center"/>
              <w:rPr>
                <w:bCs/>
                <w:szCs w:val="21"/>
              </w:rPr>
            </w:pPr>
            <w:r>
              <w:rPr>
                <w:rFonts w:hint="eastAsia"/>
                <w:bCs/>
                <w:szCs w:val="21"/>
              </w:rPr>
              <w:t>T3航站楼3号变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1930" w:type="dxa"/>
            <w:vAlign w:val="center"/>
          </w:tcPr>
          <w:p>
            <w:pPr>
              <w:snapToGrid w:val="0"/>
              <w:jc w:val="center"/>
              <w:rPr>
                <w:bCs/>
                <w:szCs w:val="21"/>
              </w:rPr>
            </w:pPr>
            <w:r>
              <w:rPr>
                <w:rFonts w:hint="eastAsia"/>
                <w:bCs/>
                <w:szCs w:val="21"/>
              </w:rPr>
              <w:t>T1航站楼B7变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exact"/>
          <w:jc w:val="center"/>
        </w:trPr>
        <w:tc>
          <w:tcPr>
            <w:tcW w:w="1930" w:type="dxa"/>
            <w:vAlign w:val="center"/>
          </w:tcPr>
          <w:p>
            <w:pPr>
              <w:snapToGrid w:val="0"/>
              <w:jc w:val="center"/>
              <w:rPr>
                <w:bCs/>
                <w:szCs w:val="21"/>
              </w:rPr>
            </w:pPr>
            <w:r>
              <w:rPr>
                <w:rFonts w:hint="eastAsia"/>
                <w:bCs/>
                <w:szCs w:val="21"/>
              </w:rPr>
              <w:t>T3航站楼2号变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30" w:type="dxa"/>
            <w:vAlign w:val="center"/>
          </w:tcPr>
          <w:p>
            <w:pPr>
              <w:snapToGrid w:val="0"/>
              <w:jc w:val="center"/>
              <w:rPr>
                <w:bCs/>
                <w:szCs w:val="21"/>
              </w:rPr>
            </w:pPr>
            <w:r>
              <w:rPr>
                <w:rFonts w:hint="eastAsia"/>
                <w:bCs/>
                <w:szCs w:val="21"/>
              </w:rPr>
              <w:t>T3航站楼5号变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exact"/>
          <w:jc w:val="center"/>
        </w:trPr>
        <w:tc>
          <w:tcPr>
            <w:tcW w:w="1930" w:type="dxa"/>
            <w:vAlign w:val="center"/>
          </w:tcPr>
          <w:p>
            <w:pPr>
              <w:snapToGrid w:val="0"/>
              <w:jc w:val="center"/>
              <w:rPr>
                <w:bCs/>
                <w:szCs w:val="21"/>
              </w:rPr>
            </w:pPr>
            <w:r>
              <w:rPr>
                <w:rFonts w:hint="eastAsia"/>
                <w:bCs/>
                <w:szCs w:val="21"/>
              </w:rPr>
              <w:t>T3航站楼1号变</w:t>
            </w:r>
          </w:p>
        </w:tc>
        <w:tc>
          <w:tcPr>
            <w:tcW w:w="1984" w:type="dxa"/>
            <w:vAlign w:val="center"/>
          </w:tcPr>
          <w:p>
            <w:pPr>
              <w:snapToGrid w:val="0"/>
              <w:jc w:val="center"/>
              <w:rPr>
                <w:bCs/>
                <w:szCs w:val="21"/>
              </w:rPr>
            </w:pPr>
            <w:r>
              <w:rPr>
                <w:rFonts w:hint="eastAsia"/>
                <w:bCs/>
                <w:szCs w:val="21"/>
              </w:rPr>
              <w:t>EMERSON</w:t>
            </w:r>
          </w:p>
          <w:p>
            <w:pPr>
              <w:snapToGrid w:val="0"/>
              <w:jc w:val="center"/>
              <w:rPr>
                <w:bCs/>
                <w:szCs w:val="21"/>
              </w:rPr>
            </w:pPr>
            <w:r>
              <w:rPr>
                <w:rFonts w:hint="eastAsia"/>
                <w:bCs/>
                <w:szCs w:val="21"/>
              </w:rPr>
              <w:t>ASCO7000</w:t>
            </w:r>
          </w:p>
        </w:tc>
        <w:tc>
          <w:tcPr>
            <w:tcW w:w="1447" w:type="dxa"/>
            <w:vAlign w:val="center"/>
          </w:tcPr>
          <w:p>
            <w:pPr>
              <w:snapToGrid w:val="0"/>
              <w:jc w:val="center"/>
              <w:rPr>
                <w:bCs/>
                <w:szCs w:val="21"/>
              </w:rPr>
            </w:pPr>
            <w:r>
              <w:rPr>
                <w:rFonts w:hint="eastAsia"/>
                <w:bCs/>
                <w:szCs w:val="21"/>
              </w:rPr>
              <w:t>1</w:t>
            </w:r>
          </w:p>
        </w:tc>
        <w:tc>
          <w:tcPr>
            <w:tcW w:w="1074" w:type="dxa"/>
            <w:vAlign w:val="center"/>
          </w:tcPr>
          <w:p>
            <w:pPr>
              <w:snapToGrid w:val="0"/>
              <w:jc w:val="center"/>
              <w:rPr>
                <w:bCs/>
                <w:szCs w:val="21"/>
              </w:rPr>
            </w:pPr>
            <w:r>
              <w:rPr>
                <w:rFonts w:hint="eastAsia"/>
                <w:bCs/>
                <w:szCs w:val="21"/>
              </w:rPr>
              <w:t>2010年投运</w:t>
            </w:r>
          </w:p>
        </w:tc>
        <w:tc>
          <w:tcPr>
            <w:tcW w:w="1121" w:type="dxa"/>
            <w:vAlign w:val="center"/>
          </w:tcPr>
          <w:p>
            <w:pPr>
              <w:snapToGrid w:val="0"/>
              <w:jc w:val="center"/>
              <w:rPr>
                <w:bCs/>
                <w:szCs w:val="21"/>
              </w:rPr>
            </w:pPr>
            <w:r>
              <w:rPr>
                <w:rFonts w:hint="eastAsia"/>
                <w:bCs/>
                <w:szCs w:val="21"/>
              </w:rPr>
              <w:t>良好</w:t>
            </w:r>
          </w:p>
        </w:tc>
      </w:tr>
    </w:tbl>
    <w:p>
      <w:pPr>
        <w:adjustRightInd w:val="0"/>
        <w:snapToGrid w:val="0"/>
        <w:spacing w:line="360" w:lineRule="auto"/>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p>
    <w:p>
      <w:pPr>
        <w:adjustRightInd w:val="0"/>
        <w:snapToGrid w:val="0"/>
        <w:spacing w:line="360" w:lineRule="auto"/>
        <w:ind w:firstLine="883" w:firstLineChars="400"/>
        <w:jc w:val="left"/>
        <w:rPr>
          <w:rFonts w:ascii="宋体" w:hAnsi="宋体" w:cs="宋体"/>
          <w:b/>
          <w:bCs/>
          <w:color w:val="000000"/>
          <w:sz w:val="22"/>
        </w:rPr>
      </w:pPr>
      <w:r>
        <w:rPr>
          <w:rFonts w:hint="eastAsia" w:ascii="宋体" w:hAnsi="宋体" w:cs="宋体"/>
          <w:b/>
          <w:bCs/>
          <w:color w:val="000000"/>
          <w:sz w:val="22"/>
        </w:rPr>
        <w:t>更换配件清单如下：</w:t>
      </w:r>
    </w:p>
    <w:tbl>
      <w:tblPr>
        <w:tblStyle w:val="13"/>
        <w:tblW w:w="7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297"/>
        <w:gridCol w:w="1134"/>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7827" w:type="dxa"/>
            <w:gridSpan w:val="4"/>
            <w:vAlign w:val="center"/>
          </w:tcPr>
          <w:p>
            <w:pPr>
              <w:snapToGrid w:val="0"/>
              <w:jc w:val="center"/>
              <w:rPr>
                <w:bCs/>
                <w:szCs w:val="21"/>
              </w:rPr>
            </w:pPr>
            <w:r>
              <w:rPr>
                <w:rFonts w:hint="eastAsia" w:ascii="仿宋_GB2312" w:hAnsi="宋体" w:eastAsia="仿宋_GB2312"/>
                <w:b/>
                <w:color w:val="000000"/>
                <w:szCs w:val="21"/>
              </w:rPr>
              <w:t>待更换设备情况表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jc w:val="center"/>
        </w:trPr>
        <w:tc>
          <w:tcPr>
            <w:tcW w:w="1930" w:type="dxa"/>
            <w:vAlign w:val="center"/>
          </w:tcPr>
          <w:p>
            <w:pPr>
              <w:snapToGrid w:val="0"/>
              <w:jc w:val="center"/>
              <w:rPr>
                <w:bCs/>
                <w:szCs w:val="21"/>
              </w:rPr>
            </w:pPr>
            <w:r>
              <w:rPr>
                <w:rFonts w:hint="eastAsia"/>
                <w:bCs/>
                <w:szCs w:val="21"/>
              </w:rPr>
              <w:t>备件名称</w:t>
            </w:r>
          </w:p>
        </w:tc>
        <w:tc>
          <w:tcPr>
            <w:tcW w:w="2297" w:type="dxa"/>
            <w:vAlign w:val="center"/>
          </w:tcPr>
          <w:p>
            <w:pPr>
              <w:snapToGrid w:val="0"/>
              <w:jc w:val="center"/>
              <w:rPr>
                <w:bCs/>
                <w:szCs w:val="21"/>
              </w:rPr>
            </w:pPr>
            <w:r>
              <w:rPr>
                <w:rFonts w:hint="eastAsia"/>
                <w:bCs/>
                <w:szCs w:val="21"/>
              </w:rPr>
              <w:t>型号</w:t>
            </w:r>
          </w:p>
        </w:tc>
        <w:tc>
          <w:tcPr>
            <w:tcW w:w="1134" w:type="dxa"/>
            <w:vAlign w:val="center"/>
          </w:tcPr>
          <w:p>
            <w:pPr>
              <w:snapToGrid w:val="0"/>
              <w:jc w:val="center"/>
              <w:rPr>
                <w:bCs/>
                <w:szCs w:val="21"/>
              </w:rPr>
            </w:pPr>
            <w:r>
              <w:rPr>
                <w:rFonts w:hint="eastAsia"/>
                <w:bCs/>
                <w:szCs w:val="21"/>
              </w:rPr>
              <w:t>数量</w:t>
            </w:r>
          </w:p>
        </w:tc>
        <w:tc>
          <w:tcPr>
            <w:tcW w:w="2466" w:type="dxa"/>
            <w:vAlign w:val="center"/>
          </w:tcPr>
          <w:p>
            <w:pPr>
              <w:snapToGrid w:val="0"/>
              <w:jc w:val="center"/>
              <w:rPr>
                <w:bCs/>
                <w:szCs w:val="21"/>
              </w:rPr>
            </w:pP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exact"/>
          <w:jc w:val="center"/>
        </w:trPr>
        <w:tc>
          <w:tcPr>
            <w:tcW w:w="1930" w:type="dxa"/>
            <w:vAlign w:val="center"/>
          </w:tcPr>
          <w:p>
            <w:pPr>
              <w:snapToGrid w:val="0"/>
              <w:jc w:val="center"/>
              <w:rPr>
                <w:bCs/>
                <w:szCs w:val="21"/>
              </w:rPr>
            </w:pPr>
            <w:r>
              <w:rPr>
                <w:rFonts w:hint="eastAsia"/>
                <w:bCs/>
                <w:szCs w:val="21"/>
              </w:rPr>
              <w:t>主控装置</w:t>
            </w:r>
          </w:p>
        </w:tc>
        <w:tc>
          <w:tcPr>
            <w:tcW w:w="2297" w:type="dxa"/>
            <w:vAlign w:val="center"/>
          </w:tcPr>
          <w:p>
            <w:pPr>
              <w:snapToGrid w:val="0"/>
              <w:jc w:val="center"/>
              <w:rPr>
                <w:bCs/>
                <w:szCs w:val="21"/>
              </w:rPr>
            </w:pPr>
            <w:r>
              <w:rPr>
                <w:rFonts w:hint="eastAsia"/>
                <w:bCs/>
                <w:szCs w:val="21"/>
              </w:rPr>
              <w:t>ASCO7000 Series</w:t>
            </w:r>
          </w:p>
        </w:tc>
        <w:tc>
          <w:tcPr>
            <w:tcW w:w="1134" w:type="dxa"/>
            <w:vAlign w:val="center"/>
          </w:tcPr>
          <w:p>
            <w:pPr>
              <w:snapToGrid w:val="0"/>
              <w:jc w:val="center"/>
              <w:rPr>
                <w:bCs/>
                <w:szCs w:val="21"/>
              </w:rPr>
            </w:pPr>
            <w:r>
              <w:rPr>
                <w:rFonts w:hint="eastAsia"/>
                <w:bCs/>
                <w:szCs w:val="21"/>
              </w:rPr>
              <w:t>3</w:t>
            </w:r>
          </w:p>
        </w:tc>
        <w:tc>
          <w:tcPr>
            <w:tcW w:w="2466" w:type="dxa"/>
            <w:vAlign w:val="center"/>
          </w:tcPr>
          <w:p>
            <w:pPr>
              <w:snapToGrid w:val="0"/>
              <w:jc w:val="center"/>
              <w:rPr>
                <w:bCs/>
                <w:szCs w:val="21"/>
              </w:rPr>
            </w:pPr>
            <w:r>
              <w:rPr>
                <w:rFonts w:hint="eastAsia"/>
                <w:bCs/>
                <w:szCs w:val="21"/>
              </w:rPr>
              <w:t>全新，质保2年</w:t>
            </w:r>
          </w:p>
        </w:tc>
      </w:tr>
    </w:tbl>
    <w:p>
      <w:pPr>
        <w:adjustRightInd w:val="0"/>
        <w:snapToGrid w:val="0"/>
        <w:spacing w:line="360" w:lineRule="exact"/>
        <w:rPr>
          <w:rFonts w:ascii="宋体" w:hAnsi="宋体" w:cs="Calibri"/>
          <w:sz w:val="22"/>
        </w:rPr>
      </w:pP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二、合同金额</w:t>
      </w:r>
    </w:p>
    <w:p>
      <w:pPr>
        <w:spacing w:line="360" w:lineRule="exact"/>
        <w:ind w:firstLine="440" w:firstLineChars="200"/>
        <w:rPr>
          <w:rFonts w:ascii="宋体" w:hAnsi="宋体" w:cs="Calibri"/>
          <w:sz w:val="22"/>
        </w:rPr>
      </w:pPr>
      <w:r>
        <w:rPr>
          <w:rFonts w:hint="eastAsia" w:ascii="宋体" w:hAnsi="宋体" w:cs="Calibri"/>
          <w:sz w:val="22"/>
        </w:rPr>
        <w:t>在符合本合同规定的考核标准和要求的前提下，本合同总额为（大写）   元整（小写￥ 元）人民币。合同费用包括乙方人员的劳务费、差旅费、设备的备件费、备件运费等一切完成本合同项下维护、维修及保养服务的保养维护费以及税费等。甲方不再额外承担任何费用。</w:t>
      </w:r>
    </w:p>
    <w:p>
      <w:pPr>
        <w:spacing w:line="360" w:lineRule="exact"/>
        <w:ind w:firstLine="440" w:firstLineChars="200"/>
        <w:rPr>
          <w:rFonts w:ascii="宋体" w:hAnsi="宋体" w:cs="Calibri"/>
          <w:sz w:val="22"/>
        </w:rPr>
      </w:pPr>
      <w:r>
        <w:rPr>
          <w:rFonts w:hint="eastAsia" w:ascii="宋体" w:hAnsi="宋体" w:cs="Calibri"/>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三、技术服务要求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为确保甲方ASCO电力切换装置系统安全、可靠地正常运行，乙方承担甲方上述ASCO电力切换装置维护保养技术服务。乙方保证以快速的响应、熟练的维护技术向甲方提供优质的设备维护保养服务，具体包括设备的定期检查保养、预防性维护、故障及时修复、备件保障供应，以及提供相应的技术咨询、交流和培训等方面的服务，配合甲方完成相关硬件搬迁、设备更换、应急预案演练等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2.培训要求：</w:t>
      </w:r>
      <w:r>
        <w:rPr>
          <w:rFonts w:hint="eastAsia" w:ascii="宋体" w:hAnsi="宋体" w:cs="Calibri"/>
          <w:sz w:val="22"/>
          <w:lang w:eastAsia="zh-CN"/>
        </w:rPr>
        <w:t>免费为甲方</w:t>
      </w:r>
      <w:r>
        <w:rPr>
          <w:rFonts w:hint="eastAsia" w:ascii="宋体" w:hAnsi="宋体" w:cs="Calibri"/>
          <w:sz w:val="22"/>
        </w:rPr>
        <w:t>提供</w:t>
      </w:r>
      <w:r>
        <w:rPr>
          <w:rFonts w:ascii="宋体" w:hAnsi="宋体" w:cs="Calibri"/>
          <w:sz w:val="22"/>
        </w:rPr>
        <w:t>ASCO电力切换装置使用、维护、基本原理、故障判断、应急措施实施等培训</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3.乙方对甲方的设备必须提供定期预防性维护服务，具体是：在合同年度内进行</w:t>
      </w:r>
      <w:r>
        <w:rPr>
          <w:rFonts w:hint="eastAsia" w:ascii="宋体" w:hAnsi="宋体" w:cs="Calibri"/>
          <w:sz w:val="22"/>
          <w:lang w:val="en-US" w:eastAsia="zh-CN"/>
        </w:rPr>
        <w:t>两次（具体时间由甲方确定）</w:t>
      </w:r>
      <w:r>
        <w:rPr>
          <w:rFonts w:hint="eastAsia" w:ascii="宋体" w:hAnsi="宋体" w:cs="Calibri"/>
          <w:sz w:val="22"/>
        </w:rPr>
        <w:t>的系统检查、测试维护工作，具体内容按</w:t>
      </w:r>
      <w:r>
        <w:rPr>
          <w:rFonts w:ascii="宋体" w:hAnsi="宋体" w:cs="Calibri"/>
          <w:sz w:val="22"/>
        </w:rPr>
        <w:t xml:space="preserve"> </w:t>
      </w:r>
      <w:r>
        <w:rPr>
          <w:rFonts w:hint="eastAsia" w:ascii="宋体" w:hAnsi="宋体" w:cs="Calibri"/>
          <w:sz w:val="22"/>
        </w:rPr>
        <w:t>“维修保养内容”执行。。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4.年初提供年度维护保养计划，节假日等特殊期间需提供保障人员的名单和直接联系方式。在国家重大事件或其他特殊保障任务期间，需乙派至少一</w:t>
      </w:r>
      <w:r>
        <w:rPr>
          <w:rFonts w:hint="eastAsia" w:ascii="宋体" w:hAnsi="宋体" w:cs="Calibri"/>
          <w:sz w:val="22"/>
          <w:lang w:val="en-US" w:eastAsia="zh-CN"/>
        </w:rPr>
        <w:t>名专业技术人员</w:t>
      </w:r>
      <w:r>
        <w:rPr>
          <w:rFonts w:hint="eastAsia" w:ascii="宋体" w:hAnsi="宋体" w:cs="Calibri"/>
          <w:sz w:val="22"/>
        </w:rPr>
        <w:t>驻场保障设备运行，保障期间产生的差旅和住宿等费用需乙方自理。</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根据甲方设备储备易损和常用备件，及时对甲方设备进行维护保养服务，维修发生的材料费用由甲方承担，其他的人工费、劳务费、差旅费、保险费、备件运费等一切保养维修费以及税费等所有费用由乙方负责。</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四、设备维护保养内容</w:t>
      </w:r>
    </w:p>
    <w:p>
      <w:pPr>
        <w:pStyle w:val="16"/>
        <w:tabs>
          <w:tab w:val="left" w:pos="628"/>
        </w:tabs>
        <w:adjustRightInd w:val="0"/>
        <w:snapToGrid w:val="0"/>
        <w:spacing w:line="500" w:lineRule="exact"/>
        <w:ind w:left="0" w:leftChars="0" w:firstLine="440" w:firstLineChars="200"/>
        <w:rPr>
          <w:rFonts w:cs="Calibri"/>
          <w:kern w:val="2"/>
          <w:sz w:val="22"/>
          <w:szCs w:val="22"/>
        </w:rPr>
      </w:pPr>
      <w:r>
        <w:rPr>
          <w:rFonts w:hint="eastAsia" w:cs="Calibri"/>
          <w:kern w:val="2"/>
          <w:sz w:val="22"/>
          <w:szCs w:val="22"/>
        </w:rPr>
        <w:t>乙方负责对</w:t>
      </w:r>
      <w:r>
        <w:rPr>
          <w:rFonts w:hint="eastAsia" w:cs="Calibri"/>
          <w:color w:val="000000"/>
          <w:kern w:val="2"/>
          <w:sz w:val="22"/>
          <w:szCs w:val="22"/>
        </w:rPr>
        <w:t>所有ASCO电力切换装置</w:t>
      </w:r>
      <w:r>
        <w:rPr>
          <w:rFonts w:hint="eastAsia" w:cs="Calibri"/>
          <w:kern w:val="2"/>
          <w:sz w:val="22"/>
          <w:szCs w:val="22"/>
        </w:rPr>
        <w:t>进行日常维护保养、故障维修和应急情况处置，一年两次定期对所有</w:t>
      </w:r>
      <w:r>
        <w:rPr>
          <w:rFonts w:hint="eastAsia" w:cs="Calibri"/>
          <w:color w:val="000000"/>
          <w:kern w:val="2"/>
          <w:sz w:val="22"/>
          <w:szCs w:val="22"/>
        </w:rPr>
        <w:t>ASCO电力切换装置</w:t>
      </w:r>
      <w:r>
        <w:rPr>
          <w:rFonts w:hint="eastAsia" w:cs="Calibri"/>
          <w:kern w:val="2"/>
          <w:sz w:val="22"/>
          <w:szCs w:val="22"/>
        </w:rPr>
        <w:t>进行系统检查、测试维护工作。</w:t>
      </w:r>
    </w:p>
    <w:p>
      <w:pPr>
        <w:pStyle w:val="16"/>
        <w:tabs>
          <w:tab w:val="left" w:pos="628"/>
        </w:tabs>
        <w:adjustRightInd w:val="0"/>
        <w:snapToGrid w:val="0"/>
        <w:spacing w:line="500" w:lineRule="exact"/>
        <w:ind w:left="0" w:leftChars="0" w:firstLine="440" w:firstLineChars="200"/>
        <w:rPr>
          <w:rFonts w:cs="Calibri"/>
          <w:sz w:val="22"/>
        </w:rPr>
      </w:pPr>
      <w:r>
        <w:rPr>
          <w:rFonts w:hint="eastAsia" w:cs="Calibri"/>
          <w:sz w:val="22"/>
        </w:rPr>
        <w:t>乙方向甲方提供的维修保养服务内容包括：</w:t>
      </w:r>
    </w:p>
    <w:p>
      <w:pPr>
        <w:adjustRightInd w:val="0"/>
        <w:snapToGrid w:val="0"/>
        <w:spacing w:line="360" w:lineRule="exact"/>
        <w:ind w:firstLine="440" w:firstLineChars="200"/>
        <w:rPr>
          <w:rFonts w:ascii="宋体" w:hAnsi="宋体" w:cs="Calibri"/>
          <w:sz w:val="22"/>
        </w:rPr>
      </w:pPr>
      <w:r>
        <w:rPr>
          <w:rFonts w:ascii="宋体" w:hAnsi="宋体" w:cs="Calibri"/>
          <w:sz w:val="22"/>
        </w:rPr>
        <w:t>1、进行ASCO内、外部的清洁和除尘；</w:t>
      </w:r>
    </w:p>
    <w:p>
      <w:pPr>
        <w:adjustRightInd w:val="0"/>
        <w:snapToGrid w:val="0"/>
        <w:spacing w:line="360" w:lineRule="exact"/>
        <w:ind w:firstLine="440" w:firstLineChars="200"/>
        <w:rPr>
          <w:rFonts w:ascii="宋体" w:hAnsi="宋体" w:cs="Calibri"/>
          <w:sz w:val="22"/>
        </w:rPr>
      </w:pPr>
      <w:r>
        <w:rPr>
          <w:rFonts w:ascii="宋体" w:hAnsi="宋体" w:cs="Calibri"/>
          <w:sz w:val="22"/>
        </w:rPr>
        <w:t>2、测试并调校所有时间延迟继电器及设定点。</w:t>
      </w:r>
    </w:p>
    <w:p>
      <w:pPr>
        <w:adjustRightInd w:val="0"/>
        <w:snapToGrid w:val="0"/>
        <w:spacing w:line="360" w:lineRule="exact"/>
        <w:ind w:firstLine="440" w:firstLineChars="200"/>
        <w:rPr>
          <w:rFonts w:ascii="宋体" w:hAnsi="宋体" w:cs="Calibri"/>
          <w:sz w:val="22"/>
        </w:rPr>
      </w:pPr>
      <w:r>
        <w:rPr>
          <w:rFonts w:ascii="宋体" w:hAnsi="宋体" w:cs="Calibri"/>
          <w:sz w:val="22"/>
        </w:rPr>
        <w:t>3、检视消弧接点有否过度烧蚀。</w:t>
      </w:r>
    </w:p>
    <w:p>
      <w:pPr>
        <w:adjustRightInd w:val="0"/>
        <w:snapToGrid w:val="0"/>
        <w:spacing w:line="360" w:lineRule="exact"/>
        <w:ind w:firstLine="440" w:firstLineChars="200"/>
        <w:rPr>
          <w:rFonts w:ascii="宋体" w:hAnsi="宋体" w:cs="Calibri"/>
          <w:sz w:val="22"/>
        </w:rPr>
      </w:pPr>
      <w:r>
        <w:rPr>
          <w:rFonts w:ascii="宋体" w:hAnsi="宋体" w:cs="Calibri"/>
          <w:sz w:val="22"/>
        </w:rPr>
        <w:t>4、检视主接点有否因高热而产生陷痕变色。</w:t>
      </w:r>
    </w:p>
    <w:p>
      <w:pPr>
        <w:adjustRightInd w:val="0"/>
        <w:snapToGrid w:val="0"/>
        <w:spacing w:line="360" w:lineRule="exact"/>
        <w:ind w:firstLine="440" w:firstLineChars="200"/>
        <w:rPr>
          <w:rFonts w:ascii="宋体" w:hAnsi="宋体" w:cs="Calibri"/>
          <w:sz w:val="22"/>
        </w:rPr>
      </w:pPr>
      <w:r>
        <w:rPr>
          <w:rFonts w:ascii="宋体" w:hAnsi="宋体" w:cs="Calibri"/>
          <w:sz w:val="22"/>
        </w:rPr>
        <w:t>5、检查主触头弹簧情况，清除主接点及消弧接点上的污物以及氧化物。</w:t>
      </w:r>
    </w:p>
    <w:p>
      <w:pPr>
        <w:adjustRightInd w:val="0"/>
        <w:snapToGrid w:val="0"/>
        <w:spacing w:line="360" w:lineRule="exact"/>
        <w:ind w:firstLine="440" w:firstLineChars="200"/>
        <w:rPr>
          <w:rFonts w:ascii="宋体" w:hAnsi="宋体" w:cs="Calibri"/>
          <w:sz w:val="22"/>
        </w:rPr>
      </w:pPr>
      <w:r>
        <w:rPr>
          <w:rFonts w:ascii="宋体" w:hAnsi="宋体" w:cs="Calibri"/>
          <w:sz w:val="22"/>
        </w:rPr>
        <w:t>6、检视所有控制继电器接点有否因高热而产生过渡腐蚀及变色。</w:t>
      </w:r>
    </w:p>
    <w:p>
      <w:pPr>
        <w:adjustRightInd w:val="0"/>
        <w:snapToGrid w:val="0"/>
        <w:spacing w:line="360" w:lineRule="exact"/>
        <w:ind w:firstLine="440" w:firstLineChars="200"/>
        <w:rPr>
          <w:rFonts w:ascii="宋体" w:hAnsi="宋体" w:cs="Calibri"/>
          <w:sz w:val="22"/>
        </w:rPr>
      </w:pPr>
      <w:r>
        <w:rPr>
          <w:rFonts w:ascii="宋体" w:hAnsi="宋体" w:cs="Calibri"/>
          <w:sz w:val="22"/>
        </w:rPr>
        <w:t>7、检视开关本体灭弧罩情况、机械结构及相连接之连杆是否正常。</w:t>
      </w:r>
    </w:p>
    <w:p>
      <w:pPr>
        <w:adjustRightInd w:val="0"/>
        <w:snapToGrid w:val="0"/>
        <w:spacing w:line="360" w:lineRule="exact"/>
        <w:ind w:firstLine="440" w:firstLineChars="200"/>
        <w:rPr>
          <w:rFonts w:ascii="宋体" w:hAnsi="宋体" w:cs="Calibri"/>
          <w:sz w:val="22"/>
        </w:rPr>
      </w:pPr>
      <w:r>
        <w:rPr>
          <w:rFonts w:ascii="宋体" w:hAnsi="宋体" w:cs="Calibri"/>
          <w:sz w:val="22"/>
        </w:rPr>
        <w:t>8、检视所有开关相连接的电缆线及控制线、柜体内部连接线接插头、元件连接线、过门连接线是否牢固正常。</w:t>
      </w:r>
    </w:p>
    <w:p>
      <w:pPr>
        <w:adjustRightInd w:val="0"/>
        <w:snapToGrid w:val="0"/>
        <w:spacing w:line="360" w:lineRule="exact"/>
        <w:ind w:firstLine="440" w:firstLineChars="200"/>
        <w:rPr>
          <w:rFonts w:ascii="宋体" w:hAnsi="宋体" w:cs="Calibri"/>
          <w:sz w:val="22"/>
        </w:rPr>
      </w:pPr>
      <w:r>
        <w:rPr>
          <w:rFonts w:ascii="宋体" w:hAnsi="宋体" w:cs="Calibri"/>
          <w:sz w:val="22"/>
        </w:rPr>
        <w:t>9、检查所有与控制有关的螺丝并重新紧固。</w:t>
      </w:r>
    </w:p>
    <w:p>
      <w:pPr>
        <w:adjustRightInd w:val="0"/>
        <w:snapToGrid w:val="0"/>
        <w:spacing w:line="360" w:lineRule="exact"/>
        <w:ind w:firstLine="440" w:firstLineChars="200"/>
        <w:rPr>
          <w:rFonts w:ascii="宋体" w:hAnsi="宋体" w:cs="Calibri"/>
          <w:sz w:val="22"/>
        </w:rPr>
      </w:pPr>
      <w:r>
        <w:rPr>
          <w:rFonts w:ascii="宋体" w:hAnsi="宋体" w:cs="Calibri"/>
          <w:sz w:val="22"/>
        </w:rPr>
        <w:t>10、检查开关机械和电气联锁功能，手动操作功能；</w:t>
      </w:r>
    </w:p>
    <w:p>
      <w:pPr>
        <w:adjustRightInd w:val="0"/>
        <w:snapToGrid w:val="0"/>
        <w:spacing w:line="360" w:lineRule="exact"/>
        <w:ind w:firstLine="440" w:firstLineChars="200"/>
        <w:rPr>
          <w:rFonts w:ascii="宋体" w:hAnsi="宋体" w:cs="Calibri"/>
          <w:sz w:val="22"/>
        </w:rPr>
      </w:pPr>
      <w:r>
        <w:rPr>
          <w:rFonts w:ascii="宋体" w:hAnsi="宋体" w:cs="Calibri"/>
          <w:sz w:val="22"/>
        </w:rPr>
        <w:t>11、检查开关位置显示和二次回路电源存在与否的显示，以及二次回路节点除锈润滑；</w:t>
      </w:r>
    </w:p>
    <w:p>
      <w:pPr>
        <w:adjustRightInd w:val="0"/>
        <w:snapToGrid w:val="0"/>
        <w:spacing w:line="360" w:lineRule="exact"/>
        <w:ind w:firstLine="440" w:firstLineChars="200"/>
        <w:rPr>
          <w:rFonts w:ascii="宋体" w:hAnsi="宋体" w:cs="Calibri"/>
          <w:sz w:val="22"/>
        </w:rPr>
      </w:pPr>
      <w:r>
        <w:rPr>
          <w:rFonts w:ascii="宋体" w:hAnsi="宋体" w:cs="Calibri"/>
          <w:sz w:val="22"/>
        </w:rPr>
        <w:t>12、检查具有远程监控功能的ATS开关监控接口的通信正常性；</w:t>
      </w:r>
    </w:p>
    <w:p>
      <w:pPr>
        <w:adjustRightInd w:val="0"/>
        <w:snapToGrid w:val="0"/>
        <w:spacing w:line="360" w:lineRule="exact"/>
        <w:ind w:firstLine="440" w:firstLineChars="200"/>
        <w:rPr>
          <w:rFonts w:ascii="宋体" w:hAnsi="宋体" w:cs="Calibri"/>
          <w:sz w:val="22"/>
        </w:rPr>
      </w:pPr>
      <w:r>
        <w:rPr>
          <w:rFonts w:ascii="宋体" w:hAnsi="宋体" w:cs="Calibri"/>
          <w:sz w:val="22"/>
        </w:rPr>
        <w:t>13、控制器的参数检查，如主备用电源侧失效值、接受值、过电压（过频值）、不平衡电压；主用电源失效忽略延时（1C）；转换至备用侧延时</w:t>
      </w:r>
      <w:r>
        <w:rPr>
          <w:rFonts w:ascii="宋体" w:hAnsi="宋体" w:cs="Calibri"/>
          <w:sz w:val="22"/>
        </w:rPr>
        <w:tab/>
      </w:r>
      <w:r>
        <w:rPr>
          <w:rFonts w:hint="eastAsia" w:ascii="宋体" w:hAnsi="宋体" w:cs="Calibri"/>
          <w:sz w:val="22"/>
        </w:rPr>
        <w:t>（</w:t>
      </w:r>
      <w:r>
        <w:rPr>
          <w:rFonts w:ascii="宋体" w:hAnsi="宋体" w:cs="Calibri"/>
          <w:sz w:val="22"/>
        </w:rPr>
        <w:t>2B）；油机冷却延时（2E）；回切延时（3A）;控制器状态点检查（34A、34B、CNN、SE、ER、NR、9A、9B、9C、9D），同时，能通过232或485接口在远端阅读状态指示和动作参数，并对参数进行修改；</w:t>
      </w:r>
    </w:p>
    <w:p>
      <w:pPr>
        <w:adjustRightInd w:val="0"/>
        <w:snapToGrid w:val="0"/>
        <w:spacing w:line="360" w:lineRule="exact"/>
        <w:ind w:firstLine="440" w:firstLineChars="200"/>
        <w:rPr>
          <w:rFonts w:ascii="宋体" w:hAnsi="宋体" w:cs="Calibri"/>
          <w:sz w:val="22"/>
        </w:rPr>
      </w:pPr>
      <w:r>
        <w:rPr>
          <w:rFonts w:ascii="宋体" w:hAnsi="宋体" w:cs="Calibri"/>
          <w:sz w:val="22"/>
        </w:rPr>
        <w:t>14、主回路温度测量：NA、NB、NC、EA、EB、EC、LA、LB、LC；</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15、实地操作机房在不同的供电模式下的双电源切换功能； </w:t>
      </w:r>
    </w:p>
    <w:p>
      <w:pPr>
        <w:adjustRightInd w:val="0"/>
        <w:snapToGrid w:val="0"/>
        <w:spacing w:line="360" w:lineRule="exact"/>
        <w:ind w:firstLine="440" w:firstLineChars="200"/>
        <w:jc w:val="left"/>
        <w:rPr>
          <w:rFonts w:ascii="宋体" w:hAnsi="宋体" w:cs="Calibri"/>
          <w:sz w:val="22"/>
        </w:rPr>
      </w:pPr>
      <w:r>
        <w:rPr>
          <w:rFonts w:hint="eastAsia" w:ascii="宋体" w:hAnsi="宋体" w:cs="Calibri"/>
          <w:sz w:val="22"/>
        </w:rPr>
        <w:t>可设定三种模式：</w:t>
      </w:r>
    </w:p>
    <w:p>
      <w:pPr>
        <w:adjustRightInd w:val="0"/>
        <w:snapToGrid w:val="0"/>
        <w:spacing w:line="360" w:lineRule="exact"/>
        <w:ind w:firstLine="440" w:firstLineChars="200"/>
        <w:jc w:val="left"/>
        <w:rPr>
          <w:rFonts w:ascii="宋体" w:hAnsi="宋体" w:cs="Calibri"/>
          <w:sz w:val="22"/>
        </w:rPr>
      </w:pPr>
      <w:r>
        <w:rPr>
          <w:rFonts w:ascii="宋体" w:hAnsi="宋体" w:cs="Calibri"/>
          <w:sz w:val="22"/>
        </w:rPr>
        <w:t>(1)自动操作模式；</w:t>
      </w:r>
    </w:p>
    <w:p>
      <w:pPr>
        <w:adjustRightInd w:val="0"/>
        <w:snapToGrid w:val="0"/>
        <w:spacing w:line="360" w:lineRule="exact"/>
        <w:ind w:firstLine="440" w:firstLineChars="200"/>
        <w:jc w:val="left"/>
        <w:rPr>
          <w:rFonts w:ascii="宋体" w:hAnsi="宋体" w:cs="Calibri"/>
          <w:sz w:val="22"/>
        </w:rPr>
      </w:pPr>
      <w:r>
        <w:rPr>
          <w:rFonts w:ascii="宋体" w:hAnsi="宋体" w:cs="Calibri"/>
          <w:sz w:val="22"/>
        </w:rPr>
        <w:t>(2)带载测试模式，即模拟市电故障，油机自启动，负载转换开关自动转换，油机供电。</w:t>
      </w:r>
    </w:p>
    <w:p>
      <w:pPr>
        <w:adjustRightInd w:val="0"/>
        <w:snapToGrid w:val="0"/>
        <w:spacing w:line="360" w:lineRule="exact"/>
        <w:ind w:firstLine="440" w:firstLineChars="200"/>
        <w:jc w:val="left"/>
        <w:rPr>
          <w:rFonts w:ascii="宋体" w:hAnsi="宋体" w:cs="Calibri"/>
          <w:sz w:val="22"/>
        </w:rPr>
      </w:pPr>
      <w:r>
        <w:rPr>
          <w:rFonts w:ascii="宋体" w:hAnsi="宋体" w:cs="Calibri"/>
          <w:sz w:val="22"/>
        </w:rPr>
        <w:t>(3)不带载测试模式，即送出信号启动油机，</w:t>
      </w:r>
    </w:p>
    <w:p>
      <w:pPr>
        <w:adjustRightInd w:val="0"/>
        <w:snapToGrid w:val="0"/>
        <w:spacing w:line="360" w:lineRule="exact"/>
        <w:ind w:firstLine="440" w:firstLineChars="200"/>
        <w:jc w:val="left"/>
        <w:rPr>
          <w:rFonts w:ascii="宋体" w:hAnsi="宋体" w:cs="Calibri"/>
          <w:sz w:val="22"/>
        </w:rPr>
      </w:pPr>
      <w:r>
        <w:rPr>
          <w:rFonts w:hint="eastAsia" w:ascii="宋体" w:hAnsi="宋体" w:cs="Calibri"/>
          <w:sz w:val="22"/>
        </w:rPr>
        <w:t>负载转换开关不转换，市电供电。</w:t>
      </w:r>
    </w:p>
    <w:p>
      <w:pPr>
        <w:adjustRightInd w:val="0"/>
        <w:snapToGrid w:val="0"/>
        <w:spacing w:line="360" w:lineRule="exact"/>
        <w:ind w:firstLine="440" w:firstLineChars="200"/>
        <w:rPr>
          <w:rFonts w:ascii="宋体" w:hAnsi="宋体" w:cs="Calibri"/>
          <w:sz w:val="22"/>
        </w:rPr>
      </w:pPr>
      <w:r>
        <w:rPr>
          <w:rFonts w:ascii="宋体" w:hAnsi="宋体" w:cs="Calibri"/>
          <w:sz w:val="22"/>
        </w:rPr>
        <w:t>16、检查ATS配电柜保护功能：市电电压过低；市电缺相；发电机输</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出电压过低；发电机机组缺相。</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17、 </w:t>
      </w:r>
      <w:r>
        <w:rPr>
          <w:rFonts w:hint="eastAsia" w:ascii="宋体" w:hAnsi="宋体" w:cs="Calibri"/>
          <w:sz w:val="22"/>
        </w:rPr>
        <w:t>检查</w:t>
      </w:r>
      <w:r>
        <w:rPr>
          <w:rFonts w:ascii="宋体" w:hAnsi="宋体" w:cs="Calibri"/>
          <w:sz w:val="22"/>
        </w:rPr>
        <w:t>ATS配电柜功能：</w:t>
      </w:r>
    </w:p>
    <w:p>
      <w:pPr>
        <w:adjustRightInd w:val="0"/>
        <w:snapToGrid w:val="0"/>
        <w:spacing w:line="360" w:lineRule="exact"/>
        <w:ind w:firstLine="440" w:firstLineChars="200"/>
        <w:rPr>
          <w:rFonts w:ascii="宋体" w:hAnsi="宋体" w:cs="Calibri"/>
          <w:sz w:val="22"/>
        </w:rPr>
      </w:pPr>
      <w:r>
        <w:rPr>
          <w:rFonts w:ascii="宋体" w:hAnsi="宋体" w:cs="Calibri"/>
          <w:sz w:val="22"/>
        </w:rPr>
        <w:t>(1)当市电供电时，ATS配电柜应能分别显示市电正常、市电供电的显示。</w:t>
      </w:r>
    </w:p>
    <w:p>
      <w:pPr>
        <w:adjustRightInd w:val="0"/>
        <w:snapToGrid w:val="0"/>
        <w:spacing w:line="360" w:lineRule="exact"/>
        <w:ind w:firstLine="440" w:firstLineChars="200"/>
        <w:rPr>
          <w:rFonts w:ascii="宋体" w:hAnsi="宋体" w:cs="Calibri"/>
          <w:sz w:val="22"/>
        </w:rPr>
      </w:pPr>
      <w:r>
        <w:rPr>
          <w:rFonts w:ascii="宋体" w:hAnsi="宋体" w:cs="Calibri"/>
          <w:sz w:val="22"/>
        </w:rPr>
        <w:t>(2)当市电停电或市电三相的任何一相低于设定电压值(含缺相)时，能显示市电故障的显示，并送出信号启动油机。</w:t>
      </w:r>
    </w:p>
    <w:p>
      <w:pPr>
        <w:adjustRightInd w:val="0"/>
        <w:snapToGrid w:val="0"/>
        <w:spacing w:line="360" w:lineRule="exact"/>
        <w:ind w:firstLine="440" w:firstLineChars="200"/>
        <w:rPr>
          <w:rFonts w:ascii="宋体" w:hAnsi="宋体" w:cs="Calibri"/>
          <w:sz w:val="22"/>
        </w:rPr>
      </w:pPr>
      <w:r>
        <w:rPr>
          <w:rFonts w:ascii="宋体" w:hAnsi="宋体" w:cs="Calibri"/>
          <w:sz w:val="22"/>
        </w:rPr>
        <w:t>(3)当油机启动成功并建立正常电压时，能显示油机正常的显示，转换延时继电器工作，在设定的时间内，油机稳定工作状态，时间一到，负载转换开关自动转换，油机供电，能显示油机供电的显示。</w:t>
      </w:r>
    </w:p>
    <w:p>
      <w:pPr>
        <w:adjustRightInd w:val="0"/>
        <w:snapToGrid w:val="0"/>
        <w:spacing w:line="360" w:lineRule="exact"/>
        <w:ind w:firstLine="440" w:firstLineChars="200"/>
        <w:rPr>
          <w:rFonts w:ascii="宋体" w:hAnsi="宋体" w:cs="Calibri"/>
          <w:sz w:val="22"/>
        </w:rPr>
      </w:pPr>
      <w:r>
        <w:rPr>
          <w:rFonts w:ascii="宋体" w:hAnsi="宋体" w:cs="Calibri"/>
          <w:sz w:val="22"/>
        </w:rPr>
        <w:t>(4)当市电恢复正常后，能显示市电正常的显示，再转换延时继电器工作，在延时时间内，可确保市电稳定后才供电，如市电在该延时时间内出现故障，则再延时继电器不工作，直至市电重新恢复正常后再计时；当再转换延时继电器时间结束后，负载转换开关自动转换自市电侧，市电供电，能显示市电供电的显示，油机供电显示消失。</w:t>
      </w:r>
    </w:p>
    <w:p>
      <w:pPr>
        <w:adjustRightInd w:val="0"/>
        <w:snapToGrid w:val="0"/>
        <w:spacing w:line="360" w:lineRule="exact"/>
        <w:ind w:firstLine="440" w:firstLineChars="200"/>
        <w:rPr>
          <w:rFonts w:ascii="宋体" w:hAnsi="宋体" w:cs="Calibri"/>
          <w:sz w:val="22"/>
        </w:rPr>
      </w:pPr>
      <w:r>
        <w:rPr>
          <w:rFonts w:ascii="宋体" w:hAnsi="宋体" w:cs="Calibri"/>
          <w:sz w:val="22"/>
        </w:rPr>
        <w:t>(5)在市电供电后，转换延时继电器开始工作，在延时时间内，油机继续空载运行一段时间(时间可调)，以保证机组冷却后才停止运行，在转换延时继电器时间到时，启动信号消失，油机自动停机，油机正常的显示消失，油机重新进入备用状态。</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18、 </w:t>
      </w:r>
      <w:r>
        <w:rPr>
          <w:rFonts w:hint="eastAsia" w:ascii="宋体" w:hAnsi="宋体" w:cs="Calibri"/>
          <w:sz w:val="22"/>
        </w:rPr>
        <w:t>外观方面检查及要求标准：</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(1) </w:t>
      </w:r>
      <w:r>
        <w:rPr>
          <w:rFonts w:hint="eastAsia" w:ascii="宋体" w:hAnsi="宋体" w:cs="Calibri"/>
          <w:sz w:val="22"/>
        </w:rPr>
        <w:t>机箱镀层牢固、漆面匀称、无削落、锈蚀及裂痕等现象。</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(2) </w:t>
      </w:r>
      <w:r>
        <w:rPr>
          <w:rFonts w:hint="eastAsia" w:ascii="宋体" w:hAnsi="宋体" w:cs="Calibri"/>
          <w:sz w:val="22"/>
        </w:rPr>
        <w:t>机箱表面平整，所有标牌、标识、文字符号应清晰、正确、整齐。</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各种开关便于操作、灵活可靠。</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(3) </w:t>
      </w:r>
      <w:r>
        <w:rPr>
          <w:rFonts w:hint="eastAsia" w:ascii="宋体" w:hAnsi="宋体" w:cs="Calibri"/>
          <w:sz w:val="22"/>
        </w:rPr>
        <w:t>所有紧固处应装有防松动装置。</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19、 </w:t>
      </w:r>
      <w:r>
        <w:rPr>
          <w:rFonts w:hint="eastAsia" w:ascii="宋体" w:hAnsi="宋体" w:cs="Calibri"/>
          <w:sz w:val="22"/>
        </w:rPr>
        <w:t>检查接地情况</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(1) </w:t>
      </w:r>
      <w:r>
        <w:rPr>
          <w:rFonts w:hint="eastAsia" w:ascii="宋体" w:hAnsi="宋体" w:cs="Calibri"/>
          <w:sz w:val="22"/>
        </w:rPr>
        <w:t>金属外壳上焊有不小于</w:t>
      </w:r>
      <w:r>
        <w:rPr>
          <w:rFonts w:ascii="宋体" w:hAnsi="宋体" w:cs="Calibri"/>
          <w:sz w:val="22"/>
        </w:rPr>
        <w:t>M8的铜质螺母；</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(2) </w:t>
      </w:r>
      <w:r>
        <w:rPr>
          <w:rFonts w:hint="eastAsia" w:ascii="宋体" w:hAnsi="宋体" w:cs="Calibri"/>
          <w:sz w:val="22"/>
        </w:rPr>
        <w:t>保护接地线接线端子要求采用接地铜排形式，铜排上预留</w:t>
      </w:r>
      <w:r>
        <w:rPr>
          <w:rFonts w:ascii="宋体" w:hAnsi="宋体" w:cs="Calibri"/>
          <w:sz w:val="22"/>
        </w:rPr>
        <w:t>M8的螺孔。</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20、 </w:t>
      </w:r>
      <w:r>
        <w:rPr>
          <w:rFonts w:hint="eastAsia" w:ascii="宋体" w:hAnsi="宋体" w:cs="Calibri"/>
          <w:sz w:val="22"/>
        </w:rPr>
        <w:t>是否达到正常温升的要求</w:t>
      </w:r>
      <w:r>
        <w:rPr>
          <w:rFonts w:ascii="宋体" w:hAnsi="宋体" w:cs="Calibri"/>
          <w:sz w:val="22"/>
        </w:rPr>
        <w:t>:</w:t>
      </w:r>
    </w:p>
    <w:tbl>
      <w:tblPr>
        <w:tblStyle w:val="13"/>
        <w:tblW w:w="7080" w:type="dxa"/>
        <w:tblInd w:w="698" w:type="dxa"/>
        <w:tblLayout w:type="fixed"/>
        <w:tblCellMar>
          <w:top w:w="0" w:type="dxa"/>
          <w:left w:w="108" w:type="dxa"/>
          <w:bottom w:w="0" w:type="dxa"/>
          <w:right w:w="108" w:type="dxa"/>
        </w:tblCellMar>
      </w:tblPr>
      <w:tblGrid>
        <w:gridCol w:w="3662"/>
        <w:gridCol w:w="3418"/>
      </w:tblGrid>
      <w:tr>
        <w:tblPrEx>
          <w:tblLayout w:type="fixed"/>
          <w:tblCellMar>
            <w:top w:w="0" w:type="dxa"/>
            <w:left w:w="108" w:type="dxa"/>
            <w:bottom w:w="0" w:type="dxa"/>
            <w:right w:w="108" w:type="dxa"/>
          </w:tblCellMar>
        </w:tblPrEx>
        <w:tc>
          <w:tcPr>
            <w:tcW w:w="36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40" w:firstLineChars="200"/>
              <w:rPr>
                <w:rFonts w:ascii="宋体" w:hAnsi="宋体" w:cs="Calibri"/>
                <w:sz w:val="22"/>
              </w:rPr>
            </w:pPr>
            <w:r>
              <w:rPr>
                <w:rFonts w:hint="eastAsia" w:ascii="宋体" w:hAnsi="宋体" w:cs="Calibri"/>
                <w:sz w:val="22"/>
              </w:rPr>
              <w:t>部件</w:t>
            </w:r>
          </w:p>
        </w:tc>
        <w:tc>
          <w:tcPr>
            <w:tcW w:w="3418" w:type="dxa"/>
            <w:tcBorders>
              <w:top w:val="single" w:color="auto" w:sz="4" w:space="0"/>
              <w:left w:val="nil"/>
              <w:bottom w:val="single" w:color="auto" w:sz="4" w:space="0"/>
              <w:right w:val="single" w:color="auto" w:sz="4" w:space="0"/>
            </w:tcBorders>
          </w:tcPr>
          <w:p>
            <w:pPr>
              <w:adjustRightInd w:val="0"/>
              <w:snapToGrid w:val="0"/>
              <w:spacing w:line="360" w:lineRule="exact"/>
              <w:ind w:firstLine="440" w:firstLineChars="200"/>
              <w:rPr>
                <w:rFonts w:ascii="宋体" w:hAnsi="宋体" w:cs="Calibri"/>
                <w:sz w:val="22"/>
              </w:rPr>
            </w:pPr>
            <w:r>
              <w:rPr>
                <w:rFonts w:hint="eastAsia" w:ascii="宋体" w:hAnsi="宋体" w:cs="Calibri"/>
                <w:sz w:val="22"/>
              </w:rPr>
              <w:t>温升值（℃）</w:t>
            </w:r>
          </w:p>
        </w:tc>
      </w:tr>
      <w:tr>
        <w:tblPrEx>
          <w:tblLayout w:type="fixed"/>
          <w:tblCellMar>
            <w:top w:w="0" w:type="dxa"/>
            <w:left w:w="108" w:type="dxa"/>
            <w:bottom w:w="0" w:type="dxa"/>
            <w:right w:w="108" w:type="dxa"/>
          </w:tblCellMar>
        </w:tblPrEx>
        <w:tc>
          <w:tcPr>
            <w:tcW w:w="36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40" w:firstLineChars="200"/>
              <w:rPr>
                <w:rFonts w:ascii="宋体" w:hAnsi="宋体" w:cs="Calibri"/>
                <w:sz w:val="22"/>
              </w:rPr>
            </w:pPr>
            <w:r>
              <w:rPr>
                <w:rFonts w:hint="eastAsia" w:ascii="宋体" w:hAnsi="宋体" w:cs="Calibri"/>
                <w:sz w:val="22"/>
              </w:rPr>
              <w:t>铜母线接头</w:t>
            </w:r>
          </w:p>
        </w:tc>
        <w:tc>
          <w:tcPr>
            <w:tcW w:w="3418" w:type="dxa"/>
            <w:tcBorders>
              <w:top w:val="single" w:color="auto" w:sz="4" w:space="0"/>
              <w:left w:val="nil"/>
              <w:bottom w:val="single" w:color="auto" w:sz="4" w:space="0"/>
              <w:right w:val="single" w:color="auto" w:sz="4" w:space="0"/>
            </w:tcBorders>
          </w:tcPr>
          <w:p>
            <w:pPr>
              <w:adjustRightInd w:val="0"/>
              <w:snapToGrid w:val="0"/>
              <w:spacing w:line="360" w:lineRule="exact"/>
              <w:ind w:firstLine="440" w:firstLineChars="200"/>
              <w:rPr>
                <w:rFonts w:ascii="宋体" w:hAnsi="宋体" w:cs="Calibri"/>
                <w:sz w:val="22"/>
              </w:rPr>
            </w:pPr>
            <w:r>
              <w:rPr>
                <w:rFonts w:ascii="宋体" w:hAnsi="宋体" w:cs="Calibri"/>
                <w:sz w:val="22"/>
              </w:rPr>
              <w:t>70</w:t>
            </w:r>
          </w:p>
        </w:tc>
      </w:tr>
      <w:tr>
        <w:tblPrEx>
          <w:tblLayout w:type="fixed"/>
          <w:tblCellMar>
            <w:top w:w="0" w:type="dxa"/>
            <w:left w:w="108" w:type="dxa"/>
            <w:bottom w:w="0" w:type="dxa"/>
            <w:right w:w="108" w:type="dxa"/>
          </w:tblCellMar>
        </w:tblPrEx>
        <w:tc>
          <w:tcPr>
            <w:tcW w:w="366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40" w:firstLineChars="200"/>
              <w:rPr>
                <w:rFonts w:ascii="宋体" w:hAnsi="宋体" w:cs="Calibri"/>
                <w:sz w:val="22"/>
              </w:rPr>
            </w:pPr>
            <w:r>
              <w:rPr>
                <w:rFonts w:hint="eastAsia" w:ascii="宋体" w:hAnsi="宋体" w:cs="Calibri"/>
                <w:sz w:val="22"/>
              </w:rPr>
              <w:t>开关接触处</w:t>
            </w:r>
          </w:p>
        </w:tc>
        <w:tc>
          <w:tcPr>
            <w:tcW w:w="3418" w:type="dxa"/>
            <w:tcBorders>
              <w:top w:val="single" w:color="auto" w:sz="4" w:space="0"/>
              <w:left w:val="nil"/>
              <w:bottom w:val="single" w:color="auto" w:sz="4" w:space="0"/>
              <w:right w:val="single" w:color="auto" w:sz="4" w:space="0"/>
            </w:tcBorders>
          </w:tcPr>
          <w:p>
            <w:pPr>
              <w:adjustRightInd w:val="0"/>
              <w:snapToGrid w:val="0"/>
              <w:spacing w:line="360" w:lineRule="exact"/>
              <w:ind w:firstLine="440" w:firstLineChars="200"/>
              <w:rPr>
                <w:rFonts w:ascii="宋体" w:hAnsi="宋体" w:cs="Calibri"/>
                <w:sz w:val="22"/>
              </w:rPr>
            </w:pPr>
            <w:r>
              <w:rPr>
                <w:rFonts w:ascii="宋体" w:hAnsi="宋体" w:cs="Calibri"/>
                <w:sz w:val="22"/>
              </w:rPr>
              <w:t>50</w:t>
            </w:r>
          </w:p>
        </w:tc>
      </w:tr>
    </w:tbl>
    <w:p>
      <w:pPr>
        <w:adjustRightInd w:val="0"/>
        <w:snapToGrid w:val="0"/>
        <w:spacing w:line="360" w:lineRule="exact"/>
        <w:ind w:firstLine="440" w:firstLineChars="200"/>
        <w:rPr>
          <w:rFonts w:ascii="宋体" w:hAnsi="宋体" w:cs="Calibri"/>
          <w:sz w:val="22"/>
        </w:rPr>
      </w:pPr>
      <w:r>
        <w:rPr>
          <w:rFonts w:hint="eastAsia" w:ascii="宋体" w:hAnsi="宋体" w:cs="Calibri"/>
          <w:sz w:val="22"/>
        </w:rPr>
        <w:t>以上服务根据现场各个站点的实际情况进行全部或者部分执行。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其他服务内容：</w:t>
      </w:r>
    </w:p>
    <w:p>
      <w:pPr>
        <w:adjustRightInd w:val="0"/>
        <w:snapToGrid w:val="0"/>
        <w:spacing w:line="360" w:lineRule="exact"/>
        <w:ind w:firstLine="440" w:firstLineChars="200"/>
        <w:rPr>
          <w:rFonts w:ascii="宋体" w:hAnsi="宋体" w:cs="Calibri"/>
          <w:sz w:val="22"/>
        </w:rPr>
      </w:pPr>
      <w:r>
        <w:rPr>
          <w:rFonts w:ascii="宋体" w:hAnsi="宋体" w:cs="Calibri"/>
          <w:sz w:val="22"/>
        </w:rPr>
        <w:t>a）进行ASCO电力切换装置快速维修；</w:t>
      </w:r>
    </w:p>
    <w:p>
      <w:pPr>
        <w:adjustRightInd w:val="0"/>
        <w:snapToGrid w:val="0"/>
        <w:spacing w:line="360" w:lineRule="exact"/>
        <w:ind w:firstLine="440" w:firstLineChars="200"/>
        <w:rPr>
          <w:rFonts w:ascii="宋体" w:hAnsi="宋体" w:cs="Calibri"/>
          <w:sz w:val="22"/>
        </w:rPr>
      </w:pPr>
      <w:r>
        <w:rPr>
          <w:rFonts w:ascii="宋体" w:hAnsi="宋体" w:cs="Calibri"/>
          <w:sz w:val="22"/>
        </w:rPr>
        <w:t>b）每年须提供ASCO电力切换装置使用、维护、基本原理、故障判断、应急措施实施等培训；</w:t>
      </w:r>
    </w:p>
    <w:p>
      <w:pPr>
        <w:adjustRightInd w:val="0"/>
        <w:snapToGrid w:val="0"/>
        <w:spacing w:line="360" w:lineRule="exact"/>
        <w:ind w:firstLine="440" w:firstLineChars="200"/>
        <w:rPr>
          <w:rFonts w:ascii="宋体" w:hAnsi="宋体" w:cs="Calibri"/>
          <w:sz w:val="22"/>
        </w:rPr>
      </w:pPr>
      <w:r>
        <w:rPr>
          <w:rFonts w:ascii="宋体" w:hAnsi="宋体" w:cs="Calibri"/>
          <w:sz w:val="22"/>
        </w:rPr>
        <w:t>c）在本地设立常驻办公点与备品备件库，储备足够的易损、易更换备件。</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五、设备维护保养服务方式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1.服务热线电话支持：乙方提供7*24小时服务热线电话支持，对甲方发现设备发生异常或遇到难于解决的疑难问题给予及时的服务响应。</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到现场维护服务：当乙方接到甲方设备故障要求维护的通知（电话、传真）后，应积极响应，并立即派有经验的ASCO专业工程师到甲方指定的设备现场进行设备维护或更换设备部件来排除故障，保障设备及时地恢复正常进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3.到现场时间限定：到现场时间限定：接到机场通知后到达机场指定现场的时间为4小时。维护范围内发生重大故障造成</w:t>
      </w:r>
      <w:r>
        <w:rPr>
          <w:rFonts w:ascii="宋体" w:hAnsi="宋体" w:cs="Calibri"/>
          <w:sz w:val="22"/>
        </w:rPr>
        <w:t>ASCO电力切换装置</w:t>
      </w:r>
      <w:r>
        <w:rPr>
          <w:rFonts w:hint="eastAsia" w:ascii="宋体" w:hAnsi="宋体" w:cs="Calibri"/>
          <w:sz w:val="22"/>
        </w:rPr>
        <w:t>不能正常运行的，</w:t>
      </w:r>
      <w:r>
        <w:rPr>
          <w:rFonts w:hint="eastAsia" w:ascii="宋体" w:hAnsi="宋体" w:cs="Calibri"/>
          <w:sz w:val="22"/>
          <w:lang w:eastAsia="zh-CN"/>
        </w:rPr>
        <w:t>乙方</w:t>
      </w:r>
      <w:r>
        <w:rPr>
          <w:rFonts w:hint="eastAsia" w:ascii="宋体" w:hAnsi="宋体" w:cs="Calibri"/>
          <w:sz w:val="22"/>
        </w:rPr>
        <w:t>应在接到通知后2小时内到达现场，6小时内给予恢复。</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六、设备维护保养服务质量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乙方对甲方设备所进行的设备故障保养及预防性维护中，应及时更换受损部件，在保养、维护结束后，每次须出具相应维修结果报告的电子和书面文档交甲方维修设备所在部门有关人员确认，以备案待查。服务期满后，乙方应提供详细的年度维护报告资料，并通过甲方验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2.乙方所有维保人员必须服从甲方的指挥，遵守甲方的安全规定。</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3.乙方承诺在中国境内备有充足的耗材及备件以满足甲方的维修更换需要，耗材及备件的运输7天内运达甲方指定地点，做到及时、快捷。</w:t>
      </w:r>
    </w:p>
    <w:p>
      <w:pPr>
        <w:adjustRightInd w:val="0"/>
        <w:snapToGrid w:val="0"/>
        <w:spacing w:line="360" w:lineRule="exact"/>
        <w:ind w:firstLine="440" w:firstLineChars="200"/>
        <w:rPr>
          <w:rFonts w:ascii="宋体" w:hAnsi="宋体" w:cs="Calibri"/>
          <w:sz w:val="22"/>
        </w:rPr>
      </w:pPr>
      <w:r>
        <w:rPr>
          <w:rFonts w:ascii="宋体" w:hAnsi="宋体" w:cs="Calibri"/>
          <w:sz w:val="22"/>
        </w:rPr>
        <w:t>4.</w:t>
      </w:r>
      <w:r>
        <w:rPr>
          <w:rFonts w:hint="eastAsia" w:ascii="宋体" w:hAnsi="宋体" w:cs="Calibri"/>
          <w:sz w:val="22"/>
        </w:rPr>
        <w:t>乙方应为3台主控装置（</w:t>
      </w:r>
      <w:r>
        <w:rPr>
          <w:rFonts w:hint="eastAsia"/>
          <w:bCs/>
          <w:szCs w:val="21"/>
        </w:rPr>
        <w:t>ASCO7000 Series</w:t>
      </w:r>
      <w:r>
        <w:rPr>
          <w:rFonts w:hint="eastAsia" w:ascii="宋体" w:hAnsi="宋体" w:cs="Calibri"/>
          <w:sz w:val="22"/>
        </w:rPr>
        <w:t>）提供【两】年的免费保修期</w:t>
      </w:r>
      <w:r>
        <w:rPr>
          <w:rFonts w:ascii="宋体" w:hAnsi="宋体" w:cs="Calibri"/>
          <w:sz w:val="22"/>
        </w:rPr>
        <w:t>(含工时费和零部件费)，时间为乙方安装调试完成，</w:t>
      </w:r>
      <w:r>
        <w:rPr>
          <w:rFonts w:hint="eastAsia" w:ascii="宋体" w:hAnsi="宋体" w:cs="Calibri"/>
          <w:sz w:val="22"/>
        </w:rPr>
        <w:t>且维保结束之日起算。</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七、合同期限</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合同期限为一年，2019年12月1日至2020年11月30日。</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八、付款方式</w:t>
      </w:r>
    </w:p>
    <w:p>
      <w:pPr>
        <w:widowControl/>
        <w:spacing w:line="288" w:lineRule="auto"/>
        <w:jc w:val="left"/>
        <w:rPr>
          <w:rFonts w:ascii="宋体" w:hAnsi="宋体" w:cs="宋体"/>
          <w:sz w:val="22"/>
        </w:rPr>
      </w:pPr>
      <w:r>
        <w:rPr>
          <w:rFonts w:hint="eastAsia" w:ascii="宋体" w:hAnsi="宋体" w:cs="Calibri"/>
          <w:sz w:val="22"/>
        </w:rPr>
        <w:t xml:space="preserve">    1.合同费用支付：完成服务后，甲方根据乙方年度考核结果支付维保费用，合同执行到期后，一个月内以转账形式向乙方支付</w:t>
      </w:r>
      <w:r>
        <w:rPr>
          <w:rFonts w:hint="eastAsia" w:ascii="宋体" w:hAnsi="宋体" w:cs="宋体"/>
          <w:sz w:val="22"/>
        </w:rPr>
        <w:t>至合同总金额的95%，同时无息返还履约保证金；剩余5%质保金，在质保期结束且无质量问题后无息支付。</w:t>
      </w:r>
    </w:p>
    <w:p>
      <w:pPr>
        <w:adjustRightInd w:val="0"/>
        <w:snapToGrid w:val="0"/>
        <w:spacing w:line="360" w:lineRule="exact"/>
        <w:ind w:firstLine="440" w:firstLineChars="200"/>
        <w:rPr>
          <w:rFonts w:ascii="宋体" w:hAnsi="宋体" w:cs="Calibri"/>
          <w:sz w:val="22"/>
        </w:rPr>
      </w:pPr>
      <w:r>
        <w:rPr>
          <w:rFonts w:hint="eastAsia" w:ascii="宋体" w:hAnsi="宋体" w:cs="Calibri"/>
          <w:sz w:val="22"/>
          <w:lang w:val="en-US" w:eastAsia="zh-CN"/>
        </w:rPr>
        <w:t>2.</w:t>
      </w:r>
      <w:r>
        <w:rPr>
          <w:rFonts w:hint="eastAsia" w:ascii="宋体" w:hAnsi="宋体" w:cs="Calibri"/>
          <w:sz w:val="22"/>
        </w:rPr>
        <w:t>乙方应提供6%</w:t>
      </w:r>
      <w:r>
        <w:rPr>
          <w:rFonts w:hint="eastAsia" w:ascii="宋体" w:hAnsi="宋体" w:cs="Calibri"/>
          <w:sz w:val="22"/>
          <w:lang w:val="en-US" w:eastAsia="zh-CN"/>
        </w:rPr>
        <w:t>正式的</w:t>
      </w:r>
      <w:r>
        <w:rPr>
          <w:rFonts w:hint="eastAsia" w:ascii="宋体" w:hAnsi="宋体" w:cs="Calibri"/>
          <w:sz w:val="22"/>
        </w:rPr>
        <w:t>增值税专用发票。</w:t>
      </w:r>
    </w:p>
    <w:p>
      <w:pPr>
        <w:adjustRightInd w:val="0"/>
        <w:snapToGrid w:val="0"/>
        <w:spacing w:line="360" w:lineRule="exact"/>
        <w:ind w:firstLine="440" w:firstLineChars="200"/>
        <w:rPr>
          <w:rFonts w:ascii="宋体" w:hAnsi="宋体" w:cs="Calibri"/>
          <w:b/>
          <w:bCs/>
          <w:sz w:val="22"/>
        </w:rPr>
      </w:pPr>
      <w:r>
        <w:rPr>
          <w:rFonts w:hint="eastAsia" w:ascii="宋体" w:hAnsi="宋体" w:cs="Calibri"/>
          <w:sz w:val="22"/>
        </w:rPr>
        <w:t>2.本合同签订后，甲方将根据附件《机场公司业务外包项目考核标准》按季度对乙方进行考核，且考核表中单项扣分不设上限，年度考核得分即由季度平均值得出。该年度考核得分达到 95 分以上（含 95 分），视为考核合格，支付该年度全年维保费；该年度考核得分 95 分以下，视为考核不合格，每减少1分，扣除该年度维保费的 1%；一个自然外包年度内共计两个季度考核得分低于90分（不含90分），扣除全年维保费的10%；一个自然外包年度内共计有三个季度考核得分低于 85 分（不含 85 分），或发生因承包商责任原因造成的各类治安群体性事件、空防不安全事件、消防及其他不安全事件、事故症候、事故和严重影响航班正常性造成航班业务等情况的，实行一票否决，甲方有权提前中止合约，并拒绝支付当年年度维保费用，且乙方须向甲方支付本合同该年度维保费用10%的违约金，如造成甲方损失超过违约金的，超出部分由乙方继续承担赔偿责任。</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九、税费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本合同执行中相关的一切税费均由乙方负担。</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十、违约责任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1．甲方无正当理由拒收接受服务的，甲方向乙方偿付合同款项百分之五作为违约金。</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乙方未能如期提供服务的，每日向甲方支付合同款项的0.6%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3.乙方应保证提供服务过程中不会侵犯任何第三方的知识产权。如因乙方违反本条保证并导致甲方损失的，乙方须向甲方承担赔偿责任。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4．因乙方提供服务导致甲方或第三方人身、财产损害的，乙方须依法承担全部赔偿责任；如因该等损害导致甲方向第三方承担赔偿责任的，乙方须在甲方赔偿范围内全额向甲方作出赔偿。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6．除本合同另有规定外，乙方违反其在本合同项下其他义务并给甲方造成损失的，须向甲方承担全部赔偿责任。</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十一、履约保证金</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乙方应向甲方缴付履约保证金，以保证乙方遵守本合同的一切条款、条件和承诺。乙方应在收到中标通知书之日起七个工作日内向甲方缴纳年度合同价的10%作为履约保证金，履约保证金的形式为：银行转账。如果逾期未缴纳，视为乙方违约，甲方有权</w:t>
      </w:r>
      <w:r>
        <w:rPr>
          <w:rFonts w:hint="eastAsia" w:ascii="宋体" w:hAnsi="宋体" w:cs="Calibri"/>
          <w:sz w:val="22"/>
          <w:lang w:eastAsia="zh-CN"/>
        </w:rPr>
        <w:t>解除本</w:t>
      </w:r>
      <w:r>
        <w:rPr>
          <w:rFonts w:hint="eastAsia" w:ascii="宋体" w:hAnsi="宋体" w:cs="Calibri"/>
          <w:sz w:val="22"/>
        </w:rPr>
        <w:t>合同，并有权追究乙方的违约责任。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十二、双方责任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1.甲方责任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1.1首先保证ASCO电力切换装置处于正常运行工作状态环境下。</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1.2监督和督促乙方履行本项目下乙方承担的义务和责任。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1.3甲方及时支付维修发生的材料费用和维保费用。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2.乙方责任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2.1严格履行本合同乙方承担的义务和责任。若有违约，甲方有权向乙方提出整改意见，乙方在3个工作日内做出回复并进行整改。整改2次仍达不到甲方要求，甲方有权扣除当年维保费用的10%或终止合同。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2.2根据甲方设备储备易损和常用备件，及时对甲方设备进行维护保养服务。维修发生的材料费用由甲方承担，其他的人工费、</w:t>
      </w:r>
      <w:r>
        <w:rPr>
          <w:rFonts w:hint="eastAsia" w:ascii="宋体" w:hAnsi="宋体" w:cs="宋体"/>
          <w:kern w:val="0"/>
          <w:sz w:val="22"/>
        </w:rPr>
        <w:t>劳务费、差旅费、保险费、备件运费等一切保养维修维护费以及税费等所有费用</w:t>
      </w:r>
      <w:r>
        <w:rPr>
          <w:rFonts w:hint="eastAsia" w:ascii="宋体" w:hAnsi="宋体" w:cs="Calibri"/>
          <w:sz w:val="22"/>
        </w:rPr>
        <w:t>由乙方承担。</w:t>
      </w:r>
      <w:r>
        <w:rPr>
          <w:rFonts w:ascii="宋体" w:hAnsi="宋体" w:cs="Calibri"/>
          <w:sz w:val="22"/>
        </w:rPr>
        <w:t xml:space="preserve"> </w:t>
      </w:r>
    </w:p>
    <w:p>
      <w:pPr>
        <w:adjustRightInd w:val="0"/>
        <w:snapToGrid w:val="0"/>
        <w:spacing w:line="360" w:lineRule="exact"/>
        <w:ind w:firstLine="440" w:firstLineChars="200"/>
        <w:rPr>
          <w:rFonts w:ascii="宋体" w:hAnsi="宋体" w:cs="Calibri"/>
          <w:sz w:val="22"/>
        </w:rPr>
      </w:pPr>
      <w:r>
        <w:rPr>
          <w:rFonts w:hint="eastAsia" w:ascii="宋体" w:hAnsi="宋体" w:cs="Calibri"/>
          <w:sz w:val="22"/>
          <w:lang w:val="en-US" w:eastAsia="zh-CN"/>
        </w:rPr>
        <w:t>2.3</w:t>
      </w:r>
      <w:r>
        <w:rPr>
          <w:rFonts w:hint="eastAsia" w:ascii="宋体" w:hAnsi="宋体" w:cs="Calibri"/>
          <w:sz w:val="22"/>
        </w:rPr>
        <w:t>乙方维保服务不符合相关要求，</w:t>
      </w:r>
      <w:r>
        <w:rPr>
          <w:rFonts w:hint="eastAsia" w:ascii="宋体" w:hAnsi="宋体" w:cs="Calibri"/>
          <w:sz w:val="22"/>
          <w:lang w:val="en-US" w:eastAsia="zh-CN"/>
        </w:rPr>
        <w:t>甲方</w:t>
      </w:r>
      <w:r>
        <w:rPr>
          <w:rFonts w:hint="eastAsia" w:ascii="宋体" w:hAnsi="宋体" w:cs="Calibri"/>
          <w:sz w:val="22"/>
        </w:rPr>
        <w:t>有权提出建议与意见，同时有权要求乙方及时更换不认真进行维保工作的工作人员，在收到甲方通知之日起【3】个工作日内，乙方不及时更换人员，甲方有权扣除当年年度维保费用的1%。</w:t>
      </w:r>
    </w:p>
    <w:p>
      <w:pPr>
        <w:adjustRightInd w:val="0"/>
        <w:snapToGrid w:val="0"/>
        <w:spacing w:line="360" w:lineRule="exact"/>
        <w:ind w:firstLine="0" w:firstLineChars="0"/>
        <w:rPr>
          <w:rFonts w:ascii="宋体" w:hAnsi="宋体" w:cs="Calibri"/>
          <w:sz w:val="22"/>
        </w:rPr>
      </w:pPr>
      <w:r>
        <w:rPr>
          <w:rFonts w:hint="eastAsia" w:ascii="宋体" w:hAnsi="宋体" w:cs="Calibri"/>
          <w:sz w:val="22"/>
          <w:lang w:val="en-US" w:eastAsia="zh-CN"/>
        </w:rPr>
        <w:t xml:space="preserve">    </w:t>
      </w:r>
      <w:r>
        <w:rPr>
          <w:rFonts w:hint="eastAsia" w:ascii="宋体" w:hAnsi="宋体" w:cs="Calibri"/>
          <w:sz w:val="22"/>
        </w:rPr>
        <w:t>2.</w:t>
      </w:r>
      <w:r>
        <w:rPr>
          <w:rFonts w:hint="eastAsia" w:ascii="宋体" w:hAnsi="宋体" w:cs="Calibri"/>
          <w:sz w:val="22"/>
          <w:lang w:val="en-US" w:eastAsia="zh-CN"/>
        </w:rPr>
        <w:t>4</w:t>
      </w:r>
      <w:r>
        <w:rPr>
          <w:rFonts w:hint="eastAsia" w:ascii="宋体" w:hAnsi="宋体" w:cs="Calibri"/>
          <w:sz w:val="22"/>
        </w:rPr>
        <w:t>现场疑难问题解答及有条件情况下的场地培训。</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hint="eastAsia" w:ascii="宋体" w:hAnsi="宋体" w:cs="Calibri"/>
          <w:sz w:val="22"/>
          <w:lang w:val="en-US" w:eastAsia="zh-CN"/>
        </w:rPr>
        <w:t>5</w:t>
      </w:r>
      <w:r>
        <w:rPr>
          <w:rFonts w:hint="eastAsia" w:ascii="宋体" w:hAnsi="宋体" w:cs="Calibri"/>
          <w:sz w:val="22"/>
        </w:rPr>
        <w:t>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hint="eastAsia" w:ascii="宋体" w:hAnsi="宋体" w:cs="Calibri"/>
          <w:sz w:val="22"/>
          <w:lang w:val="en-US" w:eastAsia="zh-CN"/>
        </w:rPr>
        <w:t>6</w:t>
      </w:r>
      <w:r>
        <w:rPr>
          <w:rFonts w:hint="eastAsia" w:ascii="宋体" w:hAnsi="宋体" w:cs="Calibri"/>
          <w:sz w:val="22"/>
        </w:rPr>
        <w:t>乙方员工与乙方发生的一切劳动纠纷及其它纠纷乙方必须妥善处理，并且此等纠纷与甲方无任何关系。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hint="eastAsia" w:ascii="宋体" w:hAnsi="宋体" w:cs="Calibri"/>
          <w:sz w:val="22"/>
          <w:lang w:val="en-US" w:eastAsia="zh-CN"/>
        </w:rPr>
        <w:t>7</w:t>
      </w:r>
      <w:r>
        <w:rPr>
          <w:rFonts w:hint="eastAsia" w:ascii="宋体" w:hAnsi="宋体" w:cs="Calibri"/>
          <w:sz w:val="22"/>
        </w:rPr>
        <w:t>乙方必须有足够的人员配备负责本合同范围内约定的维护工作。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hint="eastAsia" w:ascii="宋体" w:hAnsi="宋体" w:cs="Calibri"/>
          <w:sz w:val="22"/>
          <w:lang w:val="en-US" w:eastAsia="zh-CN"/>
        </w:rPr>
        <w:t>8</w:t>
      </w:r>
      <w:r>
        <w:rPr>
          <w:rFonts w:hint="eastAsia" w:ascii="宋体" w:hAnsi="宋体" w:cs="Calibri"/>
          <w:sz w:val="22"/>
        </w:rPr>
        <w:t>乙方应向员工提供培训专业技能的途径，保证员工有较高的业务能力，满足甲方的合理需求。</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hint="eastAsia" w:ascii="宋体" w:hAnsi="宋体" w:cs="Calibri"/>
          <w:sz w:val="22"/>
          <w:lang w:val="en-US" w:eastAsia="zh-CN"/>
        </w:rPr>
        <w:t>9</w:t>
      </w:r>
      <w:r>
        <w:rPr>
          <w:rFonts w:hint="eastAsia" w:ascii="宋体" w:hAnsi="宋体" w:cs="Calibri"/>
          <w:sz w:val="22"/>
        </w:rPr>
        <w:t>乙方必须遵守甲方的有关规定，并接受有关部门的监督与检查。</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十三、争议解决</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在合同履行中产生的争议，甲乙双方应友好协商解决，协商不成的双方均可向甲方所在地的人民法院起诉。</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十四、合同生效及其它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1.合同经双方法定代表人或授权代表签字并加盖单位公章后之日起生效。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3.本合同正本一式陆份，具有同等法律效力，甲方执肆份，乙方执贰份，经双方签字盖章后生效。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4.附件：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附件一  机场公司业务外包项目考核标准</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附件二  杭州萧山国际机场有限公司廉洁自律承诺书</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r>
        <w:rPr>
          <w:rFonts w:hint="eastAsia" w:ascii="宋体" w:hAnsi="宋体" w:cs="Calibri"/>
          <w:sz w:val="22"/>
        </w:rPr>
        <w:t>甲方：杭州萧山国际机场有限公司       乙方：</w:t>
      </w:r>
    </w:p>
    <w:p>
      <w:pPr>
        <w:adjustRightInd w:val="0"/>
        <w:snapToGrid w:val="0"/>
        <w:spacing w:line="360" w:lineRule="exact"/>
        <w:rPr>
          <w:rFonts w:ascii="宋体" w:hAnsi="宋体" w:cs="Calibri"/>
          <w:sz w:val="22"/>
        </w:rPr>
      </w:pPr>
      <w:r>
        <w:rPr>
          <w:rFonts w:hint="eastAsia" w:ascii="宋体" w:hAnsi="宋体" w:cs="Calibri"/>
          <w:sz w:val="22"/>
        </w:rPr>
        <w:t>（签章）                             （签章）</w:t>
      </w:r>
    </w:p>
    <w:p>
      <w:pPr>
        <w:adjustRightInd w:val="0"/>
        <w:snapToGrid w:val="0"/>
        <w:spacing w:line="360" w:lineRule="exact"/>
        <w:rPr>
          <w:rFonts w:ascii="宋体" w:hAnsi="宋体" w:cs="Calibri"/>
          <w:sz w:val="22"/>
        </w:rPr>
      </w:pPr>
      <w:r>
        <w:rPr>
          <w:rFonts w:hint="eastAsia" w:ascii="宋体" w:hAnsi="宋体" w:cs="Calibri"/>
          <w:sz w:val="22"/>
        </w:rPr>
        <w:t>法定（授权）代表人：                 法定（授权）代表人：</w:t>
      </w:r>
    </w:p>
    <w:p>
      <w:pPr>
        <w:adjustRightInd w:val="0"/>
        <w:snapToGrid w:val="0"/>
        <w:spacing w:line="360" w:lineRule="exact"/>
        <w:rPr>
          <w:rFonts w:ascii="宋体" w:hAnsi="宋体" w:cs="Calibri"/>
          <w:sz w:val="22"/>
        </w:rPr>
      </w:pPr>
      <w:r>
        <w:rPr>
          <w:rFonts w:hint="eastAsia" w:ascii="宋体" w:hAnsi="宋体" w:cs="Calibri"/>
          <w:sz w:val="22"/>
        </w:rPr>
        <w:t>（签字）                             （签字）</w:t>
      </w:r>
    </w:p>
    <w:p>
      <w:pPr>
        <w:adjustRightInd w:val="0"/>
        <w:snapToGrid w:val="0"/>
        <w:spacing w:line="360" w:lineRule="exact"/>
        <w:rPr>
          <w:rFonts w:ascii="宋体" w:hAnsi="宋体" w:cs="Calibri"/>
          <w:sz w:val="22"/>
        </w:rPr>
      </w:pPr>
      <w:r>
        <w:rPr>
          <w:rFonts w:hint="eastAsia" w:ascii="宋体" w:hAnsi="宋体" w:cs="Calibri"/>
          <w:sz w:val="22"/>
        </w:rPr>
        <w:t>地址：杭州萧山国际机场               地址：</w:t>
      </w:r>
    </w:p>
    <w:p>
      <w:pPr>
        <w:adjustRightInd w:val="0"/>
        <w:snapToGrid w:val="0"/>
        <w:spacing w:line="360" w:lineRule="exact"/>
        <w:rPr>
          <w:rFonts w:ascii="宋体" w:hAnsi="宋体" w:cs="Calibri"/>
          <w:sz w:val="22"/>
        </w:rPr>
      </w:pPr>
      <w:r>
        <w:rPr>
          <w:rFonts w:hint="eastAsia" w:ascii="宋体" w:hAnsi="宋体" w:cs="Calibri"/>
          <w:sz w:val="22"/>
        </w:rPr>
        <w:t>电话：0571-86662361                  电话：</w:t>
      </w:r>
    </w:p>
    <w:p>
      <w:pPr>
        <w:adjustRightInd w:val="0"/>
        <w:snapToGrid w:val="0"/>
        <w:spacing w:line="360" w:lineRule="exact"/>
        <w:rPr>
          <w:rFonts w:ascii="宋体" w:hAnsi="宋体" w:cs="Calibri"/>
          <w:sz w:val="22"/>
        </w:rPr>
      </w:pPr>
      <w:r>
        <w:rPr>
          <w:rFonts w:hint="eastAsia" w:ascii="宋体" w:hAnsi="宋体" w:cs="Calibri"/>
          <w:sz w:val="22"/>
        </w:rPr>
        <w:t>传真：0571-86661149                  传真：</w:t>
      </w:r>
    </w:p>
    <w:p>
      <w:pPr>
        <w:adjustRightInd w:val="0"/>
        <w:snapToGrid w:val="0"/>
        <w:spacing w:line="360" w:lineRule="exact"/>
        <w:rPr>
          <w:rFonts w:ascii="宋体" w:hAnsi="宋体" w:cs="Calibri"/>
          <w:sz w:val="22"/>
        </w:rPr>
      </w:pPr>
      <w:r>
        <w:rPr>
          <w:rFonts w:hint="eastAsia" w:ascii="宋体" w:hAnsi="宋体" w:cs="Calibri"/>
          <w:sz w:val="22"/>
        </w:rPr>
        <w:t>开户行：工行杭州空港城支行           开户行：</w:t>
      </w:r>
    </w:p>
    <w:p>
      <w:pPr>
        <w:adjustRightInd w:val="0"/>
        <w:snapToGrid w:val="0"/>
        <w:spacing w:line="360" w:lineRule="exact"/>
        <w:rPr>
          <w:rFonts w:ascii="宋体" w:hAnsi="宋体" w:cs="Calibri"/>
          <w:sz w:val="22"/>
        </w:rPr>
      </w:pPr>
      <w:r>
        <w:rPr>
          <w:rFonts w:hint="eastAsia" w:ascii="宋体" w:hAnsi="宋体" w:cs="Calibri"/>
          <w:sz w:val="22"/>
        </w:rPr>
        <w:t>账号：1202050209904601740            账号：</w:t>
      </w:r>
    </w:p>
    <w:p>
      <w:pPr>
        <w:adjustRightInd w:val="0"/>
        <w:snapToGrid w:val="0"/>
        <w:spacing w:line="360" w:lineRule="exact"/>
        <w:rPr>
          <w:rFonts w:ascii="宋体" w:hAnsi="宋体" w:cs="Calibri"/>
          <w:sz w:val="22"/>
        </w:rPr>
      </w:pPr>
      <w:r>
        <w:rPr>
          <w:rFonts w:hint="eastAsia" w:ascii="宋体" w:hAnsi="宋体" w:cs="Calibri"/>
          <w:sz w:val="22"/>
        </w:rPr>
        <w:t>签订日期：2019年   月   日          2019年   月   日</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p/>
    <w:p/>
    <w:p/>
    <w:p/>
    <w:p/>
    <w:p>
      <w:pPr>
        <w:pageBreakBefore/>
        <w:numPr>
          <w:ilvl w:val="255"/>
          <w:numId w:val="0"/>
        </w:numPr>
        <w:rPr>
          <w:rFonts w:ascii="宋体" w:hAnsi="宋体" w:cs="宋体"/>
          <w:b/>
          <w:bCs/>
          <w:sz w:val="28"/>
          <w:szCs w:val="28"/>
        </w:rPr>
      </w:pPr>
      <w:r>
        <w:rPr>
          <w:rFonts w:hint="eastAsia" w:ascii="宋体" w:hAnsi="宋体" w:cs="宋体"/>
          <w:b/>
          <w:bCs/>
          <w:sz w:val="28"/>
          <w:szCs w:val="28"/>
        </w:rPr>
        <w:t>附件：</w:t>
      </w:r>
    </w:p>
    <w:p>
      <w:pPr>
        <w:numPr>
          <w:ilvl w:val="255"/>
          <w:numId w:val="0"/>
        </w:numPr>
        <w:jc w:val="center"/>
        <w:rPr>
          <w:rFonts w:ascii="宋体" w:hAnsi="宋体" w:cs="宋体"/>
          <w:b/>
          <w:bCs/>
          <w:sz w:val="28"/>
          <w:szCs w:val="28"/>
        </w:rPr>
      </w:pPr>
      <w:r>
        <w:rPr>
          <w:rFonts w:hint="eastAsia" w:ascii="宋体" w:hAnsi="宋体" w:cs="宋体"/>
          <w:b/>
          <w:bCs/>
          <w:sz w:val="28"/>
          <w:szCs w:val="28"/>
        </w:rPr>
        <w:t>机场公司业务外包项目考核标准</w:t>
      </w:r>
    </w:p>
    <w:tbl>
      <w:tblPr>
        <w:tblStyle w:val="1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jc w:val="center"/>
              <w:rPr>
                <w:rFonts w:ascii="宋体" w:hAnsi="宋体"/>
                <w:b/>
                <w:color w:val="000000"/>
              </w:rPr>
            </w:pPr>
            <w:r>
              <w:rPr>
                <w:rFonts w:hint="eastAsia" w:ascii="宋体" w:hAnsi="宋体"/>
                <w:b/>
                <w:color w:val="000000"/>
              </w:rPr>
              <w:t>考核内容</w:t>
            </w:r>
          </w:p>
        </w:tc>
        <w:tc>
          <w:tcPr>
            <w:tcW w:w="5812" w:type="dxa"/>
            <w:vMerge w:val="restart"/>
            <w:shd w:val="clear" w:color="auto" w:fill="auto"/>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ind w:right="30"/>
              <w:jc w:val="center"/>
              <w:rPr>
                <w:rFonts w:ascii="宋体" w:hAnsi="宋体" w:cs="微软雅黑"/>
                <w:b/>
                <w:color w:val="000000"/>
              </w:rPr>
            </w:pPr>
            <w:r>
              <w:rPr>
                <w:rFonts w:hint="eastAsia" w:ascii="宋体" w:hAnsi="宋体" w:cs="微软雅黑"/>
                <w:b/>
                <w:color w:val="000000"/>
              </w:rPr>
              <w:t>安全及否定指标</w:t>
            </w:r>
          </w:p>
        </w:tc>
        <w:tc>
          <w:tcPr>
            <w:tcW w:w="5812" w:type="dxa"/>
            <w:vMerge w:val="continue"/>
            <w:shd w:val="clear" w:color="auto" w:fill="auto"/>
            <w:vAlign w:val="center"/>
          </w:tcPr>
          <w:p>
            <w:pPr>
              <w:spacing w:line="259" w:lineRule="auto"/>
              <w:jc w:val="center"/>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承包商存在责任原因造成的恐怖事件、生产安全事故、消防安全事故等重大事件，给甲方造成损失</w:t>
            </w:r>
          </w:p>
        </w:tc>
        <w:tc>
          <w:tcPr>
            <w:tcW w:w="5812" w:type="dxa"/>
            <w:vMerge w:val="restart"/>
            <w:shd w:val="clear" w:color="auto" w:fill="auto"/>
            <w:vAlign w:val="center"/>
          </w:tcPr>
          <w:p>
            <w:pPr>
              <w:spacing w:line="259" w:lineRule="auto"/>
              <w:rPr>
                <w:rFonts w:ascii="宋体" w:hAnsi="宋体"/>
                <w:color w:val="000000"/>
              </w:rPr>
            </w:pPr>
            <w:r>
              <w:rPr>
                <w:rFonts w:hint="eastAsia" w:ascii="宋体" w:hAnsi="宋体"/>
                <w:color w:val="000000"/>
              </w:rPr>
              <w:t>1.承包商承担主要责任的，一票否决，得0分。</w:t>
            </w:r>
          </w:p>
          <w:p>
            <w:pPr>
              <w:spacing w:line="259" w:lineRule="auto"/>
              <w:rPr>
                <w:rFonts w:ascii="宋体" w:hAnsi="宋体"/>
                <w:color w:val="000000"/>
              </w:rPr>
            </w:pPr>
            <w:r>
              <w:rPr>
                <w:rFonts w:hint="eastAsia" w:ascii="宋体" w:hAnsi="宋体"/>
                <w:color w:val="000000"/>
              </w:rPr>
              <w:t>2.承包商承担次要责任的，视情扣5-20分。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承包商责任原因造成各类不安全事件，事故症候等影响机场形象及造成甲方损失</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承包商责任原因造成的恶劣事件</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公司行为被查处的违法违纪事件</w:t>
            </w:r>
          </w:p>
        </w:tc>
        <w:tc>
          <w:tcPr>
            <w:tcW w:w="5812" w:type="dxa"/>
            <w:vMerge w:val="restart"/>
            <w:shd w:val="clear" w:color="auto" w:fill="auto"/>
            <w:vAlign w:val="center"/>
          </w:tcPr>
          <w:p>
            <w:pPr>
              <w:spacing w:line="259" w:lineRule="auto"/>
              <w:rPr>
                <w:rFonts w:ascii="宋体" w:hAnsi="宋体"/>
                <w:color w:val="000000"/>
              </w:rPr>
            </w:pPr>
            <w:r>
              <w:rPr>
                <w:rFonts w:hint="eastAsia" w:ascii="宋体" w:hAnsi="宋体"/>
                <w:color w:val="000000"/>
              </w:rPr>
              <w:t>1.承包商承担主要责任的，视情扣5-15分。</w:t>
            </w:r>
          </w:p>
          <w:p>
            <w:pPr>
              <w:spacing w:line="259" w:lineRule="auto"/>
              <w:rPr>
                <w:rFonts w:ascii="宋体" w:hAnsi="宋体"/>
                <w:color w:val="000000"/>
              </w:rPr>
            </w:pPr>
            <w:r>
              <w:rPr>
                <w:rFonts w:hint="eastAsia" w:ascii="宋体" w:hAnsi="宋体"/>
                <w:color w:val="000000"/>
              </w:rPr>
              <w:t>2承包商承担次要责任的，视情扣1-10分。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机场公司或上级主管单位或监管科室开具的各类整改单、告知书</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因承包商责任原因造成航班延误、复飞等影响航班生产正常性的事件</w:t>
            </w:r>
          </w:p>
        </w:tc>
        <w:tc>
          <w:tcPr>
            <w:tcW w:w="5812" w:type="dxa"/>
            <w:vMerge w:val="continue"/>
            <w:shd w:val="clear" w:color="auto" w:fill="auto"/>
            <w:vAlign w:val="center"/>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ind w:right="45"/>
              <w:jc w:val="center"/>
              <w:rPr>
                <w:rFonts w:ascii="宋体" w:hAnsi="宋体" w:cs="微软雅黑"/>
                <w:b/>
                <w:color w:val="000000"/>
              </w:rPr>
            </w:pPr>
            <w:r>
              <w:rPr>
                <w:rFonts w:hint="eastAsia" w:ascii="宋体" w:hAnsi="宋体" w:cs="微软雅黑"/>
                <w:b/>
                <w:color w:val="000000"/>
              </w:rPr>
              <w:t>人员管理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技术能力与资质</w:t>
            </w:r>
          </w:p>
        </w:tc>
        <w:tc>
          <w:tcPr>
            <w:tcW w:w="5812" w:type="dxa"/>
            <w:shd w:val="clear" w:color="auto" w:fill="auto"/>
            <w:vAlign w:val="center"/>
          </w:tcPr>
          <w:p>
            <w:pPr>
              <w:spacing w:line="259" w:lineRule="auto"/>
              <w:rPr>
                <w:rFonts w:ascii="宋体" w:hAnsi="宋体"/>
                <w:color w:val="000000"/>
              </w:rPr>
            </w:pPr>
            <w:r>
              <w:rPr>
                <w:rFonts w:hint="eastAsia"/>
              </w:rPr>
              <w:t>维保人员</w:t>
            </w:r>
            <w:r>
              <w:rPr>
                <w:rFonts w:hint="eastAsia" w:ascii="宋体" w:hAnsi="宋体"/>
                <w:color w:val="000000"/>
              </w:rPr>
              <w:t>技术能力或资质（证书、身高、性别等合同约定内容</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widowControl/>
              <w:spacing w:line="276" w:lineRule="auto"/>
              <w:rPr>
                <w:rFonts w:ascii="宋体" w:hAnsi="宋体"/>
                <w:color w:val="000000"/>
              </w:rPr>
            </w:pPr>
            <w:r>
              <w:rPr>
                <w:rFonts w:hint="eastAsia" w:ascii="宋体" w:hAnsi="宋体"/>
                <w:color w:val="000000"/>
              </w:rPr>
              <w:t>精神面貌与形象</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维保人员工作中态度消极，未按规定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仪表不</w:t>
            </w:r>
            <w:r>
              <w:rPr>
                <w:rFonts w:ascii="宋体" w:hAnsi="宋体"/>
                <w:color w:val="000000"/>
              </w:rPr>
              <w:t>得体</w:t>
            </w:r>
            <w:r>
              <w:rPr>
                <w:rFonts w:hint="eastAsia" w:ascii="宋体" w:hAnsi="宋体"/>
                <w:color w:val="000000"/>
              </w:rPr>
              <w:t>，每次扣1分。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人员劳务及薪酬关系</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维保人员未与承包商签订劳动合同，履行国家相关法律法规的义务，未按投标</w:t>
            </w:r>
            <w:r>
              <w:rPr>
                <w:rFonts w:ascii="宋体" w:hAnsi="宋体"/>
                <w:color w:val="000000"/>
              </w:rPr>
              <w:t>承诺发放工资薪酬，</w:t>
            </w:r>
            <w:r>
              <w:rPr>
                <w:rFonts w:hint="eastAsia" w:ascii="宋体" w:hAnsi="宋体"/>
                <w:color w:val="000000"/>
              </w:rPr>
              <w:t>每次扣2分。</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人员培训及上岗考核</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未对常驻机场的维保人员进行岗前培训考核或安全、消防和应急相关培训的，每次扣1分。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人员行为规范</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发现承包商或维保人员存在廉洁，或违反基本的道德准则，或违反法律法规和机场相关规章制度的，每次扣2分。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人员作业安排情况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未按合约要求或未根据监管单位需要进行及时调整维保人员的作业安排，每次扣1分。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人员工作配合情况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承包商或维保人员不服从监管单位管理的，或不配合监管单位完成其他工作任务的，每次次扣2分。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质量管理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jc w:val="center"/>
              <w:rPr>
                <w:rFonts w:ascii="宋体" w:hAnsi="宋体"/>
                <w:color w:val="000000"/>
              </w:rPr>
            </w:pPr>
            <w:r>
              <w:rPr>
                <w:rFonts w:hint="eastAsia" w:ascii="宋体" w:hAnsi="宋体" w:cs="微软雅黑"/>
                <w:b/>
                <w:color w:val="000000"/>
              </w:rPr>
              <w:t>设备维保类</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台账、资料管理质量</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未对维保设备的台账、资料进行合理管理或未按要求填写台账（漏填、不填等），或未按时提交符合实际情况的季度、年度设备运行数据分析报告，每次发生扣1分。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设备修复率</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设备的修复率未达到合约要求的，每次扣2分。若出现责任原因造成的重复故障，则每次扣1分。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现场工作环境维护</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未对作业后的场所或区域进行卫生打扫的，每次发生扣1分。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维修标准</w:t>
            </w:r>
            <w:r>
              <w:rPr>
                <w:rFonts w:ascii="宋体" w:hAnsi="宋体" w:cs="微软雅黑"/>
                <w:color w:val="000000"/>
              </w:rPr>
              <w:t>/</w:t>
            </w:r>
            <w:r>
              <w:rPr>
                <w:rFonts w:hint="eastAsia" w:ascii="宋体" w:hAnsi="宋体" w:cs="微软雅黑"/>
                <w:color w:val="000000"/>
              </w:rPr>
              <w:t>设备正常率</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设备的</w:t>
            </w:r>
            <w:r>
              <w:rPr>
                <w:rFonts w:hint="eastAsia" w:ascii="宋体" w:hAnsi="宋体" w:cs="微软雅黑"/>
                <w:color w:val="000000"/>
              </w:rPr>
              <w:t>维修标准</w:t>
            </w:r>
            <w:r>
              <w:rPr>
                <w:rFonts w:ascii="宋体" w:hAnsi="宋体" w:cs="微软雅黑"/>
                <w:color w:val="000000"/>
              </w:rPr>
              <w:t>/</w:t>
            </w:r>
            <w:r>
              <w:rPr>
                <w:rFonts w:hint="eastAsia" w:ascii="宋体" w:hAnsi="宋体" w:cs="微软雅黑"/>
                <w:color w:val="000000"/>
              </w:rPr>
              <w:t>设备正常率</w:t>
            </w:r>
            <w:r>
              <w:rPr>
                <w:rFonts w:hint="eastAsia" w:ascii="宋体" w:hAnsi="宋体"/>
                <w:color w:val="000000"/>
              </w:rPr>
              <w:t>未达到合约要求的，每次扣5分。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设备修复速度</w:t>
            </w:r>
          </w:p>
        </w:tc>
        <w:tc>
          <w:tcPr>
            <w:tcW w:w="5812" w:type="dxa"/>
            <w:shd w:val="clear" w:color="auto" w:fill="auto"/>
            <w:vAlign w:val="center"/>
          </w:tcPr>
          <w:p>
            <w:pPr>
              <w:spacing w:line="259" w:lineRule="auto"/>
              <w:ind w:right="45"/>
              <w:rPr>
                <w:rFonts w:ascii="宋体" w:hAnsi="宋体" w:cs="微软雅黑"/>
                <w:color w:val="000000"/>
              </w:rPr>
            </w:pPr>
            <w:r>
              <w:rPr>
                <w:rFonts w:hint="eastAsia" w:ascii="宋体" w:hAnsi="宋体"/>
                <w:color w:val="000000"/>
              </w:rPr>
              <w:t>设备的修复速度未达到合约要求的，每次扣2分。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应急事件处理质量</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对应急事件处理未达到规定要求或不够及时的，第一次发生扣2分，若发生处置不当造成损失的，则视情扣3-5分。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安全管理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人员证件管理</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未重视安全工作，未对领取的通行证件进行有效保管的或取用后未按时归还的，每次扣1分。发生通行证相关不安全或治安事件的，视情扣5-10分，特别严重的按照“安全及否定指标”执行。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安保测试及应急演练情况</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组织安保测试和应急演练，或在机场公司组织的安保测试和应急演练中承包商表现良好的视情加0.5-2分（不累加），其中受到表彰的加2分。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安全文件制度管理</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未针对机场维保作业制定或及时更新相关安全管理制度的，扣0.5分。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过程管理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s="微软雅黑"/>
                <w:color w:val="000000"/>
              </w:rPr>
            </w:pPr>
            <w:r>
              <w:rPr>
                <w:rFonts w:hint="eastAsia" w:ascii="宋体" w:hAnsi="宋体" w:cs="微软雅黑"/>
                <w:color w:val="000000"/>
              </w:rPr>
              <w:t>工作计划方案制定、更新及执行</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未根据监管单位要求制定具体工作计划的，每次扣0.5分。</w:t>
            </w:r>
          </w:p>
          <w:p>
            <w:pPr>
              <w:spacing w:line="259" w:lineRule="auto"/>
              <w:ind w:left="2"/>
              <w:rPr>
                <w:rFonts w:ascii="宋体" w:hAnsi="宋体"/>
                <w:color w:val="000000"/>
              </w:rPr>
            </w:pPr>
            <w:r>
              <w:rPr>
                <w:rFonts w:hint="eastAsia" w:ascii="宋体" w:hAnsi="宋体"/>
                <w:color w:val="000000"/>
              </w:rPr>
              <w:t>未按计划执行的，每次扣0.5分。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设备巡视检查情况</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未建立工作巡查机制或工作巡查不尽职，走形式，不到位，每次扣0.5分。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设备周期性维保作业情况</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维保作业不认真、不到位，每次扣1分。</w:t>
            </w:r>
          </w:p>
          <w:p>
            <w:pPr>
              <w:spacing w:line="259" w:lineRule="auto"/>
              <w:ind w:left="2"/>
              <w:rPr>
                <w:rFonts w:ascii="宋体" w:hAnsi="宋体"/>
                <w:color w:val="000000"/>
              </w:rPr>
            </w:pPr>
            <w:r>
              <w:rPr>
                <w:rFonts w:hint="eastAsia" w:ascii="宋体" w:hAnsi="宋体"/>
                <w:color w:val="000000"/>
              </w:rPr>
              <w:t>未按合约或计划如期进行设备维保，每次扣2分。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s="微软雅黑"/>
                <w:color w:val="000000"/>
              </w:rPr>
            </w:pPr>
            <w:r>
              <w:rPr>
                <w:rFonts w:hint="eastAsia" w:ascii="宋体" w:hAnsi="宋体" w:cs="微软雅黑"/>
                <w:color w:val="000000"/>
              </w:rPr>
              <w:t>工作进展及工作质量汇总情况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未给监管单位按时提交工作进展或工作季报、年度汇总的，每次扣0.5分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s="微软雅黑"/>
                <w:color w:val="000000"/>
              </w:rPr>
            </w:pPr>
            <w:r>
              <w:rPr>
                <w:rFonts w:hint="eastAsia" w:ascii="宋体" w:hAnsi="宋体" w:cs="微软雅黑"/>
                <w:color w:val="000000"/>
              </w:rPr>
              <w:t>现场发现的问题的处理和后续整改</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未及时和按要求对整改要求进行整改的，每次扣0.5分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资源配备管理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根据投标承诺足额配备人员</w:t>
            </w:r>
          </w:p>
        </w:tc>
        <w:tc>
          <w:tcPr>
            <w:tcW w:w="5812" w:type="dxa"/>
            <w:shd w:val="clear" w:color="auto" w:fill="auto"/>
            <w:vAlign w:val="center"/>
          </w:tcPr>
          <w:p>
            <w:pPr>
              <w:spacing w:line="259" w:lineRule="auto"/>
              <w:ind w:left="2"/>
              <w:rPr>
                <w:rFonts w:ascii="宋体" w:hAnsi="宋体"/>
                <w:color w:val="000000"/>
              </w:rPr>
            </w:pPr>
            <w:r>
              <w:rPr>
                <w:rFonts w:hint="eastAsia" w:ascii="宋体" w:hAnsi="宋体"/>
                <w:color w:val="000000"/>
              </w:rPr>
              <w:t>未按照要求配备规定人数或不满足工作需求的扣1分。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根据投标承诺提供设备及耗材等</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未按照要求配备对</w:t>
            </w:r>
            <w:r>
              <w:rPr>
                <w:rFonts w:hint="eastAsia" w:ascii="宋体" w:hAnsi="宋体" w:cs="微软雅黑"/>
                <w:color w:val="000000"/>
              </w:rPr>
              <w:t>常用具、消耗品、器材等进行配备的，每次扣1分。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耗材出入库管理和甲方托管设备维保</w:t>
            </w:r>
          </w:p>
        </w:tc>
        <w:tc>
          <w:tcPr>
            <w:tcW w:w="5812" w:type="dxa"/>
            <w:shd w:val="clear" w:color="auto" w:fill="auto"/>
            <w:vAlign w:val="center"/>
          </w:tcPr>
          <w:p>
            <w:pPr>
              <w:spacing w:line="259" w:lineRule="auto"/>
              <w:ind w:right="3"/>
              <w:rPr>
                <w:rFonts w:ascii="宋体" w:hAnsi="宋体"/>
                <w:color w:val="000000"/>
              </w:rPr>
            </w:pPr>
            <w:r>
              <w:rPr>
                <w:rFonts w:hint="eastAsia" w:ascii="宋体" w:hAnsi="宋体"/>
                <w:color w:val="000000"/>
              </w:rPr>
              <w:t>未按照要求建立配件仓库，并进行有效管理的，对进出库进行跟踪登记的，每次扣0.5分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s="微软雅黑"/>
                <w:color w:val="000000"/>
              </w:rPr>
              <w:t>项目资料和关键数据管理</w:t>
            </w:r>
          </w:p>
        </w:tc>
        <w:tc>
          <w:tcPr>
            <w:tcW w:w="5812" w:type="dxa"/>
            <w:shd w:val="clear" w:color="auto" w:fill="auto"/>
            <w:vAlign w:val="center"/>
          </w:tcPr>
          <w:p>
            <w:pPr>
              <w:spacing w:line="259" w:lineRule="auto"/>
              <w:ind w:right="3"/>
              <w:rPr>
                <w:rFonts w:ascii="宋体" w:hAnsi="宋体"/>
                <w:color w:val="000000"/>
              </w:rPr>
            </w:pPr>
            <w:r>
              <w:rPr>
                <w:rFonts w:hint="eastAsia" w:ascii="宋体" w:hAnsi="宋体"/>
                <w:color w:val="000000"/>
              </w:rPr>
              <w:t>未及时将履约中涉及到的技术资料变更提交监管单位的，每次扣1分。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s="微软雅黑"/>
                <w:b/>
                <w:color w:val="000000"/>
              </w:rPr>
            </w:pPr>
            <w:r>
              <w:rPr>
                <w:rFonts w:hint="eastAsia" w:ascii="宋体" w:hAnsi="宋体" w:cs="微软雅黑"/>
                <w:b/>
                <w:color w:val="000000"/>
              </w:rPr>
              <w:t>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用户满意度</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年度满意度得分高于95分的，视情加2-5分。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服务投诉</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承包商发生投诉，每次扣1分。造成不良影响的，根据情况视情扣2-5分。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上季度问题或监管提示整改情况</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上季度问题或监管提示整改无故未完成的每次扣2分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9" w:lineRule="auto"/>
              <w:rPr>
                <w:rFonts w:ascii="宋体" w:hAnsi="宋体"/>
                <w:color w:val="000000"/>
              </w:rPr>
            </w:pPr>
            <w:r>
              <w:rPr>
                <w:rFonts w:hint="eastAsia" w:ascii="宋体" w:hAnsi="宋体"/>
                <w:color w:val="000000"/>
              </w:rPr>
              <w:t>承包商联系会议制度及沟通机制</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召开各类联系会议或建立有效联络机制，视情加0.5-2分。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9061" w:type="dxa"/>
            <w:gridSpan w:val="2"/>
            <w:shd w:val="clear" w:color="auto" w:fill="auto"/>
            <w:vAlign w:val="center"/>
          </w:tcPr>
          <w:p>
            <w:pPr>
              <w:spacing w:line="259" w:lineRule="auto"/>
              <w:jc w:val="center"/>
              <w:rPr>
                <w:rFonts w:ascii="宋体" w:hAnsi="宋体"/>
                <w:color w:val="000000"/>
              </w:rPr>
            </w:pPr>
            <w:r>
              <w:rPr>
                <w:rFonts w:hint="eastAsia" w:ascii="宋体" w:hAnsi="宋体" w:cs="微软雅黑"/>
                <w:b/>
                <w:color w:val="000000"/>
              </w:rPr>
              <w:t>加分项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好人好事及表扬</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外包监管过程中，受到表彰表扬，每次加1分。获评年度优秀承包商的，年度考核得分加 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提出可行性建议</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承包商提出的可行性方案最终落地的，每次加2分。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提前发现隐患并予以改正</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承包商发现隐患并及时对其进行改进的，每次加2分。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其他管理创新、特色模式</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承包商在针对机场维保工作中有创新创优，提出有特色的管理方式并被采用的，视情加1-10分。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3" w:hRule="atLeast"/>
          <w:jc w:val="center"/>
        </w:trPr>
        <w:tc>
          <w:tcPr>
            <w:tcW w:w="3249" w:type="dxa"/>
            <w:shd w:val="clear" w:color="auto" w:fill="auto"/>
            <w:vAlign w:val="center"/>
          </w:tcPr>
          <w:p>
            <w:pPr>
              <w:spacing w:line="252" w:lineRule="auto"/>
              <w:rPr>
                <w:rFonts w:ascii="宋体" w:hAnsi="宋体"/>
                <w:color w:val="000000"/>
              </w:rPr>
            </w:pPr>
            <w:r>
              <w:rPr>
                <w:rFonts w:hint="eastAsia" w:ascii="宋体" w:hAnsi="宋体"/>
                <w:color w:val="000000"/>
              </w:rPr>
              <w:t>其他加减分规定</w:t>
            </w:r>
          </w:p>
        </w:tc>
        <w:tc>
          <w:tcPr>
            <w:tcW w:w="5812" w:type="dxa"/>
            <w:shd w:val="clear" w:color="auto" w:fill="auto"/>
            <w:vAlign w:val="center"/>
          </w:tcPr>
          <w:p>
            <w:pPr>
              <w:spacing w:line="259" w:lineRule="auto"/>
              <w:rPr>
                <w:rFonts w:ascii="宋体" w:hAnsi="宋体"/>
                <w:color w:val="000000"/>
              </w:rPr>
            </w:pPr>
            <w:r>
              <w:rPr>
                <w:rFonts w:hint="eastAsia" w:ascii="宋体" w:hAnsi="宋体"/>
                <w:color w:val="000000"/>
              </w:rPr>
              <w:t>每季度承包商因培训、演练、会议相关内容加分不超过3分。</w:t>
            </w:r>
          </w:p>
          <w:p>
            <w:pPr>
              <w:spacing w:line="259" w:lineRule="auto"/>
              <w:rPr>
                <w:rFonts w:ascii="宋体" w:hAnsi="宋体"/>
                <w:color w:val="000000"/>
              </w:rPr>
            </w:pPr>
            <w:r>
              <w:rPr>
                <w:rFonts w:hint="eastAsia" w:ascii="宋体" w:hAnsi="宋体"/>
                <w:color w:val="000000"/>
              </w:rPr>
              <w:t>考核表中单项扣分不设上限。</w:t>
            </w:r>
          </w:p>
        </w:tc>
      </w:tr>
    </w:tbl>
    <w:p>
      <w:pPr>
        <w:numPr>
          <w:ilvl w:val="255"/>
          <w:numId w:val="0"/>
        </w:numPr>
        <w:rPr>
          <w:rFonts w:ascii="宋体" w:hAnsi="宋体" w:cs="宋体"/>
          <w:b/>
          <w:bCs/>
          <w:sz w:val="28"/>
          <w:szCs w:val="28"/>
        </w:rPr>
      </w:pPr>
    </w:p>
    <w:p>
      <w:pPr>
        <w:numPr>
          <w:ilvl w:val="255"/>
          <w:numId w:val="0"/>
        </w:numPr>
        <w:rPr>
          <w:rFonts w:ascii="宋体" w:hAnsi="宋体" w:cs="宋体"/>
          <w:b/>
          <w:bCs/>
          <w:sz w:val="28"/>
          <w:szCs w:val="28"/>
        </w:rPr>
      </w:pPr>
    </w:p>
    <w:p>
      <w:pPr>
        <w:adjustRightInd w:val="0"/>
        <w:snapToGrid w:val="0"/>
        <w:jc w:val="left"/>
        <w:rPr>
          <w:rFonts w:cs="Calibri"/>
          <w:b/>
          <w:szCs w:val="21"/>
        </w:rPr>
      </w:pPr>
    </w:p>
    <w:p>
      <w:pPr>
        <w:pageBreakBefore/>
        <w:numPr>
          <w:ilvl w:val="255"/>
          <w:numId w:val="0"/>
        </w:numPr>
        <w:rPr>
          <w:rFonts w:ascii="宋体" w:hAnsi="宋体" w:cs="宋体"/>
          <w:b/>
          <w:bCs/>
          <w:sz w:val="28"/>
          <w:szCs w:val="28"/>
        </w:rPr>
      </w:pPr>
      <w:r>
        <w:rPr>
          <w:rFonts w:hint="eastAsia" w:ascii="宋体" w:hAnsi="宋体" w:cs="宋体"/>
          <w:b/>
          <w:bCs/>
          <w:sz w:val="28"/>
          <w:szCs w:val="28"/>
        </w:rPr>
        <w:t>附件：</w:t>
      </w:r>
    </w:p>
    <w:p>
      <w:pPr>
        <w:jc w:val="center"/>
        <w:rPr>
          <w:rFonts w:ascii="宋体" w:hAns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rPr>
          <w:rFonts w:ascii="宋体" w:hAns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立即取消我单位投标、中标或在建项目的实施资格；</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拒绝我单位在一定时期内进入贵公司进行项目建设或其它经营活动；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由此引起的相应损失均由我单位承担。</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承诺人单位名称（盖章）：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法定代表人 ：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或                            </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委托代理人：                   </w:t>
      </w:r>
    </w:p>
    <w:p>
      <w:pPr>
        <w:adjustRightInd w:val="0"/>
        <w:snapToGrid w:val="0"/>
        <w:spacing w:line="360" w:lineRule="exact"/>
        <w:ind w:firstLine="440" w:firstLineChars="200"/>
        <w:rPr>
          <w:rFonts w:ascii="宋体" w:hAnsi="宋体" w:cs="Calibri"/>
          <w:sz w:val="22"/>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签订日期：　年  月  日</w:t>
      </w:r>
    </w:p>
    <w:p>
      <w:pPr>
        <w:adjustRightInd w:val="0"/>
        <w:snapToGrid w:val="0"/>
        <w:spacing w:line="360" w:lineRule="exact"/>
        <w:rPr>
          <w:rFonts w:ascii="宋体" w:hAnsi="宋体" w:cs="Calibri"/>
          <w:sz w:val="22"/>
        </w:rPr>
      </w:pPr>
    </w:p>
    <w:p/>
    <w:p/>
    <w:p/>
    <w:p>
      <w:pPr>
        <w:pStyle w:val="4"/>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jc w:val="center"/>
        <w:rPr>
          <w:rFonts w:ascii="Calibri" w:hAnsi="Calibri" w:eastAsia="黑体" w:cs="Calibri"/>
          <w:kern w:val="0"/>
          <w:sz w:val="32"/>
        </w:rPr>
      </w:pPr>
      <w:bookmarkStart w:id="114" w:name="_Toc321925456"/>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4"/>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hint="eastAsia"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3.3.1评标委员会按照经评审的价格由低到高的顺序推荐中标候选人，本工程推荐2名中标候选人。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、中国裁判文书网http://wenshu.court.gov.cn查询结果证材料。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（3）现场机构、人力、物资设备配置；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（5）运行、安全、服务等相关管理方案；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（6）对本项目的实施意见及重点、难点控制；</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（8）投入到本项目的项目负责人、其他人员的情况汇总表及业绩、经历、能力介绍、资格证明材料及人员到位率的承诺；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（9）投入本项目服务的仪器、仪表、设备及交通工具汇总表。</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账    号：</w:t>
      </w:r>
    </w:p>
    <w:p>
      <w:pPr>
        <w:snapToGrid w:val="0"/>
        <w:spacing w:line="360" w:lineRule="auto"/>
        <w:ind w:firstLine="3600" w:firstLineChars="1500"/>
        <w:rPr>
          <w:rFonts w:cs="Calibri" w:asciiTheme="minorEastAsia" w:hAnsiTheme="minorEastAsia" w:eastAsiaTheme="minorEastAsia"/>
          <w:color w:val="000000"/>
          <w:sz w:val="24"/>
        </w:rPr>
      </w:pPr>
      <w:r>
        <w:rPr>
          <w:rFonts w:hint="eastAsia" w:cs="Calibri" w:asciiTheme="minorEastAsia" w:hAnsiTheme="minorEastAsia" w:eastAsiaTheme="minorEastAsia"/>
          <w:color w:val="000000"/>
          <w:sz w:val="24"/>
        </w:rPr>
        <w:t>日    期：    年     月     日</w:t>
      </w:r>
    </w:p>
    <w:p>
      <w:pPr>
        <w:pageBreakBefore/>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jc w:val="right"/>
        <w:rPr>
          <w:rFonts w:ascii="宋体" w:hAnsi="宋体" w:cs="宋体"/>
          <w:bCs/>
          <w:sz w:val="24"/>
          <w:szCs w:val="24"/>
        </w:rPr>
      </w:pPr>
      <w:r>
        <w:rPr>
          <w:rFonts w:hint="eastAsia" w:ascii="宋体" w:hAnsi="宋体" w:cs="宋体"/>
          <w:bCs/>
          <w:sz w:val="24"/>
          <w:szCs w:val="24"/>
        </w:rPr>
        <w:t>单位：  万元</w:t>
      </w:r>
    </w:p>
    <w:tbl>
      <w:tblPr>
        <w:tblStyle w:val="13"/>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29"/>
        <w:gridCol w:w="1788"/>
        <w:gridCol w:w="1781"/>
        <w:gridCol w:w="1719"/>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序号</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费用名称</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数量</w:t>
            </w: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单价（含税价）</w:t>
            </w: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总价（含税价）</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维护维修人工费（一年四次维保）</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备品备件材料费用（2000元含以下）</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其他</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05"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一年总报价</w:t>
            </w:r>
            <w:r>
              <w:rPr>
                <w:rFonts w:hint="eastAsia" w:ascii="宋体" w:hAnsi="宋体" w:cs="宋体"/>
                <w:sz w:val="24"/>
                <w:szCs w:val="24"/>
                <w:lang w:val="zh-CN"/>
              </w:rPr>
              <w:t xml:space="preserve">（万元）大写：                       </w:t>
            </w:r>
            <w:r>
              <w:rPr>
                <w:rFonts w:hint="eastAsia" w:ascii="宋体" w:hAnsi="宋体" w:cs="宋体"/>
                <w:sz w:val="24"/>
                <w:szCs w:val="24"/>
              </w:rPr>
              <w:t xml:space="preserve">  </w:t>
            </w:r>
            <w:r>
              <w:rPr>
                <w:rFonts w:hint="eastAsia" w:ascii="宋体" w:hAnsi="宋体" w:cs="宋体"/>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05"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三年总报价</w:t>
            </w:r>
            <w:r>
              <w:rPr>
                <w:rFonts w:hint="eastAsia" w:ascii="宋体" w:hAnsi="宋体" w:cs="宋体"/>
                <w:sz w:val="24"/>
                <w:szCs w:val="24"/>
                <w:lang w:val="zh-CN"/>
              </w:rPr>
              <w:t xml:space="preserve">（万元）大写：                       </w:t>
            </w:r>
            <w:r>
              <w:rPr>
                <w:rFonts w:hint="eastAsia" w:ascii="宋体" w:hAnsi="宋体" w:cs="宋体"/>
                <w:sz w:val="24"/>
                <w:szCs w:val="24"/>
              </w:rPr>
              <w:t xml:space="preserve">  </w:t>
            </w:r>
            <w:r>
              <w:rPr>
                <w:rFonts w:hint="eastAsia" w:ascii="宋体" w:hAnsi="宋体" w:cs="宋体"/>
                <w:sz w:val="24"/>
                <w:szCs w:val="24"/>
                <w:lang w:val="zh-CN"/>
              </w:rPr>
              <w:t xml:space="preserve"> ￥：</w:t>
            </w:r>
          </w:p>
        </w:tc>
      </w:tr>
    </w:tbl>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sz w:val="24"/>
          <w:szCs w:val="24"/>
        </w:rPr>
      </w:pPr>
      <w:r>
        <w:rPr>
          <w:rFonts w:hint="eastAsia" w:ascii="宋体" w:hAnsi="宋体" w:cs="宋体"/>
          <w:sz w:val="24"/>
          <w:szCs w:val="24"/>
        </w:rPr>
        <w:t>备注：</w:t>
      </w:r>
    </w:p>
    <w:p>
      <w:pPr>
        <w:adjustRightInd w:val="0"/>
        <w:snapToGrid w:val="0"/>
        <w:jc w:val="left"/>
        <w:rPr>
          <w:rFonts w:ascii="宋体" w:hAnsi="宋体" w:cs="宋体"/>
          <w:sz w:val="24"/>
          <w:szCs w:val="24"/>
        </w:rPr>
      </w:pPr>
      <w:r>
        <w:rPr>
          <w:rFonts w:hint="eastAsia" w:ascii="宋体" w:hAnsi="宋体" w:cs="宋体"/>
          <w:sz w:val="24"/>
          <w:szCs w:val="24"/>
        </w:rPr>
        <w:t>1.请投标单位另行附表明确“单次人工费”中所需的人数、维保所需时间以及“备品备件材料费”中所需的配件名称、数量、价格。</w:t>
      </w:r>
    </w:p>
    <w:p>
      <w:pPr>
        <w:adjustRightInd w:val="0"/>
        <w:snapToGrid w:val="0"/>
        <w:jc w:val="left"/>
        <w:rPr>
          <w:rFonts w:ascii="宋体" w:hAnsi="宋体" w:cs="宋体"/>
          <w:sz w:val="24"/>
          <w:szCs w:val="24"/>
        </w:rPr>
      </w:pPr>
      <w:r>
        <w:rPr>
          <w:rFonts w:hint="eastAsia" w:ascii="宋体" w:hAnsi="宋体" w:cs="宋体"/>
          <w:sz w:val="24"/>
          <w:szCs w:val="24"/>
        </w:rPr>
        <w:t>2.2000元以下（含）的备品备件计入投标总价，2000元以上的备品备件不计入投标总价。</w:t>
      </w:r>
    </w:p>
    <w:p>
      <w:pPr>
        <w:adjustRightInd w:val="0"/>
        <w:snapToGrid w:val="0"/>
        <w:jc w:val="left"/>
        <w:rPr>
          <w:rFonts w:ascii="宋体" w:hAnsi="宋体" w:cs="宋体"/>
          <w:sz w:val="24"/>
          <w:szCs w:val="24"/>
        </w:rPr>
      </w:pPr>
      <w:r>
        <w:rPr>
          <w:rFonts w:hint="eastAsia" w:ascii="宋体" w:hAnsi="宋体" w:cs="宋体"/>
          <w:sz w:val="24"/>
          <w:szCs w:val="24"/>
        </w:rPr>
        <w:t>3.本次报价要求均为含税价，税率为6%。</w:t>
      </w: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adjustRightInd w:val="0"/>
        <w:snapToGrid w:val="0"/>
        <w:jc w:val="left"/>
        <w:rPr>
          <w:rFonts w:ascii="宋体" w:hAnsi="宋体" w:cs="宋体"/>
          <w:b/>
          <w:sz w:val="24"/>
          <w:szCs w:val="24"/>
        </w:rPr>
      </w:pPr>
    </w:p>
    <w:p>
      <w:pPr>
        <w:snapToGrid w:val="0"/>
        <w:spacing w:line="440" w:lineRule="exact"/>
        <w:ind w:firstLine="4320" w:firstLineChars="1800"/>
        <w:rPr>
          <w:rFonts w:cs="Calibri"/>
          <w:color w:val="000000"/>
          <w:sz w:val="24"/>
          <w:szCs w:val="24"/>
        </w:rPr>
      </w:pPr>
      <w:r>
        <w:rPr>
          <w:rFonts w:cs="Calibri"/>
          <w:color w:val="000000"/>
          <w:sz w:val="24"/>
          <w:szCs w:val="24"/>
        </w:rPr>
        <w:t>投标人：（盖单位章）</w:t>
      </w:r>
    </w:p>
    <w:p>
      <w:pPr>
        <w:snapToGrid w:val="0"/>
        <w:spacing w:line="440" w:lineRule="exact"/>
        <w:ind w:firstLine="4320" w:firstLineChars="1800"/>
        <w:rPr>
          <w:rFonts w:cs="Calibri"/>
          <w:color w:val="000000"/>
          <w:sz w:val="24"/>
          <w:szCs w:val="24"/>
        </w:rPr>
      </w:pPr>
      <w:r>
        <w:rPr>
          <w:rFonts w:cs="Calibri"/>
          <w:color w:val="000000"/>
          <w:sz w:val="24"/>
          <w:szCs w:val="24"/>
        </w:rPr>
        <w:t>法定代表人或其委托代理人：（签字或盖章）</w:t>
      </w:r>
    </w:p>
    <w:p>
      <w:pPr>
        <w:snapToGrid w:val="0"/>
        <w:spacing w:line="440" w:lineRule="exact"/>
        <w:ind w:firstLine="4320" w:firstLineChars="1800"/>
        <w:rPr>
          <w:rFonts w:cs="Calibri"/>
          <w:color w:val="000000"/>
          <w:sz w:val="24"/>
          <w:szCs w:val="24"/>
        </w:rPr>
      </w:pPr>
      <w:r>
        <w:rPr>
          <w:rFonts w:cs="Calibri"/>
          <w:color w:val="000000"/>
          <w:sz w:val="24"/>
          <w:szCs w:val="24"/>
        </w:rPr>
        <w:t>日期：    年     月     日</w:t>
      </w:r>
    </w:p>
    <w:p>
      <w:pPr>
        <w:adjustRightInd w:val="0"/>
        <w:snapToGrid w:val="0"/>
        <w:jc w:val="left"/>
        <w:rPr>
          <w:rFonts w:ascii="宋体" w:hAnsi="宋体" w:cs="宋体"/>
          <w:b/>
          <w:sz w:val="24"/>
          <w:szCs w:val="24"/>
        </w:rPr>
      </w:pPr>
    </w:p>
    <w:p>
      <w:p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Bold">
    <w:altName w:val="宋体"/>
    <w:panose1 w:val="00000000000000000000"/>
    <w:charset w:val="86"/>
    <w:family w:val="auto"/>
    <w:pitch w:val="default"/>
    <w:sig w:usb0="00000000" w:usb1="00000000" w:usb2="00000010" w:usb3="00000000" w:csb0="00040000" w:csb1="00000000"/>
  </w:font>
  <w:font w:name="Arial,Bold">
    <w:altName w:val="Arial"/>
    <w:panose1 w:val="00000000000000000000"/>
    <w:charset w:val="00"/>
    <w:family w:val="roman"/>
    <w:pitch w:val="default"/>
    <w:sig w:usb0="00000000" w:usb1="00000000" w:usb2="00000000" w:usb3="00000000" w:csb0="0000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Symbo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6"/>
          <w:jc w:val="center"/>
        </w:pPr>
        <w:r>
          <w:fldChar w:fldCharType="begin"/>
        </w:r>
        <w:r>
          <w:instrText xml:space="preserve"> PAGE   \* MERGEFORMAT </w:instrText>
        </w:r>
        <w:r>
          <w:fldChar w:fldCharType="separate"/>
        </w:r>
        <w:r>
          <w:rPr>
            <w:lang w:val="zh-CN"/>
          </w:rPr>
          <w:t>-</w:t>
        </w:r>
        <w:r>
          <w:t xml:space="preserve"> 31 -</w:t>
        </w:r>
        <w:r>
          <w:fldChar w:fldCharType="end"/>
        </w:r>
      </w:p>
    </w:sdtContent>
  </w:sdt>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t>杭州萧山国际机场ASCO电力切换装置维保</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D8B1BFC"/>
    <w:multiLevelType w:val="singleLevel"/>
    <w:tmpl w:val="5D8B1BFC"/>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828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0">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2"/>
    <w:next w:val="1"/>
    <w:uiPriority w:val="0"/>
    <w:pPr>
      <w:tabs>
        <w:tab w:val="right" w:leader="dot" w:pos="8659"/>
      </w:tabs>
      <w:spacing w:before="0" w:after="0" w:line="240" w:lineRule="auto"/>
      <w:jc w:val="center"/>
    </w:pPr>
    <w:rPr>
      <w:b w:val="0"/>
      <w:sz w:val="21"/>
    </w:rPr>
  </w:style>
  <w:style w:type="paragraph" w:styleId="9">
    <w:name w:val="index 1"/>
    <w:basedOn w:val="1"/>
    <w:next w:val="1"/>
    <w:uiPriority w:val="0"/>
    <w:pPr>
      <w:spacing w:line="320" w:lineRule="exact"/>
    </w:pPr>
    <w:rPr>
      <w:rFonts w:ascii="Times New Roman" w:hAnsi="Times New Roman"/>
      <w:snapToGrid w:val="0"/>
      <w:color w:val="FF6600"/>
      <w:kern w:val="0"/>
      <w:sz w:val="18"/>
      <w:szCs w:val="21"/>
    </w:rPr>
  </w:style>
  <w:style w:type="character" w:styleId="11">
    <w:name w:val="page number"/>
    <w:uiPriority w:val="0"/>
  </w:style>
  <w:style w:type="character" w:styleId="12">
    <w:name w:val="Hyperlink"/>
    <w:uiPriority w:val="0"/>
    <w:rPr>
      <w:color w:val="0000FF"/>
      <w:u w:val="single"/>
    </w:rPr>
  </w:style>
  <w:style w:type="paragraph" w:customStyle="1" w:styleId="14">
    <w:name w:val="样式 标题 1 + (符号) Arial 三号"/>
    <w:basedOn w:val="2"/>
    <w:qFormat/>
    <w:uiPriority w:val="0"/>
    <w:pPr>
      <w:snapToGrid w:val="0"/>
      <w:spacing w:before="0" w:after="0" w:line="360" w:lineRule="auto"/>
    </w:pPr>
    <w:rPr>
      <w:sz w:val="32"/>
    </w:rPr>
  </w:style>
  <w:style w:type="character" w:customStyle="1" w:styleId="15">
    <w:name w:val="zbggmain style9"/>
    <w:qFormat/>
    <w:uiPriority w:val="0"/>
  </w:style>
  <w:style w:type="paragraph" w:customStyle="1" w:styleId="16">
    <w:name w:val="Char1"/>
    <w:basedOn w:val="1"/>
    <w:qFormat/>
    <w:uiPriority w:val="0"/>
    <w:pPr>
      <w:spacing w:line="360" w:lineRule="auto"/>
      <w:ind w:left="-2" w:leftChars="-1" w:firstLine="2"/>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李聪</cp:lastModifiedBy>
  <dcterms:modified xsi:type="dcterms:W3CDTF">2019-10-10T06:50:02Z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