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bCs/>
          <w:spacing w:val="60"/>
          <w:sz w:val="82"/>
          <w:szCs w:val="82"/>
        </w:rPr>
      </w:pPr>
      <w:r>
        <w:rPr>
          <w:rFonts w:hint="eastAsia" w:eastAsia="黑体" w:cs="Calibri"/>
          <w:b/>
          <w:sz w:val="44"/>
          <w:szCs w:val="44"/>
          <w:u w:val="single"/>
        </w:rPr>
        <w:t>T1T2T3航站楼楼宇自控系统及T2T3智能灯光系统维保</w:t>
      </w:r>
      <w:r>
        <w:rPr>
          <w:rFonts w:hint="eastAsia" w:eastAsia="黑体" w:cs="Calibri"/>
          <w:b/>
          <w:sz w:val="44"/>
          <w:szCs w:val="44"/>
        </w:rPr>
        <w:t>项目</w:t>
      </w:r>
    </w:p>
    <w:p>
      <w:pPr>
        <w:autoSpaceDE w:val="0"/>
        <w:autoSpaceDN w:val="0"/>
        <w:adjustRightInd w:val="0"/>
        <w:jc w:val="center"/>
        <w:rPr>
          <w:rFonts w:eastAsia="黑体" w:cs="Calibri"/>
          <w:b/>
          <w:sz w:val="44"/>
          <w:szCs w:val="44"/>
        </w:rPr>
      </w:pPr>
      <w:r>
        <w:rPr>
          <w:rFonts w:hint="eastAsia" w:eastAsia="黑体" w:cs="Calibri"/>
          <w:b/>
          <w:sz w:val="44"/>
          <w:szCs w:val="44"/>
        </w:rPr>
        <w:t xml:space="preserve">   </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rPr>
          <w:rFonts w:ascii="Calibri" w:hAnsi="Calibri" w:eastAsia="隶书" w:cs="Calibri"/>
          <w:sz w:val="32"/>
        </w:rPr>
      </w:pPr>
    </w:p>
    <w:p>
      <w:pPr>
        <w:pStyle w:val="1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十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27"/>
        <w:rPr>
          <w:rFonts w:ascii="Calibri" w:cs="Calibri"/>
          <w:b/>
          <w:color w:val="000000"/>
          <w:sz w:val="44"/>
        </w:rPr>
      </w:pPr>
      <w:bookmarkStart w:id="3" w:name="_Toc349007685"/>
      <w:bookmarkStart w:id="4" w:name="_Toc386363314"/>
      <w:bookmarkStart w:id="5" w:name="_Toc386359390"/>
      <w:bookmarkStart w:id="6" w:name="_Toc349011855"/>
      <w:r>
        <w:rPr>
          <w:rFonts w:hint="eastAsia" w:ascii="Calibri" w:cs="Calibri"/>
          <w:b/>
          <w:color w:val="000000"/>
          <w:sz w:val="44"/>
        </w:rPr>
        <w:t xml:space="preserve"> </w:t>
      </w:r>
    </w:p>
    <w:p>
      <w:pPr>
        <w:pStyle w:val="27"/>
        <w:rPr>
          <w:rFonts w:ascii="Calibri" w:hAnsi="Calibri" w:cs="Calibri"/>
          <w:b/>
          <w:color w:val="000000"/>
          <w:sz w:val="44"/>
        </w:rPr>
      </w:pPr>
      <w:bookmarkStart w:id="7" w:name="_Toc444811406"/>
      <w:bookmarkStart w:id="8" w:name="_Toc448002981"/>
      <w:bookmarkStart w:id="9" w:name="_Toc400369182"/>
      <w:bookmarkStart w:id="10" w:name="_Toc444173456"/>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27"/>
        <w:spacing w:line="480" w:lineRule="auto"/>
        <w:rPr>
          <w:rFonts w:ascii="黑体" w:hAnsi="黑体" w:eastAsia="黑体" w:cs="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27"/>
        <w:spacing w:line="480" w:lineRule="auto"/>
        <w:rPr>
          <w:rFonts w:ascii="黑体" w:hAnsi="黑体" w:eastAsia="黑体" w:cs="黑体"/>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黑体"/>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黑体"/>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黑体"/>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黑体"/>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27"/>
        <w:spacing w:line="480" w:lineRule="auto"/>
        <w:rPr>
          <w:rFonts w:ascii="黑体" w:hAnsi="黑体" w:eastAsia="黑体" w:cs="黑体"/>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7641"/>
      <w:bookmarkStart w:id="13" w:name="_Toc6832"/>
      <w:bookmarkStart w:id="14" w:name="_Toc24932"/>
      <w:bookmarkStart w:id="15" w:name="_Toc14628"/>
      <w:bookmarkStart w:id="16" w:name="_Toc18642"/>
      <w:bookmarkStart w:id="17" w:name="_Toc6581"/>
      <w:bookmarkStart w:id="18" w:name="_Toc8110"/>
      <w:bookmarkStart w:id="19" w:name="_Toc24784"/>
      <w:bookmarkStart w:id="20" w:name="_Toc22293"/>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w:t>
      </w:r>
      <w:r>
        <w:rPr>
          <w:rFonts w:hint="eastAsia" w:ascii="宋体" w:hAnsi="宋体" w:eastAsia="宋体" w:cs="Arial"/>
          <w:kern w:val="0"/>
          <w:sz w:val="22"/>
          <w:u w:val="single"/>
        </w:rPr>
        <w:t>T1T2T3航站楼楼宇自控系统及T2T3智能灯光系统维保项目</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 xml:space="preserve"> </w:t>
      </w:r>
      <w:r>
        <w:rPr>
          <w:rFonts w:hint="eastAsia" w:ascii="宋体" w:hAnsi="宋体" w:eastAsia="宋体" w:cs="Arial"/>
          <w:kern w:val="0"/>
          <w:sz w:val="22"/>
          <w:u w:val="single"/>
        </w:rPr>
        <w:t>T1T2T3航站楼楼宇自控系统及T2T3智能灯光系统维保项目</w:t>
      </w:r>
      <w:r>
        <w:rPr>
          <w:rFonts w:hint="eastAsia" w:ascii="宋体" w:hAnsi="宋体" w:cs="Arial"/>
          <w:kern w:val="0"/>
          <w:sz w:val="22"/>
          <w:u w:val="single"/>
        </w:rPr>
        <w:t xml:space="preserve">  </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该项业务为T1T2T3航站楼楼宇自控系统及T2T3智能灯光系统设备的咨询服务、常规维护保养、应急抢修等内容。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T1T2T3航站楼楼宇自控系统及T2T3智能灯光系统由五套系统组成，分别为：T1楼宇自控系统、T2楼宇自控系统、T3楼宇自控系统、T2智能灯光系统、T3智能灯光系统。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w:t>
      </w:r>
      <w:r>
        <w:rPr>
          <w:rFonts w:hint="eastAsia" w:ascii="宋体" w:hAnsi="宋体" w:eastAsia="宋体" w:cs="Arial"/>
          <w:kern w:val="0"/>
          <w:sz w:val="22"/>
          <w:u w:val="single"/>
        </w:rPr>
        <w:t>T1、T2、</w:t>
      </w:r>
      <w:r>
        <w:rPr>
          <w:rFonts w:hint="eastAsia" w:ascii="宋体" w:hAnsi="宋体" w:cs="Arial"/>
          <w:kern w:val="0"/>
          <w:sz w:val="22"/>
          <w:u w:val="single"/>
        </w:rPr>
        <w:t xml:space="preserve">T3航站楼 </w:t>
      </w:r>
      <w:r>
        <w:rPr>
          <w:rFonts w:ascii="宋体" w:hAnsi="宋体" w:cs="Arial"/>
          <w:kern w:val="0"/>
          <w:sz w:val="22"/>
        </w:rPr>
        <w:t>，</w:t>
      </w:r>
      <w:r>
        <w:rPr>
          <w:rFonts w:hint="eastAsia" w:ascii="宋体" w:hAnsi="宋体" w:cs="Arial"/>
          <w:kern w:val="0"/>
          <w:sz w:val="22"/>
        </w:rPr>
        <w:t>具体要求详见第三章“服务技术标准及要求”。</w:t>
      </w:r>
    </w:p>
    <w:p>
      <w:pPr>
        <w:widowControl/>
        <w:numPr>
          <w:ilvl w:val="0"/>
          <w:numId w:val="1"/>
        </w:numPr>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招标内容：</w:t>
      </w:r>
    </w:p>
    <w:p>
      <w:pPr>
        <w:pStyle w:val="92"/>
        <w:ind w:firstLine="0" w:firstLineChars="0"/>
        <w:jc w:val="left"/>
        <w:rPr>
          <w:rFonts w:ascii="宋体" w:hAnsi="宋体" w:cs="Arial"/>
          <w:kern w:val="0"/>
          <w:sz w:val="22"/>
          <w:szCs w:val="22"/>
        </w:rPr>
      </w:pPr>
      <w:r>
        <w:rPr>
          <w:rFonts w:hint="eastAsia" w:ascii="宋体" w:hAnsi="宋体" w:cs="Arial"/>
          <w:kern w:val="0"/>
          <w:sz w:val="22"/>
          <w:szCs w:val="22"/>
        </w:rPr>
        <w:t xml:space="preserve">     1.制定和编制维保计划</w:t>
      </w:r>
    </w:p>
    <w:p>
      <w:pPr>
        <w:pStyle w:val="92"/>
        <w:ind w:left="568" w:firstLine="0" w:firstLineChars="0"/>
        <w:rPr>
          <w:rFonts w:ascii="宋体" w:hAnsi="宋体" w:cs="Arial"/>
          <w:kern w:val="0"/>
          <w:sz w:val="22"/>
          <w:szCs w:val="22"/>
        </w:rPr>
      </w:pPr>
      <w:r>
        <w:rPr>
          <w:rFonts w:hint="eastAsia" w:ascii="宋体" w:hAnsi="宋体" w:cs="Arial"/>
          <w:kern w:val="0"/>
          <w:sz w:val="22"/>
          <w:szCs w:val="22"/>
        </w:rPr>
        <w:t>2.对招标文件规定的航站楼楼宇自控系统及智能灯光系统进行定期专业维护</w:t>
      </w:r>
    </w:p>
    <w:p>
      <w:pPr>
        <w:pStyle w:val="92"/>
        <w:ind w:left="568" w:firstLine="0" w:firstLineChars="0"/>
        <w:rPr>
          <w:rFonts w:ascii="宋体" w:hAnsi="宋体" w:cs="Arial"/>
          <w:kern w:val="0"/>
          <w:sz w:val="22"/>
        </w:rPr>
      </w:pPr>
      <w:r>
        <w:rPr>
          <w:rFonts w:hint="eastAsia" w:ascii="宋体" w:hAnsi="宋体" w:cs="Arial"/>
          <w:kern w:val="0"/>
          <w:sz w:val="22"/>
          <w:szCs w:val="22"/>
        </w:rPr>
        <w:t>3.快速处理航站楼楼宇自控系统及智能灯光系统的故障响应</w:t>
      </w:r>
    </w:p>
    <w:p>
      <w:pPr>
        <w:pStyle w:val="92"/>
        <w:ind w:left="568" w:firstLine="0" w:firstLineChars="0"/>
        <w:rPr>
          <w:rFonts w:ascii="宋体" w:hAnsi="宋体" w:cs="Arial"/>
          <w:kern w:val="0"/>
          <w:sz w:val="22"/>
        </w:rPr>
      </w:pPr>
      <w:r>
        <w:rPr>
          <w:rFonts w:hint="eastAsia" w:ascii="宋体" w:hAnsi="宋体" w:cs="Arial"/>
          <w:kern w:val="0"/>
          <w:sz w:val="22"/>
        </w:rPr>
        <w:t xml:space="preserve">4.做好对招标方理论培训和咨询工作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（4）服务期：三年，自2020年1月1日起至2022年12月31日止</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，注册资金不少于人民币含</w:t>
      </w:r>
      <w:r>
        <w:rPr>
          <w:rFonts w:ascii="宋体" w:hAnsi="宋体" w:cs="Arial"/>
          <w:kern w:val="0"/>
          <w:sz w:val="22"/>
        </w:rPr>
        <w:t>50万元或等值外币(按投标截止日当天中国银行公布的外汇牌价的中间价换算)及以上，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t>
      </w:r>
      <w:r>
        <w:rPr>
          <w:rFonts w:ascii="宋体" w:hAnsi="宋体" w:cs="Arial"/>
          <w:kern w:val="0"/>
          <w:sz w:val="22"/>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w:t>
      </w:r>
      <w:r>
        <w:rPr>
          <w:rFonts w:ascii="宋体" w:hAnsi="宋体" w:cs="Arial"/>
          <w:kern w:val="0"/>
          <w:sz w:val="22"/>
        </w:rPr>
        <w:t>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w:t>
      </w:r>
      <w:r>
        <w:rPr>
          <w:rFonts w:ascii="宋体" w:hAnsi="宋体" w:cs="Arial"/>
          <w:kern w:val="0"/>
          <w:sz w:val="22"/>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（5）近三年</w:t>
      </w:r>
      <w:r>
        <w:rPr>
          <w:rFonts w:ascii="宋体" w:hAnsi="宋体" w:cs="Arial"/>
          <w:kern w:val="0"/>
          <w:sz w:val="22"/>
        </w:rPr>
        <w:t>（</w:t>
      </w:r>
      <w:r>
        <w:rPr>
          <w:rFonts w:hint="eastAsia" w:ascii="宋体" w:hAnsi="宋体" w:cs="Arial"/>
          <w:kern w:val="0"/>
          <w:sz w:val="22"/>
        </w:rPr>
        <w:t>201</w:t>
      </w:r>
      <w:r>
        <w:rPr>
          <w:rFonts w:hint="eastAsia" w:ascii="宋体" w:hAnsi="宋体" w:eastAsia="宋体" w:cs="Arial"/>
          <w:kern w:val="0"/>
          <w:sz w:val="22"/>
        </w:rPr>
        <w:t>6</w:t>
      </w:r>
      <w:r>
        <w:rPr>
          <w:rFonts w:hint="eastAsia" w:ascii="宋体" w:hAnsi="宋体" w:cs="Arial"/>
          <w:kern w:val="0"/>
          <w:sz w:val="22"/>
        </w:rPr>
        <w:t>年1月1日至投标截止日</w:t>
      </w:r>
      <w:r>
        <w:rPr>
          <w:rFonts w:ascii="宋体" w:hAnsi="宋体" w:cs="Arial"/>
          <w:kern w:val="0"/>
          <w:sz w:val="22"/>
        </w:rPr>
        <w:t>）</w:t>
      </w:r>
      <w:r>
        <w:rPr>
          <w:rFonts w:hint="eastAsia" w:ascii="宋体" w:hAnsi="宋体" w:cs="Arial"/>
          <w:kern w:val="0"/>
          <w:sz w:val="22"/>
        </w:rPr>
        <w:t>投标人具有 1个以上（含）单个合同金额≥50万元人民币的类似自控维护保养合同经验（需提供中标通知书或合同复印件并加盖投标人公章作为证明材料，原件备查）</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color w:val="000000"/>
          <w:kern w:val="0"/>
          <w:sz w:val="22"/>
        </w:rPr>
      </w:pPr>
      <w:r>
        <w:rPr>
          <w:rFonts w:hint="eastAsia" w:ascii="宋体" w:hAnsi="宋体" w:cs="Arial"/>
          <w:color w:val="000000"/>
          <w:kern w:val="0"/>
          <w:sz w:val="22"/>
        </w:rPr>
        <w:t>（1）投标文件递交截止时间：</w:t>
      </w:r>
      <w:r>
        <w:rPr>
          <w:rFonts w:hint="eastAsia" w:ascii="宋体" w:hAnsi="宋体" w:cs="Arial"/>
          <w:color w:val="0000FF"/>
          <w:kern w:val="0"/>
          <w:sz w:val="22"/>
        </w:rPr>
        <w:t>201</w:t>
      </w:r>
      <w:r>
        <w:rPr>
          <w:rFonts w:hint="eastAsia" w:ascii="宋体" w:hAnsi="宋体" w:eastAsia="宋体" w:cs="Arial"/>
          <w:color w:val="0000FF"/>
          <w:kern w:val="0"/>
          <w:sz w:val="22"/>
        </w:rPr>
        <w:t>9</w:t>
      </w:r>
      <w:r>
        <w:rPr>
          <w:rFonts w:hint="eastAsia" w:ascii="宋体" w:hAnsi="宋体" w:cs="Arial"/>
          <w:color w:val="0000FF"/>
          <w:kern w:val="0"/>
          <w:sz w:val="22"/>
        </w:rPr>
        <w:t>年</w:t>
      </w:r>
      <w:r>
        <w:rPr>
          <w:rFonts w:hint="eastAsia" w:ascii="宋体" w:hAnsi="宋体" w:eastAsia="宋体" w:cs="Arial"/>
          <w:color w:val="0000FF"/>
          <w:kern w:val="0"/>
          <w:sz w:val="22"/>
          <w:lang w:val="en-US" w:eastAsia="zh-CN"/>
        </w:rPr>
        <w:t>11</w:t>
      </w:r>
      <w:r>
        <w:rPr>
          <w:rFonts w:hint="eastAsia" w:ascii="宋体" w:hAnsi="宋体" w:cs="Arial"/>
          <w:color w:val="0000FF"/>
          <w:kern w:val="0"/>
          <w:sz w:val="22"/>
        </w:rPr>
        <w:t>月</w:t>
      </w:r>
      <w:r>
        <w:rPr>
          <w:rFonts w:hint="eastAsia" w:ascii="宋体" w:hAnsi="宋体" w:eastAsia="宋体" w:cs="Arial"/>
          <w:color w:val="0000FF"/>
          <w:kern w:val="0"/>
          <w:sz w:val="22"/>
          <w:lang w:val="en-US" w:eastAsia="zh-CN"/>
        </w:rPr>
        <w:t>1</w:t>
      </w:r>
      <w:r>
        <w:rPr>
          <w:rFonts w:hint="eastAsia" w:ascii="宋体" w:hAnsi="宋体" w:cs="Arial"/>
          <w:color w:val="0000FF"/>
          <w:kern w:val="0"/>
          <w:sz w:val="22"/>
        </w:rPr>
        <w:t>日上午9时</w:t>
      </w:r>
      <w:r>
        <w:rPr>
          <w:rFonts w:hint="eastAsia" w:ascii="宋体" w:hAnsi="宋体" w:cs="Arial"/>
          <w:color w:val="0000FF"/>
          <w:kern w:val="0"/>
          <w:sz w:val="22"/>
          <w:lang w:val="en-US" w:eastAsia="zh-CN"/>
        </w:rPr>
        <w:t>3</w:t>
      </w:r>
      <w:r>
        <w:rPr>
          <w:rFonts w:hint="eastAsia" w:ascii="宋体" w:hAnsi="宋体" w:cs="Arial"/>
          <w:color w:val="0000FF"/>
          <w:kern w:val="0"/>
          <w:sz w:val="22"/>
        </w:rPr>
        <w:t>0分</w:t>
      </w:r>
      <w:r>
        <w:rPr>
          <w:rFonts w:hint="eastAsia" w:ascii="宋体" w:hAnsi="宋体" w:cs="Arial"/>
          <w:color w:val="000000"/>
          <w:kern w:val="0"/>
          <w:sz w:val="22"/>
        </w:rPr>
        <w:t>（北京时间）。投标文件在封口处加盖公章，并派专人于</w:t>
      </w:r>
      <w:r>
        <w:rPr>
          <w:rFonts w:hint="eastAsia" w:ascii="宋体" w:hAnsi="宋体" w:cs="Arial"/>
          <w:color w:val="0000FF"/>
          <w:kern w:val="0"/>
          <w:sz w:val="22"/>
        </w:rPr>
        <w:t>201</w:t>
      </w:r>
      <w:r>
        <w:rPr>
          <w:rFonts w:hint="eastAsia" w:ascii="宋体" w:hAnsi="宋体" w:eastAsia="宋体" w:cs="Arial"/>
          <w:color w:val="0000FF"/>
          <w:kern w:val="0"/>
          <w:sz w:val="22"/>
        </w:rPr>
        <w:t>9</w:t>
      </w:r>
      <w:r>
        <w:rPr>
          <w:rFonts w:hint="eastAsia" w:ascii="宋体" w:hAnsi="宋体" w:cs="Arial"/>
          <w:color w:val="0000FF"/>
          <w:kern w:val="0"/>
          <w:sz w:val="22"/>
        </w:rPr>
        <w:t>年</w:t>
      </w:r>
      <w:r>
        <w:rPr>
          <w:rFonts w:hint="eastAsia" w:ascii="宋体" w:hAnsi="宋体" w:eastAsia="宋体" w:cs="Arial"/>
          <w:color w:val="0000FF"/>
          <w:kern w:val="0"/>
          <w:sz w:val="22"/>
          <w:lang w:val="en-US" w:eastAsia="zh-CN"/>
        </w:rPr>
        <w:t>11</w:t>
      </w:r>
      <w:r>
        <w:rPr>
          <w:rFonts w:hint="eastAsia" w:ascii="宋体" w:hAnsi="宋体" w:cs="Arial"/>
          <w:color w:val="0000FF"/>
          <w:kern w:val="0"/>
          <w:sz w:val="22"/>
        </w:rPr>
        <w:t>月</w:t>
      </w:r>
      <w:r>
        <w:rPr>
          <w:rFonts w:hint="eastAsia" w:ascii="宋体" w:hAnsi="宋体" w:eastAsia="宋体" w:cs="Arial"/>
          <w:color w:val="0000FF"/>
          <w:kern w:val="0"/>
          <w:sz w:val="22"/>
          <w:lang w:val="en-US" w:eastAsia="zh-CN"/>
        </w:rPr>
        <w:t>1</w:t>
      </w:r>
      <w:r>
        <w:rPr>
          <w:rFonts w:hint="eastAsia" w:ascii="宋体" w:hAnsi="宋体" w:cs="Arial"/>
          <w:color w:val="0000FF"/>
          <w:kern w:val="0"/>
          <w:sz w:val="22"/>
        </w:rPr>
        <w:t>日上午9时</w:t>
      </w:r>
      <w:r>
        <w:rPr>
          <w:rFonts w:hint="eastAsia" w:ascii="宋体" w:hAnsi="宋体" w:cs="Arial"/>
          <w:color w:val="0000FF"/>
          <w:kern w:val="0"/>
          <w:sz w:val="22"/>
          <w:lang w:val="en-US" w:eastAsia="zh-CN"/>
        </w:rPr>
        <w:t>3</w:t>
      </w:r>
      <w:r>
        <w:rPr>
          <w:rFonts w:hint="eastAsia" w:ascii="宋体" w:hAnsi="宋体" w:cs="Arial"/>
          <w:color w:val="0000FF"/>
          <w:kern w:val="0"/>
          <w:sz w:val="22"/>
        </w:rPr>
        <w:t>0分</w:t>
      </w:r>
      <w:r>
        <w:rPr>
          <w:rFonts w:hint="eastAsia" w:ascii="宋体" w:hAnsi="宋体" w:cs="Arial"/>
          <w:color w:val="000000"/>
          <w:kern w:val="0"/>
          <w:sz w:val="22"/>
        </w:rPr>
        <w:t>（北京时间）前送至杭州萧山国际机场翔越路综合服务楼园区招标中心，逾期无效；若采用投递（邮寄）方式的，请于</w:t>
      </w:r>
      <w:r>
        <w:rPr>
          <w:rFonts w:hint="eastAsia" w:ascii="宋体" w:hAnsi="宋体" w:cs="Arial"/>
          <w:color w:val="0000FF"/>
          <w:kern w:val="0"/>
          <w:sz w:val="22"/>
        </w:rPr>
        <w:t>201</w:t>
      </w:r>
      <w:r>
        <w:rPr>
          <w:rFonts w:hint="eastAsia" w:ascii="宋体" w:hAnsi="宋体" w:eastAsia="宋体" w:cs="Arial"/>
          <w:color w:val="0000FF"/>
          <w:kern w:val="0"/>
          <w:sz w:val="22"/>
        </w:rPr>
        <w:t>9</w:t>
      </w:r>
      <w:r>
        <w:rPr>
          <w:rFonts w:hint="eastAsia" w:ascii="宋体" w:hAnsi="宋体" w:cs="Arial"/>
          <w:color w:val="0000FF"/>
          <w:kern w:val="0"/>
          <w:sz w:val="22"/>
        </w:rPr>
        <w:t>年</w:t>
      </w:r>
      <w:r>
        <w:rPr>
          <w:rFonts w:hint="eastAsia" w:ascii="宋体" w:hAnsi="宋体" w:eastAsia="宋体" w:cs="Arial"/>
          <w:color w:val="0000FF"/>
          <w:kern w:val="0"/>
          <w:sz w:val="22"/>
          <w:lang w:val="en-US" w:eastAsia="zh-CN"/>
        </w:rPr>
        <w:t>11</w:t>
      </w:r>
      <w:r>
        <w:rPr>
          <w:rFonts w:hint="eastAsia" w:ascii="宋体" w:hAnsi="宋体" w:cs="Arial"/>
          <w:color w:val="0000FF"/>
          <w:kern w:val="0"/>
          <w:sz w:val="22"/>
        </w:rPr>
        <w:t>月</w:t>
      </w:r>
      <w:r>
        <w:rPr>
          <w:rFonts w:hint="eastAsia" w:ascii="宋体" w:hAnsi="宋体" w:eastAsia="宋体" w:cs="Arial"/>
          <w:color w:val="0000FF"/>
          <w:kern w:val="0"/>
          <w:sz w:val="22"/>
          <w:lang w:val="en-US" w:eastAsia="zh-CN"/>
        </w:rPr>
        <w:t>1</w:t>
      </w:r>
      <w:r>
        <w:rPr>
          <w:rFonts w:hint="eastAsia" w:ascii="宋体" w:hAnsi="宋体" w:cs="Arial"/>
          <w:color w:val="0000FF"/>
          <w:kern w:val="0"/>
          <w:sz w:val="22"/>
        </w:rPr>
        <w:t>日上午9时</w:t>
      </w:r>
      <w:r>
        <w:rPr>
          <w:rFonts w:hint="eastAsia" w:ascii="宋体" w:hAnsi="宋体" w:cs="Arial"/>
          <w:color w:val="0000FF"/>
          <w:kern w:val="0"/>
          <w:sz w:val="22"/>
          <w:lang w:val="en-US" w:eastAsia="zh-CN"/>
        </w:rPr>
        <w:t>3</w:t>
      </w:r>
      <w:r>
        <w:rPr>
          <w:rFonts w:hint="eastAsia" w:ascii="宋体" w:hAnsi="宋体" w:cs="Arial"/>
          <w:color w:val="0000FF"/>
          <w:kern w:val="0"/>
          <w:sz w:val="22"/>
        </w:rPr>
        <w:t>0分</w:t>
      </w:r>
      <w:r>
        <w:rPr>
          <w:rFonts w:hint="eastAsia" w:ascii="宋体" w:hAnsi="宋体" w:cs="Arial"/>
          <w:color w:val="000000"/>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eastAsia="等线" w:cs="Arial"/>
          <w:kern w:val="0"/>
          <w:sz w:val="22"/>
        </w:rPr>
      </w:pPr>
      <w:r>
        <w:rPr>
          <w:rFonts w:hint="eastAsia" w:ascii="宋体" w:hAnsi="宋体" w:eastAsia="等线" w:cs="Arial"/>
          <w:kern w:val="0"/>
          <w:sz w:val="22"/>
        </w:rPr>
        <w:t>投标联系人：贾思勰        联系电话： 0571-83837612</w:t>
      </w:r>
    </w:p>
    <w:p>
      <w:pPr>
        <w:widowControl/>
        <w:adjustRightInd w:val="0"/>
        <w:snapToGrid w:val="0"/>
        <w:spacing w:line="340" w:lineRule="exact"/>
        <w:ind w:firstLine="440" w:firstLineChars="200"/>
        <w:rPr>
          <w:rFonts w:ascii="宋体" w:hAnsi="宋体" w:eastAsia="等线" w:cs="Arial"/>
          <w:bCs w:val="0"/>
          <w:kern w:val="0"/>
          <w:sz w:val="22"/>
        </w:rPr>
      </w:pPr>
      <w:r>
        <w:rPr>
          <w:rFonts w:hint="eastAsia" w:ascii="宋体" w:hAnsi="宋体" w:eastAsia="等线" w:cs="Arial"/>
          <w:bCs w:val="0"/>
          <w:kern w:val="0"/>
          <w:sz w:val="22"/>
        </w:rPr>
        <w:t xml:space="preserve">招标监督人：阮周长      </w:t>
      </w:r>
      <w:r>
        <w:rPr>
          <w:rFonts w:ascii="宋体" w:hAnsi="宋体" w:eastAsia="等线" w:cs="Arial"/>
          <w:bCs w:val="0"/>
          <w:kern w:val="0"/>
          <w:sz w:val="22"/>
        </w:rPr>
        <w:t xml:space="preserve">   </w:t>
      </w:r>
      <w:r>
        <w:rPr>
          <w:rFonts w:hint="eastAsia" w:ascii="宋体" w:hAnsi="宋体" w:eastAsia="等线" w:cs="Arial"/>
          <w:bCs w:val="0"/>
          <w:kern w:val="0"/>
          <w:sz w:val="22"/>
        </w:rPr>
        <w:t xml:space="preserve">联系电话： </w:t>
      </w:r>
      <w:r>
        <w:rPr>
          <w:rFonts w:hint="eastAsia" w:ascii="宋体" w:hAnsi="宋体" w:eastAsia="等线" w:cs="Arial"/>
          <w:kern w:val="0"/>
          <w:sz w:val="22"/>
        </w:rPr>
        <w:t xml:space="preserve">0571-86662133 </w:t>
      </w: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82"/>
        <w:jc w:val="center"/>
        <w:rPr>
          <w:rFonts w:ascii="Calibri" w:hAnsi="Calibri" w:eastAsia="黑体" w:cs="Calibri"/>
          <w:kern w:val="2"/>
          <w:sz w:val="28"/>
          <w:szCs w:val="32"/>
        </w:rPr>
      </w:pPr>
      <w:bookmarkStart w:id="26" w:name="_Toc349007688"/>
      <w:bookmarkStart w:id="27" w:name="_Toc386363317"/>
      <w:bookmarkStart w:id="28" w:name="_Toc444173459"/>
      <w:bookmarkStart w:id="29" w:name="_Toc444174979"/>
      <w:bookmarkStart w:id="30" w:name="_Toc444811409"/>
      <w:bookmarkStart w:id="31" w:name="_Toc448002984"/>
      <w:bookmarkStart w:id="32" w:name="_Toc11881"/>
      <w:bookmarkStart w:id="33" w:name="_Toc386359393"/>
      <w:bookmarkStart w:id="34" w:name="_Toc400369185"/>
      <w:bookmarkStart w:id="35" w:name="_Toc349011858"/>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kern w:val="0"/>
                <w:sz w:val="22"/>
              </w:rPr>
            </w:pPr>
            <w:r>
              <w:rPr>
                <w:rFonts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kern w:val="0"/>
                <w:sz w:val="22"/>
              </w:rPr>
            </w:pPr>
            <w:r>
              <w:rPr>
                <w:rFonts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kern w:val="0"/>
                <w:sz w:val="22"/>
              </w:rPr>
            </w:pPr>
            <w:r>
              <w:rPr>
                <w:rFonts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sz w:val="22"/>
              </w:rPr>
              <w:t>1.1</w:t>
            </w:r>
            <w:r>
              <w:rPr>
                <w:rFonts w:hint="eastAsia" w:cs="Calibri"/>
                <w:sz w:val="22"/>
              </w:rPr>
              <w:t>.1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项目名称</w:t>
            </w:r>
          </w:p>
        </w:tc>
        <w:tc>
          <w:tcPr>
            <w:tcW w:w="6487" w:type="dxa"/>
            <w:vAlign w:val="center"/>
          </w:tcPr>
          <w:p>
            <w:pPr>
              <w:autoSpaceDE w:val="0"/>
              <w:autoSpaceDN w:val="0"/>
              <w:adjustRightInd w:val="0"/>
              <w:snapToGrid w:val="0"/>
              <w:rPr>
                <w:rFonts w:cs="Calibri"/>
                <w:kern w:val="0"/>
                <w:sz w:val="22"/>
              </w:rPr>
            </w:pPr>
            <w:r>
              <w:rPr>
                <w:rFonts w:ascii="宋体" w:hAnsi="宋体" w:cs="Arial"/>
                <w:kern w:val="0"/>
                <w:sz w:val="22"/>
              </w:rPr>
              <w:t>杭州萧山国际机场</w:t>
            </w:r>
            <w:r>
              <w:rPr>
                <w:rFonts w:hint="eastAsia" w:ascii="宋体" w:hAnsi="宋体" w:eastAsia="宋体" w:cs="Arial"/>
                <w:kern w:val="0"/>
                <w:sz w:val="22"/>
              </w:rPr>
              <w:t>T1T2T3航站楼楼宇自控系统及T2T3智能灯光系统维保项目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sz w:val="22"/>
              </w:rPr>
            </w:pPr>
            <w:r>
              <w:rPr>
                <w:rFonts w:cs="Calibri"/>
                <w:sz w:val="22"/>
              </w:rPr>
              <w:t>1.1.2</w:t>
            </w:r>
          </w:p>
        </w:tc>
        <w:tc>
          <w:tcPr>
            <w:tcW w:w="2004" w:type="dxa"/>
            <w:vAlign w:val="center"/>
          </w:tcPr>
          <w:p>
            <w:pPr>
              <w:autoSpaceDE w:val="0"/>
              <w:autoSpaceDN w:val="0"/>
              <w:adjustRightInd w:val="0"/>
              <w:snapToGrid w:val="0"/>
              <w:jc w:val="center"/>
              <w:rPr>
                <w:rFonts w:cs="Calibri"/>
                <w:kern w:val="0"/>
                <w:sz w:val="22"/>
              </w:rPr>
            </w:pPr>
            <w:r>
              <w:rPr>
                <w:rFonts w:hint="eastAsia" w:cs="Calibri"/>
                <w:kern w:val="0"/>
                <w:sz w:val="22"/>
              </w:rPr>
              <w:t>实施</w:t>
            </w:r>
            <w:r>
              <w:rPr>
                <w:rFonts w:cs="Calibri"/>
                <w:kern w:val="0"/>
                <w:sz w:val="22"/>
              </w:rPr>
              <w:t>地点</w:t>
            </w:r>
          </w:p>
        </w:tc>
        <w:tc>
          <w:tcPr>
            <w:tcW w:w="6487" w:type="dxa"/>
            <w:vAlign w:val="center"/>
          </w:tcPr>
          <w:p>
            <w:pPr>
              <w:autoSpaceDE w:val="0"/>
              <w:autoSpaceDN w:val="0"/>
              <w:adjustRightInd w:val="0"/>
              <w:snapToGrid w:val="0"/>
              <w:rPr>
                <w:rFonts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2</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资金来源</w:t>
            </w:r>
          </w:p>
        </w:tc>
        <w:tc>
          <w:tcPr>
            <w:tcW w:w="6487" w:type="dxa"/>
            <w:vAlign w:val="center"/>
          </w:tcPr>
          <w:p>
            <w:pPr>
              <w:autoSpaceDE w:val="0"/>
              <w:autoSpaceDN w:val="0"/>
              <w:adjustRightInd w:val="0"/>
              <w:snapToGrid w:val="0"/>
              <w:rPr>
                <w:rFonts w:cs="Calibri"/>
                <w:kern w:val="0"/>
                <w:sz w:val="22"/>
              </w:rPr>
            </w:pPr>
            <w:r>
              <w:rPr>
                <w:rStyle w:val="133"/>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3</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招标</w:t>
            </w:r>
            <w:r>
              <w:rPr>
                <w:rFonts w:hint="eastAsia" w:cs="Calibri"/>
                <w:kern w:val="0"/>
                <w:sz w:val="22"/>
              </w:rPr>
              <w:t>内容</w:t>
            </w:r>
          </w:p>
        </w:tc>
        <w:tc>
          <w:tcPr>
            <w:tcW w:w="6487" w:type="dxa"/>
            <w:vAlign w:val="center"/>
          </w:tcPr>
          <w:p>
            <w:pPr>
              <w:autoSpaceDE w:val="0"/>
              <w:autoSpaceDN w:val="0"/>
              <w:adjustRightInd w:val="0"/>
              <w:snapToGrid w:val="0"/>
              <w:rPr>
                <w:rFonts w:cs="Calibri"/>
                <w:kern w:val="0"/>
                <w:sz w:val="22"/>
              </w:rPr>
            </w:pPr>
            <w:r>
              <w:rPr>
                <w:rFonts w:cs="Calibri"/>
                <w:kern w:val="0"/>
                <w:sz w:val="22"/>
              </w:rPr>
              <w:t>见招标公告，具体要求详见第</w:t>
            </w:r>
            <w:r>
              <w:rPr>
                <w:rFonts w:hint="eastAsia" w:cs="Calibri"/>
                <w:kern w:val="0"/>
                <w:sz w:val="22"/>
              </w:rPr>
              <w:t>三</w:t>
            </w:r>
            <w:r>
              <w:rPr>
                <w:rFonts w:cs="Calibri"/>
                <w:kern w:val="0"/>
                <w:sz w:val="22"/>
              </w:rPr>
              <w:t>章“</w:t>
            </w:r>
            <w:r>
              <w:rPr>
                <w:rFonts w:hint="eastAsia" w:cs="Calibri"/>
                <w:kern w:val="0"/>
                <w:sz w:val="22"/>
              </w:rPr>
              <w:t>服务技术标准及要求</w:t>
            </w:r>
            <w:r>
              <w:rPr>
                <w:rFonts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4</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招标方式</w:t>
            </w:r>
          </w:p>
        </w:tc>
        <w:tc>
          <w:tcPr>
            <w:tcW w:w="6487" w:type="dxa"/>
            <w:vAlign w:val="center"/>
          </w:tcPr>
          <w:p>
            <w:pPr>
              <w:autoSpaceDE w:val="0"/>
              <w:autoSpaceDN w:val="0"/>
              <w:adjustRightInd w:val="0"/>
              <w:snapToGrid w:val="0"/>
              <w:rPr>
                <w:rFonts w:cs="Calibri"/>
                <w:kern w:val="0"/>
                <w:sz w:val="22"/>
              </w:rPr>
            </w:pPr>
            <w:r>
              <w:rPr>
                <w:rFonts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5</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资格审查</w:t>
            </w:r>
          </w:p>
        </w:tc>
        <w:tc>
          <w:tcPr>
            <w:tcW w:w="6487" w:type="dxa"/>
            <w:vAlign w:val="center"/>
          </w:tcPr>
          <w:p>
            <w:pPr>
              <w:autoSpaceDE w:val="0"/>
              <w:autoSpaceDN w:val="0"/>
              <w:adjustRightInd w:val="0"/>
              <w:snapToGrid w:val="0"/>
              <w:rPr>
                <w:rFonts w:cs="Calibri"/>
                <w:kern w:val="0"/>
                <w:sz w:val="22"/>
              </w:rPr>
            </w:pPr>
            <w:r>
              <w:rPr>
                <w:rFonts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6</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投标人资质条件、能力和信誉</w:t>
            </w:r>
          </w:p>
        </w:tc>
        <w:tc>
          <w:tcPr>
            <w:tcW w:w="6487" w:type="dxa"/>
            <w:vAlign w:val="center"/>
          </w:tcPr>
          <w:p>
            <w:pPr>
              <w:autoSpaceDE w:val="0"/>
              <w:autoSpaceDN w:val="0"/>
              <w:adjustRightInd w:val="0"/>
              <w:snapToGrid w:val="0"/>
              <w:rPr>
                <w:rFonts w:cs="Calibri"/>
                <w:color w:val="FF0000"/>
                <w:kern w:val="0"/>
                <w:sz w:val="22"/>
              </w:rPr>
            </w:pPr>
            <w:r>
              <w:rPr>
                <w:rFonts w:cs="Calibri"/>
                <w:kern w:val="0"/>
                <w:sz w:val="22"/>
              </w:rPr>
              <w:t>详见招标公告</w:t>
            </w:r>
            <w:r>
              <w:rPr>
                <w:rFonts w:hint="eastAsia" w:cs="Calibri"/>
                <w:kern w:val="0"/>
                <w:sz w:val="22"/>
              </w:rPr>
              <w:t>“</w:t>
            </w:r>
            <w:r>
              <w:rPr>
                <w:rFonts w:hint="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7</w:t>
            </w:r>
          </w:p>
        </w:tc>
        <w:tc>
          <w:tcPr>
            <w:tcW w:w="2004" w:type="dxa"/>
            <w:vAlign w:val="center"/>
          </w:tcPr>
          <w:p>
            <w:pPr>
              <w:autoSpaceDE w:val="0"/>
              <w:autoSpaceDN w:val="0"/>
              <w:adjustRightInd w:val="0"/>
              <w:snapToGrid w:val="0"/>
              <w:jc w:val="center"/>
              <w:rPr>
                <w:rFonts w:cs="Calibri"/>
                <w:kern w:val="0"/>
                <w:sz w:val="22"/>
              </w:rPr>
            </w:pPr>
            <w:r>
              <w:rPr>
                <w:rFonts w:hint="eastAsia" w:cs="Calibri"/>
                <w:kern w:val="0"/>
                <w:sz w:val="22"/>
              </w:rPr>
              <w:t>服务期</w:t>
            </w:r>
          </w:p>
        </w:tc>
        <w:tc>
          <w:tcPr>
            <w:tcW w:w="6487" w:type="dxa"/>
            <w:vAlign w:val="center"/>
          </w:tcPr>
          <w:p>
            <w:pPr>
              <w:rPr>
                <w:color w:val="000000"/>
                <w:sz w:val="22"/>
              </w:rPr>
            </w:pPr>
            <w:r>
              <w:rPr>
                <w:rFonts w:hint="eastAsia"/>
                <w:color w:val="000000"/>
                <w:sz w:val="22"/>
                <w:u w:val="single"/>
              </w:rPr>
              <w:t>三年，自</w:t>
            </w:r>
            <w:r>
              <w:rPr>
                <w:color w:val="000000"/>
                <w:sz w:val="22"/>
                <w:u w:val="single"/>
              </w:rPr>
              <w:t>2020年1月1日起至2022年12月31日止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hint="eastAsia" w:cs="Calibri"/>
                <w:kern w:val="0"/>
                <w:sz w:val="22"/>
              </w:rPr>
              <w:t>1.8</w:t>
            </w:r>
          </w:p>
        </w:tc>
        <w:tc>
          <w:tcPr>
            <w:tcW w:w="2004" w:type="dxa"/>
            <w:vAlign w:val="center"/>
          </w:tcPr>
          <w:p>
            <w:pPr>
              <w:autoSpaceDE w:val="0"/>
              <w:autoSpaceDN w:val="0"/>
              <w:adjustRightInd w:val="0"/>
              <w:snapToGrid w:val="0"/>
              <w:jc w:val="center"/>
              <w:rPr>
                <w:rFonts w:cs="Calibri"/>
                <w:kern w:val="0"/>
                <w:sz w:val="22"/>
              </w:rPr>
            </w:pPr>
            <w:r>
              <w:rPr>
                <w:rFonts w:hint="eastAsia" w:cs="Calibri"/>
                <w:kern w:val="0"/>
                <w:sz w:val="22"/>
              </w:rPr>
              <w:t>质量要求</w:t>
            </w:r>
          </w:p>
        </w:tc>
        <w:tc>
          <w:tcPr>
            <w:tcW w:w="6487" w:type="dxa"/>
            <w:vAlign w:val="center"/>
          </w:tcPr>
          <w:p>
            <w:pPr>
              <w:rPr>
                <w:color w:val="000000"/>
                <w:sz w:val="22"/>
              </w:rPr>
            </w:pPr>
            <w:r>
              <w:rPr>
                <w:rFonts w:hint="eastAsia"/>
                <w:iCs/>
                <w:sz w:val="22"/>
              </w:rPr>
              <w:t>符</w:t>
            </w:r>
            <w:r>
              <w:rPr>
                <w:rFonts w:hint="eastAsia"/>
                <w:sz w:val="22"/>
              </w:rPr>
              <w:t>合国家现行标准</w:t>
            </w:r>
            <w:r>
              <w:rPr>
                <w:rFonts w:hint="eastAsia" w:ascii="宋体" w:hAnsi="宋体"/>
                <w:sz w:val="22"/>
              </w:rPr>
              <w:t>及第三章 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9</w:t>
            </w:r>
            <w:r>
              <w:rPr>
                <w:rFonts w:cs="Calibri"/>
                <w:kern w:val="0"/>
                <w:sz w:val="22"/>
              </w:rPr>
              <w:t>.1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踏勘现场</w:t>
            </w:r>
          </w:p>
        </w:tc>
        <w:tc>
          <w:tcPr>
            <w:tcW w:w="6487" w:type="dxa"/>
            <w:vAlign w:val="center"/>
          </w:tcPr>
          <w:p>
            <w:pPr>
              <w:autoSpaceDE w:val="0"/>
              <w:autoSpaceDN w:val="0"/>
              <w:adjustRightInd w:val="0"/>
              <w:snapToGrid w:val="0"/>
              <w:rPr>
                <w:rFonts w:cs="Calibri"/>
                <w:kern w:val="0"/>
                <w:sz w:val="22"/>
              </w:rPr>
            </w:pPr>
            <w:r>
              <w:rPr>
                <w:rFonts w:cs="Calibri"/>
                <w:kern w:val="0"/>
                <w:sz w:val="22"/>
              </w:rPr>
              <w:sym w:font="Wingdings" w:char="F0FE"/>
            </w:r>
            <w:r>
              <w:rPr>
                <w:rFonts w:cs="Calibri"/>
                <w:kern w:val="0"/>
                <w:sz w:val="22"/>
              </w:rPr>
              <w:t>不组织</w:t>
            </w:r>
          </w:p>
          <w:p>
            <w:pPr>
              <w:autoSpaceDE w:val="0"/>
              <w:autoSpaceDN w:val="0"/>
              <w:adjustRightInd w:val="0"/>
              <w:snapToGrid w:val="0"/>
              <w:rPr>
                <w:rFonts w:cs="Calibri"/>
                <w:kern w:val="0"/>
                <w:sz w:val="22"/>
              </w:rPr>
            </w:pPr>
            <w:r>
              <w:rPr>
                <w:rFonts w:cs="Calibri"/>
                <w:kern w:val="0"/>
                <w:sz w:val="22"/>
              </w:rPr>
              <w:t>□组织，踏勘时间：</w:t>
            </w:r>
          </w:p>
          <w:p>
            <w:pPr>
              <w:autoSpaceDE w:val="0"/>
              <w:autoSpaceDN w:val="0"/>
              <w:adjustRightInd w:val="0"/>
              <w:snapToGrid w:val="0"/>
              <w:rPr>
                <w:rFonts w:cs="Calibri"/>
                <w:kern w:val="0"/>
                <w:sz w:val="22"/>
              </w:rPr>
            </w:pPr>
            <w:r>
              <w:rPr>
                <w:rFonts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w:t>
            </w:r>
            <w:r>
              <w:rPr>
                <w:rFonts w:hint="eastAsia" w:cs="Calibri"/>
                <w:kern w:val="0"/>
                <w:sz w:val="22"/>
              </w:rPr>
              <w:t>10</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投标预备会</w:t>
            </w:r>
          </w:p>
        </w:tc>
        <w:tc>
          <w:tcPr>
            <w:tcW w:w="6487" w:type="dxa"/>
            <w:vAlign w:val="center"/>
          </w:tcPr>
          <w:p>
            <w:pPr>
              <w:autoSpaceDE w:val="0"/>
              <w:autoSpaceDN w:val="0"/>
              <w:adjustRightInd w:val="0"/>
              <w:snapToGrid w:val="0"/>
              <w:rPr>
                <w:rFonts w:cs="Calibri"/>
                <w:kern w:val="0"/>
                <w:sz w:val="22"/>
              </w:rPr>
            </w:pPr>
            <w:r>
              <w:rPr>
                <w:rFonts w:cs="Calibri"/>
                <w:kern w:val="0"/>
                <w:sz w:val="22"/>
              </w:rPr>
              <w:sym w:font="Wingdings" w:char="F0FE"/>
            </w:r>
            <w:r>
              <w:rPr>
                <w:rFonts w:cs="Calibri"/>
                <w:kern w:val="0"/>
                <w:sz w:val="22"/>
              </w:rPr>
              <w:t>不召开</w:t>
            </w:r>
          </w:p>
          <w:p>
            <w:pPr>
              <w:autoSpaceDE w:val="0"/>
              <w:autoSpaceDN w:val="0"/>
              <w:adjustRightInd w:val="0"/>
              <w:snapToGrid w:val="0"/>
              <w:rPr>
                <w:rFonts w:cs="Calibri"/>
                <w:kern w:val="0"/>
                <w:sz w:val="22"/>
              </w:rPr>
            </w:pPr>
            <w:r>
              <w:rPr>
                <w:rFonts w:cs="Calibri"/>
                <w:kern w:val="0"/>
                <w:sz w:val="22"/>
              </w:rPr>
              <w:t>□召开，召开时间：</w:t>
            </w:r>
          </w:p>
          <w:p>
            <w:pPr>
              <w:autoSpaceDE w:val="0"/>
              <w:autoSpaceDN w:val="0"/>
              <w:adjustRightInd w:val="0"/>
              <w:snapToGrid w:val="0"/>
              <w:rPr>
                <w:rFonts w:cs="Calibri"/>
                <w:kern w:val="0"/>
                <w:sz w:val="22"/>
              </w:rPr>
            </w:pPr>
            <w:r>
              <w:rPr>
                <w:rFonts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2.2.1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投标人提出问题的截止时间</w:t>
            </w:r>
          </w:p>
        </w:tc>
        <w:tc>
          <w:tcPr>
            <w:tcW w:w="6487" w:type="dxa"/>
            <w:vAlign w:val="center"/>
          </w:tcPr>
          <w:p>
            <w:pPr>
              <w:autoSpaceDE w:val="0"/>
              <w:autoSpaceDN w:val="0"/>
              <w:adjustRightInd w:val="0"/>
              <w:snapToGrid w:val="0"/>
              <w:rPr>
                <w:rFonts w:cs="Calibri"/>
                <w:color w:val="000000"/>
                <w:kern w:val="0"/>
                <w:sz w:val="22"/>
              </w:rPr>
            </w:pPr>
            <w:r>
              <w:rPr>
                <w:rFonts w:hint="eastAsia" w:ascii="等线" w:hAnsi="等线" w:eastAsia="等线" w:cs="Calibri"/>
                <w:color w:val="auto"/>
                <w:kern w:val="0"/>
                <w:sz w:val="22"/>
              </w:rPr>
              <w:t>2019</w:t>
            </w:r>
            <w:r>
              <w:rPr>
                <w:rFonts w:hint="eastAsia" w:ascii="等线" w:hAnsi="等线" w:cs="Calibri"/>
                <w:color w:val="auto"/>
                <w:kern w:val="0"/>
                <w:sz w:val="22"/>
              </w:rPr>
              <w:t>年</w:t>
            </w:r>
            <w:r>
              <w:rPr>
                <w:rFonts w:hint="eastAsia" w:cs="Calibri"/>
                <w:color w:val="auto"/>
                <w:kern w:val="0"/>
                <w:sz w:val="22"/>
                <w:lang w:val="en-US" w:eastAsia="zh-CN"/>
              </w:rPr>
              <w:t>10</w:t>
            </w:r>
            <w:r>
              <w:rPr>
                <w:rFonts w:hint="eastAsia" w:ascii="等线" w:hAnsi="等线" w:cs="Calibri"/>
                <w:color w:val="auto"/>
                <w:kern w:val="0"/>
                <w:sz w:val="22"/>
              </w:rPr>
              <w:t>月</w:t>
            </w:r>
            <w:r>
              <w:rPr>
                <w:rFonts w:hint="eastAsia" w:cs="Calibri"/>
                <w:color w:val="auto"/>
                <w:kern w:val="0"/>
                <w:sz w:val="22"/>
                <w:lang w:val="en-US" w:eastAsia="zh-CN"/>
              </w:rPr>
              <w:t>24</w:t>
            </w:r>
            <w:r>
              <w:rPr>
                <w:rFonts w:hint="eastAsia" w:ascii="等线" w:hAnsi="等线" w:cs="Calibri"/>
                <w:color w:val="auto"/>
                <w:kern w:val="0"/>
                <w:sz w:val="22"/>
              </w:rPr>
              <w:t>日11：30前，以书面加盖公章的形式通过E-mail或传真提交给招标人（</w:t>
            </w:r>
            <w:r>
              <w:rPr>
                <w:rFonts w:hint="eastAsia" w:ascii="等线" w:hAnsi="等线" w:eastAsia="等线" w:cs="Calibri"/>
                <w:kern w:val="0"/>
                <w:sz w:val="22"/>
              </w:rPr>
              <w:t>投标联系人:贾思勰，电话0571-83837612；传真：0571-83837612；电子邮箱：zbzx@hzairport.com</w:t>
            </w:r>
            <w:r>
              <w:rPr>
                <w:rFonts w:hint="eastAsia" w:ascii="等线" w:hAnsi="等线" w:cs="Calibri"/>
                <w:kern w:val="0"/>
                <w:sz w:val="22"/>
              </w:rPr>
              <w:t>）</w:t>
            </w:r>
            <w:r>
              <w:rPr>
                <w:rFonts w:hint="eastAsia" w:ascii="等线" w:hAnsi="等线" w:cs="Calibri"/>
                <w:color w:val="auto"/>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2.2.2</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投标截止时间</w:t>
            </w:r>
          </w:p>
        </w:tc>
        <w:tc>
          <w:tcPr>
            <w:tcW w:w="6487" w:type="dxa"/>
            <w:vAlign w:val="center"/>
          </w:tcPr>
          <w:p>
            <w:pPr>
              <w:autoSpaceDE w:val="0"/>
              <w:autoSpaceDN w:val="0"/>
              <w:adjustRightInd w:val="0"/>
              <w:snapToGrid w:val="0"/>
              <w:rPr>
                <w:rFonts w:cs="Calibri"/>
                <w:b/>
                <w:kern w:val="0"/>
                <w:sz w:val="22"/>
              </w:rPr>
            </w:pPr>
            <w:r>
              <w:rPr>
                <w:rFonts w:hint="eastAsia" w:ascii="宋体" w:hAnsi="宋体" w:cs="Arial"/>
                <w:color w:val="0000FF"/>
                <w:kern w:val="0"/>
                <w:sz w:val="22"/>
              </w:rPr>
              <w:t>201</w:t>
            </w:r>
            <w:r>
              <w:rPr>
                <w:rFonts w:hint="eastAsia" w:ascii="宋体" w:hAnsi="宋体" w:eastAsia="宋体" w:cs="Arial"/>
                <w:color w:val="0000FF"/>
                <w:kern w:val="0"/>
                <w:sz w:val="22"/>
              </w:rPr>
              <w:t>9</w:t>
            </w:r>
            <w:r>
              <w:rPr>
                <w:rFonts w:hint="eastAsia" w:ascii="宋体" w:hAnsi="宋体" w:cs="Arial"/>
                <w:color w:val="0000FF"/>
                <w:kern w:val="0"/>
                <w:sz w:val="22"/>
              </w:rPr>
              <w:t>年</w:t>
            </w:r>
            <w:r>
              <w:rPr>
                <w:rFonts w:hint="eastAsia" w:ascii="宋体" w:hAnsi="宋体" w:eastAsia="宋体" w:cs="Arial"/>
                <w:color w:val="0000FF"/>
                <w:kern w:val="0"/>
                <w:sz w:val="22"/>
                <w:lang w:val="en-US" w:eastAsia="zh-CN"/>
              </w:rPr>
              <w:t>11</w:t>
            </w:r>
            <w:r>
              <w:rPr>
                <w:rFonts w:hint="eastAsia" w:ascii="宋体" w:hAnsi="宋体" w:cs="Arial"/>
                <w:color w:val="0000FF"/>
                <w:kern w:val="0"/>
                <w:sz w:val="22"/>
              </w:rPr>
              <w:t>月</w:t>
            </w:r>
            <w:r>
              <w:rPr>
                <w:rFonts w:hint="eastAsia" w:ascii="宋体" w:hAnsi="宋体" w:eastAsia="宋体" w:cs="Arial"/>
                <w:color w:val="0000FF"/>
                <w:kern w:val="0"/>
                <w:sz w:val="22"/>
                <w:lang w:val="en-US" w:eastAsia="zh-CN"/>
              </w:rPr>
              <w:t>1</w:t>
            </w:r>
            <w:r>
              <w:rPr>
                <w:rFonts w:hint="eastAsia" w:ascii="宋体" w:hAnsi="宋体" w:cs="Arial"/>
                <w:color w:val="0000FF"/>
                <w:kern w:val="0"/>
                <w:sz w:val="22"/>
              </w:rPr>
              <w:t>日上午9时</w:t>
            </w:r>
            <w:r>
              <w:rPr>
                <w:rFonts w:hint="eastAsia" w:ascii="宋体" w:hAnsi="宋体" w:cs="Arial"/>
                <w:color w:val="0000FF"/>
                <w:kern w:val="0"/>
                <w:sz w:val="22"/>
                <w:lang w:val="en-US" w:eastAsia="zh-CN"/>
              </w:rPr>
              <w:t>3</w:t>
            </w:r>
            <w:r>
              <w:rPr>
                <w:rFonts w:hint="eastAsia" w:ascii="宋体" w:hAnsi="宋体" w:cs="Arial"/>
                <w:color w:val="0000FF"/>
                <w:kern w:val="0"/>
                <w:sz w:val="22"/>
              </w:rPr>
              <w:t>0分</w:t>
            </w:r>
            <w:r>
              <w:rPr>
                <w:rFonts w:hint="eastAsia" w:ascii="宋体" w:hAnsi="宋体" w:cs="Arial"/>
                <w:color w:val="000000"/>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2.2.3</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投标人确认收到招标文件澄清的时间</w:t>
            </w:r>
          </w:p>
        </w:tc>
        <w:tc>
          <w:tcPr>
            <w:tcW w:w="6487" w:type="dxa"/>
            <w:vAlign w:val="center"/>
          </w:tcPr>
          <w:p>
            <w:pPr>
              <w:autoSpaceDE w:val="0"/>
              <w:autoSpaceDN w:val="0"/>
              <w:adjustRightInd w:val="0"/>
              <w:snapToGrid w:val="0"/>
              <w:rPr>
                <w:rFonts w:cs="Calibri"/>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2.3.2</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投标人确认收到招标文件修改的时间</w:t>
            </w:r>
          </w:p>
        </w:tc>
        <w:tc>
          <w:tcPr>
            <w:tcW w:w="6487" w:type="dxa"/>
            <w:vAlign w:val="center"/>
          </w:tcPr>
          <w:p>
            <w:pPr>
              <w:autoSpaceDE w:val="0"/>
              <w:autoSpaceDN w:val="0"/>
              <w:adjustRightInd w:val="0"/>
              <w:snapToGrid w:val="0"/>
              <w:rPr>
                <w:rFonts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3.4.1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投标有效期</w:t>
            </w:r>
          </w:p>
        </w:tc>
        <w:tc>
          <w:tcPr>
            <w:tcW w:w="6487" w:type="dxa"/>
            <w:vAlign w:val="center"/>
          </w:tcPr>
          <w:p>
            <w:pPr>
              <w:autoSpaceDE w:val="0"/>
              <w:autoSpaceDN w:val="0"/>
              <w:adjustRightInd w:val="0"/>
              <w:snapToGrid w:val="0"/>
              <w:rPr>
                <w:rFonts w:cs="Calibri"/>
                <w:kern w:val="0"/>
                <w:sz w:val="22"/>
              </w:rPr>
            </w:pPr>
            <w:r>
              <w:rPr>
                <w:rFonts w:hint="eastAsia" w:cs="Calibri"/>
                <w:kern w:val="0"/>
                <w:sz w:val="22"/>
              </w:rPr>
              <w:t>12</w:t>
            </w:r>
            <w:r>
              <w:rPr>
                <w:rFonts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3.5.1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投标保证金</w:t>
            </w:r>
          </w:p>
        </w:tc>
        <w:tc>
          <w:tcPr>
            <w:tcW w:w="6487" w:type="dxa"/>
            <w:vAlign w:val="center"/>
          </w:tcPr>
          <w:p>
            <w:pPr>
              <w:snapToGrid w:val="0"/>
              <w:rPr>
                <w:sz w:val="22"/>
                <w:lang w:val="zh-CN"/>
              </w:rPr>
            </w:pPr>
            <w:r>
              <w:rPr>
                <w:rFonts w:hint="eastAsia"/>
                <w:sz w:val="22"/>
                <w:lang w:val="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3.6.3</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签字或盖章要求</w:t>
            </w:r>
          </w:p>
        </w:tc>
        <w:tc>
          <w:tcPr>
            <w:tcW w:w="6487" w:type="dxa"/>
            <w:vAlign w:val="center"/>
          </w:tcPr>
          <w:p>
            <w:pPr>
              <w:autoSpaceDE w:val="0"/>
              <w:autoSpaceDN w:val="0"/>
              <w:adjustRightInd w:val="0"/>
              <w:snapToGrid w:val="0"/>
              <w:rPr>
                <w:rFonts w:cs="Calibri"/>
                <w:kern w:val="0"/>
                <w:sz w:val="22"/>
              </w:rPr>
            </w:pPr>
            <w:r>
              <w:rPr>
                <w:rFonts w:cs="Calibri"/>
                <w:b/>
                <w:kern w:val="0"/>
                <w:sz w:val="22"/>
              </w:rPr>
              <w:t>投标文件封面（或扉页）、投标函以及各类报价表</w:t>
            </w:r>
            <w:r>
              <w:rPr>
                <w:rFonts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3.6.4</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3.6.5</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装订要求</w:t>
            </w:r>
          </w:p>
        </w:tc>
        <w:tc>
          <w:tcPr>
            <w:tcW w:w="6487" w:type="dxa"/>
            <w:vAlign w:val="center"/>
          </w:tcPr>
          <w:p>
            <w:pPr>
              <w:autoSpaceDE w:val="0"/>
              <w:autoSpaceDN w:val="0"/>
              <w:adjustRightInd w:val="0"/>
              <w:snapToGrid w:val="0"/>
              <w:rPr>
                <w:rFonts w:cs="Calibri"/>
                <w:kern w:val="0"/>
                <w:sz w:val="22"/>
              </w:rPr>
            </w:pPr>
            <w:r>
              <w:rPr>
                <w:rFonts w:cs="Calibri"/>
                <w:kern w:val="0"/>
                <w:sz w:val="22"/>
              </w:rPr>
              <w:t>按照投标人须知3.2项约定的投标文件组成内容，投标文件应按以下要求装订：</w:t>
            </w:r>
          </w:p>
          <w:p>
            <w:pPr>
              <w:autoSpaceDE w:val="0"/>
              <w:autoSpaceDN w:val="0"/>
              <w:adjustRightInd w:val="0"/>
              <w:snapToGrid w:val="0"/>
              <w:rPr>
                <w:rFonts w:cs="Calibri"/>
                <w:kern w:val="0"/>
                <w:sz w:val="22"/>
              </w:rPr>
            </w:pPr>
            <w:r>
              <w:rPr>
                <w:rFonts w:cs="Calibri"/>
                <w:kern w:val="0"/>
                <w:sz w:val="22"/>
              </w:rPr>
              <w:sym w:font="Wingdings" w:char="F0FE"/>
            </w:r>
            <w:r>
              <w:rPr>
                <w:rFonts w:cs="Calibri"/>
                <w:kern w:val="0"/>
                <w:sz w:val="22"/>
              </w:rPr>
              <w:t>不分册装订</w:t>
            </w:r>
          </w:p>
          <w:p>
            <w:pPr>
              <w:autoSpaceDE w:val="0"/>
              <w:autoSpaceDN w:val="0"/>
              <w:adjustRightInd w:val="0"/>
              <w:snapToGrid w:val="0"/>
              <w:rPr>
                <w:rFonts w:cs="Calibri"/>
                <w:kern w:val="0"/>
                <w:sz w:val="22"/>
              </w:rPr>
            </w:pPr>
            <w:r>
              <w:rPr>
                <w:rFonts w:cs="Calibri"/>
                <w:kern w:val="0"/>
                <w:sz w:val="22"/>
              </w:rPr>
              <w:t>□分册装订</w:t>
            </w:r>
          </w:p>
          <w:p>
            <w:pPr>
              <w:autoSpaceDE w:val="0"/>
              <w:autoSpaceDN w:val="0"/>
              <w:adjustRightInd w:val="0"/>
              <w:snapToGrid w:val="0"/>
              <w:rPr>
                <w:rFonts w:cs="Calibri"/>
                <w:kern w:val="0"/>
                <w:sz w:val="22"/>
              </w:rPr>
            </w:pPr>
            <w:r>
              <w:rPr>
                <w:rFonts w:cs="Calibri"/>
                <w:kern w:val="0"/>
                <w:sz w:val="22"/>
              </w:rPr>
              <w:t>每册采用</w:t>
            </w:r>
            <w:r>
              <w:rPr>
                <w:rFonts w:cs="Calibri"/>
                <w:kern w:val="0"/>
                <w:sz w:val="22"/>
                <w:u w:val="single"/>
              </w:rPr>
              <w:t xml:space="preserve"> 胶装 </w:t>
            </w:r>
            <w:r>
              <w:rPr>
                <w:rFonts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4.1.2</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封套上写明</w:t>
            </w:r>
          </w:p>
        </w:tc>
        <w:tc>
          <w:tcPr>
            <w:tcW w:w="6487" w:type="dxa"/>
            <w:vAlign w:val="center"/>
          </w:tcPr>
          <w:p>
            <w:pPr>
              <w:autoSpaceDE w:val="0"/>
              <w:autoSpaceDN w:val="0"/>
              <w:adjustRightInd w:val="0"/>
              <w:snapToGrid w:val="0"/>
              <w:rPr>
                <w:rFonts w:cs="Calibri"/>
                <w:kern w:val="0"/>
                <w:sz w:val="22"/>
              </w:rPr>
            </w:pPr>
            <w:r>
              <w:rPr>
                <w:rFonts w:cs="Calibri"/>
                <w:kern w:val="0"/>
                <w:sz w:val="22"/>
              </w:rPr>
              <w:t>招标人的地址：</w:t>
            </w:r>
            <w:r>
              <w:rPr>
                <w:rFonts w:hint="eastAsia"/>
                <w:sz w:val="22"/>
                <w:u w:val="single"/>
              </w:rPr>
              <w:t>杭州萧山国际机场内</w:t>
            </w:r>
          </w:p>
          <w:p>
            <w:pPr>
              <w:autoSpaceDE w:val="0"/>
              <w:autoSpaceDN w:val="0"/>
              <w:adjustRightInd w:val="0"/>
              <w:snapToGrid w:val="0"/>
              <w:rPr>
                <w:rFonts w:cs="Calibri"/>
                <w:kern w:val="0"/>
                <w:sz w:val="22"/>
              </w:rPr>
            </w:pPr>
            <w:r>
              <w:rPr>
                <w:rFonts w:cs="Calibri"/>
                <w:kern w:val="0"/>
                <w:sz w:val="22"/>
              </w:rPr>
              <w:t>招标人名称：</w:t>
            </w:r>
            <w:r>
              <w:rPr>
                <w:rFonts w:cs="Calibri"/>
                <w:kern w:val="0"/>
                <w:sz w:val="22"/>
                <w:u w:val="single"/>
              </w:rPr>
              <w:t>杭州萧山国际机场有限公司</w:t>
            </w:r>
          </w:p>
          <w:p>
            <w:pPr>
              <w:autoSpaceDE w:val="0"/>
              <w:autoSpaceDN w:val="0"/>
              <w:adjustRightInd w:val="0"/>
              <w:snapToGrid w:val="0"/>
              <w:rPr>
                <w:rFonts w:cs="Calibri"/>
                <w:kern w:val="0"/>
                <w:sz w:val="22"/>
              </w:rPr>
            </w:pPr>
            <w:r>
              <w:rPr>
                <w:rFonts w:hint="eastAsia" w:cs="宋体"/>
                <w:sz w:val="22"/>
              </w:rPr>
              <w:t>项目名称：</w:t>
            </w:r>
            <w:r>
              <w:rPr>
                <w:rFonts w:hint="eastAsia" w:cs="Calibri"/>
                <w:kern w:val="0"/>
                <w:sz w:val="22"/>
                <w:u w:val="single"/>
              </w:rPr>
              <w:t>杭州萧山国际机场</w:t>
            </w:r>
            <w:r>
              <w:rPr>
                <w:rFonts w:hint="eastAsia" w:eastAsia="等线" w:cs="Calibri"/>
                <w:kern w:val="0"/>
                <w:sz w:val="22"/>
                <w:u w:val="single"/>
              </w:rPr>
              <w:t>T1T2T3航站楼楼宇自控系统及T2T3智能灯光系统维保项目</w:t>
            </w:r>
            <w:r>
              <w:rPr>
                <w:rFonts w:hint="eastAsia" w:cs="Calibri"/>
                <w:kern w:val="0"/>
                <w:sz w:val="22"/>
                <w:u w:val="single"/>
              </w:rPr>
              <w:t>投</w:t>
            </w:r>
            <w:r>
              <w:rPr>
                <w:rFonts w:hint="eastAsia" w:cs="宋体"/>
                <w:sz w:val="22"/>
              </w:rPr>
              <w:t>标文件</w:t>
            </w:r>
          </w:p>
          <w:p>
            <w:pPr>
              <w:autoSpaceDE w:val="0"/>
              <w:autoSpaceDN w:val="0"/>
              <w:adjustRightInd w:val="0"/>
              <w:snapToGrid w:val="0"/>
              <w:rPr>
                <w:rFonts w:cs="Calibri"/>
                <w:kern w:val="0"/>
                <w:sz w:val="22"/>
              </w:rPr>
            </w:pPr>
            <w:r>
              <w:rPr>
                <w:rFonts w:cs="Calibri"/>
                <w:kern w:val="0"/>
                <w:sz w:val="22"/>
              </w:rPr>
              <w:t>在</w:t>
            </w:r>
            <w:r>
              <w:rPr>
                <w:rFonts w:hint="eastAsia" w:ascii="宋体" w:hAnsi="宋体" w:cs="Arial"/>
                <w:color w:val="0000FF"/>
                <w:kern w:val="0"/>
                <w:sz w:val="22"/>
              </w:rPr>
              <w:t>201</w:t>
            </w:r>
            <w:r>
              <w:rPr>
                <w:rFonts w:hint="eastAsia" w:ascii="宋体" w:hAnsi="宋体" w:eastAsia="宋体" w:cs="Arial"/>
                <w:color w:val="0000FF"/>
                <w:kern w:val="0"/>
                <w:sz w:val="22"/>
              </w:rPr>
              <w:t>9</w:t>
            </w:r>
            <w:r>
              <w:rPr>
                <w:rFonts w:hint="eastAsia" w:ascii="宋体" w:hAnsi="宋体" w:cs="Arial"/>
                <w:color w:val="0000FF"/>
                <w:kern w:val="0"/>
                <w:sz w:val="22"/>
              </w:rPr>
              <w:t>年</w:t>
            </w:r>
            <w:r>
              <w:rPr>
                <w:rFonts w:hint="eastAsia" w:ascii="宋体" w:hAnsi="宋体" w:eastAsia="宋体" w:cs="Arial"/>
                <w:color w:val="0000FF"/>
                <w:kern w:val="0"/>
                <w:sz w:val="22"/>
                <w:lang w:val="en-US" w:eastAsia="zh-CN"/>
              </w:rPr>
              <w:t>11</w:t>
            </w:r>
            <w:r>
              <w:rPr>
                <w:rFonts w:hint="eastAsia" w:ascii="宋体" w:hAnsi="宋体" w:cs="Arial"/>
                <w:color w:val="0000FF"/>
                <w:kern w:val="0"/>
                <w:sz w:val="22"/>
              </w:rPr>
              <w:t>月</w:t>
            </w:r>
            <w:r>
              <w:rPr>
                <w:rFonts w:hint="eastAsia" w:ascii="宋体" w:hAnsi="宋体" w:eastAsia="宋体" w:cs="Arial"/>
                <w:color w:val="0000FF"/>
                <w:kern w:val="0"/>
                <w:sz w:val="22"/>
                <w:lang w:val="en-US" w:eastAsia="zh-CN"/>
              </w:rPr>
              <w:t>1</w:t>
            </w:r>
            <w:r>
              <w:rPr>
                <w:rFonts w:hint="eastAsia" w:ascii="宋体" w:hAnsi="宋体" w:cs="Arial"/>
                <w:color w:val="0000FF"/>
                <w:kern w:val="0"/>
                <w:sz w:val="22"/>
              </w:rPr>
              <w:t>日上午9时</w:t>
            </w:r>
            <w:r>
              <w:rPr>
                <w:rFonts w:hint="eastAsia" w:ascii="宋体" w:hAnsi="宋体" w:cs="Arial"/>
                <w:color w:val="0000FF"/>
                <w:kern w:val="0"/>
                <w:sz w:val="22"/>
                <w:lang w:val="en-US" w:eastAsia="zh-CN"/>
              </w:rPr>
              <w:t>3</w:t>
            </w:r>
            <w:r>
              <w:rPr>
                <w:rFonts w:hint="eastAsia" w:ascii="宋体" w:hAnsi="宋体" w:cs="Arial"/>
                <w:color w:val="0000FF"/>
                <w:kern w:val="0"/>
                <w:sz w:val="22"/>
              </w:rPr>
              <w:t>0分</w:t>
            </w:r>
            <w:bookmarkStart w:id="118" w:name="_GoBack"/>
            <w:bookmarkEnd w:id="118"/>
            <w:r>
              <w:rPr>
                <w:rFonts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4.2.2</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递交投标文件地点</w:t>
            </w:r>
          </w:p>
        </w:tc>
        <w:tc>
          <w:tcPr>
            <w:tcW w:w="6487" w:type="dxa"/>
            <w:vAlign w:val="center"/>
          </w:tcPr>
          <w:p>
            <w:pPr>
              <w:autoSpaceDE w:val="0"/>
              <w:autoSpaceDN w:val="0"/>
              <w:adjustRightInd w:val="0"/>
              <w:snapToGrid w:val="0"/>
              <w:rPr>
                <w:rFonts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4.2.3</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是否退还投标文件</w:t>
            </w:r>
          </w:p>
        </w:tc>
        <w:tc>
          <w:tcPr>
            <w:tcW w:w="6487" w:type="dxa"/>
            <w:vAlign w:val="center"/>
          </w:tcPr>
          <w:p>
            <w:pPr>
              <w:autoSpaceDE w:val="0"/>
              <w:autoSpaceDN w:val="0"/>
              <w:adjustRightInd w:val="0"/>
              <w:snapToGrid w:val="0"/>
              <w:rPr>
                <w:rFonts w:cs="Calibri"/>
                <w:kern w:val="0"/>
                <w:sz w:val="22"/>
              </w:rPr>
            </w:pPr>
            <w:r>
              <w:rPr>
                <w:rFonts w:cs="Calibri"/>
                <w:kern w:val="0"/>
                <w:sz w:val="22"/>
              </w:rPr>
              <w:sym w:font="Wingdings" w:char="F0FE"/>
            </w:r>
            <w:r>
              <w:rPr>
                <w:rFonts w:cs="Calibri"/>
                <w:kern w:val="0"/>
                <w:sz w:val="22"/>
              </w:rPr>
              <w:t>否</w:t>
            </w:r>
          </w:p>
          <w:p>
            <w:pPr>
              <w:autoSpaceDE w:val="0"/>
              <w:autoSpaceDN w:val="0"/>
              <w:adjustRightInd w:val="0"/>
              <w:snapToGrid w:val="0"/>
              <w:rPr>
                <w:rFonts w:cs="Calibri"/>
                <w:kern w:val="0"/>
                <w:sz w:val="22"/>
              </w:rPr>
            </w:pPr>
            <w:r>
              <w:rPr>
                <w:rFonts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5.1.1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开标时间和地点</w:t>
            </w:r>
          </w:p>
        </w:tc>
        <w:tc>
          <w:tcPr>
            <w:tcW w:w="6487" w:type="dxa"/>
            <w:vAlign w:val="center"/>
          </w:tcPr>
          <w:p>
            <w:pPr>
              <w:autoSpaceDE w:val="0"/>
              <w:autoSpaceDN w:val="0"/>
              <w:adjustRightInd w:val="0"/>
              <w:snapToGrid w:val="0"/>
              <w:rPr>
                <w:rFonts w:cs="Calibri"/>
                <w:kern w:val="0"/>
                <w:sz w:val="22"/>
              </w:rPr>
            </w:pPr>
            <w:r>
              <w:rPr>
                <w:rFonts w:cs="Calibri"/>
                <w:kern w:val="0"/>
                <w:sz w:val="22"/>
              </w:rPr>
              <w:t>开标时间：同投标截止时间</w:t>
            </w:r>
          </w:p>
          <w:p>
            <w:pPr>
              <w:autoSpaceDE w:val="0"/>
              <w:autoSpaceDN w:val="0"/>
              <w:adjustRightInd w:val="0"/>
              <w:snapToGrid w:val="0"/>
              <w:rPr>
                <w:rFonts w:cs="Calibri"/>
                <w:kern w:val="0"/>
                <w:sz w:val="22"/>
              </w:rPr>
            </w:pPr>
            <w:r>
              <w:rPr>
                <w:rFonts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5.2</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开标程序</w:t>
            </w:r>
          </w:p>
        </w:tc>
        <w:tc>
          <w:tcPr>
            <w:tcW w:w="6487" w:type="dxa"/>
            <w:vAlign w:val="center"/>
          </w:tcPr>
          <w:p>
            <w:pPr>
              <w:autoSpaceDE w:val="0"/>
              <w:autoSpaceDN w:val="0"/>
              <w:adjustRightInd w:val="0"/>
              <w:snapToGrid w:val="0"/>
              <w:rPr>
                <w:rFonts w:cs="Calibri"/>
                <w:kern w:val="0"/>
                <w:sz w:val="22"/>
              </w:rPr>
            </w:pPr>
            <w:r>
              <w:rPr>
                <w:rFonts w:cs="Calibri"/>
                <w:kern w:val="0"/>
                <w:sz w:val="22"/>
              </w:rPr>
              <w:t>（</w:t>
            </w:r>
            <w:r>
              <w:rPr>
                <w:rFonts w:hint="eastAsia" w:cs="Calibri"/>
                <w:kern w:val="0"/>
                <w:sz w:val="22"/>
              </w:rPr>
              <w:t>1</w:t>
            </w:r>
            <w:r>
              <w:rPr>
                <w:rFonts w:cs="Calibri"/>
                <w:kern w:val="0"/>
                <w:sz w:val="22"/>
              </w:rPr>
              <w:t>）密封情况检查：由投标人或者其集体推选的代表检查投标文件的密封情况。</w:t>
            </w:r>
          </w:p>
          <w:p>
            <w:pPr>
              <w:autoSpaceDE w:val="0"/>
              <w:autoSpaceDN w:val="0"/>
              <w:adjustRightInd w:val="0"/>
              <w:snapToGrid w:val="0"/>
              <w:rPr>
                <w:rFonts w:cs="Calibri"/>
                <w:kern w:val="0"/>
                <w:sz w:val="22"/>
              </w:rPr>
            </w:pPr>
            <w:r>
              <w:rPr>
                <w:rFonts w:cs="Calibri"/>
                <w:kern w:val="0"/>
                <w:sz w:val="22"/>
              </w:rPr>
              <w:t>（</w:t>
            </w:r>
            <w:r>
              <w:rPr>
                <w:rFonts w:hint="eastAsia" w:cs="Calibri"/>
                <w:kern w:val="0"/>
                <w:sz w:val="22"/>
              </w:rPr>
              <w:t>2</w:t>
            </w:r>
            <w:r>
              <w:rPr>
                <w:rFonts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6.1.1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评标委员会的组建</w:t>
            </w:r>
          </w:p>
        </w:tc>
        <w:tc>
          <w:tcPr>
            <w:tcW w:w="6487" w:type="dxa"/>
            <w:vAlign w:val="center"/>
          </w:tcPr>
          <w:p>
            <w:pPr>
              <w:autoSpaceDE w:val="0"/>
              <w:autoSpaceDN w:val="0"/>
              <w:adjustRightInd w:val="0"/>
              <w:snapToGrid w:val="0"/>
              <w:jc w:val="left"/>
              <w:rPr>
                <w:sz w:val="22"/>
              </w:rPr>
            </w:pPr>
            <w:r>
              <w:rPr>
                <w:rFonts w:hint="eastAsia"/>
                <w:sz w:val="22"/>
              </w:rPr>
              <w:t>评标委员会构成</w:t>
            </w:r>
            <w:r>
              <w:rPr>
                <w:rFonts w:hint="eastAsia" w:cs="Calibri"/>
                <w:kern w:val="0"/>
                <w:sz w:val="22"/>
              </w:rPr>
              <w:t>：3</w:t>
            </w:r>
            <w:r>
              <w:rPr>
                <w:rFonts w:hint="eastAsia"/>
                <w:sz w:val="22"/>
              </w:rPr>
              <w:t>人及以上单数</w:t>
            </w:r>
          </w:p>
          <w:p>
            <w:pPr>
              <w:autoSpaceDE w:val="0"/>
              <w:autoSpaceDN w:val="0"/>
              <w:adjustRightInd w:val="0"/>
              <w:snapToGrid w:val="0"/>
              <w:jc w:val="left"/>
              <w:rPr>
                <w:sz w:val="22"/>
              </w:rPr>
            </w:pPr>
            <w:r>
              <w:rPr>
                <w:rFonts w:hint="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7.1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是否授权评标委员会确定中标人</w:t>
            </w:r>
          </w:p>
        </w:tc>
        <w:tc>
          <w:tcPr>
            <w:tcW w:w="6487" w:type="dxa"/>
            <w:vAlign w:val="center"/>
          </w:tcPr>
          <w:p>
            <w:pPr>
              <w:autoSpaceDE w:val="0"/>
              <w:autoSpaceDN w:val="0"/>
              <w:adjustRightInd w:val="0"/>
              <w:snapToGrid w:val="0"/>
              <w:rPr>
                <w:rFonts w:cs="Calibri"/>
                <w:kern w:val="0"/>
                <w:sz w:val="22"/>
              </w:rPr>
            </w:pPr>
            <w:r>
              <w:rPr>
                <w:rFonts w:cs="Calibri"/>
                <w:kern w:val="0"/>
                <w:sz w:val="22"/>
              </w:rPr>
              <w:t>□是</w:t>
            </w:r>
          </w:p>
          <w:p>
            <w:pPr>
              <w:autoSpaceDE w:val="0"/>
              <w:autoSpaceDN w:val="0"/>
              <w:adjustRightInd w:val="0"/>
              <w:snapToGrid w:val="0"/>
              <w:rPr>
                <w:rFonts w:cs="Calibri"/>
                <w:kern w:val="0"/>
                <w:sz w:val="22"/>
              </w:rPr>
            </w:pPr>
            <w:r>
              <w:rPr>
                <w:rFonts w:cs="Calibri"/>
                <w:kern w:val="0"/>
                <w:sz w:val="22"/>
              </w:rPr>
              <w:sym w:font="Wingdings" w:char="F0FE"/>
            </w:r>
            <w:r>
              <w:rPr>
                <w:rFonts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7.3.1</w:t>
            </w:r>
          </w:p>
        </w:tc>
        <w:tc>
          <w:tcPr>
            <w:tcW w:w="2004" w:type="dxa"/>
            <w:vAlign w:val="center"/>
          </w:tcPr>
          <w:p>
            <w:pPr>
              <w:autoSpaceDE w:val="0"/>
              <w:autoSpaceDN w:val="0"/>
              <w:adjustRightInd w:val="0"/>
              <w:snapToGrid w:val="0"/>
              <w:jc w:val="center"/>
              <w:rPr>
                <w:rFonts w:cs="Calibri"/>
                <w:kern w:val="0"/>
                <w:sz w:val="22"/>
              </w:rPr>
            </w:pPr>
            <w:r>
              <w:rPr>
                <w:rFonts w:cs="Calibri"/>
                <w:kern w:val="0"/>
                <w:sz w:val="22"/>
              </w:rPr>
              <w:t>履约担保</w:t>
            </w:r>
          </w:p>
        </w:tc>
        <w:tc>
          <w:tcPr>
            <w:tcW w:w="6487" w:type="dxa"/>
            <w:vAlign w:val="center"/>
          </w:tcPr>
          <w:p>
            <w:pPr>
              <w:autoSpaceDE w:val="0"/>
              <w:autoSpaceDN w:val="0"/>
              <w:adjustRightInd w:val="0"/>
              <w:snapToGrid w:val="0"/>
              <w:jc w:val="left"/>
              <w:rPr>
                <w:sz w:val="22"/>
              </w:rPr>
            </w:pPr>
            <w:r>
              <w:rPr>
                <w:sz w:val="22"/>
              </w:rPr>
              <w:t>履约担保的形式：</w:t>
            </w:r>
            <w:r>
              <w:rPr>
                <w:rFonts w:hint="eastAsia"/>
                <w:sz w:val="22"/>
              </w:rPr>
              <w:t>银行转账</w:t>
            </w:r>
          </w:p>
          <w:p>
            <w:pPr>
              <w:autoSpaceDE w:val="0"/>
              <w:autoSpaceDN w:val="0"/>
              <w:adjustRightInd w:val="0"/>
              <w:snapToGrid w:val="0"/>
              <w:jc w:val="left"/>
              <w:rPr>
                <w:sz w:val="22"/>
              </w:rPr>
            </w:pPr>
            <w:r>
              <w:rPr>
                <w:sz w:val="22"/>
              </w:rPr>
              <w:t>履约担保的金额：</w:t>
            </w:r>
            <w:r>
              <w:rPr>
                <w:rFonts w:hint="eastAsia"/>
                <w:sz w:val="22"/>
              </w:rPr>
              <w:t>首年合同</w:t>
            </w:r>
            <w:r>
              <w:rPr>
                <w:sz w:val="22"/>
              </w:rPr>
              <w:t>金额的10</w:t>
            </w:r>
            <w:r>
              <w:rPr>
                <w:rFonts w:hint="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kern w:val="0"/>
                <w:sz w:val="22"/>
              </w:rPr>
            </w:pPr>
            <w:r>
              <w:rPr>
                <w:rFonts w:cs="Calibri"/>
                <w:kern w:val="0"/>
                <w:sz w:val="22"/>
              </w:rPr>
              <w:t>10</w:t>
            </w:r>
          </w:p>
        </w:tc>
        <w:tc>
          <w:tcPr>
            <w:tcW w:w="8491" w:type="dxa"/>
            <w:gridSpan w:val="2"/>
            <w:vAlign w:val="center"/>
          </w:tcPr>
          <w:p>
            <w:pPr>
              <w:autoSpaceDE w:val="0"/>
              <w:autoSpaceDN w:val="0"/>
              <w:adjustRightInd w:val="0"/>
              <w:snapToGrid w:val="0"/>
              <w:jc w:val="center"/>
              <w:rPr>
                <w:rFonts w:cs="Calibri"/>
                <w:snapToGrid w:val="0"/>
                <w:sz w:val="22"/>
              </w:rPr>
            </w:pPr>
            <w:r>
              <w:rPr>
                <w:rFonts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cs="Calibri"/>
                <w:kern w:val="0"/>
                <w:sz w:val="22"/>
              </w:rPr>
            </w:pPr>
            <w:r>
              <w:rPr>
                <w:rFonts w:cs="Calibri"/>
                <w:kern w:val="0"/>
                <w:sz w:val="22"/>
              </w:rPr>
              <w:t>10.</w:t>
            </w:r>
            <w:r>
              <w:rPr>
                <w:rFonts w:hint="eastAsia" w:cs="Calibri"/>
                <w:kern w:val="0"/>
                <w:sz w:val="22"/>
              </w:rPr>
              <w:t>2</w:t>
            </w:r>
          </w:p>
        </w:tc>
        <w:tc>
          <w:tcPr>
            <w:tcW w:w="2004" w:type="dxa"/>
            <w:shd w:val="clear" w:color="auto" w:fill="auto"/>
            <w:vAlign w:val="center"/>
          </w:tcPr>
          <w:p>
            <w:pPr>
              <w:pStyle w:val="40"/>
              <w:adjustRightInd w:val="0"/>
              <w:snapToGrid w:val="0"/>
              <w:spacing w:line="240" w:lineRule="auto"/>
              <w:jc w:val="center"/>
              <w:rPr>
                <w:rFonts w:ascii="等线" w:hAnsi="等线" w:eastAsia="等线" w:cs="Calibri"/>
                <w:color w:val="auto"/>
                <w:sz w:val="22"/>
                <w:szCs w:val="22"/>
              </w:rPr>
            </w:pPr>
            <w:r>
              <w:rPr>
                <w:rFonts w:ascii="等线" w:hAnsi="等线" w:eastAsia="等线" w:cs="Calibri"/>
                <w:color w:val="auto"/>
                <w:sz w:val="22"/>
                <w:szCs w:val="22"/>
              </w:rPr>
              <w:t>其他</w:t>
            </w:r>
          </w:p>
        </w:tc>
        <w:tc>
          <w:tcPr>
            <w:tcW w:w="6487" w:type="dxa"/>
            <w:shd w:val="clear" w:color="auto" w:fill="FFFFFF"/>
            <w:vAlign w:val="center"/>
          </w:tcPr>
          <w:p>
            <w:pPr>
              <w:adjustRightInd w:val="0"/>
              <w:snapToGrid w:val="0"/>
              <w:rPr>
                <w:rFonts w:cs="Calibri"/>
                <w:snapToGrid w:val="0"/>
                <w:kern w:val="0"/>
                <w:sz w:val="22"/>
              </w:rPr>
            </w:pPr>
            <w:r>
              <w:rPr>
                <w:rFonts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snapToGrid w:val="0"/>
                <w:kern w:val="0"/>
                <w:sz w:val="22"/>
              </w:rPr>
              <w:t>异议</w:t>
            </w:r>
            <w:r>
              <w:rPr>
                <w:rFonts w:cs="Calibri"/>
                <w:snapToGrid w:val="0"/>
                <w:kern w:val="0"/>
                <w:sz w:val="22"/>
              </w:rPr>
              <w:t>。</w:t>
            </w:r>
          </w:p>
          <w:p>
            <w:pPr>
              <w:adjustRightInd w:val="0"/>
              <w:snapToGrid w:val="0"/>
              <w:rPr>
                <w:rFonts w:cs="Calibri"/>
                <w:snapToGrid w:val="0"/>
                <w:kern w:val="0"/>
                <w:sz w:val="22"/>
              </w:rPr>
            </w:pPr>
            <w:r>
              <w:rPr>
                <w:rFonts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cs="Calibri"/>
                <w:kern w:val="0"/>
                <w:sz w:val="22"/>
              </w:rPr>
            </w:pPr>
            <w:r>
              <w:rPr>
                <w:rFonts w:hint="eastAsia" w:cs="Calibri"/>
                <w:kern w:val="0"/>
                <w:sz w:val="22"/>
              </w:rPr>
              <w:t>10.3</w:t>
            </w:r>
          </w:p>
        </w:tc>
        <w:tc>
          <w:tcPr>
            <w:tcW w:w="2004" w:type="dxa"/>
            <w:shd w:val="clear" w:color="auto" w:fill="auto"/>
            <w:vAlign w:val="center"/>
          </w:tcPr>
          <w:p>
            <w:pPr>
              <w:pStyle w:val="40"/>
              <w:spacing w:line="240" w:lineRule="auto"/>
              <w:jc w:val="center"/>
              <w:rPr>
                <w:rFonts w:ascii="等线" w:hAnsi="等线" w:eastAsia="等线" w:cs="Calibri"/>
                <w:color w:val="auto"/>
                <w:sz w:val="22"/>
                <w:szCs w:val="22"/>
              </w:rPr>
            </w:pPr>
            <w:r>
              <w:rPr>
                <w:rFonts w:hint="eastAsia" w:ascii="等线" w:hAnsi="等线" w:eastAsia="等线" w:cs="Calibri"/>
                <w:color w:val="auto"/>
                <w:sz w:val="22"/>
                <w:szCs w:val="22"/>
              </w:rPr>
              <w:t>备注</w:t>
            </w:r>
          </w:p>
        </w:tc>
        <w:tc>
          <w:tcPr>
            <w:tcW w:w="6487" w:type="dxa"/>
            <w:shd w:val="clear" w:color="auto" w:fill="FFFFFF"/>
            <w:vAlign w:val="center"/>
          </w:tcPr>
          <w:p>
            <w:pPr>
              <w:adjustRightInd w:val="0"/>
              <w:snapToGrid w:val="0"/>
              <w:rPr>
                <w:rFonts w:cs="Calibri"/>
                <w:kern w:val="0"/>
                <w:sz w:val="22"/>
              </w:rPr>
            </w:pPr>
            <w:r>
              <w:rPr>
                <w:rFonts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b/>
          <w:bCs/>
          <w:kern w:val="0"/>
          <w:sz w:val="22"/>
        </w:rPr>
      </w:pPr>
      <w:r>
        <w:rPr>
          <w:rFonts w:eastAsia="黑体" w:cs="Calibri"/>
          <w:b/>
          <w:bCs/>
          <w:kern w:val="0"/>
          <w:szCs w:val="21"/>
        </w:rPr>
        <w:br w:type="page"/>
      </w:r>
      <w:r>
        <w:rPr>
          <w:rFonts w:cs="Calibri"/>
          <w:b/>
          <w:bCs/>
          <w:kern w:val="0"/>
          <w:sz w:val="22"/>
        </w:rPr>
        <w:t>1.</w:t>
      </w:r>
      <w:r>
        <w:rPr>
          <w:rFonts w:hint="eastAsia" w:cs="Calibri"/>
          <w:b/>
          <w:bCs/>
          <w:kern w:val="0"/>
          <w:sz w:val="22"/>
        </w:rPr>
        <w:t xml:space="preserve"> </w:t>
      </w:r>
      <w:r>
        <w:rPr>
          <w:rFonts w:cs="Calibri"/>
          <w:b/>
          <w:bCs/>
          <w:kern w:val="0"/>
          <w:sz w:val="22"/>
        </w:rPr>
        <w:t>总则</w:t>
      </w:r>
      <w:bookmarkEnd w:id="38"/>
      <w:bookmarkEnd w:id="39"/>
    </w:p>
    <w:p>
      <w:pPr>
        <w:autoSpaceDE w:val="0"/>
        <w:autoSpaceDN w:val="0"/>
        <w:adjustRightInd w:val="0"/>
        <w:snapToGrid w:val="0"/>
        <w:spacing w:line="360" w:lineRule="exact"/>
        <w:rPr>
          <w:rFonts w:cs="Calibri"/>
          <w:b/>
          <w:bCs/>
          <w:kern w:val="0"/>
          <w:sz w:val="22"/>
        </w:rPr>
      </w:pPr>
      <w:bookmarkStart w:id="40" w:name="_Toc26216"/>
      <w:r>
        <w:rPr>
          <w:rFonts w:cs="Calibri"/>
          <w:b/>
          <w:bCs/>
          <w:kern w:val="0"/>
          <w:sz w:val="22"/>
        </w:rPr>
        <w:t>1.1 项目</w:t>
      </w:r>
      <w:bookmarkEnd w:id="40"/>
      <w:r>
        <w:rPr>
          <w:rFonts w:cs="Calibri"/>
          <w:b/>
          <w:bCs/>
          <w:kern w:val="0"/>
          <w:sz w:val="22"/>
        </w:rPr>
        <w:t>概况</w:t>
      </w:r>
    </w:p>
    <w:p>
      <w:pPr>
        <w:adjustRightInd w:val="0"/>
        <w:snapToGrid w:val="0"/>
        <w:spacing w:line="360" w:lineRule="exact"/>
        <w:ind w:firstLine="440" w:firstLineChars="200"/>
        <w:rPr>
          <w:rFonts w:cs="Calibri"/>
          <w:color w:val="000000"/>
          <w:kern w:val="0"/>
          <w:sz w:val="22"/>
        </w:rPr>
      </w:pPr>
      <w:r>
        <w:rPr>
          <w:rFonts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color w:val="000000"/>
          <w:sz w:val="22"/>
        </w:rPr>
      </w:pPr>
      <w:r>
        <w:rPr>
          <w:rFonts w:cs="Calibri"/>
          <w:color w:val="000000"/>
          <w:kern w:val="0"/>
          <w:sz w:val="22"/>
        </w:rPr>
        <w:t>1.1.2项目</w:t>
      </w:r>
      <w:r>
        <w:rPr>
          <w:rFonts w:hint="eastAsia" w:cs="Calibri"/>
          <w:color w:val="000000"/>
          <w:kern w:val="0"/>
          <w:sz w:val="22"/>
        </w:rPr>
        <w:t>实施</w:t>
      </w:r>
      <w:r>
        <w:rPr>
          <w:rFonts w:cs="Calibri"/>
          <w:color w:val="000000"/>
          <w:kern w:val="0"/>
          <w:sz w:val="22"/>
        </w:rPr>
        <w:t>地点见投标人须知前附表</w:t>
      </w:r>
      <w:r>
        <w:rPr>
          <w:rFonts w:cs="Calibri"/>
          <w:color w:val="000000"/>
          <w:sz w:val="22"/>
        </w:rPr>
        <w:t>。</w:t>
      </w:r>
    </w:p>
    <w:p>
      <w:pPr>
        <w:autoSpaceDE w:val="0"/>
        <w:autoSpaceDN w:val="0"/>
        <w:adjustRightInd w:val="0"/>
        <w:snapToGrid w:val="0"/>
        <w:spacing w:line="360" w:lineRule="exact"/>
        <w:rPr>
          <w:rFonts w:cs="Calibri"/>
          <w:b/>
          <w:bCs/>
          <w:kern w:val="0"/>
          <w:sz w:val="22"/>
        </w:rPr>
      </w:pPr>
      <w:bookmarkStart w:id="41" w:name="_Toc9136"/>
      <w:r>
        <w:rPr>
          <w:rFonts w:cs="Calibri"/>
          <w:b/>
          <w:bCs/>
          <w:kern w:val="0"/>
          <w:sz w:val="22"/>
        </w:rPr>
        <w:t>1.</w:t>
      </w:r>
      <w:r>
        <w:rPr>
          <w:rFonts w:hint="eastAsia" w:cs="Calibri"/>
          <w:b/>
          <w:bCs/>
          <w:kern w:val="0"/>
          <w:sz w:val="22"/>
        </w:rPr>
        <w:t>2</w:t>
      </w:r>
      <w:r>
        <w:rPr>
          <w:rFonts w:cs="Calibri"/>
          <w:b/>
          <w:bCs/>
          <w:kern w:val="0"/>
          <w:sz w:val="22"/>
        </w:rPr>
        <w:t xml:space="preserve"> 资金来源</w:t>
      </w:r>
      <w:bookmarkEnd w:id="41"/>
    </w:p>
    <w:p>
      <w:pPr>
        <w:adjustRightInd w:val="0"/>
        <w:snapToGrid w:val="0"/>
        <w:spacing w:line="360" w:lineRule="exact"/>
        <w:ind w:firstLine="440" w:firstLineChars="20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rPr>
          <w:rFonts w:cs="Calibri"/>
          <w:b/>
          <w:bCs/>
          <w:kern w:val="0"/>
          <w:sz w:val="22"/>
        </w:rPr>
      </w:pPr>
      <w:bookmarkStart w:id="42" w:name="_Toc10673"/>
      <w:r>
        <w:rPr>
          <w:rFonts w:cs="Calibri"/>
          <w:b/>
          <w:bCs/>
          <w:kern w:val="0"/>
          <w:sz w:val="22"/>
        </w:rPr>
        <w:t>1.</w:t>
      </w:r>
      <w:r>
        <w:rPr>
          <w:rFonts w:hint="eastAsia" w:cs="Calibri"/>
          <w:b/>
          <w:bCs/>
          <w:kern w:val="0"/>
          <w:sz w:val="22"/>
        </w:rPr>
        <w:t>3</w:t>
      </w:r>
      <w:r>
        <w:rPr>
          <w:rFonts w:cs="Calibri"/>
          <w:b/>
          <w:bCs/>
          <w:kern w:val="0"/>
          <w:sz w:val="22"/>
        </w:rPr>
        <w:t xml:space="preserve"> 招标</w:t>
      </w:r>
      <w:bookmarkEnd w:id="42"/>
      <w:r>
        <w:rPr>
          <w:rFonts w:hint="eastAsia" w:cs="Calibri"/>
          <w:b/>
          <w:bCs/>
          <w:kern w:val="0"/>
          <w:sz w:val="22"/>
        </w:rPr>
        <w:t>内容</w:t>
      </w:r>
    </w:p>
    <w:p>
      <w:pPr>
        <w:adjustRightInd w:val="0"/>
        <w:snapToGrid w:val="0"/>
        <w:spacing w:line="360" w:lineRule="exact"/>
        <w:ind w:firstLine="440" w:firstLineChars="20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rPr>
          <w:rFonts w:cs="Calibri"/>
          <w:b/>
          <w:bCs/>
          <w:kern w:val="0"/>
          <w:sz w:val="22"/>
        </w:rPr>
      </w:pPr>
      <w:bookmarkStart w:id="43" w:name="_Toc718"/>
      <w:r>
        <w:rPr>
          <w:rFonts w:cs="Calibri"/>
          <w:b/>
          <w:bCs/>
          <w:kern w:val="0"/>
          <w:sz w:val="22"/>
        </w:rPr>
        <w:t>1.</w:t>
      </w:r>
      <w:r>
        <w:rPr>
          <w:rFonts w:hint="eastAsia" w:cs="Calibri"/>
          <w:b/>
          <w:bCs/>
          <w:kern w:val="0"/>
          <w:sz w:val="22"/>
        </w:rPr>
        <w:t>4</w:t>
      </w:r>
      <w:r>
        <w:rPr>
          <w:rFonts w:cs="Calibri"/>
          <w:b/>
          <w:bCs/>
          <w:kern w:val="0"/>
          <w:sz w:val="22"/>
        </w:rPr>
        <w:t xml:space="preserve"> 招标方式</w:t>
      </w:r>
      <w:bookmarkEnd w:id="43"/>
    </w:p>
    <w:p>
      <w:pPr>
        <w:adjustRightInd w:val="0"/>
        <w:snapToGrid w:val="0"/>
        <w:spacing w:line="360" w:lineRule="exact"/>
        <w:ind w:firstLine="440" w:firstLineChars="20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rPr>
          <w:rFonts w:cs="Calibri"/>
          <w:b/>
          <w:bCs/>
          <w:kern w:val="0"/>
          <w:sz w:val="22"/>
        </w:rPr>
      </w:pPr>
      <w:bookmarkStart w:id="44" w:name="_Toc9161"/>
      <w:r>
        <w:rPr>
          <w:rFonts w:cs="Calibri"/>
          <w:b/>
          <w:bCs/>
          <w:kern w:val="0"/>
          <w:sz w:val="22"/>
        </w:rPr>
        <w:t>1.</w:t>
      </w:r>
      <w:r>
        <w:rPr>
          <w:rFonts w:hint="eastAsia" w:cs="Calibri"/>
          <w:b/>
          <w:bCs/>
          <w:kern w:val="0"/>
          <w:sz w:val="22"/>
        </w:rPr>
        <w:t xml:space="preserve">5 </w:t>
      </w:r>
      <w:r>
        <w:rPr>
          <w:rFonts w:cs="Calibri"/>
          <w:b/>
          <w:bCs/>
          <w:kern w:val="0"/>
          <w:sz w:val="22"/>
        </w:rPr>
        <w:t>资格审查</w:t>
      </w:r>
      <w:bookmarkEnd w:id="44"/>
    </w:p>
    <w:p>
      <w:pPr>
        <w:adjustRightInd w:val="0"/>
        <w:snapToGrid w:val="0"/>
        <w:spacing w:line="360" w:lineRule="exact"/>
        <w:ind w:firstLine="440" w:firstLineChars="20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rPr>
          <w:rFonts w:cs="Calibri"/>
          <w:b/>
          <w:bCs/>
          <w:kern w:val="0"/>
          <w:sz w:val="22"/>
        </w:rPr>
      </w:pPr>
      <w:bookmarkStart w:id="45" w:name="_Toc13012"/>
      <w:r>
        <w:rPr>
          <w:rFonts w:cs="Calibri"/>
          <w:b/>
          <w:bCs/>
          <w:kern w:val="0"/>
          <w:sz w:val="22"/>
        </w:rPr>
        <w:t>1.</w:t>
      </w:r>
      <w:r>
        <w:rPr>
          <w:rFonts w:hint="eastAsia" w:cs="Calibri"/>
          <w:b/>
          <w:bCs/>
          <w:kern w:val="0"/>
          <w:sz w:val="22"/>
        </w:rPr>
        <w:t>6</w:t>
      </w:r>
      <w:r>
        <w:rPr>
          <w:rFonts w:cs="Calibri"/>
          <w:b/>
          <w:bCs/>
          <w:kern w:val="0"/>
          <w:sz w:val="22"/>
        </w:rPr>
        <w:t xml:space="preserve"> 投标人资质条件、能力和信誉</w:t>
      </w:r>
      <w:bookmarkEnd w:id="45"/>
    </w:p>
    <w:p>
      <w:pPr>
        <w:adjustRightInd w:val="0"/>
        <w:snapToGrid w:val="0"/>
        <w:spacing w:line="360" w:lineRule="exact"/>
        <w:ind w:firstLine="440" w:firstLineChars="20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rPr>
          <w:rFonts w:cs="Calibri"/>
          <w:b/>
          <w:bCs/>
          <w:kern w:val="0"/>
          <w:sz w:val="22"/>
        </w:rPr>
      </w:pPr>
      <w:bookmarkStart w:id="46" w:name="_Toc2796"/>
      <w:r>
        <w:rPr>
          <w:rFonts w:cs="Calibri"/>
          <w:b/>
          <w:bCs/>
          <w:kern w:val="0"/>
          <w:sz w:val="22"/>
        </w:rPr>
        <w:t>1.</w:t>
      </w:r>
      <w:r>
        <w:rPr>
          <w:rFonts w:hint="eastAsia" w:cs="Calibri"/>
          <w:b/>
          <w:bCs/>
          <w:kern w:val="0"/>
          <w:sz w:val="22"/>
        </w:rPr>
        <w:t>7</w:t>
      </w:r>
      <w:r>
        <w:rPr>
          <w:rFonts w:cs="Calibri"/>
          <w:b/>
          <w:bCs/>
          <w:kern w:val="0"/>
          <w:sz w:val="22"/>
        </w:rPr>
        <w:t xml:space="preserve"> </w:t>
      </w:r>
      <w:r>
        <w:rPr>
          <w:rFonts w:hint="eastAsia" w:cs="Calibri"/>
          <w:b/>
          <w:bCs/>
          <w:kern w:val="0"/>
          <w:sz w:val="22"/>
        </w:rPr>
        <w:t>服务</w:t>
      </w:r>
      <w:r>
        <w:rPr>
          <w:rFonts w:cs="Calibri"/>
          <w:b/>
          <w:bCs/>
          <w:kern w:val="0"/>
          <w:sz w:val="22"/>
        </w:rPr>
        <w:t>期</w:t>
      </w:r>
      <w:bookmarkEnd w:id="46"/>
    </w:p>
    <w:p>
      <w:pPr>
        <w:adjustRightInd w:val="0"/>
        <w:snapToGrid w:val="0"/>
        <w:spacing w:line="360" w:lineRule="exact"/>
        <w:ind w:firstLine="440" w:firstLineChars="20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rPr>
          <w:rFonts w:cs="Calibri"/>
          <w:b/>
          <w:bCs/>
          <w:kern w:val="0"/>
          <w:sz w:val="22"/>
        </w:rPr>
      </w:pPr>
      <w:r>
        <w:rPr>
          <w:rFonts w:hint="eastAsia" w:cs="Calibri"/>
          <w:b/>
          <w:bCs/>
          <w:kern w:val="0"/>
          <w:sz w:val="22"/>
        </w:rPr>
        <w:t>1.8 质量要求</w:t>
      </w:r>
    </w:p>
    <w:p>
      <w:pPr>
        <w:adjustRightInd w:val="0"/>
        <w:snapToGrid w:val="0"/>
        <w:spacing w:line="360" w:lineRule="exact"/>
        <w:ind w:firstLine="440" w:firstLineChars="200"/>
        <w:rPr>
          <w:rFonts w:cs="Calibri"/>
          <w:color w:val="000000"/>
          <w:sz w:val="22"/>
        </w:rPr>
      </w:pPr>
      <w:bookmarkStart w:id="47" w:name="_Toc13907"/>
      <w:r>
        <w:rPr>
          <w:rFonts w:cs="Calibri"/>
          <w:color w:val="000000"/>
          <w:sz w:val="22"/>
        </w:rPr>
        <w:t>见投标人须知前附表。</w:t>
      </w:r>
    </w:p>
    <w:p>
      <w:pPr>
        <w:autoSpaceDE w:val="0"/>
        <w:autoSpaceDN w:val="0"/>
        <w:adjustRightInd w:val="0"/>
        <w:snapToGrid w:val="0"/>
        <w:spacing w:line="360" w:lineRule="exact"/>
        <w:rPr>
          <w:rFonts w:cs="Calibri"/>
          <w:b/>
          <w:bCs/>
          <w:kern w:val="0"/>
          <w:sz w:val="22"/>
        </w:rPr>
      </w:pPr>
      <w:r>
        <w:rPr>
          <w:rFonts w:cs="Calibri"/>
          <w:b/>
          <w:bCs/>
          <w:kern w:val="0"/>
          <w:sz w:val="22"/>
        </w:rPr>
        <w:t>1.</w:t>
      </w:r>
      <w:r>
        <w:rPr>
          <w:rFonts w:hint="eastAsia" w:cs="Calibri"/>
          <w:b/>
          <w:bCs/>
          <w:kern w:val="0"/>
          <w:sz w:val="22"/>
        </w:rPr>
        <w:t>9</w:t>
      </w:r>
      <w:r>
        <w:rPr>
          <w:rFonts w:cs="Calibri"/>
          <w:b/>
          <w:bCs/>
          <w:kern w:val="0"/>
          <w:sz w:val="22"/>
        </w:rPr>
        <w:t xml:space="preserve"> 踏勘现场</w:t>
      </w:r>
      <w:bookmarkEnd w:id="47"/>
    </w:p>
    <w:p>
      <w:pPr>
        <w:adjustRightInd w:val="0"/>
        <w:snapToGrid w:val="0"/>
        <w:spacing w:line="360" w:lineRule="exact"/>
        <w:ind w:firstLine="440" w:firstLineChars="200"/>
        <w:rPr>
          <w:rFonts w:cs="Calibri"/>
          <w:color w:val="000000"/>
          <w:sz w:val="22"/>
        </w:rPr>
      </w:pPr>
      <w:r>
        <w:rPr>
          <w:rFonts w:cs="Calibri"/>
          <w:sz w:val="22"/>
        </w:rPr>
        <w:t>1.</w:t>
      </w:r>
      <w:r>
        <w:rPr>
          <w:rFonts w:hint="eastAsia" w:cs="Calibri"/>
          <w:sz w:val="22"/>
        </w:rPr>
        <w:t>9</w:t>
      </w:r>
      <w:r>
        <w:rPr>
          <w:rFonts w:cs="Calibri"/>
          <w:sz w:val="22"/>
        </w:rPr>
        <w:t>.1</w:t>
      </w:r>
      <w:r>
        <w:rPr>
          <w:rFonts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color w:val="000000"/>
          <w:sz w:val="22"/>
        </w:rPr>
      </w:pPr>
      <w:r>
        <w:rPr>
          <w:rFonts w:cs="Calibri"/>
          <w:color w:val="000000"/>
          <w:sz w:val="22"/>
        </w:rPr>
        <w:t>1.</w:t>
      </w:r>
      <w:r>
        <w:rPr>
          <w:rFonts w:hint="eastAsia" w:cs="Calibri"/>
          <w:color w:val="000000"/>
          <w:sz w:val="22"/>
        </w:rPr>
        <w:t>9</w:t>
      </w:r>
      <w:r>
        <w:rPr>
          <w:rFonts w:cs="Calibri"/>
          <w:color w:val="000000"/>
          <w:sz w:val="22"/>
        </w:rPr>
        <w:t>.2 投标人踏勘现场发生的费用自理。</w:t>
      </w:r>
    </w:p>
    <w:p>
      <w:pPr>
        <w:adjustRightInd w:val="0"/>
        <w:snapToGrid w:val="0"/>
        <w:spacing w:line="360" w:lineRule="exact"/>
        <w:ind w:firstLine="440" w:firstLineChars="200"/>
        <w:rPr>
          <w:rFonts w:cs="Calibri"/>
          <w:color w:val="000000"/>
          <w:sz w:val="22"/>
        </w:rPr>
      </w:pPr>
      <w:r>
        <w:rPr>
          <w:rFonts w:cs="Calibri"/>
          <w:color w:val="000000"/>
          <w:sz w:val="22"/>
        </w:rPr>
        <w:t>1.</w:t>
      </w:r>
      <w:r>
        <w:rPr>
          <w:rFonts w:hint="eastAsia" w:cs="Calibri"/>
          <w:color w:val="000000"/>
          <w:sz w:val="22"/>
        </w:rPr>
        <w:t>9</w:t>
      </w:r>
      <w:r>
        <w:rPr>
          <w:rFonts w:cs="Calibri"/>
          <w:color w:val="000000"/>
          <w:sz w:val="22"/>
        </w:rPr>
        <w:t>.3 投标人自行负责在踏勘现场中所发生的人员伤亡和财产损失。</w:t>
      </w:r>
    </w:p>
    <w:p>
      <w:pPr>
        <w:adjustRightInd w:val="0"/>
        <w:snapToGrid w:val="0"/>
        <w:spacing w:line="360" w:lineRule="exact"/>
        <w:ind w:firstLine="440" w:firstLineChars="200"/>
        <w:rPr>
          <w:rFonts w:cs="Calibri"/>
          <w:color w:val="000000"/>
          <w:sz w:val="22"/>
        </w:rPr>
      </w:pPr>
      <w:r>
        <w:rPr>
          <w:rFonts w:cs="Calibri"/>
          <w:color w:val="000000"/>
          <w:sz w:val="22"/>
        </w:rPr>
        <w:t>1.</w:t>
      </w:r>
      <w:r>
        <w:rPr>
          <w:rFonts w:hint="eastAsia" w:cs="Calibri"/>
          <w:color w:val="000000"/>
          <w:sz w:val="22"/>
        </w:rPr>
        <w:t>9</w:t>
      </w:r>
      <w:r>
        <w:rPr>
          <w:rFonts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b/>
          <w:bCs/>
          <w:kern w:val="0"/>
          <w:sz w:val="22"/>
        </w:rPr>
      </w:pPr>
      <w:bookmarkStart w:id="48" w:name="_Toc4199"/>
      <w:r>
        <w:rPr>
          <w:rFonts w:cs="Calibri"/>
          <w:b/>
          <w:bCs/>
          <w:kern w:val="0"/>
          <w:sz w:val="22"/>
        </w:rPr>
        <w:t>1.</w:t>
      </w:r>
      <w:r>
        <w:rPr>
          <w:rFonts w:hint="eastAsia" w:cs="Calibri"/>
          <w:b/>
          <w:bCs/>
          <w:kern w:val="0"/>
          <w:sz w:val="22"/>
        </w:rPr>
        <w:t>10</w:t>
      </w:r>
      <w:r>
        <w:rPr>
          <w:rFonts w:cs="Calibri"/>
          <w:b/>
          <w:bCs/>
          <w:kern w:val="0"/>
          <w:sz w:val="22"/>
        </w:rPr>
        <w:t xml:space="preserve"> 投标预备会</w:t>
      </w:r>
      <w:bookmarkEnd w:id="48"/>
    </w:p>
    <w:p>
      <w:pPr>
        <w:adjustRightInd w:val="0"/>
        <w:snapToGrid w:val="0"/>
        <w:spacing w:line="360" w:lineRule="exact"/>
        <w:ind w:firstLine="440" w:firstLineChars="200"/>
        <w:rPr>
          <w:rFonts w:cs="Calibri"/>
          <w:color w:val="000000"/>
          <w:sz w:val="22"/>
        </w:rPr>
      </w:pPr>
      <w:r>
        <w:rPr>
          <w:rFonts w:cs="Calibri"/>
          <w:color w:val="000000"/>
          <w:sz w:val="22"/>
        </w:rPr>
        <w:t>见投标人须知前附表。</w:t>
      </w:r>
    </w:p>
    <w:p>
      <w:pPr>
        <w:autoSpaceDE w:val="0"/>
        <w:autoSpaceDN w:val="0"/>
        <w:adjustRightInd w:val="0"/>
        <w:snapToGrid w:val="0"/>
        <w:spacing w:line="360" w:lineRule="exact"/>
        <w:rPr>
          <w:rFonts w:cs="Calibri"/>
          <w:b/>
          <w:bCs/>
          <w:kern w:val="0"/>
          <w:sz w:val="22"/>
        </w:rPr>
      </w:pPr>
      <w:bookmarkStart w:id="49" w:name="_Toc4584"/>
      <w:r>
        <w:rPr>
          <w:rFonts w:cs="Calibri"/>
          <w:b/>
          <w:bCs/>
          <w:kern w:val="0"/>
          <w:sz w:val="22"/>
        </w:rPr>
        <w:t>1.1</w:t>
      </w:r>
      <w:r>
        <w:rPr>
          <w:rFonts w:hint="eastAsia" w:cs="Calibri"/>
          <w:b/>
          <w:bCs/>
          <w:kern w:val="0"/>
          <w:sz w:val="22"/>
        </w:rPr>
        <w:t>1</w:t>
      </w:r>
      <w:r>
        <w:rPr>
          <w:rFonts w:cs="Calibri"/>
          <w:b/>
          <w:bCs/>
          <w:kern w:val="0"/>
          <w:sz w:val="22"/>
        </w:rPr>
        <w:t xml:space="preserve"> 分包</w:t>
      </w:r>
      <w:bookmarkEnd w:id="49"/>
    </w:p>
    <w:p>
      <w:pPr>
        <w:adjustRightInd w:val="0"/>
        <w:snapToGrid w:val="0"/>
        <w:spacing w:line="360" w:lineRule="exact"/>
        <w:ind w:firstLine="440" w:firstLineChars="200"/>
        <w:rPr>
          <w:rFonts w:cs="Calibri"/>
          <w:color w:val="000000"/>
          <w:sz w:val="22"/>
        </w:rPr>
      </w:pPr>
      <w:r>
        <w:rPr>
          <w:rFonts w:cs="Calibri"/>
          <w:color w:val="000000"/>
          <w:sz w:val="22"/>
        </w:rPr>
        <w:t>本项目</w:t>
      </w:r>
      <w:r>
        <w:rPr>
          <w:rFonts w:hint="eastAsia" w:cs="Calibri"/>
          <w:color w:val="000000"/>
          <w:sz w:val="22"/>
        </w:rPr>
        <w:t>涉及到其它专业的部分分项工作</w:t>
      </w:r>
      <w:r>
        <w:rPr>
          <w:rFonts w:cs="Calibri"/>
          <w:color w:val="000000"/>
          <w:sz w:val="22"/>
        </w:rPr>
        <w:t>允许分包。</w:t>
      </w:r>
    </w:p>
    <w:p>
      <w:pPr>
        <w:autoSpaceDE w:val="0"/>
        <w:autoSpaceDN w:val="0"/>
        <w:adjustRightInd w:val="0"/>
        <w:snapToGrid w:val="0"/>
        <w:spacing w:line="360" w:lineRule="exact"/>
        <w:rPr>
          <w:rFonts w:cs="Calibri"/>
          <w:b/>
          <w:bCs/>
          <w:kern w:val="0"/>
          <w:sz w:val="22"/>
        </w:rPr>
      </w:pPr>
      <w:bookmarkStart w:id="50" w:name="_Toc3996"/>
      <w:r>
        <w:rPr>
          <w:rFonts w:cs="Calibri"/>
          <w:b/>
          <w:bCs/>
          <w:kern w:val="0"/>
          <w:sz w:val="22"/>
        </w:rPr>
        <w:t>1.1</w:t>
      </w:r>
      <w:r>
        <w:rPr>
          <w:rFonts w:hint="eastAsia" w:cs="Calibri"/>
          <w:b/>
          <w:bCs/>
          <w:kern w:val="0"/>
          <w:sz w:val="22"/>
        </w:rPr>
        <w:t>2</w:t>
      </w:r>
      <w:r>
        <w:rPr>
          <w:rFonts w:cs="Calibri"/>
          <w:b/>
          <w:bCs/>
          <w:kern w:val="0"/>
          <w:sz w:val="22"/>
        </w:rPr>
        <w:t xml:space="preserve"> 投标费用</w:t>
      </w:r>
      <w:bookmarkEnd w:id="50"/>
    </w:p>
    <w:p>
      <w:pPr>
        <w:adjustRightInd w:val="0"/>
        <w:snapToGrid w:val="0"/>
        <w:spacing w:line="360" w:lineRule="exact"/>
        <w:ind w:firstLine="440" w:firstLineChars="200"/>
        <w:rPr>
          <w:rFonts w:cs="Calibri"/>
          <w:color w:val="000000"/>
          <w:sz w:val="22"/>
        </w:rPr>
      </w:pPr>
      <w:r>
        <w:rPr>
          <w:rFonts w:cs="Calibri"/>
          <w:color w:val="000000"/>
          <w:sz w:val="22"/>
        </w:rPr>
        <w:t>投标人在投标过程中的一切费用，不论中标与否，均由投标人自理。</w:t>
      </w:r>
    </w:p>
    <w:p>
      <w:pPr>
        <w:autoSpaceDE w:val="0"/>
        <w:autoSpaceDN w:val="0"/>
        <w:adjustRightInd w:val="0"/>
        <w:snapToGrid w:val="0"/>
        <w:spacing w:line="360" w:lineRule="exact"/>
        <w:rPr>
          <w:rFonts w:cs="Calibri"/>
          <w:b/>
          <w:bCs/>
          <w:kern w:val="0"/>
          <w:sz w:val="22"/>
        </w:rPr>
      </w:pPr>
      <w:bookmarkStart w:id="51" w:name="_Toc143421657"/>
      <w:bookmarkStart w:id="52" w:name="_Toc15241"/>
      <w:r>
        <w:rPr>
          <w:rFonts w:cs="Calibri"/>
          <w:b/>
          <w:bCs/>
          <w:kern w:val="0"/>
          <w:sz w:val="22"/>
        </w:rPr>
        <w:t>2.招标文件</w:t>
      </w:r>
      <w:bookmarkEnd w:id="51"/>
      <w:bookmarkEnd w:id="52"/>
    </w:p>
    <w:p>
      <w:pPr>
        <w:autoSpaceDE w:val="0"/>
        <w:autoSpaceDN w:val="0"/>
        <w:adjustRightInd w:val="0"/>
        <w:snapToGrid w:val="0"/>
        <w:spacing w:line="360" w:lineRule="exact"/>
        <w:rPr>
          <w:rFonts w:cs="Calibri"/>
          <w:b/>
          <w:bCs/>
          <w:kern w:val="0"/>
          <w:sz w:val="22"/>
        </w:rPr>
      </w:pPr>
      <w:bookmarkStart w:id="53" w:name="_Toc1426"/>
      <w:r>
        <w:rPr>
          <w:rFonts w:cs="Calibri"/>
          <w:b/>
          <w:bCs/>
          <w:kern w:val="0"/>
          <w:sz w:val="22"/>
        </w:rPr>
        <w:t>2.1 招标文件的组成</w:t>
      </w:r>
      <w:bookmarkEnd w:id="53"/>
    </w:p>
    <w:p>
      <w:pPr>
        <w:adjustRightInd w:val="0"/>
        <w:snapToGrid w:val="0"/>
        <w:spacing w:line="360" w:lineRule="exact"/>
        <w:ind w:firstLine="440" w:firstLineChars="200"/>
        <w:rPr>
          <w:rFonts w:cs="Calibri"/>
          <w:color w:val="000000"/>
          <w:kern w:val="0"/>
          <w:sz w:val="22"/>
        </w:rPr>
      </w:pPr>
      <w:r>
        <w:rPr>
          <w:rFonts w:cs="Calibri"/>
          <w:color w:val="000000"/>
          <w:kern w:val="0"/>
          <w:sz w:val="22"/>
        </w:rPr>
        <w:t>本招标文件包括：</w:t>
      </w:r>
    </w:p>
    <w:p>
      <w:pPr>
        <w:adjustRightInd w:val="0"/>
        <w:snapToGrid w:val="0"/>
        <w:spacing w:line="360" w:lineRule="exact"/>
        <w:ind w:firstLine="440" w:firstLineChars="200"/>
        <w:rPr>
          <w:rFonts w:cs="Calibri"/>
          <w:color w:val="000000"/>
          <w:kern w:val="0"/>
          <w:sz w:val="22"/>
        </w:rPr>
      </w:pPr>
      <w:r>
        <w:rPr>
          <w:rFonts w:cs="Calibri"/>
          <w:color w:val="000000"/>
          <w:kern w:val="0"/>
          <w:sz w:val="22"/>
        </w:rPr>
        <w:t>（1）招标公告</w:t>
      </w:r>
    </w:p>
    <w:p>
      <w:pPr>
        <w:adjustRightInd w:val="0"/>
        <w:snapToGrid w:val="0"/>
        <w:spacing w:line="360" w:lineRule="exact"/>
        <w:ind w:firstLine="440" w:firstLineChars="200"/>
        <w:rPr>
          <w:rFonts w:cs="Calibri"/>
          <w:color w:val="000000"/>
          <w:kern w:val="0"/>
          <w:sz w:val="22"/>
        </w:rPr>
      </w:pPr>
      <w:r>
        <w:rPr>
          <w:rFonts w:cs="Calibri"/>
          <w:color w:val="000000"/>
          <w:kern w:val="0"/>
          <w:sz w:val="22"/>
        </w:rPr>
        <w:t>（2）投标人须知</w:t>
      </w:r>
    </w:p>
    <w:p>
      <w:pPr>
        <w:adjustRightInd w:val="0"/>
        <w:snapToGrid w:val="0"/>
        <w:spacing w:line="360" w:lineRule="exact"/>
        <w:ind w:firstLine="440" w:firstLineChars="200"/>
        <w:rPr>
          <w:rFonts w:cs="Calibri"/>
          <w:kern w:val="0"/>
          <w:sz w:val="22"/>
        </w:rPr>
      </w:pPr>
      <w:r>
        <w:rPr>
          <w:rFonts w:cs="Calibri"/>
          <w:color w:val="000000"/>
          <w:kern w:val="0"/>
          <w:sz w:val="22"/>
        </w:rPr>
        <w:t>（3）</w:t>
      </w:r>
      <w:r>
        <w:rPr>
          <w:rFonts w:hint="eastAsia" w:cs="Calibri"/>
          <w:kern w:val="0"/>
          <w:sz w:val="22"/>
        </w:rPr>
        <w:t>服务技术标准及要求</w:t>
      </w:r>
    </w:p>
    <w:p>
      <w:pPr>
        <w:adjustRightInd w:val="0"/>
        <w:snapToGrid w:val="0"/>
        <w:spacing w:line="360" w:lineRule="exact"/>
        <w:ind w:firstLine="440" w:firstLineChars="200"/>
        <w:rPr>
          <w:rFonts w:cs="Calibri"/>
          <w:color w:val="000000"/>
          <w:kern w:val="0"/>
          <w:sz w:val="22"/>
        </w:rPr>
      </w:pPr>
      <w:r>
        <w:rPr>
          <w:rFonts w:cs="Calibri"/>
          <w:color w:val="000000"/>
          <w:kern w:val="0"/>
          <w:sz w:val="22"/>
        </w:rPr>
        <w:t>（</w:t>
      </w:r>
      <w:r>
        <w:rPr>
          <w:rFonts w:hint="eastAsia" w:cs="Calibri"/>
          <w:color w:val="000000"/>
          <w:kern w:val="0"/>
          <w:sz w:val="22"/>
        </w:rPr>
        <w:t>4</w:t>
      </w:r>
      <w:r>
        <w:rPr>
          <w:rFonts w:cs="Calibri"/>
          <w:color w:val="000000"/>
          <w:kern w:val="0"/>
          <w:sz w:val="22"/>
        </w:rPr>
        <w:t>）合同条款</w:t>
      </w:r>
    </w:p>
    <w:p>
      <w:pPr>
        <w:adjustRightInd w:val="0"/>
        <w:snapToGrid w:val="0"/>
        <w:spacing w:line="360" w:lineRule="exact"/>
        <w:ind w:firstLine="440" w:firstLineChars="200"/>
        <w:rPr>
          <w:rFonts w:cs="Calibri"/>
          <w:color w:val="000000"/>
          <w:kern w:val="0"/>
          <w:sz w:val="22"/>
        </w:rPr>
      </w:pPr>
      <w:r>
        <w:rPr>
          <w:rFonts w:cs="Calibri"/>
          <w:color w:val="000000"/>
          <w:kern w:val="0"/>
          <w:sz w:val="22"/>
        </w:rPr>
        <w:t>（</w:t>
      </w:r>
      <w:r>
        <w:rPr>
          <w:rFonts w:hint="eastAsia" w:cs="Calibri"/>
          <w:color w:val="000000"/>
          <w:kern w:val="0"/>
          <w:sz w:val="22"/>
        </w:rPr>
        <w:t>5</w:t>
      </w:r>
      <w:r>
        <w:rPr>
          <w:rFonts w:cs="Calibri"/>
          <w:color w:val="000000"/>
          <w:kern w:val="0"/>
          <w:sz w:val="22"/>
        </w:rPr>
        <w:t>）评标办法及标准</w:t>
      </w:r>
    </w:p>
    <w:p>
      <w:pPr>
        <w:adjustRightInd w:val="0"/>
        <w:snapToGrid w:val="0"/>
        <w:spacing w:line="360" w:lineRule="exact"/>
        <w:ind w:firstLine="440" w:firstLineChars="200"/>
        <w:rPr>
          <w:rFonts w:cs="Calibri"/>
          <w:color w:val="000000"/>
          <w:kern w:val="0"/>
          <w:sz w:val="22"/>
        </w:rPr>
      </w:pPr>
      <w:r>
        <w:rPr>
          <w:rFonts w:cs="Calibri"/>
          <w:color w:val="000000"/>
          <w:kern w:val="0"/>
          <w:sz w:val="22"/>
        </w:rPr>
        <w:t>（</w:t>
      </w:r>
      <w:r>
        <w:rPr>
          <w:rFonts w:hint="eastAsia" w:cs="Calibri"/>
          <w:color w:val="000000"/>
          <w:kern w:val="0"/>
          <w:sz w:val="22"/>
        </w:rPr>
        <w:t>6</w:t>
      </w:r>
      <w:r>
        <w:rPr>
          <w:rFonts w:cs="Calibri"/>
          <w:color w:val="000000"/>
          <w:kern w:val="0"/>
          <w:sz w:val="22"/>
        </w:rPr>
        <w:t>）投标文件格式</w:t>
      </w:r>
    </w:p>
    <w:p>
      <w:pPr>
        <w:adjustRightInd w:val="0"/>
        <w:snapToGrid w:val="0"/>
        <w:spacing w:line="360" w:lineRule="exact"/>
        <w:ind w:firstLine="440" w:firstLineChars="200"/>
        <w:rPr>
          <w:rFonts w:cs="Calibri"/>
          <w:color w:val="000000"/>
          <w:kern w:val="0"/>
          <w:sz w:val="22"/>
        </w:rPr>
      </w:pPr>
      <w:r>
        <w:rPr>
          <w:rFonts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b/>
          <w:bCs/>
          <w:kern w:val="0"/>
          <w:sz w:val="22"/>
        </w:rPr>
      </w:pPr>
      <w:bookmarkStart w:id="54" w:name="_Toc18230"/>
      <w:r>
        <w:rPr>
          <w:rFonts w:cs="Calibri"/>
          <w:b/>
          <w:bCs/>
          <w:kern w:val="0"/>
          <w:sz w:val="22"/>
        </w:rPr>
        <w:t>2.2 招标文件的澄清</w:t>
      </w:r>
      <w:bookmarkEnd w:id="54"/>
    </w:p>
    <w:p>
      <w:pPr>
        <w:adjustRightInd w:val="0"/>
        <w:snapToGrid w:val="0"/>
        <w:spacing w:line="360" w:lineRule="exact"/>
        <w:ind w:firstLine="440"/>
        <w:rPr>
          <w:rFonts w:cs="Calibri"/>
          <w:color w:val="000000"/>
          <w:sz w:val="22"/>
        </w:rPr>
      </w:pPr>
      <w:bookmarkStart w:id="55" w:name="_Toc18303"/>
      <w:r>
        <w:rPr>
          <w:rFonts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color w:val="000000"/>
          <w:sz w:val="22"/>
        </w:rPr>
      </w:pPr>
      <w:r>
        <w:rPr>
          <w:rFonts w:cs="Calibri"/>
          <w:color w:val="000000"/>
          <w:sz w:val="22"/>
        </w:rPr>
        <w:t>2.2.2</w:t>
      </w:r>
      <w:r>
        <w:rPr>
          <w:rFonts w:hint="eastAsia" w:cs="Calibri"/>
          <w:kern w:val="0"/>
          <w:sz w:val="22"/>
        </w:rPr>
        <w:t>招标人将视情况采用补充公告的方式予以澄清。</w:t>
      </w:r>
    </w:p>
    <w:p>
      <w:pPr>
        <w:autoSpaceDE w:val="0"/>
        <w:autoSpaceDN w:val="0"/>
        <w:adjustRightInd w:val="0"/>
        <w:snapToGrid w:val="0"/>
        <w:spacing w:line="360" w:lineRule="exact"/>
        <w:rPr>
          <w:rFonts w:cs="Calibri"/>
          <w:b/>
          <w:bCs/>
          <w:kern w:val="0"/>
          <w:sz w:val="22"/>
        </w:rPr>
      </w:pPr>
      <w:r>
        <w:rPr>
          <w:rFonts w:cs="Calibri"/>
          <w:b/>
          <w:bCs/>
          <w:kern w:val="0"/>
          <w:sz w:val="22"/>
        </w:rPr>
        <w:t>2.3 招标文件的修改</w:t>
      </w:r>
      <w:bookmarkEnd w:id="55"/>
    </w:p>
    <w:p>
      <w:pPr>
        <w:adjustRightInd w:val="0"/>
        <w:snapToGrid w:val="0"/>
        <w:spacing w:line="360" w:lineRule="exact"/>
        <w:ind w:firstLine="440"/>
        <w:rPr>
          <w:rFonts w:cs="Calibri"/>
          <w:color w:val="000000"/>
          <w:sz w:val="22"/>
        </w:rPr>
      </w:pPr>
      <w:r>
        <w:rPr>
          <w:rFonts w:cs="Calibri"/>
          <w:color w:val="000000"/>
          <w:kern w:val="0"/>
          <w:sz w:val="22"/>
        </w:rPr>
        <w:t>2.3.1</w:t>
      </w:r>
      <w:r>
        <w:rPr>
          <w:rFonts w:hint="eastAsia"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color w:val="000000"/>
          <w:sz w:val="22"/>
        </w:rPr>
      </w:pPr>
      <w:r>
        <w:rPr>
          <w:rFonts w:cs="Calibri"/>
          <w:color w:val="000000"/>
          <w:sz w:val="22"/>
        </w:rPr>
        <w:t>2.3.2</w:t>
      </w:r>
      <w:r>
        <w:rPr>
          <w:rFonts w:hint="eastAsia" w:cs="Calibri"/>
          <w:color w:val="000000"/>
          <w:sz w:val="22"/>
        </w:rPr>
        <w:t>招标文件的修改为招标文件的组成部分，对投标人有约束力。</w:t>
      </w:r>
    </w:p>
    <w:p>
      <w:pPr>
        <w:autoSpaceDE w:val="0"/>
        <w:autoSpaceDN w:val="0"/>
        <w:adjustRightInd w:val="0"/>
        <w:snapToGrid w:val="0"/>
        <w:spacing w:line="360" w:lineRule="exact"/>
        <w:rPr>
          <w:rFonts w:cs="Calibri"/>
          <w:b/>
          <w:bCs/>
          <w:kern w:val="0"/>
          <w:sz w:val="22"/>
        </w:rPr>
      </w:pPr>
      <w:bookmarkStart w:id="56" w:name="_Toc18870"/>
      <w:bookmarkStart w:id="57" w:name="_Toc143421658"/>
      <w:r>
        <w:rPr>
          <w:rFonts w:cs="Calibri"/>
          <w:b/>
          <w:bCs/>
          <w:kern w:val="0"/>
          <w:sz w:val="22"/>
        </w:rPr>
        <w:t>3.投标文件</w:t>
      </w:r>
      <w:bookmarkEnd w:id="56"/>
      <w:bookmarkEnd w:id="57"/>
    </w:p>
    <w:p>
      <w:pPr>
        <w:autoSpaceDE w:val="0"/>
        <w:autoSpaceDN w:val="0"/>
        <w:adjustRightInd w:val="0"/>
        <w:snapToGrid w:val="0"/>
        <w:spacing w:line="360" w:lineRule="exact"/>
        <w:rPr>
          <w:rFonts w:cs="Calibri"/>
          <w:b/>
          <w:bCs/>
          <w:kern w:val="0"/>
          <w:sz w:val="22"/>
        </w:rPr>
      </w:pPr>
      <w:bookmarkStart w:id="58" w:name="_Toc461"/>
      <w:r>
        <w:rPr>
          <w:rFonts w:cs="Calibri"/>
          <w:b/>
          <w:bCs/>
          <w:kern w:val="0"/>
          <w:sz w:val="22"/>
        </w:rPr>
        <w:t>3.1 投标文件的语言和计量单位</w:t>
      </w:r>
      <w:bookmarkEnd w:id="58"/>
    </w:p>
    <w:p>
      <w:pPr>
        <w:adjustRightInd w:val="0"/>
        <w:snapToGrid w:val="0"/>
        <w:spacing w:line="360" w:lineRule="exact"/>
        <w:ind w:firstLine="440" w:firstLineChars="200"/>
        <w:rPr>
          <w:rFonts w:cs="Calibri"/>
          <w:color w:val="000000"/>
          <w:kern w:val="0"/>
          <w:sz w:val="22"/>
        </w:rPr>
      </w:pPr>
      <w:r>
        <w:rPr>
          <w:rFonts w:cs="Calibri"/>
          <w:color w:val="000000"/>
          <w:sz w:val="22"/>
        </w:rPr>
        <w:t>3.1.1投标文件与投标有关的所有文件均应使用中文。</w:t>
      </w:r>
    </w:p>
    <w:p>
      <w:pPr>
        <w:adjustRightInd w:val="0"/>
        <w:snapToGrid w:val="0"/>
        <w:spacing w:line="360" w:lineRule="exact"/>
        <w:ind w:firstLine="440" w:firstLineChars="200"/>
        <w:rPr>
          <w:rFonts w:cs="Calibri"/>
          <w:color w:val="000000"/>
          <w:kern w:val="0"/>
          <w:sz w:val="22"/>
        </w:rPr>
      </w:pPr>
      <w:r>
        <w:rPr>
          <w:rFonts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color w:val="000000"/>
          <w:kern w:val="0"/>
          <w:sz w:val="22"/>
        </w:rPr>
      </w:pPr>
      <w:r>
        <w:rPr>
          <w:rFonts w:cs="Calibri"/>
          <w:color w:val="000000"/>
          <w:kern w:val="0"/>
          <w:sz w:val="22"/>
        </w:rPr>
        <w:t>3.1.3招标文件中的“天”除特别说明外，均为日历天。</w:t>
      </w:r>
    </w:p>
    <w:p>
      <w:pPr>
        <w:adjustRightInd w:val="0"/>
        <w:snapToGrid w:val="0"/>
        <w:spacing w:line="360" w:lineRule="exact"/>
        <w:ind w:firstLine="440" w:firstLineChars="200"/>
        <w:rPr>
          <w:rFonts w:cs="Calibri"/>
          <w:color w:val="000000"/>
          <w:kern w:val="0"/>
          <w:sz w:val="22"/>
        </w:rPr>
      </w:pPr>
      <w:r>
        <w:rPr>
          <w:rFonts w:cs="Calibri"/>
          <w:color w:val="000000"/>
          <w:kern w:val="0"/>
          <w:sz w:val="22"/>
        </w:rPr>
        <w:t>3.1.4招标文件中所指的“合同”除特别说明外，指 “</w:t>
      </w:r>
      <w:r>
        <w:rPr>
          <w:rFonts w:hint="eastAsia" w:cs="Calibri"/>
          <w:color w:val="000000"/>
          <w:kern w:val="0"/>
          <w:sz w:val="22"/>
        </w:rPr>
        <w:t>服务</w:t>
      </w:r>
      <w:r>
        <w:rPr>
          <w:rFonts w:cs="Calibri"/>
          <w:color w:val="000000"/>
          <w:kern w:val="0"/>
          <w:sz w:val="22"/>
        </w:rPr>
        <w:t>合同”。</w:t>
      </w:r>
    </w:p>
    <w:p>
      <w:pPr>
        <w:autoSpaceDE w:val="0"/>
        <w:autoSpaceDN w:val="0"/>
        <w:adjustRightInd w:val="0"/>
        <w:snapToGrid w:val="0"/>
        <w:spacing w:line="360" w:lineRule="exact"/>
        <w:rPr>
          <w:rFonts w:cs="Calibri"/>
          <w:b/>
          <w:bCs/>
          <w:kern w:val="0"/>
          <w:sz w:val="22"/>
        </w:rPr>
      </w:pPr>
      <w:bookmarkStart w:id="59" w:name="_Toc1411"/>
      <w:r>
        <w:rPr>
          <w:rFonts w:cs="Calibri"/>
          <w:b/>
          <w:bCs/>
          <w:kern w:val="0"/>
          <w:sz w:val="22"/>
        </w:rPr>
        <w:t>3.2 投标文件的组成</w:t>
      </w:r>
      <w:bookmarkEnd w:id="59"/>
    </w:p>
    <w:p>
      <w:pPr>
        <w:adjustRightInd w:val="0"/>
        <w:snapToGrid w:val="0"/>
        <w:spacing w:line="360" w:lineRule="exact"/>
        <w:ind w:firstLine="440" w:firstLineChars="200"/>
        <w:rPr>
          <w:rFonts w:cs="Calibri"/>
          <w:color w:val="000000"/>
          <w:sz w:val="22"/>
        </w:rPr>
      </w:pPr>
      <w:bookmarkStart w:id="60" w:name="_Toc32225"/>
      <w:r>
        <w:rPr>
          <w:rFonts w:cs="Calibri"/>
          <w:color w:val="000000"/>
          <w:sz w:val="22"/>
        </w:rPr>
        <w:t>3.2.1投标函；</w:t>
      </w:r>
    </w:p>
    <w:p>
      <w:pPr>
        <w:adjustRightInd w:val="0"/>
        <w:snapToGrid w:val="0"/>
        <w:spacing w:line="360" w:lineRule="exact"/>
        <w:ind w:firstLine="440" w:firstLineChars="200"/>
        <w:rPr>
          <w:rFonts w:cs="Calibri"/>
          <w:color w:val="000000"/>
          <w:sz w:val="22"/>
        </w:rPr>
      </w:pPr>
      <w:r>
        <w:rPr>
          <w:rFonts w:cs="Calibri"/>
          <w:color w:val="000000"/>
          <w:sz w:val="22"/>
        </w:rPr>
        <w:t>3.2.</w:t>
      </w:r>
      <w:r>
        <w:rPr>
          <w:rFonts w:hint="eastAsia" w:cs="Calibri"/>
          <w:color w:val="000000"/>
          <w:sz w:val="22"/>
        </w:rPr>
        <w:t>2</w:t>
      </w:r>
      <w:r>
        <w:rPr>
          <w:rFonts w:cs="Calibri"/>
          <w:color w:val="000000"/>
          <w:sz w:val="22"/>
        </w:rPr>
        <w:t>法定代表人资格证明书；</w:t>
      </w:r>
    </w:p>
    <w:p>
      <w:pPr>
        <w:adjustRightInd w:val="0"/>
        <w:snapToGrid w:val="0"/>
        <w:spacing w:line="360" w:lineRule="exact"/>
        <w:ind w:firstLine="440" w:firstLineChars="200"/>
        <w:rPr>
          <w:rFonts w:cs="Calibri"/>
          <w:color w:val="000000"/>
          <w:sz w:val="22"/>
        </w:rPr>
      </w:pPr>
      <w:r>
        <w:rPr>
          <w:rFonts w:cs="Calibri"/>
          <w:color w:val="000000"/>
          <w:sz w:val="22"/>
        </w:rPr>
        <w:t>3.2.</w:t>
      </w:r>
      <w:r>
        <w:rPr>
          <w:rFonts w:hint="eastAsia" w:cs="Calibri"/>
          <w:color w:val="000000"/>
          <w:sz w:val="22"/>
        </w:rPr>
        <w:t>3</w:t>
      </w:r>
      <w:r>
        <w:rPr>
          <w:rFonts w:cs="Calibri"/>
          <w:color w:val="000000"/>
          <w:sz w:val="22"/>
        </w:rPr>
        <w:t>授权委托书；</w:t>
      </w:r>
    </w:p>
    <w:p>
      <w:pPr>
        <w:adjustRightInd w:val="0"/>
        <w:snapToGrid w:val="0"/>
        <w:spacing w:line="360" w:lineRule="exact"/>
        <w:ind w:firstLine="440" w:firstLineChars="200"/>
        <w:rPr>
          <w:rFonts w:cs="Calibri"/>
          <w:color w:val="000000"/>
          <w:sz w:val="22"/>
        </w:rPr>
      </w:pPr>
      <w:r>
        <w:rPr>
          <w:rFonts w:cs="Calibri"/>
          <w:color w:val="000000"/>
          <w:sz w:val="22"/>
        </w:rPr>
        <w:t>3.2.</w:t>
      </w:r>
      <w:r>
        <w:rPr>
          <w:rFonts w:hint="eastAsia" w:cs="Calibri"/>
          <w:color w:val="000000"/>
          <w:sz w:val="22"/>
        </w:rPr>
        <w:t>4</w:t>
      </w:r>
      <w:r>
        <w:rPr>
          <w:rFonts w:cs="Calibri"/>
          <w:color w:val="000000"/>
          <w:sz w:val="22"/>
        </w:rPr>
        <w:t xml:space="preserve"> 投标报价表；</w:t>
      </w:r>
    </w:p>
    <w:p>
      <w:pPr>
        <w:adjustRightInd w:val="0"/>
        <w:snapToGrid w:val="0"/>
        <w:spacing w:line="360" w:lineRule="exact"/>
        <w:ind w:firstLine="440" w:firstLineChars="200"/>
        <w:rPr>
          <w:rFonts w:cs="Calibri"/>
          <w:color w:val="000000"/>
          <w:sz w:val="22"/>
        </w:rPr>
      </w:pPr>
      <w:r>
        <w:rPr>
          <w:rFonts w:cs="Calibri"/>
          <w:color w:val="000000"/>
          <w:sz w:val="22"/>
        </w:rPr>
        <w:t>3.2.5投标人资格证明文件：</w:t>
      </w:r>
    </w:p>
    <w:p>
      <w:pPr>
        <w:adjustRightInd w:val="0"/>
        <w:snapToGrid w:val="0"/>
        <w:spacing w:line="360" w:lineRule="exact"/>
        <w:ind w:firstLine="440" w:firstLineChars="200"/>
        <w:rPr>
          <w:rFonts w:cs="Calibri"/>
          <w:color w:val="000000"/>
          <w:sz w:val="22"/>
        </w:rPr>
      </w:pPr>
      <w:r>
        <w:rPr>
          <w:rFonts w:cs="Calibri"/>
          <w:color w:val="000000"/>
          <w:sz w:val="22"/>
        </w:rPr>
        <w:t>（1）投标人一般情况</w:t>
      </w:r>
      <w:r>
        <w:rPr>
          <w:rFonts w:hint="eastAsia" w:cs="Calibri"/>
          <w:color w:val="000000"/>
          <w:sz w:val="22"/>
        </w:rPr>
        <w:t>及</w:t>
      </w:r>
      <w:r>
        <w:rPr>
          <w:rFonts w:cs="Calibri"/>
          <w:color w:val="000000"/>
          <w:sz w:val="22"/>
        </w:rPr>
        <w:t>有关证明投标人法律地位的文件（包括营业执照</w:t>
      </w:r>
      <w:r>
        <w:rPr>
          <w:rFonts w:hint="eastAsia" w:cs="Calibri"/>
          <w:color w:val="000000"/>
          <w:sz w:val="22"/>
        </w:rPr>
        <w:t>、</w:t>
      </w:r>
      <w:r>
        <w:rPr>
          <w:rFonts w:hint="eastAsia" w:cs="Calibri"/>
          <w:sz w:val="22"/>
        </w:rPr>
        <w:t>税务登记证、</w:t>
      </w:r>
      <w:r>
        <w:rPr>
          <w:rFonts w:cs="Calibri"/>
          <w:color w:val="000000"/>
          <w:sz w:val="22"/>
        </w:rPr>
        <w:t>资质</w:t>
      </w:r>
      <w:r>
        <w:rPr>
          <w:rFonts w:hint="eastAsia" w:cs="Calibri"/>
          <w:color w:val="000000"/>
          <w:sz w:val="22"/>
        </w:rPr>
        <w:t>证书</w:t>
      </w:r>
      <w:r>
        <w:rPr>
          <w:rFonts w:cs="Calibri"/>
          <w:color w:val="000000"/>
          <w:sz w:val="22"/>
        </w:rPr>
        <w:t>等），说明投标人的注册地点和主要经营范围；</w:t>
      </w:r>
    </w:p>
    <w:p>
      <w:pPr>
        <w:adjustRightInd w:val="0"/>
        <w:snapToGrid w:val="0"/>
        <w:spacing w:line="360" w:lineRule="exact"/>
        <w:ind w:firstLine="440" w:firstLineChars="200"/>
        <w:rPr>
          <w:rFonts w:cs="Calibri"/>
          <w:color w:val="000000"/>
          <w:sz w:val="22"/>
        </w:rPr>
      </w:pPr>
      <w:r>
        <w:rPr>
          <w:rFonts w:hint="eastAsia" w:cs="Calibri"/>
          <w:color w:val="000000"/>
          <w:sz w:val="22"/>
        </w:rPr>
        <w:t>（</w:t>
      </w:r>
      <w:r>
        <w:rPr>
          <w:rFonts w:cs="Calibri"/>
          <w:color w:val="000000"/>
          <w:sz w:val="22"/>
        </w:rPr>
        <w:t>2）</w:t>
      </w:r>
      <w:r>
        <w:rPr>
          <w:rFonts w:hint="eastAsia" w:cs="Calibri"/>
          <w:color w:val="000000"/>
          <w:sz w:val="22"/>
        </w:rPr>
        <w:t>信用中国网站</w:t>
      </w:r>
      <w:r>
        <w:rPr>
          <w:rFonts w:cs="Calibri"/>
          <w:color w:val="000000"/>
          <w:sz w:val="22"/>
        </w:rPr>
        <w:t>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color w:val="000000"/>
          <w:sz w:val="22"/>
        </w:rPr>
      </w:pPr>
      <w:r>
        <w:rPr>
          <w:rFonts w:cs="Calibri"/>
          <w:color w:val="000000"/>
          <w:sz w:val="22"/>
        </w:rPr>
        <w:t>（3）有关证明投标人的企业信誉及获得各种奖励等资料；</w:t>
      </w:r>
    </w:p>
    <w:p>
      <w:pPr>
        <w:adjustRightInd w:val="0"/>
        <w:snapToGrid w:val="0"/>
        <w:spacing w:line="360" w:lineRule="exact"/>
        <w:ind w:firstLine="440" w:firstLineChars="200"/>
        <w:rPr>
          <w:rFonts w:cs="Calibri"/>
          <w:color w:val="000000"/>
          <w:sz w:val="22"/>
        </w:rPr>
      </w:pPr>
      <w:r>
        <w:rPr>
          <w:rFonts w:cs="Calibri"/>
          <w:color w:val="000000"/>
          <w:sz w:val="22"/>
        </w:rPr>
        <w:t>（4）投标人经济实力：包括企业注册资金、财务报告与报表中反映的财务状况</w:t>
      </w:r>
      <w:r>
        <w:rPr>
          <w:rFonts w:hint="eastAsia" w:cs="Calibri"/>
          <w:color w:val="000000"/>
          <w:sz w:val="22"/>
        </w:rPr>
        <w:t>；</w:t>
      </w:r>
    </w:p>
    <w:p>
      <w:pPr>
        <w:adjustRightInd w:val="0"/>
        <w:snapToGrid w:val="0"/>
        <w:spacing w:line="360" w:lineRule="exact"/>
        <w:ind w:firstLine="440" w:firstLineChars="200"/>
        <w:rPr>
          <w:rFonts w:cs="Calibri"/>
          <w:color w:val="000000"/>
          <w:sz w:val="22"/>
        </w:rPr>
      </w:pPr>
      <w:r>
        <w:rPr>
          <w:rFonts w:hint="eastAsia" w:cs="Calibri"/>
          <w:color w:val="000000"/>
          <w:sz w:val="22"/>
        </w:rPr>
        <w:t>（</w:t>
      </w:r>
      <w:r>
        <w:rPr>
          <w:rFonts w:cs="Calibri"/>
          <w:color w:val="000000"/>
          <w:sz w:val="22"/>
        </w:rPr>
        <w:t>5</w:t>
      </w:r>
      <w:r>
        <w:rPr>
          <w:rFonts w:hint="eastAsia" w:cs="Calibri"/>
          <w:color w:val="000000"/>
          <w:sz w:val="22"/>
        </w:rPr>
        <w:t>）</w:t>
      </w:r>
      <w:r>
        <w:rPr>
          <w:rFonts w:cs="Calibri"/>
          <w:color w:val="000000"/>
          <w:sz w:val="22"/>
        </w:rPr>
        <w:t>近三年完成类似项目业绩情况</w:t>
      </w:r>
      <w:r>
        <w:rPr>
          <w:rFonts w:hint="eastAsia" w:cs="Calibri"/>
          <w:color w:val="000000"/>
          <w:sz w:val="22"/>
        </w:rPr>
        <w:t>；</w:t>
      </w:r>
    </w:p>
    <w:p>
      <w:pPr>
        <w:adjustRightInd w:val="0"/>
        <w:snapToGrid w:val="0"/>
        <w:spacing w:line="360" w:lineRule="exact"/>
        <w:ind w:firstLine="440" w:firstLineChars="200"/>
        <w:rPr>
          <w:rFonts w:cs="Calibri"/>
          <w:color w:val="000000"/>
          <w:sz w:val="22"/>
        </w:rPr>
      </w:pPr>
      <w:r>
        <w:rPr>
          <w:rFonts w:hint="eastAsia" w:cs="Calibri"/>
          <w:color w:val="000000"/>
          <w:sz w:val="22"/>
        </w:rPr>
        <w:t>（</w:t>
      </w:r>
      <w:r>
        <w:rPr>
          <w:rFonts w:cs="Calibri"/>
          <w:color w:val="000000"/>
          <w:sz w:val="22"/>
        </w:rPr>
        <w:t>6</w:t>
      </w:r>
      <w:r>
        <w:rPr>
          <w:rFonts w:hint="eastAsia" w:cs="Calibri"/>
          <w:color w:val="000000"/>
          <w:sz w:val="22"/>
        </w:rPr>
        <w:t>）招标文件投标人资格要求中提供的相关材料。</w:t>
      </w:r>
    </w:p>
    <w:p>
      <w:pPr>
        <w:adjustRightInd w:val="0"/>
        <w:snapToGrid w:val="0"/>
        <w:spacing w:line="360" w:lineRule="exact"/>
        <w:ind w:firstLine="440" w:firstLineChars="200"/>
        <w:rPr>
          <w:rFonts w:cs="Calibri"/>
          <w:color w:val="000000"/>
          <w:sz w:val="22"/>
        </w:rPr>
      </w:pPr>
      <w:r>
        <w:rPr>
          <w:rFonts w:cs="Calibri"/>
          <w:color w:val="000000"/>
          <w:sz w:val="22"/>
        </w:rPr>
        <w:t>3.2.6</w:t>
      </w:r>
      <w:r>
        <w:rPr>
          <w:rFonts w:hint="eastAsia" w:cs="Calibri"/>
          <w:color w:val="000000"/>
          <w:sz w:val="22"/>
        </w:rPr>
        <w:t xml:space="preserve"> </w:t>
      </w:r>
      <w:r>
        <w:rPr>
          <w:rFonts w:cs="Calibri"/>
          <w:color w:val="000000"/>
          <w:sz w:val="22"/>
        </w:rPr>
        <w:t>服务大纲</w:t>
      </w:r>
    </w:p>
    <w:p>
      <w:pPr>
        <w:adjustRightInd w:val="0"/>
        <w:snapToGrid w:val="0"/>
        <w:spacing w:line="360" w:lineRule="exact"/>
        <w:ind w:firstLine="440" w:firstLineChars="200"/>
        <w:rPr>
          <w:rFonts w:cs="Calibri"/>
          <w:color w:val="000000"/>
          <w:sz w:val="22"/>
        </w:rPr>
      </w:pPr>
      <w:r>
        <w:rPr>
          <w:rFonts w:cs="Calibri"/>
          <w:color w:val="000000"/>
          <w:sz w:val="22"/>
        </w:rPr>
        <w:t>（1）本项目概况；</w:t>
      </w:r>
    </w:p>
    <w:p>
      <w:pPr>
        <w:adjustRightInd w:val="0"/>
        <w:snapToGrid w:val="0"/>
        <w:spacing w:line="360" w:lineRule="exact"/>
        <w:ind w:firstLine="440" w:firstLineChars="200"/>
        <w:rPr>
          <w:rFonts w:cs="Calibri"/>
          <w:color w:val="000000"/>
          <w:sz w:val="22"/>
        </w:rPr>
      </w:pPr>
      <w:r>
        <w:rPr>
          <w:rFonts w:cs="Calibri"/>
          <w:color w:val="000000"/>
          <w:sz w:val="22"/>
        </w:rPr>
        <w:t>（2）工作内容和依据；</w:t>
      </w:r>
    </w:p>
    <w:p>
      <w:pPr>
        <w:adjustRightInd w:val="0"/>
        <w:snapToGrid w:val="0"/>
        <w:spacing w:line="360" w:lineRule="exact"/>
        <w:ind w:firstLine="440" w:firstLineChars="200"/>
        <w:rPr>
          <w:rFonts w:cs="Calibri"/>
          <w:color w:val="000000"/>
          <w:sz w:val="22"/>
        </w:rPr>
      </w:pPr>
      <w:r>
        <w:rPr>
          <w:rFonts w:cs="Calibri"/>
          <w:color w:val="000000"/>
          <w:sz w:val="22"/>
        </w:rPr>
        <w:t>（3）</w:t>
      </w:r>
      <w:r>
        <w:rPr>
          <w:rFonts w:hint="eastAsia" w:cs="Calibri"/>
          <w:color w:val="000000"/>
          <w:sz w:val="22"/>
        </w:rPr>
        <w:t>现场机构、人力、物资设备配置</w:t>
      </w:r>
      <w:r>
        <w:rPr>
          <w:rFonts w:cs="Calibri"/>
          <w:color w:val="000000"/>
          <w:sz w:val="22"/>
        </w:rPr>
        <w:t>；</w:t>
      </w:r>
    </w:p>
    <w:p>
      <w:pPr>
        <w:adjustRightInd w:val="0"/>
        <w:snapToGrid w:val="0"/>
        <w:spacing w:line="360" w:lineRule="exact"/>
        <w:ind w:firstLine="440" w:firstLineChars="200"/>
        <w:rPr>
          <w:rFonts w:cs="Calibri"/>
          <w:color w:val="000000"/>
          <w:sz w:val="22"/>
        </w:rPr>
      </w:pPr>
      <w:r>
        <w:rPr>
          <w:rFonts w:cs="Calibri"/>
          <w:color w:val="000000"/>
          <w:sz w:val="22"/>
        </w:rPr>
        <w:t>（4）服务人员的作业安排和进场计划；</w:t>
      </w:r>
    </w:p>
    <w:p>
      <w:pPr>
        <w:adjustRightInd w:val="0"/>
        <w:snapToGrid w:val="0"/>
        <w:spacing w:line="360" w:lineRule="exact"/>
        <w:ind w:firstLine="440" w:firstLineChars="200"/>
        <w:rPr>
          <w:rFonts w:cs="Calibri"/>
          <w:color w:val="000000"/>
          <w:sz w:val="22"/>
        </w:rPr>
      </w:pPr>
      <w:r>
        <w:rPr>
          <w:rFonts w:cs="Calibri"/>
          <w:color w:val="000000"/>
          <w:sz w:val="22"/>
        </w:rPr>
        <w:t>（5）</w:t>
      </w:r>
      <w:r>
        <w:rPr>
          <w:rFonts w:hint="eastAsia" w:cs="Calibri"/>
          <w:color w:val="000000"/>
          <w:sz w:val="22"/>
        </w:rPr>
        <w:t>运行、安全、服务等相关管理方案</w:t>
      </w:r>
      <w:r>
        <w:rPr>
          <w:rFonts w:cs="Calibri"/>
          <w:color w:val="000000"/>
          <w:sz w:val="22"/>
        </w:rPr>
        <w:t>；</w:t>
      </w:r>
    </w:p>
    <w:p>
      <w:pPr>
        <w:adjustRightInd w:val="0"/>
        <w:snapToGrid w:val="0"/>
        <w:spacing w:line="360" w:lineRule="exact"/>
        <w:ind w:firstLine="440" w:firstLineChars="200"/>
        <w:rPr>
          <w:rFonts w:cs="Calibri"/>
          <w:color w:val="000000"/>
          <w:sz w:val="22"/>
        </w:rPr>
      </w:pPr>
      <w:r>
        <w:rPr>
          <w:rFonts w:cs="Calibri"/>
          <w:color w:val="000000"/>
          <w:sz w:val="22"/>
        </w:rPr>
        <w:t>（6）对本项目的实施意见及重点</w:t>
      </w:r>
      <w:r>
        <w:rPr>
          <w:rFonts w:hint="eastAsia" w:cs="Calibri"/>
          <w:color w:val="000000"/>
          <w:sz w:val="22"/>
        </w:rPr>
        <w:t>、</w:t>
      </w:r>
      <w:r>
        <w:rPr>
          <w:rFonts w:cs="Calibri"/>
          <w:color w:val="000000"/>
          <w:sz w:val="22"/>
        </w:rPr>
        <w:t>难点控制；</w:t>
      </w:r>
    </w:p>
    <w:p>
      <w:pPr>
        <w:adjustRightInd w:val="0"/>
        <w:snapToGrid w:val="0"/>
        <w:spacing w:line="360" w:lineRule="exact"/>
        <w:ind w:firstLine="440" w:firstLineChars="200"/>
        <w:rPr>
          <w:rFonts w:cs="Calibri"/>
          <w:color w:val="000000"/>
          <w:sz w:val="22"/>
        </w:rPr>
      </w:pPr>
      <w:r>
        <w:rPr>
          <w:rFonts w:hint="eastAsia" w:cs="Calibri"/>
          <w:color w:val="000000"/>
          <w:sz w:val="22"/>
        </w:rPr>
        <w:t>（7）对特殊情况的承诺以及灾害性、突发事件的应急预案；</w:t>
      </w:r>
    </w:p>
    <w:p>
      <w:pPr>
        <w:adjustRightInd w:val="0"/>
        <w:snapToGrid w:val="0"/>
        <w:spacing w:line="360" w:lineRule="exact"/>
        <w:ind w:firstLine="440" w:firstLineChars="200"/>
        <w:rPr>
          <w:rFonts w:cs="Calibri"/>
          <w:color w:val="000000"/>
          <w:sz w:val="22"/>
        </w:rPr>
      </w:pPr>
      <w:r>
        <w:rPr>
          <w:rFonts w:cs="Calibri"/>
          <w:color w:val="000000"/>
          <w:sz w:val="22"/>
        </w:rPr>
        <w:t>（</w:t>
      </w:r>
      <w:r>
        <w:rPr>
          <w:rFonts w:hint="eastAsia" w:cs="Calibri"/>
          <w:color w:val="000000"/>
          <w:sz w:val="22"/>
        </w:rPr>
        <w:t>8</w:t>
      </w:r>
      <w:r>
        <w:rPr>
          <w:rFonts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color w:val="000000"/>
          <w:sz w:val="22"/>
        </w:rPr>
      </w:pPr>
      <w:r>
        <w:rPr>
          <w:rFonts w:cs="Calibri"/>
          <w:color w:val="000000"/>
          <w:sz w:val="22"/>
        </w:rPr>
        <w:t>（</w:t>
      </w:r>
      <w:r>
        <w:rPr>
          <w:rFonts w:hint="eastAsia" w:cs="Calibri"/>
          <w:color w:val="000000"/>
          <w:sz w:val="22"/>
        </w:rPr>
        <w:t>9</w:t>
      </w:r>
      <w:r>
        <w:rPr>
          <w:rFonts w:cs="Calibri"/>
          <w:color w:val="000000"/>
          <w:sz w:val="22"/>
        </w:rPr>
        <w:t>）投入本项目服务的仪器、仪表、设备及交通工具汇总表</w:t>
      </w:r>
      <w:r>
        <w:rPr>
          <w:rFonts w:hint="eastAsia" w:cs="Calibri"/>
          <w:color w:val="000000"/>
          <w:sz w:val="22"/>
        </w:rPr>
        <w:t>。</w:t>
      </w:r>
    </w:p>
    <w:p>
      <w:pPr>
        <w:adjustRightInd w:val="0"/>
        <w:snapToGrid w:val="0"/>
        <w:spacing w:line="360" w:lineRule="exact"/>
        <w:ind w:firstLine="440" w:firstLineChars="200"/>
        <w:rPr>
          <w:sz w:val="22"/>
        </w:rPr>
      </w:pPr>
      <w:r>
        <w:rPr>
          <w:rFonts w:cs="Calibri"/>
          <w:color w:val="000000"/>
          <w:sz w:val="22"/>
        </w:rPr>
        <w:t>3.2.7</w:t>
      </w:r>
      <w:r>
        <w:rPr>
          <w:rFonts w:hint="eastAsia" w:cs="Arial"/>
          <w:color w:val="000000"/>
          <w:sz w:val="22"/>
        </w:rPr>
        <w:t>投标人认为</w:t>
      </w:r>
      <w:r>
        <w:rPr>
          <w:rFonts w:cs="Arial"/>
          <w:color w:val="000000"/>
          <w:sz w:val="22"/>
        </w:rPr>
        <w:t>应该提供的其他材料</w:t>
      </w:r>
      <w:r>
        <w:rPr>
          <w:rFonts w:hint="eastAsia" w:cs="Arial"/>
          <w:color w:val="000000"/>
          <w:sz w:val="22"/>
        </w:rPr>
        <w:t>。</w:t>
      </w:r>
    </w:p>
    <w:p>
      <w:pPr>
        <w:autoSpaceDE w:val="0"/>
        <w:autoSpaceDN w:val="0"/>
        <w:adjustRightInd w:val="0"/>
        <w:snapToGrid w:val="0"/>
        <w:spacing w:line="360" w:lineRule="exact"/>
        <w:rPr>
          <w:rFonts w:cs="Calibri"/>
          <w:b/>
          <w:bCs/>
          <w:kern w:val="0"/>
          <w:sz w:val="22"/>
        </w:rPr>
      </w:pPr>
      <w:r>
        <w:rPr>
          <w:rFonts w:cs="Calibri"/>
          <w:b/>
          <w:bCs/>
          <w:kern w:val="0"/>
          <w:sz w:val="22"/>
        </w:rPr>
        <w:t>3.3 投标报价</w:t>
      </w:r>
      <w:bookmarkEnd w:id="60"/>
    </w:p>
    <w:p>
      <w:pPr>
        <w:adjustRightInd w:val="0"/>
        <w:snapToGrid w:val="0"/>
        <w:spacing w:line="360" w:lineRule="exact"/>
        <w:ind w:firstLine="440" w:firstLineChars="200"/>
        <w:rPr>
          <w:rFonts w:cs="Calibri"/>
          <w:color w:val="000000"/>
          <w:kern w:val="0"/>
          <w:sz w:val="22"/>
        </w:rPr>
      </w:pPr>
      <w:bookmarkStart w:id="61" w:name="_Toc13307"/>
      <w:r>
        <w:rPr>
          <w:rFonts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color w:val="000000"/>
          <w:kern w:val="0"/>
          <w:sz w:val="22"/>
        </w:rPr>
      </w:pPr>
      <w:r>
        <w:rPr>
          <w:rFonts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color w:val="000000"/>
          <w:kern w:val="0"/>
          <w:sz w:val="22"/>
        </w:rPr>
      </w:pPr>
      <w:r>
        <w:rPr>
          <w:rFonts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color w:val="000000"/>
          <w:kern w:val="0"/>
          <w:sz w:val="22"/>
        </w:rPr>
      </w:pPr>
      <w:r>
        <w:rPr>
          <w:rFonts w:cs="Calibri"/>
          <w:color w:val="000000"/>
          <w:kern w:val="0"/>
          <w:sz w:val="22"/>
        </w:rPr>
        <w:t>3.2.4投标报价的其他要求</w:t>
      </w:r>
      <w:r>
        <w:rPr>
          <w:rFonts w:hint="eastAsia" w:cs="Calibri"/>
          <w:color w:val="000000"/>
          <w:kern w:val="0"/>
          <w:sz w:val="22"/>
        </w:rPr>
        <w:t>：</w:t>
      </w:r>
      <w:r>
        <w:rPr>
          <w:rFonts w:hint="eastAsia"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b/>
          <w:color w:val="000000"/>
          <w:kern w:val="0"/>
          <w:sz w:val="22"/>
        </w:rPr>
        <w:t>。</w:t>
      </w:r>
    </w:p>
    <w:p>
      <w:pPr>
        <w:autoSpaceDE w:val="0"/>
        <w:autoSpaceDN w:val="0"/>
        <w:adjustRightInd w:val="0"/>
        <w:snapToGrid w:val="0"/>
        <w:spacing w:line="360" w:lineRule="exact"/>
        <w:rPr>
          <w:rFonts w:cs="Calibri"/>
          <w:b/>
          <w:bCs/>
          <w:kern w:val="0"/>
          <w:sz w:val="22"/>
        </w:rPr>
      </w:pPr>
      <w:r>
        <w:rPr>
          <w:rFonts w:cs="Calibri"/>
          <w:b/>
          <w:bCs/>
          <w:kern w:val="0"/>
          <w:sz w:val="22"/>
        </w:rPr>
        <w:t>3.4 投标有效期</w:t>
      </w:r>
      <w:bookmarkEnd w:id="61"/>
    </w:p>
    <w:p>
      <w:pPr>
        <w:adjustRightInd w:val="0"/>
        <w:snapToGrid w:val="0"/>
        <w:spacing w:line="360" w:lineRule="exact"/>
        <w:ind w:firstLine="440" w:firstLineChars="200"/>
        <w:rPr>
          <w:rFonts w:cs="Calibri"/>
          <w:color w:val="000000"/>
          <w:kern w:val="0"/>
          <w:sz w:val="22"/>
        </w:rPr>
      </w:pPr>
      <w:r>
        <w:rPr>
          <w:rFonts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color w:val="000000"/>
          <w:kern w:val="0"/>
          <w:sz w:val="22"/>
        </w:rPr>
      </w:pPr>
      <w:r>
        <w:rPr>
          <w:rFonts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b/>
          <w:bCs/>
          <w:kern w:val="0"/>
          <w:sz w:val="22"/>
        </w:rPr>
      </w:pPr>
      <w:bookmarkStart w:id="62" w:name="_Toc30464"/>
      <w:r>
        <w:rPr>
          <w:rFonts w:cs="Calibri"/>
          <w:b/>
          <w:bCs/>
          <w:kern w:val="0"/>
          <w:sz w:val="22"/>
        </w:rPr>
        <w:t>3.5 投标保证金</w:t>
      </w:r>
      <w:bookmarkEnd w:id="62"/>
      <w:r>
        <w:rPr>
          <w:rFonts w:hint="eastAsia"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color w:val="000000"/>
          <w:kern w:val="0"/>
          <w:sz w:val="22"/>
        </w:rPr>
        <w:t>中标人在收到中标通知书后，</w:t>
      </w:r>
      <w:r>
        <w:rPr>
          <w:rFonts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b/>
          <w:bCs/>
          <w:kern w:val="0"/>
          <w:sz w:val="22"/>
        </w:rPr>
      </w:pPr>
      <w:r>
        <w:rPr>
          <w:rFonts w:cs="Calibri"/>
          <w:b/>
          <w:bCs/>
          <w:kern w:val="0"/>
          <w:sz w:val="22"/>
        </w:rPr>
        <w:t>3.6 投标文件的编制</w:t>
      </w:r>
      <w:bookmarkEnd w:id="63"/>
    </w:p>
    <w:p>
      <w:pPr>
        <w:adjustRightInd w:val="0"/>
        <w:snapToGrid w:val="0"/>
        <w:spacing w:line="360" w:lineRule="exact"/>
        <w:ind w:firstLine="440" w:firstLineChars="200"/>
        <w:rPr>
          <w:rFonts w:cs="Calibri"/>
          <w:color w:val="000000"/>
          <w:sz w:val="22"/>
        </w:rPr>
      </w:pPr>
      <w:r>
        <w:rPr>
          <w:rFonts w:cs="Calibri"/>
          <w:color w:val="000000"/>
          <w:sz w:val="22"/>
        </w:rPr>
        <w:t>3.6.1 投标文件应按本须知第3.2款规定的内容和第</w:t>
      </w:r>
      <w:r>
        <w:rPr>
          <w:rFonts w:hint="eastAsia" w:cs="Calibri"/>
          <w:color w:val="000000"/>
          <w:sz w:val="22"/>
        </w:rPr>
        <w:t>六</w:t>
      </w:r>
      <w:r>
        <w:rPr>
          <w:rFonts w:cs="Calibri"/>
          <w:color w:val="000000"/>
          <w:sz w:val="22"/>
        </w:rPr>
        <w:t>章“投标文件格式”进行编写，如有必要，可以增加附页，作为投标文件的组成部分，“投标文件格式”中没有规定的可自行编制格式。其中，</w:t>
      </w:r>
      <w:r>
        <w:rPr>
          <w:rFonts w:hint="eastAsia" w:cs="Calibri"/>
          <w:sz w:val="22"/>
        </w:rPr>
        <w:t>服务期</w:t>
      </w:r>
      <w:r>
        <w:rPr>
          <w:rFonts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color w:val="000000"/>
          <w:kern w:val="0"/>
          <w:sz w:val="22"/>
        </w:rPr>
      </w:pPr>
      <w:r>
        <w:rPr>
          <w:rFonts w:cs="Calibri"/>
          <w:color w:val="000000"/>
          <w:sz w:val="22"/>
        </w:rPr>
        <w:t xml:space="preserve">3.6.2 </w:t>
      </w:r>
      <w:r>
        <w:rPr>
          <w:rFonts w:cs="Calibri"/>
          <w:color w:val="000000"/>
          <w:kern w:val="0"/>
          <w:sz w:val="22"/>
        </w:rPr>
        <w:t>投标文件应对招标文件有关</w:t>
      </w:r>
      <w:r>
        <w:rPr>
          <w:rFonts w:hint="eastAsia" w:cs="Calibri"/>
          <w:color w:val="000000"/>
          <w:kern w:val="0"/>
          <w:sz w:val="22"/>
        </w:rPr>
        <w:t>服务</w:t>
      </w:r>
      <w:r>
        <w:rPr>
          <w:rFonts w:cs="Calibri"/>
          <w:color w:val="000000"/>
          <w:kern w:val="0"/>
          <w:sz w:val="22"/>
        </w:rPr>
        <w:t>期、投标有效期、招标</w:t>
      </w:r>
      <w:r>
        <w:rPr>
          <w:rFonts w:hint="eastAsia" w:cs="Calibri"/>
          <w:color w:val="000000"/>
          <w:kern w:val="0"/>
          <w:sz w:val="22"/>
        </w:rPr>
        <w:t>内容</w:t>
      </w:r>
      <w:r>
        <w:rPr>
          <w:rFonts w:cs="Calibri"/>
          <w:color w:val="000000"/>
          <w:kern w:val="0"/>
          <w:sz w:val="22"/>
        </w:rPr>
        <w:t>等实质性内容作出响应。</w:t>
      </w:r>
    </w:p>
    <w:p>
      <w:pPr>
        <w:adjustRightInd w:val="0"/>
        <w:snapToGrid w:val="0"/>
        <w:spacing w:line="360" w:lineRule="exact"/>
        <w:ind w:firstLine="440" w:firstLineChars="200"/>
        <w:rPr>
          <w:rFonts w:cs="Calibri"/>
          <w:color w:val="000000"/>
          <w:sz w:val="22"/>
        </w:rPr>
      </w:pPr>
      <w:r>
        <w:rPr>
          <w:rFonts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color w:val="000000"/>
          <w:kern w:val="0"/>
          <w:sz w:val="22"/>
        </w:rPr>
        <w:t>签字或盖章的具体要求见投标人须知前附表。</w:t>
      </w:r>
    </w:p>
    <w:p>
      <w:pPr>
        <w:adjustRightInd w:val="0"/>
        <w:snapToGrid w:val="0"/>
        <w:spacing w:line="360" w:lineRule="exact"/>
        <w:ind w:firstLine="440" w:firstLineChars="200"/>
        <w:rPr>
          <w:rFonts w:cs="Calibri"/>
          <w:color w:val="000000"/>
          <w:sz w:val="22"/>
        </w:rPr>
      </w:pPr>
      <w:r>
        <w:rPr>
          <w:rFonts w:cs="Calibri"/>
          <w:color w:val="000000"/>
          <w:sz w:val="22"/>
        </w:rPr>
        <w:t>3.6.4投标文件正本一份， 副本份数见投标人须知前附表。正本、副本的封面上应清楚地标记</w:t>
      </w:r>
      <w:r>
        <w:rPr>
          <w:rFonts w:cs="Calibri"/>
          <w:b/>
          <w:bCs/>
          <w:color w:val="000000"/>
          <w:sz w:val="22"/>
        </w:rPr>
        <w:t>“正本</w:t>
      </w:r>
      <w:r>
        <w:rPr>
          <w:rFonts w:cs="Calibri"/>
          <w:color w:val="000000"/>
          <w:sz w:val="22"/>
        </w:rPr>
        <w:t>”或“</w:t>
      </w:r>
      <w:r>
        <w:rPr>
          <w:rFonts w:cs="Calibri"/>
          <w:b/>
          <w:bCs/>
          <w:color w:val="000000"/>
          <w:sz w:val="22"/>
        </w:rPr>
        <w:t>副本</w:t>
      </w:r>
      <w:r>
        <w:rPr>
          <w:rFonts w:cs="Calibri"/>
          <w:color w:val="000000"/>
          <w:sz w:val="22"/>
        </w:rPr>
        <w:t>”的字样。当副本和正本不一致时，以正本为准。</w:t>
      </w:r>
    </w:p>
    <w:p>
      <w:pPr>
        <w:adjustRightInd w:val="0"/>
        <w:snapToGrid w:val="0"/>
        <w:spacing w:line="360" w:lineRule="exact"/>
        <w:ind w:firstLine="440" w:firstLineChars="200"/>
        <w:rPr>
          <w:rFonts w:cs="Calibri"/>
          <w:color w:val="000000"/>
          <w:sz w:val="22"/>
        </w:rPr>
      </w:pPr>
      <w:r>
        <w:rPr>
          <w:rFonts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b/>
          <w:bCs/>
          <w:kern w:val="0"/>
          <w:sz w:val="22"/>
        </w:rPr>
      </w:pPr>
      <w:bookmarkStart w:id="65" w:name="_Toc32652"/>
      <w:r>
        <w:rPr>
          <w:rFonts w:cs="Calibri"/>
          <w:b/>
          <w:bCs/>
          <w:kern w:val="0"/>
          <w:sz w:val="22"/>
        </w:rPr>
        <w:t>4.投标</w:t>
      </w:r>
      <w:bookmarkEnd w:id="64"/>
      <w:bookmarkEnd w:id="65"/>
    </w:p>
    <w:p>
      <w:pPr>
        <w:autoSpaceDE w:val="0"/>
        <w:autoSpaceDN w:val="0"/>
        <w:adjustRightInd w:val="0"/>
        <w:snapToGrid w:val="0"/>
        <w:spacing w:line="360" w:lineRule="exact"/>
        <w:rPr>
          <w:rFonts w:cs="Calibri"/>
          <w:b/>
          <w:bCs/>
          <w:kern w:val="0"/>
          <w:sz w:val="22"/>
        </w:rPr>
      </w:pPr>
      <w:bookmarkStart w:id="66" w:name="_Toc649"/>
      <w:r>
        <w:rPr>
          <w:rFonts w:cs="Calibri"/>
          <w:b/>
          <w:bCs/>
          <w:kern w:val="0"/>
          <w:sz w:val="22"/>
        </w:rPr>
        <w:t>4.1 投标文件的密封和标识</w:t>
      </w:r>
      <w:bookmarkEnd w:id="66"/>
    </w:p>
    <w:p>
      <w:pPr>
        <w:adjustRightInd w:val="0"/>
        <w:snapToGrid w:val="0"/>
        <w:spacing w:line="360" w:lineRule="exact"/>
        <w:ind w:firstLine="440" w:firstLineChars="200"/>
        <w:rPr>
          <w:rFonts w:cs="Calibri"/>
          <w:color w:val="000000"/>
          <w:kern w:val="0"/>
          <w:sz w:val="22"/>
        </w:rPr>
      </w:pPr>
      <w:r>
        <w:rPr>
          <w:rFonts w:cs="Calibri"/>
          <w:color w:val="000000"/>
          <w:sz w:val="22"/>
        </w:rPr>
        <w:t>4.1.1</w:t>
      </w:r>
      <w:r>
        <w:rPr>
          <w:rFonts w:cs="Calibri"/>
          <w:color w:val="000000"/>
          <w:kern w:val="0"/>
          <w:sz w:val="22"/>
        </w:rPr>
        <w:t>投标文件的正本、副本可一同</w:t>
      </w:r>
      <w:r>
        <w:rPr>
          <w:rFonts w:hint="eastAsia" w:cs="Calibri"/>
          <w:color w:val="000000"/>
          <w:kern w:val="0"/>
          <w:sz w:val="22"/>
        </w:rPr>
        <w:t>密封</w:t>
      </w:r>
      <w:r>
        <w:rPr>
          <w:rFonts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color w:val="000000"/>
          <w:sz w:val="22"/>
        </w:rPr>
      </w:pPr>
      <w:r>
        <w:rPr>
          <w:rFonts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color w:val="000000"/>
          <w:sz w:val="22"/>
        </w:rPr>
      </w:pPr>
      <w:r>
        <w:rPr>
          <w:rFonts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color w:val="000000"/>
          <w:kern w:val="0"/>
          <w:sz w:val="22"/>
        </w:rPr>
      </w:pPr>
      <w:r>
        <w:rPr>
          <w:rFonts w:cs="Calibri"/>
          <w:color w:val="000000"/>
          <w:kern w:val="0"/>
          <w:sz w:val="22"/>
        </w:rPr>
        <w:t>4.1.</w:t>
      </w:r>
      <w:r>
        <w:rPr>
          <w:rFonts w:hint="eastAsia" w:cs="Calibri"/>
          <w:color w:val="000000"/>
          <w:kern w:val="0"/>
          <w:sz w:val="22"/>
        </w:rPr>
        <w:t>4</w:t>
      </w:r>
      <w:r>
        <w:rPr>
          <w:rFonts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b/>
          <w:bCs/>
          <w:kern w:val="0"/>
          <w:sz w:val="22"/>
        </w:rPr>
      </w:pPr>
      <w:bookmarkStart w:id="67" w:name="_Toc16616"/>
      <w:r>
        <w:rPr>
          <w:rFonts w:cs="Calibri"/>
          <w:b/>
          <w:bCs/>
          <w:kern w:val="0"/>
          <w:sz w:val="22"/>
        </w:rPr>
        <w:t xml:space="preserve">4.2 投标文件的递交 </w:t>
      </w:r>
      <w:bookmarkEnd w:id="67"/>
    </w:p>
    <w:p>
      <w:pPr>
        <w:autoSpaceDE w:val="0"/>
        <w:autoSpaceDN w:val="0"/>
        <w:adjustRightInd w:val="0"/>
        <w:snapToGrid w:val="0"/>
        <w:spacing w:line="360" w:lineRule="exact"/>
        <w:ind w:firstLine="440" w:firstLineChars="200"/>
        <w:rPr>
          <w:rFonts w:cs="Calibri"/>
          <w:b/>
          <w:bCs/>
          <w:kern w:val="0"/>
          <w:sz w:val="22"/>
        </w:rPr>
      </w:pPr>
      <w:r>
        <w:rPr>
          <w:rFonts w:cs="Calibri"/>
          <w:b/>
          <w:bCs/>
          <w:kern w:val="0"/>
          <w:sz w:val="22"/>
        </w:rPr>
        <w:t>4.2.1投标人应在本须知前附表规定的投标截止时间前递交投标文件。</w:t>
      </w:r>
    </w:p>
    <w:p>
      <w:pPr>
        <w:adjustRightInd w:val="0"/>
        <w:snapToGrid w:val="0"/>
        <w:spacing w:line="360" w:lineRule="exact"/>
        <w:ind w:firstLine="440" w:firstLineChars="200"/>
        <w:rPr>
          <w:rFonts w:cs="Calibri"/>
          <w:color w:val="000000"/>
          <w:sz w:val="22"/>
        </w:rPr>
      </w:pPr>
      <w:r>
        <w:rPr>
          <w:rFonts w:cs="Calibri"/>
          <w:color w:val="000000"/>
          <w:sz w:val="22"/>
        </w:rPr>
        <w:t>4.2.2投标人送达投标文件的地点：见投标人须知前附表。</w:t>
      </w:r>
    </w:p>
    <w:p>
      <w:pPr>
        <w:adjustRightInd w:val="0"/>
        <w:snapToGrid w:val="0"/>
        <w:spacing w:line="360" w:lineRule="exact"/>
        <w:ind w:firstLine="440" w:firstLineChars="200"/>
        <w:rPr>
          <w:rFonts w:cs="Calibri"/>
          <w:color w:val="000000"/>
          <w:sz w:val="22"/>
        </w:rPr>
      </w:pPr>
      <w:r>
        <w:rPr>
          <w:rFonts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color w:val="000000"/>
          <w:sz w:val="22"/>
        </w:rPr>
      </w:pPr>
      <w:r>
        <w:rPr>
          <w:rFonts w:cs="Calibri"/>
          <w:color w:val="000000"/>
          <w:sz w:val="22"/>
        </w:rPr>
        <w:t>4.2.</w:t>
      </w:r>
      <w:r>
        <w:rPr>
          <w:rFonts w:hint="eastAsia" w:cs="Calibri"/>
          <w:color w:val="000000"/>
          <w:sz w:val="22"/>
        </w:rPr>
        <w:t>4</w:t>
      </w:r>
      <w:r>
        <w:rPr>
          <w:rFonts w:cs="Calibri"/>
          <w:color w:val="000000"/>
          <w:sz w:val="22"/>
        </w:rPr>
        <w:t>逾期送达的或者未送达指定地点的投标文件，招标人不予受理。</w:t>
      </w:r>
    </w:p>
    <w:p>
      <w:pPr>
        <w:autoSpaceDE w:val="0"/>
        <w:autoSpaceDN w:val="0"/>
        <w:adjustRightInd w:val="0"/>
        <w:snapToGrid w:val="0"/>
        <w:spacing w:line="360" w:lineRule="exact"/>
        <w:rPr>
          <w:rFonts w:cs="Calibri"/>
          <w:b/>
          <w:bCs/>
          <w:kern w:val="0"/>
          <w:sz w:val="22"/>
        </w:rPr>
      </w:pPr>
      <w:bookmarkStart w:id="68" w:name="_Toc26099"/>
      <w:r>
        <w:rPr>
          <w:rFonts w:cs="Calibri"/>
          <w:b/>
          <w:bCs/>
          <w:kern w:val="0"/>
          <w:sz w:val="22"/>
        </w:rPr>
        <w:t>4.3 投标文件的修改和撤回</w:t>
      </w:r>
      <w:bookmarkEnd w:id="68"/>
    </w:p>
    <w:p>
      <w:pPr>
        <w:adjustRightInd w:val="0"/>
        <w:snapToGrid w:val="0"/>
        <w:spacing w:line="360" w:lineRule="exact"/>
        <w:ind w:firstLine="440" w:firstLineChars="200"/>
        <w:rPr>
          <w:rFonts w:cs="Calibri"/>
          <w:color w:val="000000"/>
          <w:kern w:val="0"/>
          <w:sz w:val="22"/>
        </w:rPr>
      </w:pPr>
      <w:r>
        <w:rPr>
          <w:rFonts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color w:val="000000"/>
          <w:kern w:val="0"/>
          <w:sz w:val="22"/>
        </w:rPr>
      </w:pPr>
      <w:r>
        <w:rPr>
          <w:rFonts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color w:val="000000"/>
          <w:kern w:val="0"/>
          <w:sz w:val="22"/>
        </w:rPr>
      </w:pPr>
      <w:r>
        <w:rPr>
          <w:rFonts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b/>
          <w:bCs/>
          <w:kern w:val="0"/>
          <w:sz w:val="22"/>
        </w:rPr>
      </w:pPr>
      <w:bookmarkStart w:id="69" w:name="_Toc29641"/>
      <w:r>
        <w:rPr>
          <w:rFonts w:cs="Calibri"/>
          <w:b/>
          <w:bCs/>
          <w:kern w:val="0"/>
          <w:sz w:val="22"/>
        </w:rPr>
        <w:t>5.开标</w:t>
      </w:r>
      <w:bookmarkEnd w:id="69"/>
    </w:p>
    <w:p>
      <w:pPr>
        <w:autoSpaceDE w:val="0"/>
        <w:autoSpaceDN w:val="0"/>
        <w:adjustRightInd w:val="0"/>
        <w:snapToGrid w:val="0"/>
        <w:spacing w:line="360" w:lineRule="exact"/>
        <w:rPr>
          <w:rFonts w:cs="Calibri"/>
          <w:b/>
          <w:bCs/>
          <w:kern w:val="0"/>
          <w:sz w:val="22"/>
        </w:rPr>
      </w:pPr>
      <w:bookmarkStart w:id="70" w:name="_Toc15123"/>
      <w:r>
        <w:rPr>
          <w:rFonts w:cs="Calibri"/>
          <w:b/>
          <w:bCs/>
          <w:kern w:val="0"/>
          <w:sz w:val="22"/>
        </w:rPr>
        <w:t>5.1 开标时间和地点</w:t>
      </w:r>
      <w:bookmarkEnd w:id="70"/>
    </w:p>
    <w:p>
      <w:pPr>
        <w:adjustRightInd w:val="0"/>
        <w:snapToGrid w:val="0"/>
        <w:spacing w:line="360" w:lineRule="exact"/>
        <w:ind w:firstLine="440" w:firstLineChars="200"/>
        <w:rPr>
          <w:rFonts w:cs="Calibri"/>
          <w:color w:val="000000"/>
          <w:sz w:val="22"/>
        </w:rPr>
      </w:pPr>
      <w:r>
        <w:rPr>
          <w:rFonts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color w:val="000000"/>
          <w:sz w:val="22"/>
        </w:rPr>
      </w:pPr>
      <w:r>
        <w:rPr>
          <w:rFonts w:cs="Calibri"/>
          <w:color w:val="000000"/>
          <w:sz w:val="22"/>
        </w:rPr>
        <w:t>5.1.2投标人在投标时应随身携带下列资料提交招标人</w:t>
      </w:r>
    </w:p>
    <w:p>
      <w:pPr>
        <w:adjustRightInd w:val="0"/>
        <w:snapToGrid w:val="0"/>
        <w:spacing w:line="360" w:lineRule="exact"/>
        <w:ind w:firstLine="440" w:firstLineChars="200"/>
        <w:rPr>
          <w:rFonts w:cs="Calibri"/>
          <w:sz w:val="22"/>
        </w:rPr>
      </w:pPr>
      <w:bookmarkStart w:id="71" w:name="_Toc7101"/>
      <w:r>
        <w:rPr>
          <w:rFonts w:cs="Calibri"/>
          <w:sz w:val="22"/>
        </w:rPr>
        <w:t>（1）委托代理人的身份证、法定代表人授权委托书</w:t>
      </w:r>
      <w:r>
        <w:rPr>
          <w:rFonts w:hint="eastAsia" w:cs="Calibri"/>
          <w:sz w:val="22"/>
        </w:rPr>
        <w:t>（装订在投标文件内亦可）</w:t>
      </w:r>
      <w:r>
        <w:rPr>
          <w:rFonts w:cs="Calibri"/>
          <w:sz w:val="22"/>
        </w:rPr>
        <w:t>；</w:t>
      </w:r>
    </w:p>
    <w:p>
      <w:pPr>
        <w:adjustRightInd w:val="0"/>
        <w:snapToGrid w:val="0"/>
        <w:spacing w:line="360" w:lineRule="exact"/>
        <w:ind w:firstLine="440" w:firstLineChars="200"/>
        <w:rPr>
          <w:rFonts w:cs="Calibri"/>
          <w:sz w:val="22"/>
        </w:rPr>
      </w:pPr>
      <w:r>
        <w:rPr>
          <w:rFonts w:cs="Calibri"/>
          <w:sz w:val="22"/>
        </w:rPr>
        <w:t>（2）投标保证金收执证明或汇款凭证或银行回单</w:t>
      </w:r>
      <w:r>
        <w:rPr>
          <w:rFonts w:hint="eastAsia" w:cs="Calibri"/>
          <w:sz w:val="22"/>
        </w:rPr>
        <w:t>（装订在投标文件内亦可）</w:t>
      </w:r>
      <w:r>
        <w:rPr>
          <w:rFonts w:cs="Calibri"/>
          <w:sz w:val="22"/>
        </w:rPr>
        <w:t>。</w:t>
      </w:r>
    </w:p>
    <w:p>
      <w:pPr>
        <w:autoSpaceDE w:val="0"/>
        <w:autoSpaceDN w:val="0"/>
        <w:adjustRightInd w:val="0"/>
        <w:snapToGrid w:val="0"/>
        <w:spacing w:line="360" w:lineRule="exact"/>
        <w:rPr>
          <w:rFonts w:cs="Calibri"/>
          <w:b/>
          <w:bCs/>
          <w:kern w:val="0"/>
          <w:sz w:val="22"/>
        </w:rPr>
      </w:pPr>
      <w:r>
        <w:rPr>
          <w:rFonts w:cs="Calibri"/>
          <w:b/>
          <w:bCs/>
          <w:kern w:val="0"/>
          <w:sz w:val="22"/>
        </w:rPr>
        <w:t>5.2 开标程序</w:t>
      </w:r>
      <w:bookmarkEnd w:id="71"/>
    </w:p>
    <w:p>
      <w:pPr>
        <w:adjustRightInd w:val="0"/>
        <w:snapToGrid w:val="0"/>
        <w:spacing w:line="360" w:lineRule="exact"/>
        <w:ind w:firstLine="440" w:firstLineChars="200"/>
        <w:rPr>
          <w:rFonts w:cs="Calibri"/>
          <w:color w:val="000000"/>
          <w:kern w:val="0"/>
          <w:sz w:val="22"/>
        </w:rPr>
      </w:pPr>
      <w:r>
        <w:rPr>
          <w:rFonts w:cs="Calibri"/>
          <w:color w:val="000000"/>
          <w:kern w:val="0"/>
          <w:sz w:val="22"/>
        </w:rPr>
        <w:t>主持人按下列程序进行开标：</w:t>
      </w:r>
    </w:p>
    <w:p>
      <w:pPr>
        <w:adjustRightInd w:val="0"/>
        <w:snapToGrid w:val="0"/>
        <w:spacing w:line="360" w:lineRule="exact"/>
        <w:ind w:firstLine="440" w:firstLineChars="200"/>
        <w:rPr>
          <w:rFonts w:cs="Calibri"/>
          <w:color w:val="000000"/>
          <w:kern w:val="0"/>
          <w:sz w:val="22"/>
        </w:rPr>
      </w:pPr>
      <w:r>
        <w:rPr>
          <w:rFonts w:cs="Calibri"/>
          <w:color w:val="000000"/>
          <w:kern w:val="0"/>
          <w:sz w:val="22"/>
        </w:rPr>
        <w:t>（1）宣布开标纪律；</w:t>
      </w:r>
    </w:p>
    <w:p>
      <w:pPr>
        <w:adjustRightInd w:val="0"/>
        <w:snapToGrid w:val="0"/>
        <w:spacing w:line="360" w:lineRule="exact"/>
        <w:ind w:firstLine="440" w:firstLineChars="200"/>
        <w:rPr>
          <w:rFonts w:cs="Calibri"/>
          <w:color w:val="000000"/>
          <w:kern w:val="0"/>
          <w:sz w:val="22"/>
        </w:rPr>
      </w:pPr>
      <w:r>
        <w:rPr>
          <w:rFonts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color w:val="000000"/>
          <w:kern w:val="0"/>
          <w:sz w:val="22"/>
        </w:rPr>
      </w:pPr>
      <w:r>
        <w:rPr>
          <w:rFonts w:cs="Calibri"/>
          <w:color w:val="000000"/>
          <w:kern w:val="0"/>
          <w:sz w:val="22"/>
        </w:rPr>
        <w:t>（3）宣布开标人、唱标人、记录人、监标人等有关人员姓名；</w:t>
      </w:r>
    </w:p>
    <w:p>
      <w:pPr>
        <w:adjustRightInd w:val="0"/>
        <w:snapToGrid w:val="0"/>
        <w:spacing w:line="360" w:lineRule="exact"/>
        <w:ind w:firstLine="440" w:firstLineChars="200"/>
        <w:rPr>
          <w:rFonts w:cs="Calibri"/>
          <w:color w:val="000000"/>
          <w:kern w:val="0"/>
          <w:sz w:val="22"/>
        </w:rPr>
      </w:pPr>
      <w:r>
        <w:rPr>
          <w:rFonts w:cs="Calibri"/>
          <w:color w:val="000000"/>
          <w:kern w:val="0"/>
          <w:sz w:val="22"/>
        </w:rPr>
        <w:t>（4）按照投标人须知前附表规定检查投标文件的密封情况；</w:t>
      </w:r>
    </w:p>
    <w:p>
      <w:pPr>
        <w:adjustRightInd w:val="0"/>
        <w:snapToGrid w:val="0"/>
        <w:spacing w:line="360" w:lineRule="exact"/>
        <w:ind w:firstLine="440" w:firstLineChars="200"/>
        <w:rPr>
          <w:rFonts w:cs="Calibri"/>
          <w:color w:val="000000"/>
          <w:kern w:val="0"/>
          <w:sz w:val="22"/>
        </w:rPr>
      </w:pPr>
      <w:r>
        <w:rPr>
          <w:rFonts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color w:val="000000"/>
          <w:kern w:val="0"/>
          <w:sz w:val="22"/>
        </w:rPr>
      </w:pPr>
      <w:r>
        <w:rPr>
          <w:rFonts w:cs="Calibri"/>
          <w:color w:val="000000"/>
          <w:kern w:val="0"/>
          <w:sz w:val="22"/>
        </w:rPr>
        <w:t>（6）</w:t>
      </w:r>
      <w:r>
        <w:rPr>
          <w:rFonts w:cs="Calibri"/>
          <w:color w:val="000000"/>
          <w:sz w:val="22"/>
        </w:rPr>
        <w:t>按照宣布的开标顺序当众开标，公布投标人名称、投标保证金的递交情况、投标报价、</w:t>
      </w:r>
      <w:r>
        <w:rPr>
          <w:rFonts w:hint="eastAsia" w:cs="Calibri"/>
          <w:color w:val="000000"/>
          <w:sz w:val="22"/>
        </w:rPr>
        <w:t>服务期</w:t>
      </w:r>
      <w:r>
        <w:rPr>
          <w:rFonts w:cs="Calibri"/>
          <w:color w:val="000000"/>
          <w:sz w:val="22"/>
        </w:rPr>
        <w:t>及其他内容，并记录在案；</w:t>
      </w:r>
    </w:p>
    <w:p>
      <w:pPr>
        <w:adjustRightInd w:val="0"/>
        <w:snapToGrid w:val="0"/>
        <w:spacing w:line="360" w:lineRule="exact"/>
        <w:ind w:firstLine="440" w:firstLineChars="200"/>
        <w:rPr>
          <w:rFonts w:cs="Calibri"/>
          <w:color w:val="000000"/>
          <w:kern w:val="0"/>
          <w:sz w:val="22"/>
        </w:rPr>
      </w:pPr>
      <w:r>
        <w:rPr>
          <w:rFonts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color w:val="000000"/>
          <w:kern w:val="0"/>
          <w:sz w:val="22"/>
        </w:rPr>
      </w:pPr>
      <w:r>
        <w:rPr>
          <w:rFonts w:cs="Calibri"/>
          <w:color w:val="000000"/>
          <w:kern w:val="0"/>
          <w:sz w:val="22"/>
        </w:rPr>
        <w:t>（8）开标结束。</w:t>
      </w:r>
    </w:p>
    <w:p>
      <w:pPr>
        <w:autoSpaceDE w:val="0"/>
        <w:autoSpaceDN w:val="0"/>
        <w:adjustRightInd w:val="0"/>
        <w:snapToGrid w:val="0"/>
        <w:spacing w:line="360" w:lineRule="exact"/>
        <w:rPr>
          <w:rFonts w:cs="Calibri"/>
          <w:b/>
          <w:bCs/>
          <w:kern w:val="0"/>
          <w:sz w:val="22"/>
        </w:rPr>
      </w:pPr>
      <w:bookmarkStart w:id="72" w:name="_Toc31578"/>
      <w:r>
        <w:rPr>
          <w:rFonts w:cs="Calibri"/>
          <w:b/>
          <w:bCs/>
          <w:kern w:val="0"/>
          <w:sz w:val="22"/>
        </w:rPr>
        <w:t>6.评标</w:t>
      </w:r>
      <w:bookmarkEnd w:id="72"/>
    </w:p>
    <w:p>
      <w:pPr>
        <w:autoSpaceDE w:val="0"/>
        <w:autoSpaceDN w:val="0"/>
        <w:adjustRightInd w:val="0"/>
        <w:snapToGrid w:val="0"/>
        <w:spacing w:line="360" w:lineRule="exact"/>
        <w:rPr>
          <w:rFonts w:cs="Calibri"/>
          <w:b/>
          <w:bCs/>
          <w:kern w:val="0"/>
          <w:sz w:val="22"/>
        </w:rPr>
      </w:pPr>
      <w:bookmarkStart w:id="73" w:name="_Toc10279"/>
      <w:r>
        <w:rPr>
          <w:rFonts w:cs="Calibri"/>
          <w:b/>
          <w:bCs/>
          <w:kern w:val="0"/>
          <w:sz w:val="22"/>
        </w:rPr>
        <w:t>6.1 评标委员会</w:t>
      </w:r>
      <w:bookmarkEnd w:id="73"/>
    </w:p>
    <w:p>
      <w:pPr>
        <w:adjustRightInd w:val="0"/>
        <w:snapToGrid w:val="0"/>
        <w:spacing w:line="360" w:lineRule="exact"/>
        <w:ind w:firstLine="440" w:firstLineChars="200"/>
        <w:rPr>
          <w:rFonts w:cs="Calibri"/>
          <w:color w:val="000000"/>
          <w:kern w:val="0"/>
          <w:sz w:val="22"/>
        </w:rPr>
      </w:pPr>
      <w:r>
        <w:rPr>
          <w:rFonts w:cs="Calibri"/>
          <w:color w:val="000000"/>
          <w:kern w:val="0"/>
          <w:sz w:val="22"/>
        </w:rPr>
        <w:t>6.1.1</w:t>
      </w:r>
      <w:r>
        <w:rPr>
          <w:rFonts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color w:val="000000"/>
          <w:kern w:val="0"/>
          <w:sz w:val="22"/>
        </w:rPr>
      </w:pPr>
      <w:r>
        <w:rPr>
          <w:rFonts w:cs="Calibri"/>
          <w:color w:val="000000"/>
          <w:kern w:val="0"/>
          <w:sz w:val="22"/>
        </w:rPr>
        <w:t>6.1.2评标委员会成员有下列情形之一的，应当回避：</w:t>
      </w:r>
    </w:p>
    <w:p>
      <w:pPr>
        <w:adjustRightInd w:val="0"/>
        <w:snapToGrid w:val="0"/>
        <w:spacing w:line="360" w:lineRule="exact"/>
        <w:ind w:firstLine="440" w:firstLineChars="200"/>
        <w:rPr>
          <w:rFonts w:cs="Calibri"/>
          <w:color w:val="000000"/>
          <w:kern w:val="0"/>
          <w:sz w:val="22"/>
        </w:rPr>
      </w:pPr>
      <w:r>
        <w:rPr>
          <w:rFonts w:cs="Calibri"/>
          <w:color w:val="000000"/>
          <w:kern w:val="0"/>
          <w:sz w:val="22"/>
        </w:rPr>
        <w:t>（1）招标人或投标人的主要负责人的近亲属；</w:t>
      </w:r>
    </w:p>
    <w:p>
      <w:pPr>
        <w:adjustRightInd w:val="0"/>
        <w:snapToGrid w:val="0"/>
        <w:spacing w:line="360" w:lineRule="exact"/>
        <w:ind w:firstLine="440" w:firstLineChars="200"/>
        <w:rPr>
          <w:rFonts w:cs="Calibri"/>
          <w:color w:val="000000"/>
          <w:kern w:val="0"/>
          <w:sz w:val="22"/>
        </w:rPr>
      </w:pPr>
      <w:r>
        <w:rPr>
          <w:rFonts w:cs="Calibri"/>
          <w:color w:val="000000"/>
          <w:kern w:val="0"/>
          <w:sz w:val="22"/>
        </w:rPr>
        <w:t>（2）项目主管部门或者行政监督部门的人员；</w:t>
      </w:r>
    </w:p>
    <w:p>
      <w:pPr>
        <w:adjustRightInd w:val="0"/>
        <w:snapToGrid w:val="0"/>
        <w:spacing w:line="360" w:lineRule="exact"/>
        <w:ind w:firstLine="440" w:firstLineChars="200"/>
        <w:rPr>
          <w:rFonts w:cs="Calibri"/>
          <w:color w:val="000000"/>
          <w:kern w:val="0"/>
          <w:sz w:val="22"/>
        </w:rPr>
      </w:pPr>
      <w:r>
        <w:rPr>
          <w:rFonts w:cs="Calibri"/>
          <w:color w:val="000000"/>
          <w:kern w:val="0"/>
          <w:sz w:val="22"/>
        </w:rPr>
        <w:t>（3）与投标人有经济利益关系，可能影响对投标公正评审的；</w:t>
      </w:r>
    </w:p>
    <w:p>
      <w:pPr>
        <w:adjustRightInd w:val="0"/>
        <w:snapToGrid w:val="0"/>
        <w:spacing w:line="360" w:lineRule="exact"/>
        <w:ind w:firstLine="440" w:firstLineChars="200"/>
        <w:rPr>
          <w:rFonts w:cs="Calibri"/>
          <w:color w:val="000000"/>
          <w:kern w:val="0"/>
          <w:sz w:val="22"/>
        </w:rPr>
      </w:pPr>
      <w:r>
        <w:rPr>
          <w:rFonts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b/>
          <w:bCs/>
          <w:kern w:val="0"/>
          <w:sz w:val="22"/>
        </w:rPr>
      </w:pPr>
      <w:bookmarkStart w:id="74" w:name="_Toc3460"/>
      <w:r>
        <w:rPr>
          <w:rFonts w:cs="Calibri"/>
          <w:b/>
          <w:bCs/>
          <w:kern w:val="0"/>
          <w:sz w:val="22"/>
        </w:rPr>
        <w:t>6.2 评标原则</w:t>
      </w:r>
      <w:bookmarkEnd w:id="74"/>
    </w:p>
    <w:p>
      <w:pPr>
        <w:adjustRightInd w:val="0"/>
        <w:snapToGrid w:val="0"/>
        <w:spacing w:line="360" w:lineRule="exact"/>
        <w:ind w:firstLine="440" w:firstLineChars="200"/>
        <w:rPr>
          <w:rFonts w:cs="Calibri"/>
          <w:color w:val="000000"/>
          <w:kern w:val="0"/>
          <w:sz w:val="22"/>
        </w:rPr>
      </w:pPr>
      <w:r>
        <w:rPr>
          <w:rFonts w:cs="Calibri"/>
          <w:color w:val="000000"/>
          <w:kern w:val="0"/>
          <w:sz w:val="22"/>
        </w:rPr>
        <w:t>评标活动遵循公平、公正、科学和择优的原则。</w:t>
      </w:r>
    </w:p>
    <w:p>
      <w:pPr>
        <w:autoSpaceDE w:val="0"/>
        <w:autoSpaceDN w:val="0"/>
        <w:adjustRightInd w:val="0"/>
        <w:snapToGrid w:val="0"/>
        <w:spacing w:line="360" w:lineRule="exact"/>
        <w:rPr>
          <w:rFonts w:cs="Calibri"/>
          <w:b/>
          <w:bCs/>
          <w:kern w:val="0"/>
          <w:sz w:val="22"/>
        </w:rPr>
      </w:pPr>
      <w:bookmarkStart w:id="75" w:name="_Toc28178"/>
      <w:r>
        <w:rPr>
          <w:rFonts w:cs="Calibri"/>
          <w:b/>
          <w:bCs/>
          <w:kern w:val="0"/>
          <w:sz w:val="22"/>
        </w:rPr>
        <w:t>6.3 评标</w:t>
      </w:r>
      <w:bookmarkEnd w:id="75"/>
    </w:p>
    <w:p>
      <w:pPr>
        <w:adjustRightInd w:val="0"/>
        <w:snapToGrid w:val="0"/>
        <w:spacing w:line="360" w:lineRule="exact"/>
        <w:ind w:firstLine="440" w:firstLineChars="200"/>
        <w:rPr>
          <w:rFonts w:cs="Calibri"/>
          <w:color w:val="000000"/>
          <w:kern w:val="0"/>
          <w:sz w:val="22"/>
        </w:rPr>
      </w:pPr>
      <w:r>
        <w:rPr>
          <w:rFonts w:cs="Calibri"/>
          <w:color w:val="000000"/>
          <w:kern w:val="0"/>
          <w:sz w:val="22"/>
        </w:rPr>
        <w:t>评标委员会按照第</w:t>
      </w:r>
      <w:r>
        <w:rPr>
          <w:rFonts w:hint="eastAsia" w:cs="Calibri"/>
          <w:color w:val="000000"/>
          <w:kern w:val="0"/>
          <w:sz w:val="22"/>
        </w:rPr>
        <w:t>五</w:t>
      </w:r>
      <w:r>
        <w:rPr>
          <w:rFonts w:cs="Calibri"/>
          <w:color w:val="000000"/>
          <w:kern w:val="0"/>
          <w:sz w:val="22"/>
        </w:rPr>
        <w:t>章“评标方法及标准”对投标文件进行评审。第</w:t>
      </w:r>
      <w:r>
        <w:rPr>
          <w:rFonts w:hint="eastAsia" w:cs="Calibri"/>
          <w:color w:val="000000"/>
          <w:kern w:val="0"/>
          <w:sz w:val="22"/>
        </w:rPr>
        <w:t>五</w:t>
      </w:r>
      <w:r>
        <w:rPr>
          <w:rFonts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b/>
          <w:bCs/>
          <w:kern w:val="0"/>
          <w:sz w:val="22"/>
        </w:rPr>
      </w:pPr>
      <w:bookmarkStart w:id="76" w:name="_Toc24237"/>
      <w:r>
        <w:rPr>
          <w:rFonts w:cs="Calibri"/>
          <w:b/>
          <w:bCs/>
          <w:kern w:val="0"/>
          <w:sz w:val="22"/>
        </w:rPr>
        <w:t>7.合同授予</w:t>
      </w:r>
      <w:bookmarkEnd w:id="76"/>
    </w:p>
    <w:p>
      <w:pPr>
        <w:autoSpaceDE w:val="0"/>
        <w:autoSpaceDN w:val="0"/>
        <w:adjustRightInd w:val="0"/>
        <w:snapToGrid w:val="0"/>
        <w:spacing w:line="360" w:lineRule="exact"/>
        <w:rPr>
          <w:rFonts w:cs="Calibri"/>
          <w:b/>
          <w:bCs/>
          <w:kern w:val="0"/>
          <w:sz w:val="22"/>
        </w:rPr>
      </w:pPr>
      <w:bookmarkStart w:id="77" w:name="_Toc18809"/>
      <w:r>
        <w:rPr>
          <w:rFonts w:cs="Calibri"/>
          <w:b/>
          <w:bCs/>
          <w:kern w:val="0"/>
          <w:sz w:val="22"/>
        </w:rPr>
        <w:t>7.1 定标方式</w:t>
      </w:r>
      <w:bookmarkEnd w:id="77"/>
    </w:p>
    <w:p>
      <w:pPr>
        <w:adjustRightInd w:val="0"/>
        <w:snapToGrid w:val="0"/>
        <w:spacing w:line="360" w:lineRule="exact"/>
        <w:ind w:firstLine="440" w:firstLineChars="200"/>
        <w:rPr>
          <w:rFonts w:cs="Calibri"/>
          <w:color w:val="000000"/>
          <w:sz w:val="22"/>
        </w:rPr>
      </w:pPr>
      <w:r>
        <w:rPr>
          <w:rFonts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b/>
          <w:bCs/>
          <w:kern w:val="0"/>
          <w:sz w:val="22"/>
        </w:rPr>
      </w:pPr>
      <w:bookmarkStart w:id="78" w:name="_Toc14573"/>
      <w:r>
        <w:rPr>
          <w:rFonts w:cs="Calibri"/>
          <w:b/>
          <w:bCs/>
          <w:kern w:val="0"/>
          <w:sz w:val="22"/>
        </w:rPr>
        <w:t>7.2 中标通知</w:t>
      </w:r>
      <w:bookmarkEnd w:id="78"/>
    </w:p>
    <w:p>
      <w:pPr>
        <w:adjustRightInd w:val="0"/>
        <w:snapToGrid w:val="0"/>
        <w:spacing w:line="360" w:lineRule="exact"/>
        <w:ind w:firstLine="440" w:firstLineChars="200"/>
        <w:rPr>
          <w:rFonts w:cs="Calibri"/>
          <w:color w:val="000000"/>
          <w:kern w:val="0"/>
          <w:sz w:val="22"/>
        </w:rPr>
      </w:pPr>
      <w:r>
        <w:rPr>
          <w:rFonts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b/>
          <w:bCs/>
          <w:kern w:val="0"/>
          <w:sz w:val="22"/>
        </w:rPr>
      </w:pPr>
      <w:bookmarkStart w:id="79" w:name="_Toc27132"/>
      <w:bookmarkStart w:id="80" w:name="_Toc27581"/>
      <w:r>
        <w:rPr>
          <w:rFonts w:cs="Calibri"/>
          <w:b/>
          <w:bCs/>
          <w:kern w:val="0"/>
          <w:sz w:val="22"/>
        </w:rPr>
        <w:t>7.3 履约</w:t>
      </w:r>
      <w:r>
        <w:rPr>
          <w:rFonts w:hint="eastAsia" w:cs="Calibri"/>
          <w:b/>
          <w:bCs/>
          <w:kern w:val="0"/>
          <w:sz w:val="22"/>
        </w:rPr>
        <w:t>保证金</w:t>
      </w:r>
      <w:bookmarkEnd w:id="79"/>
    </w:p>
    <w:p>
      <w:pPr>
        <w:adjustRightInd w:val="0"/>
        <w:snapToGrid w:val="0"/>
        <w:spacing w:line="360" w:lineRule="exact"/>
        <w:ind w:firstLine="440" w:firstLineChars="200"/>
        <w:rPr>
          <w:rFonts w:cs="Calibri"/>
          <w:kern w:val="0"/>
          <w:sz w:val="22"/>
        </w:rPr>
      </w:pPr>
      <w:r>
        <w:rPr>
          <w:rFonts w:cs="Calibri"/>
          <w:kern w:val="0"/>
          <w:sz w:val="22"/>
        </w:rPr>
        <w:t>7.3.1在签订合同前，中标人应按投标人须知前附表规定的金额</w:t>
      </w:r>
      <w:r>
        <w:rPr>
          <w:rFonts w:hint="eastAsia" w:cs="Calibri"/>
          <w:kern w:val="0"/>
          <w:sz w:val="22"/>
        </w:rPr>
        <w:t>和</w:t>
      </w:r>
      <w:r>
        <w:rPr>
          <w:rFonts w:cs="Calibri"/>
          <w:kern w:val="0"/>
          <w:sz w:val="22"/>
        </w:rPr>
        <w:t>担保形式向招标人提交履约</w:t>
      </w:r>
      <w:r>
        <w:rPr>
          <w:rFonts w:hint="eastAsia" w:cs="Calibri"/>
          <w:kern w:val="0"/>
          <w:sz w:val="22"/>
        </w:rPr>
        <w:t>保证金</w:t>
      </w:r>
      <w:r>
        <w:rPr>
          <w:rFonts w:cs="Calibri"/>
          <w:kern w:val="0"/>
          <w:sz w:val="22"/>
        </w:rPr>
        <w:t>。</w:t>
      </w:r>
    </w:p>
    <w:p>
      <w:pPr>
        <w:adjustRightInd w:val="0"/>
        <w:snapToGrid w:val="0"/>
        <w:spacing w:line="360" w:lineRule="exact"/>
        <w:ind w:firstLine="440" w:firstLineChars="200"/>
        <w:rPr>
          <w:rFonts w:cs="Calibri"/>
          <w:kern w:val="0"/>
          <w:sz w:val="22"/>
        </w:rPr>
      </w:pPr>
      <w:r>
        <w:rPr>
          <w:rFonts w:cs="Calibri"/>
          <w:kern w:val="0"/>
          <w:sz w:val="22"/>
        </w:rPr>
        <w:t>7.3.2 中标人不能按本章第7.3.1项要求提交履约</w:t>
      </w:r>
      <w:r>
        <w:rPr>
          <w:rFonts w:hint="eastAsia" w:cs="Calibri"/>
          <w:kern w:val="0"/>
          <w:sz w:val="22"/>
        </w:rPr>
        <w:t>保证金</w:t>
      </w:r>
      <w:r>
        <w:rPr>
          <w:rFonts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b/>
          <w:bCs/>
          <w:kern w:val="0"/>
          <w:sz w:val="22"/>
        </w:rPr>
      </w:pPr>
      <w:r>
        <w:rPr>
          <w:rFonts w:cs="Calibri"/>
          <w:b/>
          <w:bCs/>
          <w:kern w:val="0"/>
          <w:sz w:val="22"/>
        </w:rPr>
        <w:t>7.4 签订合同</w:t>
      </w:r>
      <w:bookmarkEnd w:id="80"/>
    </w:p>
    <w:p>
      <w:pPr>
        <w:adjustRightInd w:val="0"/>
        <w:snapToGrid w:val="0"/>
        <w:spacing w:line="360" w:lineRule="exact"/>
        <w:ind w:firstLine="440" w:firstLineChars="200"/>
        <w:rPr>
          <w:rFonts w:cs="Calibri"/>
          <w:color w:val="000000"/>
          <w:kern w:val="0"/>
          <w:sz w:val="22"/>
        </w:rPr>
      </w:pPr>
      <w:r>
        <w:rPr>
          <w:rFonts w:cs="Calibri"/>
          <w:color w:val="000000"/>
          <w:sz w:val="22"/>
        </w:rPr>
        <w:t>7</w:t>
      </w:r>
      <w:bookmarkStart w:id="81" w:name="_Toc11806"/>
      <w:bookmarkStart w:id="82" w:name="_Toc220123241"/>
      <w:bookmarkStart w:id="83" w:name="_Toc219809801"/>
      <w:r>
        <w:rPr>
          <w:rFonts w:cs="Calibri"/>
          <w:color w:val="000000"/>
          <w:kern w:val="0"/>
          <w:sz w:val="22"/>
        </w:rPr>
        <w:t>.4.1招标人和中标人应当自中标通知书发出之日起30个工作日内订立书面合同（合同条款按第</w:t>
      </w:r>
      <w:r>
        <w:rPr>
          <w:rFonts w:hint="eastAsia" w:cs="Calibri"/>
          <w:color w:val="000000"/>
          <w:kern w:val="0"/>
          <w:sz w:val="22"/>
        </w:rPr>
        <w:t>四</w:t>
      </w:r>
      <w:r>
        <w:rPr>
          <w:rFonts w:cs="Calibri"/>
          <w:color w:val="000000"/>
          <w:kern w:val="0"/>
          <w:sz w:val="22"/>
        </w:rPr>
        <w:t>章</w:t>
      </w:r>
      <w:r>
        <w:rPr>
          <w:rFonts w:hint="eastAsia" w:cs="Calibri"/>
          <w:kern w:val="0"/>
          <w:sz w:val="22"/>
        </w:rPr>
        <w:t>“</w:t>
      </w:r>
      <w:r>
        <w:rPr>
          <w:rFonts w:cs="Calibri"/>
          <w:kern w:val="0"/>
          <w:sz w:val="22"/>
        </w:rPr>
        <w:t>合同条款</w:t>
      </w:r>
      <w:r>
        <w:rPr>
          <w:rFonts w:hint="eastAsia" w:cs="Calibri"/>
          <w:kern w:val="0"/>
          <w:sz w:val="22"/>
        </w:rPr>
        <w:t>”</w:t>
      </w:r>
      <w:r>
        <w:rPr>
          <w:rFonts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color w:val="000000"/>
          <w:kern w:val="0"/>
          <w:sz w:val="22"/>
        </w:rPr>
      </w:pPr>
      <w:r>
        <w:rPr>
          <w:rFonts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b/>
          <w:color w:val="000000"/>
          <w:kern w:val="0"/>
          <w:sz w:val="22"/>
        </w:rPr>
      </w:pPr>
      <w:r>
        <w:rPr>
          <w:rFonts w:hint="eastAsia" w:cs="Calibri"/>
          <w:color w:val="000000"/>
          <w:kern w:val="0"/>
          <w:sz w:val="22"/>
        </w:rPr>
        <w:t xml:space="preserve">7.4.3 </w:t>
      </w:r>
      <w:r>
        <w:rPr>
          <w:rFonts w:hint="eastAsia"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color w:val="000000"/>
          <w:kern w:val="0"/>
          <w:sz w:val="22"/>
        </w:rPr>
      </w:pPr>
      <w:r>
        <w:rPr>
          <w:rFonts w:hint="eastAsia" w:cs="Calibri"/>
          <w:color w:val="000000"/>
          <w:kern w:val="0"/>
          <w:sz w:val="22"/>
        </w:rPr>
        <w:t xml:space="preserve">7.4.4 </w:t>
      </w:r>
      <w:r>
        <w:rPr>
          <w:rFonts w:hint="eastAsia"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b/>
          <w:bCs/>
          <w:kern w:val="0"/>
          <w:sz w:val="22"/>
        </w:rPr>
      </w:pPr>
      <w:r>
        <w:rPr>
          <w:rFonts w:cs="Calibri"/>
          <w:b/>
          <w:bCs/>
          <w:kern w:val="0"/>
          <w:sz w:val="22"/>
        </w:rPr>
        <w:t>8.重新招标和不再招标</w:t>
      </w:r>
      <w:bookmarkEnd w:id="81"/>
      <w:bookmarkEnd w:id="82"/>
      <w:bookmarkEnd w:id="83"/>
    </w:p>
    <w:p>
      <w:pPr>
        <w:autoSpaceDE w:val="0"/>
        <w:autoSpaceDN w:val="0"/>
        <w:adjustRightInd w:val="0"/>
        <w:snapToGrid w:val="0"/>
        <w:spacing w:line="360" w:lineRule="exact"/>
        <w:rPr>
          <w:rFonts w:cs="Calibri"/>
          <w:b/>
          <w:bCs/>
          <w:kern w:val="0"/>
          <w:sz w:val="22"/>
        </w:rPr>
      </w:pPr>
      <w:bookmarkStart w:id="84" w:name="_Toc220123242"/>
      <w:bookmarkStart w:id="85" w:name="_Toc219809802"/>
      <w:bookmarkStart w:id="86" w:name="_Toc15553"/>
      <w:r>
        <w:rPr>
          <w:rFonts w:cs="Calibri"/>
          <w:b/>
          <w:bCs/>
          <w:kern w:val="0"/>
          <w:sz w:val="22"/>
        </w:rPr>
        <w:t>8.1 重新招标</w:t>
      </w:r>
      <w:bookmarkEnd w:id="84"/>
      <w:bookmarkEnd w:id="85"/>
      <w:bookmarkEnd w:id="86"/>
    </w:p>
    <w:p>
      <w:pPr>
        <w:adjustRightInd w:val="0"/>
        <w:snapToGrid w:val="0"/>
        <w:spacing w:line="360" w:lineRule="exact"/>
        <w:ind w:firstLine="440" w:firstLineChars="200"/>
        <w:rPr>
          <w:rFonts w:cs="Calibri"/>
          <w:color w:val="000000"/>
          <w:sz w:val="22"/>
        </w:rPr>
      </w:pPr>
      <w:r>
        <w:rPr>
          <w:rFonts w:cs="Calibri"/>
          <w:color w:val="000000"/>
          <w:sz w:val="22"/>
        </w:rPr>
        <w:t>有下列情形之一的，招标人将重新招标；</w:t>
      </w:r>
    </w:p>
    <w:p>
      <w:pPr>
        <w:adjustRightInd w:val="0"/>
        <w:snapToGrid w:val="0"/>
        <w:spacing w:line="360" w:lineRule="exact"/>
        <w:ind w:firstLine="440" w:firstLineChars="200"/>
        <w:rPr>
          <w:rFonts w:cs="Calibri"/>
          <w:color w:val="000000"/>
          <w:kern w:val="0"/>
          <w:sz w:val="22"/>
        </w:rPr>
      </w:pPr>
      <w:r>
        <w:rPr>
          <w:rFonts w:cs="Calibri"/>
          <w:color w:val="000000"/>
          <w:kern w:val="0"/>
          <w:sz w:val="22"/>
        </w:rPr>
        <w:t>（1）投标截止时间止，投标人少于3个的；</w:t>
      </w:r>
    </w:p>
    <w:p>
      <w:pPr>
        <w:adjustRightInd w:val="0"/>
        <w:snapToGrid w:val="0"/>
        <w:spacing w:line="360" w:lineRule="exact"/>
        <w:ind w:firstLine="440" w:firstLineChars="200"/>
        <w:rPr>
          <w:rFonts w:cs="Calibri"/>
          <w:color w:val="000000"/>
          <w:kern w:val="0"/>
          <w:sz w:val="22"/>
        </w:rPr>
      </w:pPr>
      <w:r>
        <w:rPr>
          <w:rFonts w:hint="eastAsia" w:cs="Calibri"/>
          <w:color w:val="000000"/>
          <w:kern w:val="0"/>
          <w:sz w:val="22"/>
        </w:rPr>
        <w:t>（2）</w:t>
      </w:r>
      <w:r>
        <w:rPr>
          <w:rFonts w:hint="eastAsia"/>
          <w:b/>
          <w:bCs/>
          <w:sz w:val="22"/>
        </w:rPr>
        <w:t>所有投标人的报价均偏高，招标人无法接受的；</w:t>
      </w:r>
    </w:p>
    <w:p>
      <w:pPr>
        <w:adjustRightInd w:val="0"/>
        <w:snapToGrid w:val="0"/>
        <w:spacing w:line="360" w:lineRule="exact"/>
        <w:ind w:firstLine="440" w:firstLineChars="200"/>
        <w:rPr>
          <w:rFonts w:cs="Calibri"/>
          <w:color w:val="000000"/>
          <w:sz w:val="22"/>
        </w:rPr>
      </w:pPr>
      <w:r>
        <w:rPr>
          <w:rFonts w:cs="Calibri"/>
          <w:color w:val="000000"/>
          <w:kern w:val="0"/>
          <w:sz w:val="22"/>
        </w:rPr>
        <w:t>（</w:t>
      </w:r>
      <w:r>
        <w:rPr>
          <w:rFonts w:hint="eastAsia" w:cs="Calibri"/>
          <w:color w:val="000000"/>
          <w:kern w:val="0"/>
          <w:sz w:val="22"/>
        </w:rPr>
        <w:t>3</w:t>
      </w:r>
      <w:r>
        <w:rPr>
          <w:rFonts w:cs="Calibri"/>
          <w:color w:val="000000"/>
          <w:kern w:val="0"/>
          <w:sz w:val="22"/>
        </w:rPr>
        <w:t>）经评标委员会评审后否决所有投标的。</w:t>
      </w:r>
    </w:p>
    <w:p>
      <w:pPr>
        <w:autoSpaceDE w:val="0"/>
        <w:autoSpaceDN w:val="0"/>
        <w:adjustRightInd w:val="0"/>
        <w:snapToGrid w:val="0"/>
        <w:spacing w:line="360" w:lineRule="exact"/>
        <w:rPr>
          <w:rFonts w:cs="Calibri"/>
          <w:b/>
          <w:bCs/>
          <w:kern w:val="0"/>
          <w:sz w:val="22"/>
        </w:rPr>
      </w:pPr>
      <w:bookmarkStart w:id="87" w:name="_Toc18806"/>
      <w:bookmarkStart w:id="88" w:name="_Toc220123243"/>
      <w:bookmarkStart w:id="89" w:name="_Toc219809803"/>
      <w:r>
        <w:rPr>
          <w:rFonts w:cs="Calibri"/>
          <w:b/>
          <w:bCs/>
          <w:kern w:val="0"/>
          <w:sz w:val="22"/>
        </w:rPr>
        <w:t>8.2 不再招标</w:t>
      </w:r>
      <w:bookmarkEnd w:id="87"/>
      <w:bookmarkEnd w:id="88"/>
      <w:bookmarkEnd w:id="89"/>
    </w:p>
    <w:p>
      <w:pPr>
        <w:adjustRightInd w:val="0"/>
        <w:snapToGrid w:val="0"/>
        <w:spacing w:line="360" w:lineRule="exact"/>
        <w:ind w:firstLine="440" w:firstLineChars="200"/>
        <w:rPr>
          <w:rFonts w:cs="Calibri"/>
          <w:color w:val="000000"/>
          <w:sz w:val="22"/>
        </w:rPr>
      </w:pPr>
      <w:r>
        <w:rPr>
          <w:rFonts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b/>
          <w:bCs/>
          <w:kern w:val="0"/>
          <w:sz w:val="22"/>
        </w:rPr>
      </w:pPr>
      <w:bookmarkStart w:id="90" w:name="_Toc219809804"/>
      <w:bookmarkStart w:id="91" w:name="_Toc215941254"/>
      <w:bookmarkStart w:id="92" w:name="_Toc220123244"/>
      <w:bookmarkStart w:id="93" w:name="_Toc2986"/>
      <w:r>
        <w:rPr>
          <w:rFonts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b/>
          <w:bCs/>
          <w:kern w:val="0"/>
          <w:sz w:val="22"/>
        </w:rPr>
      </w:pPr>
      <w:bookmarkStart w:id="94" w:name="_Toc220123245"/>
      <w:bookmarkStart w:id="95" w:name="_Toc219809805"/>
      <w:bookmarkStart w:id="96" w:name="_Toc5509"/>
      <w:r>
        <w:rPr>
          <w:rFonts w:cs="Calibri"/>
          <w:b/>
          <w:bCs/>
          <w:kern w:val="0"/>
          <w:sz w:val="22"/>
        </w:rPr>
        <w:t>9.1 对招标人的纪律要求</w:t>
      </w:r>
      <w:bookmarkEnd w:id="94"/>
      <w:bookmarkEnd w:id="95"/>
      <w:bookmarkEnd w:id="96"/>
    </w:p>
    <w:p>
      <w:pPr>
        <w:adjustRightInd w:val="0"/>
        <w:snapToGrid w:val="0"/>
        <w:spacing w:line="360" w:lineRule="exact"/>
        <w:ind w:firstLine="440" w:firstLineChars="200"/>
        <w:rPr>
          <w:rFonts w:cs="Calibri"/>
          <w:color w:val="000000"/>
          <w:sz w:val="22"/>
        </w:rPr>
      </w:pPr>
      <w:r>
        <w:rPr>
          <w:rFonts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b/>
          <w:bCs/>
          <w:kern w:val="0"/>
          <w:sz w:val="22"/>
        </w:rPr>
      </w:pPr>
      <w:bookmarkStart w:id="97" w:name="_Toc10820"/>
      <w:bookmarkStart w:id="98" w:name="_Toc219809806"/>
      <w:bookmarkStart w:id="99" w:name="_Toc220123246"/>
      <w:r>
        <w:rPr>
          <w:rFonts w:cs="Calibri"/>
          <w:b/>
          <w:bCs/>
          <w:kern w:val="0"/>
          <w:sz w:val="22"/>
        </w:rPr>
        <w:t>9.2 对投标人的纪律要求</w:t>
      </w:r>
      <w:bookmarkEnd w:id="97"/>
      <w:bookmarkEnd w:id="98"/>
      <w:bookmarkEnd w:id="99"/>
    </w:p>
    <w:p>
      <w:pPr>
        <w:adjustRightInd w:val="0"/>
        <w:snapToGrid w:val="0"/>
        <w:spacing w:line="360" w:lineRule="exact"/>
        <w:ind w:firstLine="440" w:firstLineChars="200"/>
        <w:rPr>
          <w:rFonts w:cs="Calibri"/>
          <w:color w:val="000000"/>
          <w:sz w:val="22"/>
        </w:rPr>
      </w:pPr>
      <w:r>
        <w:rPr>
          <w:rFonts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b/>
          <w:bCs/>
          <w:kern w:val="0"/>
          <w:sz w:val="22"/>
        </w:rPr>
      </w:pPr>
      <w:bookmarkStart w:id="100" w:name="_Toc10756"/>
      <w:bookmarkStart w:id="101" w:name="_Toc219809807"/>
      <w:bookmarkStart w:id="102" w:name="_Toc220123247"/>
      <w:r>
        <w:rPr>
          <w:rFonts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color w:val="000000"/>
          <w:sz w:val="22"/>
        </w:rPr>
      </w:pPr>
      <w:r>
        <w:rPr>
          <w:rFonts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color w:val="000000"/>
          <w:sz w:val="22"/>
        </w:rPr>
        <w:t>五</w:t>
      </w:r>
      <w:r>
        <w:rPr>
          <w:rFonts w:cs="Calibri"/>
          <w:color w:val="000000"/>
          <w:sz w:val="22"/>
        </w:rPr>
        <w:t>章“评标办法及标准”没有规定的评审因素和标准进行评标。</w:t>
      </w:r>
    </w:p>
    <w:p>
      <w:pPr>
        <w:autoSpaceDE w:val="0"/>
        <w:autoSpaceDN w:val="0"/>
        <w:adjustRightInd w:val="0"/>
        <w:snapToGrid w:val="0"/>
        <w:spacing w:line="360" w:lineRule="exact"/>
        <w:rPr>
          <w:rFonts w:cs="Calibri"/>
          <w:b/>
          <w:bCs/>
          <w:kern w:val="0"/>
          <w:sz w:val="22"/>
        </w:rPr>
      </w:pPr>
      <w:bookmarkStart w:id="103" w:name="_Toc219809808"/>
      <w:bookmarkStart w:id="104" w:name="_Toc220123248"/>
      <w:bookmarkStart w:id="105" w:name="_Toc12792"/>
      <w:r>
        <w:rPr>
          <w:rFonts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color w:val="000000"/>
          <w:sz w:val="22"/>
        </w:rPr>
      </w:pPr>
      <w:r>
        <w:rPr>
          <w:rFonts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b/>
          <w:bCs/>
          <w:kern w:val="0"/>
          <w:sz w:val="22"/>
        </w:rPr>
      </w:pPr>
      <w:bookmarkStart w:id="106" w:name="_Toc219809809"/>
      <w:bookmarkStart w:id="107" w:name="_Toc239"/>
      <w:bookmarkStart w:id="108" w:name="_Toc220123249"/>
      <w:r>
        <w:rPr>
          <w:rFonts w:cs="Calibri"/>
          <w:b/>
          <w:bCs/>
          <w:kern w:val="0"/>
          <w:sz w:val="22"/>
        </w:rPr>
        <w:t>9.5 投诉</w:t>
      </w:r>
      <w:bookmarkEnd w:id="106"/>
      <w:bookmarkEnd w:id="107"/>
      <w:bookmarkEnd w:id="108"/>
    </w:p>
    <w:p>
      <w:pPr>
        <w:adjustRightInd w:val="0"/>
        <w:snapToGrid w:val="0"/>
        <w:spacing w:line="360" w:lineRule="exact"/>
        <w:ind w:firstLine="440" w:firstLineChars="200"/>
        <w:rPr>
          <w:rFonts w:cs="Calibri"/>
          <w:color w:val="000000"/>
          <w:sz w:val="22"/>
        </w:rPr>
      </w:pPr>
      <w:r>
        <w:rPr>
          <w:rFonts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b/>
          <w:bCs/>
          <w:kern w:val="0"/>
          <w:sz w:val="22"/>
        </w:rPr>
      </w:pPr>
      <w:bookmarkStart w:id="109" w:name="_Toc10817"/>
      <w:r>
        <w:rPr>
          <w:rFonts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color w:val="000000"/>
          <w:sz w:val="22"/>
        </w:rPr>
      </w:pPr>
      <w:r>
        <w:rPr>
          <w:rFonts w:cs="Calibri"/>
          <w:color w:val="000000"/>
          <w:sz w:val="22"/>
        </w:rPr>
        <w:t>需要补充的其他内容：见投标人须知前附表。</w:t>
      </w:r>
    </w:p>
    <w:p>
      <w:pPr>
        <w:spacing w:line="440" w:lineRule="exact"/>
        <w:rPr>
          <w:rFonts w:ascii="仿宋_GB2312" w:hAnsi="宋体" w:eastAsia="仿宋_GB2312"/>
          <w:b/>
          <w:sz w:val="28"/>
          <w:szCs w:val="28"/>
        </w:rPr>
      </w:pPr>
      <w:bookmarkStart w:id="110" w:name="_Toc213036227"/>
      <w:bookmarkStart w:id="111" w:name="_Toc223327527"/>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pPr>
    </w:p>
    <w:p>
      <w:pPr>
        <w:spacing w:line="440" w:lineRule="exact"/>
        <w:rPr>
          <w:rFonts w:ascii="仿宋_GB2312" w:hAnsi="宋体" w:eastAsia="仿宋_GB2312"/>
          <w:b/>
          <w:sz w:val="28"/>
          <w:szCs w:val="28"/>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rPr>
          <w:rFonts w:ascii="仿宋_GB2312" w:hAnsi="宋体" w:eastAsia="仿宋_GB2312"/>
          <w:b/>
          <w:sz w:val="28"/>
          <w:szCs w:val="28"/>
        </w:rPr>
      </w:pPr>
    </w:p>
    <w:bookmarkEnd w:id="110"/>
    <w:bookmarkEnd w:id="111"/>
    <w:p>
      <w:pPr>
        <w:pStyle w:val="2"/>
        <w:spacing w:before="0" w:after="0" w:line="360" w:lineRule="auto"/>
        <w:jc w:val="center"/>
        <w:rPr>
          <w:rFonts w:ascii="Calibri" w:hAnsi="Calibri" w:eastAsia="黑体" w:cs="Calibri"/>
          <w:kern w:val="0"/>
          <w:sz w:val="32"/>
        </w:rPr>
      </w:pPr>
      <w:bookmarkStart w:id="112" w:name="_Toc448002985"/>
      <w:bookmarkStart w:id="113" w:name="_Toc448002986"/>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r>
        <w:rPr>
          <w:rFonts w:hint="eastAsia" w:ascii="Calibri" w:hAnsi="Calibri" w:eastAsia="黑体" w:cs="Calibri"/>
          <w:kern w:val="0"/>
          <w:sz w:val="32"/>
        </w:rPr>
        <w:t>服务技术标准及要求</w:t>
      </w:r>
      <w:bookmarkEnd w:id="112"/>
    </w:p>
    <w:p>
      <w:pPr>
        <w:spacing w:line="360" w:lineRule="auto"/>
        <w:ind w:firstLine="360" w:firstLineChars="150"/>
        <w:rPr>
          <w:rFonts w:ascii="宋体" w:cs="宋体"/>
          <w:b/>
          <w:sz w:val="24"/>
        </w:rPr>
      </w:pPr>
      <w:r>
        <w:rPr>
          <w:rFonts w:hint="eastAsia" w:ascii="宋体" w:hAnsi="宋体" w:cs="宋体"/>
          <w:b/>
          <w:sz w:val="24"/>
        </w:rPr>
        <w:t xml:space="preserve"> （一）编制维保计划</w:t>
      </w:r>
    </w:p>
    <w:p>
      <w:pPr>
        <w:spacing w:line="360" w:lineRule="auto"/>
        <w:ind w:firstLine="480" w:firstLineChars="200"/>
        <w:rPr>
          <w:rFonts w:ascii="宋体"/>
          <w:sz w:val="24"/>
        </w:rPr>
      </w:pPr>
      <w:r>
        <w:rPr>
          <w:rFonts w:ascii="宋体" w:hAnsi="宋体"/>
          <w:sz w:val="24"/>
        </w:rPr>
        <w:t>1</w:t>
      </w:r>
      <w:r>
        <w:rPr>
          <w:rFonts w:hint="eastAsia" w:ascii="宋体" w:hAnsi="宋体"/>
          <w:sz w:val="24"/>
        </w:rPr>
        <w:t>、与招标方协商拟订定期维保日程计划。</w:t>
      </w:r>
    </w:p>
    <w:p>
      <w:pPr>
        <w:spacing w:line="360" w:lineRule="auto"/>
        <w:ind w:firstLine="480" w:firstLineChars="200"/>
        <w:rPr>
          <w:rFonts w:ascii="宋体"/>
          <w:sz w:val="24"/>
        </w:rPr>
      </w:pPr>
      <w:r>
        <w:rPr>
          <w:rFonts w:ascii="宋体" w:hAnsi="宋体"/>
          <w:sz w:val="24"/>
        </w:rPr>
        <w:t>2</w:t>
      </w:r>
      <w:r>
        <w:rPr>
          <w:rFonts w:hint="eastAsia" w:ascii="宋体" w:hAnsi="宋体"/>
          <w:sz w:val="24"/>
        </w:rPr>
        <w:t>、根据定期维保计划与其它设备供应商协调日程。</w:t>
      </w:r>
    </w:p>
    <w:p>
      <w:pPr>
        <w:spacing w:line="360" w:lineRule="auto"/>
        <w:rPr>
          <w:rFonts w:ascii="宋体" w:hAnsi="宋体" w:cs="宋体"/>
          <w:b/>
          <w:color w:val="FF0000"/>
          <w:sz w:val="24"/>
        </w:rPr>
      </w:pPr>
      <w:r>
        <w:rPr>
          <w:rFonts w:hint="eastAsia" w:ascii="宋体" w:hAnsi="宋体" w:cs="宋体"/>
          <w:b/>
          <w:sz w:val="24"/>
        </w:rPr>
        <w:t xml:space="preserve">   （二）定期维保内容</w:t>
      </w:r>
    </w:p>
    <w:p>
      <w:pPr>
        <w:numPr>
          <w:ilvl w:val="0"/>
          <w:numId w:val="2"/>
        </w:numPr>
        <w:spacing w:line="360" w:lineRule="auto"/>
        <w:ind w:firstLine="0"/>
        <w:rPr>
          <w:rFonts w:ascii="宋体" w:hAnsi="宋体" w:cs="宋体"/>
          <w:b/>
          <w:color w:val="FF0000"/>
          <w:sz w:val="24"/>
        </w:rPr>
      </w:pPr>
      <w:r>
        <w:rPr>
          <w:rFonts w:hint="eastAsia" w:ascii="宋体" w:hAnsi="宋体" w:cs="宋体"/>
          <w:b/>
          <w:color w:val="FF0000"/>
          <w:sz w:val="24"/>
        </w:rPr>
        <w:t xml:space="preserve"> 每月进行一次工作回访，并填写回访单，双方签字确认</w:t>
      </w:r>
    </w:p>
    <w:p>
      <w:pPr>
        <w:spacing w:line="360" w:lineRule="auto"/>
        <w:ind w:left="425"/>
        <w:rPr>
          <w:rFonts w:ascii="宋体" w:hAnsi="宋体" w:cs="宋体"/>
          <w:b/>
          <w:color w:val="FF0000"/>
          <w:sz w:val="24"/>
        </w:rPr>
      </w:pPr>
      <w:r>
        <w:rPr>
          <w:rFonts w:hint="eastAsia" w:ascii="宋体" w:hAnsi="宋体" w:cs="宋体"/>
          <w:b/>
          <w:color w:val="FF0000"/>
          <w:sz w:val="24"/>
        </w:rPr>
        <w:t>回访内容包括：及时处理当月发生的故障维修和系统优化</w:t>
      </w:r>
    </w:p>
    <w:p>
      <w:pPr>
        <w:numPr>
          <w:ilvl w:val="0"/>
          <w:numId w:val="2"/>
        </w:numPr>
        <w:spacing w:line="360" w:lineRule="auto"/>
        <w:ind w:firstLine="0"/>
        <w:rPr>
          <w:rFonts w:ascii="宋体" w:hAnsi="宋体" w:cs="宋体"/>
          <w:b/>
          <w:color w:val="FF0000"/>
          <w:sz w:val="24"/>
        </w:rPr>
      </w:pPr>
      <w:r>
        <w:rPr>
          <w:rFonts w:hint="eastAsia" w:ascii="宋体" w:hAnsi="宋体" w:cs="宋体"/>
          <w:b/>
          <w:color w:val="FF0000"/>
          <w:sz w:val="24"/>
        </w:rPr>
        <w:t>每季度进行一次巡检，并填写巡检单，双方签字确认</w:t>
      </w:r>
    </w:p>
    <w:p>
      <w:pPr>
        <w:spacing w:line="360" w:lineRule="auto"/>
        <w:rPr>
          <w:rFonts w:ascii="宋体" w:hAnsi="宋体" w:cs="宋体"/>
          <w:b/>
          <w:color w:val="FF0000"/>
          <w:sz w:val="24"/>
        </w:rPr>
      </w:pPr>
      <w:r>
        <w:rPr>
          <w:rFonts w:hint="eastAsia" w:ascii="宋体" w:hAnsi="宋体" w:cs="宋体"/>
          <w:b/>
          <w:color w:val="FF0000"/>
          <w:sz w:val="24"/>
        </w:rPr>
        <w:t xml:space="preserve">    巡检内容包括：</w:t>
      </w:r>
    </w:p>
    <w:p>
      <w:pPr>
        <w:spacing w:line="360" w:lineRule="auto"/>
        <w:ind w:left="480"/>
        <w:rPr>
          <w:rFonts w:ascii="宋体" w:hAnsi="宋体" w:cs="宋体"/>
          <w:bCs/>
          <w:sz w:val="24"/>
        </w:rPr>
      </w:pPr>
      <w:r>
        <w:rPr>
          <w:rFonts w:hint="eastAsia" w:ascii="宋体" w:hAnsi="宋体" w:cs="宋体"/>
          <w:bCs/>
          <w:sz w:val="24"/>
        </w:rPr>
        <w:t>1)楼宇自控及智能照明系统基本功能测试</w:t>
      </w:r>
    </w:p>
    <w:p>
      <w:pPr>
        <w:spacing w:line="360" w:lineRule="auto"/>
        <w:ind w:left="480"/>
        <w:rPr>
          <w:rFonts w:ascii="宋体" w:hAnsi="宋体" w:cs="宋体"/>
          <w:bCs/>
          <w:sz w:val="24"/>
        </w:rPr>
      </w:pPr>
      <w:r>
        <w:rPr>
          <w:rFonts w:hint="eastAsia" w:ascii="宋体" w:hAnsi="宋体" w:cs="宋体"/>
          <w:bCs/>
          <w:sz w:val="24"/>
        </w:rPr>
        <w:t>2)冷热空调工况测试及调整</w:t>
      </w:r>
    </w:p>
    <w:p>
      <w:pPr>
        <w:spacing w:line="360" w:lineRule="auto"/>
        <w:ind w:left="480"/>
        <w:rPr>
          <w:rFonts w:ascii="宋体" w:hAnsi="宋体" w:cs="宋体"/>
          <w:bCs/>
          <w:sz w:val="24"/>
        </w:rPr>
      </w:pPr>
      <w:r>
        <w:rPr>
          <w:rFonts w:hint="eastAsia" w:ascii="宋体" w:hAnsi="宋体" w:cs="宋体"/>
          <w:bCs/>
          <w:sz w:val="24"/>
        </w:rPr>
        <w:t>3)各设备状况检查与诊断</w:t>
      </w:r>
    </w:p>
    <w:p>
      <w:pPr>
        <w:spacing w:line="360" w:lineRule="auto"/>
        <w:ind w:left="480"/>
        <w:rPr>
          <w:rFonts w:ascii="宋体" w:hAnsi="宋体" w:cs="宋体"/>
          <w:bCs/>
          <w:sz w:val="24"/>
        </w:rPr>
      </w:pPr>
      <w:r>
        <w:rPr>
          <w:rFonts w:hint="eastAsia" w:ascii="宋体" w:hAnsi="宋体" w:cs="宋体"/>
          <w:bCs/>
          <w:sz w:val="24"/>
        </w:rPr>
        <w:t>4)检查与确认系统有无异常情况</w:t>
      </w:r>
    </w:p>
    <w:p>
      <w:pPr>
        <w:spacing w:line="360" w:lineRule="auto"/>
        <w:ind w:left="480"/>
        <w:rPr>
          <w:rFonts w:ascii="宋体" w:hAnsi="宋体" w:cs="宋体"/>
          <w:bCs/>
          <w:sz w:val="24"/>
        </w:rPr>
      </w:pPr>
      <w:r>
        <w:rPr>
          <w:rFonts w:hint="eastAsia" w:ascii="宋体" w:hAnsi="宋体" w:cs="宋体"/>
          <w:bCs/>
          <w:sz w:val="24"/>
        </w:rPr>
        <w:t>5)硬件性能测试及保养</w:t>
      </w:r>
    </w:p>
    <w:p>
      <w:pPr>
        <w:spacing w:line="360" w:lineRule="auto"/>
        <w:ind w:left="480"/>
        <w:rPr>
          <w:rFonts w:ascii="宋体" w:hAnsi="宋体" w:cs="宋体"/>
          <w:bCs/>
          <w:sz w:val="24"/>
        </w:rPr>
      </w:pPr>
      <w:r>
        <w:rPr>
          <w:rFonts w:hint="eastAsia" w:ascii="宋体" w:hAnsi="宋体" w:cs="宋体"/>
          <w:bCs/>
          <w:sz w:val="24"/>
        </w:rPr>
        <w:t>6)主要维护内容如下：</w:t>
      </w:r>
    </w:p>
    <w:p>
      <w:pPr>
        <w:spacing w:line="360" w:lineRule="auto"/>
        <w:ind w:left="480"/>
        <w:rPr>
          <w:rFonts w:ascii="宋体" w:hAnsi="宋体" w:cs="宋体"/>
          <w:bCs/>
          <w:sz w:val="24"/>
        </w:rPr>
      </w:pPr>
      <w:r>
        <w:rPr>
          <w:rFonts w:hint="eastAsia" w:ascii="宋体" w:hAnsi="宋体" w:cs="宋体"/>
          <w:bCs/>
          <w:sz w:val="24"/>
        </w:rPr>
        <w:t>i.中央站服务器、工作站计算机：</w:t>
      </w:r>
    </w:p>
    <w:p>
      <w:pPr>
        <w:spacing w:line="360" w:lineRule="auto"/>
        <w:ind w:left="480"/>
        <w:rPr>
          <w:rFonts w:ascii="宋体" w:hAnsi="宋体" w:cs="宋体"/>
          <w:bCs/>
          <w:sz w:val="24"/>
        </w:rPr>
      </w:pPr>
      <w:r>
        <w:rPr>
          <w:rFonts w:hint="eastAsia" w:ascii="宋体" w:hAnsi="宋体" w:cs="宋体"/>
          <w:bCs/>
          <w:sz w:val="24"/>
        </w:rPr>
        <w:t>-检查计算机外观是否良好</w:t>
      </w:r>
    </w:p>
    <w:p>
      <w:pPr>
        <w:spacing w:line="360" w:lineRule="auto"/>
        <w:ind w:left="480"/>
        <w:rPr>
          <w:rFonts w:ascii="宋体" w:hAnsi="宋体" w:cs="宋体"/>
          <w:bCs/>
          <w:sz w:val="24"/>
        </w:rPr>
      </w:pPr>
      <w:r>
        <w:rPr>
          <w:rFonts w:hint="eastAsia" w:ascii="宋体" w:hAnsi="宋体" w:cs="宋体"/>
          <w:bCs/>
          <w:sz w:val="24"/>
        </w:rPr>
        <w:t>-检查计算机供电电源是否良好</w:t>
      </w:r>
    </w:p>
    <w:p>
      <w:pPr>
        <w:spacing w:line="360" w:lineRule="auto"/>
        <w:ind w:left="480"/>
        <w:rPr>
          <w:rFonts w:ascii="宋体" w:hAnsi="宋体" w:cs="宋体"/>
          <w:bCs/>
          <w:sz w:val="24"/>
        </w:rPr>
      </w:pPr>
      <w:r>
        <w:rPr>
          <w:rFonts w:hint="eastAsia" w:ascii="宋体" w:hAnsi="宋体" w:cs="宋体"/>
          <w:bCs/>
          <w:sz w:val="24"/>
        </w:rPr>
        <w:t>-检查监视器、鼠标、键盘等外设是否工作正常</w:t>
      </w:r>
    </w:p>
    <w:p>
      <w:pPr>
        <w:spacing w:line="360" w:lineRule="auto"/>
        <w:ind w:left="480"/>
        <w:rPr>
          <w:rFonts w:ascii="宋体" w:hAnsi="宋体" w:cs="宋体"/>
          <w:bCs/>
          <w:sz w:val="24"/>
        </w:rPr>
      </w:pPr>
      <w:r>
        <w:rPr>
          <w:rFonts w:hint="eastAsia" w:ascii="宋体" w:hAnsi="宋体" w:cs="宋体"/>
          <w:bCs/>
          <w:sz w:val="24"/>
        </w:rPr>
        <w:t>-检查计算机主板清洁状态及工作是否正常</w:t>
      </w:r>
    </w:p>
    <w:p>
      <w:pPr>
        <w:spacing w:line="360" w:lineRule="auto"/>
        <w:ind w:left="480"/>
        <w:rPr>
          <w:rFonts w:ascii="宋体" w:hAnsi="宋体" w:cs="宋体"/>
          <w:bCs/>
          <w:sz w:val="24"/>
        </w:rPr>
      </w:pPr>
      <w:r>
        <w:rPr>
          <w:rFonts w:hint="eastAsia" w:ascii="宋体" w:hAnsi="宋体" w:cs="宋体"/>
          <w:bCs/>
          <w:sz w:val="24"/>
        </w:rPr>
        <w:t>-检查计算机操作系统是否正常</w:t>
      </w:r>
    </w:p>
    <w:p>
      <w:pPr>
        <w:spacing w:line="360" w:lineRule="auto"/>
        <w:ind w:left="480"/>
        <w:rPr>
          <w:rFonts w:ascii="宋体" w:hAnsi="宋体" w:cs="宋体"/>
          <w:bCs/>
          <w:sz w:val="24"/>
        </w:rPr>
      </w:pPr>
      <w:r>
        <w:rPr>
          <w:rFonts w:hint="eastAsia" w:ascii="宋体" w:hAnsi="宋体" w:cs="宋体"/>
          <w:bCs/>
          <w:sz w:val="24"/>
        </w:rPr>
        <w:t>-检查计算机网络交换机、通讯接口是否正常</w:t>
      </w:r>
    </w:p>
    <w:p>
      <w:pPr>
        <w:spacing w:line="360" w:lineRule="auto"/>
        <w:ind w:left="480"/>
        <w:rPr>
          <w:rFonts w:ascii="宋体" w:hAnsi="宋体" w:cs="宋体"/>
          <w:bCs/>
          <w:sz w:val="24"/>
        </w:rPr>
      </w:pPr>
      <w:r>
        <w:rPr>
          <w:rFonts w:hint="eastAsia" w:ascii="宋体" w:hAnsi="宋体" w:cs="宋体"/>
          <w:bCs/>
          <w:sz w:val="24"/>
        </w:rPr>
        <w:t>-检查系统总线网络线路的连接状态是否正常</w:t>
      </w:r>
    </w:p>
    <w:p>
      <w:pPr>
        <w:spacing w:line="360" w:lineRule="auto"/>
        <w:ind w:left="480"/>
        <w:rPr>
          <w:rFonts w:ascii="宋体" w:hAnsi="宋体" w:cs="宋体"/>
          <w:bCs/>
          <w:sz w:val="24"/>
        </w:rPr>
      </w:pPr>
      <w:r>
        <w:rPr>
          <w:rFonts w:hint="eastAsia" w:ascii="宋体" w:hAnsi="宋体" w:cs="宋体"/>
          <w:bCs/>
          <w:sz w:val="24"/>
        </w:rPr>
        <w:t>ii.中央站系统软件：</w:t>
      </w:r>
    </w:p>
    <w:p>
      <w:pPr>
        <w:spacing w:line="360" w:lineRule="auto"/>
        <w:ind w:left="480"/>
        <w:rPr>
          <w:rFonts w:ascii="宋体" w:hAnsi="宋体" w:cs="宋体"/>
          <w:bCs/>
          <w:sz w:val="24"/>
        </w:rPr>
      </w:pPr>
      <w:r>
        <w:rPr>
          <w:rFonts w:hint="eastAsia" w:ascii="宋体" w:hAnsi="宋体" w:cs="宋体"/>
          <w:bCs/>
          <w:sz w:val="24"/>
        </w:rPr>
        <w:t>-检查服务器软件是否正常、冗余功能及数据库是否运行正常</w:t>
      </w:r>
    </w:p>
    <w:p>
      <w:pPr>
        <w:spacing w:line="360" w:lineRule="auto"/>
        <w:ind w:left="480"/>
        <w:rPr>
          <w:rFonts w:ascii="宋体" w:hAnsi="宋体" w:cs="宋体"/>
          <w:bCs/>
          <w:sz w:val="24"/>
        </w:rPr>
      </w:pPr>
      <w:r>
        <w:rPr>
          <w:rFonts w:hint="eastAsia" w:ascii="宋体" w:hAnsi="宋体" w:cs="宋体"/>
          <w:bCs/>
          <w:sz w:val="24"/>
        </w:rPr>
        <w:t>-检查工作站系统软件操作、显示、报警、记录等功能是否正常</w:t>
      </w:r>
    </w:p>
    <w:p>
      <w:pPr>
        <w:spacing w:line="360" w:lineRule="auto"/>
        <w:ind w:left="480"/>
        <w:rPr>
          <w:rFonts w:ascii="宋体" w:hAnsi="宋体" w:cs="宋体"/>
          <w:bCs/>
          <w:sz w:val="24"/>
        </w:rPr>
      </w:pPr>
      <w:r>
        <w:rPr>
          <w:rFonts w:hint="eastAsia" w:ascii="宋体" w:hAnsi="宋体" w:cs="宋体"/>
          <w:bCs/>
          <w:sz w:val="24"/>
        </w:rPr>
        <w:t>-检查系统各图形界面是否切换正常，显示数据是否完整</w:t>
      </w:r>
    </w:p>
    <w:p>
      <w:pPr>
        <w:spacing w:line="360" w:lineRule="auto"/>
        <w:ind w:left="480"/>
        <w:rPr>
          <w:rFonts w:ascii="宋体" w:hAnsi="宋体" w:cs="宋体"/>
          <w:bCs/>
          <w:sz w:val="24"/>
        </w:rPr>
      </w:pPr>
      <w:r>
        <w:rPr>
          <w:rFonts w:hint="eastAsia" w:ascii="宋体" w:hAnsi="宋体" w:cs="宋体"/>
          <w:bCs/>
          <w:sz w:val="24"/>
        </w:rPr>
        <w:t>-检查各系统数据显示是否正常</w:t>
      </w:r>
    </w:p>
    <w:p>
      <w:pPr>
        <w:spacing w:line="360" w:lineRule="auto"/>
        <w:ind w:left="480"/>
        <w:rPr>
          <w:rFonts w:ascii="宋体" w:hAnsi="宋体" w:cs="宋体"/>
          <w:bCs/>
          <w:sz w:val="24"/>
        </w:rPr>
      </w:pPr>
      <w:r>
        <w:rPr>
          <w:rFonts w:hint="eastAsia" w:ascii="宋体" w:hAnsi="宋体" w:cs="宋体"/>
          <w:bCs/>
          <w:sz w:val="24"/>
        </w:rPr>
        <w:t>-检查系统远程控制功能是否正常</w:t>
      </w:r>
    </w:p>
    <w:p>
      <w:pPr>
        <w:spacing w:line="360" w:lineRule="auto"/>
        <w:ind w:left="480"/>
        <w:rPr>
          <w:rFonts w:ascii="宋体" w:hAnsi="宋体" w:cs="宋体"/>
          <w:bCs/>
          <w:sz w:val="24"/>
        </w:rPr>
      </w:pPr>
      <w:r>
        <w:rPr>
          <w:rFonts w:hint="eastAsia" w:ascii="宋体" w:hAnsi="宋体" w:cs="宋体"/>
          <w:bCs/>
          <w:sz w:val="24"/>
        </w:rPr>
        <w:t>-对系统数据进行备份</w:t>
      </w:r>
    </w:p>
    <w:p>
      <w:pPr>
        <w:spacing w:line="360" w:lineRule="auto"/>
        <w:ind w:left="480"/>
        <w:rPr>
          <w:rFonts w:ascii="宋体" w:hAnsi="宋体" w:cs="宋体"/>
          <w:bCs/>
          <w:sz w:val="24"/>
        </w:rPr>
      </w:pPr>
      <w:r>
        <w:rPr>
          <w:rFonts w:hint="eastAsia" w:ascii="宋体" w:hAnsi="宋体" w:cs="宋体"/>
          <w:bCs/>
          <w:sz w:val="24"/>
        </w:rPr>
        <w:t>iii.DDC（直接数字控制器）</w:t>
      </w:r>
    </w:p>
    <w:p>
      <w:pPr>
        <w:spacing w:line="360" w:lineRule="auto"/>
        <w:ind w:left="480"/>
        <w:rPr>
          <w:rFonts w:ascii="宋体" w:hAnsi="宋体" w:cs="宋体"/>
          <w:bCs/>
          <w:sz w:val="24"/>
        </w:rPr>
      </w:pPr>
      <w:r>
        <w:rPr>
          <w:rFonts w:hint="eastAsia" w:ascii="宋体" w:hAnsi="宋体" w:cs="宋体"/>
          <w:bCs/>
          <w:sz w:val="24"/>
        </w:rPr>
        <w:t>-检查DDC控制柜及DDC外观、内外环境是否正常</w:t>
      </w:r>
    </w:p>
    <w:p>
      <w:pPr>
        <w:spacing w:line="360" w:lineRule="auto"/>
        <w:ind w:left="480"/>
        <w:rPr>
          <w:rFonts w:ascii="宋体" w:hAnsi="宋体" w:cs="宋体"/>
          <w:bCs/>
          <w:sz w:val="24"/>
        </w:rPr>
      </w:pPr>
      <w:r>
        <w:rPr>
          <w:rFonts w:hint="eastAsia" w:ascii="宋体" w:hAnsi="宋体" w:cs="宋体"/>
          <w:bCs/>
          <w:sz w:val="24"/>
        </w:rPr>
        <w:t>-检查DDC柜内各端子、线路连接状态</w:t>
      </w:r>
    </w:p>
    <w:p>
      <w:pPr>
        <w:spacing w:line="360" w:lineRule="auto"/>
        <w:ind w:left="480"/>
        <w:rPr>
          <w:rFonts w:ascii="宋体" w:hAnsi="宋体" w:cs="宋体"/>
          <w:bCs/>
          <w:sz w:val="24"/>
        </w:rPr>
      </w:pPr>
      <w:r>
        <w:rPr>
          <w:rFonts w:hint="eastAsia" w:ascii="宋体" w:hAnsi="宋体" w:cs="宋体"/>
          <w:bCs/>
          <w:sz w:val="24"/>
        </w:rPr>
        <w:t>-检查各DDC模块安装状态及LED灯状态，用手操器或笔记本检查内部软件运行状态</w:t>
      </w:r>
    </w:p>
    <w:p>
      <w:pPr>
        <w:spacing w:line="360" w:lineRule="auto"/>
        <w:ind w:left="480"/>
        <w:rPr>
          <w:rFonts w:ascii="宋体" w:hAnsi="宋体" w:cs="宋体"/>
          <w:bCs/>
          <w:sz w:val="24"/>
        </w:rPr>
      </w:pPr>
      <w:r>
        <w:rPr>
          <w:rFonts w:hint="eastAsia" w:ascii="宋体" w:hAnsi="宋体" w:cs="宋体"/>
          <w:bCs/>
          <w:sz w:val="24"/>
        </w:rPr>
        <w:t>-检查DDC输入电源、直流电源电压、存储器保护用蓄电池电源状态</w:t>
      </w:r>
    </w:p>
    <w:p>
      <w:pPr>
        <w:spacing w:line="360" w:lineRule="auto"/>
        <w:ind w:left="480"/>
        <w:rPr>
          <w:rFonts w:ascii="宋体" w:hAnsi="宋体" w:cs="宋体"/>
          <w:bCs/>
          <w:sz w:val="24"/>
        </w:rPr>
      </w:pPr>
      <w:r>
        <w:rPr>
          <w:rFonts w:hint="eastAsia" w:ascii="宋体" w:hAnsi="宋体" w:cs="宋体"/>
          <w:bCs/>
          <w:sz w:val="24"/>
        </w:rPr>
        <w:t>-检查各DDC受控设备状态，各传感器、执行器数据状态</w:t>
      </w:r>
    </w:p>
    <w:p>
      <w:pPr>
        <w:spacing w:line="360" w:lineRule="auto"/>
        <w:ind w:left="480"/>
        <w:rPr>
          <w:rFonts w:ascii="宋体" w:hAnsi="宋体" w:cs="宋体"/>
          <w:bCs/>
          <w:sz w:val="24"/>
        </w:rPr>
      </w:pPr>
      <w:r>
        <w:rPr>
          <w:rFonts w:hint="eastAsia" w:ascii="宋体" w:hAnsi="宋体" w:cs="宋体"/>
          <w:bCs/>
          <w:sz w:val="24"/>
        </w:rPr>
        <w:t>iv.现场传感器（温湿度传感器、空气压差开关、空气质量传感器等）</w:t>
      </w:r>
    </w:p>
    <w:p>
      <w:pPr>
        <w:spacing w:line="360" w:lineRule="auto"/>
        <w:ind w:left="480"/>
        <w:rPr>
          <w:rFonts w:ascii="宋体" w:hAnsi="宋体" w:cs="宋体"/>
          <w:bCs/>
          <w:sz w:val="24"/>
        </w:rPr>
      </w:pPr>
      <w:r>
        <w:rPr>
          <w:rFonts w:hint="eastAsia" w:ascii="宋体" w:hAnsi="宋体" w:cs="宋体"/>
          <w:bCs/>
          <w:sz w:val="24"/>
        </w:rPr>
        <w:t>-检查各传感器外观及内外环境是否正常</w:t>
      </w:r>
    </w:p>
    <w:p>
      <w:pPr>
        <w:spacing w:line="360" w:lineRule="auto"/>
        <w:ind w:left="480"/>
        <w:rPr>
          <w:rFonts w:ascii="宋体" w:hAnsi="宋体" w:cs="宋体"/>
          <w:bCs/>
          <w:sz w:val="24"/>
        </w:rPr>
      </w:pPr>
      <w:r>
        <w:rPr>
          <w:rFonts w:hint="eastAsia" w:ascii="宋体" w:hAnsi="宋体" w:cs="宋体"/>
          <w:bCs/>
          <w:sz w:val="24"/>
        </w:rPr>
        <w:t>-检查各传感器接线端子、线路连接状态</w:t>
      </w:r>
    </w:p>
    <w:p>
      <w:pPr>
        <w:spacing w:line="360" w:lineRule="auto"/>
        <w:ind w:left="480"/>
        <w:rPr>
          <w:rFonts w:ascii="宋体" w:hAnsi="宋体" w:cs="宋体"/>
          <w:bCs/>
          <w:sz w:val="24"/>
        </w:rPr>
      </w:pPr>
      <w:r>
        <w:rPr>
          <w:rFonts w:hint="eastAsia" w:ascii="宋体" w:hAnsi="宋体" w:cs="宋体"/>
          <w:bCs/>
          <w:sz w:val="24"/>
        </w:rPr>
        <w:t>-检查传感器输入电源、直流电源的电压是否正常</w:t>
      </w:r>
    </w:p>
    <w:p>
      <w:pPr>
        <w:spacing w:line="360" w:lineRule="auto"/>
        <w:ind w:left="480"/>
        <w:rPr>
          <w:rFonts w:ascii="宋体" w:hAnsi="宋体" w:cs="宋体"/>
          <w:bCs/>
          <w:sz w:val="24"/>
        </w:rPr>
      </w:pPr>
      <w:r>
        <w:rPr>
          <w:rFonts w:hint="eastAsia" w:ascii="宋体" w:hAnsi="宋体" w:cs="宋体"/>
          <w:bCs/>
          <w:sz w:val="24"/>
        </w:rPr>
        <w:t>-检查各传感器输出信号状态及测量 数据状态</w:t>
      </w:r>
    </w:p>
    <w:p>
      <w:pPr>
        <w:spacing w:line="360" w:lineRule="auto"/>
        <w:ind w:left="480"/>
        <w:rPr>
          <w:rFonts w:ascii="宋体" w:hAnsi="宋体" w:cs="宋体"/>
          <w:bCs/>
          <w:sz w:val="24"/>
        </w:rPr>
      </w:pPr>
      <w:r>
        <w:rPr>
          <w:rFonts w:hint="eastAsia" w:ascii="宋体" w:hAnsi="宋体" w:cs="宋体"/>
          <w:bCs/>
          <w:sz w:val="24"/>
        </w:rPr>
        <w:t>v.现场执行器（水阀执行器、风阀执行器等）</w:t>
      </w:r>
    </w:p>
    <w:p>
      <w:pPr>
        <w:spacing w:line="360" w:lineRule="auto"/>
        <w:ind w:left="480"/>
        <w:rPr>
          <w:rFonts w:ascii="宋体" w:hAnsi="宋体" w:cs="宋体"/>
          <w:bCs/>
          <w:sz w:val="24"/>
        </w:rPr>
      </w:pPr>
      <w:r>
        <w:rPr>
          <w:rFonts w:hint="eastAsia" w:ascii="宋体" w:hAnsi="宋体" w:cs="宋体"/>
          <w:bCs/>
          <w:sz w:val="24"/>
        </w:rPr>
        <w:t>-检查各执行器外观及内外环境是否正常</w:t>
      </w:r>
    </w:p>
    <w:p>
      <w:pPr>
        <w:spacing w:line="360" w:lineRule="auto"/>
        <w:ind w:left="480"/>
        <w:rPr>
          <w:rFonts w:ascii="宋体" w:hAnsi="宋体" w:cs="宋体"/>
          <w:bCs/>
          <w:sz w:val="24"/>
        </w:rPr>
      </w:pPr>
      <w:r>
        <w:rPr>
          <w:rFonts w:hint="eastAsia" w:ascii="宋体" w:hAnsi="宋体" w:cs="宋体"/>
          <w:bCs/>
          <w:sz w:val="24"/>
        </w:rPr>
        <w:t>-检查各执行器接线端子、线路连接状态</w:t>
      </w:r>
    </w:p>
    <w:p>
      <w:pPr>
        <w:spacing w:line="360" w:lineRule="auto"/>
        <w:ind w:left="480"/>
        <w:rPr>
          <w:rFonts w:ascii="宋体" w:hAnsi="宋体" w:cs="宋体"/>
          <w:bCs/>
          <w:sz w:val="24"/>
        </w:rPr>
      </w:pPr>
      <w:r>
        <w:rPr>
          <w:rFonts w:hint="eastAsia" w:ascii="宋体" w:hAnsi="宋体" w:cs="宋体"/>
          <w:bCs/>
          <w:sz w:val="24"/>
        </w:rPr>
        <w:t>-检查各执行器输入电源、直流信号的电压是否正常</w:t>
      </w:r>
    </w:p>
    <w:p>
      <w:pPr>
        <w:spacing w:line="360" w:lineRule="auto"/>
        <w:ind w:left="480"/>
        <w:rPr>
          <w:rFonts w:ascii="宋体" w:hAnsi="宋体" w:cs="宋体"/>
          <w:bCs/>
          <w:sz w:val="24"/>
        </w:rPr>
      </w:pPr>
      <w:r>
        <w:rPr>
          <w:rFonts w:hint="eastAsia" w:ascii="宋体" w:hAnsi="宋体" w:cs="宋体"/>
          <w:bCs/>
          <w:sz w:val="24"/>
        </w:rPr>
        <w:t>-检查各执行器动作是否正常</w:t>
      </w:r>
    </w:p>
    <w:p>
      <w:pPr>
        <w:spacing w:line="360" w:lineRule="auto"/>
        <w:ind w:left="480"/>
        <w:rPr>
          <w:rFonts w:ascii="宋体" w:hAnsi="宋体" w:cs="宋体"/>
          <w:bCs/>
          <w:sz w:val="24"/>
        </w:rPr>
      </w:pPr>
      <w:r>
        <w:rPr>
          <w:rFonts w:hint="eastAsia" w:ascii="宋体" w:hAnsi="宋体" w:cs="宋体"/>
          <w:bCs/>
          <w:sz w:val="24"/>
        </w:rPr>
        <w:t>vi.光纤收发器</w:t>
      </w:r>
    </w:p>
    <w:p>
      <w:pPr>
        <w:spacing w:line="360" w:lineRule="auto"/>
        <w:ind w:left="480"/>
        <w:rPr>
          <w:rFonts w:ascii="宋体" w:hAnsi="宋体" w:cs="宋体"/>
          <w:bCs/>
          <w:sz w:val="24"/>
        </w:rPr>
      </w:pPr>
      <w:r>
        <w:rPr>
          <w:rFonts w:hint="eastAsia" w:ascii="宋体" w:hAnsi="宋体" w:cs="宋体"/>
          <w:bCs/>
          <w:sz w:val="24"/>
        </w:rPr>
        <w:t>-检查各光纤收发器外观及内外环境是否正常</w:t>
      </w:r>
    </w:p>
    <w:p>
      <w:pPr>
        <w:spacing w:line="360" w:lineRule="auto"/>
        <w:ind w:left="480"/>
        <w:rPr>
          <w:rFonts w:ascii="宋体" w:hAnsi="宋体" w:cs="宋体"/>
          <w:bCs/>
          <w:sz w:val="24"/>
        </w:rPr>
      </w:pPr>
      <w:r>
        <w:rPr>
          <w:rFonts w:hint="eastAsia" w:ascii="宋体" w:hAnsi="宋体" w:cs="宋体"/>
          <w:bCs/>
          <w:sz w:val="24"/>
        </w:rPr>
        <w:t>-检查各光纤收发器接线端子、线路连接状态</w:t>
      </w:r>
    </w:p>
    <w:p>
      <w:pPr>
        <w:spacing w:line="360" w:lineRule="auto"/>
        <w:ind w:left="480"/>
        <w:rPr>
          <w:rFonts w:ascii="宋体" w:hAnsi="宋体" w:cs="宋体"/>
          <w:bCs/>
          <w:sz w:val="24"/>
        </w:rPr>
      </w:pPr>
      <w:r>
        <w:rPr>
          <w:rFonts w:hint="eastAsia" w:ascii="宋体" w:hAnsi="宋体" w:cs="宋体"/>
          <w:bCs/>
          <w:sz w:val="24"/>
        </w:rPr>
        <w:t>-检查各光纤收发器输入信号是否正常</w:t>
      </w:r>
    </w:p>
    <w:p>
      <w:pPr>
        <w:spacing w:line="360" w:lineRule="auto"/>
        <w:ind w:left="480"/>
        <w:rPr>
          <w:rFonts w:ascii="宋体" w:hAnsi="宋体" w:cs="宋体"/>
          <w:bCs/>
          <w:sz w:val="24"/>
        </w:rPr>
      </w:pPr>
      <w:r>
        <w:rPr>
          <w:rFonts w:hint="eastAsia" w:ascii="宋体" w:hAnsi="宋体" w:cs="宋体"/>
          <w:bCs/>
          <w:sz w:val="24"/>
        </w:rPr>
        <w:t>-检查各光纤收发器输出信号状态及测量数据状态</w:t>
      </w:r>
    </w:p>
    <w:p>
      <w:pPr>
        <w:spacing w:line="360" w:lineRule="auto"/>
        <w:ind w:left="480"/>
        <w:rPr>
          <w:rFonts w:ascii="宋体" w:hAnsi="宋体" w:cs="宋体"/>
          <w:bCs/>
          <w:sz w:val="24"/>
        </w:rPr>
      </w:pPr>
      <w:r>
        <w:rPr>
          <w:rFonts w:hint="eastAsia" w:ascii="宋体" w:hAnsi="宋体" w:cs="宋体"/>
          <w:bCs/>
          <w:sz w:val="24"/>
        </w:rPr>
        <w:t>vii.光照度控制器</w:t>
      </w:r>
    </w:p>
    <w:p>
      <w:pPr>
        <w:spacing w:line="360" w:lineRule="auto"/>
        <w:ind w:left="480"/>
        <w:rPr>
          <w:rFonts w:ascii="宋体" w:hAnsi="宋体" w:cs="宋体"/>
          <w:bCs/>
          <w:sz w:val="24"/>
        </w:rPr>
      </w:pPr>
      <w:r>
        <w:rPr>
          <w:rFonts w:hint="eastAsia" w:ascii="宋体" w:hAnsi="宋体" w:cs="宋体"/>
          <w:bCs/>
          <w:sz w:val="24"/>
        </w:rPr>
        <w:t>-检查光照度控制器外观及内外环境是否正常</w:t>
      </w:r>
    </w:p>
    <w:p>
      <w:pPr>
        <w:spacing w:line="360" w:lineRule="auto"/>
        <w:rPr>
          <w:rFonts w:ascii="宋体" w:hAnsi="宋体" w:cs="宋体"/>
          <w:bCs/>
          <w:sz w:val="24"/>
        </w:rPr>
      </w:pPr>
      <w:r>
        <w:rPr>
          <w:rFonts w:hint="eastAsia" w:ascii="宋体" w:hAnsi="宋体" w:cs="宋体"/>
          <w:bCs/>
          <w:sz w:val="24"/>
        </w:rPr>
        <w:t xml:space="preserve">    -检查光照度控制器接线端子、线路连接状态</w:t>
      </w:r>
    </w:p>
    <w:p>
      <w:pPr>
        <w:spacing w:line="360" w:lineRule="auto"/>
        <w:ind w:left="480"/>
        <w:rPr>
          <w:rFonts w:ascii="宋体" w:hAnsi="宋体" w:cs="宋体"/>
          <w:bCs/>
          <w:sz w:val="24"/>
        </w:rPr>
      </w:pPr>
      <w:r>
        <w:rPr>
          <w:rFonts w:hint="eastAsia" w:ascii="宋体" w:hAnsi="宋体" w:cs="宋体"/>
          <w:bCs/>
          <w:sz w:val="24"/>
        </w:rPr>
        <w:t>-检查光照度控制器输入信号是否正常</w:t>
      </w:r>
    </w:p>
    <w:p>
      <w:pPr>
        <w:spacing w:line="360" w:lineRule="auto"/>
        <w:ind w:left="480"/>
        <w:rPr>
          <w:rFonts w:ascii="宋体" w:hAnsi="宋体" w:cs="宋体"/>
          <w:bCs/>
          <w:sz w:val="24"/>
        </w:rPr>
      </w:pPr>
      <w:r>
        <w:rPr>
          <w:rFonts w:hint="eastAsia" w:ascii="宋体" w:hAnsi="宋体" w:cs="宋体"/>
          <w:bCs/>
          <w:sz w:val="24"/>
        </w:rPr>
        <w:t>-检查光照度控制器输出信号状态及测量数据状态</w:t>
      </w:r>
    </w:p>
    <w:p>
      <w:pPr>
        <w:spacing w:line="360" w:lineRule="auto"/>
        <w:ind w:left="480"/>
        <w:rPr>
          <w:rFonts w:ascii="宋体" w:hAnsi="宋体" w:cs="宋体"/>
          <w:bCs/>
          <w:sz w:val="24"/>
        </w:rPr>
      </w:pPr>
      <w:r>
        <w:rPr>
          <w:rFonts w:hint="eastAsia" w:ascii="宋体" w:hAnsi="宋体" w:cs="宋体"/>
          <w:bCs/>
          <w:sz w:val="24"/>
        </w:rPr>
        <w:t>viii.灯光开关控制器模块</w:t>
      </w:r>
    </w:p>
    <w:p>
      <w:pPr>
        <w:spacing w:line="360" w:lineRule="auto"/>
        <w:ind w:left="480"/>
        <w:rPr>
          <w:rFonts w:ascii="宋体" w:hAnsi="宋体" w:cs="宋体"/>
          <w:bCs/>
          <w:sz w:val="24"/>
        </w:rPr>
      </w:pPr>
      <w:r>
        <w:rPr>
          <w:rFonts w:hint="eastAsia" w:ascii="宋体" w:hAnsi="宋体" w:cs="宋体"/>
          <w:bCs/>
          <w:sz w:val="24"/>
        </w:rPr>
        <w:t>-检查灯光开关控制器模块外观及内外环境是否正常</w:t>
      </w:r>
    </w:p>
    <w:p>
      <w:pPr>
        <w:spacing w:line="360" w:lineRule="auto"/>
        <w:ind w:left="480"/>
        <w:rPr>
          <w:rFonts w:ascii="宋体" w:hAnsi="宋体" w:cs="宋体"/>
          <w:bCs/>
          <w:sz w:val="24"/>
        </w:rPr>
      </w:pPr>
      <w:r>
        <w:rPr>
          <w:rFonts w:hint="eastAsia" w:ascii="宋体" w:hAnsi="宋体" w:cs="宋体"/>
          <w:bCs/>
          <w:sz w:val="24"/>
        </w:rPr>
        <w:t>-检查灯光开关控制器模块接线端子、线路连接状态</w:t>
      </w:r>
    </w:p>
    <w:p>
      <w:pPr>
        <w:spacing w:line="360" w:lineRule="auto"/>
        <w:ind w:left="480"/>
        <w:rPr>
          <w:rFonts w:ascii="宋体" w:hAnsi="宋体" w:cs="宋体"/>
          <w:bCs/>
          <w:sz w:val="24"/>
        </w:rPr>
      </w:pPr>
      <w:r>
        <w:rPr>
          <w:rFonts w:hint="eastAsia" w:ascii="宋体" w:hAnsi="宋体" w:cs="宋体"/>
          <w:bCs/>
          <w:sz w:val="24"/>
        </w:rPr>
        <w:t>-检查灯光开关控制器模块输入信号是否正常</w:t>
      </w:r>
    </w:p>
    <w:p>
      <w:pPr>
        <w:spacing w:line="360" w:lineRule="auto"/>
        <w:ind w:left="480"/>
        <w:rPr>
          <w:rFonts w:ascii="宋体" w:hAnsi="宋体" w:cs="宋体"/>
          <w:b/>
          <w:color w:val="FF0000"/>
          <w:sz w:val="24"/>
        </w:rPr>
      </w:pPr>
      <w:r>
        <w:rPr>
          <w:rFonts w:hint="eastAsia" w:ascii="宋体" w:hAnsi="宋体" w:cs="宋体"/>
          <w:bCs/>
          <w:sz w:val="24"/>
        </w:rPr>
        <w:t>-检查灯光开关控制器模块输出信号状态及测量数据状态</w:t>
      </w:r>
    </w:p>
    <w:p>
      <w:pPr>
        <w:numPr>
          <w:ilvl w:val="0"/>
          <w:numId w:val="2"/>
        </w:numPr>
        <w:spacing w:line="360" w:lineRule="auto"/>
        <w:ind w:firstLine="0"/>
        <w:rPr>
          <w:rFonts w:ascii="宋体" w:hAnsi="宋体" w:cs="宋体"/>
          <w:b/>
          <w:color w:val="FF0000"/>
          <w:sz w:val="24"/>
        </w:rPr>
      </w:pPr>
      <w:r>
        <w:rPr>
          <w:rFonts w:hint="eastAsia" w:ascii="宋体" w:hAnsi="宋体" w:cs="宋体"/>
          <w:b/>
          <w:color w:val="FF0000"/>
          <w:sz w:val="24"/>
        </w:rPr>
        <w:t>每年进行一次年度总结</w:t>
      </w:r>
    </w:p>
    <w:p>
      <w:pPr>
        <w:spacing w:line="360" w:lineRule="auto"/>
        <w:rPr>
          <w:rFonts w:ascii="宋体" w:hAnsi="宋体" w:cs="宋体"/>
          <w:b/>
          <w:color w:val="FF0000"/>
          <w:sz w:val="24"/>
        </w:rPr>
      </w:pPr>
      <w:r>
        <w:rPr>
          <w:rFonts w:hint="eastAsia" w:ascii="宋体" w:hAnsi="宋体" w:cs="宋体"/>
          <w:b/>
          <w:color w:val="FF0000"/>
          <w:sz w:val="24"/>
        </w:rPr>
        <w:t xml:space="preserve">    总结内容包括：当年维保小结，应急维修小结，系统运行评估，系统技术建议及次年维保计划和安排</w:t>
      </w:r>
    </w:p>
    <w:p>
      <w:pPr>
        <w:spacing w:line="360" w:lineRule="auto"/>
        <w:rPr>
          <w:rFonts w:ascii="宋体" w:cs="宋体"/>
          <w:b/>
          <w:sz w:val="24"/>
        </w:rPr>
      </w:pPr>
      <w:r>
        <w:rPr>
          <w:rFonts w:hint="eastAsia" w:ascii="宋体" w:hAnsi="宋体" w:cs="宋体"/>
          <w:b/>
          <w:sz w:val="24"/>
        </w:rPr>
        <w:t xml:space="preserve">   （三）故障处理</w:t>
      </w:r>
    </w:p>
    <w:p>
      <w:pPr>
        <w:spacing w:line="360" w:lineRule="auto"/>
        <w:ind w:left="480"/>
        <w:rPr>
          <w:rFonts w:ascii="宋体" w:hAnsi="宋体"/>
          <w:sz w:val="24"/>
          <w:szCs w:val="24"/>
        </w:rPr>
      </w:pPr>
      <w:r>
        <w:rPr>
          <w:rFonts w:hint="eastAsia" w:ascii="宋体" w:hAnsi="宋体"/>
          <w:sz w:val="24"/>
        </w:rPr>
        <w:t xml:space="preserve">     投标方需提供7*24小时响应服务，电话响应在10分钟内，在接到招标方</w:t>
      </w:r>
      <w:r>
        <w:rPr>
          <w:rFonts w:hint="eastAsia" w:ascii="宋体" w:hAnsi="宋体"/>
          <w:sz w:val="24"/>
          <w:szCs w:val="24"/>
        </w:rPr>
        <w:t>应急维修要求后，应派遣工程师于4小时内到达现场，对于常规问题投标方保证在到达现场后在24小时内处理。</w:t>
      </w:r>
    </w:p>
    <w:p>
      <w:pPr>
        <w:spacing w:line="360" w:lineRule="auto"/>
        <w:rPr>
          <w:rFonts w:ascii="宋体" w:cs="宋体"/>
          <w:b/>
          <w:sz w:val="24"/>
        </w:rPr>
      </w:pPr>
      <w:r>
        <w:rPr>
          <w:rFonts w:hint="eastAsia" w:ascii="宋体" w:hAnsi="宋体" w:cs="宋体"/>
          <w:b/>
          <w:sz w:val="24"/>
        </w:rPr>
        <w:t xml:space="preserve">   （四）理论培训与咨询服务</w:t>
      </w:r>
    </w:p>
    <w:p>
      <w:pPr>
        <w:spacing w:line="360" w:lineRule="auto"/>
        <w:ind w:left="480" w:firstLine="480"/>
        <w:rPr>
          <w:rFonts w:ascii="宋体" w:hAnsi="宋体"/>
          <w:sz w:val="24"/>
        </w:rPr>
      </w:pPr>
      <w:r>
        <w:rPr>
          <w:rFonts w:hint="eastAsia" w:ascii="宋体" w:hAnsi="宋体"/>
          <w:sz w:val="24"/>
        </w:rPr>
        <w:t>投标方在提供维护保养的同时，需提供专业技术的培训咨询服务，培训内容包括设备操作注意事项、维护说明和常见问题应急解决方案，培训为一年一次。</w:t>
      </w:r>
    </w:p>
    <w:p>
      <w:pPr>
        <w:spacing w:line="360" w:lineRule="auto"/>
        <w:rPr>
          <w:rFonts w:ascii="宋体" w:hAnsi="宋体" w:cs="宋体"/>
          <w:b/>
          <w:sz w:val="24"/>
        </w:rPr>
      </w:pPr>
      <w:r>
        <w:rPr>
          <w:rFonts w:hint="eastAsia" w:ascii="宋体" w:hAnsi="宋体" w:cs="宋体"/>
          <w:b/>
          <w:sz w:val="24"/>
        </w:rPr>
        <w:t xml:space="preserve">   （五）人员配备情况</w:t>
      </w:r>
    </w:p>
    <w:p>
      <w:pPr>
        <w:spacing w:line="360" w:lineRule="auto"/>
        <w:rPr>
          <w:rFonts w:ascii="宋体" w:hAnsi="宋体" w:cs="宋体"/>
          <w:b/>
          <w:sz w:val="24"/>
        </w:rPr>
      </w:pPr>
      <w:r>
        <w:rPr>
          <w:rFonts w:hint="eastAsia" w:ascii="宋体" w:hAnsi="宋体" w:cs="宋体"/>
          <w:b/>
          <w:sz w:val="24"/>
        </w:rPr>
        <w:t xml:space="preserve">        投标方需指定不少于2名专业的维护工程师，同时确定本次项目的主要负责人并列明其他参与人员，主要负责人需有五年及以上楼控维保及工程经验并提供相关资质证书，其他参与人员需提供相关楼控及工程履历。</w:t>
      </w:r>
    </w:p>
    <w:p>
      <w:pPr>
        <w:spacing w:line="360" w:lineRule="auto"/>
        <w:rPr>
          <w:rFonts w:ascii="宋体" w:hAnsi="宋体" w:cs="宋体"/>
          <w:b/>
          <w:sz w:val="24"/>
        </w:rPr>
      </w:pPr>
      <w:r>
        <w:rPr>
          <w:rFonts w:hint="eastAsia" w:ascii="宋体" w:hAnsi="宋体" w:cs="宋体"/>
          <w:b/>
          <w:sz w:val="24"/>
        </w:rPr>
        <w:t xml:space="preserve">   （六）服务质量</w:t>
      </w:r>
    </w:p>
    <w:p>
      <w:pPr>
        <w:spacing w:line="360" w:lineRule="auto"/>
        <w:rPr>
          <w:rFonts w:ascii="宋体" w:hAnsi="宋体" w:cs="宋体"/>
          <w:b/>
          <w:sz w:val="24"/>
        </w:rPr>
      </w:pPr>
      <w:r>
        <w:rPr>
          <w:rFonts w:hint="eastAsia" w:ascii="宋体" w:hAnsi="宋体" w:cs="宋体"/>
          <w:b/>
          <w:sz w:val="24"/>
        </w:rPr>
        <w:t xml:space="preserve">    投标方需在投标时，按照招标要求，提供完整的服务方案，包括人员安排计划，维保服务计划，工作流程，人员培训，应急处理方案及相关保证承诺。</w:t>
      </w:r>
    </w:p>
    <w:p>
      <w:pPr>
        <w:spacing w:line="360" w:lineRule="auto"/>
        <w:rPr>
          <w:rFonts w:ascii="宋体" w:hAnsi="宋体" w:cs="宋体"/>
          <w:b/>
          <w:sz w:val="24"/>
        </w:rPr>
      </w:pPr>
      <w:r>
        <w:rPr>
          <w:rFonts w:hint="eastAsia" w:ascii="宋体" w:hAnsi="宋体" w:cs="宋体"/>
          <w:b/>
          <w:sz w:val="24"/>
        </w:rPr>
        <w:t xml:space="preserve">   （七）维保主要设备清单</w:t>
      </w:r>
    </w:p>
    <w:tbl>
      <w:tblPr>
        <w:tblStyle w:val="46"/>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552"/>
        <w:gridCol w:w="1135"/>
        <w:gridCol w:w="1036"/>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1240"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系统</w:t>
            </w: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设备名称</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数量</w:t>
            </w:r>
          </w:p>
        </w:tc>
        <w:tc>
          <w:tcPr>
            <w:tcW w:w="1036"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预估点位</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T1楼控系统</w:t>
            </w: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T1楼控系统计算机</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4台</w:t>
            </w:r>
          </w:p>
        </w:tc>
        <w:tc>
          <w:tcPr>
            <w:tcW w:w="1036"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797</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2台服务器，2台工作站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 DDC控制器</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16个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Honeywell XCL8010A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 DDC扩展模块</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149个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Honeywell</w:t>
            </w:r>
            <w:r>
              <w:rPr>
                <w:rFonts w:hint="eastAsia" w:ascii="仿宋_GB2312" w:hAnsi="ˎ̥" w:eastAsia="仿宋_GB2312"/>
                <w:bCs/>
                <w:color w:val="000000"/>
                <w:sz w:val="28"/>
                <w:szCs w:val="28"/>
              </w:rPr>
              <w:tab/>
            </w:r>
            <w:r>
              <w:rPr>
                <w:rFonts w:hint="eastAsia" w:ascii="仿宋_GB2312" w:hAnsi="ˎ̥" w:eastAsia="仿宋_GB2312"/>
                <w:bCs/>
                <w:color w:val="000000"/>
                <w:sz w:val="28"/>
                <w:szCs w:val="28"/>
              </w:rPr>
              <w:t xml:space="preserve"> 821A,822A,823A,824A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T1楼控系统EBI管理软件</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1套</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T2楼控系统</w:t>
            </w: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T2楼宇自控系统计算机</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3台</w:t>
            </w:r>
          </w:p>
        </w:tc>
        <w:tc>
          <w:tcPr>
            <w:tcW w:w="1036"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780</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2台服务器，1台工作站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 DDC控制器</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86个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Honeywell XCL8010A ；XL50 XL100；</w:t>
            </w:r>
          </w:p>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57个控制箱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T2楼控系统EBI管理软件</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1套</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T2智能照明系统</w:t>
            </w: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T2智能灯光照明系统计算机</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1台</w:t>
            </w:r>
          </w:p>
        </w:tc>
        <w:tc>
          <w:tcPr>
            <w:tcW w:w="1036"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仿宋_GB2312" w:eastAsia="仿宋_GB2312" w:cs="仿宋_GB2312"/>
                <w:sz w:val="28"/>
                <w:szCs w:val="28"/>
              </w:rPr>
              <w:t>1964</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T2智能照明系统管理软件</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1套</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开关执行器模块</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557个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主模块397个，子模块160个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户外光线强度探感应器</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T3楼控系统</w:t>
            </w:r>
          </w:p>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T3楼控系统计算机</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4台</w:t>
            </w:r>
          </w:p>
        </w:tc>
        <w:tc>
          <w:tcPr>
            <w:tcW w:w="1036" w:type="dxa"/>
            <w:vMerge w:val="restart"/>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2924</w:t>
            </w: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2台服务器，2台工作站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 DDC控制器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392个</w:t>
            </w:r>
          </w:p>
        </w:tc>
        <w:tc>
          <w:tcPr>
            <w:tcW w:w="1036" w:type="dxa"/>
            <w:vMerge w:val="continue"/>
            <w:vAlign w:val="center"/>
          </w:tcPr>
          <w:p>
            <w:pPr>
              <w:adjustRightInd w:val="0"/>
              <w:snapToGrid w:val="0"/>
              <w:spacing w:line="360" w:lineRule="auto"/>
              <w:jc w:val="center"/>
              <w:rPr>
                <w:rFonts w:ascii="仿宋_GB2312" w:hAnsi="仿宋_GB2312" w:eastAsia="仿宋_GB2312" w:cs="仿宋_GB2312"/>
                <w:sz w:val="28"/>
                <w:szCs w:val="28"/>
              </w:rPr>
            </w:pP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T3楼控系统</w:t>
            </w:r>
          </w:p>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管理软件</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1套</w:t>
            </w:r>
          </w:p>
        </w:tc>
        <w:tc>
          <w:tcPr>
            <w:tcW w:w="1036" w:type="dxa"/>
            <w:vMerge w:val="continue"/>
            <w:vAlign w:val="center"/>
          </w:tcPr>
          <w:p>
            <w:pPr>
              <w:adjustRightInd w:val="0"/>
              <w:snapToGrid w:val="0"/>
              <w:spacing w:line="360" w:lineRule="auto"/>
              <w:jc w:val="center"/>
              <w:rPr>
                <w:rFonts w:ascii="仿宋_GB2312" w:hAnsi="仿宋_GB2312" w:eastAsia="仿宋_GB2312" w:cs="仿宋_GB2312"/>
                <w:sz w:val="28"/>
                <w:szCs w:val="28"/>
              </w:rPr>
            </w:pP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光纤收发器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20个</w:t>
            </w:r>
          </w:p>
        </w:tc>
        <w:tc>
          <w:tcPr>
            <w:tcW w:w="1036" w:type="dxa"/>
            <w:vMerge w:val="continue"/>
            <w:vAlign w:val="center"/>
          </w:tcPr>
          <w:p>
            <w:pPr>
              <w:adjustRightInd w:val="0"/>
              <w:snapToGrid w:val="0"/>
              <w:spacing w:line="360" w:lineRule="auto"/>
              <w:jc w:val="center"/>
              <w:rPr>
                <w:rFonts w:ascii="仿宋_GB2312" w:hAnsi="仿宋_GB2312" w:eastAsia="仿宋_GB2312" w:cs="仿宋_GB2312"/>
                <w:sz w:val="28"/>
                <w:szCs w:val="28"/>
              </w:rPr>
            </w:pP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WEB600网络管理器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10个</w:t>
            </w:r>
          </w:p>
        </w:tc>
        <w:tc>
          <w:tcPr>
            <w:tcW w:w="1036" w:type="dxa"/>
            <w:vMerge w:val="continue"/>
            <w:vAlign w:val="center"/>
          </w:tcPr>
          <w:p>
            <w:pPr>
              <w:adjustRightInd w:val="0"/>
              <w:snapToGrid w:val="0"/>
              <w:spacing w:line="360" w:lineRule="auto"/>
              <w:jc w:val="center"/>
              <w:rPr>
                <w:rFonts w:ascii="仿宋_GB2312" w:hAnsi="仿宋_GB2312" w:eastAsia="仿宋_GB2312" w:cs="仿宋_GB2312"/>
                <w:sz w:val="28"/>
                <w:szCs w:val="28"/>
              </w:rPr>
            </w:pP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T3智能照明系统</w:t>
            </w: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T3智能灯光照明系统计算机</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1台</w:t>
            </w:r>
          </w:p>
        </w:tc>
        <w:tc>
          <w:tcPr>
            <w:tcW w:w="1036"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2400</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T3智能照明系统管理软件</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1套</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开关执行器模块</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774个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仿宋_GB2312" w:eastAsia="仿宋_GB2312" w:cs="仿宋_GB2312"/>
                <w:sz w:val="28"/>
                <w:szCs w:val="28"/>
              </w:rPr>
              <w:t>主模块252个，子模块522个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光线/温度复合传感器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室内亮度感应器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153个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bl>
    <w:p>
      <w:pPr>
        <w:spacing w:line="360" w:lineRule="auto"/>
        <w:rPr>
          <w:rFonts w:ascii="宋体" w:hAnsi="宋体" w:cs="宋体"/>
          <w:b/>
          <w:sz w:val="24"/>
        </w:rPr>
      </w:pPr>
    </w:p>
    <w:p>
      <w:pPr>
        <w:spacing w:line="360" w:lineRule="auto"/>
        <w:rPr>
          <w:rFonts w:ascii="宋体" w:hAnsi="宋体" w:cs="宋体"/>
          <w:b/>
          <w:sz w:val="24"/>
        </w:rPr>
      </w:pPr>
    </w:p>
    <w:p>
      <w:pPr>
        <w:numPr>
          <w:ilvl w:val="255"/>
          <w:numId w:val="0"/>
        </w:numPr>
        <w:spacing w:line="360" w:lineRule="auto"/>
        <w:rPr>
          <w:rFonts w:ascii="宋体" w:hAnsi="宋体" w:cs="宋体"/>
          <w:b/>
          <w:sz w:val="24"/>
        </w:rPr>
      </w:pPr>
      <w:r>
        <w:rPr>
          <w:rFonts w:hint="eastAsia" w:ascii="宋体" w:hAnsi="宋体" w:cs="宋体"/>
          <w:b/>
          <w:sz w:val="24"/>
        </w:rPr>
        <w:t>（八）维护配件</w:t>
      </w:r>
    </w:p>
    <w:p>
      <w:pPr>
        <w:numPr>
          <w:ilvl w:val="255"/>
          <w:numId w:val="0"/>
        </w:numPr>
        <w:spacing w:line="360" w:lineRule="auto"/>
        <w:ind w:firstLine="560"/>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投标方向招标方提供维护保养中常用的配件，投标方需提供一份配件清单及价格表，招标方有权选择是否使用并经招标方确认核实并付款，在本合同履行期内不允许变更配件价格，并在质保期内免费更换。</w:t>
      </w:r>
    </w:p>
    <w:p>
      <w:pPr>
        <w:tabs>
          <w:tab w:val="left" w:pos="551"/>
          <w:tab w:val="left" w:pos="1331"/>
        </w:tabs>
        <w:ind w:firstLine="409"/>
        <w:rPr>
          <w:rFonts w:ascii="Calibri" w:hAnsi="Calibri" w:eastAsia="黑体" w:cs="Calibri"/>
          <w:kern w:val="0"/>
          <w:sz w:val="32"/>
        </w:rPr>
      </w:pPr>
      <w:r>
        <w:rPr>
          <w:rFonts w:hint="eastAsia" w:ascii="Calibri" w:hAnsi="Calibri" w:eastAsia="黑体" w:cs="Calibri"/>
          <w:kern w:val="0"/>
          <w:sz w:val="32"/>
        </w:rPr>
        <w:tab/>
      </w:r>
      <w:r>
        <w:rPr>
          <w:rFonts w:hint="eastAsia" w:ascii="宋体" w:hAnsi="宋体" w:cs="Arial"/>
          <w:b/>
          <w:kern w:val="0"/>
          <w:sz w:val="30"/>
          <w:szCs w:val="30"/>
        </w:rPr>
        <w:t>T1，T2 楼宇自控系统及T2智能灯光系统配件清单</w:t>
      </w:r>
    </w:p>
    <w:tbl>
      <w:tblPr>
        <w:tblStyle w:val="46"/>
        <w:tblW w:w="9700" w:type="dxa"/>
        <w:tblInd w:w="0" w:type="dxa"/>
        <w:tblLayout w:type="fixed"/>
        <w:tblCellMar>
          <w:top w:w="15" w:type="dxa"/>
          <w:left w:w="15" w:type="dxa"/>
          <w:bottom w:w="15" w:type="dxa"/>
          <w:right w:w="15" w:type="dxa"/>
        </w:tblCellMar>
      </w:tblPr>
      <w:tblGrid>
        <w:gridCol w:w="491"/>
        <w:gridCol w:w="3962"/>
        <w:gridCol w:w="1198"/>
        <w:gridCol w:w="2115"/>
        <w:gridCol w:w="870"/>
        <w:gridCol w:w="1064"/>
      </w:tblGrid>
      <w:tr>
        <w:tblPrEx>
          <w:tblLayout w:type="fixed"/>
          <w:tblCellMar>
            <w:top w:w="15" w:type="dxa"/>
            <w:left w:w="15" w:type="dxa"/>
            <w:bottom w:w="15" w:type="dxa"/>
            <w:right w:w="15" w:type="dxa"/>
          </w:tblCellMar>
        </w:tblPrEx>
        <w:trPr>
          <w:trHeight w:val="562"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序号</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设备名称</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品牌</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建议型号规格</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单价（元）</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质保</w:t>
            </w: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送回风温湿度传感器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color w:val="0000FF"/>
                <w:sz w:val="28"/>
                <w:szCs w:val="28"/>
              </w:rPr>
              <w:t>H7080B2105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送风温度传感器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C7080A2100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3</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室内温度传感器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T7412A1000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4</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二氧化碳检测传感器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FF"/>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CDD1A6000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i/>
                <w:iCs/>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5</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二氧化碳传感器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FF"/>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CDD1A1000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i/>
                <w:iCs/>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6</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压力液位传感器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JYB</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7</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供回水压力传感器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C209</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8</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供回水温度传感器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VF20T</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9</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室外温湿度传感器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H7508A1042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10</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室外照度传感器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PSR-1-T-E</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11</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高液位开关传感器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MGRE40W</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12</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压差传感器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DPS400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13</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风量传感器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C261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14</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水流开关传感器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WFS-1001-H</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15</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调节风阀</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20NM  CN7220A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16</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开关风阀</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20NM  CN6120A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19</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光纤收发器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20</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电源</w:t>
            </w:r>
          </w:p>
        </w:tc>
        <w:tc>
          <w:tcPr>
            <w:tcW w:w="119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220VAC/24VAC.300VA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21</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DDC控制器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XCL8010A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22</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DDC扩展模块</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XF821A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23</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DDC扩展模块</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XF822A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24</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DDC扩展模块</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XF823A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25</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DDC扩展模块</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XF824A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26</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DDC控制器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XL50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tabs>
                <w:tab w:val="left" w:pos="221"/>
              </w:tabs>
              <w:jc w:val="center"/>
              <w:textAlignment w:val="center"/>
              <w:rPr>
                <w:rFonts w:ascii="宋体" w:hAnsi="宋体"/>
                <w:sz w:val="28"/>
                <w:szCs w:val="28"/>
              </w:rPr>
            </w:pPr>
            <w:r>
              <w:rPr>
                <w:rFonts w:hint="eastAsia" w:ascii="宋体" w:hAnsi="宋体"/>
                <w:sz w:val="28"/>
                <w:szCs w:val="28"/>
              </w:rPr>
              <w:t>27</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DDC控制器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XL100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28</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空气压差开关</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DPS400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29</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风管温度传感器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T7411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30</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风管温湿度传感器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color w:val="0000FF"/>
                <w:sz w:val="28"/>
                <w:szCs w:val="28"/>
              </w:rPr>
              <w:t>H7080B</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31</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空间CO2浓度传感器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C7110A1005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32</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风管型CO2传感器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color w:val="0000FF"/>
                <w:sz w:val="28"/>
                <w:szCs w:val="28"/>
              </w:rPr>
              <w:t>VC1008T</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33</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空间CO浓度传感</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GD250W4N</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34</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液体温度传感器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VF20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35</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液体压差传感器</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P7620C</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36</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水流开关</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WFS-1001-H</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37</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液位开关</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KEY-5M</w:t>
            </w:r>
          </w:p>
        </w:tc>
        <w:tc>
          <w:tcPr>
            <w:tcW w:w="870" w:type="dxa"/>
            <w:tcBorders>
              <w:top w:val="single" w:color="000000" w:sz="4" w:space="0"/>
              <w:left w:val="single" w:color="000000" w:sz="4" w:space="0"/>
              <w:bottom w:val="single" w:color="000000" w:sz="4" w:space="0"/>
              <w:right w:val="single" w:color="000000" w:sz="4" w:space="0"/>
            </w:tcBorders>
            <w:vAlign w:val="center"/>
          </w:tcPr>
          <w:p>
            <w:pPr>
              <w:tabs>
                <w:tab w:val="left" w:pos="367"/>
              </w:tabs>
              <w:jc w:val="left"/>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90"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38</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开关执行器主（子）模块</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N512/11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39</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开关量输入模块</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N261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90"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40</w:t>
            </w:r>
          </w:p>
        </w:tc>
        <w:tc>
          <w:tcPr>
            <w:tcW w:w="3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四联智能面板</w:t>
            </w:r>
          </w:p>
        </w:tc>
        <w:tc>
          <w:tcPr>
            <w:tcW w:w="11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r>
              <w:rPr>
                <w:rFonts w:hint="eastAsia" w:ascii="宋体" w:hAnsi="宋体"/>
                <w:sz w:val="28"/>
                <w:szCs w:val="28"/>
              </w:rPr>
              <w:t>UP287/11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41</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4通道年定时器</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N372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42</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640mA带扼流总线电源</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N125/21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43</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KNX IP路由器</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N146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44</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KNX系统过压保护器</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190</w:t>
            </w:r>
          </w:p>
        </w:tc>
        <w:tc>
          <w:tcPr>
            <w:tcW w:w="870" w:type="dxa"/>
            <w:tcBorders>
              <w:top w:val="single" w:color="000000" w:sz="4" w:space="0"/>
              <w:left w:val="single" w:color="000000" w:sz="4" w:space="0"/>
              <w:bottom w:val="single" w:color="000000" w:sz="4" w:space="0"/>
              <w:right w:val="single" w:color="000000" w:sz="4" w:space="0"/>
            </w:tcBorders>
            <w:vAlign w:val="center"/>
          </w:tcPr>
          <w:p>
            <w:pPr>
              <w:tabs>
                <w:tab w:val="left" w:pos="229"/>
              </w:tabs>
              <w:jc w:val="left"/>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456"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45</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存在探测器，吸顶安装</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UP258/21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46</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室内亮度感应器，齐平安装</w:t>
            </w:r>
          </w:p>
        </w:tc>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UP255/11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47</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户外光线强度探感应器</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48</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T2电动压差动态平衡阀1</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ABQMDN40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49</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T2电动压差动态平衡阀2</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ABQMDN50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50</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T2电动压差动态平衡阀3</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ABQMDN65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51</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T2电动压差动态平衡阀4</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ABQMDN80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52</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T2电动压差动态平衡阀5</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ABQMDN100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53</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T2电动压差动态平衡阀6</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ABQMDN125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54</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T2电动压差动态平衡阀执行器</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AME</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55</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T1水阀执行器1</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ML7420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56</w:t>
            </w:r>
          </w:p>
        </w:tc>
        <w:tc>
          <w:tcPr>
            <w:tcW w:w="3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T1水阀执行器2</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ML7421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bl>
    <w:p>
      <w:pPr>
        <w:tabs>
          <w:tab w:val="left" w:pos="551"/>
          <w:tab w:val="left" w:pos="1331"/>
        </w:tabs>
        <w:ind w:firstLine="409"/>
        <w:rPr>
          <w:rFonts w:ascii="宋体" w:hAnsi="宋体"/>
          <w:sz w:val="28"/>
          <w:szCs w:val="28"/>
        </w:rPr>
      </w:pPr>
    </w:p>
    <w:p>
      <w:pPr>
        <w:tabs>
          <w:tab w:val="left" w:pos="551"/>
        </w:tabs>
        <w:ind w:firstLine="409"/>
        <w:rPr>
          <w:rFonts w:ascii="Calibri" w:hAnsi="Calibri" w:eastAsia="黑体" w:cs="Calibri"/>
          <w:kern w:val="0"/>
          <w:sz w:val="32"/>
        </w:rPr>
      </w:pPr>
    </w:p>
    <w:p>
      <w:pPr>
        <w:tabs>
          <w:tab w:val="left" w:pos="551"/>
        </w:tabs>
        <w:ind w:firstLine="409"/>
        <w:rPr>
          <w:rFonts w:ascii="Calibri" w:hAnsi="Calibri" w:eastAsia="黑体" w:cs="Calibri"/>
          <w:kern w:val="0"/>
          <w:sz w:val="32"/>
        </w:rPr>
      </w:pPr>
    </w:p>
    <w:p>
      <w:pPr>
        <w:tabs>
          <w:tab w:val="left" w:pos="551"/>
        </w:tabs>
        <w:ind w:firstLine="409"/>
        <w:rPr>
          <w:rFonts w:ascii="Calibri" w:hAnsi="Calibri" w:eastAsia="黑体" w:cs="Calibri"/>
          <w:kern w:val="0"/>
          <w:sz w:val="32"/>
        </w:rPr>
      </w:pPr>
    </w:p>
    <w:p>
      <w:pPr>
        <w:tabs>
          <w:tab w:val="left" w:pos="551"/>
        </w:tabs>
        <w:ind w:firstLine="409"/>
        <w:rPr>
          <w:rFonts w:ascii="Calibri" w:hAnsi="Calibri" w:eastAsia="黑体" w:cs="Calibri"/>
          <w:kern w:val="0"/>
          <w:sz w:val="32"/>
        </w:rPr>
      </w:pPr>
    </w:p>
    <w:p>
      <w:pPr>
        <w:tabs>
          <w:tab w:val="left" w:pos="551"/>
        </w:tabs>
        <w:ind w:firstLine="409"/>
        <w:jc w:val="center"/>
        <w:rPr>
          <w:rFonts w:ascii="Calibri" w:hAnsi="Calibri" w:eastAsia="黑体" w:cs="Calibri"/>
          <w:kern w:val="0"/>
          <w:sz w:val="32"/>
        </w:rPr>
      </w:pPr>
      <w:r>
        <w:rPr>
          <w:rFonts w:ascii="Calibri" w:hAnsi="Calibri" w:eastAsia="黑体" w:cs="Calibri"/>
          <w:kern w:val="0"/>
          <w:sz w:val="32"/>
        </w:rPr>
        <w:br w:type="page"/>
      </w:r>
      <w:r>
        <w:rPr>
          <w:rFonts w:hint="eastAsia" w:ascii="宋体" w:hAnsi="宋体" w:cs="Arial"/>
          <w:b/>
          <w:kern w:val="0"/>
          <w:sz w:val="30"/>
          <w:szCs w:val="30"/>
        </w:rPr>
        <w:t>T3 楼宇自控系统及T3智能灯光系统配件清单</w:t>
      </w:r>
    </w:p>
    <w:tbl>
      <w:tblPr>
        <w:tblStyle w:val="46"/>
        <w:tblW w:w="9700" w:type="dxa"/>
        <w:tblInd w:w="0" w:type="dxa"/>
        <w:tblLayout w:type="fixed"/>
        <w:tblCellMar>
          <w:top w:w="15" w:type="dxa"/>
          <w:left w:w="15" w:type="dxa"/>
          <w:bottom w:w="15" w:type="dxa"/>
          <w:right w:w="15" w:type="dxa"/>
        </w:tblCellMar>
      </w:tblPr>
      <w:tblGrid>
        <w:gridCol w:w="724"/>
        <w:gridCol w:w="3262"/>
        <w:gridCol w:w="636"/>
        <w:gridCol w:w="1029"/>
        <w:gridCol w:w="2115"/>
        <w:gridCol w:w="870"/>
        <w:gridCol w:w="1064"/>
      </w:tblGrid>
      <w:tr>
        <w:tblPrEx>
          <w:tblLayout w:type="fixed"/>
          <w:tblCellMar>
            <w:top w:w="15" w:type="dxa"/>
            <w:left w:w="15" w:type="dxa"/>
            <w:bottom w:w="15" w:type="dxa"/>
            <w:right w:w="15" w:type="dxa"/>
          </w:tblCellMar>
        </w:tblPrEx>
        <w:trPr>
          <w:trHeight w:val="562"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设备名称</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建议型号规格</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单价（元）</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质保</w:t>
            </w: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送/回风温湿度传感器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color w:val="0000FF"/>
                <w:sz w:val="28"/>
                <w:szCs w:val="28"/>
              </w:rPr>
              <w:t>H7080B2105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送风温度传感器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C7080A2100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室内温度传感器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T7412A1000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二氧化碳检测传感器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CDD1A6000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二氧化碳传感器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CDD1A1000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压力液位传感器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JYB</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供回水压力传感器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C209</w:t>
            </w:r>
          </w:p>
        </w:tc>
        <w:tc>
          <w:tcPr>
            <w:tcW w:w="870" w:type="dxa"/>
            <w:tcBorders>
              <w:top w:val="single" w:color="000000" w:sz="4" w:space="0"/>
              <w:left w:val="single" w:color="000000" w:sz="4" w:space="0"/>
              <w:bottom w:val="single" w:color="000000" w:sz="4" w:space="0"/>
              <w:right w:val="single" w:color="000000" w:sz="4" w:space="0"/>
            </w:tcBorders>
            <w:vAlign w:val="center"/>
          </w:tcPr>
          <w:p>
            <w:pPr>
              <w:tabs>
                <w:tab w:val="left" w:pos="382"/>
              </w:tabs>
              <w:jc w:val="left"/>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供回水温度传感器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VF20T</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室外温湿度传感器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H7508A1042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室外照度传感器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PSR-1-T-E</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高液位开关传感器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MGRE40W</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压差传感器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DPS400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风量传感器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C261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水流开关传感器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WFS-1001-H</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调节风阀</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20NM  CN7220A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开关风阀</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20NM  CN6120A</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WEB600网络管理器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WEB-600P</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WEB600导轨式电源</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NPB-PWR-HP</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DDC控制器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PUL6438S</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DDC控制柜</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定制</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非网管网络交换机</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LS-S5324TP-SI</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非网管网络交换机</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LS-S2309TP-SI</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光纤收发器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开关执行器主（子）模块</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N512/11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开关量输入模块</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N261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四联智能面板</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UP287/11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4通道年定时器</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N372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640mA带扼流总线电源</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N125/21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KNX IP路由器</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N146</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45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KNX系统过压保护器</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存在探测器，吸顶安装</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UP258/21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室内亮度感应器，齐平安装</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UP255/11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光电转换器，单模</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IMC-21</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T3电动压差动态平衡阀1</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ABQMDN25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T3电动压差动态平衡阀2</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ABQMDN32</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T3电动压差动态平衡阀3</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ABQMDN40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37</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T3电动压差动态平衡阀4</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ABQMDN50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T3电动压差动态平衡阀5</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ABQMDN65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39</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T3电动压差动态平衡阀6</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ABQMDN80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38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T3电动压差动态平衡阀7</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ABQMDN100</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38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T3电动压差动态平衡阀8</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ABQMDN125</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38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T3电动压差动态平衡阀执行器</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AME</w:t>
            </w: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bl>
    <w:p>
      <w:pPr>
        <w:tabs>
          <w:tab w:val="left" w:pos="1369"/>
        </w:tabs>
        <w:rPr>
          <w:rFonts w:ascii="Calibri" w:hAnsi="Calibri" w:eastAsia="黑体" w:cs="Calibri"/>
          <w:kern w:val="0"/>
          <w:sz w:val="32"/>
        </w:rPr>
      </w:pPr>
    </w:p>
    <w:p>
      <w:pPr>
        <w:spacing w:line="360" w:lineRule="auto"/>
        <w:rPr>
          <w:rFonts w:ascii="宋体" w:hAnsi="宋体"/>
          <w:sz w:val="24"/>
        </w:rPr>
      </w:pPr>
      <w:r>
        <w:rPr>
          <w:rFonts w:hint="eastAsia" w:ascii="Calibri" w:hAnsi="Calibri" w:eastAsia="黑体" w:cs="Calibri"/>
          <w:kern w:val="0"/>
          <w:sz w:val="32"/>
        </w:rPr>
        <w:tab/>
      </w:r>
      <w:r>
        <w:rPr>
          <w:rFonts w:ascii="宋体" w:hAnsi="宋体" w:cs="宋体"/>
          <w:b/>
          <w:bCs/>
          <w:spacing w:val="10"/>
          <w:sz w:val="32"/>
          <w:szCs w:val="32"/>
        </w:rPr>
        <w:br w:type="page"/>
      </w:r>
    </w:p>
    <w:p>
      <w:pPr>
        <w:spacing w:line="360" w:lineRule="auto"/>
        <w:ind w:left="480"/>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pStyle w:val="19"/>
        <w:spacing w:line="560" w:lineRule="exact"/>
        <w:ind w:firstLine="420"/>
        <w:jc w:val="left"/>
        <w:rPr>
          <w:rFonts w:ascii="Calibri" w:hAnsi="Calibri" w:cs="Calibri"/>
          <w:bCs/>
          <w:szCs w:val="32"/>
        </w:rPr>
      </w:pPr>
    </w:p>
    <w:p>
      <w:pPr>
        <w:pStyle w:val="19"/>
        <w:spacing w:line="560" w:lineRule="exact"/>
        <w:ind w:firstLine="420"/>
        <w:jc w:val="left"/>
        <w:rPr>
          <w:rFonts w:ascii="Calibri" w:hAnsi="Calibri" w:cs="Calibri"/>
          <w:bCs/>
          <w:szCs w:val="32"/>
        </w:rPr>
      </w:pPr>
    </w:p>
    <w:p>
      <w:pPr>
        <w:pStyle w:val="19"/>
        <w:spacing w:line="560" w:lineRule="exact"/>
        <w:ind w:firstLine="420"/>
        <w:jc w:val="left"/>
        <w:rPr>
          <w:rFonts w:ascii="Calibri" w:hAnsi="Calibri" w:cs="Calibri"/>
          <w:bCs/>
          <w:szCs w:val="32"/>
        </w:rPr>
      </w:pPr>
    </w:p>
    <w:p>
      <w:pPr>
        <w:pStyle w:val="19"/>
        <w:spacing w:line="560" w:lineRule="exact"/>
        <w:ind w:firstLine="420"/>
        <w:jc w:val="left"/>
        <w:rPr>
          <w:rFonts w:ascii="Calibri" w:hAnsi="Calibri" w:cs="Calibri"/>
          <w:bCs/>
          <w:szCs w:val="32"/>
        </w:rPr>
      </w:pPr>
    </w:p>
    <w:p>
      <w:pPr>
        <w:pStyle w:val="19"/>
        <w:spacing w:line="560" w:lineRule="exact"/>
        <w:ind w:firstLine="420"/>
        <w:jc w:val="left"/>
        <w:rPr>
          <w:rFonts w:ascii="Calibri" w:hAnsi="Calibri" w:cs="Calibri"/>
          <w:bCs/>
          <w:szCs w:val="32"/>
        </w:rPr>
      </w:pPr>
    </w:p>
    <w:p>
      <w:pPr>
        <w:pStyle w:val="19"/>
        <w:spacing w:line="560" w:lineRule="exact"/>
        <w:ind w:firstLine="420"/>
        <w:jc w:val="left"/>
        <w:rPr>
          <w:rFonts w:ascii="Calibri" w:hAnsi="Calibri" w:cs="Calibri"/>
          <w:bCs/>
          <w:szCs w:val="32"/>
        </w:rPr>
      </w:pPr>
    </w:p>
    <w:p>
      <w:pPr>
        <w:pStyle w:val="19"/>
        <w:spacing w:line="560" w:lineRule="exact"/>
        <w:ind w:firstLine="420"/>
        <w:jc w:val="left"/>
        <w:rPr>
          <w:rFonts w:ascii="Calibri" w:hAnsi="Calibri" w:cs="Calibri"/>
          <w:bCs/>
          <w:szCs w:val="32"/>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【T1T2T3航站楼楼宇自控系统及T2T3智能灯光系统维保】项目</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维保合同</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第一部分  协议书</w:t>
      </w:r>
    </w:p>
    <w:p>
      <w:pPr>
        <w:spacing w:line="560" w:lineRule="exact"/>
        <w:ind w:firstLine="560" w:firstLineChars="200"/>
        <w:jc w:val="left"/>
        <w:rPr>
          <w:rFonts w:ascii="仿宋_GB2312" w:hAnsi="仿宋_GB2312" w:eastAsia="仿宋_GB2312" w:cs="仿宋_GB2312"/>
          <w:b/>
          <w:sz w:val="28"/>
          <w:szCs w:val="28"/>
        </w:rPr>
      </w:pPr>
      <w:r>
        <w:rPr>
          <w:rFonts w:hint="eastAsia" w:ascii="仿宋_GB2312" w:hAnsi="仿宋_GB2312" w:eastAsia="仿宋_GB2312" w:cs="仿宋_GB2312"/>
          <w:sz w:val="28"/>
          <w:szCs w:val="28"/>
        </w:rPr>
        <w:t>根据《中华人民共和国合同法》及有关法律规定，遵循平等、自愿、公平和诚实信用的原则，双方就</w:t>
      </w:r>
      <w:r>
        <w:rPr>
          <w:rFonts w:hint="eastAsia" w:ascii="仿宋_GB2312" w:hAnsi="仿宋_GB2312" w:eastAsia="仿宋_GB2312" w:cs="仿宋_GB2312"/>
          <w:sz w:val="28"/>
          <w:szCs w:val="28"/>
          <w:u w:val="single"/>
        </w:rPr>
        <w:t xml:space="preserve"> 杭州萧山国际机场T1T2T3航站楼楼宇自控系统及T2T3智能灯光系统维保 </w:t>
      </w:r>
      <w:r>
        <w:rPr>
          <w:rFonts w:hint="eastAsia" w:ascii="仿宋_GB2312" w:hAnsi="仿宋_GB2312" w:eastAsia="仿宋_GB2312" w:cs="仿宋_GB2312"/>
          <w:sz w:val="28"/>
          <w:szCs w:val="28"/>
        </w:rPr>
        <w:t>项目及有关事项友好协商一致，共同达成如下协议：</w:t>
      </w:r>
      <w:r>
        <w:rPr>
          <w:rFonts w:hint="eastAsia" w:ascii="仿宋_GB2312" w:hAnsi="仿宋_GB2312" w:eastAsia="仿宋_GB2312" w:cs="仿宋_GB2312"/>
          <w:color w:val="000000"/>
          <w:sz w:val="28"/>
          <w:szCs w:val="28"/>
        </w:rPr>
        <w:t xml:space="preserve"> </w:t>
      </w:r>
    </w:p>
    <w:p>
      <w:pPr>
        <w:pStyle w:val="88"/>
        <w:widowControl/>
        <w:numPr>
          <w:ilvl w:val="0"/>
          <w:numId w:val="3"/>
        </w:numPr>
        <w:spacing w:line="560" w:lineRule="exact"/>
        <w:ind w:firstLineChars="0"/>
        <w:jc w:val="left"/>
        <w:rPr>
          <w:rFonts w:ascii="仿宋_GB2312" w:hAnsi="仿宋_GB2312" w:eastAsia="仿宋_GB2312" w:cs="仿宋_GB2312"/>
          <w:b/>
          <w:szCs w:val="28"/>
          <w:u w:val="single"/>
        </w:rPr>
      </w:pPr>
      <w:r>
        <w:rPr>
          <w:rFonts w:hint="eastAsia" w:ascii="仿宋_GB2312" w:hAnsi="仿宋_GB2312" w:eastAsia="仿宋_GB2312" w:cs="仿宋_GB2312"/>
          <w:b/>
          <w:szCs w:val="28"/>
        </w:rPr>
        <w:t>服务概况</w:t>
      </w:r>
    </w:p>
    <w:p>
      <w:pPr>
        <w:pStyle w:val="88"/>
        <w:widowControl/>
        <w:numPr>
          <w:ilvl w:val="0"/>
          <w:numId w:val="4"/>
        </w:numPr>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 xml:space="preserve">服务内容： </w:t>
      </w:r>
    </w:p>
    <w:p>
      <w:pPr>
        <w:pStyle w:val="88"/>
        <w:widowControl/>
        <w:spacing w:line="560" w:lineRule="exact"/>
        <w:ind w:left="777" w:firstLine="560"/>
        <w:jc w:val="left"/>
        <w:rPr>
          <w:rFonts w:ascii="仿宋_GB2312" w:hAnsi="仿宋_GB2312" w:eastAsia="仿宋_GB2312" w:cs="仿宋_GB2312"/>
          <w:color w:val="0000FF"/>
          <w:szCs w:val="28"/>
        </w:rPr>
      </w:pPr>
      <w:r>
        <w:rPr>
          <w:rFonts w:hint="eastAsia" w:ascii="仿宋_GB2312" w:hAnsi="仿宋_GB2312" w:eastAsia="仿宋_GB2312" w:cs="仿宋_GB2312"/>
          <w:color w:val="0000FF"/>
          <w:szCs w:val="28"/>
        </w:rPr>
        <w:t>该项业务为T1T2T3航站楼楼宇自控系统及T2T3智能灯光系统设备的咨询服务、常规维护保养、应急抢修等内容。T1T2T3航站楼楼宇自控系统及T2T3智能灯光系统由五套系统组成，分别为：T1楼宇自控系统、T2楼宇自控系统、T3楼宇自控系统、T2智能灯光系统、T3智能灯光系统。</w:t>
      </w:r>
    </w:p>
    <w:p>
      <w:pPr>
        <w:pStyle w:val="88"/>
        <w:numPr>
          <w:ilvl w:val="0"/>
          <w:numId w:val="4"/>
        </w:numPr>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服务地点：</w:t>
      </w:r>
    </w:p>
    <w:p>
      <w:pPr>
        <w:pStyle w:val="88"/>
        <w:spacing w:line="560" w:lineRule="exact"/>
        <w:ind w:left="777" w:firstLine="560"/>
        <w:jc w:val="left"/>
        <w:rPr>
          <w:rFonts w:ascii="仿宋_GB2312" w:hAnsi="仿宋_GB2312" w:eastAsia="仿宋_GB2312" w:cs="仿宋_GB2312"/>
          <w:szCs w:val="28"/>
        </w:rPr>
      </w:pPr>
      <w:r>
        <w:rPr>
          <w:rFonts w:hint="eastAsia" w:ascii="仿宋_GB2312" w:hAnsi="仿宋_GB2312" w:eastAsia="仿宋_GB2312" w:cs="仿宋_GB2312"/>
          <w:szCs w:val="28"/>
        </w:rPr>
        <w:t xml:space="preserve"> </w:t>
      </w:r>
      <w:r>
        <w:rPr>
          <w:rFonts w:hint="eastAsia" w:ascii="仿宋_GB2312" w:hAnsi="仿宋_GB2312" w:eastAsia="仿宋_GB2312" w:cs="仿宋_GB2312"/>
          <w:color w:val="0000FF"/>
          <w:szCs w:val="28"/>
        </w:rPr>
        <w:t>T1、T2、T3航站楼。</w:t>
      </w:r>
    </w:p>
    <w:p>
      <w:pPr>
        <w:pStyle w:val="88"/>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3.服务形式：</w:t>
      </w:r>
    </w:p>
    <w:p>
      <w:pPr>
        <w:pStyle w:val="88"/>
        <w:spacing w:line="560" w:lineRule="exact"/>
        <w:ind w:firstLine="1400" w:firstLineChars="500"/>
        <w:jc w:val="left"/>
        <w:rPr>
          <w:rFonts w:ascii="仿宋_GB2312" w:hAnsi="仿宋_GB2312" w:eastAsia="仿宋_GB2312" w:cs="仿宋_GB2312"/>
          <w:color w:val="0000FF"/>
          <w:szCs w:val="28"/>
        </w:rPr>
      </w:pPr>
      <w:r>
        <w:rPr>
          <w:rFonts w:hint="eastAsia" w:ascii="仿宋_GB2312" w:hAnsi="仿宋_GB2312" w:eastAsia="仿宋_GB2312" w:cs="仿宋_GB2312"/>
          <w:color w:val="0000FF"/>
          <w:szCs w:val="28"/>
        </w:rPr>
        <w:t>非驻场服务。</w:t>
      </w:r>
    </w:p>
    <w:p>
      <w:pPr>
        <w:pStyle w:val="88"/>
        <w:widowControl/>
        <w:numPr>
          <w:ilvl w:val="0"/>
          <w:numId w:val="3"/>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服务期限</w:t>
      </w:r>
    </w:p>
    <w:p>
      <w:pPr>
        <w:pStyle w:val="88"/>
        <w:widowControl/>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本项目服务期限采用第</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color w:val="0000FF"/>
          <w:szCs w:val="28"/>
          <w:u w:val="single"/>
        </w:rPr>
        <w:t xml:space="preserve">2 </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种方式：</w:t>
      </w:r>
    </w:p>
    <w:p>
      <w:pPr>
        <w:pStyle w:val="8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 xml:space="preserve">  1.本合同采用</w:t>
      </w:r>
      <w:r>
        <w:rPr>
          <w:rFonts w:hint="eastAsia" w:ascii="仿宋_GB2312" w:hAnsi="仿宋_GB2312" w:eastAsia="仿宋_GB2312" w:cs="仿宋_GB2312"/>
          <w:szCs w:val="28"/>
          <w:u w:val="single"/>
        </w:rPr>
        <w:t xml:space="preserve">   /  </w:t>
      </w:r>
      <w:r>
        <w:rPr>
          <w:rFonts w:hint="eastAsia" w:ascii="仿宋_GB2312" w:hAnsi="仿宋_GB2312" w:eastAsia="仿宋_GB2312" w:cs="仿宋_GB2312"/>
          <w:szCs w:val="28"/>
        </w:rPr>
        <w:t>模式，第一年为考核期，有效期限为</w:t>
      </w:r>
      <w:r>
        <w:rPr>
          <w:rFonts w:hint="eastAsia" w:ascii="仿宋_GB2312" w:hAnsi="仿宋_GB2312" w:eastAsia="仿宋_GB2312" w:cs="仿宋_GB2312"/>
          <w:szCs w:val="28"/>
          <w:u w:val="single"/>
        </w:rPr>
        <w:t xml:space="preserve">     /      </w:t>
      </w:r>
      <w:r>
        <w:rPr>
          <w:rFonts w:hint="eastAsia" w:ascii="仿宋_GB2312" w:hAnsi="仿宋_GB2312" w:eastAsia="仿宋_GB2312" w:cs="仿宋_GB2312"/>
          <w:szCs w:val="28"/>
        </w:rPr>
        <w:t>，第一年考核期限届满前60日前，由甲方按照附件【】对乙方进行考核，经甲方考核后，乙方考核结果达到【】视为考核合格，则同意乙方续约，合同有效期限自动顺延至【】。</w:t>
      </w:r>
    </w:p>
    <w:p>
      <w:pPr>
        <w:pStyle w:val="8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若经甲方考核后，乙方考核结果未达到【】视为考核不合格，则不同意乙方续约，则本合同有效期限至【】终止。</w:t>
      </w:r>
    </w:p>
    <w:p>
      <w:pPr>
        <w:pStyle w:val="8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考核结果均以甲方确认的结果为准，乙方对此不得提出任何异议，并表示接受考核结果。</w:t>
      </w:r>
    </w:p>
    <w:p>
      <w:pPr>
        <w:pStyle w:val="8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8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2、本合同有效期限为固定期限，有效期限为</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color w:val="0000FF"/>
          <w:szCs w:val="28"/>
          <w:u w:val="single"/>
        </w:rPr>
        <w:t>2020年1月1日至2022年12月31日</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，合同有效期限届满后自本合同自动终止。</w:t>
      </w:r>
    </w:p>
    <w:p>
      <w:pPr>
        <w:widowControl/>
        <w:spacing w:line="560" w:lineRule="exact"/>
        <w:jc w:val="left"/>
        <w:rPr>
          <w:rFonts w:ascii="仿宋_GB2312" w:hAnsi="仿宋_GB2312" w:eastAsia="仿宋_GB2312" w:cs="仿宋_GB2312"/>
          <w:b/>
          <w:sz w:val="28"/>
          <w:szCs w:val="28"/>
        </w:rPr>
      </w:pPr>
    </w:p>
    <w:p>
      <w:pPr>
        <w:pStyle w:val="88"/>
        <w:widowControl/>
        <w:numPr>
          <w:ilvl w:val="0"/>
          <w:numId w:val="3"/>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签约合同价与计价方式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1. 本合同采用下述第</w:t>
      </w:r>
      <w:r>
        <w:rPr>
          <w:rFonts w:hint="eastAsia" w:ascii="仿宋_GB2312" w:hAnsi="仿宋_GB2312" w:eastAsia="仿宋_GB2312" w:cs="仿宋_GB2312"/>
          <w:color w:val="FF0000"/>
          <w:sz w:val="28"/>
          <w:szCs w:val="28"/>
          <w:u w:val="single"/>
        </w:rPr>
        <w:t xml:space="preserve">   1  </w:t>
      </w:r>
      <w:r>
        <w:rPr>
          <w:rFonts w:hint="eastAsia" w:ascii="仿宋_GB2312" w:hAnsi="仿宋_GB2312" w:eastAsia="仿宋_GB2312" w:cs="仿宋_GB2312"/>
          <w:color w:val="FF0000"/>
          <w:sz w:val="28"/>
          <w:szCs w:val="28"/>
        </w:rPr>
        <w:t>种计价方式：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（2）固定单价，预估总价，以实际发生结算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（3）固定总价+固定单价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签约合同价为：人民币（大写）</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（1）固定总价部分：人民币（大写）</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（2）固定单价部分：人民币（大写）</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元)；预估总价，人民币（大写）</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价格清单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（1）固定总价，其中：</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第一年费用：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第三年费用：</w:t>
      </w:r>
    </w:p>
    <w:tbl>
      <w:tblPr>
        <w:tblStyle w:val="46"/>
        <w:tblW w:w="102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92"/>
        <w:gridCol w:w="1410"/>
        <w:gridCol w:w="1000"/>
        <w:gridCol w:w="1155"/>
        <w:gridCol w:w="1385"/>
        <w:gridCol w:w="116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792"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410" w:type="dxa"/>
            <w:vAlign w:val="center"/>
          </w:tcPr>
          <w:p>
            <w:pPr>
              <w:widowControl/>
              <w:spacing w:line="560" w:lineRule="exact"/>
              <w:ind w:firstLine="280" w:firstLineChars="1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00" w:type="dxa"/>
            <w:vAlign w:val="center"/>
          </w:tcPr>
          <w:p>
            <w:pPr>
              <w:widowControl/>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w:t>
            </w:r>
          </w:p>
          <w:p>
            <w:pPr>
              <w:widowControl/>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1155"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2020年</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w:t>
            </w:r>
          </w:p>
        </w:tc>
        <w:tc>
          <w:tcPr>
            <w:tcW w:w="1385"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2021年</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w:t>
            </w:r>
          </w:p>
        </w:tc>
        <w:tc>
          <w:tcPr>
            <w:tcW w:w="1165"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2022年</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w:t>
            </w:r>
          </w:p>
        </w:tc>
        <w:tc>
          <w:tcPr>
            <w:tcW w:w="1595"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T1航站楼楼宇自控系统</w:t>
            </w:r>
          </w:p>
        </w:tc>
        <w:tc>
          <w:tcPr>
            <w:tcW w:w="1410" w:type="dxa"/>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霍尼韦尔</w:t>
            </w:r>
          </w:p>
        </w:tc>
        <w:tc>
          <w:tcPr>
            <w:tcW w:w="1000"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T2航站楼楼宇自控系统</w:t>
            </w:r>
          </w:p>
        </w:tc>
        <w:tc>
          <w:tcPr>
            <w:tcW w:w="1410" w:type="dxa"/>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霍尼韦尔</w:t>
            </w:r>
          </w:p>
        </w:tc>
        <w:tc>
          <w:tcPr>
            <w:tcW w:w="1000"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T2航站楼智能灯光系统</w:t>
            </w:r>
          </w:p>
        </w:tc>
        <w:tc>
          <w:tcPr>
            <w:tcW w:w="1410" w:type="dxa"/>
          </w:tcPr>
          <w:p>
            <w:pPr>
              <w:snapToGrid w:val="0"/>
              <w:spacing w:line="480" w:lineRule="exact"/>
              <w:jc w:val="center"/>
              <w:rPr>
                <w:rFonts w:ascii="宋体" w:hAnsi="宋体" w:cs="宋体"/>
                <w:sz w:val="28"/>
                <w:szCs w:val="28"/>
              </w:rPr>
            </w:pPr>
            <w:r>
              <w:rPr>
                <w:rFonts w:hint="eastAsia" w:ascii="仿宋_GB2312" w:eastAsia="仿宋_GB2312"/>
                <w:sz w:val="28"/>
                <w:szCs w:val="28"/>
              </w:rPr>
              <w:t>西门子</w:t>
            </w:r>
          </w:p>
        </w:tc>
        <w:tc>
          <w:tcPr>
            <w:tcW w:w="1000" w:type="dxa"/>
            <w:vAlign w:val="center"/>
          </w:tcPr>
          <w:p>
            <w:pPr>
              <w:widowControl/>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T3航站楼楼宇自控系统</w:t>
            </w:r>
          </w:p>
        </w:tc>
        <w:tc>
          <w:tcPr>
            <w:tcW w:w="1410" w:type="dxa"/>
          </w:tcPr>
          <w:p>
            <w:pPr>
              <w:snapToGrid w:val="0"/>
              <w:spacing w:line="480" w:lineRule="exact"/>
              <w:jc w:val="center"/>
              <w:rPr>
                <w:rFonts w:ascii="宋体" w:hAnsi="宋体" w:cs="宋体"/>
                <w:sz w:val="28"/>
                <w:szCs w:val="28"/>
              </w:rPr>
            </w:pPr>
            <w:r>
              <w:rPr>
                <w:rFonts w:hint="eastAsia" w:ascii="仿宋_GB2312" w:eastAsia="仿宋_GB2312"/>
                <w:sz w:val="28"/>
                <w:szCs w:val="28"/>
              </w:rPr>
              <w:t>霍尼韦尔</w:t>
            </w:r>
          </w:p>
        </w:tc>
        <w:tc>
          <w:tcPr>
            <w:tcW w:w="1000"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T3航站楼智能灯光系统</w:t>
            </w:r>
          </w:p>
        </w:tc>
        <w:tc>
          <w:tcPr>
            <w:tcW w:w="1410" w:type="dxa"/>
          </w:tcPr>
          <w:p>
            <w:pPr>
              <w:snapToGrid w:val="0"/>
              <w:spacing w:line="480" w:lineRule="exact"/>
              <w:jc w:val="center"/>
              <w:rPr>
                <w:rFonts w:ascii="宋体" w:hAnsi="宋体" w:cs="宋体"/>
                <w:sz w:val="28"/>
                <w:szCs w:val="28"/>
              </w:rPr>
            </w:pPr>
            <w:r>
              <w:rPr>
                <w:rFonts w:hint="eastAsia" w:ascii="仿宋_GB2312" w:eastAsia="仿宋_GB2312"/>
                <w:sz w:val="28"/>
                <w:szCs w:val="28"/>
              </w:rPr>
              <w:t>西门子</w:t>
            </w:r>
          </w:p>
        </w:tc>
        <w:tc>
          <w:tcPr>
            <w:tcW w:w="1000"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1" w:type="dxa"/>
            <w:gridSpan w:val="2"/>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服务费</w:t>
            </w:r>
          </w:p>
        </w:tc>
        <w:tc>
          <w:tcPr>
            <w:tcW w:w="7710" w:type="dxa"/>
            <w:gridSpan w:val="6"/>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1" w:type="dxa"/>
            <w:gridSpan w:val="2"/>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税金</w:t>
            </w:r>
          </w:p>
        </w:tc>
        <w:tc>
          <w:tcPr>
            <w:tcW w:w="7710" w:type="dxa"/>
            <w:gridSpan w:val="6"/>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1" w:type="dxa"/>
            <w:gridSpan w:val="2"/>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外包费用总计</w:t>
            </w:r>
          </w:p>
        </w:tc>
        <w:tc>
          <w:tcPr>
            <w:tcW w:w="7710" w:type="dxa"/>
            <w:gridSpan w:val="6"/>
            <w:vAlign w:val="center"/>
          </w:tcPr>
          <w:p>
            <w:pPr>
              <w:widowControl/>
              <w:spacing w:line="560" w:lineRule="exact"/>
              <w:jc w:val="center"/>
              <w:rPr>
                <w:rFonts w:ascii="仿宋_GB2312" w:hAnsi="仿宋_GB2312" w:eastAsia="仿宋_GB2312" w:cs="仿宋_GB2312"/>
                <w:sz w:val="28"/>
                <w:szCs w:val="28"/>
              </w:rPr>
            </w:pPr>
          </w:p>
        </w:tc>
      </w:tr>
    </w:tbl>
    <w:p>
      <w:pPr>
        <w:widowControl/>
        <w:spacing w:line="560" w:lineRule="exact"/>
        <w:jc w:val="left"/>
        <w:rPr>
          <w:rFonts w:ascii="仿宋_GB2312" w:hAnsi="仿宋_GB2312" w:eastAsia="仿宋_GB2312" w:cs="仿宋_GB2312"/>
          <w:sz w:val="28"/>
          <w:szCs w:val="28"/>
        </w:rPr>
      </w:pP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w:t>
      </w:r>
    </w:p>
    <w:p>
      <w:pPr>
        <w:widowControl/>
        <w:spacing w:line="560" w:lineRule="exact"/>
        <w:jc w:val="lef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4.以上外包费用总计已包含了</w:t>
      </w:r>
      <w:r>
        <w:rPr>
          <w:rFonts w:hint="eastAsia" w:ascii="仿宋_GB2312" w:hAnsi="仿宋_GB2312" w:eastAsia="仿宋_GB2312" w:cs="仿宋_GB2312"/>
          <w:color w:val="0000FF"/>
          <w:sz w:val="28"/>
          <w:szCs w:val="28"/>
          <w:u w:val="single"/>
        </w:rPr>
        <w:t xml:space="preserve"> 人工费、运输费、管理费、保险费、办证费、税费</w:t>
      </w:r>
      <w:r>
        <w:rPr>
          <w:rFonts w:hint="eastAsia" w:ascii="仿宋_GB2312" w:hAnsi="仿宋_GB2312" w:eastAsia="仿宋_GB2312" w:cs="仿宋_GB2312"/>
          <w:sz w:val="28"/>
          <w:szCs w:val="28"/>
        </w:rPr>
        <w:t>等所有费用。</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 其他约定: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rPr>
          <w:rFonts w:ascii="仿宋_GB2312" w:hAnsi="仿宋_GB2312" w:eastAsia="仿宋_GB2312" w:cs="仿宋_GB2312"/>
          <w:sz w:val="28"/>
          <w:szCs w:val="28"/>
          <w:u w:val="single"/>
        </w:rPr>
      </w:pPr>
    </w:p>
    <w:p>
      <w:pPr>
        <w:widowControl/>
        <w:spacing w:line="560" w:lineRule="exact"/>
        <w:ind w:left="35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四、验收及考核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1、验收方式，本合同采用下属第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 xml:space="preserve"> 2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种验收方式；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（1）合同履行完毕一次性验收；</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（2）分期验收，每三个月验收一次；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（3）分期验收，每月验收一次；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（4）按实际完成工作节点验收；</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（5）其他：</w:t>
      </w:r>
      <w:r>
        <w:rPr>
          <w:rFonts w:hint="eastAsia" w:ascii="仿宋_GB2312" w:hAnsi="仿宋_GB2312" w:eastAsia="仿宋_GB2312" w:cs="仿宋_GB2312"/>
          <w:sz w:val="28"/>
          <w:szCs w:val="28"/>
          <w:u w:val="single"/>
        </w:rPr>
        <w:t xml:space="preserve">         /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2、维保服务考核方式（不包括续约考核），本合同采用下属第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 xml:space="preserve">(1)B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种维保服务考核方式：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（1）先服务后付款：</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A.合同履行完毕一次性考核；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B.分期考核，每三个月考核一次；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C.分期考核，每月考核一次；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D.按实际完成工作节点考核；</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E.其他：</w:t>
      </w:r>
      <w:r>
        <w:rPr>
          <w:rFonts w:hint="eastAsia" w:ascii="仿宋_GB2312" w:hAnsi="仿宋_GB2312" w:eastAsia="仿宋_GB2312" w:cs="仿宋_GB2312"/>
          <w:sz w:val="28"/>
          <w:szCs w:val="28"/>
          <w:u w:val="single"/>
        </w:rPr>
        <w:t xml:space="preserve">          /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（2）先付款后服务：</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                          </w:t>
      </w:r>
    </w:p>
    <w:p>
      <w:pPr>
        <w:widowControl/>
        <w:numPr>
          <w:ilvl w:val="0"/>
          <w:numId w:val="5"/>
        </w:numPr>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验收标准分为设备验收与维保服务考核，具体标准详见本合同专用条款。</w:t>
      </w:r>
    </w:p>
    <w:p>
      <w:pPr>
        <w:widowControl/>
        <w:spacing w:line="560" w:lineRule="exact"/>
        <w:jc w:val="left"/>
        <w:rPr>
          <w:rFonts w:ascii="仿宋_GB2312" w:hAnsi="仿宋_GB2312" w:eastAsia="仿宋_GB2312" w:cs="仿宋_GB2312"/>
          <w:sz w:val="28"/>
          <w:szCs w:val="28"/>
        </w:rPr>
      </w:pPr>
    </w:p>
    <w:p>
      <w:pPr>
        <w:widowControl/>
        <w:spacing w:line="560" w:lineRule="exact"/>
        <w:ind w:firstLine="422" w:firstLineChars="1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五、结算与支付</w:t>
      </w:r>
    </w:p>
    <w:p>
      <w:pPr>
        <w:pStyle w:val="88"/>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1. 本合同外包服务费采用以下第</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color w:val="0000FF"/>
          <w:szCs w:val="28"/>
          <w:u w:val="single"/>
        </w:rPr>
        <w:t>3</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种结算方式：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（1）服务完成后一次性结算； </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（2）按实际完成服务内容结算：</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（3）按期结算，每期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月，每期结算金额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（4）其它结算方式：</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 支付比例或金额</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（1）预付款（本项目 </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 适用  </w:t>
      </w:r>
      <w:r>
        <w:rPr>
          <w:rFonts w:hint="eastAsia" w:ascii="仿宋_GB2312" w:hAnsi="仿宋_GB2312" w:eastAsia="仿宋_GB2312" w:cs="仿宋_GB2312"/>
          <w:sz w:val="28"/>
          <w:szCs w:val="28"/>
        </w:rPr>
        <w:sym w:font="Wingdings" w:char="00FE"/>
      </w:r>
      <w:r>
        <w:rPr>
          <w:rFonts w:hint="eastAsia" w:ascii="仿宋_GB2312" w:hAnsi="仿宋_GB2312" w:eastAsia="仿宋_GB2312" w:cs="仿宋_GB2312"/>
          <w:sz w:val="28"/>
          <w:szCs w:val="28"/>
        </w:rPr>
        <w:t>不适用）</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支付比例或金额：</w:t>
      </w:r>
      <w:r>
        <w:rPr>
          <w:rFonts w:hint="eastAsia" w:ascii="仿宋_GB2312" w:hAnsi="仿宋_GB2312" w:eastAsia="仿宋_GB2312" w:cs="仿宋_GB2312"/>
          <w:sz w:val="28"/>
          <w:szCs w:val="28"/>
          <w:u w:val="single"/>
        </w:rPr>
        <w:t xml:space="preserve">           /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预付款支付期限：合同签订并提交收据后【】工作日内支付</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预付款扣回的方式：</w:t>
      </w:r>
      <w:r>
        <w:rPr>
          <w:rFonts w:hint="eastAsia" w:ascii="仿宋_GB2312" w:hAnsi="仿宋_GB2312" w:eastAsia="仿宋_GB2312" w:cs="仿宋_GB2312"/>
          <w:sz w:val="28"/>
          <w:szCs w:val="28"/>
          <w:u w:val="single"/>
        </w:rPr>
        <w:t xml:space="preserve">           /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（2）合同价款支付</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甲方在支付乙方每期外包服务费时，由甲方根据附件</w:t>
      </w:r>
      <w:r>
        <w:rPr>
          <w:rFonts w:hint="eastAsia" w:ascii="仿宋_GB2312" w:hAnsi="仿宋_GB2312" w:eastAsia="仿宋_GB2312" w:cs="仿宋_GB2312"/>
          <w:color w:val="0000FF"/>
          <w:sz w:val="28"/>
          <w:szCs w:val="28"/>
        </w:rPr>
        <w:t>【 6 】</w:t>
      </w:r>
      <w:r>
        <w:rPr>
          <w:rFonts w:hint="eastAsia" w:ascii="仿宋_GB2312" w:hAnsi="仿宋_GB2312" w:eastAsia="仿宋_GB2312" w:cs="仿宋_GB2312"/>
          <w:sz w:val="28"/>
          <w:szCs w:val="28"/>
        </w:rPr>
        <w:t>考核，且经验收考核后支付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3个月的服务费用</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（3）其他 </w:t>
      </w:r>
      <w:r>
        <w:rPr>
          <w:rFonts w:hint="eastAsia" w:ascii="仿宋_GB2312" w:hAnsi="仿宋_GB2312" w:eastAsia="仿宋_GB2312" w:cs="仿宋_GB2312"/>
          <w:sz w:val="28"/>
          <w:szCs w:val="28"/>
          <w:u w:val="single"/>
        </w:rPr>
        <w:t xml:space="preserve">                 /                      </w:t>
      </w:r>
    </w:p>
    <w:p>
      <w:pPr>
        <w:pStyle w:val="88"/>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3. 支付时间及条件</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除另有约定外，</w:t>
      </w:r>
      <w:r>
        <w:rPr>
          <w:rFonts w:hint="eastAsia" w:ascii="仿宋_GB2312" w:hAnsi="仿宋_GB2312" w:eastAsia="仿宋_GB2312" w:cs="仿宋_GB2312"/>
          <w:color w:val="000000"/>
          <w:sz w:val="28"/>
          <w:szCs w:val="28"/>
        </w:rPr>
        <w:t>甲方在收到乙方提供的下列支付凭证后【 30 】个工作日内支付</w:t>
      </w:r>
      <w:r>
        <w:rPr>
          <w:rFonts w:hint="eastAsia" w:ascii="仿宋_GB2312" w:hAnsi="仿宋_GB2312" w:eastAsia="仿宋_GB2312" w:cs="仿宋_GB2312"/>
          <w:sz w:val="28"/>
          <w:szCs w:val="28"/>
        </w:rPr>
        <w:t>，支付时扣除质保金（如有）</w:t>
      </w:r>
      <w:r>
        <w:rPr>
          <w:rFonts w:hint="eastAsia" w:ascii="仿宋_GB2312" w:hAnsi="仿宋_GB2312" w:eastAsia="仿宋_GB2312" w:cs="仿宋_GB2312"/>
          <w:color w:val="000000"/>
          <w:sz w:val="28"/>
          <w:szCs w:val="28"/>
        </w:rPr>
        <w:t>：</w:t>
      </w:r>
    </w:p>
    <w:p>
      <w:pPr>
        <w:pStyle w:val="88"/>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（1）付款申请书（含结算资料）</w:t>
      </w:r>
    </w:p>
    <w:p>
      <w:pPr>
        <w:pStyle w:val="88"/>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（2）乙方开具的</w:t>
      </w:r>
      <w:r>
        <w:rPr>
          <w:rFonts w:hint="eastAsia" w:ascii="仿宋_GB2312" w:hAnsi="仿宋_GB2312" w:eastAsia="仿宋_GB2312" w:cs="仿宋_GB2312"/>
          <w:szCs w:val="28"/>
          <w:u w:val="single"/>
        </w:rPr>
        <w:t xml:space="preserve"> 增值税专用发票（6%）                                       </w:t>
      </w:r>
    </w:p>
    <w:p>
      <w:pPr>
        <w:pStyle w:val="88"/>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 xml:space="preserve">（3）经甲乙双方项目负责人签字确认的《验收单》。 </w:t>
      </w:r>
    </w:p>
    <w:p>
      <w:pPr>
        <w:pStyle w:val="88"/>
        <w:spacing w:line="560" w:lineRule="exact"/>
        <w:ind w:firstLine="0" w:firstLineChars="0"/>
        <w:rPr>
          <w:rFonts w:ascii="仿宋_GB2312" w:hAnsi="仿宋_GB2312" w:eastAsia="仿宋_GB2312" w:cs="仿宋_GB2312"/>
          <w:szCs w:val="28"/>
          <w:u w:val="single"/>
        </w:rPr>
      </w:pPr>
      <w:r>
        <w:rPr>
          <w:rFonts w:hint="eastAsia" w:ascii="仿宋_GB2312" w:hAnsi="仿宋_GB2312" w:eastAsia="仿宋_GB2312" w:cs="仿宋_GB2312"/>
          <w:szCs w:val="28"/>
        </w:rPr>
        <w:t>（4）其他</w:t>
      </w:r>
      <w:r>
        <w:rPr>
          <w:rFonts w:hint="eastAsia" w:ascii="仿宋_GB2312" w:hAnsi="仿宋_GB2312" w:eastAsia="仿宋_GB2312" w:cs="仿宋_GB2312"/>
          <w:szCs w:val="28"/>
          <w:u w:val="single"/>
        </w:rPr>
        <w:t xml:space="preserve">        /             </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4.乙方的基本账户信息：</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账号：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5.其他约定：</w:t>
      </w:r>
      <w:r>
        <w:rPr>
          <w:rFonts w:hint="eastAsia" w:ascii="仿宋_GB2312" w:hAnsi="仿宋_GB2312" w:eastAsia="仿宋_GB2312" w:cs="仿宋_GB2312"/>
          <w:sz w:val="28"/>
          <w:szCs w:val="28"/>
          <w:u w:val="single"/>
        </w:rPr>
        <w:t xml:space="preserve">                  /                                       </w:t>
      </w:r>
    </w:p>
    <w:p>
      <w:pPr>
        <w:spacing w:line="560" w:lineRule="exact"/>
        <w:jc w:val="left"/>
        <w:rPr>
          <w:rFonts w:ascii="仿宋_GB2312" w:hAnsi="仿宋_GB2312" w:eastAsia="仿宋_GB2312" w:cs="仿宋_GB2312"/>
          <w:sz w:val="28"/>
          <w:szCs w:val="28"/>
          <w:u w:val="single"/>
        </w:rPr>
      </w:pPr>
    </w:p>
    <w:p>
      <w:pPr>
        <w:pStyle w:val="89"/>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六、履约担保</w:t>
      </w:r>
    </w:p>
    <w:p>
      <w:pPr>
        <w:pStyle w:val="89"/>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hint="eastAsia" w:ascii="仿宋_GB2312" w:hAnsi="仿宋_GB2312" w:eastAsia="仿宋_GB2312" w:cs="仿宋_GB2312"/>
          <w:b/>
          <w:szCs w:val="28"/>
        </w:rPr>
        <w:sym w:font="Wingdings" w:char="00FE"/>
      </w:r>
      <w:r>
        <w:rPr>
          <w:rFonts w:hint="eastAsia" w:ascii="仿宋_GB2312" w:hAnsi="仿宋_GB2312" w:eastAsia="仿宋_GB2312" w:cs="仿宋_GB2312"/>
          <w:b/>
          <w:szCs w:val="28"/>
        </w:rPr>
        <w:t xml:space="preserve">   不适用  </w:t>
      </w:r>
      <w:r>
        <w:rPr>
          <w:rFonts w:hint="eastAsia" w:ascii="仿宋_GB2312" w:hAnsi="仿宋_GB2312" w:eastAsia="仿宋_GB2312" w:cs="仿宋_GB2312"/>
          <w:b/>
          <w:szCs w:val="28"/>
        </w:rPr>
        <w:sym w:font="Wingdings" w:char="00A8"/>
      </w:r>
    </w:p>
    <w:p>
      <w:pPr>
        <w:spacing w:line="560" w:lineRule="exact"/>
        <w:ind w:firstLine="31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 乙方提交履约担保的形式为：</w:t>
      </w:r>
      <w:r>
        <w:rPr>
          <w:rFonts w:hint="eastAsia" w:ascii="仿宋_GB2312" w:hAnsi="仿宋_GB2312" w:eastAsia="仿宋_GB2312" w:cs="仿宋_GB2312"/>
          <w:snapToGrid w:val="0"/>
          <w:color w:val="000000"/>
          <w:kern w:val="0"/>
          <w:sz w:val="28"/>
          <w:szCs w:val="28"/>
          <w:u w:val="single"/>
        </w:rPr>
        <w:t xml:space="preserve">  </w:t>
      </w:r>
      <w:r>
        <w:rPr>
          <w:rFonts w:hint="eastAsia" w:ascii="仿宋_GB2312" w:hAnsi="仿宋_GB2312" w:eastAsia="仿宋_GB2312" w:cs="仿宋_GB2312"/>
          <w:snapToGrid w:val="0"/>
          <w:color w:val="000000"/>
          <w:kern w:val="0"/>
          <w:sz w:val="28"/>
          <w:szCs w:val="28"/>
          <w:u w:val="single"/>
        </w:rPr>
        <w:tab/>
      </w:r>
      <w:r>
        <w:rPr>
          <w:rFonts w:hint="eastAsia" w:ascii="仿宋_GB2312" w:hAnsi="仿宋_GB2312" w:eastAsia="仿宋_GB2312" w:cs="仿宋_GB2312"/>
          <w:snapToGrid w:val="0"/>
          <w:color w:val="0000FF"/>
          <w:kern w:val="0"/>
          <w:sz w:val="28"/>
          <w:szCs w:val="28"/>
          <w:u w:val="single"/>
        </w:rPr>
        <w:t>履约担保金</w:t>
      </w:r>
      <w:r>
        <w:rPr>
          <w:rFonts w:hint="eastAsia" w:ascii="仿宋_GB2312" w:hAnsi="仿宋_GB2312" w:eastAsia="仿宋_GB2312" w:cs="仿宋_GB2312"/>
          <w:snapToGrid w:val="0"/>
          <w:color w:val="000000"/>
          <w:kern w:val="0"/>
          <w:sz w:val="28"/>
          <w:szCs w:val="28"/>
          <w:u w:val="single"/>
        </w:rPr>
        <w:t xml:space="preserve">          </w:t>
      </w:r>
      <w:r>
        <w:rPr>
          <w:rFonts w:hint="eastAsia" w:ascii="仿宋_GB2312" w:hAnsi="仿宋_GB2312" w:eastAsia="仿宋_GB2312" w:cs="仿宋_GB2312"/>
          <w:sz w:val="28"/>
          <w:szCs w:val="28"/>
        </w:rPr>
        <w:t>；</w:t>
      </w:r>
    </w:p>
    <w:p>
      <w:pPr>
        <w:pStyle w:val="89"/>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2. 履约担保金额为：人民币（大写）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元) （首年合同服务费总额的</w:t>
      </w:r>
      <w:r>
        <w:rPr>
          <w:rFonts w:hint="eastAsia" w:ascii="仿宋_GB2312" w:hAnsi="仿宋_GB2312" w:eastAsia="仿宋_GB2312" w:cs="仿宋_GB2312"/>
          <w:szCs w:val="28"/>
          <w:u w:val="single"/>
        </w:rPr>
        <w:t xml:space="preserve"> 10 </w:t>
      </w:r>
      <w:r>
        <w:rPr>
          <w:rFonts w:hint="eastAsia" w:ascii="仿宋_GB2312" w:hAnsi="仿宋_GB2312" w:eastAsia="仿宋_GB2312" w:cs="仿宋_GB2312"/>
          <w:szCs w:val="28"/>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88"/>
        <w:spacing w:line="560" w:lineRule="exact"/>
        <w:ind w:left="360" w:firstLine="0" w:firstLineChars="0"/>
        <w:rPr>
          <w:rFonts w:ascii="仿宋_GB2312" w:hAnsi="仿宋_GB2312" w:eastAsia="仿宋_GB2312" w:cs="仿宋_GB2312"/>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七、保修期</w:t>
      </w:r>
    </w:p>
    <w:p>
      <w:pPr>
        <w:pStyle w:val="88"/>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hint="eastAsia" w:ascii="仿宋_GB2312" w:hAnsi="仿宋_GB2312" w:eastAsia="仿宋_GB2312" w:cs="仿宋_GB2312"/>
          <w:b/>
          <w:szCs w:val="28"/>
        </w:rPr>
        <w:sym w:font="Wingdings" w:char="00A8"/>
      </w:r>
      <w:r>
        <w:rPr>
          <w:rFonts w:hint="eastAsia" w:ascii="仿宋_GB2312" w:hAnsi="仿宋_GB2312" w:eastAsia="仿宋_GB2312" w:cs="仿宋_GB2312"/>
          <w:b/>
          <w:szCs w:val="28"/>
        </w:rPr>
        <w:t xml:space="preserve">    不适用  </w:t>
      </w:r>
      <w:r>
        <w:rPr>
          <w:rFonts w:hint="eastAsia" w:ascii="仿宋_GB2312" w:hAnsi="仿宋_GB2312" w:eastAsia="仿宋_GB2312" w:cs="仿宋_GB2312"/>
          <w:b/>
          <w:szCs w:val="28"/>
        </w:rPr>
        <w:sym w:font="Wingdings" w:char="00FE"/>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1.保修期为正式验收合格之日起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天；</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2.保修期内，乙方应在接到甲方通知后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小时内到达现场并修复缺陷或损坏。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3.保修期内发生的维修服务，若修复后经维修的项目的保修期不足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的，则该项目的保修期延长至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4.具体保修内容以专用条款为准。</w:t>
      </w:r>
    </w:p>
    <w:p>
      <w:pPr>
        <w:spacing w:line="560" w:lineRule="exact"/>
        <w:ind w:firstLine="405"/>
        <w:rPr>
          <w:rFonts w:ascii="仿宋_GB2312" w:hAnsi="仿宋_GB2312" w:eastAsia="仿宋_GB2312" w:cs="仿宋_GB2312"/>
          <w:sz w:val="28"/>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八、保险 </w:t>
      </w:r>
    </w:p>
    <w:p>
      <w:pPr>
        <w:spacing w:line="560" w:lineRule="exact"/>
        <w:ind w:firstLine="405"/>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本合同是否适用：适用 </w:t>
      </w:r>
      <w:r>
        <w:rPr>
          <w:rFonts w:hint="eastAsia" w:ascii="仿宋_GB2312" w:hAnsi="仿宋_GB2312" w:eastAsia="仿宋_GB2312" w:cs="仿宋_GB2312"/>
          <w:b/>
          <w:bCs/>
          <w:sz w:val="28"/>
          <w:szCs w:val="28"/>
        </w:rPr>
        <w:sym w:font="Wingdings" w:char="00FE"/>
      </w:r>
      <w:r>
        <w:rPr>
          <w:rFonts w:hint="eastAsia" w:ascii="仿宋_GB2312" w:hAnsi="仿宋_GB2312" w:eastAsia="仿宋_GB2312" w:cs="仿宋_GB2312"/>
          <w:b/>
          <w:bCs/>
          <w:sz w:val="28"/>
          <w:szCs w:val="28"/>
        </w:rPr>
        <w:t xml:space="preserve">    不适用  </w:t>
      </w:r>
      <w:r>
        <w:rPr>
          <w:rFonts w:hint="eastAsia" w:ascii="仿宋_GB2312" w:hAnsi="仿宋_GB2312" w:eastAsia="仿宋_GB2312" w:cs="仿宋_GB2312"/>
          <w:b/>
          <w:bCs/>
          <w:sz w:val="28"/>
          <w:szCs w:val="28"/>
        </w:rPr>
        <w:sym w:font="Wingdings" w:char="00A8"/>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1.乙方应遵循本合同中，合同通用条款 第一部分 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 xml:space="preserve"> 3</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条 之约定，办理为完成合同所需之一切保险事务。</w:t>
      </w:r>
    </w:p>
    <w:p>
      <w:pPr>
        <w:pStyle w:val="88"/>
        <w:spacing w:line="560" w:lineRule="exact"/>
        <w:ind w:left="360" w:firstLine="0" w:firstLineChars="0"/>
        <w:rPr>
          <w:rFonts w:ascii="仿宋_GB2312" w:hAnsi="仿宋_GB2312" w:eastAsia="仿宋_GB2312" w:cs="仿宋_GB2312"/>
          <w:color w:val="000000"/>
          <w:szCs w:val="28"/>
          <w:u w:val="single"/>
        </w:rPr>
      </w:pPr>
      <w:r>
        <w:rPr>
          <w:rFonts w:hint="eastAsia" w:ascii="仿宋_GB2312" w:hAnsi="仿宋_GB2312" w:eastAsia="仿宋_GB2312" w:cs="仿宋_GB2312"/>
          <w:color w:val="000000"/>
          <w:szCs w:val="28"/>
        </w:rPr>
        <w:t>2.本合同关于购买保险的具体险种:</w:t>
      </w:r>
      <w:r>
        <w:rPr>
          <w:rFonts w:hint="eastAsia" w:ascii="仿宋_GB2312" w:hAnsi="仿宋_GB2312" w:eastAsia="仿宋_GB2312" w:cs="仿宋_GB2312"/>
          <w:color w:val="000000"/>
          <w:szCs w:val="28"/>
          <w:u w:val="single"/>
        </w:rPr>
        <w:t xml:space="preserve">   </w:t>
      </w:r>
      <w:r>
        <w:rPr>
          <w:rFonts w:hint="eastAsia" w:ascii="仿宋_GB2312" w:hAnsi="仿宋_GB2312" w:eastAsia="仿宋_GB2312" w:cs="仿宋_GB2312"/>
          <w:color w:val="0000FF"/>
          <w:szCs w:val="28"/>
          <w:u w:val="single"/>
        </w:rPr>
        <w:t xml:space="preserve">   由乙方自行承担</w:t>
      </w:r>
      <w:r>
        <w:rPr>
          <w:rFonts w:hint="eastAsia" w:ascii="仿宋_GB2312" w:hAnsi="仿宋_GB2312" w:eastAsia="仿宋_GB2312" w:cs="仿宋_GB2312"/>
          <w:color w:val="000000"/>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3.具体投保内容以专用条款为准。</w:t>
      </w:r>
    </w:p>
    <w:p>
      <w:pPr>
        <w:pStyle w:val="88"/>
        <w:spacing w:line="560" w:lineRule="exact"/>
        <w:ind w:left="360" w:firstLine="0" w:firstLineChars="0"/>
        <w:rPr>
          <w:rFonts w:ascii="仿宋_GB2312" w:hAnsi="仿宋_GB2312" w:eastAsia="仿宋_GB2312" w:cs="仿宋_GB2312"/>
          <w:color w:val="000000"/>
          <w:szCs w:val="28"/>
          <w:u w:val="single"/>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九、补充约定</w:t>
      </w:r>
    </w:p>
    <w:p>
      <w:pPr>
        <w:spacing w:line="560" w:lineRule="exact"/>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 xml:space="preserve">              /                 </w:t>
      </w:r>
    </w:p>
    <w:p>
      <w:pPr>
        <w:spacing w:line="56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u w:val="single"/>
        </w:rPr>
        <w:t xml:space="preserve">               /               </w:t>
      </w:r>
    </w:p>
    <w:p>
      <w:pPr>
        <w:spacing w:line="560" w:lineRule="exac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sz w:val="28"/>
          <w:szCs w:val="28"/>
          <w:u w:val="single"/>
        </w:rPr>
        <w:t xml:space="preserve">                /               </w:t>
      </w:r>
    </w:p>
    <w:p>
      <w:pPr>
        <w:spacing w:line="560" w:lineRule="exact"/>
        <w:ind w:firstLine="420" w:firstLineChars="150"/>
        <w:rPr>
          <w:rFonts w:ascii="仿宋_GB2312" w:hAnsi="仿宋_GB2312" w:eastAsia="仿宋_GB2312" w:cs="仿宋_GB2312"/>
          <w:sz w:val="28"/>
          <w:szCs w:val="28"/>
        </w:rPr>
      </w:pPr>
    </w:p>
    <w:p>
      <w:pPr>
        <w:spacing w:line="560" w:lineRule="exact"/>
        <w:ind w:firstLine="422" w:firstLineChars="1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十、文件组成</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本合同所附下列文件是合同构成不可分割的部分：</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1、合同条款</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2、合同附件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3、招标文件、投标文件及其相应附件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如合同条款与上述文件表述不一，则按照上述文件优先顺序进行解释。</w:t>
      </w:r>
    </w:p>
    <w:p>
      <w:pPr>
        <w:spacing w:line="560" w:lineRule="exact"/>
        <w:ind w:firstLine="420" w:firstLineChars="150"/>
        <w:rPr>
          <w:rFonts w:ascii="仿宋_GB2312" w:hAnsi="仿宋_GB2312" w:eastAsia="仿宋_GB2312" w:cs="仿宋_GB2312"/>
          <w:sz w:val="28"/>
          <w:szCs w:val="28"/>
        </w:rPr>
      </w:pPr>
    </w:p>
    <w:p>
      <w:pPr>
        <w:pStyle w:val="88"/>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十一、其他</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1、本合同一式</w:t>
      </w:r>
      <w:r>
        <w:rPr>
          <w:rFonts w:hint="eastAsia" w:ascii="仿宋_GB2312" w:hAnsi="仿宋_GB2312" w:eastAsia="仿宋_GB2312" w:cs="仿宋_GB2312"/>
          <w:color w:val="000000"/>
          <w:sz w:val="28"/>
          <w:szCs w:val="28"/>
          <w:u w:val="single"/>
        </w:rPr>
        <w:t xml:space="preserve"> 陆 </w:t>
      </w:r>
      <w:r>
        <w:rPr>
          <w:rFonts w:hint="eastAsia" w:ascii="仿宋_GB2312" w:hAnsi="仿宋_GB2312" w:eastAsia="仿宋_GB2312" w:cs="仿宋_GB2312"/>
          <w:color w:val="000000"/>
          <w:sz w:val="28"/>
          <w:szCs w:val="28"/>
        </w:rPr>
        <w:t>份，甲方执</w:t>
      </w:r>
      <w:r>
        <w:rPr>
          <w:rFonts w:hint="eastAsia" w:ascii="仿宋_GB2312" w:hAnsi="仿宋_GB2312" w:eastAsia="仿宋_GB2312" w:cs="仿宋_GB2312"/>
          <w:color w:val="000000"/>
          <w:sz w:val="28"/>
          <w:szCs w:val="28"/>
          <w:u w:val="single"/>
        </w:rPr>
        <w:t xml:space="preserve"> 肆 </w:t>
      </w:r>
      <w:r>
        <w:rPr>
          <w:rFonts w:hint="eastAsia" w:ascii="仿宋_GB2312" w:hAnsi="仿宋_GB2312" w:eastAsia="仿宋_GB2312" w:cs="仿宋_GB2312"/>
          <w:color w:val="000000"/>
          <w:sz w:val="28"/>
          <w:szCs w:val="28"/>
        </w:rPr>
        <w:t>份，乙方执</w:t>
      </w:r>
      <w:r>
        <w:rPr>
          <w:rFonts w:hint="eastAsia" w:ascii="仿宋_GB2312" w:hAnsi="仿宋_GB2312" w:eastAsia="仿宋_GB2312" w:cs="仿宋_GB2312"/>
          <w:color w:val="000000"/>
          <w:sz w:val="28"/>
          <w:szCs w:val="28"/>
          <w:u w:val="single"/>
        </w:rPr>
        <w:t xml:space="preserve"> 贰 </w:t>
      </w:r>
      <w:r>
        <w:rPr>
          <w:rFonts w:hint="eastAsia" w:ascii="仿宋_GB2312" w:hAnsi="仿宋_GB2312" w:eastAsia="仿宋_GB2312" w:cs="仿宋_GB2312"/>
          <w:color w:val="000000"/>
          <w:sz w:val="28"/>
          <w:szCs w:val="28"/>
        </w:rPr>
        <w:t>份，自双方盖章以及法定代表人或授权代表签字之日起生效。本合同于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日，在杭州萧山国际机场内签订。</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2、若双方在本合同有效期间内发生争议，则协商解决。若无法协商一致，则任何一方均有权向甲方所在的人民法院起诉。</w:t>
      </w:r>
    </w:p>
    <w:p>
      <w:pPr>
        <w:spacing w:line="560" w:lineRule="exact"/>
        <w:ind w:firstLine="420" w:firstLineChars="150"/>
        <w:rPr>
          <w:rFonts w:ascii="仿宋_GB2312" w:hAnsi="仿宋_GB2312" w:eastAsia="仿宋_GB2312" w:cs="仿宋_GB2312"/>
          <w:color w:val="000000"/>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  (公章)                          乙方：  (公章)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              法定代表人或其委托代理人：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p>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通用条款</w:t>
      </w:r>
    </w:p>
    <w:p>
      <w:pPr>
        <w:adjustRightInd w:val="0"/>
        <w:snapToGrid w:val="0"/>
        <w:spacing w:line="560" w:lineRule="exact"/>
        <w:jc w:val="center"/>
        <w:rPr>
          <w:rFonts w:ascii="仿宋_GB2312" w:hAnsi="仿宋_GB2312" w:eastAsia="仿宋_GB2312" w:cs="仿宋_GB2312"/>
          <w:b/>
          <w:sz w:val="28"/>
          <w:szCs w:val="28"/>
        </w:rPr>
      </w:pPr>
    </w:p>
    <w:p>
      <w:pPr>
        <w:pStyle w:val="90"/>
        <w:numPr>
          <w:ilvl w:val="0"/>
          <w:numId w:val="6"/>
        </w:numPr>
        <w:adjustRightInd w:val="0"/>
        <w:snapToGrid w:val="0"/>
        <w:spacing w:line="560" w:lineRule="exact"/>
        <w:ind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服务期限及进度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乙方应当在服务期限内完成所有工作内容。如该服务有进度要求的，应当符合进度要求。</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项目负责人</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各方应指派一名项目负责人作为现场管理、沟通的代表，负责合同履行的各项事宜。</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保险</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3.1乙方从事本项目应当进行的一切保险（包括但不限于对雇员的保险）由乙方自理。并处理与之有关的所有保险索赔及其他一切事项。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3.2乙方应当按甲方要求，出示根据合同要求应当购买的保险的所有保险单或保险证明以及保险费的收据。</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3.3所需的全部保险费均已包含在合同价中，甲方不另行支付。</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4.1乙方提供服务应当符合本合同专用条款及其附件的要求。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4.2服务时间、地点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（1）乙方提供服务的时间应当满足甲方运营需要。所有法定节假日、重大事件及自然灾害等因素均不能作为中断服务的理由。</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（2）根据甲方实际业务需要，甲方有权随时调配乙方工作人员的工作地点。乙方应当听从甲方及其指定人员的指挥，服从命令、执行任务，保证机场安全、正常运行。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4.3人员管理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（1）乙方应当为本项目成立专门的管理机构或配置管理岗管理乙方的工作人员。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（2）乙方应当建立一套完善、全面的管理制度，对乙方工作人员依照管理制度进行管理，乙方制度应当符合甲方相关制度、规则及各项安全规范。</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（3）乙方在进行服务期间，应按照合同要求配发和穿戴劳保防护用品。除合同另有约定外，所有参与本项目的工作人员应统一着装。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4.4培训要求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（1）乙方为本合同服务所配备人员在上岗前进行岗前培训，内容包括但不限于安全、服务要求、设备设施使用、规章制度以及其他与本项目有关的内容。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（2）乙方工作人员应当具备工作技能、达到上岗要求后方能上岗工作。</w:t>
      </w:r>
    </w:p>
    <w:p>
      <w:pPr>
        <w:adjustRightInd w:val="0"/>
        <w:snapToGrid w:val="0"/>
        <w:spacing w:line="560" w:lineRule="exact"/>
        <w:rPr>
          <w:rFonts w:ascii="仿宋_GB2312" w:hAnsi="仿宋_GB2312" w:eastAsia="仿宋_GB2312" w:cs="仿宋_GB2312"/>
          <w:b/>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双方权利和义务</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5.1甲方的权利和义务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（1）在合同期限内，甲方应该向乙方提供必要的与项目有关的资料、文件供乙方使用，乙方在本合同履行完毕后应将上述所有资料、文件等退还甲方。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（2）甲方应在乙方为履行本合同义务而提出合理要求时尽力提供协助。</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（3）甲方应当按时向乙方支付外包服务费。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（5）甲方对乙方执行本合同时所使用的工具、消耗的备品、备件及各类生产物料的品牌、型号、数量等进行审核、监督。</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（6）甲方有权对乙方的工作进行监督管理，检查和具体指导，有权要求乙方更换违反相关法律法规、管理规定、不符合从业资格或不适合在甲方工作的服务人员。甲方对乙方服务质量进行验收、考核；</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（7）因乙方服务人员的工作失误、失职造成甲方财产损失的，甲方有权要求乙方消除影响并赔偿因此造成的经济损失。情节严重的，甲方有权解除合同，不承担任何责任。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（8）甲方尊重乙方服务人员的工作，对乙方服务人员履行职责的行为予以支持、配合；</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5.2乙方的权利和义务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（2）对于国家、地方的法律法规或甲方要求必须持证上岗的岗位，乙方必须按照安排具有相应上岗证的人员上岗工作，严禁无证操作。</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（4）乙方提供的备品、备件及物料均应有合格证和质保书，符合国家规定的技术质量标准和甲方要求。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（8）乙方工作人员必须服从甲方的管理。乙方工作人员开始工作前，应先通告甲方。未经甲方同意，乙方工作人员不得进入甲方限制进入的区域。</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（9）乙方应当采取一切合理措施保护现场附近的环境，以避免引起的污染、噪声和其它因素对公众或公众财产等造成伤害或妨碍。</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（12）乙方应当按照法律法规的规定，安排工作人员休息和休假，为工作人员提供必要的劳动保护和劳动条件。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乙方工作人员的更换及增减</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6.1乙方应保持工作人员稳定。乙方工作人员需调换岗位，需提前书面通知甲方，在不影响服务职能正常实现的情况下，经甲方同意后进行岗位调整。</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（1）严重违反机场运营及甲方规章制度；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（2）严重失职，营私舞弊，对甲方利益造成重大损害的；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（3）被依法追究刑事责任的；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（4）有其他侵害甲方或第三人权益行为的；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（5）有其他造成或险些造成严重后果行为的。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6.3甲方根据机场运营需要，要求乙方增加或减少人员，乙方应予以接受。增加或减少人员的，合同价格根据单价调整。</w:t>
      </w:r>
    </w:p>
    <w:p>
      <w:pPr>
        <w:adjustRightInd w:val="0"/>
        <w:snapToGrid w:val="0"/>
        <w:spacing w:line="560" w:lineRule="exact"/>
        <w:rPr>
          <w:rFonts w:ascii="仿宋_GB2312" w:hAnsi="仿宋_GB2312" w:eastAsia="仿宋_GB2312" w:cs="仿宋_GB2312"/>
          <w:b/>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服务质量验收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7.1甲方将对乙方服务进行监督、检查，记录并验收乙方工作人员的服务质量。甲方对乙方服务填写《验收单》。</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7.2甲方根据乙方服务质量验收结果确定乙方服务水平，核算外包服务费，扣除不达指标的外包服务费或要求乙方承担违约金。</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乙方可以向甲方提出为改进服务质量、效率和安全性方面的变更建议，但最终变更需甲方书面同意。</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结算</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9.1乙方应根据合同约定，向甲方提出结算请求。乙方应当提供结算所需的凭证与资料，以供双方核对。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9.2若甲方要求乙方承担违约责任或向乙方要求索赔，甲方中止结算，待双方确定违约责任及赔偿金额重新结算。</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10.1甲方完成结算且收到乙方提供的发票后按合同约定向乙方支付价款。</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10.2乙方付款申请填写错误或相关材料缺失的，应修正或补充材料后重新提交。</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退场和移交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11.2乙方退场时应当与甲方办理移交手续，将属于甲方的设备、工器具、物料、备品备件、资料、文件等移交甲方或甲方指定的第三方。</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12.1发生以下情形时，视为乙方违约：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（1）乙方未按约定时间提供服务或单方停止履行合同；</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（2）乙方所提供的服务不符合合同要求；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（3）乙方工作人员违反安全法律法规、机场安全守则、甲方相关管理规定以及合同约定的相关规定，导致发生或险些发生安全事故的。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（4）乙方不听从甲方管理，或经甲方指出错误后仍不改正的。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（5）乙方连续两个月考核未达标或当年累计三个月考核未达标。</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（6）乙方侵犯甲方知识产权或违反保密义务的。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（7）乙方将合同范围内的工作内容转包或擅自分包给其他单位或个人，或者与第三方合作。</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（8）乙方发生重大管理及工作失职，受到政府有关部门批评或导致媒体负面报道的。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（9）乙方工作人员发生示威、游行、罢工等行为的。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（10）乙方未按期缴纳或补足履约担保金额的。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（11）乙方未达到合同专用条款对人数的要求的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（12）乙方未按照本合同其它条款履行义务的。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adjustRightInd w:val="0"/>
        <w:snapToGrid w:val="0"/>
        <w:spacing w:line="560" w:lineRule="exact"/>
        <w:rPr>
          <w:rFonts w:ascii="仿宋_GB2312" w:hAnsi="仿宋_GB2312" w:eastAsia="仿宋_GB2312" w:cs="仿宋_GB2312"/>
          <w:sz w:val="28"/>
          <w:szCs w:val="28"/>
        </w:rPr>
      </w:pPr>
    </w:p>
    <w:p>
      <w:pPr>
        <w:pStyle w:val="90"/>
        <w:numPr>
          <w:ilvl w:val="0"/>
          <w:numId w:val="6"/>
        </w:numPr>
        <w:adjustRightInd w:val="0"/>
        <w:snapToGrid w:val="0"/>
        <w:spacing w:line="560" w:lineRule="exact"/>
        <w:ind w:left="0"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13.1本合同约定的所有事项完成或期限届满或者双方协商一致时，双方的合同关系自然终止。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（2）乙方违反保密承诺书；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（3）乙方违反廉洁自律承诺书；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（4）其他专用条款中约定。</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仿宋_GB2312" w:hAnsi="仿宋_GB2312" w:eastAsia="仿宋_GB2312" w:cs="仿宋_GB2312"/>
          <w:sz w:val="28"/>
          <w:szCs w:val="28"/>
        </w:rPr>
        <w:t>质量标志</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，伪造产地，对商品质量作引人误解的虚假表示的；</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（2）产品中掺杂、掺假，以假充真，以次充好，以副厂产品冒充原厂产品的，或者以不合格产品冒充合格产品；</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（3）未经商标注册人许可，在同一种商品上使用与其注册商标相同的商标，伪造、擅自制造他人注册商标标识或者销售伪造、擅自制造的注册商标标识；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（4）其他违反国家相关法律、法规、规定的情形；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（5）其他专用条款中约定。</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13.4甲方可在任何时候提前一个月向乙方发出书面解除合同的通知，从发出之日起第一个月到期日即为解除合同之日。</w:t>
      </w:r>
    </w:p>
    <w:p>
      <w:pPr>
        <w:adjustRightInd w:val="0"/>
        <w:snapToGrid w:val="0"/>
        <w:spacing w:line="560" w:lineRule="exact"/>
        <w:jc w:val="center"/>
        <w:rPr>
          <w:rFonts w:ascii="仿宋_GB2312" w:hAnsi="仿宋_GB2312" w:eastAsia="仿宋_GB2312" w:cs="仿宋_GB2312"/>
          <w:b/>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widowControl/>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br w:type="page"/>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第三部分 专用条款</w:t>
      </w:r>
    </w:p>
    <w:p>
      <w:pPr>
        <w:pStyle w:val="90"/>
        <w:adjustRightInd w:val="0"/>
        <w:snapToGrid w:val="0"/>
        <w:spacing w:line="560" w:lineRule="exact"/>
        <w:ind w:firstLine="0" w:firstLineChars="0"/>
        <w:rPr>
          <w:rFonts w:ascii="仿宋_GB2312" w:hAnsi="仿宋_GB2312" w:eastAsia="仿宋_GB2312" w:cs="仿宋_GB2312"/>
          <w:b/>
          <w:sz w:val="28"/>
          <w:szCs w:val="28"/>
        </w:rPr>
      </w:pP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1.服务期限及进度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1.2服务进度要求：</w:t>
      </w:r>
    </w:p>
    <w:p>
      <w:pPr>
        <w:spacing w:line="360" w:lineRule="auto"/>
        <w:jc w:val="lef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1.2.1每月对T1T2T3航站楼楼宇自控系统及T2T3智能灯光系统进行一次回访。</w:t>
      </w:r>
    </w:p>
    <w:p>
      <w:pPr>
        <w:spacing w:line="360" w:lineRule="auto"/>
        <w:jc w:val="lef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1.2.2每季度对T1T2T3航站楼楼宇自控系统及T2T3智能灯光系统进行一次例行巡检。</w:t>
      </w:r>
    </w:p>
    <w:p>
      <w:pPr>
        <w:spacing w:line="360" w:lineRule="auto"/>
        <w:rPr>
          <w:rFonts w:ascii="仿宋_GB2312" w:hAnsi="仿宋_GB2312" w:eastAsia="仿宋_GB2312" w:cs="仿宋_GB2312"/>
          <w:color w:val="0000FF"/>
          <w:sz w:val="28"/>
          <w:szCs w:val="28"/>
        </w:rPr>
      </w:pPr>
      <w:r>
        <w:rPr>
          <w:rFonts w:hint="eastAsia" w:ascii="宋体" w:hAnsi="宋体" w:cs="宋体"/>
          <w:b/>
          <w:color w:val="FF0000"/>
          <w:sz w:val="24"/>
        </w:rPr>
        <w:t>1.2.3 每年进行一次年度总结，合同期内每年12月15号前提交甲方</w:t>
      </w:r>
    </w:p>
    <w:p>
      <w:pPr>
        <w:spacing w:line="360" w:lineRule="auto"/>
        <w:jc w:val="left"/>
        <w:rPr>
          <w:rFonts w:ascii="仿宋_GB2312" w:hAnsi="仿宋_GB2312" w:eastAsia="仿宋_GB2312" w:cs="仿宋_GB2312"/>
          <w:b/>
          <w:color w:val="0000FF"/>
          <w:sz w:val="28"/>
          <w:szCs w:val="28"/>
        </w:rPr>
      </w:pPr>
      <w:r>
        <w:rPr>
          <w:rFonts w:hint="eastAsia" w:ascii="仿宋_GB2312" w:hAnsi="仿宋_GB2312" w:eastAsia="仿宋_GB2312" w:cs="仿宋_GB2312"/>
          <w:color w:val="0000FF"/>
          <w:sz w:val="28"/>
          <w:szCs w:val="28"/>
        </w:rPr>
        <w:t>1.2.4免费为甲方提供培训，内容涉及有关处理事故障碍方面的知识,专业技术的培训服务，培训内容包括设备运行原理，基本操作和维护保养说明，常见问题应急解决方案，培训为一年一次。</w:t>
      </w: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2.项目负责人</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2.1项目负责人基本信息：</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2.2项目负责人职责：</w:t>
      </w:r>
      <w:r>
        <w:rPr>
          <w:rFonts w:hint="eastAsia" w:ascii="仿宋_GB2312" w:hAnsi="仿宋_GB2312" w:eastAsia="仿宋_GB2312" w:cs="仿宋_GB2312"/>
          <w:sz w:val="28"/>
          <w:szCs w:val="28"/>
          <w:u w:val="single"/>
        </w:rPr>
        <w:t>1、负责拟定维保计划，2、负责与甲方对接沟通，3、组织计划实施，4、负责人员安排调整和培训计划，5、负责维保内容及回访记录复核和年度总结。</w:t>
      </w:r>
    </w:p>
    <w:p>
      <w:pPr>
        <w:pStyle w:val="90"/>
        <w:adjustRightInd w:val="0"/>
        <w:snapToGrid w:val="0"/>
        <w:spacing w:line="560" w:lineRule="exact"/>
        <w:ind w:firstLine="0" w:firstLineChars="0"/>
        <w:rPr>
          <w:rFonts w:ascii="仿宋_GB2312" w:hAnsi="仿宋_GB2312" w:eastAsia="仿宋_GB2312" w:cs="仿宋_GB2312"/>
          <w:sz w:val="28"/>
          <w:szCs w:val="28"/>
        </w:rPr>
      </w:pP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保险</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3.1乙方投保的保险要求与内容：</w:t>
      </w:r>
      <w:r>
        <w:rPr>
          <w:rFonts w:hint="eastAsia" w:ascii="仿宋_GB2312" w:hAnsi="仿宋_GB2312" w:eastAsia="仿宋_GB2312" w:cs="仿宋_GB2312"/>
          <w:color w:val="0000FF"/>
          <w:sz w:val="28"/>
          <w:szCs w:val="28"/>
          <w:u w:val="single"/>
        </w:rPr>
        <w:t xml:space="preserve">     乙方应依照有关法律规定参加工伤保险，为其履行合同所雇佣的全部人员，缴纳工伤保险费。</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3.2乙方向甲方提交保单凭证的时间：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合同签订后1个月内提交。</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3.4其他约定：</w:t>
      </w:r>
      <w:r>
        <w:rPr>
          <w:rFonts w:hint="eastAsia" w:ascii="仿宋_GB2312" w:hAnsi="仿宋_GB2312" w:eastAsia="仿宋_GB2312" w:cs="仿宋_GB2312"/>
          <w:sz w:val="28"/>
          <w:szCs w:val="28"/>
          <w:u w:val="single"/>
        </w:rPr>
        <w:t xml:space="preserve">                        /                            </w:t>
      </w:r>
    </w:p>
    <w:p>
      <w:pPr>
        <w:pStyle w:val="90"/>
        <w:adjustRightInd w:val="0"/>
        <w:snapToGrid w:val="0"/>
        <w:spacing w:line="560" w:lineRule="exact"/>
        <w:ind w:firstLine="0" w:firstLineChars="0"/>
        <w:rPr>
          <w:rFonts w:ascii="仿宋_GB2312" w:hAnsi="仿宋_GB2312" w:eastAsia="仿宋_GB2312" w:cs="仿宋_GB2312"/>
          <w:b/>
          <w:sz w:val="28"/>
          <w:szCs w:val="28"/>
        </w:rPr>
      </w:pP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4.服务要求</w:t>
      </w:r>
    </w:p>
    <w:p>
      <w:pPr>
        <w:adjustRightInd w:val="0"/>
        <w:snapToGrid w:val="0"/>
        <w:spacing w:line="560" w:lineRule="exact"/>
        <w:rPr>
          <w:rFonts w:ascii="仿宋_GB2312" w:hAnsi="仿宋_GB2312" w:eastAsia="仿宋_GB2312" w:cs="仿宋_GB2312"/>
          <w:color w:val="0000FF"/>
          <w:sz w:val="28"/>
          <w:szCs w:val="28"/>
          <w:u w:val="single"/>
        </w:rPr>
      </w:pPr>
      <w:r>
        <w:rPr>
          <w:rFonts w:hint="eastAsia" w:ascii="仿宋_GB2312" w:hAnsi="仿宋_GB2312" w:eastAsia="仿宋_GB2312" w:cs="仿宋_GB2312"/>
          <w:sz w:val="28"/>
          <w:szCs w:val="28"/>
        </w:rPr>
        <w:t xml:space="preserve">4.1乙方提供服务的要求：  </w:t>
      </w:r>
      <w:r>
        <w:rPr>
          <w:rFonts w:hint="eastAsia" w:ascii="仿宋_GB2312" w:hAnsi="仿宋_GB2312" w:eastAsia="仿宋_GB2312" w:cs="仿宋_GB2312"/>
          <w:color w:val="0000FF"/>
          <w:sz w:val="28"/>
          <w:szCs w:val="28"/>
          <w:u w:val="single"/>
        </w:rPr>
        <w:t>T1T2T3航站楼楼宇自控系统及T2T3智能灯光系统设备的咨询服务、常规维护保养、应急抢修等内容。T1T2T3航站楼楼宇自控系统及T2T3智能灯光系统由五套系统组成，分别为：T1楼宇自控系统、T2楼宇自控系统、T3楼宇自控系统、T2智能灯光系统、T3智能灯光系统。</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4.2服务时间要求：  </w:t>
      </w:r>
      <w:r>
        <w:rPr>
          <w:rFonts w:hint="eastAsia" w:ascii="仿宋_GB2312" w:hAnsi="仿宋_GB2312" w:eastAsia="仿宋_GB2312" w:cs="仿宋_GB2312"/>
          <w:color w:val="0000FF"/>
          <w:sz w:val="28"/>
          <w:szCs w:val="28"/>
          <w:u w:val="single"/>
        </w:rPr>
        <w:t xml:space="preserve">乙方承诺工作日的服务时间为上午9:00-下午17:30，法定假日除外。特殊情况下，甲方如需选择在乙方工作时间外提供服务的，乙方须无条件接受并按照本合同的约定提供服务，且乙方不另行计费。 </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4.3人员管理要求：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 xml:space="preserve">甲方根据《维保服务季度考核标准细则》（详见合同附件【6】）对乙方进行考核评分。   </w:t>
      </w:r>
      <w:r>
        <w:rPr>
          <w:rFonts w:hint="eastAsia" w:ascii="仿宋_GB2312" w:hAnsi="仿宋_GB2312" w:eastAsia="仿宋_GB2312" w:cs="仿宋_GB2312"/>
          <w:color w:val="0000FF"/>
          <w:sz w:val="28"/>
          <w:szCs w:val="28"/>
        </w:rPr>
        <w:t xml:space="preserve">   </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4.4培训要求：  </w:t>
      </w:r>
      <w:r>
        <w:rPr>
          <w:rFonts w:hint="eastAsia" w:ascii="仿宋_GB2312" w:hAnsi="仿宋_GB2312" w:eastAsia="仿宋_GB2312" w:cs="仿宋_GB2312"/>
          <w:color w:val="0000FF"/>
          <w:sz w:val="28"/>
          <w:szCs w:val="28"/>
          <w:u w:val="single"/>
        </w:rPr>
        <w:t xml:space="preserve">按照甲方要求进行培训内容调整，培训效果纳入考核。  </w:t>
      </w:r>
      <w:r>
        <w:rPr>
          <w:rFonts w:hint="eastAsia" w:ascii="仿宋_GB2312" w:hAnsi="仿宋_GB2312" w:eastAsia="仿宋_GB2312" w:cs="仿宋_GB2312"/>
          <w:color w:val="0000FF"/>
          <w:sz w:val="28"/>
          <w:szCs w:val="28"/>
        </w:rPr>
        <w:t xml:space="preserve">  </w:t>
      </w:r>
      <w:r>
        <w:rPr>
          <w:rFonts w:hint="eastAsia" w:ascii="仿宋_GB2312" w:hAnsi="仿宋_GB2312" w:eastAsia="仿宋_GB2312" w:cs="仿宋_GB2312"/>
          <w:sz w:val="28"/>
          <w:szCs w:val="28"/>
        </w:rPr>
        <w:t xml:space="preserve">                                             </w:t>
      </w:r>
    </w:p>
    <w:p>
      <w:pPr>
        <w:pStyle w:val="91"/>
        <w:spacing w:line="256" w:lineRule="auto"/>
        <w:ind w:right="765" w:firstLine="0" w:firstLineChars="0"/>
        <w:jc w:val="left"/>
        <w:rPr>
          <w:rFonts w:ascii="仿宋_GB2312" w:hAnsi="仿宋_GB2312" w:eastAsia="仿宋_GB2312" w:cs="仿宋_GB2312"/>
          <w:b/>
          <w:sz w:val="28"/>
          <w:szCs w:val="28"/>
        </w:rPr>
      </w:pPr>
      <w:r>
        <w:rPr>
          <w:rFonts w:hint="eastAsia" w:ascii="仿宋_GB2312" w:hAnsi="仿宋_GB2312" w:eastAsia="仿宋_GB2312" w:cs="仿宋_GB2312"/>
          <w:sz w:val="28"/>
          <w:szCs w:val="28"/>
        </w:rPr>
        <w:t>4.5其他约定：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FF0000"/>
          <w:sz w:val="28"/>
          <w:szCs w:val="28"/>
          <w:u w:val="single"/>
        </w:rPr>
        <w:t>按照甲方业务外包项目合约监管考核指南（试行）执行，详见附件7,如本项目</w:t>
      </w:r>
      <w:r>
        <w:rPr>
          <w:rFonts w:hint="eastAsia" w:ascii="仿宋_GB2312" w:hAnsi="仿宋_GB2312" w:eastAsia="仿宋_GB2312" w:cs="仿宋_GB2312"/>
          <w:color w:val="0000FF"/>
          <w:sz w:val="28"/>
          <w:szCs w:val="28"/>
          <w:u w:val="single"/>
        </w:rPr>
        <w:t>《维保服务季度考核标准细则》</w:t>
      </w:r>
      <w:r>
        <w:rPr>
          <w:rFonts w:hint="eastAsia" w:ascii="仿宋_GB2312" w:hAnsi="仿宋_GB2312" w:eastAsia="仿宋_GB2312" w:cs="仿宋_GB2312"/>
          <w:color w:val="FF0000"/>
          <w:sz w:val="28"/>
          <w:szCs w:val="28"/>
          <w:u w:val="single"/>
        </w:rPr>
        <w:t>与附件7指南有异议，以</w:t>
      </w:r>
      <w:r>
        <w:rPr>
          <w:rFonts w:hint="eastAsia" w:ascii="仿宋_GB2312" w:hAnsi="仿宋_GB2312" w:eastAsia="仿宋_GB2312" w:cs="仿宋_GB2312"/>
          <w:color w:val="0000FF"/>
          <w:sz w:val="28"/>
          <w:szCs w:val="28"/>
          <w:u w:val="single"/>
        </w:rPr>
        <w:t>《维保服务季度考核标准细则》为准，详见附件6</w:t>
      </w:r>
      <w:r>
        <w:rPr>
          <w:rFonts w:hint="eastAsia" w:ascii="仿宋_GB2312" w:hAnsi="仿宋_GB2312" w:eastAsia="仿宋_GB2312" w:cs="仿宋_GB2312"/>
          <w:color w:val="FF0000"/>
          <w:sz w:val="28"/>
          <w:szCs w:val="28"/>
          <w:u w:val="single"/>
        </w:rPr>
        <w:t>。</w:t>
      </w:r>
    </w:p>
    <w:p>
      <w:pPr>
        <w:pStyle w:val="90"/>
        <w:adjustRightInd w:val="0"/>
        <w:snapToGrid w:val="0"/>
        <w:spacing w:line="560" w:lineRule="exact"/>
        <w:ind w:firstLine="0" w:firstLineChars="0"/>
        <w:rPr>
          <w:rFonts w:ascii="仿宋_GB2312" w:hAnsi="仿宋_GB2312" w:eastAsia="仿宋_GB2312" w:cs="仿宋_GB2312"/>
          <w:b/>
          <w:color w:val="0000FF"/>
          <w:sz w:val="28"/>
          <w:szCs w:val="28"/>
        </w:rPr>
      </w:pPr>
      <w:r>
        <w:rPr>
          <w:rFonts w:hint="eastAsia" w:ascii="仿宋_GB2312" w:hAnsi="仿宋_GB2312" w:eastAsia="仿宋_GB2312" w:cs="仿宋_GB2312"/>
          <w:b/>
          <w:color w:val="0000FF"/>
          <w:sz w:val="28"/>
          <w:szCs w:val="28"/>
        </w:rPr>
        <w:t>5.双方权利和义务</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5.1甲方的权利和义务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除通用条款约定外，其他约定：</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5.1.1设备因长期运行使用引起磨损等而需要更换或修理的配件，其费用应由甲方承担。</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5.1.2凡因甲方使用不当导致设备需要清理维护及更换零部件，其费用应由甲方承担。</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5.1.3设备发生任何故障或意外，甲方应立即向乙方提供情况。</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 xml:space="preserve">5.1.4负责设备日常管理，对乙方的服务质量和服务项目进行考查和确认。   </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5.1.5维护时给予乙方合理充分的时间并协助设置乙方提供现场安全警示标志。</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5.1.6更换后的配件产权归甲方所有。</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5.1.7服务期限内，第三方若对本合同设备实施改造、修理、装饰、更换的，应在实施前书面通知乙方。在工程结束时通知乙方对设备进行检查。因工程实施而影响设备性能所产生的后果由甲方自理，工程施工期间，若乙方不进行相应设备维保的，甲方有权扣除乙方相应维保设备的服务费用。</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5.1.8甲方有权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并要求乙方承担合同总服务费10%的违约金。</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5.1.9乙方不在约定期限内派人维修保养或维修保养质量验收不合格的，甲方可以委托他人修理，费用由乙方承担，甲方与第三方确认后可直接从季度维保费中扣除。</w:t>
      </w:r>
    </w:p>
    <w:p>
      <w:pPr>
        <w:adjustRightInd w:val="0"/>
        <w:snapToGrid w:val="0"/>
        <w:spacing w:line="560" w:lineRule="exact"/>
        <w:rPr>
          <w:rFonts w:ascii="仿宋_GB2312" w:hAnsi="仿宋_GB2312" w:eastAsia="仿宋_GB2312" w:cs="仿宋_GB2312"/>
          <w:color w:val="0000FF"/>
          <w:sz w:val="28"/>
          <w:szCs w:val="28"/>
        </w:rPr>
      </w:pPr>
    </w:p>
    <w:p>
      <w:pPr>
        <w:adjustRightInd w:val="0"/>
        <w:snapToGrid w:val="0"/>
        <w:spacing w:line="560" w:lineRule="exact"/>
        <w:rPr>
          <w:rFonts w:ascii="仿宋_GB2312" w:hAnsi="仿宋_GB2312" w:eastAsia="仿宋_GB2312" w:cs="仿宋_GB2312"/>
          <w:color w:val="0000FF"/>
          <w:sz w:val="28"/>
          <w:szCs w:val="28"/>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5.2乙方的权利和义务</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除通用条款约定外，其他约定：</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5.2.1 乙方的技术人员将对甲方楼宇自控及智能照明系统进行日常维保及故障应急抢修，以确保设备的正常运行。维保内容包括但不限于以下项目：</w:t>
      </w:r>
    </w:p>
    <w:p>
      <w:pPr>
        <w:numPr>
          <w:ilvl w:val="0"/>
          <w:numId w:val="7"/>
        </w:numPr>
        <w:adjustRightInd w:val="0"/>
        <w:snapToGrid w:val="0"/>
        <w:spacing w:line="560" w:lineRule="exact"/>
        <w:rPr>
          <w:rFonts w:ascii="宋体" w:hAnsi="宋体" w:cs="宋体"/>
          <w:b/>
          <w:color w:val="FF0000"/>
          <w:sz w:val="24"/>
        </w:rPr>
      </w:pPr>
      <w:r>
        <w:rPr>
          <w:rFonts w:hint="eastAsia" w:ascii="宋体" w:hAnsi="宋体" w:cs="宋体"/>
          <w:b/>
          <w:color w:val="FF0000"/>
          <w:sz w:val="24"/>
        </w:rPr>
        <w:t xml:space="preserve"> 每月进行一次工作回访，并填写回访单，双方签字确认，附件七</w:t>
      </w:r>
    </w:p>
    <w:p>
      <w:pPr>
        <w:spacing w:line="360" w:lineRule="auto"/>
        <w:rPr>
          <w:rFonts w:ascii="宋体" w:hAnsi="宋体" w:cs="宋体"/>
          <w:b/>
          <w:color w:val="FF0000"/>
          <w:sz w:val="24"/>
        </w:rPr>
      </w:pPr>
      <w:r>
        <w:rPr>
          <w:rFonts w:hint="eastAsia" w:ascii="宋体" w:hAnsi="宋体" w:cs="宋体"/>
          <w:b/>
          <w:color w:val="FF0000"/>
          <w:sz w:val="24"/>
        </w:rPr>
        <w:t xml:space="preserve">    回访内容包括：及时处理当月发生的故障维修和系统优化，回访时间由乙方提交回访计划，经甲方同意后实施。</w:t>
      </w:r>
    </w:p>
    <w:p>
      <w:pPr>
        <w:numPr>
          <w:ilvl w:val="0"/>
          <w:numId w:val="7"/>
        </w:numPr>
        <w:adjustRightInd w:val="0"/>
        <w:snapToGrid w:val="0"/>
        <w:spacing w:line="560" w:lineRule="exact"/>
        <w:rPr>
          <w:rFonts w:ascii="宋体" w:hAnsi="宋体" w:cs="宋体"/>
          <w:b/>
          <w:color w:val="FF0000"/>
          <w:sz w:val="24"/>
        </w:rPr>
      </w:pPr>
      <w:r>
        <w:rPr>
          <w:rFonts w:hint="eastAsia" w:ascii="宋体" w:hAnsi="宋体" w:cs="宋体"/>
          <w:b/>
          <w:color w:val="FF0000"/>
          <w:sz w:val="24"/>
        </w:rPr>
        <w:t>每季度进行一次巡检，并填写巡检单，双方签字确认</w:t>
      </w:r>
    </w:p>
    <w:p>
      <w:pPr>
        <w:spacing w:line="360" w:lineRule="auto"/>
        <w:rPr>
          <w:rFonts w:ascii="宋体" w:hAnsi="宋体" w:cs="宋体"/>
          <w:b/>
          <w:color w:val="FF0000"/>
          <w:sz w:val="24"/>
        </w:rPr>
      </w:pPr>
      <w:r>
        <w:rPr>
          <w:rFonts w:hint="eastAsia" w:ascii="宋体" w:hAnsi="宋体" w:cs="宋体"/>
          <w:b/>
          <w:color w:val="FF0000"/>
          <w:sz w:val="24"/>
        </w:rPr>
        <w:t xml:space="preserve">   回访时间由乙方提交回访计划，经甲方同意后实施。</w:t>
      </w:r>
    </w:p>
    <w:p>
      <w:pPr>
        <w:adjustRightInd w:val="0"/>
        <w:snapToGrid w:val="0"/>
        <w:spacing w:line="560" w:lineRule="exact"/>
        <w:rPr>
          <w:rFonts w:ascii="宋体" w:hAnsi="宋体" w:cs="宋体"/>
          <w:b/>
          <w:color w:val="FF0000"/>
          <w:sz w:val="24"/>
        </w:rPr>
      </w:pPr>
      <w:r>
        <w:rPr>
          <w:rFonts w:hint="eastAsia" w:ascii="宋体" w:hAnsi="宋体" w:cs="宋体"/>
          <w:b/>
          <w:color w:val="FF0000"/>
          <w:sz w:val="24"/>
        </w:rPr>
        <w:t>巡检内容包括：</w:t>
      </w:r>
    </w:p>
    <w:p>
      <w:pPr>
        <w:spacing w:line="360" w:lineRule="auto"/>
        <w:ind w:left="480"/>
        <w:rPr>
          <w:rFonts w:ascii="宋体" w:hAnsi="宋体" w:cs="宋体"/>
          <w:bCs/>
          <w:sz w:val="24"/>
        </w:rPr>
      </w:pPr>
      <w:r>
        <w:rPr>
          <w:rFonts w:hint="eastAsia" w:ascii="宋体" w:hAnsi="宋体" w:cs="宋体"/>
          <w:bCs/>
          <w:sz w:val="24"/>
        </w:rPr>
        <w:t>1)楼宇自控及智能照明系统基本功能测试</w:t>
      </w:r>
    </w:p>
    <w:p>
      <w:pPr>
        <w:spacing w:line="360" w:lineRule="auto"/>
        <w:ind w:left="480"/>
        <w:rPr>
          <w:rFonts w:ascii="宋体" w:hAnsi="宋体" w:cs="宋体"/>
          <w:bCs/>
          <w:sz w:val="24"/>
        </w:rPr>
      </w:pPr>
      <w:r>
        <w:rPr>
          <w:rFonts w:hint="eastAsia" w:ascii="宋体" w:hAnsi="宋体" w:cs="宋体"/>
          <w:bCs/>
          <w:sz w:val="24"/>
        </w:rPr>
        <w:t>2)冷热空调工况测试及调整</w:t>
      </w:r>
    </w:p>
    <w:p>
      <w:pPr>
        <w:spacing w:line="360" w:lineRule="auto"/>
        <w:ind w:left="480"/>
        <w:rPr>
          <w:rFonts w:ascii="宋体" w:hAnsi="宋体" w:cs="宋体"/>
          <w:bCs/>
          <w:sz w:val="24"/>
        </w:rPr>
      </w:pPr>
      <w:r>
        <w:rPr>
          <w:rFonts w:hint="eastAsia" w:ascii="宋体" w:hAnsi="宋体" w:cs="宋体"/>
          <w:bCs/>
          <w:sz w:val="24"/>
        </w:rPr>
        <w:t>3)各设备状况检查与诊断</w:t>
      </w:r>
    </w:p>
    <w:p>
      <w:pPr>
        <w:spacing w:line="360" w:lineRule="auto"/>
        <w:ind w:left="480"/>
        <w:rPr>
          <w:rFonts w:ascii="宋体" w:hAnsi="宋体" w:cs="宋体"/>
          <w:bCs/>
          <w:sz w:val="24"/>
        </w:rPr>
      </w:pPr>
      <w:r>
        <w:rPr>
          <w:rFonts w:hint="eastAsia" w:ascii="宋体" w:hAnsi="宋体" w:cs="宋体"/>
          <w:bCs/>
          <w:sz w:val="24"/>
        </w:rPr>
        <w:t>4)检查与确认系统有无异常情况</w:t>
      </w:r>
    </w:p>
    <w:p>
      <w:pPr>
        <w:spacing w:line="360" w:lineRule="auto"/>
        <w:ind w:left="480"/>
        <w:rPr>
          <w:rFonts w:ascii="宋体" w:hAnsi="宋体" w:cs="宋体"/>
          <w:bCs/>
          <w:sz w:val="24"/>
        </w:rPr>
      </w:pPr>
      <w:r>
        <w:rPr>
          <w:rFonts w:hint="eastAsia" w:ascii="宋体" w:hAnsi="宋体" w:cs="宋体"/>
          <w:bCs/>
          <w:sz w:val="24"/>
        </w:rPr>
        <w:t>5)硬件性能测试及保养</w:t>
      </w:r>
    </w:p>
    <w:p>
      <w:pPr>
        <w:spacing w:line="360" w:lineRule="auto"/>
        <w:ind w:left="480"/>
        <w:rPr>
          <w:rFonts w:ascii="宋体" w:hAnsi="宋体" w:cs="宋体"/>
          <w:bCs/>
          <w:sz w:val="24"/>
        </w:rPr>
      </w:pPr>
      <w:r>
        <w:rPr>
          <w:rFonts w:hint="eastAsia" w:ascii="宋体" w:hAnsi="宋体" w:cs="宋体"/>
          <w:bCs/>
          <w:sz w:val="24"/>
        </w:rPr>
        <w:t>6)主要维护内容如下：</w:t>
      </w:r>
    </w:p>
    <w:p>
      <w:pPr>
        <w:spacing w:line="360" w:lineRule="auto"/>
        <w:ind w:left="480"/>
        <w:rPr>
          <w:rFonts w:ascii="宋体" w:hAnsi="宋体" w:cs="宋体"/>
          <w:bCs/>
          <w:sz w:val="24"/>
        </w:rPr>
      </w:pPr>
      <w:r>
        <w:rPr>
          <w:rFonts w:hint="eastAsia" w:ascii="宋体" w:hAnsi="宋体" w:cs="宋体"/>
          <w:bCs/>
          <w:sz w:val="24"/>
        </w:rPr>
        <w:t>i.中央站服务器、工作站计算机：</w:t>
      </w:r>
    </w:p>
    <w:p>
      <w:pPr>
        <w:spacing w:line="360" w:lineRule="auto"/>
        <w:ind w:left="480"/>
        <w:rPr>
          <w:rFonts w:ascii="宋体" w:hAnsi="宋体" w:cs="宋体"/>
          <w:bCs/>
          <w:sz w:val="24"/>
        </w:rPr>
      </w:pPr>
      <w:r>
        <w:rPr>
          <w:rFonts w:hint="eastAsia" w:ascii="宋体" w:hAnsi="宋体" w:cs="宋体"/>
          <w:bCs/>
          <w:sz w:val="24"/>
        </w:rPr>
        <w:t>-检查计算机外观是否良好</w:t>
      </w:r>
    </w:p>
    <w:p>
      <w:pPr>
        <w:spacing w:line="360" w:lineRule="auto"/>
        <w:ind w:left="480"/>
        <w:rPr>
          <w:rFonts w:ascii="宋体" w:hAnsi="宋体" w:cs="宋体"/>
          <w:bCs/>
          <w:sz w:val="24"/>
        </w:rPr>
      </w:pPr>
      <w:r>
        <w:rPr>
          <w:rFonts w:hint="eastAsia" w:ascii="宋体" w:hAnsi="宋体" w:cs="宋体"/>
          <w:bCs/>
          <w:sz w:val="24"/>
        </w:rPr>
        <w:t>-检查计算机供电电源是否良好</w:t>
      </w:r>
    </w:p>
    <w:p>
      <w:pPr>
        <w:spacing w:line="360" w:lineRule="auto"/>
        <w:ind w:left="480"/>
        <w:rPr>
          <w:rFonts w:ascii="宋体" w:hAnsi="宋体" w:cs="宋体"/>
          <w:bCs/>
          <w:sz w:val="24"/>
        </w:rPr>
      </w:pPr>
      <w:r>
        <w:rPr>
          <w:rFonts w:hint="eastAsia" w:ascii="宋体" w:hAnsi="宋体" w:cs="宋体"/>
          <w:bCs/>
          <w:sz w:val="24"/>
        </w:rPr>
        <w:t>-检查监视器、鼠标、键盘等外设是否工作正常</w:t>
      </w:r>
    </w:p>
    <w:p>
      <w:pPr>
        <w:spacing w:line="360" w:lineRule="auto"/>
        <w:ind w:left="480"/>
        <w:rPr>
          <w:rFonts w:ascii="宋体" w:hAnsi="宋体" w:cs="宋体"/>
          <w:bCs/>
          <w:sz w:val="24"/>
        </w:rPr>
      </w:pPr>
      <w:r>
        <w:rPr>
          <w:rFonts w:hint="eastAsia" w:ascii="宋体" w:hAnsi="宋体" w:cs="宋体"/>
          <w:bCs/>
          <w:sz w:val="24"/>
        </w:rPr>
        <w:t>-检查计算机主板清洁状态及工作是否正常</w:t>
      </w:r>
    </w:p>
    <w:p>
      <w:pPr>
        <w:spacing w:line="360" w:lineRule="auto"/>
        <w:ind w:left="480"/>
        <w:rPr>
          <w:rFonts w:ascii="宋体" w:hAnsi="宋体" w:cs="宋体"/>
          <w:bCs/>
          <w:sz w:val="24"/>
        </w:rPr>
      </w:pPr>
      <w:r>
        <w:rPr>
          <w:rFonts w:hint="eastAsia" w:ascii="宋体" w:hAnsi="宋体" w:cs="宋体"/>
          <w:bCs/>
          <w:sz w:val="24"/>
        </w:rPr>
        <w:t>-检查计算机操作系统是否正常</w:t>
      </w:r>
    </w:p>
    <w:p>
      <w:pPr>
        <w:spacing w:line="360" w:lineRule="auto"/>
        <w:ind w:left="480"/>
        <w:rPr>
          <w:rFonts w:ascii="宋体" w:hAnsi="宋体" w:cs="宋体"/>
          <w:bCs/>
          <w:sz w:val="24"/>
        </w:rPr>
      </w:pPr>
      <w:r>
        <w:rPr>
          <w:rFonts w:hint="eastAsia" w:ascii="宋体" w:hAnsi="宋体" w:cs="宋体"/>
          <w:bCs/>
          <w:sz w:val="24"/>
        </w:rPr>
        <w:t>-检查计算机网络交换机、通讯接口是否正常</w:t>
      </w:r>
    </w:p>
    <w:p>
      <w:pPr>
        <w:spacing w:line="360" w:lineRule="auto"/>
        <w:ind w:left="480"/>
        <w:rPr>
          <w:rFonts w:ascii="宋体" w:hAnsi="宋体" w:cs="宋体"/>
          <w:bCs/>
          <w:sz w:val="24"/>
        </w:rPr>
      </w:pPr>
      <w:r>
        <w:rPr>
          <w:rFonts w:hint="eastAsia" w:ascii="宋体" w:hAnsi="宋体" w:cs="宋体"/>
          <w:bCs/>
          <w:sz w:val="24"/>
        </w:rPr>
        <w:t>-检查系统总线网络线路的连接状态是否正常</w:t>
      </w:r>
    </w:p>
    <w:p>
      <w:pPr>
        <w:spacing w:line="360" w:lineRule="auto"/>
        <w:ind w:left="480"/>
        <w:rPr>
          <w:rFonts w:ascii="宋体" w:hAnsi="宋体" w:cs="宋体"/>
          <w:bCs/>
          <w:sz w:val="24"/>
        </w:rPr>
      </w:pPr>
      <w:r>
        <w:rPr>
          <w:rFonts w:hint="eastAsia" w:ascii="宋体" w:hAnsi="宋体" w:cs="宋体"/>
          <w:bCs/>
          <w:sz w:val="24"/>
        </w:rPr>
        <w:t>ii.中央站系统软件：</w:t>
      </w:r>
    </w:p>
    <w:p>
      <w:pPr>
        <w:spacing w:line="360" w:lineRule="auto"/>
        <w:ind w:left="480"/>
        <w:rPr>
          <w:rFonts w:ascii="宋体" w:hAnsi="宋体" w:cs="宋体"/>
          <w:bCs/>
          <w:sz w:val="24"/>
        </w:rPr>
      </w:pPr>
      <w:r>
        <w:rPr>
          <w:rFonts w:hint="eastAsia" w:ascii="宋体" w:hAnsi="宋体" w:cs="宋体"/>
          <w:bCs/>
          <w:sz w:val="24"/>
        </w:rPr>
        <w:t>-检查服务器软件是否正常、冗余功能及数据库是否运行正常</w:t>
      </w:r>
    </w:p>
    <w:p>
      <w:pPr>
        <w:spacing w:line="360" w:lineRule="auto"/>
        <w:ind w:left="480"/>
        <w:rPr>
          <w:rFonts w:ascii="宋体" w:hAnsi="宋体" w:cs="宋体"/>
          <w:bCs/>
          <w:sz w:val="24"/>
        </w:rPr>
      </w:pPr>
      <w:r>
        <w:rPr>
          <w:rFonts w:hint="eastAsia" w:ascii="宋体" w:hAnsi="宋体" w:cs="宋体"/>
          <w:bCs/>
          <w:sz w:val="24"/>
        </w:rPr>
        <w:t>-检查工作站系统软件操作、显示、报警、记录等功能是否正常</w:t>
      </w:r>
    </w:p>
    <w:p>
      <w:pPr>
        <w:spacing w:line="360" w:lineRule="auto"/>
        <w:ind w:left="480"/>
        <w:rPr>
          <w:rFonts w:ascii="宋体" w:hAnsi="宋体" w:cs="宋体"/>
          <w:bCs/>
          <w:sz w:val="24"/>
        </w:rPr>
      </w:pPr>
      <w:r>
        <w:rPr>
          <w:rFonts w:hint="eastAsia" w:ascii="宋体" w:hAnsi="宋体" w:cs="宋体"/>
          <w:bCs/>
          <w:sz w:val="24"/>
        </w:rPr>
        <w:t>-检查系统各图形界面是否切换正常，显示数据是否完整</w:t>
      </w:r>
    </w:p>
    <w:p>
      <w:pPr>
        <w:spacing w:line="360" w:lineRule="auto"/>
        <w:ind w:left="480"/>
        <w:rPr>
          <w:rFonts w:ascii="宋体" w:hAnsi="宋体" w:cs="宋体"/>
          <w:bCs/>
          <w:sz w:val="24"/>
        </w:rPr>
      </w:pPr>
      <w:r>
        <w:rPr>
          <w:rFonts w:hint="eastAsia" w:ascii="宋体" w:hAnsi="宋体" w:cs="宋体"/>
          <w:bCs/>
          <w:sz w:val="24"/>
        </w:rPr>
        <w:t>-检查各系统数据显示是否正常</w:t>
      </w:r>
    </w:p>
    <w:p>
      <w:pPr>
        <w:spacing w:line="360" w:lineRule="auto"/>
        <w:ind w:left="480"/>
        <w:rPr>
          <w:rFonts w:ascii="宋体" w:hAnsi="宋体" w:cs="宋体"/>
          <w:bCs/>
          <w:sz w:val="24"/>
        </w:rPr>
      </w:pPr>
      <w:r>
        <w:rPr>
          <w:rFonts w:hint="eastAsia" w:ascii="宋体" w:hAnsi="宋体" w:cs="宋体"/>
          <w:bCs/>
          <w:sz w:val="24"/>
        </w:rPr>
        <w:t>-检查系统远程控制功能是否正常</w:t>
      </w:r>
    </w:p>
    <w:p>
      <w:pPr>
        <w:spacing w:line="360" w:lineRule="auto"/>
        <w:ind w:left="480"/>
        <w:rPr>
          <w:rFonts w:ascii="宋体" w:hAnsi="宋体" w:cs="宋体"/>
          <w:bCs/>
          <w:sz w:val="24"/>
        </w:rPr>
      </w:pPr>
      <w:r>
        <w:rPr>
          <w:rFonts w:hint="eastAsia" w:ascii="宋体" w:hAnsi="宋体" w:cs="宋体"/>
          <w:bCs/>
          <w:sz w:val="24"/>
        </w:rPr>
        <w:t>-对系统数据进行备份</w:t>
      </w:r>
    </w:p>
    <w:p>
      <w:pPr>
        <w:spacing w:line="360" w:lineRule="auto"/>
        <w:ind w:left="480"/>
        <w:rPr>
          <w:rFonts w:ascii="宋体" w:hAnsi="宋体" w:cs="宋体"/>
          <w:bCs/>
          <w:sz w:val="24"/>
        </w:rPr>
      </w:pPr>
      <w:r>
        <w:rPr>
          <w:rFonts w:hint="eastAsia" w:ascii="宋体" w:hAnsi="宋体" w:cs="宋体"/>
          <w:bCs/>
          <w:sz w:val="24"/>
        </w:rPr>
        <w:t>iii.DDC（直接数字控制器）</w:t>
      </w:r>
    </w:p>
    <w:p>
      <w:pPr>
        <w:spacing w:line="360" w:lineRule="auto"/>
        <w:ind w:left="480"/>
        <w:rPr>
          <w:rFonts w:ascii="宋体" w:hAnsi="宋体" w:cs="宋体"/>
          <w:bCs/>
          <w:sz w:val="24"/>
        </w:rPr>
      </w:pPr>
      <w:r>
        <w:rPr>
          <w:rFonts w:hint="eastAsia" w:ascii="宋体" w:hAnsi="宋体" w:cs="宋体"/>
          <w:bCs/>
          <w:sz w:val="24"/>
        </w:rPr>
        <w:t>-检查DDC控制柜及DDC外观、内外环境是否正常</w:t>
      </w:r>
    </w:p>
    <w:p>
      <w:pPr>
        <w:spacing w:line="360" w:lineRule="auto"/>
        <w:ind w:left="480"/>
        <w:rPr>
          <w:rFonts w:ascii="宋体" w:hAnsi="宋体" w:cs="宋体"/>
          <w:bCs/>
          <w:sz w:val="24"/>
        </w:rPr>
      </w:pPr>
      <w:r>
        <w:rPr>
          <w:rFonts w:hint="eastAsia" w:ascii="宋体" w:hAnsi="宋体" w:cs="宋体"/>
          <w:bCs/>
          <w:sz w:val="24"/>
        </w:rPr>
        <w:t>-检查DDC柜内各端子、线路连接状态</w:t>
      </w:r>
    </w:p>
    <w:p>
      <w:pPr>
        <w:spacing w:line="360" w:lineRule="auto"/>
        <w:ind w:left="480"/>
        <w:rPr>
          <w:rFonts w:ascii="宋体" w:hAnsi="宋体" w:cs="宋体"/>
          <w:bCs/>
          <w:sz w:val="24"/>
        </w:rPr>
      </w:pPr>
      <w:r>
        <w:rPr>
          <w:rFonts w:hint="eastAsia" w:ascii="宋体" w:hAnsi="宋体" w:cs="宋体"/>
          <w:bCs/>
          <w:sz w:val="24"/>
        </w:rPr>
        <w:t>-检查各DDC模块安装状态及LED灯状态，用手操器或笔记本检查内部软件运行状态</w:t>
      </w:r>
    </w:p>
    <w:p>
      <w:pPr>
        <w:spacing w:line="360" w:lineRule="auto"/>
        <w:ind w:left="480"/>
        <w:rPr>
          <w:rFonts w:ascii="宋体" w:hAnsi="宋体" w:cs="宋体"/>
          <w:bCs/>
          <w:sz w:val="24"/>
        </w:rPr>
      </w:pPr>
      <w:r>
        <w:rPr>
          <w:rFonts w:hint="eastAsia" w:ascii="宋体" w:hAnsi="宋体" w:cs="宋体"/>
          <w:bCs/>
          <w:sz w:val="24"/>
        </w:rPr>
        <w:t>-检查DDC输入电源、直流电源电压、存储器保护用蓄电池电源状态</w:t>
      </w:r>
    </w:p>
    <w:p>
      <w:pPr>
        <w:spacing w:line="360" w:lineRule="auto"/>
        <w:ind w:left="480"/>
        <w:rPr>
          <w:rFonts w:ascii="宋体" w:hAnsi="宋体" w:cs="宋体"/>
          <w:bCs/>
          <w:sz w:val="24"/>
        </w:rPr>
      </w:pPr>
      <w:r>
        <w:rPr>
          <w:rFonts w:hint="eastAsia" w:ascii="宋体" w:hAnsi="宋体" w:cs="宋体"/>
          <w:bCs/>
          <w:sz w:val="24"/>
        </w:rPr>
        <w:t>-检查各DDC受控设备状态，各传感器、执行器数据状态</w:t>
      </w:r>
    </w:p>
    <w:p>
      <w:pPr>
        <w:spacing w:line="360" w:lineRule="auto"/>
        <w:ind w:left="480"/>
        <w:rPr>
          <w:rFonts w:ascii="宋体" w:hAnsi="宋体" w:cs="宋体"/>
          <w:bCs/>
          <w:sz w:val="24"/>
        </w:rPr>
      </w:pPr>
      <w:r>
        <w:rPr>
          <w:rFonts w:hint="eastAsia" w:ascii="宋体" w:hAnsi="宋体" w:cs="宋体"/>
          <w:bCs/>
          <w:sz w:val="24"/>
        </w:rPr>
        <w:t>iv.现场传感器（温湿度传感器、空气压差开关、空气质量传感器等）</w:t>
      </w:r>
    </w:p>
    <w:p>
      <w:pPr>
        <w:spacing w:line="360" w:lineRule="auto"/>
        <w:ind w:left="480"/>
        <w:rPr>
          <w:rFonts w:ascii="宋体" w:hAnsi="宋体" w:cs="宋体"/>
          <w:bCs/>
          <w:sz w:val="24"/>
        </w:rPr>
      </w:pPr>
      <w:r>
        <w:rPr>
          <w:rFonts w:hint="eastAsia" w:ascii="宋体" w:hAnsi="宋体" w:cs="宋体"/>
          <w:bCs/>
          <w:sz w:val="24"/>
        </w:rPr>
        <w:t>-检查各传感器外观及内外环境是否正常</w:t>
      </w:r>
    </w:p>
    <w:p>
      <w:pPr>
        <w:spacing w:line="360" w:lineRule="auto"/>
        <w:ind w:left="480"/>
        <w:rPr>
          <w:rFonts w:ascii="宋体" w:hAnsi="宋体" w:cs="宋体"/>
          <w:bCs/>
          <w:sz w:val="24"/>
        </w:rPr>
      </w:pPr>
      <w:r>
        <w:rPr>
          <w:rFonts w:hint="eastAsia" w:ascii="宋体" w:hAnsi="宋体" w:cs="宋体"/>
          <w:bCs/>
          <w:sz w:val="24"/>
        </w:rPr>
        <w:t>-检查各传感器接线端子、线路连接状态</w:t>
      </w:r>
    </w:p>
    <w:p>
      <w:pPr>
        <w:spacing w:line="360" w:lineRule="auto"/>
        <w:ind w:left="480"/>
        <w:rPr>
          <w:rFonts w:ascii="宋体" w:hAnsi="宋体" w:cs="宋体"/>
          <w:bCs/>
          <w:sz w:val="24"/>
        </w:rPr>
      </w:pPr>
      <w:r>
        <w:rPr>
          <w:rFonts w:hint="eastAsia" w:ascii="宋体" w:hAnsi="宋体" w:cs="宋体"/>
          <w:bCs/>
          <w:sz w:val="24"/>
        </w:rPr>
        <w:t>-检查传感器输入电源、直流电源的电压是否正常</w:t>
      </w:r>
    </w:p>
    <w:p>
      <w:pPr>
        <w:spacing w:line="360" w:lineRule="auto"/>
        <w:ind w:left="480"/>
        <w:rPr>
          <w:rFonts w:ascii="宋体" w:hAnsi="宋体" w:cs="宋体"/>
          <w:bCs/>
          <w:sz w:val="24"/>
        </w:rPr>
      </w:pPr>
      <w:r>
        <w:rPr>
          <w:rFonts w:hint="eastAsia" w:ascii="宋体" w:hAnsi="宋体" w:cs="宋体"/>
          <w:bCs/>
          <w:sz w:val="24"/>
        </w:rPr>
        <w:t>-检查各传感器输出信号状态及测量 数据状态</w:t>
      </w:r>
    </w:p>
    <w:p>
      <w:pPr>
        <w:spacing w:line="360" w:lineRule="auto"/>
        <w:ind w:left="480"/>
        <w:rPr>
          <w:rFonts w:ascii="宋体" w:hAnsi="宋体" w:cs="宋体"/>
          <w:bCs/>
          <w:sz w:val="24"/>
        </w:rPr>
      </w:pPr>
      <w:r>
        <w:rPr>
          <w:rFonts w:hint="eastAsia" w:ascii="宋体" w:hAnsi="宋体" w:cs="宋体"/>
          <w:bCs/>
          <w:sz w:val="24"/>
        </w:rPr>
        <w:t>v.现场执行器（水阀执行器、风阀执行器等）</w:t>
      </w:r>
    </w:p>
    <w:p>
      <w:pPr>
        <w:spacing w:line="360" w:lineRule="auto"/>
        <w:ind w:left="480"/>
        <w:rPr>
          <w:rFonts w:ascii="宋体" w:hAnsi="宋体" w:cs="宋体"/>
          <w:bCs/>
          <w:sz w:val="24"/>
        </w:rPr>
      </w:pPr>
      <w:r>
        <w:rPr>
          <w:rFonts w:hint="eastAsia" w:ascii="宋体" w:hAnsi="宋体" w:cs="宋体"/>
          <w:bCs/>
          <w:sz w:val="24"/>
        </w:rPr>
        <w:t>-检查各执行器外观及内外环境是否正常</w:t>
      </w:r>
    </w:p>
    <w:p>
      <w:pPr>
        <w:spacing w:line="360" w:lineRule="auto"/>
        <w:ind w:left="480"/>
        <w:rPr>
          <w:rFonts w:ascii="宋体" w:hAnsi="宋体" w:cs="宋体"/>
          <w:bCs/>
          <w:sz w:val="24"/>
        </w:rPr>
      </w:pPr>
      <w:r>
        <w:rPr>
          <w:rFonts w:hint="eastAsia" w:ascii="宋体" w:hAnsi="宋体" w:cs="宋体"/>
          <w:bCs/>
          <w:sz w:val="24"/>
        </w:rPr>
        <w:t>-检查各执行器接线端子、线路连接状态</w:t>
      </w:r>
    </w:p>
    <w:p>
      <w:pPr>
        <w:spacing w:line="360" w:lineRule="auto"/>
        <w:ind w:left="480"/>
        <w:rPr>
          <w:rFonts w:ascii="宋体" w:hAnsi="宋体" w:cs="宋体"/>
          <w:bCs/>
          <w:sz w:val="24"/>
        </w:rPr>
      </w:pPr>
      <w:r>
        <w:rPr>
          <w:rFonts w:hint="eastAsia" w:ascii="宋体" w:hAnsi="宋体" w:cs="宋体"/>
          <w:bCs/>
          <w:sz w:val="24"/>
        </w:rPr>
        <w:t>-检查各执行器输入电源、直流信号的电压是否正常</w:t>
      </w:r>
    </w:p>
    <w:p>
      <w:pPr>
        <w:spacing w:line="360" w:lineRule="auto"/>
        <w:ind w:left="480"/>
        <w:rPr>
          <w:rFonts w:ascii="宋体" w:hAnsi="宋体" w:cs="宋体"/>
          <w:bCs/>
          <w:sz w:val="24"/>
        </w:rPr>
      </w:pPr>
      <w:r>
        <w:rPr>
          <w:rFonts w:hint="eastAsia" w:ascii="宋体" w:hAnsi="宋体" w:cs="宋体"/>
          <w:bCs/>
          <w:sz w:val="24"/>
        </w:rPr>
        <w:t>-检查各执行器动作是否正常</w:t>
      </w:r>
    </w:p>
    <w:p>
      <w:pPr>
        <w:spacing w:line="360" w:lineRule="auto"/>
        <w:ind w:left="480"/>
        <w:rPr>
          <w:rFonts w:ascii="宋体" w:hAnsi="宋体" w:cs="宋体"/>
          <w:bCs/>
          <w:sz w:val="24"/>
        </w:rPr>
      </w:pPr>
      <w:r>
        <w:rPr>
          <w:rFonts w:hint="eastAsia" w:ascii="宋体" w:hAnsi="宋体" w:cs="宋体"/>
          <w:bCs/>
          <w:sz w:val="24"/>
        </w:rPr>
        <w:t>vi.光纤收发器</w:t>
      </w:r>
    </w:p>
    <w:p>
      <w:pPr>
        <w:spacing w:line="360" w:lineRule="auto"/>
        <w:ind w:left="480"/>
        <w:rPr>
          <w:rFonts w:ascii="宋体" w:hAnsi="宋体" w:cs="宋体"/>
          <w:bCs/>
          <w:sz w:val="24"/>
        </w:rPr>
      </w:pPr>
      <w:r>
        <w:rPr>
          <w:rFonts w:hint="eastAsia" w:ascii="宋体" w:hAnsi="宋体" w:cs="宋体"/>
          <w:bCs/>
          <w:sz w:val="24"/>
        </w:rPr>
        <w:t>-检查各光纤收发器外观及内外环境是否正常</w:t>
      </w:r>
    </w:p>
    <w:p>
      <w:pPr>
        <w:spacing w:line="360" w:lineRule="auto"/>
        <w:ind w:left="480"/>
        <w:rPr>
          <w:rFonts w:ascii="宋体" w:hAnsi="宋体" w:cs="宋体"/>
          <w:bCs/>
          <w:sz w:val="24"/>
        </w:rPr>
      </w:pPr>
      <w:r>
        <w:rPr>
          <w:rFonts w:hint="eastAsia" w:ascii="宋体" w:hAnsi="宋体" w:cs="宋体"/>
          <w:bCs/>
          <w:sz w:val="24"/>
        </w:rPr>
        <w:t>-检查各光纤收发器接线端子、线路连接状态</w:t>
      </w:r>
    </w:p>
    <w:p>
      <w:pPr>
        <w:spacing w:line="360" w:lineRule="auto"/>
        <w:ind w:left="480"/>
        <w:rPr>
          <w:rFonts w:ascii="宋体" w:hAnsi="宋体" w:cs="宋体"/>
          <w:bCs/>
          <w:sz w:val="24"/>
        </w:rPr>
      </w:pPr>
      <w:r>
        <w:rPr>
          <w:rFonts w:hint="eastAsia" w:ascii="宋体" w:hAnsi="宋体" w:cs="宋体"/>
          <w:bCs/>
          <w:sz w:val="24"/>
        </w:rPr>
        <w:t>-检查各光纤收发器输入信号是否正常</w:t>
      </w:r>
    </w:p>
    <w:p>
      <w:pPr>
        <w:spacing w:line="360" w:lineRule="auto"/>
        <w:ind w:left="480"/>
        <w:rPr>
          <w:rFonts w:ascii="宋体" w:hAnsi="宋体" w:cs="宋体"/>
          <w:bCs/>
          <w:sz w:val="24"/>
        </w:rPr>
      </w:pPr>
      <w:r>
        <w:rPr>
          <w:rFonts w:hint="eastAsia" w:ascii="宋体" w:hAnsi="宋体" w:cs="宋体"/>
          <w:bCs/>
          <w:sz w:val="24"/>
        </w:rPr>
        <w:t>-检查各光纤收发器输出信号状态及测量数据状态</w:t>
      </w:r>
    </w:p>
    <w:p>
      <w:pPr>
        <w:spacing w:line="360" w:lineRule="auto"/>
        <w:ind w:left="480"/>
        <w:rPr>
          <w:rFonts w:ascii="宋体" w:hAnsi="宋体" w:cs="宋体"/>
          <w:bCs/>
          <w:sz w:val="24"/>
        </w:rPr>
      </w:pPr>
      <w:r>
        <w:rPr>
          <w:rFonts w:hint="eastAsia" w:ascii="宋体" w:hAnsi="宋体" w:cs="宋体"/>
          <w:bCs/>
          <w:sz w:val="24"/>
        </w:rPr>
        <w:t>vii.光照度控制器</w:t>
      </w:r>
    </w:p>
    <w:p>
      <w:pPr>
        <w:spacing w:line="360" w:lineRule="auto"/>
        <w:ind w:left="480"/>
        <w:rPr>
          <w:rFonts w:ascii="宋体" w:hAnsi="宋体" w:cs="宋体"/>
          <w:bCs/>
          <w:sz w:val="24"/>
        </w:rPr>
      </w:pPr>
      <w:r>
        <w:rPr>
          <w:rFonts w:hint="eastAsia" w:ascii="宋体" w:hAnsi="宋体" w:cs="宋体"/>
          <w:bCs/>
          <w:sz w:val="24"/>
        </w:rPr>
        <w:t>-检查光照度控制器外观及内外环境是否正常</w:t>
      </w:r>
    </w:p>
    <w:p>
      <w:pPr>
        <w:spacing w:line="360" w:lineRule="auto"/>
        <w:rPr>
          <w:rFonts w:ascii="宋体" w:hAnsi="宋体" w:cs="宋体"/>
          <w:bCs/>
          <w:sz w:val="24"/>
        </w:rPr>
      </w:pPr>
      <w:r>
        <w:rPr>
          <w:rFonts w:hint="eastAsia" w:ascii="宋体" w:hAnsi="宋体" w:cs="宋体"/>
          <w:bCs/>
          <w:sz w:val="24"/>
        </w:rPr>
        <w:t xml:space="preserve">    -检查光照度控制器接线端子、线路连接状态</w:t>
      </w:r>
    </w:p>
    <w:p>
      <w:pPr>
        <w:spacing w:line="360" w:lineRule="auto"/>
        <w:ind w:left="480"/>
        <w:rPr>
          <w:rFonts w:ascii="宋体" w:hAnsi="宋体" w:cs="宋体"/>
          <w:bCs/>
          <w:sz w:val="24"/>
        </w:rPr>
      </w:pPr>
      <w:r>
        <w:rPr>
          <w:rFonts w:hint="eastAsia" w:ascii="宋体" w:hAnsi="宋体" w:cs="宋体"/>
          <w:bCs/>
          <w:sz w:val="24"/>
        </w:rPr>
        <w:t>-检查光照度控制器输入信号是否正常</w:t>
      </w:r>
    </w:p>
    <w:p>
      <w:pPr>
        <w:spacing w:line="360" w:lineRule="auto"/>
        <w:ind w:left="480"/>
        <w:rPr>
          <w:rFonts w:ascii="宋体" w:hAnsi="宋体" w:cs="宋体"/>
          <w:bCs/>
          <w:sz w:val="24"/>
        </w:rPr>
      </w:pPr>
      <w:r>
        <w:rPr>
          <w:rFonts w:hint="eastAsia" w:ascii="宋体" w:hAnsi="宋体" w:cs="宋体"/>
          <w:bCs/>
          <w:sz w:val="24"/>
        </w:rPr>
        <w:t>-检查光照度控制器输出信号状态及测量数据状态</w:t>
      </w:r>
    </w:p>
    <w:p>
      <w:pPr>
        <w:spacing w:line="360" w:lineRule="auto"/>
        <w:ind w:left="480"/>
        <w:rPr>
          <w:rFonts w:ascii="宋体" w:hAnsi="宋体" w:cs="宋体"/>
          <w:bCs/>
          <w:sz w:val="24"/>
        </w:rPr>
      </w:pPr>
      <w:r>
        <w:rPr>
          <w:rFonts w:hint="eastAsia" w:ascii="宋体" w:hAnsi="宋体" w:cs="宋体"/>
          <w:bCs/>
          <w:sz w:val="24"/>
        </w:rPr>
        <w:t>viii.灯光开关控制器模块</w:t>
      </w:r>
    </w:p>
    <w:p>
      <w:pPr>
        <w:spacing w:line="360" w:lineRule="auto"/>
        <w:ind w:left="480"/>
        <w:rPr>
          <w:rFonts w:ascii="宋体" w:hAnsi="宋体" w:cs="宋体"/>
          <w:bCs/>
          <w:sz w:val="24"/>
        </w:rPr>
      </w:pPr>
      <w:r>
        <w:rPr>
          <w:rFonts w:hint="eastAsia" w:ascii="宋体" w:hAnsi="宋体" w:cs="宋体"/>
          <w:bCs/>
          <w:sz w:val="24"/>
        </w:rPr>
        <w:t>-检查灯光开关控制器模块外观及内外环境是否正常</w:t>
      </w:r>
    </w:p>
    <w:p>
      <w:pPr>
        <w:spacing w:line="360" w:lineRule="auto"/>
        <w:ind w:left="480"/>
        <w:rPr>
          <w:rFonts w:ascii="宋体" w:hAnsi="宋体" w:cs="宋体"/>
          <w:bCs/>
          <w:sz w:val="24"/>
        </w:rPr>
      </w:pPr>
      <w:r>
        <w:rPr>
          <w:rFonts w:hint="eastAsia" w:ascii="宋体" w:hAnsi="宋体" w:cs="宋体"/>
          <w:bCs/>
          <w:sz w:val="24"/>
        </w:rPr>
        <w:t>-检查灯光开关控制器模块接线端子、线路连接状态</w:t>
      </w:r>
    </w:p>
    <w:p>
      <w:pPr>
        <w:spacing w:line="360" w:lineRule="auto"/>
        <w:ind w:left="480"/>
        <w:rPr>
          <w:rFonts w:ascii="宋体" w:hAnsi="宋体" w:cs="宋体"/>
          <w:bCs/>
          <w:sz w:val="24"/>
        </w:rPr>
      </w:pPr>
      <w:r>
        <w:rPr>
          <w:rFonts w:hint="eastAsia" w:ascii="宋体" w:hAnsi="宋体" w:cs="宋体"/>
          <w:bCs/>
          <w:sz w:val="24"/>
        </w:rPr>
        <w:t>-检查灯光开关控制器模块输入信号是否正常</w:t>
      </w:r>
    </w:p>
    <w:p>
      <w:pPr>
        <w:spacing w:line="360" w:lineRule="auto"/>
        <w:ind w:left="480"/>
        <w:rPr>
          <w:rFonts w:ascii="宋体" w:hAnsi="宋体" w:cs="宋体"/>
          <w:b/>
          <w:color w:val="FF0000"/>
          <w:sz w:val="24"/>
        </w:rPr>
      </w:pPr>
      <w:r>
        <w:rPr>
          <w:rFonts w:hint="eastAsia" w:ascii="宋体" w:hAnsi="宋体" w:cs="宋体"/>
          <w:bCs/>
          <w:sz w:val="24"/>
        </w:rPr>
        <w:t>-检查灯光开关控制器模块输出信号状态及测量数据状态</w:t>
      </w:r>
    </w:p>
    <w:p>
      <w:pPr>
        <w:numPr>
          <w:ilvl w:val="0"/>
          <w:numId w:val="7"/>
        </w:numPr>
        <w:adjustRightInd w:val="0"/>
        <w:snapToGrid w:val="0"/>
        <w:spacing w:line="560" w:lineRule="exact"/>
        <w:rPr>
          <w:rFonts w:ascii="宋体" w:hAnsi="宋体" w:cs="宋体"/>
          <w:b/>
          <w:color w:val="FF0000"/>
          <w:sz w:val="24"/>
        </w:rPr>
      </w:pPr>
      <w:r>
        <w:rPr>
          <w:rFonts w:hint="eastAsia" w:ascii="宋体" w:hAnsi="宋体" w:cs="宋体"/>
          <w:b/>
          <w:color w:val="FF0000"/>
          <w:sz w:val="24"/>
        </w:rPr>
        <w:t>每年进行一次年度总结</w:t>
      </w:r>
    </w:p>
    <w:p>
      <w:pPr>
        <w:spacing w:line="360" w:lineRule="auto"/>
        <w:rPr>
          <w:rFonts w:ascii="仿宋_GB2312" w:hAnsi="仿宋_GB2312" w:eastAsia="仿宋_GB2312" w:cs="仿宋_GB2312"/>
          <w:color w:val="0000FF"/>
          <w:sz w:val="28"/>
          <w:szCs w:val="28"/>
        </w:rPr>
      </w:pPr>
      <w:r>
        <w:rPr>
          <w:rFonts w:hint="eastAsia" w:ascii="宋体" w:hAnsi="宋体" w:cs="宋体"/>
          <w:b/>
          <w:color w:val="FF0000"/>
          <w:sz w:val="24"/>
        </w:rPr>
        <w:t xml:space="preserve">    总结内容包括：当年维保小结，应急维修小结，系统运行评估，系统技术建议及次年维保计划和安排，合同期内每年12月15号前提交甲方。</w:t>
      </w:r>
    </w:p>
    <w:p>
      <w:pPr>
        <w:numPr>
          <w:ilvl w:val="0"/>
          <w:numId w:val="7"/>
        </w:num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故障响应</w:t>
      </w:r>
    </w:p>
    <w:p>
      <w:pPr>
        <w:numPr>
          <w:ilvl w:val="255"/>
          <w:numId w:val="0"/>
        </w:numPr>
        <w:adjustRightInd w:val="0"/>
        <w:snapToGrid w:val="0"/>
        <w:spacing w:line="560" w:lineRule="exact"/>
        <w:ind w:firstLine="480"/>
        <w:rPr>
          <w:rFonts w:ascii="宋体" w:hAnsi="宋体"/>
          <w:sz w:val="24"/>
          <w:szCs w:val="24"/>
        </w:rPr>
      </w:pPr>
      <w:r>
        <w:rPr>
          <w:rFonts w:hint="eastAsia" w:ascii="宋体" w:hAnsi="宋体"/>
          <w:sz w:val="24"/>
        </w:rPr>
        <w:t>乙方需提供7*24小时响应服务，电话响应在10分钟内，在接到甲方</w:t>
      </w:r>
      <w:r>
        <w:rPr>
          <w:rFonts w:hint="eastAsia" w:ascii="宋体" w:hAnsi="宋体"/>
          <w:sz w:val="24"/>
          <w:szCs w:val="24"/>
        </w:rPr>
        <w:t>应急维修要求后，应派遣工程师于4小时内到达现场，对于常规问题乙方保证在到达现场后在24小时内处理</w:t>
      </w:r>
    </w:p>
    <w:p>
      <w:pPr>
        <w:numPr>
          <w:ilvl w:val="255"/>
          <w:numId w:val="0"/>
        </w:numPr>
        <w:adjustRightInd w:val="0"/>
        <w:snapToGrid w:val="0"/>
        <w:spacing w:line="560" w:lineRule="exact"/>
        <w:ind w:firstLine="480"/>
        <w:rPr>
          <w:rFonts w:ascii="宋体" w:hAnsi="宋体"/>
          <w:sz w:val="24"/>
          <w:szCs w:val="24"/>
        </w:rPr>
      </w:pPr>
      <w:r>
        <w:rPr>
          <w:rFonts w:hint="eastAsia" w:ascii="宋体" w:hAnsi="宋体"/>
          <w:sz w:val="24"/>
          <w:szCs w:val="24"/>
        </w:rPr>
        <w:t>故障处理流程：</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1)故障的受理（电话、传真、电子邮件报修）</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1)电话故障诊断，指导断开故障部位</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2)故障部位的现场诊断，故障设备的判断和指导拆卸</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3)故障部位的诊断</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4)进行系统设备的调整、更换、修理，修理完毕的设备的测试和确认正常</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5)备件设备的安装及故障恢复</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6)返修设备的联系和送修，返回后的安装和检测</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7)故障记录和报告。</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5.2.2 乙方服务时应严格遵守甲方有关规章制度。</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5.2.3 乙方每月进行一次回访；每季进行一次例行巡检</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5.2.4 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5.2.5 如甲方在技术上需要改进时，乙方免费提供技术上的咨询建议服务。</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5.2.6 乙方将协助甲方参与当地政府有关部门的检查工作，甲方应提前7天通知乙方，以便乙方安排工程师至现场配合工作。</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5.2.7 乙方负责免费培训甲方有关处理事故障碍方面的知识,专业技术的培训服务，培训内容包括设备运行原理，基本操作和维护保养说明，常见问题应急解决方案，培训为一年一次。</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5.2.8 当发现或发生非保养责任事故时，应及时书面通知甲方整改，当事故严重影响设备安全运行的，有权通知甲方停止使用该设备。</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5.2.9 如因乙方保养未及时或保养不当引起设备零部件损坏或不能正常运行，其产生的费用或后果由乙方承担。</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5.2.10保养过程中，乙方应自行提供维保工具。</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5.2.11在本合同有效期内，乙方向甲方提供维护保养中常用的配件，乙方需提供一份配件清单及价格表，</w:t>
      </w:r>
      <w:r>
        <w:rPr>
          <w:rFonts w:hint="eastAsia" w:ascii="仿宋_GB2312" w:hAnsi="仿宋_GB2312" w:eastAsia="仿宋_GB2312" w:cs="仿宋_GB2312"/>
          <w:color w:val="FF0000"/>
          <w:sz w:val="28"/>
          <w:szCs w:val="28"/>
        </w:rPr>
        <w:t>详见附件2，甲方有权选择是否使用并</w:t>
      </w:r>
      <w:r>
        <w:rPr>
          <w:rFonts w:hint="eastAsia" w:ascii="仿宋_GB2312" w:hAnsi="仿宋_GB2312" w:eastAsia="仿宋_GB2312" w:cs="仿宋_GB2312"/>
          <w:color w:val="0000FF"/>
          <w:sz w:val="28"/>
          <w:szCs w:val="28"/>
        </w:rPr>
        <w:t>经甲方确认核实并付款，在本合同履行期内不允许变更配件价格，并在质保期内免费更换。</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5.2.12如因乙方未能履行合同所列的维护保养服务内容及相关义务或履行义务与本合同规定不符，甲方有权按照考核结果扣除相应的服务费用。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5.2.13乙方有义务接受甲方对乙方的服务考核。</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5.2.14抢修在工作日内接到甲方电话通知及时响应，在电话无法解决时，应在4小时内赶到现场，24小时内修复；如遇特殊情况，乙方在征得甲方同意的情况下，可适当延长到达和修复时间。</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5.2.15当发生工作否定指标中内容事件时，甲方无需通知乙方，可以直接解除合同，因乙方的原因导致该等安全事件的发生，乙方自行承担人身、财产损失及赔偿。</w:t>
      </w: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6.乙方工作人员的更换及增减</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其他约定：</w:t>
      </w:r>
    </w:p>
    <w:p>
      <w:pPr>
        <w:adjustRightInd w:val="0"/>
        <w:snapToGrid w:val="0"/>
        <w:spacing w:line="560" w:lineRule="exact"/>
        <w:rPr>
          <w:rFonts w:ascii="仿宋_GB2312" w:eastAsia="仿宋_GB2312"/>
          <w:color w:val="0000FF"/>
          <w:spacing w:val="10"/>
          <w:sz w:val="28"/>
        </w:rPr>
      </w:pPr>
      <w:r>
        <w:rPr>
          <w:rFonts w:ascii="仿宋_GB2312" w:hAnsi="仿宋_GB2312" w:eastAsia="仿宋_GB2312" w:cs="仿宋_GB2312"/>
          <w:color w:val="0000FF"/>
          <w:sz w:val="28"/>
          <w:szCs w:val="28"/>
        </w:rPr>
        <w:t>6.1</w:t>
      </w:r>
      <w:r>
        <w:rPr>
          <w:rFonts w:hint="eastAsia" w:ascii="仿宋_GB2312" w:eastAsia="仿宋_GB2312"/>
          <w:color w:val="0000FF"/>
          <w:spacing w:val="10"/>
          <w:sz w:val="28"/>
        </w:rPr>
        <w:t>乙方需指定不少于2名专业维护人员专门负责合同规定的维护工作，并配备1名专业工程师，对本项目予以技术支持，以上人员需能够通过机场公安分局的背景审核，无特殊情况，不得随意更换、减少人员。</w:t>
      </w:r>
    </w:p>
    <w:p>
      <w:pPr>
        <w:adjustRightInd w:val="0"/>
        <w:snapToGrid w:val="0"/>
        <w:spacing w:line="560" w:lineRule="exact"/>
        <w:rPr>
          <w:rFonts w:ascii="仿宋_GB2312" w:hAnsi="仿宋_GB2312" w:eastAsia="仿宋_GB2312" w:cs="仿宋_GB2312"/>
          <w:color w:val="0000FF"/>
          <w:sz w:val="28"/>
          <w:szCs w:val="28"/>
        </w:rPr>
      </w:pPr>
      <w:r>
        <w:rPr>
          <w:rFonts w:ascii="仿宋_GB2312" w:eastAsia="仿宋_GB2312"/>
          <w:color w:val="0000FF"/>
          <w:spacing w:val="10"/>
          <w:sz w:val="28"/>
        </w:rPr>
        <w:t>6.2</w:t>
      </w:r>
      <w:r>
        <w:rPr>
          <w:rFonts w:hint="eastAsia" w:ascii="仿宋_GB2312" w:eastAsia="仿宋_GB2312"/>
          <w:color w:val="0000FF"/>
          <w:spacing w:val="10"/>
          <w:sz w:val="28"/>
        </w:rPr>
        <w:t>通用条款内的“</w:t>
      </w:r>
      <w:r>
        <w:rPr>
          <w:rFonts w:ascii="仿宋_GB2312" w:hAnsi="仿宋_GB2312" w:eastAsia="仿宋_GB2312" w:cs="仿宋_GB2312"/>
          <w:color w:val="0000FF"/>
          <w:sz w:val="28"/>
          <w:szCs w:val="28"/>
        </w:rPr>
        <w:t>6.3甲方根据机场运营需要，要求乙方增加或减少人员，乙方应予以接受。增加或减少人员的，合同价格根据单价调整。</w:t>
      </w:r>
      <w:r>
        <w:rPr>
          <w:rFonts w:hint="eastAsia" w:ascii="仿宋_GB2312" w:hAnsi="仿宋_GB2312" w:eastAsia="仿宋_GB2312" w:cs="仿宋_GB2312"/>
          <w:color w:val="0000FF"/>
          <w:sz w:val="28"/>
          <w:szCs w:val="28"/>
        </w:rPr>
        <w:t>”不适用本项目。</w:t>
      </w:r>
    </w:p>
    <w:p>
      <w:pPr>
        <w:pStyle w:val="90"/>
        <w:adjustRightInd w:val="0"/>
        <w:snapToGrid w:val="0"/>
        <w:spacing w:line="560" w:lineRule="exact"/>
        <w:ind w:firstLine="0" w:firstLineChars="0"/>
        <w:rPr>
          <w:rFonts w:ascii="仿宋_GB2312" w:hAnsi="仿宋_GB2312" w:eastAsia="仿宋_GB2312" w:cs="仿宋_GB2312"/>
          <w:b/>
          <w:color w:val="0000FF"/>
          <w:sz w:val="28"/>
          <w:szCs w:val="28"/>
        </w:rPr>
      </w:pPr>
      <w:r>
        <w:rPr>
          <w:rFonts w:hint="eastAsia" w:ascii="仿宋_GB2312" w:hAnsi="仿宋_GB2312" w:eastAsia="仿宋_GB2312" w:cs="仿宋_GB2312"/>
          <w:b/>
          <w:color w:val="0000FF"/>
          <w:sz w:val="28"/>
          <w:szCs w:val="28"/>
        </w:rPr>
        <w:t>7、服务质量验收</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7.1甲方对乙方服务进行监督、检查的方式及要求：</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 xml:space="preserve"> 甲方根据《维保服务季度考核标准细则》（详见合同附件【6】）对乙方进行考核评分。</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7.2扣除不达指标的外包服务费或要求乙方承担违约金的标准</w:t>
      </w:r>
      <w:r>
        <w:rPr>
          <w:rFonts w:hint="eastAsia" w:ascii="仿宋_GB2312" w:hAnsi="仿宋_GB2312" w:eastAsia="仿宋_GB2312" w:cs="仿宋_GB2312"/>
          <w:color w:val="0000FF"/>
          <w:sz w:val="28"/>
          <w:szCs w:val="28"/>
        </w:rPr>
        <w:t>：</w:t>
      </w:r>
      <w:r>
        <w:rPr>
          <w:rFonts w:hint="eastAsia" w:ascii="仿宋_GB2312" w:hAnsi="仿宋_GB2312" w:eastAsia="仿宋_GB2312" w:cs="仿宋_GB2312"/>
          <w:color w:val="0000FF"/>
          <w:sz w:val="28"/>
          <w:szCs w:val="28"/>
          <w:u w:val="single"/>
        </w:rPr>
        <w:t xml:space="preserve"> 参考《维保服务季度考核标准细则》（详见合同附件【6】）。 </w:t>
      </w:r>
      <w:r>
        <w:rPr>
          <w:rFonts w:hint="eastAsia" w:ascii="仿宋_GB2312" w:hAnsi="仿宋_GB2312" w:eastAsia="仿宋_GB2312" w:cs="仿宋_GB2312"/>
          <w:color w:val="0000FF"/>
          <w:sz w:val="28"/>
          <w:szCs w:val="28"/>
        </w:rPr>
        <w:t xml:space="preserve"> </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7.3验收标准：</w:t>
      </w:r>
      <w:r>
        <w:rPr>
          <w:rFonts w:hint="eastAsia" w:ascii="仿宋_GB2312" w:hAnsi="仿宋_GB2312" w:eastAsia="仿宋_GB2312" w:cs="仿宋_GB2312"/>
          <w:color w:val="0000FF"/>
          <w:sz w:val="28"/>
          <w:szCs w:val="28"/>
        </w:rPr>
        <w:t>根据设备维保服务报告进行双方签字验收。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7.3.1设备验收标准：</w:t>
      </w:r>
      <w:r>
        <w:rPr>
          <w:rFonts w:hint="eastAsia" w:ascii="仿宋_GB2312" w:hAnsi="仿宋_GB2312" w:eastAsia="仿宋_GB2312" w:cs="仿宋_GB2312"/>
          <w:color w:val="0000FF"/>
          <w:sz w:val="28"/>
          <w:szCs w:val="28"/>
        </w:rPr>
        <w:t>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sz w:val="28"/>
          <w:szCs w:val="28"/>
        </w:rPr>
        <w:t>7.3.2维保服务考核标准：</w:t>
      </w:r>
      <w:r>
        <w:rPr>
          <w:rFonts w:hint="eastAsia" w:ascii="仿宋_GB2312" w:hAnsi="仿宋_GB2312" w:eastAsia="仿宋_GB2312" w:cs="仿宋_GB2312"/>
          <w:color w:val="0000FF"/>
          <w:sz w:val="28"/>
          <w:szCs w:val="28"/>
        </w:rPr>
        <w:t>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7.4其他约定：</w:t>
      </w:r>
      <w:r>
        <w:rPr>
          <w:rFonts w:hint="eastAsia" w:ascii="仿宋_GB2312" w:hAnsi="仿宋_GB2312" w:eastAsia="仿宋_GB2312" w:cs="仿宋_GB2312"/>
          <w:sz w:val="28"/>
          <w:szCs w:val="28"/>
          <w:u w:val="single"/>
        </w:rPr>
        <w:t xml:space="preserve">                /                </w:t>
      </w:r>
    </w:p>
    <w:p>
      <w:pPr>
        <w:pStyle w:val="90"/>
        <w:adjustRightInd w:val="0"/>
        <w:snapToGrid w:val="0"/>
        <w:spacing w:line="560" w:lineRule="exact"/>
        <w:ind w:firstLine="0" w:firstLineChars="0"/>
        <w:rPr>
          <w:rFonts w:ascii="仿宋_GB2312" w:hAnsi="仿宋_GB2312" w:eastAsia="仿宋_GB2312" w:cs="仿宋_GB2312"/>
          <w:b/>
          <w:sz w:val="28"/>
          <w:szCs w:val="28"/>
        </w:rPr>
      </w:pP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8.合同变更、终止与解除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除通用条款约定的情形外，补充约定下列内容：</w:t>
      </w:r>
    </w:p>
    <w:p>
      <w:pPr>
        <w:numPr>
          <w:ilvl w:val="0"/>
          <w:numId w:val="8"/>
        </w:num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无</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9.结算</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9.1乙方应根据</w:t>
      </w:r>
      <w:r>
        <w:rPr>
          <w:rFonts w:hint="eastAsia" w:ascii="仿宋_GB2312" w:hAnsi="仿宋_GB2312" w:eastAsia="仿宋_GB2312" w:cs="仿宋_GB2312"/>
          <w:color w:val="0000FF"/>
          <w:sz w:val="28"/>
          <w:szCs w:val="28"/>
          <w:u w:val="single"/>
        </w:rPr>
        <w:t xml:space="preserve">   甲方考核结果后按照考核结果确定的服务费用金额提供增值税专用发票  </w:t>
      </w:r>
      <w:r>
        <w:rPr>
          <w:rFonts w:hint="eastAsia" w:ascii="仿宋_GB2312" w:hAnsi="仿宋_GB2312" w:eastAsia="仿宋_GB2312" w:cs="仿宋_GB2312"/>
          <w:color w:val="0000FF"/>
          <w:sz w:val="28"/>
          <w:szCs w:val="28"/>
        </w:rPr>
        <w:t>向甲方提出结算请求。</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9.2双方确定违约责任及赔偿金额重新结算的时间要求：</w:t>
      </w:r>
      <w:r>
        <w:rPr>
          <w:rFonts w:hint="eastAsia" w:ascii="仿宋_GB2312" w:hAnsi="仿宋_GB2312" w:eastAsia="仿宋_GB2312" w:cs="仿宋_GB2312"/>
          <w:color w:val="0000FF"/>
          <w:sz w:val="28"/>
          <w:szCs w:val="28"/>
          <w:u w:val="single"/>
        </w:rPr>
        <w:t xml:space="preserve"> 无</w:t>
      </w:r>
      <w:r>
        <w:rPr>
          <w:rFonts w:hint="eastAsia" w:ascii="仿宋_GB2312" w:hAnsi="仿宋_GB2312" w:eastAsia="仿宋_GB2312" w:cs="仿宋_GB2312"/>
          <w:color w:val="0000FF"/>
          <w:sz w:val="28"/>
          <w:szCs w:val="28"/>
        </w:rPr>
        <w:t xml:space="preserve">                                  </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9.3其他约定： 无</w:t>
      </w:r>
    </w:p>
    <w:p>
      <w:pPr>
        <w:adjustRightInd w:val="0"/>
        <w:snapToGrid w:val="0"/>
        <w:spacing w:line="560" w:lineRule="exact"/>
        <w:rPr>
          <w:rFonts w:ascii="仿宋_GB2312" w:hAnsi="仿宋_GB2312" w:eastAsia="仿宋_GB2312" w:cs="仿宋_GB2312"/>
          <w:sz w:val="28"/>
          <w:szCs w:val="28"/>
        </w:rPr>
      </w:pP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10.支付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10.1甲方完成结算且收到乙方提供的发票后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 xml:space="preserve">30日内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向乙方支付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至乙方账号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10.2乙方付款申请填写错误或相关材料缺失的，应在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FF"/>
          <w:sz w:val="28"/>
          <w:szCs w:val="28"/>
          <w:u w:val="single"/>
        </w:rPr>
        <w:t xml:space="preserve">7日内 </w:t>
      </w:r>
      <w:r>
        <w:rPr>
          <w:rFonts w:hint="eastAsia" w:ascii="仿宋_GB2312" w:hAnsi="仿宋_GB2312" w:eastAsia="仿宋_GB2312" w:cs="仿宋_GB2312"/>
          <w:sz w:val="28"/>
          <w:szCs w:val="28"/>
          <w:u w:val="single"/>
        </w:rPr>
        <w:t xml:space="preserve">     内</w:t>
      </w:r>
      <w:r>
        <w:rPr>
          <w:rFonts w:hint="eastAsia" w:ascii="仿宋_GB2312" w:hAnsi="仿宋_GB2312" w:eastAsia="仿宋_GB2312" w:cs="仿宋_GB2312"/>
          <w:sz w:val="28"/>
          <w:szCs w:val="28"/>
        </w:rPr>
        <w:t>修正或补充材料后重新提交。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10.3其他约定：无</w:t>
      </w:r>
    </w:p>
    <w:p>
      <w:pPr>
        <w:pStyle w:val="90"/>
        <w:adjustRightInd w:val="0"/>
        <w:snapToGrid w:val="0"/>
        <w:spacing w:line="560" w:lineRule="exact"/>
        <w:ind w:firstLine="0" w:firstLineChars="0"/>
        <w:rPr>
          <w:rFonts w:ascii="仿宋_GB2312" w:hAnsi="仿宋_GB2312" w:eastAsia="仿宋_GB2312" w:cs="仿宋_GB2312"/>
          <w:b/>
          <w:sz w:val="28"/>
          <w:szCs w:val="28"/>
        </w:rPr>
      </w:pPr>
    </w:p>
    <w:p>
      <w:pPr>
        <w:pStyle w:val="90"/>
        <w:adjustRightInd w:val="0"/>
        <w:snapToGrid w:val="0"/>
        <w:spacing w:line="560" w:lineRule="exact"/>
        <w:ind w:firstLine="0" w:firstLineChars="0"/>
        <w:rPr>
          <w:rFonts w:ascii="仿宋_GB2312" w:hAnsi="仿宋_GB2312" w:eastAsia="仿宋_GB2312" w:cs="仿宋_GB2312"/>
          <w:b/>
          <w:sz w:val="28"/>
          <w:szCs w:val="28"/>
        </w:rPr>
      </w:pP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11.退场和移交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11.1乙方退场和移交的时间：  </w:t>
      </w:r>
      <w:r>
        <w:rPr>
          <w:rFonts w:hint="eastAsia" w:ascii="仿宋_GB2312" w:hAnsi="仿宋_GB2312" w:eastAsia="仿宋_GB2312" w:cs="仿宋_GB2312"/>
          <w:color w:val="0000FF"/>
          <w:sz w:val="28"/>
          <w:szCs w:val="28"/>
        </w:rPr>
        <w:t xml:space="preserve"> 合同解除日期或者合同终止日期即为乙方退场和移交日期。</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11.2乙方退场时与甲方办理移交手续的要求：</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11.2.1提供一份合同期内详细的维护以及应急维修工作报告以及设备使用性能评估报告。</w:t>
      </w:r>
    </w:p>
    <w:p>
      <w:pPr>
        <w:adjustRightInd w:val="0"/>
        <w:snapToGrid w:val="0"/>
        <w:spacing w:line="560" w:lineRule="exact"/>
        <w:rPr>
          <w:rFonts w:ascii="仿宋_GB2312" w:hAnsi="仿宋_GB2312" w:eastAsia="仿宋_GB2312" w:cs="仿宋_GB2312"/>
          <w:color w:val="0000FF"/>
          <w:sz w:val="28"/>
          <w:szCs w:val="28"/>
        </w:rPr>
      </w:pPr>
      <w:r>
        <w:rPr>
          <w:rFonts w:hint="eastAsia" w:ascii="仿宋_GB2312" w:hAnsi="仿宋_GB2312" w:eastAsia="仿宋_GB2312" w:cs="仿宋_GB2312"/>
          <w:color w:val="0000FF"/>
          <w:sz w:val="28"/>
          <w:szCs w:val="28"/>
        </w:rPr>
        <w:t>11.2.2 对已开展的维修工作需要继续无条件完成后方可退场。</w:t>
      </w:r>
    </w:p>
    <w:p>
      <w:pPr>
        <w:adjustRightInd w:val="0"/>
        <w:snapToGrid w:val="0"/>
        <w:spacing w:line="560" w:lineRule="exact"/>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11.2.3 乙方退场时需移交最新系统运行的数据库及备份文件。</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11.3若乙方未按照本合同约定退场和移交手续，乙方应向甲方承担违约责任：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color w:val="0000FF"/>
          <w:sz w:val="28"/>
          <w:szCs w:val="28"/>
        </w:rPr>
        <w:t>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若有）不予以退还。</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11.4其他约定：</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u w:val="single"/>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12.</w:t>
      </w:r>
      <w:r>
        <w:rPr>
          <w:rFonts w:hint="eastAsia" w:ascii="仿宋_GB2312" w:hAnsi="仿宋_GB2312" w:eastAsia="仿宋_GB2312" w:cs="仿宋_GB2312"/>
          <w:b/>
          <w:sz w:val="28"/>
          <w:szCs w:val="28"/>
        </w:rPr>
        <w:t>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12.1发生除通用条款约定之外的情形时，视为乙方违约：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12.4 其他约定：</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p>
    <w:p>
      <w:pPr>
        <w:pStyle w:val="9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13.合同终止与解除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r>
        <w:rPr>
          <w:rFonts w:hint="eastAsia" w:ascii="仿宋_GB2312" w:hAnsi="仿宋_GB2312" w:eastAsia="仿宋_GB2312" w:cs="仿宋_GB2312"/>
          <w:sz w:val="28"/>
          <w:szCs w:val="28"/>
          <w:u w:val="single"/>
        </w:rPr>
        <w:t xml:space="preserve">              /            </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13.5 其他约定：/</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13.6 补充约定：/</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1、维保范围主要设备</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2、配件价格清单</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3、维保可提供资料</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4、廉洁自律承诺书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5、保密承诺书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6、维保服务季度考核标准细则</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7、机场公司业务外包项目合约监管考核指南（试行）</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8、月度回访记录单</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9、季度巡检维保单</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上述附件均是合同的组成部分，与合同具有同等法律效力。</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附件1：维保范围主要设备</w:t>
      </w:r>
    </w:p>
    <w:p>
      <w:pPr>
        <w:pStyle w:val="80"/>
        <w:spacing w:line="560" w:lineRule="exact"/>
        <w:ind w:firstLine="562"/>
        <w:rPr>
          <w:rFonts w:ascii="仿宋_GB2312" w:hAnsi="仿宋_GB2312" w:eastAsia="仿宋_GB2312" w:cs="仿宋_GB2312"/>
          <w:b/>
          <w:color w:val="auto"/>
          <w:sz w:val="28"/>
          <w:szCs w:val="28"/>
        </w:rPr>
      </w:pPr>
    </w:p>
    <w:tbl>
      <w:tblPr>
        <w:tblStyle w:val="46"/>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552"/>
        <w:gridCol w:w="1135"/>
        <w:gridCol w:w="1036"/>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1" w:hRule="atLeast"/>
          <w:jc w:val="center"/>
        </w:trPr>
        <w:tc>
          <w:tcPr>
            <w:tcW w:w="1240"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系统</w:t>
            </w: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设备名称</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数量</w:t>
            </w:r>
          </w:p>
        </w:tc>
        <w:tc>
          <w:tcPr>
            <w:tcW w:w="1036"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预估点位</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T1楼控系统</w:t>
            </w: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T1楼控系统计算机</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4台</w:t>
            </w:r>
          </w:p>
        </w:tc>
        <w:tc>
          <w:tcPr>
            <w:tcW w:w="1036"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797</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2台服务器，2台工作站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 DDC控制器</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16个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Honeywell XCL8010A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 DDC扩展模块</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149个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Honeywell</w:t>
            </w:r>
            <w:r>
              <w:rPr>
                <w:rFonts w:hint="eastAsia" w:ascii="仿宋_GB2312" w:hAnsi="ˎ̥" w:eastAsia="仿宋_GB2312"/>
                <w:bCs/>
                <w:color w:val="000000"/>
                <w:sz w:val="28"/>
                <w:szCs w:val="28"/>
              </w:rPr>
              <w:tab/>
            </w:r>
            <w:r>
              <w:rPr>
                <w:rFonts w:hint="eastAsia" w:ascii="仿宋_GB2312" w:hAnsi="ˎ̥" w:eastAsia="仿宋_GB2312"/>
                <w:bCs/>
                <w:color w:val="000000"/>
                <w:sz w:val="28"/>
                <w:szCs w:val="28"/>
              </w:rPr>
              <w:t xml:space="preserve"> 821A,822A,823A,824A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T1楼控系统EBI管理软件</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1套</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T2楼控系统</w:t>
            </w: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T2楼宇自控系统计算机</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3台</w:t>
            </w:r>
          </w:p>
        </w:tc>
        <w:tc>
          <w:tcPr>
            <w:tcW w:w="1036"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780</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2台服务器，1台工作站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 DDC控制器</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86个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Honeywell XCL8010A ；XL50 XL100；</w:t>
            </w:r>
          </w:p>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57个控制箱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T2楼控系统EBI管理软件</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1套</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T2智能照明系统</w:t>
            </w: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T2智能灯光照明系统计算机</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1台</w:t>
            </w:r>
          </w:p>
        </w:tc>
        <w:tc>
          <w:tcPr>
            <w:tcW w:w="1036"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仿宋_GB2312" w:eastAsia="仿宋_GB2312" w:cs="仿宋_GB2312"/>
                <w:sz w:val="28"/>
                <w:szCs w:val="28"/>
              </w:rPr>
              <w:t>1964</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T2智能照明系统管理软件</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1套</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开关执行器模块</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557个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主模块397个，子模块160个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户外光线强度探感应器</w:t>
            </w:r>
          </w:p>
        </w:tc>
        <w:tc>
          <w:tcPr>
            <w:tcW w:w="1135"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1个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T3楼控系统</w:t>
            </w:r>
          </w:p>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T3楼控系统计算机</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4台</w:t>
            </w:r>
          </w:p>
        </w:tc>
        <w:tc>
          <w:tcPr>
            <w:tcW w:w="1036" w:type="dxa"/>
            <w:vMerge w:val="restart"/>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2924</w:t>
            </w: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2台服务器，2台工作站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 DDC控制器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392个</w:t>
            </w:r>
          </w:p>
        </w:tc>
        <w:tc>
          <w:tcPr>
            <w:tcW w:w="1036" w:type="dxa"/>
            <w:vMerge w:val="continue"/>
            <w:vAlign w:val="center"/>
          </w:tcPr>
          <w:p>
            <w:pPr>
              <w:adjustRightInd w:val="0"/>
              <w:snapToGrid w:val="0"/>
              <w:spacing w:line="360" w:lineRule="auto"/>
              <w:jc w:val="center"/>
              <w:rPr>
                <w:rFonts w:ascii="仿宋_GB2312" w:hAnsi="仿宋_GB2312" w:eastAsia="仿宋_GB2312" w:cs="仿宋_GB2312"/>
                <w:sz w:val="28"/>
                <w:szCs w:val="28"/>
              </w:rPr>
            </w:pP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T3楼控系统</w:t>
            </w:r>
          </w:p>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管理软件</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1套</w:t>
            </w:r>
          </w:p>
        </w:tc>
        <w:tc>
          <w:tcPr>
            <w:tcW w:w="1036" w:type="dxa"/>
            <w:vMerge w:val="continue"/>
            <w:vAlign w:val="center"/>
          </w:tcPr>
          <w:p>
            <w:pPr>
              <w:adjustRightInd w:val="0"/>
              <w:snapToGrid w:val="0"/>
              <w:spacing w:line="360" w:lineRule="auto"/>
              <w:jc w:val="center"/>
              <w:rPr>
                <w:rFonts w:ascii="仿宋_GB2312" w:hAnsi="仿宋_GB2312" w:eastAsia="仿宋_GB2312" w:cs="仿宋_GB2312"/>
                <w:sz w:val="28"/>
                <w:szCs w:val="28"/>
              </w:rPr>
            </w:pP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光纤收发器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20个</w:t>
            </w:r>
          </w:p>
        </w:tc>
        <w:tc>
          <w:tcPr>
            <w:tcW w:w="1036" w:type="dxa"/>
            <w:vMerge w:val="continue"/>
            <w:vAlign w:val="center"/>
          </w:tcPr>
          <w:p>
            <w:pPr>
              <w:adjustRightInd w:val="0"/>
              <w:snapToGrid w:val="0"/>
              <w:spacing w:line="360" w:lineRule="auto"/>
              <w:jc w:val="center"/>
              <w:rPr>
                <w:rFonts w:ascii="仿宋_GB2312" w:hAnsi="仿宋_GB2312" w:eastAsia="仿宋_GB2312" w:cs="仿宋_GB2312"/>
                <w:sz w:val="28"/>
                <w:szCs w:val="28"/>
              </w:rPr>
            </w:pP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WEB600网络管理器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10个</w:t>
            </w:r>
          </w:p>
        </w:tc>
        <w:tc>
          <w:tcPr>
            <w:tcW w:w="1036" w:type="dxa"/>
            <w:vMerge w:val="continue"/>
            <w:vAlign w:val="center"/>
          </w:tcPr>
          <w:p>
            <w:pPr>
              <w:adjustRightInd w:val="0"/>
              <w:snapToGrid w:val="0"/>
              <w:spacing w:line="360" w:lineRule="auto"/>
              <w:jc w:val="center"/>
              <w:rPr>
                <w:rFonts w:ascii="仿宋_GB2312" w:hAnsi="仿宋_GB2312" w:eastAsia="仿宋_GB2312" w:cs="仿宋_GB2312"/>
                <w:sz w:val="28"/>
                <w:szCs w:val="28"/>
              </w:rPr>
            </w:pPr>
          </w:p>
        </w:tc>
        <w:tc>
          <w:tcPr>
            <w:tcW w:w="3217"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T3智能照明系统</w:t>
            </w: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T3智能灯光照明系统计算机</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1台</w:t>
            </w:r>
          </w:p>
        </w:tc>
        <w:tc>
          <w:tcPr>
            <w:tcW w:w="1036" w:type="dxa"/>
            <w:vMerge w:val="restart"/>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ˎ̥" w:eastAsia="仿宋_GB2312"/>
                <w:bCs/>
                <w:color w:val="000000"/>
                <w:sz w:val="28"/>
                <w:szCs w:val="28"/>
              </w:rPr>
              <w:t>2400</w:t>
            </w: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T3智能照明系统管理软件</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1套</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开关执行器模块</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774个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r>
              <w:rPr>
                <w:rFonts w:hint="eastAsia" w:ascii="仿宋_GB2312" w:hAnsi="仿宋_GB2312" w:eastAsia="仿宋_GB2312" w:cs="仿宋_GB2312"/>
                <w:sz w:val="28"/>
                <w:szCs w:val="28"/>
              </w:rPr>
              <w:t>主模块252个，子模块522个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光线/温度复合传感器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40"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2552"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室内亮度感应器</w:t>
            </w:r>
          </w:p>
        </w:tc>
        <w:tc>
          <w:tcPr>
            <w:tcW w:w="1135"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153个</w:t>
            </w:r>
          </w:p>
        </w:tc>
        <w:tc>
          <w:tcPr>
            <w:tcW w:w="1036" w:type="dxa"/>
            <w:vMerge w:val="continue"/>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c>
          <w:tcPr>
            <w:tcW w:w="3217" w:type="dxa"/>
            <w:vAlign w:val="center"/>
          </w:tcPr>
          <w:p>
            <w:pPr>
              <w:adjustRightInd w:val="0"/>
              <w:snapToGrid w:val="0"/>
              <w:spacing w:line="360" w:lineRule="auto"/>
              <w:ind w:right="25" w:rightChars="12"/>
              <w:jc w:val="center"/>
              <w:rPr>
                <w:rFonts w:ascii="仿宋_GB2312" w:hAnsi="ˎ̥" w:eastAsia="仿宋_GB2312"/>
                <w:bCs/>
                <w:color w:val="000000"/>
                <w:sz w:val="28"/>
                <w:szCs w:val="28"/>
              </w:rPr>
            </w:pPr>
          </w:p>
        </w:tc>
      </w:tr>
    </w:tbl>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p>
    <w:p>
      <w:pPr>
        <w:spacing w:line="560" w:lineRule="exact"/>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附件2 ：</w:t>
      </w:r>
      <w:r>
        <w:rPr>
          <w:rFonts w:hint="eastAsia" w:ascii="仿宋_GB2312" w:eastAsia="仿宋_GB2312"/>
          <w:spacing w:val="10"/>
          <w:sz w:val="28"/>
        </w:rPr>
        <w:t>配件价格清单</w:t>
      </w:r>
    </w:p>
    <w:p>
      <w:pPr>
        <w:spacing w:line="560" w:lineRule="exact"/>
        <w:rPr>
          <w:rFonts w:ascii="仿宋_GB2312" w:hAnsi="仿宋_GB2312" w:eastAsia="仿宋_GB2312" w:cs="仿宋_GB2312"/>
          <w:sz w:val="28"/>
          <w:szCs w:val="28"/>
        </w:rPr>
      </w:pPr>
    </w:p>
    <w:p>
      <w:pPr>
        <w:snapToGrid w:val="0"/>
        <w:spacing w:line="360" w:lineRule="auto"/>
        <w:jc w:val="right"/>
        <w:rPr>
          <w:rFonts w:ascii="仿宋_GB2312" w:eastAsia="仿宋_GB2312"/>
          <w:b/>
          <w:spacing w:val="10"/>
          <w:sz w:val="24"/>
          <w:szCs w:val="24"/>
        </w:rPr>
      </w:pPr>
      <w:r>
        <w:rPr>
          <w:rFonts w:hint="eastAsia" w:ascii="仿宋_GB2312" w:eastAsia="仿宋_GB2312"/>
          <w:b/>
          <w:spacing w:val="10"/>
          <w:sz w:val="24"/>
          <w:szCs w:val="24"/>
        </w:rPr>
        <w:t>单位：元</w:t>
      </w:r>
      <w:r>
        <w:rPr>
          <w:rFonts w:hint="eastAsia" w:ascii="仿宋_GB2312" w:eastAsia="仿宋_GB2312"/>
          <w:b/>
          <w:vanish/>
          <w:spacing w:val="10"/>
          <w:sz w:val="24"/>
          <w:szCs w:val="24"/>
        </w:rPr>
        <w:cr/>
      </w:r>
      <w:r>
        <w:rPr>
          <w:rFonts w:hint="eastAsia" w:ascii="仿宋_GB2312" w:eastAsia="仿宋_GB2312"/>
          <w:b/>
          <w:vanish/>
          <w:spacing w:val="10"/>
          <w:sz w:val="24"/>
          <w:szCs w:val="24"/>
        </w:rPr>
        <w:t>求三组制箱，燃烧器，并用温度计测量泵体及电机轴承温度是否正常；</w:t>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r>
        <w:rPr>
          <w:rFonts w:hint="eastAsia" w:ascii="仿宋_GB2312" w:eastAsia="仿宋_GB2312"/>
          <w:b/>
          <w:vanish/>
          <w:spacing w:val="10"/>
          <w:sz w:val="24"/>
          <w:szCs w:val="24"/>
        </w:rPr>
        <w:pgNum/>
      </w:r>
    </w:p>
    <w:p>
      <w:pPr>
        <w:tabs>
          <w:tab w:val="left" w:pos="551"/>
          <w:tab w:val="left" w:pos="1331"/>
        </w:tabs>
        <w:ind w:firstLine="409"/>
        <w:rPr>
          <w:rFonts w:ascii="Calibri" w:hAnsi="Calibri" w:eastAsia="黑体" w:cs="Calibri"/>
          <w:kern w:val="0"/>
          <w:sz w:val="32"/>
        </w:rPr>
      </w:pPr>
      <w:r>
        <w:rPr>
          <w:rFonts w:hint="eastAsia" w:ascii="Calibri" w:hAnsi="Calibri" w:eastAsia="黑体" w:cs="Calibri"/>
          <w:kern w:val="0"/>
          <w:sz w:val="32"/>
        </w:rPr>
        <w:tab/>
      </w:r>
      <w:r>
        <w:rPr>
          <w:rFonts w:hint="eastAsia" w:ascii="宋体" w:hAnsi="宋体" w:cs="Arial"/>
          <w:b/>
          <w:kern w:val="0"/>
          <w:sz w:val="30"/>
          <w:szCs w:val="30"/>
        </w:rPr>
        <w:t>T1，T2 楼宇自控系统及T2智能灯光系统配件清单</w:t>
      </w:r>
    </w:p>
    <w:tbl>
      <w:tblPr>
        <w:tblStyle w:val="46"/>
        <w:tblW w:w="9700" w:type="dxa"/>
        <w:tblInd w:w="0" w:type="dxa"/>
        <w:tblLayout w:type="fixed"/>
        <w:tblCellMar>
          <w:top w:w="15" w:type="dxa"/>
          <w:left w:w="15" w:type="dxa"/>
          <w:bottom w:w="15" w:type="dxa"/>
          <w:right w:w="15" w:type="dxa"/>
        </w:tblCellMar>
      </w:tblPr>
      <w:tblGrid>
        <w:gridCol w:w="491"/>
        <w:gridCol w:w="3932"/>
        <w:gridCol w:w="1228"/>
        <w:gridCol w:w="2115"/>
        <w:gridCol w:w="870"/>
        <w:gridCol w:w="1064"/>
      </w:tblGrid>
      <w:tr>
        <w:tblPrEx>
          <w:tblLayout w:type="fixed"/>
          <w:tblCellMar>
            <w:top w:w="15" w:type="dxa"/>
            <w:left w:w="15" w:type="dxa"/>
            <w:bottom w:w="15" w:type="dxa"/>
            <w:right w:w="15" w:type="dxa"/>
          </w:tblCellMar>
        </w:tblPrEx>
        <w:trPr>
          <w:trHeight w:val="562"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序号</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设备名称</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品牌</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型号规格</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单价（元）</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质保</w:t>
            </w: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送回风温湿度传感器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送风温度传感器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3</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室内温度传感器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4</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二氧化碳检测传感器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FF"/>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i/>
                <w:iCs/>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5</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二氧化碳传感器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FF"/>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i/>
                <w:iCs/>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6</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压力液位传感器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7</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供回水压力传感器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8</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供回水温度传感器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9</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室外温湿度传感器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10</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室外照度传感器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11</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高液位开关传感器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12</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压差传感器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13</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风量传感器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14</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水流开关传感器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15</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调节风阀</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16</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开关风阀</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19</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光纤收发器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20</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电源</w:t>
            </w:r>
          </w:p>
        </w:tc>
        <w:tc>
          <w:tcPr>
            <w:tcW w:w="1228"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1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21</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DDC控制器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22</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DDC扩展模块</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23</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DDC扩展模块</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24</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DDC扩展模块</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25</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DDC扩展模块</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26</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DDC控制器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tabs>
                <w:tab w:val="left" w:pos="221"/>
              </w:tabs>
              <w:jc w:val="center"/>
              <w:textAlignment w:val="center"/>
              <w:rPr>
                <w:rFonts w:ascii="宋体" w:hAnsi="宋体"/>
                <w:sz w:val="28"/>
                <w:szCs w:val="28"/>
              </w:rPr>
            </w:pPr>
            <w:r>
              <w:rPr>
                <w:rFonts w:hint="eastAsia" w:ascii="宋体" w:hAnsi="宋体"/>
                <w:sz w:val="28"/>
                <w:szCs w:val="28"/>
              </w:rPr>
              <w:t>27</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DDC控制器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28</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空气压差开关</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29</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风管温度传感器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30</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风管温湿度传感器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31</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空间CO2浓度传感器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32</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风管型CO2传感器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33</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空间CO浓度传感</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34</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液体温度传感器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35</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液体压差传感器</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36</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水流开关</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37</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液位开关</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tabs>
                <w:tab w:val="left" w:pos="367"/>
              </w:tabs>
              <w:jc w:val="left"/>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90"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38</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开关执行器主（子）模块</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39</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开关量输入模块</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90" w:hRule="atLeast"/>
        </w:trPr>
        <w:tc>
          <w:tcPr>
            <w:tcW w:w="4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40</w:t>
            </w:r>
          </w:p>
        </w:tc>
        <w:tc>
          <w:tcPr>
            <w:tcW w:w="3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r>
              <w:rPr>
                <w:rFonts w:hint="eastAsia" w:ascii="宋体" w:hAnsi="宋体"/>
                <w:sz w:val="28"/>
                <w:szCs w:val="28"/>
              </w:rPr>
              <w:t>四联智能面板</w:t>
            </w:r>
          </w:p>
        </w:tc>
        <w:tc>
          <w:tcPr>
            <w:tcW w:w="1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41</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4通道年定时器</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42</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640mA带扼流总线电源</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43</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KNX IP路由器</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44</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KNX系统过压保护器</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tabs>
                <w:tab w:val="left" w:pos="229"/>
              </w:tabs>
              <w:jc w:val="left"/>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456"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45</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存在探测器，吸顶安装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46</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室内亮度感应器，齐平安装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47</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户外光线强度探感应器</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48</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T2电动压差动态平衡阀1</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49</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T2电动压差动态平衡阀2</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50</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T2电动压差动态平衡阀3</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51</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T2电动压差动态平衡阀4</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52</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T2电动压差动态平衡阀5</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53</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T2电动压差动态平衡阀6</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54</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T2电动压差动态平衡阀执行器</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55</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T1水阀执行器1</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r>
        <w:tblPrEx>
          <w:tblLayout w:type="fixed"/>
          <w:tblCellMar>
            <w:top w:w="15" w:type="dxa"/>
            <w:left w:w="15" w:type="dxa"/>
            <w:bottom w:w="15" w:type="dxa"/>
            <w:right w:w="15" w:type="dxa"/>
          </w:tblCellMar>
        </w:tblPrEx>
        <w:trPr>
          <w:trHeight w:val="32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sz w:val="28"/>
                <w:szCs w:val="28"/>
              </w:rPr>
            </w:pPr>
            <w:r>
              <w:rPr>
                <w:rFonts w:hint="eastAsia" w:ascii="宋体" w:hAnsi="宋体"/>
                <w:sz w:val="28"/>
                <w:szCs w:val="28"/>
              </w:rPr>
              <w:t>56</w:t>
            </w:r>
          </w:p>
        </w:tc>
        <w:tc>
          <w:tcPr>
            <w:tcW w:w="39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r>
              <w:rPr>
                <w:rFonts w:hint="eastAsia" w:ascii="宋体" w:hAnsi="宋体"/>
                <w:sz w:val="28"/>
                <w:szCs w:val="28"/>
              </w:rPr>
              <w:t>T1水阀执行器2</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8"/>
                <w:szCs w:val="28"/>
              </w:rPr>
            </w:pPr>
          </w:p>
        </w:tc>
      </w:tr>
    </w:tbl>
    <w:p>
      <w:pPr>
        <w:tabs>
          <w:tab w:val="left" w:pos="551"/>
        </w:tabs>
        <w:rPr>
          <w:rFonts w:ascii="Calibri" w:hAnsi="Calibri" w:eastAsia="黑体" w:cs="Calibri"/>
          <w:kern w:val="0"/>
          <w:sz w:val="32"/>
        </w:rPr>
      </w:pPr>
    </w:p>
    <w:p>
      <w:pPr>
        <w:tabs>
          <w:tab w:val="left" w:pos="551"/>
        </w:tabs>
        <w:ind w:firstLine="409"/>
        <w:rPr>
          <w:rFonts w:ascii="Calibri" w:hAnsi="Calibri" w:eastAsia="黑体" w:cs="Calibri"/>
          <w:kern w:val="0"/>
          <w:sz w:val="32"/>
        </w:rPr>
      </w:pPr>
    </w:p>
    <w:p>
      <w:pPr>
        <w:tabs>
          <w:tab w:val="left" w:pos="551"/>
        </w:tabs>
        <w:ind w:firstLine="409"/>
        <w:rPr>
          <w:rFonts w:ascii="Calibri" w:hAnsi="Calibri" w:eastAsia="黑体" w:cs="Calibri"/>
          <w:kern w:val="0"/>
          <w:sz w:val="32"/>
        </w:rPr>
      </w:pPr>
    </w:p>
    <w:p>
      <w:pPr>
        <w:tabs>
          <w:tab w:val="left" w:pos="551"/>
        </w:tabs>
        <w:rPr>
          <w:rFonts w:ascii="Calibri" w:hAnsi="Calibri" w:eastAsia="黑体" w:cs="Calibri"/>
          <w:kern w:val="0"/>
          <w:sz w:val="32"/>
        </w:rPr>
      </w:pPr>
      <w:r>
        <w:rPr>
          <w:rFonts w:ascii="Calibri" w:hAnsi="Calibri" w:eastAsia="黑体" w:cs="Calibri"/>
          <w:kern w:val="0"/>
          <w:sz w:val="32"/>
        </w:rPr>
        <w:br w:type="page"/>
      </w:r>
      <w:r>
        <w:rPr>
          <w:rFonts w:hint="eastAsia" w:ascii="宋体" w:hAnsi="宋体" w:cs="Arial"/>
          <w:b/>
          <w:kern w:val="0"/>
          <w:sz w:val="30"/>
          <w:szCs w:val="30"/>
        </w:rPr>
        <w:t>T3 楼宇自控系统及T3智能灯光系统配件清单</w:t>
      </w:r>
    </w:p>
    <w:tbl>
      <w:tblPr>
        <w:tblStyle w:val="46"/>
        <w:tblW w:w="9700" w:type="dxa"/>
        <w:tblInd w:w="0" w:type="dxa"/>
        <w:tblLayout w:type="fixed"/>
        <w:tblCellMar>
          <w:top w:w="15" w:type="dxa"/>
          <w:left w:w="15" w:type="dxa"/>
          <w:bottom w:w="15" w:type="dxa"/>
          <w:right w:w="15" w:type="dxa"/>
        </w:tblCellMar>
      </w:tblPr>
      <w:tblGrid>
        <w:gridCol w:w="724"/>
        <w:gridCol w:w="3262"/>
        <w:gridCol w:w="636"/>
        <w:gridCol w:w="1029"/>
        <w:gridCol w:w="2115"/>
        <w:gridCol w:w="870"/>
        <w:gridCol w:w="1064"/>
      </w:tblGrid>
      <w:tr>
        <w:tblPrEx>
          <w:tblLayout w:type="fixed"/>
          <w:tblCellMar>
            <w:top w:w="15" w:type="dxa"/>
            <w:left w:w="15" w:type="dxa"/>
            <w:bottom w:w="15" w:type="dxa"/>
            <w:right w:w="15" w:type="dxa"/>
          </w:tblCellMar>
        </w:tblPrEx>
        <w:trPr>
          <w:trHeight w:val="562"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设备名称</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型号规格</w:t>
            </w:r>
          </w:p>
        </w:tc>
        <w:tc>
          <w:tcPr>
            <w:tcW w:w="8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单价（元）</w:t>
            </w:r>
          </w:p>
        </w:tc>
        <w:tc>
          <w:tcPr>
            <w:tcW w:w="10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质保</w:t>
            </w: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送/回风温湿度传感器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送风温度传感器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室内温度传感器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二氧化碳检测传感器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二氧化碳传感器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压力液位传感器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供回水压力传感器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tabs>
                <w:tab w:val="left" w:pos="382"/>
              </w:tabs>
              <w:jc w:val="left"/>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供回水温度传感器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室外温湿度传感器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室外照度传感器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高液位开关传感器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压差传感器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风量传感器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水流开关传感器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调节风阀</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开关风阀</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WEB600网络管理器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WEB600导轨式电源</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DDC控制器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DDC控制柜</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非网管网络交换机</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非网管网络交换机</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光纤收发器</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开关执行器主（子）模块</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90"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开关量输入模块</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32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四联智能面板</w:t>
            </w:r>
          </w:p>
        </w:tc>
        <w:tc>
          <w:tcPr>
            <w:tcW w:w="16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4通道年定时器</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28</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640mA带扼流总线电源</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29</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KNX IP路由器</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456"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30</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KNX系统过压保护器</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31</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存在探测器，吸顶安装</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i/>
                <w:iCs/>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32</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室内亮度感应器，齐平安装</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33</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光电转换器，单模</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34</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T3电动压差动态平衡阀1</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35</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T3电动压差动态平衡阀2</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36</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T3电动压差动态平衡阀3</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37</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T3电动压差动态平衡阀4</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38</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T3电动压差动态平衡阀5</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39</w:t>
            </w:r>
          </w:p>
        </w:tc>
        <w:tc>
          <w:tcPr>
            <w:tcW w:w="32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T3电动压差动态平衡阀6</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c>
          <w:tcPr>
            <w:tcW w:w="38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T3电动压差动态平衡阀7</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41</w:t>
            </w:r>
          </w:p>
        </w:tc>
        <w:tc>
          <w:tcPr>
            <w:tcW w:w="38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T3电动压差动态平衡阀8</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r>
        <w:tblPrEx>
          <w:tblLayout w:type="fixed"/>
          <w:tblCellMar>
            <w:top w:w="15" w:type="dxa"/>
            <w:left w:w="15" w:type="dxa"/>
            <w:bottom w:w="15" w:type="dxa"/>
            <w:right w:w="15" w:type="dxa"/>
          </w:tblCellMar>
        </w:tblPrEx>
        <w:trPr>
          <w:trHeight w:val="325" w:hRule="atLeast"/>
        </w:trPr>
        <w:tc>
          <w:tcPr>
            <w:tcW w:w="724"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42</w:t>
            </w:r>
          </w:p>
        </w:tc>
        <w:tc>
          <w:tcPr>
            <w:tcW w:w="38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r>
              <w:rPr>
                <w:rFonts w:hint="eastAsia" w:ascii="宋体" w:hAnsi="宋体"/>
                <w:sz w:val="28"/>
                <w:szCs w:val="28"/>
              </w:rPr>
              <w:t>T3电动压差动态平衡阀执行器</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_GB2312" w:hAnsi="仿宋_GB2312" w:eastAsia="仿宋_GB2312" w:cs="仿宋_GB2312"/>
                <w:sz w:val="28"/>
                <w:szCs w:val="28"/>
              </w:rPr>
            </w:pPr>
          </w:p>
        </w:tc>
        <w:tc>
          <w:tcPr>
            <w:tcW w:w="87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c>
          <w:tcPr>
            <w:tcW w:w="106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仿宋_GB2312" w:eastAsia="仿宋_GB2312" w:cs="仿宋_GB2312"/>
                <w:sz w:val="28"/>
                <w:szCs w:val="28"/>
              </w:rPr>
            </w:pPr>
          </w:p>
        </w:tc>
      </w:tr>
    </w:tbl>
    <w:p>
      <w:pPr>
        <w:tabs>
          <w:tab w:val="left" w:pos="1369"/>
        </w:tabs>
        <w:rPr>
          <w:rFonts w:ascii="Calibri" w:hAnsi="Calibri" w:eastAsia="黑体" w:cs="Calibri"/>
          <w:kern w:val="0"/>
          <w:sz w:val="32"/>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pStyle w:val="80"/>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附件3 ： 维保可提供资料</w:t>
      </w:r>
    </w:p>
    <w:p>
      <w:pPr>
        <w:pStyle w:val="80"/>
        <w:spacing w:line="560" w:lineRule="exact"/>
        <w:ind w:firstLine="0" w:firstLineChars="0"/>
        <w:rPr>
          <w:rFonts w:ascii="仿宋_GB2312" w:hAnsi="仿宋_GB2312" w:eastAsia="仿宋_GB2312" w:cs="仿宋_GB2312"/>
          <w:sz w:val="28"/>
          <w:szCs w:val="28"/>
        </w:rPr>
      </w:pPr>
    </w:p>
    <w:p>
      <w:pPr>
        <w:spacing w:line="560" w:lineRule="exact"/>
        <w:ind w:firstLine="640" w:firstLineChars="200"/>
        <w:jc w:val="center"/>
        <w:rPr>
          <w:rFonts w:ascii="仿宋_GB2312" w:hAnsi="Century Gothic" w:eastAsia="仿宋_GB2312"/>
          <w:b/>
          <w:spacing w:val="10"/>
          <w:sz w:val="30"/>
          <w:szCs w:val="30"/>
        </w:rPr>
      </w:pPr>
      <w:r>
        <w:rPr>
          <w:rFonts w:hint="eastAsia" w:ascii="Calibri" w:hAnsi="Calibri" w:eastAsia="黑体" w:cs="Calibri"/>
          <w:kern w:val="0"/>
          <w:sz w:val="32"/>
        </w:rPr>
        <w:tab/>
      </w:r>
      <w:r>
        <w:rPr>
          <w:rFonts w:hint="eastAsia" w:ascii="宋体" w:hAnsi="宋体" w:cs="Arial"/>
          <w:b/>
          <w:kern w:val="0"/>
          <w:sz w:val="30"/>
          <w:szCs w:val="30"/>
        </w:rPr>
        <w:t>T1，T2 楼宇自控系统及T2智能灯光系统主要资料</w:t>
      </w:r>
    </w:p>
    <w:tbl>
      <w:tblPr>
        <w:tblStyle w:val="46"/>
        <w:tblpPr w:leftFromText="180" w:rightFromText="180" w:vertAnchor="text" w:horzAnchor="page" w:tblpXSpec="center" w:tblpY="614"/>
        <w:tblOverlap w:val="never"/>
        <w:tblW w:w="98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3"/>
        <w:gridCol w:w="2077"/>
        <w:gridCol w:w="3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材料</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数量</w:t>
            </w:r>
          </w:p>
        </w:tc>
        <w:tc>
          <w:tcPr>
            <w:tcW w:w="328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T1楼控系统实物清单</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3283" w:type="dxa"/>
            <w:vAlign w:val="center"/>
          </w:tcPr>
          <w:p>
            <w:pPr>
              <w:adjustRightInd w:val="0"/>
              <w:snapToGrid w:val="0"/>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T2智能灯光系统实物清单</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3283" w:type="dxa"/>
            <w:vAlign w:val="center"/>
          </w:tcPr>
          <w:p>
            <w:pPr>
              <w:adjustRightInd w:val="0"/>
              <w:snapToGrid w:val="0"/>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T2楼控系统实物清单</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3283" w:type="dxa"/>
            <w:vAlign w:val="center"/>
          </w:tcPr>
          <w:p>
            <w:pPr>
              <w:adjustRightInd w:val="0"/>
              <w:snapToGrid w:val="0"/>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T1楼控系统图纸</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328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拷贝或查阅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T2楼控系统图纸</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328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拷贝或查阅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T2智能灯光系统图纸</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328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拷贝或查阅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T1楼控系统点位表</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3283" w:type="dxa"/>
            <w:vAlign w:val="center"/>
          </w:tcPr>
          <w:p>
            <w:pPr>
              <w:adjustRightInd w:val="0"/>
              <w:snapToGrid w:val="0"/>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T2楼控系统点位表</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3283" w:type="dxa"/>
            <w:vAlign w:val="center"/>
          </w:tcPr>
          <w:p>
            <w:pPr>
              <w:adjustRightInd w:val="0"/>
              <w:snapToGrid w:val="0"/>
              <w:spacing w:line="360" w:lineRule="auto"/>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4493"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T2智能灯光系统点位表</w:t>
            </w:r>
          </w:p>
        </w:tc>
        <w:tc>
          <w:tcPr>
            <w:tcW w:w="2077" w:type="dxa"/>
            <w:vAlign w:val="center"/>
          </w:tcPr>
          <w:p>
            <w:pPr>
              <w:adjustRightInd w:val="0"/>
              <w:snapToGrid w:val="0"/>
              <w:spacing w:line="360" w:lineRule="auto"/>
              <w:jc w:val="center"/>
              <w:rPr>
                <w:rFonts w:ascii="宋体" w:hAnsi="宋体"/>
                <w:sz w:val="28"/>
                <w:szCs w:val="28"/>
              </w:rPr>
            </w:pPr>
            <w:r>
              <w:rPr>
                <w:rFonts w:hint="eastAsia" w:ascii="宋体" w:hAnsi="宋体"/>
                <w:sz w:val="28"/>
                <w:szCs w:val="28"/>
              </w:rPr>
              <w:t>1</w:t>
            </w:r>
          </w:p>
        </w:tc>
        <w:tc>
          <w:tcPr>
            <w:tcW w:w="3283" w:type="dxa"/>
            <w:vAlign w:val="center"/>
          </w:tcPr>
          <w:p>
            <w:pPr>
              <w:adjustRightInd w:val="0"/>
              <w:snapToGrid w:val="0"/>
              <w:spacing w:line="360" w:lineRule="auto"/>
              <w:jc w:val="center"/>
              <w:rPr>
                <w:rFonts w:ascii="宋体" w:hAnsi="宋体"/>
                <w:sz w:val="28"/>
                <w:szCs w:val="28"/>
              </w:rPr>
            </w:pPr>
          </w:p>
        </w:tc>
      </w:tr>
    </w:tbl>
    <w:p>
      <w:pPr>
        <w:tabs>
          <w:tab w:val="left" w:pos="821"/>
        </w:tabs>
        <w:rPr>
          <w:rFonts w:ascii="Calibri" w:hAnsi="Calibri" w:eastAsia="黑体" w:cs="Calibri"/>
          <w:kern w:val="0"/>
          <w:sz w:val="32"/>
        </w:rPr>
      </w:pPr>
    </w:p>
    <w:p>
      <w:pPr>
        <w:tabs>
          <w:tab w:val="left" w:pos="821"/>
        </w:tabs>
        <w:rPr>
          <w:rFonts w:ascii="Calibri" w:hAnsi="Calibri" w:eastAsia="黑体" w:cs="Calibri"/>
          <w:kern w:val="0"/>
          <w:sz w:val="32"/>
        </w:rPr>
      </w:pPr>
    </w:p>
    <w:p>
      <w:pPr>
        <w:rPr>
          <w:rFonts w:ascii="Calibri" w:hAnsi="Calibri" w:eastAsia="黑体" w:cs="Calibri"/>
          <w:kern w:val="0"/>
          <w:sz w:val="32"/>
        </w:rPr>
      </w:pPr>
    </w:p>
    <w:p>
      <w:pPr>
        <w:rPr>
          <w:rFonts w:ascii="Calibri" w:hAnsi="Calibri" w:eastAsia="黑体" w:cs="Calibri"/>
          <w:kern w:val="0"/>
          <w:sz w:val="32"/>
        </w:rPr>
      </w:pPr>
    </w:p>
    <w:p>
      <w:pPr>
        <w:rPr>
          <w:rFonts w:ascii="Calibri" w:hAnsi="Calibri" w:eastAsia="黑体" w:cs="Calibri"/>
          <w:kern w:val="0"/>
          <w:sz w:val="32"/>
        </w:rPr>
      </w:pPr>
    </w:p>
    <w:p>
      <w:pPr>
        <w:rPr>
          <w:rFonts w:ascii="Calibri" w:hAnsi="Calibri" w:eastAsia="黑体" w:cs="Calibri"/>
          <w:kern w:val="0"/>
          <w:sz w:val="32"/>
        </w:rPr>
      </w:pPr>
    </w:p>
    <w:p>
      <w:pPr>
        <w:rPr>
          <w:rFonts w:ascii="Calibri" w:hAnsi="Calibri" w:eastAsia="黑体" w:cs="Calibri"/>
          <w:kern w:val="0"/>
          <w:sz w:val="32"/>
        </w:rPr>
      </w:pPr>
    </w:p>
    <w:p>
      <w:pPr>
        <w:rPr>
          <w:rFonts w:ascii="Calibri" w:hAnsi="Calibri" w:eastAsia="黑体" w:cs="Calibri"/>
          <w:kern w:val="0"/>
          <w:sz w:val="32"/>
        </w:rPr>
      </w:pPr>
    </w:p>
    <w:p>
      <w:pPr>
        <w:spacing w:line="560" w:lineRule="exact"/>
        <w:jc w:val="center"/>
        <w:rPr>
          <w:rFonts w:ascii="仿宋_GB2312" w:hAnsi="Century Gothic" w:eastAsia="仿宋_GB2312"/>
          <w:b/>
          <w:spacing w:val="10"/>
          <w:sz w:val="30"/>
          <w:szCs w:val="30"/>
        </w:rPr>
      </w:pPr>
      <w:r>
        <w:rPr>
          <w:rFonts w:ascii="Calibri" w:hAnsi="Calibri" w:eastAsia="黑体" w:cs="Calibri"/>
          <w:kern w:val="0"/>
          <w:sz w:val="32"/>
        </w:rPr>
        <w:br w:type="page"/>
      </w:r>
      <w:r>
        <w:rPr>
          <w:rFonts w:hint="eastAsia" w:ascii="宋体" w:hAnsi="宋体" w:cs="Arial"/>
          <w:b/>
          <w:kern w:val="0"/>
          <w:sz w:val="30"/>
          <w:szCs w:val="30"/>
        </w:rPr>
        <w:t>T3楼宇自控系统及T3智能灯光系统主要资料</w:t>
      </w:r>
    </w:p>
    <w:p>
      <w:pPr>
        <w:ind w:firstLine="409"/>
        <w:rPr>
          <w:rFonts w:ascii="Calibri" w:hAnsi="Calibri" w:eastAsia="黑体" w:cs="Calibri"/>
          <w:kern w:val="0"/>
          <w:sz w:val="32"/>
        </w:rPr>
      </w:pPr>
    </w:p>
    <w:tbl>
      <w:tblPr>
        <w:tblStyle w:val="46"/>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2030"/>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39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材料</w:t>
            </w:r>
          </w:p>
        </w:tc>
        <w:tc>
          <w:tcPr>
            <w:tcW w:w="203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3208"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T3智能灯光系统实物清单</w:t>
            </w:r>
          </w:p>
        </w:tc>
        <w:tc>
          <w:tcPr>
            <w:tcW w:w="203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08"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T3楼控系统实物清单</w:t>
            </w:r>
          </w:p>
        </w:tc>
        <w:tc>
          <w:tcPr>
            <w:tcW w:w="203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08"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9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T3楼控系统图纸</w:t>
            </w:r>
          </w:p>
        </w:tc>
        <w:tc>
          <w:tcPr>
            <w:tcW w:w="203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08"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拷贝或查阅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439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T3智能灯光系统图纸</w:t>
            </w:r>
          </w:p>
        </w:tc>
        <w:tc>
          <w:tcPr>
            <w:tcW w:w="203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08"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拷贝或查阅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439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T3楼控系统点位表</w:t>
            </w:r>
          </w:p>
        </w:tc>
        <w:tc>
          <w:tcPr>
            <w:tcW w:w="203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08" w:type="dxa"/>
            <w:vAlign w:val="center"/>
          </w:tcPr>
          <w:p>
            <w:pPr>
              <w:adjustRightInd w:val="0"/>
              <w:snapToGrid w:val="0"/>
              <w:spacing w:line="360" w:lineRule="auto"/>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439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T3智能灯光系统点位表</w:t>
            </w:r>
          </w:p>
        </w:tc>
        <w:tc>
          <w:tcPr>
            <w:tcW w:w="2030" w:type="dxa"/>
            <w:vAlign w:val="center"/>
          </w:tcPr>
          <w:p>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208" w:type="dxa"/>
            <w:vAlign w:val="center"/>
          </w:tcPr>
          <w:p>
            <w:pPr>
              <w:adjustRightInd w:val="0"/>
              <w:snapToGrid w:val="0"/>
              <w:spacing w:line="360" w:lineRule="auto"/>
              <w:jc w:val="center"/>
              <w:rPr>
                <w:rFonts w:ascii="仿宋_GB2312" w:hAnsi="仿宋_GB2312" w:eastAsia="仿宋_GB2312" w:cs="仿宋_GB2312"/>
                <w:sz w:val="28"/>
                <w:szCs w:val="28"/>
              </w:rPr>
            </w:pPr>
          </w:p>
        </w:tc>
      </w:tr>
    </w:tbl>
    <w:p>
      <w:pPr>
        <w:ind w:firstLine="409"/>
        <w:rPr>
          <w:rFonts w:ascii="Calibri" w:hAnsi="Calibri" w:eastAsia="黑体" w:cs="Calibri"/>
          <w:kern w:val="0"/>
          <w:sz w:val="32"/>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p>
    <w:p>
      <w:pPr>
        <w:pStyle w:val="80"/>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附件4： 杭州萧山国际机场有限公司廉洁自律承诺书</w:t>
      </w: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p>
    <w:p>
      <w:pPr>
        <w:pStyle w:val="80"/>
        <w:spacing w:line="560" w:lineRule="exact"/>
        <w:ind w:firstLine="562"/>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杭州萧山国际机场有限公司廉洁自律承诺书</w:t>
      </w:r>
    </w:p>
    <w:p>
      <w:pPr>
        <w:pStyle w:val="81"/>
        <w:adjustRightInd w:val="0"/>
        <w:snapToGrid w:val="0"/>
        <w:spacing w:line="560" w:lineRule="exact"/>
        <w:ind w:firstLine="562"/>
        <w:jc w:val="left"/>
        <w:rPr>
          <w:rFonts w:ascii="仿宋_GB2312" w:hAnsi="仿宋_GB2312" w:eastAsia="仿宋_GB2312" w:cs="仿宋_GB2312"/>
          <w:b/>
          <w:sz w:val="28"/>
          <w:szCs w:val="28"/>
        </w:rPr>
      </w:pPr>
    </w:p>
    <w:p>
      <w:pPr>
        <w:pStyle w:val="81"/>
        <w:adjustRightInd w:val="0"/>
        <w:snapToGrid w:val="0"/>
        <w:ind w:left="420" w:firstLine="0" w:firstLineChars="0"/>
        <w:jc w:val="left"/>
        <w:rPr>
          <w:rFonts w:ascii="宋体" w:hAnsi="宋体"/>
          <w:b/>
          <w:szCs w:val="24"/>
        </w:rPr>
      </w:pPr>
      <w:r>
        <w:rPr>
          <w:rFonts w:hint="eastAsia" w:ascii="宋体" w:hAnsi="宋体"/>
          <w:b/>
          <w:szCs w:val="24"/>
        </w:rPr>
        <w:t>杭州萧山国际机场有限公司：</w:t>
      </w:r>
    </w:p>
    <w:p>
      <w:pPr>
        <w:pStyle w:val="81"/>
        <w:adjustRightInd w:val="0"/>
        <w:snapToGrid w:val="0"/>
        <w:ind w:left="900"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81"/>
        <w:adjustRightInd w:val="0"/>
        <w:snapToGrid w:val="0"/>
        <w:ind w:left="900"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1"/>
        <w:adjustRightInd w:val="0"/>
        <w:snapToGrid w:val="0"/>
        <w:ind w:left="900"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81"/>
        <w:adjustRightInd w:val="0"/>
        <w:snapToGrid w:val="0"/>
        <w:ind w:left="900"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81"/>
        <w:adjustRightInd w:val="0"/>
        <w:snapToGrid w:val="0"/>
        <w:ind w:left="900" w:firstLine="480"/>
        <w:jc w:val="left"/>
        <w:rPr>
          <w:rFonts w:ascii="宋体" w:hAnsi="宋体"/>
          <w:szCs w:val="24"/>
        </w:rPr>
      </w:pPr>
      <w:r>
        <w:rPr>
          <w:rFonts w:hint="eastAsia" w:ascii="宋体" w:hAnsi="宋体"/>
          <w:szCs w:val="24"/>
        </w:rPr>
        <w:t>四、不为贵公司有关人员或项目第三方人员出国（境）、旅游等提供方便；</w:t>
      </w:r>
    </w:p>
    <w:p>
      <w:pPr>
        <w:pStyle w:val="81"/>
        <w:adjustRightInd w:val="0"/>
        <w:snapToGrid w:val="0"/>
        <w:ind w:left="900"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81"/>
        <w:adjustRightInd w:val="0"/>
        <w:snapToGrid w:val="0"/>
        <w:ind w:left="900"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81"/>
        <w:adjustRightInd w:val="0"/>
        <w:snapToGrid w:val="0"/>
        <w:ind w:left="900" w:firstLine="48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Cs w:val="24"/>
        </w:rPr>
        <w:t>0571－86661113。</w:t>
      </w:r>
    </w:p>
    <w:p>
      <w:pPr>
        <w:pStyle w:val="81"/>
        <w:adjustRightInd w:val="0"/>
        <w:snapToGrid w:val="0"/>
        <w:ind w:left="900" w:firstLine="480"/>
        <w:jc w:val="left"/>
        <w:rPr>
          <w:rFonts w:ascii="宋体" w:hAnsi="宋体"/>
          <w:szCs w:val="24"/>
        </w:rPr>
      </w:pPr>
      <w:r>
        <w:rPr>
          <w:rFonts w:hint="eastAsia" w:ascii="宋体" w:hAnsi="宋体"/>
          <w:szCs w:val="24"/>
        </w:rPr>
        <w:t>八、如违反上述廉洁自律承诺，贵公司有权：</w:t>
      </w:r>
    </w:p>
    <w:p>
      <w:pPr>
        <w:pStyle w:val="81"/>
        <w:numPr>
          <w:ilvl w:val="0"/>
          <w:numId w:val="9"/>
        </w:numPr>
        <w:adjustRightInd w:val="0"/>
        <w:snapToGrid w:val="0"/>
        <w:ind w:left="620" w:firstLineChars="0"/>
        <w:jc w:val="left"/>
        <w:rPr>
          <w:rFonts w:ascii="宋体" w:hAnsi="宋体"/>
          <w:szCs w:val="24"/>
        </w:rPr>
      </w:pPr>
      <w:r>
        <w:rPr>
          <w:rFonts w:hint="eastAsia" w:ascii="宋体" w:hAnsi="宋体"/>
          <w:szCs w:val="24"/>
        </w:rPr>
        <w:t>立即取消我单位投标、中标或在建项目的实施资格；</w:t>
      </w:r>
    </w:p>
    <w:p>
      <w:pPr>
        <w:pStyle w:val="81"/>
        <w:numPr>
          <w:ilvl w:val="0"/>
          <w:numId w:val="9"/>
        </w:numPr>
        <w:adjustRightInd w:val="0"/>
        <w:snapToGrid w:val="0"/>
        <w:ind w:left="620" w:firstLineChars="0"/>
        <w:jc w:val="left"/>
        <w:rPr>
          <w:rFonts w:ascii="宋体" w:hAnsi="宋体"/>
          <w:szCs w:val="24"/>
        </w:rPr>
      </w:pPr>
      <w:r>
        <w:rPr>
          <w:rFonts w:hint="eastAsia" w:ascii="宋体" w:hAnsi="宋体"/>
          <w:szCs w:val="24"/>
        </w:rPr>
        <w:t>扣除我方向贵公司缴纳的履约保证金的</w:t>
      </w:r>
      <w:r>
        <w:rPr>
          <w:rFonts w:ascii="宋体" w:hAnsi="宋体"/>
          <w:szCs w:val="24"/>
        </w:rPr>
        <w:t>10%作为违反廉洁自律承诺的违约金。如该违约金不足以弥补贵公司损失的，我单位仍将承担实际损失赔偿责任。</w:t>
      </w:r>
    </w:p>
    <w:p>
      <w:pPr>
        <w:pStyle w:val="81"/>
        <w:numPr>
          <w:ilvl w:val="0"/>
          <w:numId w:val="9"/>
        </w:numPr>
        <w:adjustRightInd w:val="0"/>
        <w:snapToGrid w:val="0"/>
        <w:ind w:left="620"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81"/>
        <w:numPr>
          <w:ilvl w:val="0"/>
          <w:numId w:val="9"/>
        </w:numPr>
        <w:adjustRightInd w:val="0"/>
        <w:snapToGrid w:val="0"/>
        <w:ind w:left="620" w:firstLineChars="0"/>
        <w:jc w:val="left"/>
        <w:rPr>
          <w:rFonts w:ascii="宋体" w:hAnsi="宋体"/>
          <w:szCs w:val="24"/>
        </w:rPr>
      </w:pPr>
      <w:r>
        <w:rPr>
          <w:rFonts w:hint="eastAsia" w:ascii="宋体" w:hAnsi="宋体"/>
          <w:szCs w:val="24"/>
        </w:rPr>
        <w:t>由此引起的相应损失均由我单位承担。</w:t>
      </w:r>
    </w:p>
    <w:p>
      <w:pPr>
        <w:pStyle w:val="81"/>
        <w:adjustRightInd w:val="0"/>
        <w:snapToGrid w:val="0"/>
        <w:ind w:left="900" w:firstLine="480"/>
        <w:jc w:val="left"/>
        <w:rPr>
          <w:rFonts w:ascii="宋体" w:hAnsi="宋体"/>
          <w:szCs w:val="24"/>
        </w:rPr>
      </w:pPr>
    </w:p>
    <w:p>
      <w:pPr>
        <w:pStyle w:val="81"/>
        <w:adjustRightInd w:val="0"/>
        <w:snapToGrid w:val="0"/>
        <w:ind w:left="900" w:firstLine="480"/>
        <w:jc w:val="left"/>
        <w:rPr>
          <w:rFonts w:ascii="宋体" w:hAnsi="宋体"/>
          <w:szCs w:val="24"/>
        </w:rPr>
      </w:pPr>
      <w:r>
        <w:rPr>
          <w:rFonts w:hint="eastAsia" w:ascii="宋体" w:hAnsi="宋体"/>
          <w:szCs w:val="24"/>
        </w:rPr>
        <w:t>承诺人单位名称（盖章）：</w:t>
      </w:r>
      <w:r>
        <w:rPr>
          <w:rFonts w:ascii="宋体" w:hAnsi="宋体"/>
          <w:szCs w:val="24"/>
        </w:rPr>
        <w:t xml:space="preserve">            </w:t>
      </w:r>
    </w:p>
    <w:p>
      <w:pPr>
        <w:pStyle w:val="81"/>
        <w:adjustRightInd w:val="0"/>
        <w:snapToGrid w:val="0"/>
        <w:ind w:left="900" w:firstLine="480"/>
        <w:jc w:val="left"/>
        <w:rPr>
          <w:rFonts w:ascii="宋体" w:hAnsi="宋体"/>
          <w:szCs w:val="24"/>
        </w:rPr>
      </w:pPr>
      <w:r>
        <w:rPr>
          <w:rFonts w:hint="eastAsia" w:ascii="宋体" w:hAnsi="宋体"/>
          <w:szCs w:val="24"/>
        </w:rPr>
        <w:t>法定代表人</w:t>
      </w:r>
      <w:r>
        <w:rPr>
          <w:rFonts w:ascii="宋体" w:hAnsi="宋体"/>
          <w:szCs w:val="24"/>
        </w:rPr>
        <w:t xml:space="preserve"> ：                    </w:t>
      </w:r>
    </w:p>
    <w:p>
      <w:pPr>
        <w:pStyle w:val="81"/>
        <w:adjustRightInd w:val="0"/>
        <w:snapToGrid w:val="0"/>
        <w:ind w:left="900" w:firstLine="480"/>
        <w:jc w:val="left"/>
        <w:rPr>
          <w:rFonts w:ascii="宋体" w:hAnsi="宋体"/>
          <w:szCs w:val="24"/>
        </w:rPr>
      </w:pPr>
      <w:r>
        <w:rPr>
          <w:rFonts w:hint="eastAsia" w:ascii="宋体" w:hAnsi="宋体"/>
          <w:szCs w:val="24"/>
        </w:rPr>
        <w:t>或</w:t>
      </w:r>
      <w:r>
        <w:rPr>
          <w:rFonts w:ascii="宋体" w:hAnsi="宋体"/>
          <w:szCs w:val="24"/>
        </w:rPr>
        <w:t xml:space="preserve">                            </w:t>
      </w:r>
    </w:p>
    <w:p>
      <w:pPr>
        <w:pStyle w:val="81"/>
        <w:adjustRightInd w:val="0"/>
        <w:snapToGrid w:val="0"/>
        <w:ind w:left="900" w:firstLine="480"/>
        <w:jc w:val="left"/>
        <w:rPr>
          <w:rFonts w:ascii="宋体" w:hAnsi="宋体"/>
          <w:szCs w:val="24"/>
        </w:rPr>
      </w:pPr>
      <w:r>
        <w:rPr>
          <w:rFonts w:hint="eastAsia" w:ascii="宋体" w:hAnsi="宋体"/>
          <w:szCs w:val="24"/>
        </w:rPr>
        <w:t>委托代理人：</w:t>
      </w:r>
      <w:r>
        <w:rPr>
          <w:rFonts w:ascii="宋体" w:hAnsi="宋体"/>
          <w:szCs w:val="24"/>
        </w:rPr>
        <w:t xml:space="preserve">                   </w:t>
      </w:r>
    </w:p>
    <w:p>
      <w:pPr>
        <w:pStyle w:val="81"/>
        <w:adjustRightInd w:val="0"/>
        <w:snapToGrid w:val="0"/>
        <w:ind w:left="902" w:firstLine="480"/>
        <w:jc w:val="left"/>
        <w:rPr>
          <w:rFonts w:ascii="宋体" w:hAnsi="宋体"/>
          <w:b/>
          <w:szCs w:val="24"/>
        </w:rPr>
      </w:pPr>
    </w:p>
    <w:p>
      <w:pPr>
        <w:pStyle w:val="42"/>
        <w:rPr>
          <w:rFonts w:ascii="宋体" w:hAnsi="宋体"/>
          <w:b w:val="0"/>
          <w:sz w:val="24"/>
          <w:szCs w:val="24"/>
        </w:rPr>
      </w:pPr>
      <w:r>
        <w:rPr>
          <w:rFonts w:ascii="宋体" w:hAnsi="宋体"/>
          <w:b w:val="0"/>
          <w:sz w:val="24"/>
          <w:szCs w:val="24"/>
        </w:rPr>
        <w:t xml:space="preserve">                           年     月     日</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附件5：保密承诺书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numPr>
          <w:ilvl w:val="0"/>
          <w:numId w:val="10"/>
        </w:num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附件6： 维保服务季度考核标准细则</w:t>
      </w:r>
    </w:p>
    <w:p>
      <w:pPr>
        <w:spacing w:line="560" w:lineRule="exact"/>
        <w:jc w:val="left"/>
        <w:rPr>
          <w:rFonts w:ascii="仿宋_GB2312" w:hAnsi="仿宋_GB2312" w:eastAsia="仿宋_GB2312" w:cs="仿宋_GB2312"/>
          <w:sz w:val="28"/>
          <w:szCs w:val="28"/>
        </w:rPr>
      </w:pP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甲方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并要求乙方承担合同总服务费10%的违约金。</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2.甲方监管人员必须严格按照维保的评分标准进行打分，评分结果报单位主管领导签字确认，并通知乙方。</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3.考核细则：</w:t>
      </w:r>
    </w:p>
    <w:p>
      <w:pPr>
        <w:spacing w:line="560" w:lineRule="exact"/>
        <w:ind w:firstLine="602" w:firstLineChars="200"/>
        <w:jc w:val="center"/>
        <w:rPr>
          <w:rFonts w:ascii="宋体" w:hAnsi="宋体" w:eastAsia="宋体" w:cs="宋体"/>
          <w:b/>
          <w:bCs/>
          <w:sz w:val="30"/>
          <w:szCs w:val="30"/>
        </w:rPr>
      </w:pPr>
      <w:r>
        <w:rPr>
          <w:rFonts w:hint="eastAsia" w:ascii="宋体" w:hAnsi="宋体" w:eastAsia="宋体" w:cs="宋体"/>
          <w:b/>
          <w:bCs/>
          <w:sz w:val="30"/>
          <w:szCs w:val="30"/>
        </w:rPr>
        <w:t>2019年第   季度</w:t>
      </w:r>
    </w:p>
    <w:p>
      <w:pPr>
        <w:rPr>
          <w:rFonts w:ascii="宋体" w:hAnsi="宋体" w:eastAsia="宋体" w:cs="宋体"/>
          <w:b/>
          <w:sz w:val="24"/>
        </w:rPr>
      </w:pPr>
      <w:r>
        <w:rPr>
          <w:rFonts w:hint="eastAsia" w:ascii="宋体" w:hAnsi="宋体" w:eastAsia="宋体" w:cs="宋体"/>
          <w:b/>
          <w:sz w:val="24"/>
        </w:rPr>
        <w:t xml:space="preserve">项目名称：杭州萧山国际机场T1T2T3楼宇自控及T2T3智能照明系统维保项目 </w:t>
      </w:r>
    </w:p>
    <w:p>
      <w:pPr>
        <w:rPr>
          <w:rFonts w:ascii="宋体" w:hAnsi="宋体" w:eastAsia="宋体" w:cs="宋体"/>
          <w:b/>
          <w:sz w:val="24"/>
        </w:rPr>
      </w:pPr>
      <w:r>
        <w:rPr>
          <w:rFonts w:hint="eastAsia" w:ascii="宋体" w:hAnsi="宋体" w:eastAsia="宋体" w:cs="宋体"/>
          <w:b/>
          <w:sz w:val="24"/>
        </w:rPr>
        <w:t>考核单位：杭州萧山国际机场动力机电与能源管理部暖通室</w:t>
      </w:r>
    </w:p>
    <w:p>
      <w:pPr>
        <w:rPr>
          <w:rFonts w:ascii="宋体" w:hAnsi="宋体" w:eastAsia="宋体" w:cs="宋体"/>
          <w:b/>
          <w:sz w:val="24"/>
        </w:rPr>
      </w:pPr>
      <w:r>
        <w:rPr>
          <w:rFonts w:hint="eastAsia" w:ascii="宋体" w:hAnsi="宋体" w:eastAsia="宋体" w:cs="宋体"/>
          <w:b/>
          <w:sz w:val="24"/>
        </w:rPr>
        <w:t>被考核单位：</w:t>
      </w:r>
    </w:p>
    <w:p>
      <w:pPr>
        <w:rPr>
          <w:rFonts w:ascii="宋体" w:hAnsi="宋体"/>
          <w:b/>
          <w:sz w:val="24"/>
        </w:rPr>
      </w:pPr>
    </w:p>
    <w:tbl>
      <w:tblPr>
        <w:tblStyle w:val="46"/>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709"/>
        <w:gridCol w:w="3499"/>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126"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529"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tcPr>
          <w:p>
            <w:pPr>
              <w:spacing w:after="1" w:line="252" w:lineRule="auto"/>
              <w:jc w:val="center"/>
              <w:rPr>
                <w:rFonts w:ascii="宋体" w:hAnsi="宋体"/>
                <w:color w:val="000000"/>
              </w:rPr>
            </w:pPr>
            <w:r>
              <w:rPr>
                <w:rFonts w:ascii="宋体" w:hAnsi="宋体"/>
                <w:color w:val="000000"/>
              </w:rPr>
              <w:t>1.1</w:t>
            </w:r>
          </w:p>
        </w:tc>
        <w:tc>
          <w:tcPr>
            <w:tcW w:w="2670" w:type="dxa"/>
          </w:tcPr>
          <w:p>
            <w:pPr>
              <w:spacing w:line="259" w:lineRule="auto"/>
              <w:jc w:val="left"/>
              <w:rPr>
                <w:rFonts w:ascii="宋体" w:hAnsi="宋体"/>
                <w:color w:val="000000"/>
              </w:rPr>
            </w:pPr>
            <w:r>
              <w:rPr>
                <w:rFonts w:hint="eastAsia" w:ascii="宋体" w:hAnsi="宋体"/>
                <w:color w:val="000000"/>
              </w:rPr>
              <w:t>恐怖事件</w:t>
            </w:r>
          </w:p>
        </w:tc>
        <w:tc>
          <w:tcPr>
            <w:tcW w:w="2126" w:type="dxa"/>
            <w:gridSpan w:val="2"/>
          </w:tcPr>
          <w:p>
            <w:pPr>
              <w:spacing w:line="259" w:lineRule="auto"/>
              <w:ind w:left="2"/>
              <w:rPr>
                <w:rFonts w:ascii="宋体" w:hAnsi="宋体"/>
                <w:color w:val="000000"/>
              </w:rPr>
            </w:pPr>
            <w:r>
              <w:rPr>
                <w:rFonts w:ascii="宋体" w:hAnsi="宋体"/>
                <w:color w:val="000000"/>
              </w:rPr>
              <w:t xml:space="preserve"> </w:t>
            </w:r>
          </w:p>
        </w:tc>
        <w:tc>
          <w:tcPr>
            <w:tcW w:w="3529" w:type="dxa"/>
            <w:gridSpan w:val="2"/>
            <w:vMerge w:val="restart"/>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tcPr>
          <w:p>
            <w:pPr>
              <w:spacing w:after="1" w:line="252" w:lineRule="auto"/>
              <w:jc w:val="center"/>
              <w:rPr>
                <w:rFonts w:ascii="宋体" w:hAnsi="宋体"/>
                <w:color w:val="000000"/>
              </w:rPr>
            </w:pPr>
            <w:r>
              <w:rPr>
                <w:rFonts w:ascii="宋体" w:hAnsi="宋体"/>
                <w:color w:val="000000"/>
              </w:rPr>
              <w:t>1.2</w:t>
            </w:r>
          </w:p>
        </w:tc>
        <w:tc>
          <w:tcPr>
            <w:tcW w:w="2670" w:type="dxa"/>
          </w:tcPr>
          <w:p>
            <w:pPr>
              <w:spacing w:line="259" w:lineRule="auto"/>
              <w:jc w:val="left"/>
              <w:rPr>
                <w:rFonts w:ascii="宋体" w:hAnsi="宋体"/>
                <w:color w:val="000000"/>
              </w:rPr>
            </w:pPr>
            <w:r>
              <w:rPr>
                <w:rFonts w:hint="eastAsia" w:ascii="宋体" w:hAnsi="宋体"/>
                <w:color w:val="000000"/>
              </w:rPr>
              <w:t>特大事故、损失</w:t>
            </w:r>
          </w:p>
        </w:tc>
        <w:tc>
          <w:tcPr>
            <w:tcW w:w="2126" w:type="dxa"/>
            <w:gridSpan w:val="2"/>
          </w:tcPr>
          <w:p>
            <w:pPr>
              <w:spacing w:line="259" w:lineRule="auto"/>
              <w:rPr>
                <w:rFonts w:ascii="宋体" w:hAnsi="宋体"/>
                <w:color w:val="000000"/>
              </w:rPr>
            </w:pPr>
            <w:r>
              <w:rPr>
                <w:rFonts w:ascii="宋体" w:hAnsi="宋体"/>
                <w:color w:val="000000"/>
              </w:rPr>
              <w:t xml:space="preserve"> </w:t>
            </w:r>
          </w:p>
        </w:tc>
        <w:tc>
          <w:tcPr>
            <w:tcW w:w="3529" w:type="dxa"/>
            <w:gridSpan w:val="2"/>
            <w:vMerge w:val="continue"/>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tcPr>
          <w:p>
            <w:pPr>
              <w:spacing w:after="1" w:line="252" w:lineRule="auto"/>
              <w:jc w:val="center"/>
              <w:rPr>
                <w:rFonts w:ascii="宋体" w:hAnsi="宋体"/>
                <w:color w:val="000000"/>
              </w:rPr>
            </w:pPr>
            <w:r>
              <w:rPr>
                <w:rFonts w:ascii="宋体" w:hAnsi="宋体"/>
                <w:color w:val="000000"/>
              </w:rPr>
              <w:t>1.3</w:t>
            </w:r>
          </w:p>
        </w:tc>
        <w:tc>
          <w:tcPr>
            <w:tcW w:w="2670" w:type="dxa"/>
          </w:tcPr>
          <w:p>
            <w:pPr>
              <w:spacing w:line="259" w:lineRule="auto"/>
              <w:jc w:val="left"/>
              <w:rPr>
                <w:rFonts w:ascii="宋体" w:hAnsi="宋体"/>
                <w:color w:val="000000"/>
              </w:rPr>
            </w:pPr>
            <w:r>
              <w:rPr>
                <w:rFonts w:hint="eastAsia" w:ascii="宋体" w:hAnsi="宋体"/>
                <w:color w:val="000000"/>
              </w:rPr>
              <w:t>恶劣事件</w:t>
            </w:r>
          </w:p>
        </w:tc>
        <w:tc>
          <w:tcPr>
            <w:tcW w:w="2126" w:type="dxa"/>
            <w:gridSpan w:val="2"/>
          </w:tcPr>
          <w:p>
            <w:pPr>
              <w:spacing w:line="259" w:lineRule="auto"/>
              <w:rPr>
                <w:rFonts w:ascii="宋体" w:hAnsi="宋体"/>
                <w:color w:val="000000"/>
              </w:rPr>
            </w:pPr>
            <w:r>
              <w:rPr>
                <w:rFonts w:ascii="宋体" w:hAnsi="宋体"/>
                <w:color w:val="000000"/>
              </w:rPr>
              <w:t xml:space="preserve"> </w:t>
            </w:r>
          </w:p>
        </w:tc>
        <w:tc>
          <w:tcPr>
            <w:tcW w:w="3529" w:type="dxa"/>
            <w:gridSpan w:val="2"/>
            <w:vMerge w:val="continue"/>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tcPr>
          <w:p>
            <w:pPr>
              <w:spacing w:line="252" w:lineRule="auto"/>
              <w:ind w:left="970" w:hanging="970"/>
              <w:jc w:val="center"/>
              <w:rPr>
                <w:rFonts w:ascii="宋体" w:hAnsi="宋体"/>
                <w:color w:val="000000"/>
              </w:rPr>
            </w:pPr>
            <w:r>
              <w:rPr>
                <w:rFonts w:ascii="宋体" w:hAnsi="宋体"/>
                <w:color w:val="000000"/>
              </w:rPr>
              <w:t>1.4</w:t>
            </w:r>
          </w:p>
        </w:tc>
        <w:tc>
          <w:tcPr>
            <w:tcW w:w="2670" w:type="dxa"/>
          </w:tcPr>
          <w:p>
            <w:pPr>
              <w:spacing w:line="259" w:lineRule="auto"/>
              <w:jc w:val="left"/>
              <w:rPr>
                <w:rFonts w:ascii="宋体" w:hAnsi="宋体"/>
                <w:color w:val="000000"/>
              </w:rPr>
            </w:pPr>
            <w:r>
              <w:rPr>
                <w:rFonts w:hint="eastAsia" w:ascii="宋体" w:hAnsi="宋体"/>
                <w:color w:val="000000"/>
              </w:rPr>
              <w:t>遵纪守法</w:t>
            </w:r>
          </w:p>
        </w:tc>
        <w:tc>
          <w:tcPr>
            <w:tcW w:w="2126" w:type="dxa"/>
            <w:gridSpan w:val="2"/>
          </w:tcPr>
          <w:p>
            <w:pPr>
              <w:spacing w:line="259" w:lineRule="auto"/>
              <w:rPr>
                <w:rFonts w:ascii="宋体" w:hAnsi="宋体"/>
                <w:color w:val="000000"/>
              </w:rPr>
            </w:pPr>
            <w:r>
              <w:rPr>
                <w:rFonts w:ascii="宋体" w:hAnsi="宋体"/>
                <w:color w:val="000000"/>
              </w:rPr>
              <w:t xml:space="preserve"> </w:t>
            </w:r>
          </w:p>
        </w:tc>
        <w:tc>
          <w:tcPr>
            <w:tcW w:w="3529" w:type="dxa"/>
            <w:gridSpan w:val="2"/>
            <w:vMerge w:val="continue"/>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tcPr>
          <w:p>
            <w:pPr>
              <w:spacing w:line="259" w:lineRule="auto"/>
              <w:jc w:val="left"/>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（24）</w:t>
            </w:r>
          </w:p>
        </w:tc>
        <w:tc>
          <w:tcPr>
            <w:tcW w:w="709"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分值</w:t>
            </w:r>
          </w:p>
        </w:tc>
        <w:tc>
          <w:tcPr>
            <w:tcW w:w="3499"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tcPr>
          <w:p>
            <w:pPr>
              <w:spacing w:line="259" w:lineRule="auto"/>
              <w:jc w:val="left"/>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709" w:type="dxa"/>
          </w:tcPr>
          <w:p>
            <w:pPr>
              <w:spacing w:line="259" w:lineRule="auto"/>
              <w:ind w:left="2"/>
              <w:rPr>
                <w:rFonts w:ascii="宋体" w:hAnsi="宋体"/>
                <w:color w:val="000000"/>
              </w:rPr>
            </w:pPr>
            <w:r>
              <w:rPr>
                <w:rFonts w:ascii="宋体" w:hAnsi="宋体"/>
                <w:color w:val="000000"/>
              </w:rPr>
              <w:t xml:space="preserve"> </w:t>
            </w:r>
          </w:p>
        </w:tc>
        <w:tc>
          <w:tcPr>
            <w:tcW w:w="3499" w:type="dxa"/>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spacing w:line="276" w:lineRule="auto"/>
              <w:jc w:val="center"/>
              <w:rPr>
                <w:rFonts w:ascii="宋体" w:hAnsi="宋体"/>
                <w:color w:val="000000"/>
              </w:rPr>
            </w:pPr>
            <w:r>
              <w:rPr>
                <w:rFonts w:ascii="宋体" w:hAnsi="宋体"/>
                <w:color w:val="000000"/>
              </w:rPr>
              <w:t>2.2</w:t>
            </w:r>
          </w:p>
        </w:tc>
        <w:tc>
          <w:tcPr>
            <w:tcW w:w="4087" w:type="dxa"/>
            <w:gridSpan w:val="2"/>
            <w:vAlign w:val="center"/>
          </w:tcPr>
          <w:p>
            <w:pPr>
              <w:widowControl/>
              <w:spacing w:line="276" w:lineRule="auto"/>
              <w:jc w:val="left"/>
              <w:rPr>
                <w:rFonts w:ascii="宋体" w:hAnsi="宋体"/>
                <w:color w:val="000000"/>
              </w:rPr>
            </w:pPr>
            <w:r>
              <w:rPr>
                <w:rFonts w:hint="eastAsia" w:ascii="宋体" w:hAnsi="宋体"/>
                <w:color w:val="000000"/>
              </w:rPr>
              <w:t>工作态度与礼节</w:t>
            </w:r>
            <w:r>
              <w:rPr>
                <w:rFonts w:hint="eastAsia" w:ascii="宋体" w:hAnsi="宋体" w:cs="微软雅黑"/>
                <w:color w:val="000000"/>
              </w:rPr>
              <w:t>（4）</w:t>
            </w:r>
          </w:p>
        </w:tc>
        <w:tc>
          <w:tcPr>
            <w:tcW w:w="709" w:type="dxa"/>
            <w:vAlign w:val="center"/>
          </w:tcPr>
          <w:p>
            <w:pPr>
              <w:spacing w:line="276" w:lineRule="auto"/>
              <w:jc w:val="left"/>
              <w:rPr>
                <w:rFonts w:ascii="宋体" w:hAnsi="宋体"/>
                <w:color w:val="000000"/>
              </w:rPr>
            </w:pPr>
          </w:p>
        </w:tc>
        <w:tc>
          <w:tcPr>
            <w:tcW w:w="3499" w:type="dxa"/>
            <w:vAlign w:val="center"/>
          </w:tcPr>
          <w:p>
            <w:pPr>
              <w:spacing w:line="276" w:lineRule="auto"/>
              <w:jc w:val="left"/>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rPr>
            </w:pPr>
            <w:r>
              <w:rPr>
                <w:rFonts w:ascii="宋体" w:hAnsi="宋体"/>
                <w:color w:val="000000"/>
              </w:rPr>
              <w:t>2.3</w:t>
            </w:r>
          </w:p>
        </w:tc>
        <w:tc>
          <w:tcPr>
            <w:tcW w:w="4087" w:type="dxa"/>
            <w:gridSpan w:val="2"/>
          </w:tcPr>
          <w:p>
            <w:pPr>
              <w:spacing w:line="252" w:lineRule="auto"/>
              <w:jc w:val="left"/>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709" w:type="dxa"/>
          </w:tcPr>
          <w:p>
            <w:pPr>
              <w:spacing w:line="252" w:lineRule="auto"/>
              <w:rPr>
                <w:rFonts w:ascii="宋体" w:hAnsi="宋体"/>
                <w:color w:val="000000"/>
              </w:rPr>
            </w:pPr>
            <w:r>
              <w:rPr>
                <w:rFonts w:ascii="宋体" w:hAnsi="宋体"/>
                <w:color w:val="000000"/>
              </w:rPr>
              <w:t xml:space="preserve"> </w:t>
            </w:r>
          </w:p>
        </w:tc>
        <w:tc>
          <w:tcPr>
            <w:tcW w:w="3499" w:type="dxa"/>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宋体" w:hAnsi="宋体"/>
                <w:color w:val="000000"/>
              </w:rPr>
            </w:pPr>
            <w:r>
              <w:rPr>
                <w:rFonts w:hint="eastAsia" w:ascii="宋体" w:hAnsi="宋体"/>
                <w:color w:val="000000"/>
              </w:rPr>
              <w:t>2.4</w:t>
            </w:r>
          </w:p>
        </w:tc>
        <w:tc>
          <w:tcPr>
            <w:tcW w:w="4087" w:type="dxa"/>
            <w:gridSpan w:val="2"/>
          </w:tcPr>
          <w:p>
            <w:pPr>
              <w:spacing w:line="259" w:lineRule="auto"/>
              <w:jc w:val="left"/>
              <w:rPr>
                <w:rFonts w:ascii="宋体" w:hAnsi="宋体"/>
                <w:color w:val="000000"/>
              </w:rPr>
            </w:pPr>
            <w:r>
              <w:rPr>
                <w:rFonts w:hint="eastAsia" w:ascii="宋体" w:hAnsi="宋体"/>
                <w:color w:val="000000"/>
              </w:rPr>
              <w:t>协调，控制和监管的回应</w:t>
            </w:r>
            <w:r>
              <w:rPr>
                <w:rFonts w:hint="eastAsia" w:ascii="宋体" w:hAnsi="宋体" w:cs="微软雅黑"/>
                <w:color w:val="000000"/>
              </w:rPr>
              <w:t>（4）</w:t>
            </w:r>
          </w:p>
        </w:tc>
        <w:tc>
          <w:tcPr>
            <w:tcW w:w="709" w:type="dxa"/>
          </w:tcPr>
          <w:p>
            <w:pPr>
              <w:spacing w:line="259" w:lineRule="auto"/>
              <w:rPr>
                <w:rFonts w:ascii="宋体" w:hAnsi="宋体"/>
                <w:color w:val="000000"/>
              </w:rPr>
            </w:pP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宋体" w:hAnsi="宋体"/>
                <w:color w:val="000000"/>
              </w:rPr>
            </w:pPr>
            <w:r>
              <w:rPr>
                <w:rFonts w:hint="eastAsia" w:ascii="宋体" w:hAnsi="宋体"/>
                <w:color w:val="000000"/>
              </w:rPr>
              <w:t>2.5</w:t>
            </w:r>
          </w:p>
        </w:tc>
        <w:tc>
          <w:tcPr>
            <w:tcW w:w="4087" w:type="dxa"/>
            <w:gridSpan w:val="2"/>
          </w:tcPr>
          <w:p>
            <w:pPr>
              <w:spacing w:line="259" w:lineRule="auto"/>
              <w:jc w:val="left"/>
              <w:rPr>
                <w:rFonts w:ascii="宋体" w:hAnsi="宋体"/>
                <w:color w:val="000000"/>
              </w:rPr>
            </w:pPr>
            <w:r>
              <w:rPr>
                <w:rFonts w:hint="eastAsia" w:ascii="宋体" w:hAnsi="宋体"/>
                <w:color w:val="000000"/>
              </w:rPr>
              <w:t>员工的伦理和纪律</w:t>
            </w:r>
            <w:r>
              <w:rPr>
                <w:rFonts w:hint="eastAsia" w:ascii="宋体" w:hAnsi="宋体" w:cs="微软雅黑"/>
                <w:color w:val="000000"/>
              </w:rPr>
              <w:t>（4）</w:t>
            </w:r>
          </w:p>
        </w:tc>
        <w:tc>
          <w:tcPr>
            <w:tcW w:w="709" w:type="dxa"/>
          </w:tcPr>
          <w:p>
            <w:pPr>
              <w:spacing w:line="259" w:lineRule="auto"/>
              <w:rPr>
                <w:rFonts w:ascii="宋体" w:hAnsi="宋体"/>
                <w:color w:val="000000"/>
              </w:rPr>
            </w:pP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宋体" w:hAnsi="宋体"/>
                <w:color w:val="000000"/>
              </w:rPr>
            </w:pPr>
            <w:r>
              <w:rPr>
                <w:rFonts w:hint="eastAsia" w:ascii="宋体" w:hAnsi="宋体"/>
                <w:color w:val="000000"/>
              </w:rPr>
              <w:t>2.6</w:t>
            </w:r>
          </w:p>
        </w:tc>
        <w:tc>
          <w:tcPr>
            <w:tcW w:w="4087" w:type="dxa"/>
            <w:gridSpan w:val="2"/>
          </w:tcPr>
          <w:p>
            <w:pPr>
              <w:spacing w:line="259" w:lineRule="auto"/>
              <w:jc w:val="left"/>
              <w:rPr>
                <w:rFonts w:ascii="宋体" w:hAnsi="宋体"/>
                <w:color w:val="000000"/>
              </w:rPr>
            </w:pPr>
            <w:r>
              <w:rPr>
                <w:rFonts w:hint="eastAsia" w:ascii="宋体" w:hAnsi="宋体"/>
                <w:color w:val="000000"/>
              </w:rPr>
              <w:t>企业文化和其他要求的认同</w:t>
            </w:r>
            <w:r>
              <w:rPr>
                <w:rFonts w:hint="eastAsia" w:ascii="宋体" w:hAnsi="宋体" w:cs="微软雅黑"/>
                <w:color w:val="000000"/>
              </w:rPr>
              <w:t>（4）</w:t>
            </w:r>
          </w:p>
        </w:tc>
        <w:tc>
          <w:tcPr>
            <w:tcW w:w="709" w:type="dxa"/>
          </w:tcPr>
          <w:p>
            <w:pPr>
              <w:spacing w:line="259" w:lineRule="auto"/>
              <w:rPr>
                <w:rFonts w:ascii="宋体" w:hAnsi="宋体"/>
                <w:color w:val="000000"/>
              </w:rPr>
            </w:pP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（30）</w:t>
            </w:r>
          </w:p>
        </w:tc>
        <w:tc>
          <w:tcPr>
            <w:tcW w:w="709" w:type="dxa"/>
            <w:shd w:val="clear" w:color="auto" w:fill="D9E2F3"/>
          </w:tcPr>
          <w:p>
            <w:pPr>
              <w:spacing w:after="84" w:line="259" w:lineRule="auto"/>
              <w:jc w:val="center"/>
              <w:rPr>
                <w:rFonts w:ascii="宋体" w:hAnsi="宋体" w:cs="微软雅黑"/>
                <w:b/>
                <w:color w:val="000000"/>
              </w:rPr>
            </w:pPr>
            <w:r>
              <w:rPr>
                <w:rFonts w:hint="eastAsia" w:ascii="宋体" w:hAnsi="宋体" w:cs="微软雅黑"/>
                <w:b/>
                <w:color w:val="000000"/>
              </w:rPr>
              <w:t>分值</w:t>
            </w:r>
          </w:p>
        </w:tc>
        <w:tc>
          <w:tcPr>
            <w:tcW w:w="3499"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after="10" w:line="252" w:lineRule="auto"/>
              <w:jc w:val="center"/>
              <w:rPr>
                <w:rFonts w:ascii="宋体" w:hAnsi="宋体"/>
                <w:color w:val="000000"/>
              </w:rPr>
            </w:pPr>
            <w:r>
              <w:rPr>
                <w:rFonts w:ascii="宋体" w:hAnsi="宋体"/>
                <w:color w:val="000000"/>
              </w:rPr>
              <w:t>3.1</w:t>
            </w:r>
          </w:p>
        </w:tc>
        <w:tc>
          <w:tcPr>
            <w:tcW w:w="4087" w:type="dxa"/>
            <w:gridSpan w:val="2"/>
          </w:tcPr>
          <w:p>
            <w:pPr>
              <w:spacing w:line="259" w:lineRule="auto"/>
              <w:jc w:val="left"/>
              <w:rPr>
                <w:rFonts w:ascii="宋体" w:hAnsi="宋体"/>
                <w:color w:val="000000"/>
              </w:rPr>
            </w:pPr>
            <w:r>
              <w:rPr>
                <w:rFonts w:hint="eastAsia" w:ascii="宋体" w:hAnsi="宋体"/>
                <w:color w:val="000000"/>
              </w:rPr>
              <w:t>台账、资料管理质量</w:t>
            </w:r>
            <w:r>
              <w:rPr>
                <w:rFonts w:hint="eastAsia" w:ascii="宋体" w:hAnsi="宋体" w:cs="微软雅黑"/>
                <w:color w:val="0000FF"/>
              </w:rPr>
              <w:t>（4）</w:t>
            </w:r>
          </w:p>
        </w:tc>
        <w:tc>
          <w:tcPr>
            <w:tcW w:w="709" w:type="dxa"/>
          </w:tcPr>
          <w:p>
            <w:pPr>
              <w:spacing w:line="259" w:lineRule="auto"/>
              <w:ind w:left="2"/>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000000"/>
              </w:rPr>
            </w:pPr>
            <w:r>
              <w:rPr>
                <w:rFonts w:ascii="宋体" w:hAnsi="宋体"/>
                <w:color w:val="000000"/>
              </w:rPr>
              <w:t>3.2</w:t>
            </w:r>
          </w:p>
        </w:tc>
        <w:tc>
          <w:tcPr>
            <w:tcW w:w="4087" w:type="dxa"/>
            <w:gridSpan w:val="2"/>
          </w:tcPr>
          <w:p>
            <w:pPr>
              <w:spacing w:line="259" w:lineRule="auto"/>
              <w:jc w:val="left"/>
              <w:rPr>
                <w:rFonts w:ascii="宋体" w:hAnsi="宋体"/>
                <w:color w:val="000000"/>
              </w:rPr>
            </w:pPr>
            <w:r>
              <w:rPr>
                <w:rFonts w:hint="eastAsia" w:ascii="宋体" w:hAnsi="宋体"/>
                <w:color w:val="000000"/>
              </w:rPr>
              <w:t>设备修复率</w:t>
            </w:r>
            <w:r>
              <w:rPr>
                <w:rFonts w:hint="eastAsia" w:ascii="宋体" w:hAnsi="宋体" w:cs="微软雅黑"/>
                <w:color w:val="0000FF"/>
              </w:rPr>
              <w:t>（4）</w:t>
            </w:r>
          </w:p>
        </w:tc>
        <w:tc>
          <w:tcPr>
            <w:tcW w:w="709" w:type="dxa"/>
          </w:tcPr>
          <w:p>
            <w:pPr>
              <w:spacing w:line="259" w:lineRule="auto"/>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000000"/>
              </w:rPr>
            </w:pPr>
            <w:r>
              <w:rPr>
                <w:rFonts w:ascii="宋体" w:hAnsi="宋体"/>
                <w:color w:val="000000"/>
              </w:rPr>
              <w:t>3.3</w:t>
            </w:r>
          </w:p>
        </w:tc>
        <w:tc>
          <w:tcPr>
            <w:tcW w:w="4087" w:type="dxa"/>
            <w:gridSpan w:val="2"/>
          </w:tcPr>
          <w:p>
            <w:pPr>
              <w:spacing w:line="259" w:lineRule="auto"/>
              <w:jc w:val="left"/>
              <w:rPr>
                <w:rFonts w:ascii="宋体" w:hAnsi="宋体"/>
                <w:color w:val="000000"/>
              </w:rPr>
            </w:pPr>
            <w:r>
              <w:rPr>
                <w:rFonts w:hint="eastAsia" w:ascii="宋体" w:hAnsi="宋体"/>
                <w:color w:val="000000"/>
              </w:rPr>
              <w:t>人员管理质量</w:t>
            </w:r>
            <w:r>
              <w:rPr>
                <w:rFonts w:hint="eastAsia" w:ascii="宋体" w:hAnsi="宋体" w:cs="微软雅黑"/>
              </w:rPr>
              <w:t>（5）</w:t>
            </w:r>
          </w:p>
        </w:tc>
        <w:tc>
          <w:tcPr>
            <w:tcW w:w="709" w:type="dxa"/>
          </w:tcPr>
          <w:p>
            <w:pPr>
              <w:spacing w:line="259" w:lineRule="auto"/>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000000"/>
              </w:rPr>
            </w:pPr>
            <w:r>
              <w:rPr>
                <w:rFonts w:ascii="宋体" w:hAnsi="宋体"/>
                <w:color w:val="000000"/>
              </w:rPr>
              <w:t>3.4</w:t>
            </w:r>
          </w:p>
        </w:tc>
        <w:tc>
          <w:tcPr>
            <w:tcW w:w="4087" w:type="dxa"/>
            <w:gridSpan w:val="2"/>
          </w:tcPr>
          <w:p>
            <w:pPr>
              <w:spacing w:line="259" w:lineRule="auto"/>
              <w:jc w:val="left"/>
              <w:rPr>
                <w:rFonts w:ascii="宋体" w:hAnsi="宋体"/>
                <w:color w:val="000000"/>
              </w:rPr>
            </w:pPr>
            <w:r>
              <w:rPr>
                <w:rFonts w:hint="eastAsia" w:ascii="宋体" w:hAnsi="宋体" w:cs="微软雅黑"/>
                <w:color w:val="000000"/>
              </w:rPr>
              <w:t>设备故障率</w:t>
            </w:r>
            <w:r>
              <w:rPr>
                <w:rFonts w:hint="eastAsia" w:ascii="宋体" w:hAnsi="宋体" w:cs="微软雅黑"/>
                <w:color w:val="0000FF"/>
              </w:rPr>
              <w:t>（4）</w:t>
            </w:r>
          </w:p>
        </w:tc>
        <w:tc>
          <w:tcPr>
            <w:tcW w:w="709" w:type="dxa"/>
          </w:tcPr>
          <w:p>
            <w:pPr>
              <w:spacing w:line="259" w:lineRule="auto"/>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tcPr>
          <w:p>
            <w:pPr>
              <w:spacing w:after="10" w:line="252" w:lineRule="auto"/>
              <w:jc w:val="center"/>
              <w:rPr>
                <w:rFonts w:ascii="宋体" w:hAnsi="宋体"/>
                <w:color w:val="000000"/>
              </w:rPr>
            </w:pPr>
            <w:r>
              <w:rPr>
                <w:rFonts w:ascii="宋体" w:hAnsi="宋体"/>
                <w:color w:val="000000"/>
              </w:rPr>
              <w:t>3.5</w:t>
            </w:r>
          </w:p>
        </w:tc>
        <w:tc>
          <w:tcPr>
            <w:tcW w:w="4087" w:type="dxa"/>
            <w:gridSpan w:val="2"/>
          </w:tcPr>
          <w:p>
            <w:pPr>
              <w:spacing w:line="259" w:lineRule="auto"/>
              <w:jc w:val="left"/>
              <w:rPr>
                <w:rFonts w:ascii="宋体" w:hAnsi="宋体"/>
                <w:color w:val="000000"/>
              </w:rPr>
            </w:pPr>
            <w:r>
              <w:rPr>
                <w:rFonts w:hint="eastAsia" w:ascii="宋体" w:hAnsi="宋体"/>
                <w:color w:val="000000"/>
              </w:rPr>
              <w:t>人员培训质量</w:t>
            </w:r>
            <w:r>
              <w:rPr>
                <w:rFonts w:hint="eastAsia" w:ascii="宋体" w:hAnsi="宋体" w:cs="微软雅黑"/>
                <w:color w:val="0000FF"/>
              </w:rPr>
              <w:t>（4）</w:t>
            </w:r>
          </w:p>
        </w:tc>
        <w:tc>
          <w:tcPr>
            <w:tcW w:w="709" w:type="dxa"/>
          </w:tcPr>
          <w:p>
            <w:pPr>
              <w:spacing w:line="259" w:lineRule="auto"/>
              <w:ind w:right="45"/>
              <w:jc w:val="left"/>
              <w:rPr>
                <w:rFonts w:ascii="宋体" w:hAnsi="宋体" w:cs="微软雅黑"/>
                <w:b/>
                <w:color w:val="000000"/>
              </w:rPr>
            </w:pPr>
          </w:p>
        </w:tc>
        <w:tc>
          <w:tcPr>
            <w:tcW w:w="3499" w:type="dxa"/>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tcPr>
          <w:p>
            <w:pPr>
              <w:spacing w:line="259" w:lineRule="auto"/>
              <w:ind w:right="44"/>
              <w:jc w:val="center"/>
              <w:rPr>
                <w:rFonts w:ascii="宋体" w:hAnsi="宋体"/>
                <w:color w:val="000000"/>
              </w:rPr>
            </w:pPr>
            <w:r>
              <w:rPr>
                <w:rFonts w:ascii="宋体" w:hAnsi="宋体"/>
                <w:color w:val="000000"/>
              </w:rPr>
              <w:t>3.6</w:t>
            </w:r>
          </w:p>
        </w:tc>
        <w:tc>
          <w:tcPr>
            <w:tcW w:w="4087" w:type="dxa"/>
            <w:gridSpan w:val="2"/>
          </w:tcPr>
          <w:p>
            <w:pPr>
              <w:spacing w:line="259" w:lineRule="auto"/>
              <w:jc w:val="left"/>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709" w:type="dxa"/>
          </w:tcPr>
          <w:p>
            <w:pPr>
              <w:spacing w:line="259" w:lineRule="auto"/>
              <w:ind w:left="2"/>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tcPr>
          <w:p>
            <w:pPr>
              <w:spacing w:line="259" w:lineRule="auto"/>
              <w:ind w:right="44"/>
              <w:jc w:val="center"/>
              <w:rPr>
                <w:rFonts w:ascii="宋体" w:hAnsi="宋体"/>
                <w:color w:val="0000FF"/>
              </w:rPr>
            </w:pPr>
            <w:r>
              <w:rPr>
                <w:rFonts w:hint="eastAsia" w:ascii="宋体" w:hAnsi="宋体"/>
                <w:color w:val="0000FF"/>
              </w:rPr>
              <w:t>3.7</w:t>
            </w:r>
          </w:p>
        </w:tc>
        <w:tc>
          <w:tcPr>
            <w:tcW w:w="4087" w:type="dxa"/>
            <w:gridSpan w:val="2"/>
          </w:tcPr>
          <w:p>
            <w:pPr>
              <w:spacing w:line="259" w:lineRule="auto"/>
              <w:jc w:val="left"/>
              <w:rPr>
                <w:rFonts w:ascii="宋体" w:hAnsi="宋体"/>
                <w:color w:val="0000FF"/>
              </w:rPr>
            </w:pPr>
            <w:r>
              <w:rPr>
                <w:rFonts w:hint="eastAsia" w:ascii="宋体" w:hAnsi="宋体"/>
                <w:color w:val="0000FF"/>
              </w:rPr>
              <w:t>系统有效率（4）</w:t>
            </w:r>
          </w:p>
        </w:tc>
        <w:tc>
          <w:tcPr>
            <w:tcW w:w="709" w:type="dxa"/>
          </w:tcPr>
          <w:p>
            <w:pPr>
              <w:spacing w:line="259" w:lineRule="auto"/>
              <w:ind w:left="2"/>
              <w:rPr>
                <w:rFonts w:ascii="宋体" w:hAnsi="宋体"/>
                <w:color w:val="000000"/>
              </w:rPr>
            </w:pP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709"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分值</w:t>
            </w:r>
          </w:p>
        </w:tc>
        <w:tc>
          <w:tcPr>
            <w:tcW w:w="3499"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rPr>
            </w:pPr>
            <w:r>
              <w:rPr>
                <w:rFonts w:ascii="宋体" w:hAnsi="宋体"/>
                <w:color w:val="000000"/>
              </w:rPr>
              <w:t>4.1</w:t>
            </w:r>
          </w:p>
        </w:tc>
        <w:tc>
          <w:tcPr>
            <w:tcW w:w="4087" w:type="dxa"/>
            <w:gridSpan w:val="2"/>
          </w:tcPr>
          <w:p>
            <w:pPr>
              <w:spacing w:line="259" w:lineRule="auto"/>
              <w:jc w:val="left"/>
              <w:rPr>
                <w:rFonts w:ascii="宋体" w:hAnsi="宋体"/>
                <w:color w:val="000000"/>
              </w:rPr>
            </w:pPr>
            <w:r>
              <w:rPr>
                <w:rFonts w:hint="eastAsia" w:ascii="宋体" w:hAnsi="宋体"/>
                <w:color w:val="000000"/>
              </w:rPr>
              <w:t>总体安全意识的表现</w:t>
            </w:r>
            <w:r>
              <w:rPr>
                <w:rFonts w:hint="eastAsia" w:ascii="宋体" w:hAnsi="宋体" w:cs="微软雅黑"/>
                <w:color w:val="000000"/>
              </w:rPr>
              <w:t>（4）</w:t>
            </w:r>
          </w:p>
        </w:tc>
        <w:tc>
          <w:tcPr>
            <w:tcW w:w="709" w:type="dxa"/>
          </w:tcPr>
          <w:p>
            <w:pPr>
              <w:spacing w:line="259" w:lineRule="auto"/>
              <w:ind w:left="2"/>
              <w:jc w:val="center"/>
              <w:rPr>
                <w:rFonts w:ascii="宋体" w:hAnsi="宋体"/>
                <w:color w:val="000000"/>
              </w:rPr>
            </w:pP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rPr>
            </w:pPr>
            <w:r>
              <w:rPr>
                <w:rFonts w:ascii="宋体" w:hAnsi="宋体"/>
                <w:color w:val="000000"/>
              </w:rPr>
              <w:t>4.2</w:t>
            </w:r>
          </w:p>
        </w:tc>
        <w:tc>
          <w:tcPr>
            <w:tcW w:w="4087" w:type="dxa"/>
            <w:gridSpan w:val="2"/>
          </w:tcPr>
          <w:p>
            <w:pPr>
              <w:spacing w:line="259" w:lineRule="auto"/>
              <w:jc w:val="left"/>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709" w:type="dxa"/>
          </w:tcPr>
          <w:p>
            <w:pPr>
              <w:spacing w:line="259" w:lineRule="auto"/>
              <w:ind w:left="2"/>
              <w:jc w:val="center"/>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tcPr>
          <w:p>
            <w:pPr>
              <w:spacing w:line="252" w:lineRule="auto"/>
              <w:jc w:val="center"/>
              <w:rPr>
                <w:rFonts w:ascii="宋体" w:hAnsi="宋体"/>
                <w:color w:val="000000"/>
              </w:rPr>
            </w:pPr>
            <w:r>
              <w:rPr>
                <w:rFonts w:ascii="宋体" w:hAnsi="宋体"/>
                <w:color w:val="000000"/>
              </w:rPr>
              <w:t>4.3</w:t>
            </w:r>
          </w:p>
        </w:tc>
        <w:tc>
          <w:tcPr>
            <w:tcW w:w="4087" w:type="dxa"/>
            <w:gridSpan w:val="2"/>
          </w:tcPr>
          <w:p>
            <w:pPr>
              <w:spacing w:line="259" w:lineRule="auto"/>
              <w:jc w:val="left"/>
              <w:rPr>
                <w:rFonts w:ascii="宋体" w:hAnsi="宋体"/>
                <w:color w:val="000000"/>
              </w:rPr>
            </w:pPr>
            <w:r>
              <w:rPr>
                <w:rFonts w:hint="eastAsia" w:ascii="宋体" w:hAnsi="宋体"/>
                <w:color w:val="000000"/>
              </w:rPr>
              <w:t>安全措施/制度/体系的实施或整改</w:t>
            </w:r>
            <w:r>
              <w:rPr>
                <w:rFonts w:hint="eastAsia" w:ascii="宋体" w:hAnsi="宋体" w:cs="微软雅黑"/>
                <w:color w:val="000000"/>
              </w:rPr>
              <w:t>（4）</w:t>
            </w:r>
          </w:p>
        </w:tc>
        <w:tc>
          <w:tcPr>
            <w:tcW w:w="709" w:type="dxa"/>
          </w:tcPr>
          <w:p>
            <w:pPr>
              <w:spacing w:line="259" w:lineRule="auto"/>
              <w:ind w:left="2"/>
              <w:jc w:val="center"/>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（16）</w:t>
            </w:r>
          </w:p>
        </w:tc>
        <w:tc>
          <w:tcPr>
            <w:tcW w:w="709"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分值</w:t>
            </w:r>
          </w:p>
        </w:tc>
        <w:tc>
          <w:tcPr>
            <w:tcW w:w="3499"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宋体" w:hAnsi="宋体"/>
                <w:color w:val="000000"/>
              </w:rPr>
            </w:pPr>
            <w:r>
              <w:rPr>
                <w:rFonts w:hint="eastAsia" w:ascii="宋体" w:hAnsi="宋体"/>
                <w:color w:val="000000"/>
              </w:rPr>
              <w:t>5.1</w:t>
            </w:r>
          </w:p>
        </w:tc>
        <w:tc>
          <w:tcPr>
            <w:tcW w:w="4087" w:type="dxa"/>
            <w:gridSpan w:val="2"/>
          </w:tcPr>
          <w:p>
            <w:pPr>
              <w:spacing w:line="259" w:lineRule="auto"/>
              <w:jc w:val="left"/>
              <w:rPr>
                <w:rFonts w:ascii="宋体" w:hAnsi="宋体" w:cs="微软雅黑"/>
                <w:color w:val="000000"/>
              </w:rPr>
            </w:pPr>
            <w:r>
              <w:rPr>
                <w:rFonts w:hint="eastAsia" w:ascii="宋体" w:hAnsi="宋体" w:cs="微软雅黑"/>
                <w:color w:val="000000"/>
              </w:rPr>
              <w:t>工作计划方案的充分性和质量（4）</w:t>
            </w:r>
          </w:p>
        </w:tc>
        <w:tc>
          <w:tcPr>
            <w:tcW w:w="709" w:type="dxa"/>
          </w:tcPr>
          <w:p>
            <w:pPr>
              <w:spacing w:line="259" w:lineRule="auto"/>
              <w:ind w:left="2"/>
              <w:jc w:val="center"/>
              <w:rPr>
                <w:rFonts w:ascii="宋体" w:hAnsi="宋体"/>
                <w:color w:val="000000"/>
              </w:rPr>
            </w:pP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tcPr>
          <w:p>
            <w:pPr>
              <w:spacing w:line="259" w:lineRule="auto"/>
              <w:jc w:val="left"/>
              <w:rPr>
                <w:rFonts w:ascii="宋体" w:hAnsi="宋体"/>
                <w:color w:val="000000"/>
              </w:rPr>
            </w:pPr>
            <w:r>
              <w:rPr>
                <w:rFonts w:hint="eastAsia" w:ascii="宋体" w:hAnsi="宋体" w:cs="微软雅黑"/>
                <w:color w:val="000000"/>
              </w:rPr>
              <w:t>方案执行情况（4）</w:t>
            </w:r>
          </w:p>
        </w:tc>
        <w:tc>
          <w:tcPr>
            <w:tcW w:w="709" w:type="dxa"/>
          </w:tcPr>
          <w:p>
            <w:pPr>
              <w:spacing w:line="259" w:lineRule="auto"/>
              <w:ind w:left="2"/>
              <w:jc w:val="center"/>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tcPr>
          <w:p>
            <w:pPr>
              <w:spacing w:line="259" w:lineRule="auto"/>
              <w:jc w:val="left"/>
              <w:rPr>
                <w:rFonts w:ascii="宋体" w:hAnsi="宋体"/>
                <w:color w:val="000000"/>
              </w:rPr>
            </w:pPr>
            <w:r>
              <w:rPr>
                <w:rFonts w:hint="eastAsia" w:ascii="宋体" w:hAnsi="宋体" w:cs="微软雅黑"/>
                <w:color w:val="000000"/>
              </w:rPr>
              <w:t>让雇主了解工作进展情况（4）</w:t>
            </w:r>
          </w:p>
        </w:tc>
        <w:tc>
          <w:tcPr>
            <w:tcW w:w="709" w:type="dxa"/>
          </w:tcPr>
          <w:p>
            <w:pPr>
              <w:spacing w:line="259" w:lineRule="auto"/>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宋体" w:hAnsi="宋体"/>
                <w:color w:val="000000"/>
              </w:rPr>
            </w:pPr>
            <w:r>
              <w:rPr>
                <w:rFonts w:hint="eastAsia" w:ascii="宋体" w:hAnsi="宋体"/>
                <w:color w:val="000000"/>
              </w:rPr>
              <w:t>5.4</w:t>
            </w:r>
          </w:p>
        </w:tc>
        <w:tc>
          <w:tcPr>
            <w:tcW w:w="4087" w:type="dxa"/>
            <w:gridSpan w:val="2"/>
          </w:tcPr>
          <w:p>
            <w:pPr>
              <w:spacing w:line="259" w:lineRule="auto"/>
              <w:jc w:val="left"/>
              <w:rPr>
                <w:rFonts w:ascii="宋体" w:hAnsi="宋体" w:cs="微软雅黑"/>
                <w:color w:val="000000"/>
              </w:rPr>
            </w:pPr>
            <w:r>
              <w:rPr>
                <w:rFonts w:hint="eastAsia" w:ascii="宋体" w:hAnsi="宋体" w:cs="微软雅黑"/>
                <w:color w:val="000000"/>
              </w:rPr>
              <w:t>减轻损失/追赶计划所采取的措施（4）</w:t>
            </w:r>
          </w:p>
        </w:tc>
        <w:tc>
          <w:tcPr>
            <w:tcW w:w="709" w:type="dxa"/>
          </w:tcPr>
          <w:p>
            <w:pPr>
              <w:spacing w:line="259" w:lineRule="auto"/>
              <w:rPr>
                <w:rFonts w:ascii="宋体" w:hAnsi="宋体"/>
                <w:color w:val="000000"/>
              </w:rPr>
            </w:pP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709"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分值</w:t>
            </w:r>
          </w:p>
        </w:tc>
        <w:tc>
          <w:tcPr>
            <w:tcW w:w="3499"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line="252" w:lineRule="auto"/>
              <w:jc w:val="center"/>
              <w:rPr>
                <w:rFonts w:ascii="宋体" w:hAnsi="宋体"/>
                <w:color w:val="000000"/>
              </w:rPr>
            </w:pPr>
            <w:r>
              <w:rPr>
                <w:rFonts w:ascii="宋体" w:hAnsi="宋体"/>
                <w:color w:val="000000"/>
              </w:rPr>
              <w:t>6.1</w:t>
            </w:r>
          </w:p>
        </w:tc>
        <w:tc>
          <w:tcPr>
            <w:tcW w:w="4087" w:type="dxa"/>
            <w:gridSpan w:val="2"/>
          </w:tcPr>
          <w:p>
            <w:pPr>
              <w:spacing w:line="259" w:lineRule="auto"/>
              <w:jc w:val="left"/>
              <w:rPr>
                <w:rFonts w:ascii="宋体" w:hAnsi="宋体"/>
                <w:color w:val="000000"/>
              </w:rPr>
            </w:pPr>
            <w:r>
              <w:rPr>
                <w:rFonts w:hint="eastAsia" w:ascii="宋体" w:hAnsi="宋体" w:cs="微软雅黑"/>
                <w:color w:val="000000"/>
              </w:rPr>
              <w:t>劳动力资源的充分性（4）</w:t>
            </w:r>
          </w:p>
        </w:tc>
        <w:tc>
          <w:tcPr>
            <w:tcW w:w="709" w:type="dxa"/>
          </w:tcPr>
          <w:p>
            <w:pPr>
              <w:spacing w:line="259" w:lineRule="auto"/>
              <w:ind w:left="2"/>
              <w:jc w:val="center"/>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rPr>
            </w:pPr>
            <w:r>
              <w:rPr>
                <w:rFonts w:ascii="宋体" w:hAnsi="宋体"/>
                <w:color w:val="000000"/>
              </w:rPr>
              <w:t>6.2</w:t>
            </w:r>
          </w:p>
        </w:tc>
        <w:tc>
          <w:tcPr>
            <w:tcW w:w="4087" w:type="dxa"/>
            <w:gridSpan w:val="2"/>
          </w:tcPr>
          <w:p>
            <w:pPr>
              <w:spacing w:line="259" w:lineRule="auto"/>
              <w:jc w:val="left"/>
              <w:rPr>
                <w:rFonts w:ascii="宋体" w:hAnsi="宋体"/>
                <w:color w:val="000000"/>
              </w:rPr>
            </w:pPr>
            <w:r>
              <w:rPr>
                <w:rFonts w:hint="eastAsia" w:ascii="宋体" w:hAnsi="宋体" w:cs="微软雅黑"/>
                <w:color w:val="000000"/>
              </w:rPr>
              <w:t>工具、消耗品等资源的充分性（4）</w:t>
            </w:r>
          </w:p>
        </w:tc>
        <w:tc>
          <w:tcPr>
            <w:tcW w:w="709" w:type="dxa"/>
          </w:tcPr>
          <w:p>
            <w:pPr>
              <w:spacing w:line="259" w:lineRule="auto"/>
              <w:ind w:left="2"/>
              <w:jc w:val="center"/>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tcPr>
          <w:p>
            <w:pPr>
              <w:spacing w:line="252" w:lineRule="auto"/>
              <w:jc w:val="center"/>
              <w:rPr>
                <w:rFonts w:ascii="宋体" w:hAnsi="宋体"/>
                <w:color w:val="000000"/>
              </w:rPr>
            </w:pPr>
            <w:r>
              <w:rPr>
                <w:rFonts w:ascii="宋体" w:hAnsi="宋体"/>
                <w:color w:val="000000"/>
              </w:rPr>
              <w:t>6.3</w:t>
            </w:r>
          </w:p>
        </w:tc>
        <w:tc>
          <w:tcPr>
            <w:tcW w:w="4087" w:type="dxa"/>
            <w:gridSpan w:val="2"/>
          </w:tcPr>
          <w:p>
            <w:pPr>
              <w:spacing w:line="259" w:lineRule="auto"/>
              <w:jc w:val="left"/>
              <w:rPr>
                <w:rFonts w:ascii="宋体" w:hAnsi="宋体"/>
                <w:color w:val="000000"/>
              </w:rPr>
            </w:pPr>
            <w:r>
              <w:rPr>
                <w:rFonts w:hint="eastAsia" w:ascii="宋体" w:hAnsi="宋体" w:cs="微软雅黑"/>
                <w:color w:val="000000"/>
              </w:rPr>
              <w:t>资源的开源节流（4）</w:t>
            </w:r>
          </w:p>
        </w:tc>
        <w:tc>
          <w:tcPr>
            <w:tcW w:w="709" w:type="dxa"/>
          </w:tcPr>
          <w:p>
            <w:pPr>
              <w:spacing w:line="259" w:lineRule="auto"/>
              <w:ind w:left="2"/>
              <w:jc w:val="center"/>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tcPr>
          <w:p>
            <w:pPr>
              <w:spacing w:line="259" w:lineRule="auto"/>
              <w:jc w:val="left"/>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（6）</w:t>
            </w:r>
          </w:p>
        </w:tc>
        <w:tc>
          <w:tcPr>
            <w:tcW w:w="709"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分值</w:t>
            </w:r>
          </w:p>
        </w:tc>
        <w:tc>
          <w:tcPr>
            <w:tcW w:w="3499"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tcPr>
          <w:p>
            <w:pPr>
              <w:spacing w:line="253" w:lineRule="auto"/>
              <w:jc w:val="center"/>
              <w:rPr>
                <w:rFonts w:ascii="宋体" w:hAnsi="宋体"/>
                <w:color w:val="000000"/>
              </w:rPr>
            </w:pPr>
            <w:r>
              <w:rPr>
                <w:rFonts w:ascii="宋体" w:hAnsi="宋体"/>
                <w:color w:val="000000"/>
              </w:rPr>
              <w:t>7.1</w:t>
            </w:r>
          </w:p>
        </w:tc>
        <w:tc>
          <w:tcPr>
            <w:tcW w:w="4087" w:type="dxa"/>
            <w:gridSpan w:val="2"/>
          </w:tcPr>
          <w:p>
            <w:pPr>
              <w:spacing w:line="259" w:lineRule="auto"/>
              <w:jc w:val="left"/>
              <w:rPr>
                <w:rFonts w:ascii="宋体" w:hAnsi="宋体"/>
                <w:color w:val="000000"/>
              </w:rPr>
            </w:pPr>
            <w:r>
              <w:rPr>
                <w:rFonts w:hint="eastAsia" w:ascii="宋体" w:hAnsi="宋体"/>
                <w:color w:val="000000"/>
              </w:rPr>
              <w:t>用户满意度</w:t>
            </w:r>
            <w:r>
              <w:rPr>
                <w:rFonts w:hint="eastAsia" w:ascii="宋体" w:hAnsi="宋体" w:cs="微软雅黑"/>
                <w:color w:val="000000"/>
              </w:rPr>
              <w:t>（6）</w:t>
            </w:r>
          </w:p>
        </w:tc>
        <w:tc>
          <w:tcPr>
            <w:tcW w:w="709" w:type="dxa"/>
          </w:tcPr>
          <w:p>
            <w:pPr>
              <w:spacing w:line="259" w:lineRule="auto"/>
              <w:ind w:left="2"/>
              <w:jc w:val="center"/>
              <w:rPr>
                <w:rFonts w:ascii="宋体" w:hAnsi="宋体"/>
                <w:color w:val="000000"/>
              </w:rPr>
            </w:pPr>
            <w:r>
              <w:rPr>
                <w:rFonts w:ascii="宋体" w:hAnsi="宋体"/>
                <w:color w:val="000000"/>
              </w:rPr>
              <w:t xml:space="preserve">  </w:t>
            </w:r>
          </w:p>
        </w:tc>
        <w:tc>
          <w:tcPr>
            <w:tcW w:w="3499" w:type="dxa"/>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9503" w:type="dxa"/>
            <w:gridSpan w:val="5"/>
            <w:tcBorders>
              <w:bottom w:val="single" w:color="auto" w:sz="4" w:space="0"/>
            </w:tcBorders>
          </w:tcPr>
          <w:p>
            <w:pPr>
              <w:spacing w:line="259" w:lineRule="auto"/>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709"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499"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709" w:type="dxa"/>
          </w:tcPr>
          <w:p>
            <w:pPr>
              <w:spacing w:line="252" w:lineRule="auto"/>
              <w:rPr>
                <w:rFonts w:ascii="宋体" w:hAnsi="宋体"/>
                <w:color w:val="000000"/>
              </w:rPr>
            </w:pPr>
          </w:p>
        </w:tc>
        <w:tc>
          <w:tcPr>
            <w:tcW w:w="3499" w:type="dxa"/>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tcPr>
          <w:p>
            <w:pPr>
              <w:spacing w:line="252" w:lineRule="auto"/>
              <w:rPr>
                <w:rFonts w:ascii="宋体" w:hAnsi="宋体"/>
                <w:color w:val="000000"/>
              </w:rPr>
            </w:pPr>
            <w:r>
              <w:rPr>
                <w:rFonts w:hint="eastAsia" w:ascii="宋体" w:hAnsi="宋体"/>
                <w:color w:val="000000"/>
              </w:rPr>
              <w:t>超额超水平完成</w:t>
            </w:r>
            <w:r>
              <w:rPr>
                <w:rFonts w:hint="eastAsia" w:ascii="宋体" w:hAnsi="宋体" w:cs="微软雅黑"/>
                <w:color w:val="000000"/>
              </w:rPr>
              <w:t>（2）</w:t>
            </w:r>
          </w:p>
        </w:tc>
        <w:tc>
          <w:tcPr>
            <w:tcW w:w="709" w:type="dxa"/>
          </w:tcPr>
          <w:p>
            <w:pPr>
              <w:spacing w:line="252" w:lineRule="auto"/>
              <w:rPr>
                <w:rFonts w:ascii="宋体" w:hAnsi="宋体"/>
                <w:color w:val="000000"/>
              </w:rPr>
            </w:pPr>
          </w:p>
        </w:tc>
        <w:tc>
          <w:tcPr>
            <w:tcW w:w="3499" w:type="dxa"/>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tcPr>
          <w:p>
            <w:pPr>
              <w:spacing w:line="252" w:lineRule="auto"/>
              <w:jc w:val="center"/>
              <w:rPr>
                <w:rFonts w:ascii="宋体" w:hAnsi="宋体"/>
                <w:color w:val="000000"/>
              </w:rPr>
            </w:pPr>
            <w:r>
              <w:rPr>
                <w:rFonts w:hint="eastAsia" w:ascii="宋体" w:hAnsi="宋体"/>
                <w:color w:val="000000"/>
              </w:rPr>
              <w:t>8.3</w:t>
            </w:r>
          </w:p>
        </w:tc>
        <w:tc>
          <w:tcPr>
            <w:tcW w:w="4087" w:type="dxa"/>
            <w:gridSpan w:val="2"/>
          </w:tcPr>
          <w:p>
            <w:pPr>
              <w:spacing w:line="252" w:lineRule="auto"/>
              <w:jc w:val="left"/>
              <w:rPr>
                <w:rFonts w:ascii="宋体" w:hAnsi="宋体"/>
                <w:color w:val="000000"/>
              </w:rPr>
            </w:pPr>
            <w:r>
              <w:rPr>
                <w:rFonts w:hint="eastAsia" w:ascii="宋体" w:hAnsi="宋体"/>
                <w:color w:val="000000"/>
              </w:rPr>
              <w:t>建议及方案</w:t>
            </w:r>
            <w:r>
              <w:rPr>
                <w:rFonts w:hint="eastAsia" w:ascii="宋体" w:hAnsi="宋体" w:cs="微软雅黑"/>
                <w:color w:val="000000"/>
              </w:rPr>
              <w:t>（4）</w:t>
            </w:r>
          </w:p>
        </w:tc>
        <w:tc>
          <w:tcPr>
            <w:tcW w:w="709" w:type="dxa"/>
          </w:tcPr>
          <w:p>
            <w:pPr>
              <w:spacing w:line="252" w:lineRule="auto"/>
              <w:rPr>
                <w:rFonts w:ascii="宋体" w:hAnsi="宋体"/>
                <w:color w:val="000000"/>
              </w:rPr>
            </w:pPr>
          </w:p>
        </w:tc>
        <w:tc>
          <w:tcPr>
            <w:tcW w:w="3499" w:type="dxa"/>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Pr>
          <w:p>
            <w:pPr>
              <w:spacing w:line="259" w:lineRule="auto"/>
              <w:jc w:val="left"/>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tcPr>
          <w:p>
            <w:pPr>
              <w:spacing w:line="259" w:lineRule="auto"/>
              <w:jc w:val="left"/>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tcPr>
          <w:p>
            <w:pPr>
              <w:spacing w:line="259" w:lineRule="auto"/>
              <w:jc w:val="left"/>
              <w:rPr>
                <w:rFonts w:ascii="宋体" w:hAnsi="宋体" w:cs="微软雅黑"/>
                <w:b/>
                <w:color w:val="000000"/>
              </w:rPr>
            </w:pPr>
            <w:r>
              <w:rPr>
                <w:rFonts w:hint="eastAsia" w:ascii="宋体" w:hAnsi="宋体" w:cs="微软雅黑"/>
                <w:b/>
                <w:color w:val="000000"/>
              </w:rPr>
              <w:t>结论：</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jc w:val="left"/>
              <w:rPr>
                <w:rFonts w:ascii="宋体" w:hAnsi="宋体" w:cs="微软雅黑"/>
                <w:b/>
                <w:color w:val="000000"/>
              </w:rPr>
            </w:pPr>
          </w:p>
          <w:p>
            <w:pPr>
              <w:spacing w:line="259" w:lineRule="auto"/>
              <w:ind w:right="765"/>
              <w:jc w:val="left"/>
              <w:rPr>
                <w:rFonts w:ascii="宋体" w:hAnsi="宋体" w:cs="微软雅黑"/>
                <w:b/>
                <w:color w:val="000000"/>
              </w:rPr>
            </w:pPr>
            <w:r>
              <w:rPr>
                <w:rFonts w:hint="eastAsia" w:ascii="宋体" w:hAnsi="宋体" w:cs="微软雅黑"/>
                <w:b/>
                <w:color w:val="000000"/>
              </w:rPr>
              <w:t xml:space="preserve">                                            三级领导签字：</w:t>
            </w:r>
          </w:p>
        </w:tc>
      </w:tr>
    </w:tbl>
    <w:p>
      <w:pPr>
        <w:rPr>
          <w:rFonts w:ascii="宋体" w:hAnsi="宋体"/>
          <w:color w:val="000000"/>
        </w:rPr>
      </w:pPr>
    </w:p>
    <w:p>
      <w:pPr>
        <w:jc w:val="left"/>
        <w:rPr>
          <w:rFonts w:ascii="宋体" w:hAnsi="宋体"/>
          <w:color w:val="000000"/>
        </w:rPr>
      </w:pPr>
      <w:r>
        <w:rPr>
          <w:rFonts w:ascii="宋体" w:hAnsi="宋体"/>
          <w:color w:val="000000"/>
        </w:rPr>
        <w:br w:type="page"/>
      </w:r>
    </w:p>
    <w:p>
      <w:pPr>
        <w:spacing w:line="259" w:lineRule="auto"/>
        <w:ind w:right="765"/>
        <w:jc w:val="center"/>
        <w:rPr>
          <w:rFonts w:ascii="宋体" w:hAnsi="宋体" w:cs="微软雅黑"/>
          <w:b/>
          <w:color w:val="000000"/>
          <w:sz w:val="40"/>
        </w:rPr>
      </w:pPr>
      <w:r>
        <w:rPr>
          <w:rFonts w:hint="eastAsia" w:ascii="宋体" w:hAnsi="宋体" w:cs="微软雅黑"/>
          <w:b/>
          <w:color w:val="000000"/>
          <w:sz w:val="40"/>
        </w:rPr>
        <w:t xml:space="preserve">  考核标准</w:t>
      </w:r>
    </w:p>
    <w:tbl>
      <w:tblPr>
        <w:tblStyle w:val="46"/>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81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812" w:type="dxa"/>
            <w:vMerge w:val="restart"/>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olor w:val="000000"/>
              </w:rPr>
              <w:t>恐怖事件</w:t>
            </w:r>
          </w:p>
        </w:tc>
        <w:tc>
          <w:tcPr>
            <w:tcW w:w="5812" w:type="dxa"/>
            <w:vMerge w:val="continue"/>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olor w:val="000000"/>
              </w:rPr>
              <w:t>特大事故、损失</w:t>
            </w:r>
          </w:p>
        </w:tc>
        <w:tc>
          <w:tcPr>
            <w:tcW w:w="5812" w:type="dxa"/>
            <w:vMerge w:val="continue"/>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宋体" w:hAnsi="宋体"/>
                <w:color w:val="000000"/>
              </w:rPr>
            </w:pPr>
            <w:r>
              <w:rPr>
                <w:rFonts w:hint="eastAsia" w:ascii="宋体" w:hAnsi="宋体"/>
                <w:color w:val="000000"/>
              </w:rPr>
              <w:t>恶劣事件</w:t>
            </w:r>
          </w:p>
        </w:tc>
        <w:tc>
          <w:tcPr>
            <w:tcW w:w="5812" w:type="dxa"/>
            <w:vMerge w:val="continue"/>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宋体" w:hAnsi="宋体"/>
                <w:color w:val="000000"/>
              </w:rPr>
            </w:pPr>
            <w:r>
              <w:rPr>
                <w:rFonts w:hint="eastAsia" w:ascii="宋体" w:hAnsi="宋体"/>
                <w:color w:val="000000"/>
              </w:rPr>
              <w:t>遵纪守法</w:t>
            </w:r>
          </w:p>
        </w:tc>
        <w:tc>
          <w:tcPr>
            <w:tcW w:w="5812" w:type="dxa"/>
            <w:vMerge w:val="continue"/>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s="微软雅黑"/>
                <w:color w:val="000000"/>
              </w:rPr>
              <w:t>技术能力与资质（4）</w:t>
            </w:r>
          </w:p>
        </w:tc>
        <w:tc>
          <w:tcPr>
            <w:tcW w:w="5812" w:type="dxa"/>
          </w:tcPr>
          <w:p>
            <w:pPr>
              <w:spacing w:line="259" w:lineRule="auto"/>
              <w:ind w:left="2"/>
              <w:rPr>
                <w:rFonts w:ascii="宋体" w:hAnsi="宋体"/>
                <w:color w:val="000000"/>
              </w:rPr>
            </w:pPr>
            <w:r>
              <w:rPr>
                <w:rFonts w:hint="eastAsia" w:ascii="宋体" w:hAnsi="宋体"/>
                <w:color w:val="000000"/>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tcPr>
          <w:p>
            <w:pPr>
              <w:spacing w:line="259" w:lineRule="auto"/>
              <w:rPr>
                <w:rFonts w:ascii="宋体" w:hAnsi="宋体"/>
                <w:color w:val="000000"/>
              </w:rPr>
            </w:pPr>
            <w:r>
              <w:rPr>
                <w:rFonts w:hint="eastAsia" w:ascii="宋体" w:hAnsi="宋体"/>
                <w:color w:val="000000"/>
              </w:rPr>
              <w:t>工作态度与礼节</w:t>
            </w:r>
            <w:r>
              <w:rPr>
                <w:rFonts w:hint="eastAsia" w:ascii="宋体" w:hAnsi="宋体" w:cs="微软雅黑"/>
                <w:color w:val="000000"/>
              </w:rPr>
              <w:t>（</w:t>
            </w:r>
            <w:r>
              <w:rPr>
                <w:rFonts w:ascii="宋体" w:hAnsi="宋体" w:cs="微软雅黑"/>
                <w:color w:val="000000"/>
              </w:rPr>
              <w:t>4）</w:t>
            </w:r>
          </w:p>
        </w:tc>
        <w:tc>
          <w:tcPr>
            <w:tcW w:w="5812" w:type="dxa"/>
          </w:tcPr>
          <w:p>
            <w:pPr>
              <w:spacing w:line="259" w:lineRule="auto"/>
              <w:rPr>
                <w:rFonts w:ascii="宋体" w:hAnsi="宋体"/>
                <w:color w:val="000000"/>
              </w:rPr>
            </w:pPr>
            <w:r>
              <w:rPr>
                <w:rFonts w:hint="eastAsia" w:ascii="宋体" w:hAnsi="宋体"/>
                <w:color w:val="000000"/>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s="微软雅黑"/>
                <w:color w:val="000000"/>
              </w:rPr>
              <w:t>人员劳务关系(</w:t>
            </w:r>
            <w:r>
              <w:rPr>
                <w:rFonts w:ascii="宋体" w:hAnsi="宋体" w:cs="微软雅黑"/>
                <w:color w:val="000000"/>
              </w:rPr>
              <w:t>4)</w:t>
            </w:r>
          </w:p>
        </w:tc>
        <w:tc>
          <w:tcPr>
            <w:tcW w:w="5812" w:type="dxa"/>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宋体" w:hAnsi="宋体"/>
                <w:color w:val="000000"/>
              </w:rPr>
            </w:pPr>
            <w:r>
              <w:rPr>
                <w:rFonts w:hint="eastAsia" w:ascii="宋体" w:hAnsi="宋体"/>
                <w:color w:val="000000"/>
              </w:rPr>
              <w:t>协调，控制和监管的回应（4）</w:t>
            </w:r>
          </w:p>
        </w:tc>
        <w:tc>
          <w:tcPr>
            <w:tcW w:w="5812" w:type="dxa"/>
          </w:tcPr>
          <w:p>
            <w:pPr>
              <w:spacing w:line="259"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宋体" w:hAnsi="宋体"/>
                <w:color w:val="000000"/>
              </w:rPr>
            </w:pPr>
            <w:r>
              <w:rPr>
                <w:rFonts w:hint="eastAsia" w:ascii="宋体" w:hAnsi="宋体"/>
                <w:color w:val="000000"/>
              </w:rPr>
              <w:t>员工的伦理和纪律（4）</w:t>
            </w:r>
          </w:p>
        </w:tc>
        <w:tc>
          <w:tcPr>
            <w:tcW w:w="5812" w:type="dxa"/>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宋体" w:hAnsi="宋体"/>
                <w:color w:val="000000"/>
              </w:rPr>
            </w:pPr>
            <w:r>
              <w:rPr>
                <w:rFonts w:hint="eastAsia" w:ascii="宋体" w:hAnsi="宋体"/>
                <w:color w:val="000000"/>
              </w:rPr>
              <w:t>企业文化和其他要求的认同（4）</w:t>
            </w:r>
          </w:p>
        </w:tc>
        <w:tc>
          <w:tcPr>
            <w:tcW w:w="5812" w:type="dxa"/>
          </w:tcPr>
          <w:p>
            <w:pPr>
              <w:spacing w:line="259" w:lineRule="auto"/>
              <w:rPr>
                <w:rFonts w:ascii="宋体" w:hAnsi="宋体"/>
                <w:color w:val="000000"/>
              </w:rPr>
            </w:pPr>
            <w:r>
              <w:rPr>
                <w:rFonts w:hint="eastAsia" w:ascii="宋体" w:hAnsi="宋体"/>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质量(30</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olor w:val="000000"/>
              </w:rPr>
              <w:t>台账、资料管理质量(4</w:t>
            </w:r>
            <w:r>
              <w:rPr>
                <w:rFonts w:ascii="宋体" w:hAnsi="宋体"/>
                <w:color w:val="000000"/>
              </w:rPr>
              <w:t>)</w:t>
            </w:r>
          </w:p>
        </w:tc>
        <w:tc>
          <w:tcPr>
            <w:tcW w:w="5812" w:type="dxa"/>
          </w:tcPr>
          <w:p>
            <w:pPr>
              <w:spacing w:line="259"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olor w:val="000000"/>
              </w:rPr>
              <w:t>设备修复率</w:t>
            </w:r>
            <w:r>
              <w:rPr>
                <w:rFonts w:hint="eastAsia" w:ascii="宋体" w:hAnsi="宋体" w:cs="微软雅黑"/>
                <w:color w:val="000000"/>
              </w:rPr>
              <w:t>（4）</w:t>
            </w:r>
          </w:p>
        </w:tc>
        <w:tc>
          <w:tcPr>
            <w:tcW w:w="5812" w:type="dxa"/>
          </w:tcPr>
          <w:p>
            <w:pPr>
              <w:spacing w:line="259" w:lineRule="auto"/>
              <w:rPr>
                <w:rFonts w:ascii="宋体" w:hAnsi="宋体"/>
                <w:color w:val="000000"/>
              </w:rPr>
            </w:pPr>
            <w:r>
              <w:rPr>
                <w:rFonts w:hint="eastAsia" w:ascii="宋体" w:hAnsi="宋体"/>
                <w:color w:val="000000"/>
              </w:rPr>
              <w:t>在考核期间，设备的修复率要求100%，未达到要求的扣4分。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olor w:val="000000"/>
              </w:rPr>
              <w:t>人员管理质量(5</w:t>
            </w:r>
            <w:r>
              <w:rPr>
                <w:rFonts w:ascii="宋体" w:hAnsi="宋体"/>
                <w:color w:val="000000"/>
              </w:rPr>
              <w:t>)</w:t>
            </w:r>
          </w:p>
        </w:tc>
        <w:tc>
          <w:tcPr>
            <w:tcW w:w="5812" w:type="dxa"/>
          </w:tcPr>
          <w:p>
            <w:pPr>
              <w:spacing w:line="259" w:lineRule="auto"/>
              <w:rPr>
                <w:rFonts w:ascii="宋体" w:hAnsi="宋体"/>
                <w:color w:val="000000"/>
              </w:rPr>
            </w:pPr>
            <w:r>
              <w:rPr>
                <w:rFonts w:hint="eastAsia" w:ascii="宋体" w:hAnsi="宋体"/>
                <w:color w:val="000000"/>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s="微软雅黑"/>
                <w:color w:val="000000"/>
              </w:rPr>
              <w:t>设备故障率（4）</w:t>
            </w:r>
          </w:p>
        </w:tc>
        <w:tc>
          <w:tcPr>
            <w:tcW w:w="5812" w:type="dxa"/>
          </w:tcPr>
          <w:p>
            <w:pPr>
              <w:spacing w:line="259" w:lineRule="auto"/>
              <w:rPr>
                <w:rFonts w:ascii="宋体" w:hAnsi="宋体"/>
                <w:color w:val="000000"/>
              </w:rPr>
            </w:pPr>
            <w:r>
              <w:rPr>
                <w:rFonts w:hint="eastAsia" w:ascii="宋体" w:hAnsi="宋体"/>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tcPr>
          <w:p>
            <w:pPr>
              <w:spacing w:line="259" w:lineRule="auto"/>
              <w:rPr>
                <w:rFonts w:ascii="宋体" w:hAnsi="宋体"/>
                <w:color w:val="000000"/>
              </w:rPr>
            </w:pPr>
            <w:r>
              <w:rPr>
                <w:rFonts w:hint="eastAsia" w:ascii="宋体" w:hAnsi="宋体"/>
                <w:color w:val="000000"/>
              </w:rPr>
              <w:t>人员培训质量(4</w:t>
            </w:r>
            <w:r>
              <w:rPr>
                <w:rFonts w:ascii="宋体" w:hAnsi="宋体"/>
                <w:color w:val="000000"/>
              </w:rPr>
              <w:t>)</w:t>
            </w:r>
          </w:p>
        </w:tc>
        <w:tc>
          <w:tcPr>
            <w:tcW w:w="5812" w:type="dxa"/>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tcPr>
          <w:p>
            <w:pPr>
              <w:spacing w:line="259" w:lineRule="auto"/>
              <w:rPr>
                <w:rFonts w:ascii="宋体" w:hAnsi="宋体"/>
                <w:color w:val="000000"/>
              </w:rPr>
            </w:pPr>
            <w:r>
              <w:rPr>
                <w:rFonts w:hint="eastAsia" w:ascii="宋体" w:hAnsi="宋体"/>
                <w:color w:val="000000"/>
              </w:rPr>
              <w:t>应急事件处理质量(5</w:t>
            </w:r>
            <w:r>
              <w:rPr>
                <w:rFonts w:ascii="宋体" w:hAnsi="宋体"/>
                <w:color w:val="000000"/>
              </w:rPr>
              <w:t>)</w:t>
            </w:r>
          </w:p>
        </w:tc>
        <w:tc>
          <w:tcPr>
            <w:tcW w:w="5812" w:type="dxa"/>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tcPr>
          <w:p>
            <w:pPr>
              <w:spacing w:line="259" w:lineRule="auto"/>
              <w:rPr>
                <w:rFonts w:ascii="宋体" w:hAnsi="宋体"/>
                <w:color w:val="000000"/>
              </w:rPr>
            </w:pPr>
            <w:r>
              <w:rPr>
                <w:rFonts w:hint="eastAsia" w:ascii="宋体" w:hAnsi="宋体"/>
                <w:color w:val="0000FF"/>
              </w:rPr>
              <w:t>系统有效率（4）</w:t>
            </w:r>
          </w:p>
        </w:tc>
        <w:tc>
          <w:tcPr>
            <w:tcW w:w="5812" w:type="dxa"/>
          </w:tcPr>
          <w:p>
            <w:pPr>
              <w:spacing w:line="259" w:lineRule="auto"/>
              <w:rPr>
                <w:rFonts w:ascii="宋体" w:hAnsi="宋体"/>
                <w:color w:val="0000FF"/>
              </w:rPr>
            </w:pPr>
            <w:r>
              <w:rPr>
                <w:rFonts w:hint="eastAsia" w:ascii="宋体" w:hAnsi="宋体"/>
                <w:color w:val="0000FF"/>
              </w:rPr>
              <w:t xml:space="preserve">在考核期间，系统有效率要求达到99%或以上，未达到要求的扣4分。系统有效率 =  系统实际运行时间/系统要求运行时间    x 100%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olor w:val="000000"/>
              </w:rPr>
              <w:t>总体安全意识的表现 （4）</w:t>
            </w:r>
          </w:p>
        </w:tc>
        <w:tc>
          <w:tcPr>
            <w:tcW w:w="5812" w:type="dxa"/>
          </w:tcPr>
          <w:p>
            <w:pPr>
              <w:spacing w:line="259" w:lineRule="auto"/>
              <w:ind w:left="2"/>
              <w:rPr>
                <w:rFonts w:ascii="宋体" w:hAnsi="宋体"/>
                <w:color w:val="000000"/>
              </w:rPr>
            </w:pPr>
            <w:r>
              <w:rPr>
                <w:rFonts w:hint="eastAsia" w:ascii="宋体" w:hAnsi="宋体"/>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olor w:val="000000"/>
              </w:rPr>
              <w:t>提供和维护安全的工作环境 （4）</w:t>
            </w:r>
          </w:p>
        </w:tc>
        <w:tc>
          <w:tcPr>
            <w:tcW w:w="5812" w:type="dxa"/>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宋体" w:hAnsi="宋体"/>
                <w:color w:val="000000"/>
              </w:rPr>
            </w:pPr>
            <w:r>
              <w:rPr>
                <w:rFonts w:hint="eastAsia" w:ascii="宋体" w:hAnsi="宋体"/>
                <w:color w:val="000000"/>
              </w:rPr>
              <w:t>安全措施/制度/体系的实施或整改（4）</w:t>
            </w:r>
          </w:p>
        </w:tc>
        <w:tc>
          <w:tcPr>
            <w:tcW w:w="5812" w:type="dxa"/>
          </w:tcPr>
          <w:p>
            <w:pPr>
              <w:spacing w:line="259"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（4）</w:t>
            </w:r>
          </w:p>
        </w:tc>
        <w:tc>
          <w:tcPr>
            <w:tcW w:w="5812" w:type="dxa"/>
          </w:tcPr>
          <w:p>
            <w:pPr>
              <w:spacing w:line="259" w:lineRule="auto"/>
              <w:ind w:left="2"/>
              <w:rPr>
                <w:rFonts w:ascii="宋体" w:hAnsi="宋体"/>
                <w:color w:val="000000"/>
              </w:rPr>
            </w:pPr>
            <w:r>
              <w:rPr>
                <w:rFonts w:hint="eastAsia" w:ascii="宋体" w:hAnsi="宋体"/>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宋体" w:hAnsi="宋体"/>
                <w:color w:val="000000"/>
              </w:rPr>
            </w:pPr>
            <w:r>
              <w:rPr>
                <w:rFonts w:hint="eastAsia" w:ascii="宋体" w:hAnsi="宋体"/>
              </w:rPr>
              <w:t>方案执行情况</w:t>
            </w:r>
            <w:r>
              <w:rPr>
                <w:rFonts w:hint="eastAsia" w:ascii="宋体" w:hAnsi="宋体"/>
                <w:color w:val="000000"/>
              </w:rPr>
              <w:t>（4）</w:t>
            </w:r>
          </w:p>
        </w:tc>
        <w:tc>
          <w:tcPr>
            <w:tcW w:w="5812" w:type="dxa"/>
          </w:tcPr>
          <w:p>
            <w:pPr>
              <w:spacing w:line="259"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宋体" w:hAnsi="宋体"/>
                <w:color w:val="000000"/>
              </w:rPr>
            </w:pPr>
            <w:r>
              <w:rPr>
                <w:rFonts w:hint="eastAsia" w:ascii="宋体" w:hAnsi="宋体"/>
              </w:rPr>
              <w:t>让甲方了解工作进展情况</w:t>
            </w:r>
            <w:r>
              <w:rPr>
                <w:rFonts w:hint="eastAsia" w:ascii="宋体" w:hAnsi="宋体"/>
                <w:color w:val="000000"/>
              </w:rPr>
              <w:t xml:space="preserve"> （4）</w:t>
            </w:r>
          </w:p>
        </w:tc>
        <w:tc>
          <w:tcPr>
            <w:tcW w:w="5812" w:type="dxa"/>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宋体" w:hAnsi="宋体" w:cs="微软雅黑"/>
                <w:color w:val="000000"/>
              </w:rPr>
            </w:pPr>
            <w:r>
              <w:rPr>
                <w:rFonts w:hint="eastAsia" w:ascii="宋体" w:hAnsi="宋体"/>
              </w:rPr>
              <w:t>减轻损失/追赶计划所采取的措施</w:t>
            </w:r>
            <w:r>
              <w:rPr>
                <w:rFonts w:hint="eastAsia" w:ascii="宋体" w:hAnsi="宋体"/>
                <w:color w:val="000000"/>
              </w:rPr>
              <w:t>（4）</w:t>
            </w:r>
          </w:p>
        </w:tc>
        <w:tc>
          <w:tcPr>
            <w:tcW w:w="5812" w:type="dxa"/>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s="微软雅黑"/>
                <w:color w:val="000000"/>
              </w:rPr>
              <w:t>劳动力资源的充分性(</w:t>
            </w:r>
            <w:r>
              <w:rPr>
                <w:rFonts w:ascii="宋体" w:hAnsi="宋体" w:cs="微软雅黑"/>
                <w:color w:val="000000"/>
              </w:rPr>
              <w:t>4)</w:t>
            </w:r>
          </w:p>
        </w:tc>
        <w:tc>
          <w:tcPr>
            <w:tcW w:w="5812" w:type="dxa"/>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宋体" w:hAnsi="宋体"/>
                <w:color w:val="000000"/>
              </w:rPr>
            </w:pPr>
            <w:r>
              <w:rPr>
                <w:rFonts w:hint="eastAsia" w:ascii="宋体" w:hAnsi="宋体" w:cs="微软雅黑"/>
                <w:color w:val="000000"/>
              </w:rPr>
              <w:t>日常用具、消耗品、器材资源的充分性(</w:t>
            </w:r>
            <w:r>
              <w:rPr>
                <w:rFonts w:ascii="宋体" w:hAnsi="宋体" w:cs="微软雅黑"/>
                <w:color w:val="000000"/>
              </w:rPr>
              <w:t>4)</w:t>
            </w:r>
          </w:p>
        </w:tc>
        <w:tc>
          <w:tcPr>
            <w:tcW w:w="5812" w:type="dxa"/>
          </w:tcPr>
          <w:p>
            <w:pPr>
              <w:spacing w:line="259" w:lineRule="auto"/>
              <w:rPr>
                <w:rFonts w:ascii="宋体" w:hAnsi="宋体"/>
                <w:color w:val="000000"/>
              </w:rPr>
            </w:pPr>
            <w:r>
              <w:rPr>
                <w:rFonts w:hint="eastAsia" w:ascii="宋体" w:hAnsi="宋体"/>
                <w:color w:val="000000"/>
              </w:rPr>
              <w:t>经检查发现乙方对</w:t>
            </w:r>
            <w:r>
              <w:rPr>
                <w:rFonts w:hint="eastAsia" w:ascii="宋体" w:hAnsi="宋体" w:cs="微软雅黑"/>
                <w:color w:val="000000"/>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tcPr>
          <w:p>
            <w:pPr>
              <w:spacing w:line="259" w:lineRule="auto"/>
              <w:rPr>
                <w:rFonts w:ascii="宋体" w:hAnsi="宋体"/>
                <w:color w:val="000000"/>
              </w:rPr>
            </w:pPr>
            <w:r>
              <w:rPr>
                <w:rFonts w:hint="eastAsia" w:ascii="宋体" w:hAnsi="宋体" w:cs="微软雅黑"/>
                <w:color w:val="000000"/>
              </w:rPr>
              <w:t>资源利用的合理性(</w:t>
            </w:r>
            <w:r>
              <w:rPr>
                <w:rFonts w:ascii="宋体" w:hAnsi="宋体" w:cs="微软雅黑"/>
                <w:color w:val="000000"/>
              </w:rPr>
              <w:t>4)</w:t>
            </w:r>
          </w:p>
        </w:tc>
        <w:tc>
          <w:tcPr>
            <w:tcW w:w="5812" w:type="dxa"/>
          </w:tcPr>
          <w:p>
            <w:pPr>
              <w:spacing w:line="259" w:lineRule="auto"/>
              <w:ind w:right="3"/>
              <w:rPr>
                <w:rFonts w:ascii="宋体" w:hAnsi="宋体"/>
                <w:color w:val="000000"/>
              </w:rPr>
            </w:pPr>
            <w:r>
              <w:rPr>
                <w:rFonts w:hint="eastAsia" w:ascii="宋体" w:hAnsi="宋体"/>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12" w:type="dxa"/>
          </w:tcPr>
          <w:p>
            <w:pPr>
              <w:spacing w:line="259"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宋体" w:hAnsi="宋体"/>
                <w:color w:val="000000"/>
              </w:rPr>
            </w:pPr>
            <w:r>
              <w:rPr>
                <w:rFonts w:hint="eastAsia" w:ascii="宋体" w:hAnsi="宋体"/>
                <w:color w:val="000000"/>
              </w:rPr>
              <w:t>好人好事及表扬（4）</w:t>
            </w:r>
          </w:p>
        </w:tc>
        <w:tc>
          <w:tcPr>
            <w:tcW w:w="5812" w:type="dxa"/>
          </w:tcPr>
          <w:p>
            <w:pPr>
              <w:spacing w:line="259"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宋体" w:hAnsi="宋体"/>
                <w:color w:val="000000"/>
              </w:rPr>
            </w:pPr>
            <w:r>
              <w:rPr>
                <w:rFonts w:hint="eastAsia" w:ascii="宋体" w:hAnsi="宋体"/>
                <w:color w:val="000000"/>
              </w:rPr>
              <w:t>超额超水平完成（2）</w:t>
            </w:r>
          </w:p>
        </w:tc>
        <w:tc>
          <w:tcPr>
            <w:tcW w:w="5812" w:type="dxa"/>
          </w:tcPr>
          <w:p>
            <w:pPr>
              <w:spacing w:line="259" w:lineRule="auto"/>
              <w:rPr>
                <w:rFonts w:ascii="宋体" w:hAnsi="宋体"/>
                <w:color w:val="000000"/>
              </w:rPr>
            </w:pPr>
            <w:r>
              <w:rPr>
                <w:rFonts w:hint="eastAsia" w:ascii="宋体" w:hAnsi="宋体"/>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宋体" w:hAnsi="宋体"/>
                <w:color w:val="000000"/>
              </w:rPr>
            </w:pPr>
            <w:r>
              <w:rPr>
                <w:rFonts w:hint="eastAsia" w:ascii="宋体" w:hAnsi="宋体"/>
                <w:color w:val="000000"/>
              </w:rPr>
              <w:t>建议及方案（4）</w:t>
            </w:r>
          </w:p>
        </w:tc>
        <w:tc>
          <w:tcPr>
            <w:tcW w:w="5812" w:type="dxa"/>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bl>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widowControl/>
        <w:jc w:val="left"/>
        <w:rPr>
          <w:rFonts w:ascii="Calibri" w:hAnsi="Calibri" w:eastAsia="宋体" w:cs="Calibri"/>
          <w:bCs/>
          <w:kern w:val="0"/>
          <w:sz w:val="20"/>
          <w:szCs w:val="32"/>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附件7：机场公司业务外包项目合约监管考核指南（试行）</w:t>
      </w:r>
    </w:p>
    <w:p>
      <w:pPr>
        <w:pStyle w:val="19"/>
        <w:spacing w:line="560" w:lineRule="exact"/>
        <w:jc w:val="left"/>
        <w:rPr>
          <w:rFonts w:ascii="Calibri" w:hAnsi="Calibri" w:cs="Calibri"/>
          <w:bCs/>
          <w:szCs w:val="32"/>
        </w:rPr>
      </w:pPr>
    </w:p>
    <w:p>
      <w:pPr>
        <w:pStyle w:val="91"/>
        <w:spacing w:line="256" w:lineRule="auto"/>
        <w:ind w:left="420" w:right="765" w:firstLine="0" w:firstLineChars="0"/>
        <w:jc w:val="center"/>
        <w:rPr>
          <w:rFonts w:ascii="黑体" w:hAnsi="黑体" w:eastAsia="黑体"/>
          <w:b/>
          <w:sz w:val="30"/>
          <w:szCs w:val="30"/>
        </w:rPr>
      </w:pPr>
      <w:r>
        <w:rPr>
          <w:rFonts w:hint="eastAsia" w:ascii="黑体" w:hAnsi="黑体" w:eastAsia="黑体"/>
          <w:b/>
          <w:sz w:val="30"/>
          <w:szCs w:val="30"/>
        </w:rPr>
        <w:t>机场公司业务外包项目合约监管</w:t>
      </w:r>
    </w:p>
    <w:p>
      <w:pPr>
        <w:pStyle w:val="91"/>
        <w:spacing w:line="256" w:lineRule="auto"/>
        <w:ind w:left="420" w:right="765" w:firstLine="0" w:firstLineChars="0"/>
        <w:jc w:val="center"/>
        <w:rPr>
          <w:rFonts w:ascii="黑体" w:hAnsi="黑体" w:eastAsia="黑体"/>
          <w:b/>
          <w:sz w:val="30"/>
          <w:szCs w:val="30"/>
        </w:rPr>
      </w:pPr>
      <w:r>
        <w:rPr>
          <w:rFonts w:hint="eastAsia" w:ascii="黑体" w:hAnsi="黑体" w:eastAsia="黑体"/>
          <w:b/>
          <w:sz w:val="30"/>
          <w:szCs w:val="30"/>
        </w:rPr>
        <w:t>考核指南</w:t>
      </w:r>
    </w:p>
    <w:p>
      <w:pPr>
        <w:pStyle w:val="91"/>
        <w:spacing w:line="256" w:lineRule="auto"/>
        <w:ind w:left="420" w:right="765" w:firstLine="0" w:firstLineChars="0"/>
        <w:jc w:val="center"/>
        <w:rPr>
          <w:rFonts w:ascii="仿宋_GB2312" w:eastAsia="仿宋_GB2312"/>
          <w:sz w:val="32"/>
          <w:szCs w:val="32"/>
        </w:rPr>
      </w:pPr>
      <w:r>
        <w:rPr>
          <w:rFonts w:hint="eastAsia" w:ascii="黑体" w:hAnsi="黑体" w:eastAsia="黑体"/>
          <w:b/>
          <w:sz w:val="30"/>
          <w:szCs w:val="30"/>
        </w:rPr>
        <w:t>（试行）</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本指南作为公司各监管单位在拟草外包项目合约中监管考核要求部分的依据。各单位可根据自身不同项目特点，选择月度或季度考核方式。具体规范如下:</w:t>
      </w:r>
    </w:p>
    <w:p>
      <w:pPr>
        <w:adjustRightInd w:val="0"/>
        <w:snapToGrid w:val="0"/>
        <w:spacing w:line="500" w:lineRule="exact"/>
        <w:ind w:firstLine="562" w:firstLineChars="200"/>
        <w:rPr>
          <w:rFonts w:ascii="黑体" w:hAnsi="黑体" w:eastAsia="黑体"/>
          <w:b/>
          <w:sz w:val="28"/>
          <w:szCs w:val="28"/>
        </w:rPr>
      </w:pPr>
      <w:r>
        <w:rPr>
          <w:rFonts w:hint="eastAsia" w:ascii="黑体" w:hAnsi="黑体" w:eastAsia="黑体"/>
          <w:b/>
          <w:sz w:val="28"/>
          <w:szCs w:val="28"/>
        </w:rPr>
        <w:t>一、日常考核</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机场公司监管单位每日按照日常检查表对相应岗位工作情况、服务质量进行监督检查及考核，发现问题，及时进行记录，并由承包商现场人员确认，同时发放整改单告知承包商进行纠正和整改。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承包商在收到机场公司的整改通知书之日起10日内完成相关整改工作，并将整改情况反馈机场公司监管单位。</w:t>
      </w:r>
    </w:p>
    <w:p>
      <w:pPr>
        <w:adjustRightInd w:val="0"/>
        <w:snapToGrid w:val="0"/>
        <w:spacing w:line="500" w:lineRule="exact"/>
        <w:ind w:firstLine="562" w:firstLineChars="200"/>
        <w:rPr>
          <w:rFonts w:ascii="黑体" w:hAnsi="黑体" w:eastAsia="黑体"/>
          <w:b/>
          <w:sz w:val="28"/>
          <w:szCs w:val="28"/>
        </w:rPr>
      </w:pPr>
      <w:r>
        <w:rPr>
          <w:rFonts w:hint="eastAsia" w:ascii="黑体" w:hAnsi="黑体" w:eastAsia="黑体"/>
          <w:b/>
          <w:sz w:val="28"/>
          <w:szCs w:val="28"/>
        </w:rPr>
        <w:t>二、月（季）度考核</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满分100分。监管单位根据服务标准要求制定日常考核表及月（季）度考核表（格式可参考《机场公司业务外包项目季度考核标准（项目质量考核部分）》）。当月日常考核得分情况得出月（季）度考核得分，考核表中单项扣分不设上限。</w:t>
      </w:r>
    </w:p>
    <w:p>
      <w:pPr>
        <w:adjustRightInd w:val="0"/>
        <w:snapToGrid w:val="0"/>
        <w:spacing w:line="500" w:lineRule="exact"/>
        <w:ind w:firstLine="562" w:firstLineChars="200"/>
        <w:rPr>
          <w:rFonts w:ascii="仿宋_GB2312" w:eastAsia="仿宋_GB2312"/>
          <w:sz w:val="28"/>
          <w:szCs w:val="28"/>
        </w:rPr>
      </w:pPr>
      <w:r>
        <w:rPr>
          <w:rFonts w:hint="eastAsia" w:ascii="仿宋_GB2312" w:eastAsia="仿宋_GB2312"/>
          <w:b/>
          <w:sz w:val="28"/>
          <w:szCs w:val="28"/>
        </w:rPr>
        <w:t>1．按月支付的项目，按月度进行考核。</w:t>
      </w:r>
      <w:r>
        <w:rPr>
          <w:rFonts w:hint="eastAsia" w:ascii="仿宋_GB2312" w:eastAsia="仿宋_GB2312"/>
          <w:sz w:val="28"/>
          <w:szCs w:val="28"/>
        </w:rPr>
        <w:t>当月日常考核的最低得分为月度考核得分。每月考核得分达到95分以上（含95分），视为考核合格，公司按合同所规定的付款方式支付给承包商服务费；如考核得分95分以下，视为考核不合格，每减少1分，扣除当月该项业务服务费的1%。年度考核成绩可按月度平均值进行核算。</w:t>
      </w:r>
    </w:p>
    <w:p>
      <w:pPr>
        <w:adjustRightInd w:val="0"/>
        <w:snapToGrid w:val="0"/>
        <w:spacing w:line="500" w:lineRule="exact"/>
        <w:ind w:firstLine="562" w:firstLineChars="200"/>
        <w:rPr>
          <w:rFonts w:ascii="仿宋_GB2312" w:eastAsia="仿宋_GB2312"/>
          <w:sz w:val="28"/>
          <w:szCs w:val="28"/>
        </w:rPr>
      </w:pPr>
      <w:r>
        <w:rPr>
          <w:rFonts w:hint="eastAsia" w:ascii="仿宋_GB2312" w:eastAsia="仿宋_GB2312"/>
          <w:b/>
          <w:sz w:val="28"/>
          <w:szCs w:val="28"/>
        </w:rPr>
        <w:t>2．按季或年支付的项目，按季度进行考核。</w:t>
      </w:r>
      <w:r>
        <w:rPr>
          <w:rFonts w:hint="eastAsia" w:ascii="仿宋_GB2312" w:eastAsia="仿宋_GB2312"/>
          <w:sz w:val="28"/>
          <w:szCs w:val="28"/>
        </w:rPr>
        <w:t>该季度内每一个月度考核得分达到95分以上（含95分），视为考核合格公司按合同所规定的付款方式支付给承包商服务费；其中，月度考核得分由当月日常考核的最低得分得出。如当季度内有任一个月度考核得分95分以下，视为考核不合格，每减少1分，扣除当月该项业务服务费的1%。年度考核成绩可按季度平均值进行核算。</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三、合约中止</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在考核过程中，下列情况之一的，机场公司有权提前中止合约，并要求承包商承担由此给机场公司造成的实际损失:</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1.在本合同有效期限内如连续两个月度考核得分低于85分（包含85分）或在一个自然外包年度内共计有三个的月度考核得分低于85分（包含85分）。</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2.发生因承包商责任原因造成的各类治安群体性事件、空防不安全事件、消防及其他不安全事件，事故症候，事故和严重影响航班正常性造成航班业务等情况的，实行一票否决。</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br w:type="page"/>
      </w:r>
    </w:p>
    <w:p>
      <w:pPr>
        <w:adjustRightInd w:val="0"/>
        <w:snapToGrid w:val="0"/>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附件8</w:t>
      </w:r>
    </w:p>
    <w:tbl>
      <w:tblPr>
        <w:tblStyle w:val="46"/>
        <w:tblW w:w="8607"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
      <w:tblGrid>
        <w:gridCol w:w="1805"/>
        <w:gridCol w:w="1835"/>
        <w:gridCol w:w="1865"/>
        <w:gridCol w:w="1926"/>
        <w:gridCol w:w="117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607" w:type="dxa"/>
            <w:gridSpan w:val="5"/>
            <w:tcBorders>
              <w:top w:val="nil"/>
              <w:left w:val="nil"/>
              <w:bottom w:val="single" w:color="000000" w:sz="4" w:space="0"/>
              <w:right w:val="nil"/>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T1T2T3楼宇自控系统及T2T3智能灯光系统维保项目月度回访记录单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419" w:hRule="atLeast"/>
        </w:trPr>
        <w:tc>
          <w:tcPr>
            <w:tcW w:w="8607" w:type="dxa"/>
            <w:gridSpan w:val="5"/>
            <w:tcBorders>
              <w:top w:val="single" w:color="000000" w:sz="4" w:space="0"/>
              <w:bottom w:val="single" w:color="000000" w:sz="4" w:space="0"/>
            </w:tcBorders>
            <w:shd w:val="clear" w:color="auto" w:fill="A6A6A6"/>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b/>
                <w:bCs/>
                <w:color w:val="000000"/>
                <w:kern w:val="0"/>
                <w:sz w:val="24"/>
                <w:szCs w:val="24"/>
              </w:rPr>
              <w:t>回访服务类型</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805" w:type="dxa"/>
            <w:tcBorders>
              <w:top w:val="single" w:color="000000" w:sz="4" w:space="0"/>
              <w:tl2br w:val="nil"/>
              <w:tr2bl w:val="nil"/>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□故障解决</w:t>
            </w:r>
          </w:p>
        </w:tc>
        <w:tc>
          <w:tcPr>
            <w:tcW w:w="1835" w:type="dxa"/>
            <w:tcBorders>
              <w:top w:val="single" w:color="000000" w:sz="4" w:space="0"/>
              <w:tl2br w:val="nil"/>
              <w:tr2bl w:val="nil"/>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□系统升级</w:t>
            </w:r>
          </w:p>
        </w:tc>
        <w:tc>
          <w:tcPr>
            <w:tcW w:w="1865" w:type="dxa"/>
            <w:tcBorders>
              <w:top w:val="single" w:color="000000" w:sz="4" w:space="0"/>
              <w:tl2br w:val="nil"/>
              <w:tr2bl w:val="nil"/>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□系统备份</w:t>
            </w:r>
          </w:p>
        </w:tc>
        <w:tc>
          <w:tcPr>
            <w:tcW w:w="1926" w:type="dxa"/>
            <w:tcBorders>
              <w:top w:val="single" w:color="000000" w:sz="4" w:space="0"/>
              <w:tl2br w:val="nil"/>
              <w:tr2bl w:val="nil"/>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□安装指导</w:t>
            </w:r>
          </w:p>
        </w:tc>
        <w:tc>
          <w:tcPr>
            <w:tcW w:w="1176" w:type="dxa"/>
            <w:tcBorders>
              <w:top w:val="single" w:color="000000" w:sz="4" w:space="0"/>
              <w:tl2br w:val="nil"/>
              <w:tr2bl w:val="nil"/>
            </w:tcBorders>
            <w:vAlign w:val="center"/>
          </w:tcPr>
          <w:p>
            <w:pPr>
              <w:rPr>
                <w:rFonts w:ascii="宋体" w:hAnsi="宋体" w:eastAsia="宋体" w:cs="宋体"/>
                <w:color w:val="000000"/>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805" w:type="dxa"/>
            <w:tcBorders>
              <w:bottom w:val="single" w:color="000000" w:sz="4" w:space="0"/>
              <w:tl2br w:val="nil"/>
              <w:tr2bl w:val="nil"/>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□现场调试</w:t>
            </w:r>
          </w:p>
        </w:tc>
        <w:tc>
          <w:tcPr>
            <w:tcW w:w="1835" w:type="dxa"/>
            <w:tcBorders>
              <w:bottom w:val="single" w:color="000000" w:sz="4" w:space="0"/>
              <w:tl2br w:val="nil"/>
              <w:tr2bl w:val="nil"/>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□专业咨询</w:t>
            </w:r>
          </w:p>
        </w:tc>
        <w:tc>
          <w:tcPr>
            <w:tcW w:w="1865" w:type="dxa"/>
            <w:tcBorders>
              <w:bottom w:val="single" w:color="000000" w:sz="4" w:space="0"/>
              <w:tl2br w:val="nil"/>
              <w:tr2bl w:val="nil"/>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□满意度调查</w:t>
            </w:r>
          </w:p>
        </w:tc>
        <w:tc>
          <w:tcPr>
            <w:tcW w:w="1926" w:type="dxa"/>
            <w:tcBorders>
              <w:bottom w:val="single" w:color="000000" w:sz="4" w:space="0"/>
              <w:tl2br w:val="nil"/>
              <w:tr2bl w:val="nil"/>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□其他</w:t>
            </w:r>
          </w:p>
        </w:tc>
        <w:tc>
          <w:tcPr>
            <w:tcW w:w="1176" w:type="dxa"/>
            <w:tcBorders>
              <w:bottom w:val="single" w:color="000000" w:sz="4" w:space="0"/>
              <w:tl2br w:val="nil"/>
              <w:tr2bl w:val="nil"/>
            </w:tcBorders>
            <w:vAlign w:val="center"/>
          </w:tcPr>
          <w:p>
            <w:pP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607" w:type="dxa"/>
            <w:gridSpan w:val="5"/>
            <w:tcBorders>
              <w:top w:val="single" w:color="000000" w:sz="4" w:space="0"/>
              <w:bottom w:val="single" w:color="000000" w:sz="4" w:space="0"/>
            </w:tcBorders>
            <w:shd w:val="clear" w:color="auto" w:fill="A6A6A6"/>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b/>
                <w:bCs/>
                <w:color w:val="000000"/>
                <w:kern w:val="0"/>
                <w:sz w:val="24"/>
                <w:szCs w:val="24"/>
              </w:rPr>
              <w:t>回访服务内容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180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工作摘要</w:t>
            </w:r>
          </w:p>
        </w:tc>
        <w:tc>
          <w:tcPr>
            <w:tcW w:w="6802" w:type="dxa"/>
            <w:gridSpan w:val="4"/>
            <w:vMerge w:val="restart"/>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p>
            <w:pPr>
              <w:jc w:val="center"/>
              <w:rPr>
                <w:rFonts w:ascii="宋体" w:hAnsi="宋体" w:eastAsia="宋体" w:cs="宋体"/>
                <w:color w:val="000000"/>
                <w:sz w:val="28"/>
                <w:szCs w:val="28"/>
              </w:rPr>
            </w:pPr>
          </w:p>
          <w:p>
            <w:pPr>
              <w:rPr>
                <w:rFonts w:ascii="宋体" w:hAnsi="宋体" w:eastAsia="宋体" w:cs="宋体"/>
                <w:color w:val="000000"/>
                <w:sz w:val="28"/>
                <w:szCs w:val="28"/>
              </w:rPr>
            </w:pPr>
          </w:p>
          <w:p>
            <w:pPr>
              <w:rPr>
                <w:rFonts w:ascii="宋体" w:hAnsi="宋体" w:eastAsia="宋体" w:cs="宋体"/>
                <w:color w:val="000000"/>
                <w:sz w:val="28"/>
                <w:szCs w:val="28"/>
              </w:rPr>
            </w:pPr>
          </w:p>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1805"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c>
          <w:tcPr>
            <w:tcW w:w="6802"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1805"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c>
          <w:tcPr>
            <w:tcW w:w="6802"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1805"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c>
          <w:tcPr>
            <w:tcW w:w="6802"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1805"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c>
          <w:tcPr>
            <w:tcW w:w="6802"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1640" w:hRule="atLeast"/>
        </w:trPr>
        <w:tc>
          <w:tcPr>
            <w:tcW w:w="1805"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c>
          <w:tcPr>
            <w:tcW w:w="6802"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180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遗留问题及处理方案</w:t>
            </w:r>
          </w:p>
        </w:tc>
        <w:tc>
          <w:tcPr>
            <w:tcW w:w="6802" w:type="dxa"/>
            <w:gridSpan w:val="4"/>
            <w:vMerge w:val="restart"/>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p>
            <w:pP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1805"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c>
          <w:tcPr>
            <w:tcW w:w="6802"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1805"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c>
          <w:tcPr>
            <w:tcW w:w="6802"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trPr>
        <w:tc>
          <w:tcPr>
            <w:tcW w:w="1805"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c>
          <w:tcPr>
            <w:tcW w:w="6802"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1675" w:hRule="atLeast"/>
        </w:trPr>
        <w:tc>
          <w:tcPr>
            <w:tcW w:w="1805" w:type="dxa"/>
            <w:vMerge w:val="continue"/>
            <w:tcBorders>
              <w:top w:val="single" w:color="000000" w:sz="4" w:space="0"/>
              <w:bottom w:val="single" w:color="000000" w:sz="4" w:space="0"/>
              <w:right w:val="single" w:color="000000" w:sz="4" w:space="0"/>
            </w:tcBorders>
            <w:vAlign w:val="center"/>
          </w:tcPr>
          <w:p>
            <w:pPr>
              <w:jc w:val="center"/>
              <w:rPr>
                <w:rFonts w:ascii="宋体" w:hAnsi="宋体" w:eastAsia="宋体" w:cs="宋体"/>
                <w:color w:val="000000"/>
                <w:sz w:val="28"/>
                <w:szCs w:val="28"/>
              </w:rPr>
            </w:pPr>
          </w:p>
        </w:tc>
        <w:tc>
          <w:tcPr>
            <w:tcW w:w="6802" w:type="dxa"/>
            <w:gridSpan w:val="4"/>
            <w:vMerge w:val="continue"/>
            <w:tcBorders>
              <w:top w:val="single" w:color="000000" w:sz="4" w:space="0"/>
              <w:left w:val="single" w:color="000000" w:sz="4" w:space="0"/>
              <w:bottom w:val="single" w:color="000000" w:sz="4" w:space="0"/>
            </w:tcBorders>
            <w:vAlign w:val="center"/>
          </w:tcPr>
          <w:p>
            <w:pPr>
              <w:jc w:val="cente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80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服务完成时间</w:t>
            </w:r>
          </w:p>
        </w:tc>
        <w:tc>
          <w:tcPr>
            <w:tcW w:w="6802" w:type="dxa"/>
            <w:gridSpan w:val="4"/>
            <w:tcBorders>
              <w:top w:val="single" w:color="000000" w:sz="4" w:space="0"/>
              <w:left w:val="single" w:color="000000" w:sz="4" w:space="0"/>
              <w:bottom w:val="single" w:color="000000" w:sz="4" w:space="0"/>
            </w:tcBorders>
            <w:vAlign w:val="center"/>
          </w:tcPr>
          <w:p>
            <w:pP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80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服务人员签字</w:t>
            </w:r>
          </w:p>
        </w:tc>
        <w:tc>
          <w:tcPr>
            <w:tcW w:w="6802" w:type="dxa"/>
            <w:gridSpan w:val="4"/>
            <w:tcBorders>
              <w:top w:val="single" w:color="000000" w:sz="4" w:space="0"/>
              <w:left w:val="single" w:color="000000" w:sz="4" w:space="0"/>
              <w:bottom w:val="single" w:color="000000" w:sz="4" w:space="0"/>
            </w:tcBorders>
            <w:vAlign w:val="center"/>
          </w:tcPr>
          <w:p>
            <w:pP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8607" w:type="dxa"/>
            <w:gridSpan w:val="5"/>
            <w:tcBorders>
              <w:top w:val="single" w:color="000000" w:sz="4" w:space="0"/>
              <w:bottom w:val="single" w:color="000000" w:sz="4" w:space="0"/>
            </w:tcBorders>
            <w:shd w:val="clear" w:color="auto" w:fill="A6A6A6"/>
            <w:vAlign w:val="center"/>
          </w:tcPr>
          <w:p>
            <w:pPr>
              <w:jc w:val="center"/>
              <w:rPr>
                <w:rFonts w:ascii="宋体" w:hAnsi="宋体" w:eastAsia="宋体" w:cs="宋体"/>
                <w:color w:val="000000"/>
                <w:sz w:val="28"/>
                <w:szCs w:val="28"/>
              </w:rPr>
            </w:pPr>
            <w:r>
              <w:rPr>
                <w:rFonts w:hint="eastAsia" w:ascii="宋体" w:hAnsi="宋体" w:eastAsia="宋体" w:cs="宋体"/>
                <w:b/>
                <w:bCs/>
                <w:color w:val="000000"/>
                <w:kern w:val="0"/>
                <w:sz w:val="24"/>
                <w:szCs w:val="24"/>
              </w:rPr>
              <w:t>用户意见</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1163" w:hRule="atLeast"/>
        </w:trPr>
        <w:tc>
          <w:tcPr>
            <w:tcW w:w="8607" w:type="dxa"/>
            <w:gridSpan w:val="5"/>
            <w:tcBorders>
              <w:top w:val="single" w:color="000000" w:sz="4" w:space="0"/>
              <w:bottom w:val="single" w:color="000000" w:sz="4" w:space="0"/>
            </w:tcBorders>
            <w:vAlign w:val="center"/>
          </w:tcPr>
          <w:p>
            <w:pP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805" w:type="dxa"/>
            <w:tcBorders>
              <w:top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用户代表签字</w:t>
            </w:r>
          </w:p>
        </w:tc>
        <w:tc>
          <w:tcPr>
            <w:tcW w:w="6802" w:type="dxa"/>
            <w:gridSpan w:val="4"/>
            <w:tcBorders>
              <w:top w:val="single" w:color="000000" w:sz="4" w:space="0"/>
              <w:left w:val="single" w:color="000000" w:sz="4" w:space="0"/>
              <w:bottom w:val="single" w:color="000000" w:sz="4" w:space="0"/>
            </w:tcBorders>
            <w:vAlign w:val="center"/>
          </w:tcPr>
          <w:p>
            <w:pPr>
              <w:rPr>
                <w:rFonts w:ascii="宋体" w:hAnsi="宋体" w:eastAsia="宋体" w:cs="宋体"/>
                <w:color w:val="000000"/>
                <w:sz w:val="28"/>
                <w:szCs w:val="28"/>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1805" w:type="dxa"/>
            <w:tcBorders>
              <w:top w:val="single" w:color="000000" w:sz="4" w:space="0"/>
              <w:right w:val="single" w:color="000000" w:sz="4" w:space="0"/>
            </w:tcBorders>
            <w:vAlign w:val="center"/>
          </w:tcPr>
          <w:p>
            <w:pPr>
              <w:widowControl/>
              <w:jc w:val="center"/>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日期</w:t>
            </w:r>
          </w:p>
        </w:tc>
        <w:tc>
          <w:tcPr>
            <w:tcW w:w="6802" w:type="dxa"/>
            <w:gridSpan w:val="4"/>
            <w:tcBorders>
              <w:top w:val="single" w:color="000000" w:sz="4" w:space="0"/>
              <w:left w:val="single" w:color="000000" w:sz="4" w:space="0"/>
            </w:tcBorders>
            <w:vAlign w:val="center"/>
          </w:tcPr>
          <w:p>
            <w:pPr>
              <w:rPr>
                <w:rFonts w:ascii="宋体" w:hAnsi="宋体" w:eastAsia="宋体" w:cs="宋体"/>
                <w:color w:val="000000"/>
                <w:sz w:val="28"/>
                <w:szCs w:val="28"/>
              </w:rPr>
            </w:pPr>
          </w:p>
        </w:tc>
      </w:tr>
    </w:tbl>
    <w:p>
      <w:pPr>
        <w:adjustRightInd w:val="0"/>
        <w:snapToGrid w:val="0"/>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adjustRightInd w:val="0"/>
        <w:snapToGrid w:val="0"/>
        <w:spacing w:line="500" w:lineRule="exact"/>
        <w:ind w:firstLine="560" w:firstLineChars="200"/>
        <w:jc w:val="left"/>
        <w:rPr>
          <w:rFonts w:ascii="Calibri" w:hAnsi="Calibri" w:cs="Calibri"/>
          <w:bCs/>
          <w:szCs w:val="32"/>
        </w:rPr>
      </w:pPr>
      <w:r>
        <w:rPr>
          <w:rFonts w:hint="eastAsia" w:ascii="仿宋_GB2312" w:hAnsi="仿宋_GB2312" w:eastAsia="仿宋_GB2312" w:cs="仿宋_GB2312"/>
          <w:sz w:val="28"/>
          <w:szCs w:val="28"/>
        </w:rPr>
        <w:t>附件9</w:t>
      </w:r>
    </w:p>
    <w:tbl>
      <w:tblPr>
        <w:tblStyle w:val="46"/>
        <w:tblW w:w="9703" w:type="dxa"/>
        <w:tblInd w:w="0" w:type="dxa"/>
        <w:tblLayout w:type="fixed"/>
        <w:tblCellMar>
          <w:top w:w="15" w:type="dxa"/>
          <w:left w:w="15" w:type="dxa"/>
          <w:bottom w:w="15" w:type="dxa"/>
          <w:right w:w="15" w:type="dxa"/>
        </w:tblCellMar>
      </w:tblPr>
      <w:tblGrid>
        <w:gridCol w:w="552"/>
        <w:gridCol w:w="1521"/>
        <w:gridCol w:w="4893"/>
        <w:gridCol w:w="2460"/>
        <w:gridCol w:w="277"/>
      </w:tblGrid>
      <w:tr>
        <w:tblPrEx>
          <w:tblLayout w:type="fixed"/>
          <w:tblCellMar>
            <w:top w:w="15" w:type="dxa"/>
            <w:left w:w="15" w:type="dxa"/>
            <w:bottom w:w="15" w:type="dxa"/>
            <w:right w:w="15" w:type="dxa"/>
          </w:tblCellMar>
        </w:tblPrEx>
        <w:trPr>
          <w:gridAfter w:val="1"/>
          <w:wAfter w:w="277" w:type="dxa"/>
          <w:trHeight w:val="360" w:hRule="atLeast"/>
        </w:trPr>
        <w:tc>
          <w:tcPr>
            <w:tcW w:w="9426" w:type="dxa"/>
            <w:gridSpan w:val="4"/>
            <w:tcBorders>
              <w:top w:val="nil"/>
              <w:left w:val="nil"/>
              <w:bottom w:val="single" w:color="000000" w:sz="4" w:space="0"/>
              <w:right w:val="nil"/>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8"/>
                <w:szCs w:val="28"/>
              </w:rPr>
              <w:t>T1T2T3楼宇自控系统及T2T3智能灯光系统维保项目</w:t>
            </w:r>
            <w:r>
              <w:rPr>
                <w:rFonts w:hint="eastAsia" w:ascii="宋体" w:hAnsi="宋体" w:cs="宋体"/>
                <w:color w:val="000000"/>
                <w:kern w:val="0"/>
                <w:sz w:val="28"/>
                <w:szCs w:val="28"/>
              </w:rPr>
              <w:t>季度巡检</w:t>
            </w:r>
            <w:r>
              <w:rPr>
                <w:rFonts w:hint="eastAsia" w:ascii="宋体" w:hAnsi="宋体" w:eastAsia="宋体" w:cs="宋体"/>
                <w:color w:val="000000"/>
                <w:kern w:val="0"/>
                <w:sz w:val="28"/>
                <w:szCs w:val="28"/>
              </w:rPr>
              <w:t>维保单</w:t>
            </w:r>
          </w:p>
        </w:tc>
      </w:tr>
      <w:tr>
        <w:tblPrEx>
          <w:tblLayout w:type="fixed"/>
          <w:tblCellMar>
            <w:top w:w="15" w:type="dxa"/>
            <w:left w:w="15" w:type="dxa"/>
            <w:bottom w:w="15" w:type="dxa"/>
            <w:right w:w="15" w:type="dxa"/>
          </w:tblCellMar>
        </w:tblPrEx>
        <w:trPr>
          <w:gridAfter w:val="1"/>
          <w:wAfter w:w="277" w:type="dxa"/>
          <w:trHeight w:val="390" w:hRule="atLeast"/>
        </w:trPr>
        <w:tc>
          <w:tcPr>
            <w:tcW w:w="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序号</w:t>
            </w:r>
          </w:p>
        </w:tc>
        <w:tc>
          <w:tcPr>
            <w:tcW w:w="15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维保内容</w:t>
            </w: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维保明细</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olor w:val="000000"/>
                <w:sz w:val="24"/>
                <w:szCs w:val="24"/>
              </w:rPr>
            </w:pPr>
            <w:r>
              <w:rPr>
                <w:rFonts w:hint="eastAsia" w:ascii="黑体" w:hAnsi="宋体" w:eastAsia="黑体"/>
                <w:color w:val="000000"/>
                <w:kern w:val="0"/>
                <w:sz w:val="24"/>
                <w:szCs w:val="24"/>
              </w:rPr>
              <w:t>维保情况</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15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中央站服务器、工作站计算机</w:t>
            </w: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检查计算机外观是否良好</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检查计算机供电电源是否良好</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检查监视器、鼠标、键盘等外设是否工作正常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检查计算机主板清洁状态及工作是否正常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检查计算机操作系统是否正常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检查计算机网络交换机、通讯接口是否正常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检查系统总线网络线路的连接状态是否正常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15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中央站、工作站系统软件</w:t>
            </w: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检查服务器软件是否正常、冗余功能及数据库是否运行正常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检查工作站系统软件操作、显示、报警、记录等功能是否正常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检查各系统数据显示是否正常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检查系统远程控制功能是否正常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对系统数据进行备份</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15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DDC控制柜（DDC控制器、电源、变压器、继电器等）</w:t>
            </w: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检查DDC控制柜及DDC外观、内外环境是否正常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检查DDC柜内各端子、线路连接状态</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检查各DDC模块安装状态及LED灯状态，用手操器或笔记本检查内部软件运行状态</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检查DDC输入电源、直流电源电压、存储器保护用蓄电池电源状态</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检查各DDC受控设备状态，各传感器、执行器数据状态</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15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现场传感器（温湿度传感器、空气压差开关、空气质量传感器等）</w:t>
            </w: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检查各传感器外观及内外环境是否正常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检查各传感器接线端子、线路连接状态</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检查传感器输入电源、直流电源的电压是否正常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检查各传感器输出信号状态及测量 数据状态</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gridAfter w:val="1"/>
          <w:wAfter w:w="277" w:type="dxa"/>
          <w:trHeight w:val="480" w:hRule="atLeast"/>
        </w:trPr>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15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现场执行器（水阀执行器、风阀执行器等）</w:t>
            </w: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检查各执行器外观及内外环境是否正常</w:t>
            </w:r>
          </w:p>
        </w:tc>
        <w:tc>
          <w:tcPr>
            <w:tcW w:w="24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检查各执行器接线端子、线路连接状态</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检查各执行器输入电源、直流信号的电压是否正常</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检查各执行器动作是否正常</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c>
          <w:tcPr>
            <w:tcW w:w="15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光纤收发器</w:t>
            </w: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检查各光纤收发器外观及内外环境是否正常</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检查各光纤收发器接线端子、线路连接状态</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检查各光纤收发器输入信号是否正常</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检查各光纤收发器输出信号状态及测量数据状态</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5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光照度控制器</w:t>
            </w: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检查光照度控制器外观及内外环境是否正常</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检查光照度控制器接线端子、线路连接状态</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检查光照度控制器输入信号是否正常</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检查光照度控制器输出信号状态及测量数据状态</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8</w:t>
            </w:r>
          </w:p>
        </w:tc>
        <w:tc>
          <w:tcPr>
            <w:tcW w:w="152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灯光开关控制器模块</w:t>
            </w: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检查灯光开关控制器模块外观及内外环境是否正常</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检查灯光开关控制器模块接线端子、线路连接状态</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检查灯光开关控制器模块输入信号是否正常</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480" w:hRule="atLeast"/>
        </w:trPr>
        <w:tc>
          <w:tcPr>
            <w:tcW w:w="5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15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48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检查灯光开关控制器模块输出信号状态及测量数据状态</w:t>
            </w:r>
          </w:p>
        </w:tc>
        <w:tc>
          <w:tcPr>
            <w:tcW w:w="27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2"/>
              </w:rPr>
              <w:t>□</w:t>
            </w:r>
            <w:r>
              <w:rPr>
                <w:rFonts w:hint="eastAsia" w:ascii="宋体" w:hAnsi="宋体" w:cs="宋体"/>
                <w:color w:val="000000"/>
                <w:kern w:val="0"/>
                <w:sz w:val="22"/>
              </w:rPr>
              <w:t>正常</w:t>
            </w:r>
            <w:r>
              <w:rPr>
                <w:rFonts w:hint="eastAsia" w:ascii="宋体" w:hAnsi="宋体" w:eastAsia="宋体" w:cs="宋体"/>
                <w:color w:val="000000"/>
                <w:kern w:val="0"/>
                <w:sz w:val="22"/>
              </w:rPr>
              <w:t xml:space="preserve">  □</w:t>
            </w:r>
            <w:r>
              <w:rPr>
                <w:rFonts w:hint="eastAsia" w:ascii="宋体" w:hAnsi="宋体" w:cs="宋体"/>
                <w:color w:val="000000"/>
                <w:kern w:val="0"/>
                <w:sz w:val="22"/>
              </w:rPr>
              <w:t xml:space="preserve">异常 </w:t>
            </w:r>
          </w:p>
        </w:tc>
      </w:tr>
      <w:tr>
        <w:tblPrEx>
          <w:tblLayout w:type="fixed"/>
          <w:tblCellMar>
            <w:top w:w="15" w:type="dxa"/>
            <w:left w:w="15" w:type="dxa"/>
            <w:bottom w:w="15" w:type="dxa"/>
            <w:right w:w="15" w:type="dxa"/>
          </w:tblCellMar>
        </w:tblPrEx>
        <w:trPr>
          <w:trHeight w:val="2300" w:hRule="atLeast"/>
        </w:trPr>
        <w:tc>
          <w:tcPr>
            <w:tcW w:w="2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维保结论</w:t>
            </w:r>
          </w:p>
        </w:tc>
        <w:tc>
          <w:tcPr>
            <w:tcW w:w="763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sz w:val="22"/>
              </w:rPr>
            </w:pPr>
            <w:r>
              <w:rPr>
                <w:rFonts w:hint="eastAsia" w:ascii="宋体" w:hAnsi="宋体" w:cs="宋体"/>
                <w:color w:val="000000"/>
                <w:kern w:val="0"/>
                <w:sz w:val="24"/>
                <w:szCs w:val="24"/>
              </w:rPr>
              <w:t xml:space="preserve">   </w:t>
            </w:r>
            <w:r>
              <w:rPr>
                <w:rFonts w:hint="eastAsia" w:ascii="宋体" w:hAnsi="宋体" w:eastAsia="宋体" w:cs="宋体"/>
                <w:color w:val="000000"/>
                <w:kern w:val="0"/>
                <w:sz w:val="24"/>
                <w:szCs w:val="24"/>
              </w:rPr>
              <w:t>维保人员签名：                 日期：</w:t>
            </w:r>
          </w:p>
        </w:tc>
      </w:tr>
      <w:tr>
        <w:tblPrEx>
          <w:tblLayout w:type="fixed"/>
          <w:tblCellMar>
            <w:top w:w="15" w:type="dxa"/>
            <w:left w:w="15" w:type="dxa"/>
            <w:bottom w:w="15" w:type="dxa"/>
            <w:right w:w="15" w:type="dxa"/>
          </w:tblCellMar>
        </w:tblPrEx>
        <w:trPr>
          <w:trHeight w:val="2170" w:hRule="atLeast"/>
        </w:trPr>
        <w:tc>
          <w:tcPr>
            <w:tcW w:w="207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用户意见</w:t>
            </w:r>
          </w:p>
        </w:tc>
        <w:tc>
          <w:tcPr>
            <w:tcW w:w="7630"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kern w:val="0"/>
                <w:sz w:val="22"/>
              </w:rPr>
            </w:pPr>
          </w:p>
          <w:p>
            <w:pPr>
              <w:widowControl/>
              <w:jc w:val="left"/>
              <w:textAlignment w:val="center"/>
              <w:rPr>
                <w:rFonts w:ascii="宋体" w:hAnsi="宋体" w:eastAsia="宋体" w:cs="宋体"/>
                <w:color w:val="000000"/>
                <w:sz w:val="22"/>
              </w:rPr>
            </w:pPr>
            <w:r>
              <w:rPr>
                <w:rFonts w:hint="eastAsia" w:ascii="宋体" w:hAnsi="宋体" w:cs="宋体"/>
                <w:color w:val="000000"/>
                <w:kern w:val="0"/>
                <w:sz w:val="24"/>
                <w:szCs w:val="24"/>
              </w:rPr>
              <w:t xml:space="preserve">   </w:t>
            </w:r>
            <w:r>
              <w:rPr>
                <w:rFonts w:hint="eastAsia" w:ascii="宋体" w:hAnsi="宋体" w:eastAsia="宋体" w:cs="宋体"/>
                <w:color w:val="000000"/>
                <w:kern w:val="0"/>
                <w:sz w:val="24"/>
                <w:szCs w:val="24"/>
              </w:rPr>
              <w:t>用户代表签名：                 日期：</w:t>
            </w:r>
          </w:p>
        </w:tc>
      </w:tr>
      <w:tr>
        <w:tblPrEx>
          <w:tblLayout w:type="fixed"/>
          <w:tblCellMar>
            <w:top w:w="15" w:type="dxa"/>
            <w:left w:w="15" w:type="dxa"/>
            <w:bottom w:w="15" w:type="dxa"/>
            <w:right w:w="15" w:type="dxa"/>
          </w:tblCellMar>
        </w:tblPrEx>
        <w:trPr>
          <w:trHeight w:val="312" w:hRule="atLeast"/>
        </w:trPr>
        <w:tc>
          <w:tcPr>
            <w:tcW w:w="2073"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备注</w:t>
            </w:r>
          </w:p>
        </w:tc>
        <w:tc>
          <w:tcPr>
            <w:tcW w:w="7630" w:type="dxa"/>
            <w:gridSpan w:val="3"/>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r>
        <w:tblPrEx>
          <w:tblLayout w:type="fixed"/>
          <w:tblCellMar>
            <w:top w:w="15" w:type="dxa"/>
            <w:left w:w="15" w:type="dxa"/>
            <w:bottom w:w="15" w:type="dxa"/>
            <w:right w:w="15" w:type="dxa"/>
          </w:tblCellMar>
        </w:tblPrEx>
        <w:trPr>
          <w:trHeight w:val="1050" w:hRule="atLeast"/>
        </w:trPr>
        <w:tc>
          <w:tcPr>
            <w:tcW w:w="2073"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c>
          <w:tcPr>
            <w:tcW w:w="7630" w:type="dxa"/>
            <w:gridSpan w:val="3"/>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4"/>
                <w:szCs w:val="24"/>
              </w:rPr>
            </w:pPr>
          </w:p>
        </w:tc>
      </w:tr>
    </w:tbl>
    <w:p>
      <w:pPr>
        <w:pStyle w:val="19"/>
        <w:spacing w:line="560" w:lineRule="exact"/>
        <w:jc w:val="left"/>
        <w:rPr>
          <w:rFonts w:ascii="Calibri" w:hAnsi="Calibri" w:cs="Calibri"/>
          <w:bCs/>
          <w:szCs w:val="32"/>
        </w:r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19"/>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9"/>
        <w:spacing w:line="360" w:lineRule="exact"/>
        <w:rPr>
          <w:rFonts w:hAnsi="宋体" w:cs="Calibri"/>
          <w:b/>
          <w:bCs/>
          <w:sz w:val="22"/>
          <w:szCs w:val="22"/>
        </w:rPr>
      </w:pPr>
      <w:r>
        <w:rPr>
          <w:rFonts w:hAnsi="宋体" w:cs="Calibri"/>
          <w:b/>
          <w:bCs/>
          <w:sz w:val="22"/>
          <w:szCs w:val="22"/>
        </w:rPr>
        <w:t>一、评标原则</w:t>
      </w:r>
    </w:p>
    <w:p>
      <w:pPr>
        <w:pStyle w:val="19"/>
        <w:spacing w:line="360" w:lineRule="exact"/>
        <w:ind w:firstLine="420"/>
        <w:rPr>
          <w:rFonts w:hAnsi="宋体" w:cs="Calibri"/>
          <w:sz w:val="22"/>
          <w:szCs w:val="22"/>
        </w:rPr>
      </w:pPr>
      <w:r>
        <w:rPr>
          <w:rFonts w:hAnsi="宋体" w:cs="Calibri"/>
          <w:bCs/>
          <w:sz w:val="22"/>
          <w:szCs w:val="22"/>
        </w:rPr>
        <w:t>评标应遵循公平、公正、科学、择优的原则。</w:t>
      </w:r>
    </w:p>
    <w:p>
      <w:pPr>
        <w:pStyle w:val="19"/>
        <w:spacing w:line="360" w:lineRule="exact"/>
        <w:rPr>
          <w:rFonts w:hAnsi="宋体" w:cs="Calibri"/>
          <w:b/>
          <w:bCs/>
          <w:sz w:val="22"/>
          <w:szCs w:val="22"/>
        </w:rPr>
      </w:pPr>
      <w:r>
        <w:rPr>
          <w:rFonts w:hAnsi="宋体" w:cs="Calibri"/>
          <w:b/>
          <w:bCs/>
          <w:sz w:val="22"/>
          <w:szCs w:val="22"/>
        </w:rPr>
        <w:t>二、评标组织</w:t>
      </w:r>
    </w:p>
    <w:p>
      <w:pPr>
        <w:pStyle w:val="1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19"/>
        <w:spacing w:line="360" w:lineRule="exact"/>
        <w:rPr>
          <w:rFonts w:hAnsi="宋体" w:cs="Calibri"/>
          <w:b/>
          <w:bCs/>
          <w:sz w:val="22"/>
          <w:szCs w:val="22"/>
        </w:rPr>
      </w:pPr>
      <w:r>
        <w:rPr>
          <w:rFonts w:hAnsi="宋体" w:cs="Calibri"/>
          <w:b/>
          <w:bCs/>
          <w:sz w:val="22"/>
          <w:szCs w:val="22"/>
        </w:rPr>
        <w:t>三、投标文件的评审</w:t>
      </w:r>
    </w:p>
    <w:p>
      <w:pPr>
        <w:pStyle w:val="19"/>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w:t>
      </w:r>
      <w:r>
        <w:rPr>
          <w:rFonts w:ascii="宋体" w:hAnsi="宋体" w:cs="Calibri"/>
          <w:sz w:val="22"/>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1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19"/>
        <w:numPr>
          <w:ilvl w:val="0"/>
          <w:numId w:val="1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19"/>
        <w:numPr>
          <w:ilvl w:val="0"/>
          <w:numId w:val="1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1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1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19"/>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19"/>
        <w:adjustRightInd w:val="0"/>
        <w:snapToGrid w:val="0"/>
        <w:spacing w:line="360" w:lineRule="exact"/>
        <w:ind w:firstLine="442" w:firstLineChars="200"/>
        <w:rPr>
          <w:rFonts w:hAnsi="宋体"/>
          <w:b/>
          <w:color w:val="000000"/>
          <w:sz w:val="22"/>
          <w:szCs w:val="22"/>
        </w:rPr>
      </w:pPr>
      <w:r>
        <w:rPr>
          <w:rFonts w:hint="eastAsia" w:hAnsi="宋体"/>
          <w:b/>
          <w:color w:val="000000"/>
          <w:sz w:val="22"/>
          <w:szCs w:val="22"/>
        </w:rPr>
        <w:t>每个投标人最终得分=商务报价分+资信及技术分</w:t>
      </w:r>
    </w:p>
    <w:p>
      <w:pPr>
        <w:pStyle w:val="19"/>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19"/>
        <w:adjustRightInd w:val="0"/>
        <w:snapToGrid w:val="0"/>
        <w:spacing w:line="360" w:lineRule="exact"/>
        <w:ind w:firstLine="440" w:firstLineChars="200"/>
        <w:rPr>
          <w:rFonts w:hAnsi="宋体"/>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w:t>
      </w:r>
      <w:r>
        <w:rPr>
          <w:rFonts w:hAnsi="宋体"/>
          <w:sz w:val="22"/>
          <w:szCs w:val="22"/>
        </w:rPr>
        <w:t>4个，则评标基准价为所有有效投标报价的算数平均值与最低价的算数平均值。</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个百分点按插值法计算，小数点后保留二位，四舍五入，商务分最低得分为20分）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8-30分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46"/>
        <w:tblW w:w="1020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1"/>
        <w:gridCol w:w="1134"/>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vAlign w:val="center"/>
          </w:tcPr>
          <w:p>
            <w:pPr>
              <w:pStyle w:val="19"/>
              <w:adjustRightInd w:val="0"/>
              <w:snapToGrid w:val="0"/>
              <w:spacing w:line="360" w:lineRule="exact"/>
              <w:rPr>
                <w:rFonts w:hAnsi="宋体" w:cs="Courier New"/>
              </w:rPr>
            </w:pPr>
            <w:r>
              <w:rPr>
                <w:rFonts w:hAnsi="宋体" w:cs="Courier New"/>
              </w:rPr>
              <w:t>评定项目</w:t>
            </w:r>
          </w:p>
        </w:tc>
        <w:tc>
          <w:tcPr>
            <w:tcW w:w="1134" w:type="dxa"/>
            <w:vAlign w:val="center"/>
          </w:tcPr>
          <w:p>
            <w:pPr>
              <w:pStyle w:val="19"/>
              <w:adjustRightInd w:val="0"/>
              <w:snapToGrid w:val="0"/>
              <w:spacing w:line="360" w:lineRule="exact"/>
              <w:rPr>
                <w:rFonts w:hAnsi="宋体" w:cs="Courier New"/>
              </w:rPr>
            </w:pPr>
            <w:r>
              <w:rPr>
                <w:rFonts w:hAnsi="宋体" w:cs="Courier New"/>
              </w:rPr>
              <w:t>分值范围</w:t>
            </w:r>
          </w:p>
        </w:tc>
        <w:tc>
          <w:tcPr>
            <w:tcW w:w="3402" w:type="dxa"/>
            <w:vAlign w:val="center"/>
          </w:tcPr>
          <w:p>
            <w:pPr>
              <w:pStyle w:val="19"/>
              <w:adjustRightInd w:val="0"/>
              <w:snapToGrid w:val="0"/>
              <w:spacing w:line="360" w:lineRule="exact"/>
              <w:rPr>
                <w:rFonts w:hAnsi="宋体" w:cs="Courier New"/>
              </w:rPr>
            </w:pPr>
            <w:r>
              <w:rPr>
                <w:rFonts w:hint="eastAsia" w:hAnsi="宋体" w:cs="Courier Ne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vAlign w:val="center"/>
          </w:tcPr>
          <w:p>
            <w:pPr>
              <w:widowControl/>
              <w:snapToGrid w:val="0"/>
              <w:spacing w:line="360" w:lineRule="exact"/>
              <w:rPr>
                <w:rFonts w:ascii="宋体" w:hAnsi="宋体"/>
                <w:szCs w:val="21"/>
              </w:rPr>
            </w:pPr>
            <w:r>
              <w:rPr>
                <w:rFonts w:hint="eastAsia" w:ascii="宋体" w:hAnsi="宋体" w:cs="宋体"/>
                <w:kern w:val="0"/>
                <w:szCs w:val="21"/>
              </w:rPr>
              <w:t>投标人企业规模、得奖情况</w:t>
            </w:r>
          </w:p>
        </w:tc>
        <w:tc>
          <w:tcPr>
            <w:tcW w:w="1134" w:type="dxa"/>
            <w:vAlign w:val="center"/>
          </w:tcPr>
          <w:p>
            <w:pPr>
              <w:widowControl/>
              <w:snapToGrid w:val="0"/>
              <w:spacing w:line="360" w:lineRule="exact"/>
              <w:rPr>
                <w:rFonts w:ascii="宋体" w:hAnsi="宋体"/>
                <w:szCs w:val="21"/>
              </w:rPr>
            </w:pPr>
            <w:r>
              <w:rPr>
                <w:rFonts w:hint="eastAsia" w:ascii="宋体" w:hAnsi="宋体" w:cs="宋体"/>
                <w:kern w:val="0"/>
                <w:szCs w:val="21"/>
              </w:rPr>
              <w:t>0-2</w:t>
            </w:r>
          </w:p>
        </w:tc>
        <w:tc>
          <w:tcPr>
            <w:tcW w:w="3402" w:type="dxa"/>
            <w:vAlign w:val="center"/>
          </w:tcPr>
          <w:p>
            <w:pPr>
              <w:widowControl/>
              <w:snapToGrid w:val="0"/>
              <w:spacing w:line="360" w:lineRule="exact"/>
              <w:rPr>
                <w:rFonts w:ascii="宋体" w:hAnsi="宋体" w:cs="宋体"/>
                <w:kern w:val="0"/>
                <w:szCs w:val="21"/>
              </w:rPr>
            </w:pPr>
            <w:r>
              <w:rPr>
                <w:rFonts w:hint="eastAsia" w:ascii="仿宋" w:hAnsi="仿宋" w:eastAsia="仿宋" w:cs="仿宋"/>
                <w:kern w:val="0"/>
                <w:szCs w:val="21"/>
              </w:rPr>
              <w:t>企业规模横向打分，总分2分；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vAlign w:val="center"/>
          </w:tcPr>
          <w:p>
            <w:pPr>
              <w:widowControl/>
              <w:snapToGrid w:val="0"/>
              <w:spacing w:line="360" w:lineRule="exact"/>
              <w:rPr>
                <w:rFonts w:ascii="宋体" w:hAnsi="宋体"/>
                <w:szCs w:val="21"/>
              </w:rPr>
            </w:pPr>
            <w:r>
              <w:rPr>
                <w:rFonts w:hint="eastAsia" w:ascii="宋体" w:hAnsi="宋体" w:cs="宋体"/>
                <w:kern w:val="0"/>
                <w:szCs w:val="21"/>
              </w:rPr>
              <w:t>2016年1月1日至投标截止日具有类似自控维护保养案例（</w:t>
            </w:r>
            <w:r>
              <w:rPr>
                <w:rFonts w:hint="eastAsia" w:ascii="宋体" w:hAnsi="宋体" w:cs="Arial"/>
                <w:kern w:val="0"/>
                <w:sz w:val="22"/>
              </w:rPr>
              <w:t>需提供中标通知书或合同复印件并加盖投标人公章作为证明材料，原件备查</w:t>
            </w:r>
            <w:r>
              <w:rPr>
                <w:rFonts w:hint="eastAsia" w:ascii="宋体" w:hAnsi="宋体" w:cs="宋体"/>
                <w:kern w:val="0"/>
                <w:szCs w:val="21"/>
              </w:rPr>
              <w:t>）</w:t>
            </w:r>
          </w:p>
        </w:tc>
        <w:tc>
          <w:tcPr>
            <w:tcW w:w="1134" w:type="dxa"/>
            <w:vAlign w:val="center"/>
          </w:tcPr>
          <w:p>
            <w:pPr>
              <w:widowControl/>
              <w:snapToGrid w:val="0"/>
              <w:spacing w:line="360" w:lineRule="exact"/>
              <w:rPr>
                <w:rFonts w:ascii="宋体" w:hAnsi="宋体"/>
                <w:szCs w:val="21"/>
              </w:rPr>
            </w:pPr>
            <w:r>
              <w:rPr>
                <w:rFonts w:hint="eastAsia" w:ascii="宋体" w:hAnsi="宋体" w:cs="宋体"/>
                <w:kern w:val="0"/>
                <w:szCs w:val="21"/>
              </w:rPr>
              <w:t>0-6</w:t>
            </w:r>
          </w:p>
        </w:tc>
        <w:tc>
          <w:tcPr>
            <w:tcW w:w="3402" w:type="dxa"/>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一个业绩不得分，每增加一个业绩得2分，最多得6分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拟派项目负责人和</w:t>
            </w:r>
            <w:r>
              <w:rPr>
                <w:rFonts w:ascii="宋体" w:hAnsi="宋体" w:cs="Calibri"/>
                <w:sz w:val="22"/>
              </w:rPr>
              <w:t>主要参与</w:t>
            </w:r>
            <w:r>
              <w:rPr>
                <w:rFonts w:hint="eastAsia" w:ascii="宋体" w:hAnsi="宋体" w:cs="Calibri"/>
                <w:sz w:val="22"/>
              </w:rPr>
              <w:t>服务</w:t>
            </w:r>
            <w:r>
              <w:rPr>
                <w:rFonts w:ascii="宋体" w:hAnsi="宋体" w:cs="Calibri"/>
                <w:sz w:val="22"/>
              </w:rPr>
              <w:t>人员</w:t>
            </w:r>
            <w:r>
              <w:rPr>
                <w:rFonts w:hint="eastAsia" w:ascii="宋体" w:hAnsi="宋体" w:cs="宋体"/>
                <w:kern w:val="0"/>
                <w:szCs w:val="21"/>
              </w:rPr>
              <w:t>配备情况</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2-5</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项目负责人技术资质，服务人员安排与专业性比较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ascii="宋体" w:hAnsi="宋体" w:cs="Calibri"/>
                <w:sz w:val="22"/>
              </w:rPr>
              <w:t>服务大纲</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2-5</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hAnsi="仿宋_GB2312" w:cs="仿宋_GB2312"/>
              </w:rPr>
              <w:t>维保服务内容的全面性、专业性比较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服务质量承诺及保证措施</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宋体"/>
                <w:kern w:val="0"/>
                <w:szCs w:val="21"/>
              </w:rPr>
              <w:t>2-6</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kern w:val="0"/>
                <w:sz w:val="22"/>
                <w:lang w:val="zh-CN"/>
              </w:rPr>
              <w:t>日常维修及应急处理保障方案安排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Cs w:val="21"/>
              </w:rPr>
            </w:pPr>
            <w:r>
              <w:rPr>
                <w:rFonts w:hint="eastAsia" w:ascii="宋体" w:hAnsi="宋体" w:cs="宋体"/>
                <w:kern w:val="0"/>
                <w:szCs w:val="21"/>
              </w:rPr>
              <w:t>服务流程及维保计划等安排</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Cs w:val="21"/>
              </w:rPr>
            </w:pPr>
            <w:r>
              <w:rPr>
                <w:rFonts w:hint="eastAsia" w:ascii="宋体" w:hAnsi="宋体" w:cs="宋体"/>
                <w:kern w:val="0"/>
                <w:szCs w:val="21"/>
              </w:rPr>
              <w:t>2-4</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kern w:val="0"/>
                <w:sz w:val="22"/>
                <w:lang w:val="zh-CN"/>
              </w:rPr>
              <w:t>日常维护，人员培训，工作流程及计划安排的科学性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67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Cs w:val="21"/>
              </w:rPr>
            </w:pPr>
            <w:r>
              <w:rPr>
                <w:rFonts w:hint="eastAsia" w:ascii="宋体" w:hAnsi="宋体" w:cs="宋体"/>
                <w:kern w:val="0"/>
                <w:szCs w:val="21"/>
              </w:rPr>
              <w:t>提供的</w:t>
            </w:r>
            <w:r>
              <w:rPr>
                <w:rFonts w:hint="eastAsia" w:ascii="宋体" w:hAnsi="宋体" w:cs="Calibri"/>
                <w:kern w:val="0"/>
                <w:sz w:val="22"/>
                <w:lang w:val="zh-CN"/>
              </w:rPr>
              <w:t>耗材及配件清单价格的合理性</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szCs w:val="21"/>
              </w:rPr>
            </w:pPr>
            <w:r>
              <w:rPr>
                <w:rFonts w:hint="eastAsia" w:ascii="宋体" w:hAnsi="宋体" w:cs="宋体"/>
                <w:kern w:val="0"/>
                <w:szCs w:val="21"/>
              </w:rPr>
              <w:t>0-2</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ascii="宋体" w:hAnsi="宋体" w:cs="Calibri"/>
                <w:kern w:val="0"/>
                <w:sz w:val="22"/>
                <w:lang w:val="zh-CN"/>
              </w:rPr>
              <w:t>符合要求的耗材配件清单报价，进行横向比较，综合评分。</w:t>
            </w:r>
          </w:p>
        </w:tc>
      </w:tr>
    </w:tbl>
    <w:p>
      <w:pPr>
        <w:pStyle w:val="19"/>
        <w:adjustRightInd w:val="0"/>
        <w:snapToGrid w:val="0"/>
        <w:spacing w:line="360" w:lineRule="exact"/>
        <w:ind w:firstLine="442" w:firstLineChars="200"/>
        <w:rPr>
          <w:rFonts w:hAnsi="宋体"/>
          <w:b/>
          <w:color w:val="000000"/>
          <w:sz w:val="22"/>
          <w:szCs w:val="22"/>
        </w:rPr>
      </w:pPr>
    </w:p>
    <w:p>
      <w:pPr>
        <w:pStyle w:val="19"/>
        <w:spacing w:line="360" w:lineRule="exact"/>
        <w:rPr>
          <w:rFonts w:hAnsi="宋体" w:cs="Calibri"/>
          <w:b/>
          <w:sz w:val="22"/>
          <w:szCs w:val="22"/>
        </w:rPr>
      </w:pPr>
      <w:r>
        <w:rPr>
          <w:rFonts w:hAnsi="宋体" w:cs="Calibri"/>
          <w:b/>
          <w:sz w:val="22"/>
          <w:szCs w:val="22"/>
        </w:rPr>
        <w:t>3.4推荐中标候选人</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1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ascii="等线" w:hAnsi="等线" w:eastAsia="等线" w:cs="Calibri"/>
          <w:b/>
          <w:color w:val="000000"/>
          <w:sz w:val="22"/>
        </w:rPr>
        <w:t>招标人对评标、定标结果不负责解释。</w:t>
      </w:r>
    </w:p>
    <w:bookmarkEnd w:id="11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color w:val="000000"/>
          <w:sz w:val="22"/>
        </w:rPr>
      </w:pPr>
      <w:r>
        <w:rPr>
          <w:rFonts w:hint="eastAsia" w:cs="Calibri"/>
          <w:color w:val="000000"/>
          <w:sz w:val="22"/>
        </w:rPr>
        <w:t>一、</w:t>
      </w:r>
      <w:r>
        <w:rPr>
          <w:rFonts w:cs="Calibri"/>
          <w:color w:val="000000"/>
          <w:sz w:val="22"/>
        </w:rPr>
        <w:t>投标函；</w:t>
      </w:r>
    </w:p>
    <w:p>
      <w:pPr>
        <w:adjustRightInd w:val="0"/>
        <w:snapToGrid w:val="0"/>
        <w:spacing w:line="400" w:lineRule="exact"/>
        <w:ind w:firstLine="440" w:firstLineChars="200"/>
        <w:rPr>
          <w:rFonts w:cs="Calibri"/>
          <w:color w:val="000000"/>
          <w:sz w:val="22"/>
        </w:rPr>
      </w:pPr>
      <w:r>
        <w:rPr>
          <w:rFonts w:hint="eastAsia" w:cs="Calibri"/>
          <w:color w:val="000000"/>
          <w:sz w:val="22"/>
        </w:rPr>
        <w:t>二、</w:t>
      </w:r>
      <w:r>
        <w:rPr>
          <w:rFonts w:cs="Calibri"/>
          <w:color w:val="000000"/>
          <w:sz w:val="22"/>
        </w:rPr>
        <w:t>投标报价表；</w:t>
      </w:r>
    </w:p>
    <w:p>
      <w:pPr>
        <w:adjustRightInd w:val="0"/>
        <w:snapToGrid w:val="0"/>
        <w:spacing w:line="400" w:lineRule="exact"/>
        <w:ind w:firstLine="440" w:firstLineChars="200"/>
        <w:rPr>
          <w:rFonts w:cs="Calibri"/>
          <w:color w:val="000000"/>
          <w:sz w:val="22"/>
        </w:rPr>
      </w:pPr>
      <w:r>
        <w:rPr>
          <w:rFonts w:hint="eastAsia" w:cs="Calibri"/>
          <w:color w:val="000000"/>
          <w:sz w:val="22"/>
        </w:rPr>
        <w:t>三、</w:t>
      </w:r>
      <w:r>
        <w:rPr>
          <w:rFonts w:cs="Calibri"/>
          <w:color w:val="000000"/>
          <w:sz w:val="22"/>
        </w:rPr>
        <w:t>法定代表人资格证明书；</w:t>
      </w:r>
    </w:p>
    <w:p>
      <w:pPr>
        <w:adjustRightInd w:val="0"/>
        <w:snapToGrid w:val="0"/>
        <w:spacing w:line="400" w:lineRule="exact"/>
        <w:ind w:firstLine="440" w:firstLineChars="200"/>
        <w:rPr>
          <w:rFonts w:cs="Calibri"/>
          <w:color w:val="000000"/>
          <w:sz w:val="22"/>
        </w:rPr>
      </w:pPr>
      <w:r>
        <w:rPr>
          <w:rFonts w:hint="eastAsia" w:cs="Calibri"/>
          <w:color w:val="000000"/>
          <w:sz w:val="22"/>
        </w:rPr>
        <w:t>四、</w:t>
      </w:r>
      <w:r>
        <w:rPr>
          <w:rFonts w:cs="Calibri"/>
          <w:color w:val="000000"/>
          <w:sz w:val="22"/>
        </w:rPr>
        <w:t>授权委托书；</w:t>
      </w:r>
    </w:p>
    <w:p>
      <w:pPr>
        <w:adjustRightInd w:val="0"/>
        <w:snapToGrid w:val="0"/>
        <w:spacing w:line="400" w:lineRule="exact"/>
        <w:ind w:firstLine="440" w:firstLineChars="200"/>
        <w:rPr>
          <w:rFonts w:cs="Calibri"/>
          <w:color w:val="000000"/>
          <w:sz w:val="22"/>
        </w:rPr>
      </w:pPr>
      <w:r>
        <w:rPr>
          <w:rFonts w:hint="eastAsia" w:cs="Calibri"/>
          <w:color w:val="000000"/>
          <w:sz w:val="22"/>
        </w:rPr>
        <w:t>五、</w:t>
      </w:r>
      <w:r>
        <w:rPr>
          <w:rFonts w:cs="Calibri"/>
          <w:color w:val="000000"/>
          <w:sz w:val="22"/>
        </w:rPr>
        <w:t>投标人资格证明文件：</w:t>
      </w:r>
    </w:p>
    <w:p>
      <w:pPr>
        <w:adjustRightInd w:val="0"/>
        <w:snapToGrid w:val="0"/>
        <w:spacing w:line="400" w:lineRule="exact"/>
        <w:ind w:firstLine="440" w:firstLineChars="200"/>
        <w:rPr>
          <w:rFonts w:cs="Calibri"/>
          <w:color w:val="000000"/>
          <w:sz w:val="22"/>
        </w:rPr>
      </w:pPr>
      <w:r>
        <w:rPr>
          <w:rFonts w:cs="Calibri"/>
          <w:color w:val="000000"/>
          <w:sz w:val="22"/>
        </w:rPr>
        <w:t>（1）投标人一般情况</w:t>
      </w:r>
      <w:r>
        <w:rPr>
          <w:rFonts w:hint="eastAsia" w:cs="Calibri"/>
          <w:color w:val="000000"/>
          <w:sz w:val="22"/>
        </w:rPr>
        <w:t>及</w:t>
      </w:r>
      <w:r>
        <w:rPr>
          <w:rFonts w:cs="Calibri"/>
          <w:color w:val="000000"/>
          <w:sz w:val="22"/>
        </w:rPr>
        <w:t>有关证明投标人法律地位的文件（包括营业执照</w:t>
      </w:r>
      <w:r>
        <w:rPr>
          <w:rFonts w:hint="eastAsia" w:cs="Calibri"/>
          <w:color w:val="000000"/>
          <w:sz w:val="22"/>
        </w:rPr>
        <w:t>、</w:t>
      </w:r>
      <w:r>
        <w:rPr>
          <w:rFonts w:hint="eastAsia" w:ascii="宋体" w:hAnsi="宋体" w:cs="Calibri"/>
          <w:sz w:val="22"/>
        </w:rPr>
        <w:t>税务登记证、</w:t>
      </w:r>
      <w:r>
        <w:rPr>
          <w:rFonts w:cs="Calibri"/>
          <w:color w:val="000000"/>
          <w:sz w:val="22"/>
        </w:rPr>
        <w:t>资质</w:t>
      </w:r>
      <w:r>
        <w:rPr>
          <w:rFonts w:hint="eastAsia" w:cs="Calibri"/>
          <w:color w:val="000000"/>
          <w:sz w:val="22"/>
        </w:rPr>
        <w:t>证书</w:t>
      </w:r>
      <w:r>
        <w:rPr>
          <w:rFonts w:cs="Calibri"/>
          <w:color w:val="000000"/>
          <w:sz w:val="22"/>
        </w:rPr>
        <w:t>等），说明投标人的注册地点和主要经营范围；</w:t>
      </w:r>
    </w:p>
    <w:p>
      <w:pPr>
        <w:adjustRightInd w:val="0"/>
        <w:snapToGrid w:val="0"/>
        <w:spacing w:line="400" w:lineRule="exact"/>
        <w:ind w:firstLine="440" w:firstLineChars="200"/>
        <w:rPr>
          <w:rFonts w:cs="Calibri"/>
          <w:color w:val="000000"/>
          <w:sz w:val="22"/>
        </w:rPr>
      </w:pPr>
      <w:r>
        <w:rPr>
          <w:rFonts w:hint="eastAsia" w:cs="Calibri"/>
          <w:color w:val="000000"/>
          <w:sz w:val="22"/>
        </w:rPr>
        <w:t>（</w:t>
      </w:r>
      <w:r>
        <w:rPr>
          <w:rFonts w:cs="Calibri"/>
          <w:color w:val="000000"/>
          <w:sz w:val="22"/>
        </w:rPr>
        <w:t>2）</w:t>
      </w:r>
      <w:r>
        <w:rPr>
          <w:rFonts w:hint="eastAsia" w:cs="Calibri"/>
          <w:color w:val="000000"/>
          <w:sz w:val="22"/>
        </w:rPr>
        <w:t>信用中国网站</w:t>
      </w:r>
      <w:r>
        <w:rPr>
          <w:rFonts w:cs="Calibri"/>
          <w:color w:val="000000"/>
          <w:sz w:val="22"/>
        </w:rPr>
        <w:t>www.creditchina.gov.cn 、中国裁判文书网http://wenshu.court.gov.cn查询结果以及主管税务部门出具的一般纳税人资格认定《税务事项通知书》或《增值税一般纳税人登记表》或投标人电子税务局一般纳税人资格查询网页。（3）有关证明投标人的企业信誉及获得各种奖励等资料；</w:t>
      </w:r>
    </w:p>
    <w:p>
      <w:pPr>
        <w:adjustRightInd w:val="0"/>
        <w:snapToGrid w:val="0"/>
        <w:spacing w:line="400" w:lineRule="exact"/>
        <w:ind w:firstLine="440" w:firstLineChars="200"/>
        <w:rPr>
          <w:rFonts w:cs="Calibri"/>
          <w:color w:val="000000"/>
          <w:sz w:val="22"/>
        </w:rPr>
      </w:pPr>
      <w:r>
        <w:rPr>
          <w:rFonts w:cs="Calibri"/>
          <w:color w:val="000000"/>
          <w:sz w:val="22"/>
        </w:rPr>
        <w:t>（4）投标人经济实力：包括企业注册资金、财务报告与报表中反映的财务状况</w:t>
      </w:r>
      <w:r>
        <w:rPr>
          <w:rFonts w:hint="eastAsia" w:cs="Calibri"/>
          <w:color w:val="000000"/>
          <w:sz w:val="22"/>
        </w:rPr>
        <w:t>；</w:t>
      </w:r>
    </w:p>
    <w:p>
      <w:pPr>
        <w:adjustRightInd w:val="0"/>
        <w:snapToGrid w:val="0"/>
        <w:spacing w:line="400" w:lineRule="exact"/>
        <w:ind w:firstLine="440" w:firstLineChars="200"/>
        <w:rPr>
          <w:rFonts w:cs="Calibri"/>
          <w:color w:val="000000"/>
          <w:sz w:val="22"/>
        </w:rPr>
      </w:pPr>
      <w:r>
        <w:rPr>
          <w:rFonts w:hint="eastAsia" w:cs="Calibri"/>
          <w:color w:val="000000"/>
          <w:sz w:val="22"/>
        </w:rPr>
        <w:t>（</w:t>
      </w:r>
      <w:r>
        <w:rPr>
          <w:rFonts w:cs="Calibri"/>
          <w:color w:val="000000"/>
          <w:sz w:val="22"/>
        </w:rPr>
        <w:t>5</w:t>
      </w:r>
      <w:r>
        <w:rPr>
          <w:rFonts w:hint="eastAsia" w:cs="Calibri"/>
          <w:color w:val="000000"/>
          <w:sz w:val="22"/>
        </w:rPr>
        <w:t>）</w:t>
      </w:r>
      <w:r>
        <w:rPr>
          <w:rFonts w:cs="Calibri"/>
          <w:color w:val="000000"/>
          <w:sz w:val="22"/>
        </w:rPr>
        <w:t>近三年完成类似项目业绩情况</w:t>
      </w:r>
      <w:r>
        <w:rPr>
          <w:rFonts w:hint="eastAsia" w:cs="Calibri"/>
          <w:color w:val="000000"/>
          <w:sz w:val="22"/>
        </w:rPr>
        <w:t>；</w:t>
      </w:r>
    </w:p>
    <w:p>
      <w:pPr>
        <w:adjustRightInd w:val="0"/>
        <w:snapToGrid w:val="0"/>
        <w:spacing w:line="400" w:lineRule="exact"/>
        <w:ind w:firstLine="440" w:firstLineChars="200"/>
        <w:rPr>
          <w:rFonts w:cs="Calibri"/>
          <w:color w:val="000000"/>
          <w:sz w:val="22"/>
        </w:rPr>
      </w:pPr>
      <w:r>
        <w:rPr>
          <w:rFonts w:hint="eastAsia" w:cs="Calibri"/>
          <w:color w:val="000000"/>
          <w:sz w:val="22"/>
        </w:rPr>
        <w:t>（</w:t>
      </w:r>
      <w:r>
        <w:rPr>
          <w:rFonts w:cs="Calibri"/>
          <w:color w:val="000000"/>
          <w:sz w:val="22"/>
        </w:rPr>
        <w:t>6</w:t>
      </w:r>
      <w:r>
        <w:rPr>
          <w:rFonts w:hint="eastAsia" w:cs="Calibri"/>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color w:val="000000"/>
          <w:sz w:val="22"/>
        </w:rPr>
      </w:pPr>
      <w:r>
        <w:rPr>
          <w:rFonts w:cs="Calibri"/>
          <w:color w:val="000000"/>
          <w:sz w:val="22"/>
        </w:rPr>
        <w:t>（1）本项目概况；</w:t>
      </w:r>
    </w:p>
    <w:p>
      <w:pPr>
        <w:adjustRightInd w:val="0"/>
        <w:snapToGrid w:val="0"/>
        <w:spacing w:line="360" w:lineRule="exact"/>
        <w:ind w:firstLine="440" w:firstLineChars="200"/>
        <w:rPr>
          <w:rFonts w:cs="Calibri"/>
          <w:color w:val="000000"/>
          <w:sz w:val="22"/>
        </w:rPr>
      </w:pPr>
      <w:r>
        <w:rPr>
          <w:rFonts w:cs="Calibri"/>
          <w:color w:val="000000"/>
          <w:sz w:val="22"/>
        </w:rPr>
        <w:t>（2）工作内容和依据；</w:t>
      </w:r>
    </w:p>
    <w:p>
      <w:pPr>
        <w:adjustRightInd w:val="0"/>
        <w:snapToGrid w:val="0"/>
        <w:spacing w:line="360" w:lineRule="exact"/>
        <w:ind w:firstLine="440" w:firstLineChars="200"/>
        <w:rPr>
          <w:rFonts w:cs="Calibri"/>
          <w:color w:val="000000"/>
          <w:sz w:val="22"/>
        </w:rPr>
      </w:pPr>
      <w:r>
        <w:rPr>
          <w:rFonts w:cs="Calibri"/>
          <w:color w:val="000000"/>
          <w:sz w:val="22"/>
        </w:rPr>
        <w:t>（3）</w:t>
      </w:r>
      <w:r>
        <w:rPr>
          <w:rFonts w:hint="eastAsia" w:cs="Calibri"/>
          <w:color w:val="000000"/>
          <w:sz w:val="22"/>
        </w:rPr>
        <w:t>现场机构、人力、物资设备配置</w:t>
      </w:r>
      <w:r>
        <w:rPr>
          <w:rFonts w:cs="Calibri"/>
          <w:color w:val="000000"/>
          <w:sz w:val="22"/>
        </w:rPr>
        <w:t>；</w:t>
      </w:r>
    </w:p>
    <w:p>
      <w:pPr>
        <w:adjustRightInd w:val="0"/>
        <w:snapToGrid w:val="0"/>
        <w:spacing w:line="360" w:lineRule="exact"/>
        <w:ind w:firstLine="440" w:firstLineChars="200"/>
        <w:rPr>
          <w:rFonts w:cs="Calibri"/>
          <w:color w:val="000000"/>
          <w:sz w:val="22"/>
        </w:rPr>
      </w:pPr>
      <w:r>
        <w:rPr>
          <w:rFonts w:cs="Calibri"/>
          <w:color w:val="000000"/>
          <w:sz w:val="22"/>
        </w:rPr>
        <w:t>（4）服务人员的作业安排和进场计划；</w:t>
      </w:r>
    </w:p>
    <w:p>
      <w:pPr>
        <w:adjustRightInd w:val="0"/>
        <w:snapToGrid w:val="0"/>
        <w:spacing w:line="360" w:lineRule="exact"/>
        <w:ind w:firstLine="440" w:firstLineChars="200"/>
        <w:rPr>
          <w:rFonts w:cs="Calibri"/>
          <w:color w:val="000000"/>
          <w:sz w:val="22"/>
        </w:rPr>
      </w:pPr>
      <w:r>
        <w:rPr>
          <w:rFonts w:cs="Calibri"/>
          <w:color w:val="000000"/>
          <w:sz w:val="22"/>
        </w:rPr>
        <w:t>（5）</w:t>
      </w:r>
      <w:r>
        <w:rPr>
          <w:rFonts w:hint="eastAsia" w:cs="Calibri"/>
          <w:color w:val="000000"/>
          <w:sz w:val="22"/>
        </w:rPr>
        <w:t>运行、安全、服务等相关管理方案</w:t>
      </w:r>
      <w:r>
        <w:rPr>
          <w:rFonts w:cs="Calibri"/>
          <w:color w:val="000000"/>
          <w:sz w:val="22"/>
        </w:rPr>
        <w:t>；</w:t>
      </w:r>
    </w:p>
    <w:p>
      <w:pPr>
        <w:adjustRightInd w:val="0"/>
        <w:snapToGrid w:val="0"/>
        <w:spacing w:line="360" w:lineRule="exact"/>
        <w:ind w:firstLine="440" w:firstLineChars="200"/>
        <w:rPr>
          <w:rFonts w:cs="Calibri"/>
          <w:color w:val="000000"/>
          <w:sz w:val="22"/>
        </w:rPr>
      </w:pPr>
      <w:r>
        <w:rPr>
          <w:rFonts w:cs="Calibri"/>
          <w:color w:val="000000"/>
          <w:sz w:val="22"/>
        </w:rPr>
        <w:t>（6）对本项目的实施意见及重点</w:t>
      </w:r>
      <w:r>
        <w:rPr>
          <w:rFonts w:hint="eastAsia" w:cs="Calibri"/>
          <w:color w:val="000000"/>
          <w:sz w:val="22"/>
        </w:rPr>
        <w:t>、</w:t>
      </w:r>
      <w:r>
        <w:rPr>
          <w:rFonts w:cs="Calibri"/>
          <w:color w:val="000000"/>
          <w:sz w:val="22"/>
        </w:rPr>
        <w:t>难点控制；</w:t>
      </w:r>
    </w:p>
    <w:p>
      <w:pPr>
        <w:adjustRightInd w:val="0"/>
        <w:snapToGrid w:val="0"/>
        <w:spacing w:line="360" w:lineRule="exact"/>
        <w:ind w:firstLine="440" w:firstLineChars="200"/>
        <w:rPr>
          <w:rFonts w:cs="Calibri"/>
          <w:color w:val="000000"/>
          <w:sz w:val="22"/>
        </w:rPr>
      </w:pPr>
      <w:r>
        <w:rPr>
          <w:rFonts w:hint="eastAsia" w:cs="Calibri"/>
          <w:color w:val="000000"/>
          <w:sz w:val="22"/>
        </w:rPr>
        <w:t>（7）对特殊情况的承诺以及灾害性、突发事件的应急预案；</w:t>
      </w:r>
    </w:p>
    <w:p>
      <w:pPr>
        <w:adjustRightInd w:val="0"/>
        <w:snapToGrid w:val="0"/>
        <w:spacing w:line="360" w:lineRule="exact"/>
        <w:ind w:firstLine="440" w:firstLineChars="200"/>
        <w:rPr>
          <w:rFonts w:cs="Calibri"/>
          <w:color w:val="000000"/>
          <w:sz w:val="22"/>
        </w:rPr>
      </w:pPr>
      <w:r>
        <w:rPr>
          <w:rFonts w:cs="Calibri"/>
          <w:color w:val="000000"/>
          <w:sz w:val="22"/>
        </w:rPr>
        <w:t>（</w:t>
      </w:r>
      <w:r>
        <w:rPr>
          <w:rFonts w:hint="eastAsia" w:cs="Calibri"/>
          <w:color w:val="000000"/>
          <w:sz w:val="22"/>
        </w:rPr>
        <w:t>8</w:t>
      </w:r>
      <w:r>
        <w:rPr>
          <w:rFonts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color w:val="000000"/>
          <w:sz w:val="22"/>
        </w:rPr>
      </w:pPr>
      <w:r>
        <w:rPr>
          <w:rFonts w:cs="Calibri"/>
          <w:color w:val="000000"/>
          <w:sz w:val="22"/>
        </w:rPr>
        <w:t>（</w:t>
      </w:r>
      <w:r>
        <w:rPr>
          <w:rFonts w:hint="eastAsia" w:cs="Calibri"/>
          <w:color w:val="000000"/>
          <w:sz w:val="22"/>
        </w:rPr>
        <w:t>9</w:t>
      </w:r>
      <w:r>
        <w:rPr>
          <w:rFonts w:cs="Calibri"/>
          <w:color w:val="000000"/>
          <w:sz w:val="22"/>
        </w:rPr>
        <w:t>）投入本项目服务的仪器、仪表、设备及交通工具汇总表</w:t>
      </w:r>
      <w:r>
        <w:rPr>
          <w:rFonts w:hint="eastAsia"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color w:val="000000"/>
          <w:sz w:val="22"/>
        </w:rPr>
        <w:t>七、</w:t>
      </w:r>
      <w:r>
        <w:rPr>
          <w:rFonts w:hint="eastAsia" w:cs="Arial"/>
          <w:color w:val="000000"/>
          <w:sz w:val="22"/>
        </w:rPr>
        <w:t>投标人认为</w:t>
      </w:r>
      <w:r>
        <w:rPr>
          <w:rFonts w:cs="Arial"/>
          <w:color w:val="000000"/>
          <w:sz w:val="22"/>
        </w:rPr>
        <w:t>应该提供的其他材料</w:t>
      </w:r>
      <w:r>
        <w:rPr>
          <w:rFonts w:hint="eastAsia"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624" w:beforeLines="200" w:after="624"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hint="eastAsia" w:cs="Calibri" w:asciiTheme="minorEastAsia" w:hAnsiTheme="minorEastAsia" w:eastAsiaTheme="minorEastAsia"/>
          <w:sz w:val="24"/>
        </w:rPr>
      </w:pPr>
      <w:r>
        <w:rPr>
          <w:rFonts w:hint="eastAsia" w:cs="Calibri" w:asciiTheme="minorEastAsia" w:hAnsiTheme="minorEastAsia" w:eastAsiaTheme="minorEastAsia"/>
          <w:sz w:val="24"/>
        </w:rPr>
        <w:t>（</w:t>
      </w:r>
      <w:r>
        <w:rPr>
          <w:rFonts w:cs="Calibri" w:asciiTheme="minorEastAsia" w:hAnsiTheme="minorEastAsia" w:eastAsia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color w:val="000000"/>
          <w:szCs w:val="21"/>
        </w:rPr>
      </w:pPr>
    </w:p>
    <w:p>
      <w:pPr>
        <w:snapToGrid w:val="0"/>
        <w:spacing w:line="440" w:lineRule="exact"/>
        <w:rPr>
          <w:rFonts w:cs="Calibri"/>
          <w:color w:val="000000"/>
          <w:szCs w:val="21"/>
        </w:rPr>
      </w:pPr>
    </w:p>
    <w:p>
      <w:pPr>
        <w:snapToGrid w:val="0"/>
        <w:spacing w:line="440" w:lineRule="exact"/>
        <w:rPr>
          <w:rFonts w:cs="Calibri"/>
          <w:color w:val="000000"/>
          <w:szCs w:val="21"/>
        </w:rPr>
      </w:pPr>
    </w:p>
    <w:p>
      <w:pPr>
        <w:snapToGrid w:val="0"/>
        <w:spacing w:line="440" w:lineRule="exact"/>
        <w:ind w:firstLine="3600" w:firstLineChars="1500"/>
        <w:rPr>
          <w:rFonts w:cs="Calibri"/>
          <w:color w:val="000000"/>
          <w:sz w:val="24"/>
        </w:rPr>
      </w:pPr>
      <w:r>
        <w:rPr>
          <w:rFonts w:cs="Calibri"/>
          <w:color w:val="000000"/>
          <w:sz w:val="24"/>
        </w:rPr>
        <w:t>投标人：（盖单位章）</w:t>
      </w:r>
    </w:p>
    <w:p>
      <w:pPr>
        <w:snapToGrid w:val="0"/>
        <w:spacing w:line="440" w:lineRule="exact"/>
        <w:ind w:firstLine="3600" w:firstLineChars="1500"/>
        <w:rPr>
          <w:rFonts w:cs="Calibri"/>
          <w:color w:val="000000"/>
          <w:sz w:val="24"/>
        </w:rPr>
      </w:pPr>
      <w:r>
        <w:rPr>
          <w:rFonts w:cs="Calibri"/>
          <w:color w:val="000000"/>
          <w:sz w:val="24"/>
        </w:rPr>
        <w:t>法定代表人或其委托代理人：（签字或盖章）</w:t>
      </w:r>
    </w:p>
    <w:p>
      <w:pPr>
        <w:snapToGrid w:val="0"/>
        <w:spacing w:line="440" w:lineRule="exact"/>
        <w:ind w:firstLine="3600" w:firstLineChars="1500"/>
        <w:rPr>
          <w:rFonts w:cs="Calibri"/>
          <w:color w:val="000000"/>
          <w:sz w:val="24"/>
        </w:rPr>
      </w:pPr>
      <w:r>
        <w:rPr>
          <w:rFonts w:cs="Calibri"/>
          <w:color w:val="000000"/>
          <w:sz w:val="24"/>
        </w:rPr>
        <w:t>地    址：</w:t>
      </w:r>
    </w:p>
    <w:p>
      <w:pPr>
        <w:snapToGrid w:val="0"/>
        <w:spacing w:line="440" w:lineRule="exact"/>
        <w:ind w:firstLine="3600" w:firstLineChars="1500"/>
        <w:rPr>
          <w:rFonts w:cs="Calibri"/>
          <w:color w:val="000000"/>
          <w:sz w:val="24"/>
        </w:rPr>
      </w:pPr>
      <w:r>
        <w:rPr>
          <w:rFonts w:cs="Calibri"/>
          <w:color w:val="000000"/>
          <w:sz w:val="24"/>
        </w:rPr>
        <w:t>邮政编码：</w:t>
      </w:r>
    </w:p>
    <w:p>
      <w:pPr>
        <w:snapToGrid w:val="0"/>
        <w:spacing w:line="440" w:lineRule="exact"/>
        <w:ind w:firstLine="3600" w:firstLineChars="1500"/>
        <w:rPr>
          <w:rFonts w:cs="Calibri"/>
          <w:color w:val="000000"/>
          <w:sz w:val="24"/>
        </w:rPr>
      </w:pPr>
      <w:r>
        <w:rPr>
          <w:rFonts w:cs="Calibri"/>
          <w:color w:val="000000"/>
          <w:sz w:val="24"/>
        </w:rPr>
        <w:t>电    话：</w:t>
      </w:r>
    </w:p>
    <w:p>
      <w:pPr>
        <w:snapToGrid w:val="0"/>
        <w:spacing w:line="440" w:lineRule="exact"/>
        <w:ind w:firstLine="3600" w:firstLineChars="1500"/>
        <w:rPr>
          <w:rFonts w:cs="Calibri"/>
          <w:color w:val="000000"/>
          <w:sz w:val="24"/>
        </w:rPr>
      </w:pPr>
      <w:r>
        <w:rPr>
          <w:rFonts w:cs="Calibri"/>
          <w:color w:val="000000"/>
          <w:sz w:val="24"/>
        </w:rPr>
        <w:t>传    真：</w:t>
      </w:r>
    </w:p>
    <w:p>
      <w:pPr>
        <w:snapToGrid w:val="0"/>
        <w:spacing w:line="440" w:lineRule="exact"/>
        <w:ind w:firstLine="3600" w:firstLineChars="1500"/>
        <w:rPr>
          <w:rFonts w:cs="Calibri"/>
          <w:color w:val="000000"/>
          <w:sz w:val="24"/>
        </w:rPr>
      </w:pPr>
      <w:r>
        <w:rPr>
          <w:rFonts w:cs="Calibri"/>
          <w:color w:val="000000"/>
          <w:sz w:val="24"/>
        </w:rPr>
        <w:t>开户银行：</w:t>
      </w:r>
    </w:p>
    <w:p>
      <w:pPr>
        <w:snapToGrid w:val="0"/>
        <w:spacing w:line="440" w:lineRule="exact"/>
        <w:ind w:firstLine="3600" w:firstLineChars="1500"/>
        <w:rPr>
          <w:rFonts w:cs="Calibri"/>
          <w:color w:val="000000"/>
          <w:sz w:val="24"/>
        </w:rPr>
      </w:pPr>
      <w:r>
        <w:rPr>
          <w:rFonts w:cs="Calibri"/>
          <w:color w:val="000000"/>
          <w:sz w:val="24"/>
        </w:rPr>
        <w:t>账    号：</w:t>
      </w:r>
    </w:p>
    <w:p>
      <w:pPr>
        <w:snapToGrid w:val="0"/>
        <w:spacing w:line="440" w:lineRule="exact"/>
        <w:ind w:firstLine="3600" w:firstLineChars="1500"/>
        <w:rPr>
          <w:rFonts w:eastAsia="黑体" w:cs="Calibri"/>
          <w:color w:val="000000"/>
          <w:sz w:val="32"/>
          <w:szCs w:val="32"/>
        </w:rPr>
      </w:pPr>
      <w:r>
        <w:rPr>
          <w:rFonts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56" w:afterLines="50" w:line="440" w:lineRule="exact"/>
        <w:rPr>
          <w:rFonts w:cs="Calibri"/>
          <w:color w:val="000000"/>
          <w:sz w:val="24"/>
        </w:rPr>
      </w:pPr>
    </w:p>
    <w:p>
      <w:pPr>
        <w:spacing w:after="156"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56"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56"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56"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o:preferrelative="t" coordsize="21600,21600">
            <v:path/>
            <v:fill focussize="0,0"/>
            <v:stroke miterlimit="2"/>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7" w:firstLineChars="2150"/>
        <w:rPr>
          <w:rFonts w:cs="Calibri"/>
          <w:color w:val="000000"/>
          <w:szCs w:val="21"/>
        </w:rPr>
      </w:pPr>
      <w:r>
        <w:rPr>
          <w:rFonts w:cs="Calibri"/>
          <w:b/>
          <w:color w:val="000000"/>
          <w:szCs w:val="21"/>
        </w:rPr>
        <w:pict>
          <v:shape id="Text Box 7" o:spid="_x0000_s1027" o:spt="202" type="#_x0000_t202" style="position:absolute;left:0pt;margin-left:9.15pt;margin-top:19.3pt;height:171.6pt;width:423pt;mso-wrap-distance-bottom:0pt;mso-wrap-distance-top:0pt;z-index:251659264;mso-width-relative:page;mso-height-relative:page;" o:preferrelative="t" coordsize="21600,21600">
            <v:path/>
            <v:fill focussize="0,0"/>
            <v:stroke miterlimit="2"/>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topAndBottom"/>
          </v:shape>
        </w:pict>
      </w: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 xml:space="preserve">日                           </w:t>
      </w: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46"/>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r>
              <w:rPr>
                <w:rFonts w:hint="eastAsia" w:cs="Calibri"/>
                <w:szCs w:val="21"/>
              </w:rPr>
              <w:t>第一年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r>
              <w:rPr>
                <w:rFonts w:hint="eastAsia" w:cs="Calibri"/>
                <w:color w:val="000000"/>
                <w:szCs w:val="21"/>
              </w:rPr>
              <w:t>第二年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r>
              <w:rPr>
                <w:rFonts w:hint="eastAsia" w:cs="Calibri"/>
                <w:color w:val="000000"/>
                <w:szCs w:val="21"/>
              </w:rPr>
              <w:t>第三年</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4.1设备维护费分项报价表</w:t>
      </w:r>
    </w:p>
    <w:tbl>
      <w:tblPr>
        <w:tblStyle w:val="46"/>
        <w:tblW w:w="102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92"/>
        <w:gridCol w:w="1410"/>
        <w:gridCol w:w="1000"/>
        <w:gridCol w:w="1155"/>
        <w:gridCol w:w="1385"/>
        <w:gridCol w:w="1165"/>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792"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410" w:type="dxa"/>
            <w:vAlign w:val="center"/>
          </w:tcPr>
          <w:p>
            <w:pPr>
              <w:widowControl/>
              <w:spacing w:line="560" w:lineRule="exact"/>
              <w:ind w:firstLine="280" w:firstLineChars="10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品牌</w:t>
            </w:r>
          </w:p>
        </w:tc>
        <w:tc>
          <w:tcPr>
            <w:tcW w:w="1000" w:type="dxa"/>
            <w:vAlign w:val="center"/>
          </w:tcPr>
          <w:p>
            <w:pPr>
              <w:widowControl/>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w:t>
            </w:r>
          </w:p>
          <w:p>
            <w:pPr>
              <w:widowControl/>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（套）</w:t>
            </w:r>
          </w:p>
        </w:tc>
        <w:tc>
          <w:tcPr>
            <w:tcW w:w="1155"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2020年</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w:t>
            </w:r>
          </w:p>
        </w:tc>
        <w:tc>
          <w:tcPr>
            <w:tcW w:w="1385"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2021年</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w:t>
            </w:r>
          </w:p>
        </w:tc>
        <w:tc>
          <w:tcPr>
            <w:tcW w:w="1165"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2022年</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维保</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单价</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w:t>
            </w:r>
          </w:p>
        </w:tc>
        <w:tc>
          <w:tcPr>
            <w:tcW w:w="1595"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总价</w:t>
            </w:r>
          </w:p>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T1航站楼楼宇自控系统</w:t>
            </w:r>
          </w:p>
        </w:tc>
        <w:tc>
          <w:tcPr>
            <w:tcW w:w="1410" w:type="dxa"/>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霍尼韦尔</w:t>
            </w:r>
          </w:p>
        </w:tc>
        <w:tc>
          <w:tcPr>
            <w:tcW w:w="1000"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T2航站楼楼宇自控系统</w:t>
            </w:r>
          </w:p>
        </w:tc>
        <w:tc>
          <w:tcPr>
            <w:tcW w:w="1410" w:type="dxa"/>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霍尼韦尔</w:t>
            </w:r>
          </w:p>
        </w:tc>
        <w:tc>
          <w:tcPr>
            <w:tcW w:w="1000"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T2航站楼智能灯光系统</w:t>
            </w:r>
          </w:p>
        </w:tc>
        <w:tc>
          <w:tcPr>
            <w:tcW w:w="1410" w:type="dxa"/>
          </w:tcPr>
          <w:p>
            <w:pPr>
              <w:snapToGrid w:val="0"/>
              <w:spacing w:line="480" w:lineRule="exact"/>
              <w:jc w:val="center"/>
              <w:rPr>
                <w:rFonts w:ascii="宋体" w:hAnsi="宋体" w:cs="宋体"/>
                <w:sz w:val="28"/>
                <w:szCs w:val="28"/>
              </w:rPr>
            </w:pPr>
            <w:r>
              <w:rPr>
                <w:rFonts w:hint="eastAsia" w:ascii="仿宋_GB2312" w:eastAsia="仿宋_GB2312"/>
                <w:sz w:val="28"/>
                <w:szCs w:val="28"/>
              </w:rPr>
              <w:t>西门子</w:t>
            </w:r>
          </w:p>
        </w:tc>
        <w:tc>
          <w:tcPr>
            <w:tcW w:w="1000" w:type="dxa"/>
            <w:vAlign w:val="center"/>
          </w:tcPr>
          <w:p>
            <w:pPr>
              <w:widowControl/>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T3航站楼楼宇自控系统</w:t>
            </w:r>
          </w:p>
        </w:tc>
        <w:tc>
          <w:tcPr>
            <w:tcW w:w="1410" w:type="dxa"/>
          </w:tcPr>
          <w:p>
            <w:pPr>
              <w:snapToGrid w:val="0"/>
              <w:spacing w:line="480" w:lineRule="exact"/>
              <w:jc w:val="center"/>
              <w:rPr>
                <w:rFonts w:ascii="宋体" w:hAnsi="宋体" w:cs="宋体"/>
                <w:sz w:val="28"/>
                <w:szCs w:val="28"/>
              </w:rPr>
            </w:pPr>
            <w:r>
              <w:rPr>
                <w:rFonts w:hint="eastAsia" w:ascii="仿宋_GB2312" w:eastAsia="仿宋_GB2312"/>
                <w:sz w:val="28"/>
                <w:szCs w:val="28"/>
              </w:rPr>
              <w:t>霍尼韦尔</w:t>
            </w:r>
          </w:p>
        </w:tc>
        <w:tc>
          <w:tcPr>
            <w:tcW w:w="1000"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92" w:type="dxa"/>
            <w:vAlign w:val="center"/>
          </w:tcPr>
          <w:p>
            <w:pPr>
              <w:snapToGrid w:val="0"/>
              <w:spacing w:line="480" w:lineRule="exact"/>
              <w:jc w:val="center"/>
              <w:rPr>
                <w:rFonts w:ascii="仿宋_GB2312" w:hAnsi="仿宋_GB2312" w:eastAsia="仿宋_GB2312" w:cs="仿宋_GB2312"/>
                <w:sz w:val="28"/>
                <w:szCs w:val="28"/>
              </w:rPr>
            </w:pPr>
            <w:r>
              <w:rPr>
                <w:rFonts w:hint="eastAsia" w:ascii="仿宋_GB2312" w:eastAsia="仿宋_GB2312"/>
                <w:sz w:val="28"/>
                <w:szCs w:val="28"/>
              </w:rPr>
              <w:t>T3航站楼智能灯光系统</w:t>
            </w:r>
          </w:p>
        </w:tc>
        <w:tc>
          <w:tcPr>
            <w:tcW w:w="1410" w:type="dxa"/>
          </w:tcPr>
          <w:p>
            <w:pPr>
              <w:snapToGrid w:val="0"/>
              <w:spacing w:line="480" w:lineRule="exact"/>
              <w:jc w:val="center"/>
              <w:rPr>
                <w:rFonts w:ascii="宋体" w:hAnsi="宋体" w:cs="宋体"/>
                <w:sz w:val="28"/>
                <w:szCs w:val="28"/>
              </w:rPr>
            </w:pPr>
            <w:r>
              <w:rPr>
                <w:rFonts w:hint="eastAsia" w:ascii="仿宋_GB2312" w:eastAsia="仿宋_GB2312"/>
                <w:sz w:val="28"/>
                <w:szCs w:val="28"/>
              </w:rPr>
              <w:t>西门子</w:t>
            </w:r>
          </w:p>
        </w:tc>
        <w:tc>
          <w:tcPr>
            <w:tcW w:w="1000" w:type="dxa"/>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55" w:type="dxa"/>
            <w:vAlign w:val="center"/>
          </w:tcPr>
          <w:p>
            <w:pPr>
              <w:widowControl/>
              <w:spacing w:line="560" w:lineRule="exact"/>
              <w:jc w:val="center"/>
              <w:rPr>
                <w:rFonts w:ascii="仿宋_GB2312" w:hAnsi="仿宋_GB2312" w:eastAsia="仿宋_GB2312" w:cs="仿宋_GB2312"/>
                <w:sz w:val="28"/>
                <w:szCs w:val="28"/>
              </w:rPr>
            </w:pPr>
          </w:p>
        </w:tc>
        <w:tc>
          <w:tcPr>
            <w:tcW w:w="1385" w:type="dxa"/>
            <w:vAlign w:val="center"/>
          </w:tcPr>
          <w:p>
            <w:pPr>
              <w:widowControl/>
              <w:spacing w:line="560" w:lineRule="exact"/>
              <w:jc w:val="center"/>
              <w:rPr>
                <w:rFonts w:ascii="仿宋_GB2312" w:hAnsi="仿宋_GB2312" w:eastAsia="仿宋_GB2312" w:cs="仿宋_GB2312"/>
                <w:sz w:val="28"/>
                <w:szCs w:val="28"/>
              </w:rPr>
            </w:pPr>
          </w:p>
        </w:tc>
        <w:tc>
          <w:tcPr>
            <w:tcW w:w="1165" w:type="dxa"/>
            <w:vAlign w:val="center"/>
          </w:tcPr>
          <w:p>
            <w:pPr>
              <w:widowControl/>
              <w:spacing w:line="560" w:lineRule="exact"/>
              <w:jc w:val="center"/>
              <w:rPr>
                <w:rFonts w:ascii="仿宋_GB2312" w:hAnsi="仿宋_GB2312" w:eastAsia="仿宋_GB2312" w:cs="仿宋_GB2312"/>
                <w:sz w:val="28"/>
                <w:szCs w:val="28"/>
              </w:rPr>
            </w:pPr>
          </w:p>
        </w:tc>
        <w:tc>
          <w:tcPr>
            <w:tcW w:w="1595" w:type="dxa"/>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1" w:type="dxa"/>
            <w:gridSpan w:val="2"/>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服务费</w:t>
            </w:r>
          </w:p>
        </w:tc>
        <w:tc>
          <w:tcPr>
            <w:tcW w:w="7710" w:type="dxa"/>
            <w:gridSpan w:val="6"/>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1" w:type="dxa"/>
            <w:gridSpan w:val="2"/>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税金</w:t>
            </w:r>
          </w:p>
        </w:tc>
        <w:tc>
          <w:tcPr>
            <w:tcW w:w="7710" w:type="dxa"/>
            <w:gridSpan w:val="6"/>
            <w:vAlign w:val="center"/>
          </w:tcPr>
          <w:p>
            <w:pPr>
              <w:widowControl/>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1" w:type="dxa"/>
            <w:gridSpan w:val="2"/>
            <w:vAlign w:val="center"/>
          </w:tcPr>
          <w:p>
            <w:pPr>
              <w:widowControl/>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外包费用总计</w:t>
            </w:r>
          </w:p>
        </w:tc>
        <w:tc>
          <w:tcPr>
            <w:tcW w:w="7710" w:type="dxa"/>
            <w:gridSpan w:val="6"/>
            <w:vAlign w:val="center"/>
          </w:tcPr>
          <w:p>
            <w:pPr>
              <w:widowControl/>
              <w:spacing w:line="560" w:lineRule="exact"/>
              <w:jc w:val="center"/>
              <w:rPr>
                <w:rFonts w:ascii="仿宋_GB2312" w:hAnsi="仿宋_GB2312" w:eastAsia="仿宋_GB2312" w:cs="仿宋_GB2312"/>
                <w:sz w:val="28"/>
                <w:szCs w:val="28"/>
              </w:rPr>
            </w:pPr>
          </w:p>
        </w:tc>
      </w:tr>
    </w:tbl>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46"/>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46"/>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2"/>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46"/>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2"/>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46"/>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9"/>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tcPr>
          <w:p>
            <w:pPr>
              <w:pStyle w:val="9"/>
              <w:snapToGrid w:val="0"/>
              <w:ind w:firstLine="241"/>
              <w:jc w:val="center"/>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20" w:type="dxa"/>
          </w:tcPr>
          <w:p>
            <w:pPr>
              <w:pStyle w:val="9"/>
              <w:snapToGrid w:val="0"/>
              <w:ind w:firstLine="0"/>
              <w:rPr>
                <w:rFonts w:ascii="Calibri" w:hAnsi="Calibri" w:cs="Calibri"/>
                <w:sz w:val="21"/>
                <w:szCs w:val="21"/>
              </w:rPr>
            </w:pPr>
          </w:p>
        </w:tc>
        <w:tc>
          <w:tcPr>
            <w:tcW w:w="1540" w:type="dxa"/>
          </w:tcPr>
          <w:p>
            <w:pPr>
              <w:pStyle w:val="9"/>
              <w:snapToGrid w:val="0"/>
              <w:ind w:firstLine="241"/>
              <w:jc w:val="center"/>
              <w:rPr>
                <w:rFonts w:ascii="Calibri" w:hAnsi="Calibri" w:cs="Calibri"/>
                <w:sz w:val="21"/>
                <w:szCs w:val="21"/>
              </w:rPr>
            </w:pPr>
          </w:p>
        </w:tc>
        <w:tc>
          <w:tcPr>
            <w:tcW w:w="1520" w:type="dxa"/>
          </w:tcPr>
          <w:p>
            <w:pPr>
              <w:pStyle w:val="9"/>
              <w:snapToGrid w:val="0"/>
              <w:ind w:firstLine="241"/>
              <w:jc w:val="center"/>
              <w:rPr>
                <w:rFonts w:ascii="Calibri" w:hAnsi="Calibri" w:cs="Calibri"/>
                <w:sz w:val="21"/>
                <w:szCs w:val="21"/>
              </w:rPr>
            </w:pPr>
          </w:p>
        </w:tc>
        <w:tc>
          <w:tcPr>
            <w:tcW w:w="1620" w:type="dxa"/>
          </w:tcPr>
          <w:p>
            <w:pPr>
              <w:pStyle w:val="9"/>
              <w:snapToGrid w:val="0"/>
              <w:ind w:firstLine="241"/>
              <w:jc w:val="center"/>
              <w:rPr>
                <w:rFonts w:ascii="Calibri" w:hAnsi="Calibri" w:cs="Calibri"/>
                <w:sz w:val="21"/>
                <w:szCs w:val="21"/>
              </w:rPr>
            </w:pPr>
          </w:p>
        </w:tc>
        <w:tc>
          <w:tcPr>
            <w:tcW w:w="2880" w:type="dxa"/>
          </w:tcPr>
          <w:p>
            <w:pPr>
              <w:pStyle w:val="9"/>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90</w:t>
    </w:r>
    <w:r>
      <w:fldChar w:fldCharType="end"/>
    </w:r>
  </w:p>
  <w:p>
    <w:pPr>
      <w:pStyle w:val="25"/>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left"/>
    </w:pPr>
    <w:r>
      <w:rPr>
        <w:rFonts w:hint="eastAsia"/>
      </w:rPr>
      <w:t>杭州萧山国际机场T1T2T3航站楼楼宇自控系统及T2T3智能灯光系统维保项目招标文件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A40AB4"/>
    <w:multiLevelType w:val="singleLevel"/>
    <w:tmpl w:val="C8A40AB4"/>
    <w:lvl w:ilvl="0" w:tentative="0">
      <w:start w:val="1"/>
      <w:numFmt w:val="decimal"/>
      <w:suff w:val="space"/>
      <w:lvlText w:val="（%1）"/>
      <w:lvlJc w:val="left"/>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F425C7"/>
    <w:multiLevelType w:val="singleLevel"/>
    <w:tmpl w:val="00F425C7"/>
    <w:lvl w:ilvl="0" w:tentative="0">
      <w:start w:val="3"/>
      <w:numFmt w:val="decimal"/>
      <w:suff w:val="nothing"/>
      <w:lvlText w:val="（%1）"/>
      <w:lvlJc w:val="left"/>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5C77EB36"/>
    <w:multiLevelType w:val="singleLevel"/>
    <w:tmpl w:val="5C77EB36"/>
    <w:lvl w:ilvl="0" w:tentative="0">
      <w:start w:val="2"/>
      <w:numFmt w:val="decimal"/>
      <w:suff w:val="nothing"/>
      <w:lvlText w:val="%1、"/>
      <w:lvlJc w:val="left"/>
    </w:lvl>
  </w:abstractNum>
  <w:abstractNum w:abstractNumId="6">
    <w:nsid w:val="5D1C5209"/>
    <w:multiLevelType w:val="singleLevel"/>
    <w:tmpl w:val="5D1C5209"/>
    <w:lvl w:ilvl="0" w:tentative="0">
      <w:start w:val="9"/>
      <w:numFmt w:val="decimal"/>
      <w:suff w:val="nothing"/>
      <w:lvlText w:val="%1、"/>
      <w:lvlJc w:val="left"/>
    </w:lvl>
  </w:abstractNum>
  <w:abstractNum w:abstractNumId="7">
    <w:nsid w:val="5D638856"/>
    <w:multiLevelType w:val="singleLevel"/>
    <w:tmpl w:val="5D638856"/>
    <w:lvl w:ilvl="0" w:tentative="0">
      <w:start w:val="1"/>
      <w:numFmt w:val="decimal"/>
      <w:lvlText w:val="%1."/>
      <w:lvlJc w:val="left"/>
      <w:pPr>
        <w:ind w:left="425" w:hanging="425"/>
      </w:pPr>
      <w:rPr>
        <w:rFonts w:hint="default"/>
      </w:rPr>
    </w:lvl>
  </w:abstractNum>
  <w:abstractNum w:abstractNumId="8">
    <w:nsid w:val="5D638A5C"/>
    <w:multiLevelType w:val="singleLevel"/>
    <w:tmpl w:val="5D638A5C"/>
    <w:lvl w:ilvl="0" w:tentative="0">
      <w:start w:val="1"/>
      <w:numFmt w:val="decimal"/>
      <w:lvlText w:val="%1."/>
      <w:lvlJc w:val="left"/>
      <w:pPr>
        <w:ind w:left="425" w:hanging="425"/>
      </w:pPr>
      <w:rPr>
        <w:rFonts w:hint="default"/>
      </w:rPr>
    </w:lvl>
  </w:abstractNum>
  <w:abstractNum w:abstractNumId="9">
    <w:nsid w:val="6FA74E86"/>
    <w:multiLevelType w:val="singleLevel"/>
    <w:tmpl w:val="6FA74E86"/>
    <w:lvl w:ilvl="0" w:tentative="0">
      <w:start w:val="1"/>
      <w:numFmt w:val="decimal"/>
      <w:lvlText w:val="%1."/>
      <w:lvlJc w:val="left"/>
      <w:pPr>
        <w:tabs>
          <w:tab w:val="left" w:pos="312"/>
        </w:tabs>
      </w:pPr>
    </w:lvl>
  </w:abstractNum>
  <w:abstractNum w:abstractNumId="10">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3"/>
  </w:num>
  <w:num w:numId="4">
    <w:abstractNumId w:val="9"/>
  </w:num>
  <w:num w:numId="5">
    <w:abstractNumId w:val="5"/>
  </w:num>
  <w:num w:numId="6">
    <w:abstractNumId w:val="10"/>
  </w:num>
  <w:num w:numId="7">
    <w:abstractNumId w:val="8"/>
  </w:num>
  <w:num w:numId="8">
    <w:abstractNumId w:val="0"/>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FD4956"/>
    <w:rsid w:val="4A7801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iPriority="0" w:semiHidden="0" w:name="Body Text"/>
    <w:lsdException w:qFormat="1"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9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94"/>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95"/>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96"/>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97"/>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7">
    <w:name w:val="Default Paragraph Font"/>
    <w:unhideWhenUsed/>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toc 7"/>
    <w:basedOn w:val="1"/>
    <w:next w:val="1"/>
    <w:qFormat/>
    <w:uiPriority w:val="0"/>
    <w:pPr>
      <w:ind w:left="2520"/>
    </w:pPr>
    <w:rPr>
      <w:rFonts w:ascii="Times New Roman" w:hAnsi="Times New Roman" w:eastAsia="宋体" w:cs="Times New Roman"/>
      <w:szCs w:val="24"/>
    </w:rPr>
  </w:style>
  <w:style w:type="paragraph" w:styleId="9">
    <w:name w:val="Normal Indent"/>
    <w:basedOn w:val="1"/>
    <w:link w:val="107"/>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108"/>
    <w:qFormat/>
    <w:uiPriority w:val="0"/>
    <w:pPr>
      <w:shd w:val="clear" w:color="auto" w:fill="000080"/>
    </w:pPr>
    <w:rPr>
      <w:rFonts w:ascii="Times New Roman" w:hAnsi="Times New Roman" w:eastAsia="宋体" w:cs="Times New Roman"/>
      <w:kern w:val="0"/>
      <w:sz w:val="20"/>
      <w:szCs w:val="24"/>
    </w:rPr>
  </w:style>
  <w:style w:type="paragraph" w:styleId="12">
    <w:name w:val="toa heading"/>
    <w:basedOn w:val="1"/>
    <w:next w:val="1"/>
    <w:qFormat/>
    <w:uiPriority w:val="0"/>
    <w:pPr>
      <w:spacing w:before="120"/>
    </w:pPr>
    <w:rPr>
      <w:rFonts w:ascii="Arial" w:hAnsi="Arial" w:eastAsia="宋体" w:cs="Arial"/>
      <w:sz w:val="24"/>
      <w:szCs w:val="24"/>
    </w:rPr>
  </w:style>
  <w:style w:type="paragraph" w:styleId="13">
    <w:name w:val="annotation text"/>
    <w:basedOn w:val="1"/>
    <w:link w:val="103"/>
    <w:unhideWhenUsed/>
    <w:qFormat/>
    <w:uiPriority w:val="99"/>
    <w:pPr>
      <w:jc w:val="left"/>
    </w:pPr>
  </w:style>
  <w:style w:type="paragraph" w:styleId="14">
    <w:name w:val="Body Text"/>
    <w:basedOn w:val="1"/>
    <w:link w:val="105"/>
    <w:unhideWhenUsed/>
    <w:qFormat/>
    <w:uiPriority w:val="0"/>
    <w:pPr>
      <w:spacing w:after="120"/>
    </w:pPr>
  </w:style>
  <w:style w:type="paragraph" w:styleId="15">
    <w:name w:val="Body Text Indent"/>
    <w:basedOn w:val="1"/>
    <w:link w:val="110"/>
    <w:unhideWhenUsed/>
    <w:qFormat/>
    <w:uiPriority w:val="0"/>
    <w:pPr>
      <w:spacing w:after="120"/>
      <w:ind w:left="420" w:leftChars="200"/>
    </w:pPr>
    <w:rPr>
      <w:rFonts w:ascii="Calibri" w:hAnsi="Calibri" w:eastAsia="宋体" w:cs="Times New Roman"/>
      <w:kern w:val="0"/>
      <w:sz w:val="20"/>
      <w:szCs w:val="20"/>
    </w:rPr>
  </w:style>
  <w:style w:type="paragraph" w:styleId="16">
    <w:name w:val="List 2"/>
    <w:basedOn w:val="1"/>
    <w:qFormat/>
    <w:uiPriority w:val="0"/>
    <w:pPr>
      <w:ind w:left="100" w:leftChars="200" w:hanging="200" w:hangingChars="200"/>
    </w:pPr>
    <w:rPr>
      <w:rFonts w:ascii="Times New Roman" w:hAnsi="Times New Roman" w:eastAsia="宋体" w:cs="Times New Roman"/>
      <w:szCs w:val="24"/>
    </w:rPr>
  </w:style>
  <w:style w:type="paragraph" w:styleId="17">
    <w:name w:val="toc 5"/>
    <w:basedOn w:val="1"/>
    <w:next w:val="1"/>
    <w:qFormat/>
    <w:uiPriority w:val="0"/>
    <w:pPr>
      <w:ind w:left="1680"/>
    </w:pPr>
    <w:rPr>
      <w:rFonts w:ascii="Times New Roman" w:hAnsi="Times New Roman" w:eastAsia="宋体" w:cs="Times New Roman"/>
      <w:szCs w:val="24"/>
    </w:rPr>
  </w:style>
  <w:style w:type="paragraph" w:styleId="18">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19">
    <w:name w:val="Plain Text"/>
    <w:basedOn w:val="1"/>
    <w:link w:val="112"/>
    <w:qFormat/>
    <w:uiPriority w:val="0"/>
    <w:rPr>
      <w:rFonts w:ascii="宋体" w:hAnsi="Courier New" w:eastAsia="宋体" w:cs="Times New Roman"/>
      <w:kern w:val="0"/>
      <w:sz w:val="20"/>
      <w:szCs w:val="21"/>
    </w:rPr>
  </w:style>
  <w:style w:type="paragraph" w:styleId="20">
    <w:name w:val="toc 8"/>
    <w:basedOn w:val="1"/>
    <w:next w:val="1"/>
    <w:qFormat/>
    <w:uiPriority w:val="0"/>
    <w:pPr>
      <w:ind w:left="2940"/>
    </w:pPr>
    <w:rPr>
      <w:rFonts w:ascii="Times New Roman" w:hAnsi="Times New Roman" w:eastAsia="宋体" w:cs="Times New Roman"/>
      <w:szCs w:val="24"/>
    </w:rPr>
  </w:style>
  <w:style w:type="paragraph" w:styleId="21">
    <w:name w:val="index 3"/>
    <w:basedOn w:val="1"/>
    <w:next w:val="1"/>
    <w:qFormat/>
    <w:uiPriority w:val="0"/>
    <w:pPr>
      <w:ind w:left="400" w:leftChars="400"/>
    </w:pPr>
    <w:rPr>
      <w:rFonts w:ascii="Times New Roman" w:hAnsi="Times New Roman" w:eastAsia="宋体" w:cs="Times New Roman"/>
      <w:szCs w:val="24"/>
    </w:rPr>
  </w:style>
  <w:style w:type="paragraph" w:styleId="22">
    <w:name w:val="Date"/>
    <w:basedOn w:val="1"/>
    <w:next w:val="1"/>
    <w:link w:val="114"/>
    <w:qFormat/>
    <w:uiPriority w:val="0"/>
    <w:pPr>
      <w:ind w:left="100" w:leftChars="2500"/>
    </w:pPr>
    <w:rPr>
      <w:rFonts w:ascii="Times New Roman" w:hAnsi="Times New Roman" w:eastAsia="宋体" w:cs="Times New Roman"/>
      <w:b/>
      <w:bCs/>
      <w:kern w:val="0"/>
      <w:sz w:val="36"/>
      <w:szCs w:val="24"/>
    </w:rPr>
  </w:style>
  <w:style w:type="paragraph" w:styleId="23">
    <w:name w:val="Body Text Indent 2"/>
    <w:basedOn w:val="1"/>
    <w:link w:val="116"/>
    <w:qFormat/>
    <w:uiPriority w:val="0"/>
    <w:pPr>
      <w:spacing w:after="120" w:line="480" w:lineRule="auto"/>
      <w:ind w:left="420" w:leftChars="200"/>
    </w:pPr>
    <w:rPr>
      <w:rFonts w:ascii="Times New Roman" w:hAnsi="Times New Roman" w:eastAsia="宋体" w:cs="Times New Roman"/>
      <w:kern w:val="0"/>
      <w:sz w:val="20"/>
      <w:szCs w:val="24"/>
    </w:rPr>
  </w:style>
  <w:style w:type="paragraph" w:styleId="24">
    <w:name w:val="Balloon Text"/>
    <w:basedOn w:val="1"/>
    <w:link w:val="118"/>
    <w:qFormat/>
    <w:uiPriority w:val="0"/>
    <w:rPr>
      <w:rFonts w:ascii="Times New Roman" w:hAnsi="Times New Roman" w:eastAsia="宋体" w:cs="Times New Roman"/>
      <w:kern w:val="0"/>
      <w:sz w:val="18"/>
      <w:szCs w:val="18"/>
    </w:rPr>
  </w:style>
  <w:style w:type="paragraph" w:styleId="25">
    <w:name w:val="footer"/>
    <w:basedOn w:val="1"/>
    <w:link w:val="120"/>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6">
    <w:name w:val="header"/>
    <w:basedOn w:val="1"/>
    <w:link w:val="123"/>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7">
    <w:name w:val="toc 1"/>
    <w:basedOn w:val="2"/>
    <w:next w:val="1"/>
    <w:qFormat/>
    <w:uiPriority w:val="39"/>
    <w:pPr>
      <w:tabs>
        <w:tab w:val="right" w:leader="dot" w:pos="8659"/>
      </w:tabs>
      <w:spacing w:before="0" w:after="0" w:line="240" w:lineRule="auto"/>
      <w:jc w:val="center"/>
    </w:pPr>
    <w:rPr>
      <w:b w:val="0"/>
      <w:sz w:val="21"/>
    </w:rPr>
  </w:style>
  <w:style w:type="paragraph" w:styleId="28">
    <w:name w:val="toc 4"/>
    <w:basedOn w:val="1"/>
    <w:next w:val="1"/>
    <w:qFormat/>
    <w:uiPriority w:val="0"/>
    <w:pPr>
      <w:ind w:left="1260"/>
    </w:pPr>
    <w:rPr>
      <w:rFonts w:ascii="Times New Roman" w:hAnsi="Times New Roman" w:eastAsia="宋体" w:cs="Times New Roman"/>
      <w:szCs w:val="24"/>
    </w:rPr>
  </w:style>
  <w:style w:type="paragraph" w:styleId="29">
    <w:name w:val="List"/>
    <w:basedOn w:val="1"/>
    <w:qFormat/>
    <w:uiPriority w:val="0"/>
    <w:pPr>
      <w:ind w:left="200" w:hanging="200" w:hangingChars="200"/>
    </w:pPr>
    <w:rPr>
      <w:rFonts w:ascii="Times New Roman" w:hAnsi="Times New Roman" w:eastAsia="宋体" w:cs="Times New Roman"/>
      <w:szCs w:val="24"/>
    </w:rPr>
  </w:style>
  <w:style w:type="paragraph" w:styleId="30">
    <w:name w:val="footnote text"/>
    <w:basedOn w:val="1"/>
    <w:link w:val="125"/>
    <w:qFormat/>
    <w:uiPriority w:val="0"/>
    <w:pPr>
      <w:snapToGrid w:val="0"/>
      <w:jc w:val="left"/>
    </w:pPr>
    <w:rPr>
      <w:rFonts w:ascii="Times New Roman" w:hAnsi="Times New Roman" w:eastAsia="宋体" w:cs="Times New Roman"/>
      <w:kern w:val="0"/>
      <w:sz w:val="18"/>
      <w:szCs w:val="18"/>
    </w:rPr>
  </w:style>
  <w:style w:type="paragraph" w:styleId="31">
    <w:name w:val="toc 6"/>
    <w:basedOn w:val="1"/>
    <w:next w:val="1"/>
    <w:qFormat/>
    <w:uiPriority w:val="0"/>
    <w:pPr>
      <w:ind w:left="2100"/>
    </w:pPr>
    <w:rPr>
      <w:rFonts w:ascii="Times New Roman" w:hAnsi="Times New Roman" w:eastAsia="宋体" w:cs="Times New Roman"/>
      <w:szCs w:val="24"/>
    </w:rPr>
  </w:style>
  <w:style w:type="paragraph" w:styleId="32">
    <w:name w:val="Body Text Indent 3"/>
    <w:basedOn w:val="1"/>
    <w:link w:val="127"/>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3">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4">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5">
    <w:name w:val="toc 9"/>
    <w:basedOn w:val="1"/>
    <w:next w:val="1"/>
    <w:qFormat/>
    <w:uiPriority w:val="0"/>
    <w:pPr>
      <w:ind w:left="3360"/>
    </w:pPr>
    <w:rPr>
      <w:rFonts w:ascii="Times New Roman" w:hAnsi="Times New Roman" w:eastAsia="宋体" w:cs="Times New Roman"/>
      <w:szCs w:val="24"/>
    </w:rPr>
  </w:style>
  <w:style w:type="paragraph" w:styleId="36">
    <w:name w:val="Body Text 2"/>
    <w:basedOn w:val="1"/>
    <w:link w:val="129"/>
    <w:qFormat/>
    <w:uiPriority w:val="0"/>
    <w:pPr>
      <w:spacing w:after="120" w:line="480" w:lineRule="auto"/>
    </w:pPr>
    <w:rPr>
      <w:rFonts w:ascii="Times New Roman" w:hAnsi="Times New Roman" w:eastAsia="宋体" w:cs="Times New Roman"/>
      <w:kern w:val="0"/>
      <w:sz w:val="20"/>
      <w:szCs w:val="24"/>
    </w:rPr>
  </w:style>
  <w:style w:type="paragraph" w:styleId="37">
    <w:name w:val="List 4"/>
    <w:basedOn w:val="1"/>
    <w:qFormat/>
    <w:uiPriority w:val="0"/>
    <w:pPr>
      <w:ind w:left="100" w:leftChars="600" w:hanging="200" w:hangingChars="200"/>
    </w:pPr>
    <w:rPr>
      <w:rFonts w:ascii="Times New Roman" w:hAnsi="Times New Roman" w:eastAsia="宋体" w:cs="Times New Roman"/>
      <w:szCs w:val="24"/>
    </w:rPr>
  </w:style>
  <w:style w:type="paragraph" w:styleId="38">
    <w:name w:val="List Continue 2"/>
    <w:basedOn w:val="1"/>
    <w:qFormat/>
    <w:uiPriority w:val="0"/>
    <w:pPr>
      <w:spacing w:after="120"/>
      <w:ind w:left="840" w:leftChars="400"/>
    </w:pPr>
    <w:rPr>
      <w:rFonts w:ascii="Times New Roman" w:hAnsi="Times New Roman" w:eastAsia="宋体" w:cs="Times New Roman"/>
      <w:szCs w:val="24"/>
    </w:rPr>
  </w:style>
  <w:style w:type="paragraph" w:styleId="3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1">
    <w:name w:val="index 2"/>
    <w:basedOn w:val="1"/>
    <w:next w:val="1"/>
    <w:qFormat/>
    <w:uiPriority w:val="0"/>
    <w:pPr>
      <w:ind w:left="200" w:leftChars="200"/>
    </w:pPr>
    <w:rPr>
      <w:rFonts w:ascii="Times New Roman" w:hAnsi="Times New Roman" w:eastAsia="宋体" w:cs="Times New Roman"/>
      <w:szCs w:val="24"/>
    </w:rPr>
  </w:style>
  <w:style w:type="paragraph" w:styleId="42">
    <w:name w:val="Title"/>
    <w:basedOn w:val="1"/>
    <w:next w:val="1"/>
    <w:link w:val="131"/>
    <w:qFormat/>
    <w:uiPriority w:val="0"/>
    <w:pPr>
      <w:spacing w:before="240" w:after="60"/>
      <w:jc w:val="center"/>
      <w:outlineLvl w:val="0"/>
    </w:pPr>
    <w:rPr>
      <w:rFonts w:ascii="Arial" w:hAnsi="Arial" w:eastAsia="宋体" w:cs="Times New Roman"/>
      <w:b/>
      <w:bCs/>
      <w:kern w:val="0"/>
      <w:sz w:val="32"/>
      <w:szCs w:val="32"/>
    </w:rPr>
  </w:style>
  <w:style w:type="paragraph" w:styleId="43">
    <w:name w:val="annotation subject"/>
    <w:basedOn w:val="13"/>
    <w:next w:val="13"/>
    <w:link w:val="104"/>
    <w:semiHidden/>
    <w:qFormat/>
    <w:uiPriority w:val="0"/>
    <w:rPr>
      <w:rFonts w:ascii="Times New Roman" w:hAnsi="Times New Roman" w:eastAsia="宋体" w:cs="Times New Roman"/>
      <w:b/>
      <w:bCs/>
      <w:kern w:val="0"/>
      <w:sz w:val="20"/>
      <w:szCs w:val="24"/>
    </w:rPr>
  </w:style>
  <w:style w:type="paragraph" w:styleId="44">
    <w:name w:val="Body Text First Indent"/>
    <w:basedOn w:val="14"/>
    <w:link w:val="106"/>
    <w:qFormat/>
    <w:uiPriority w:val="0"/>
    <w:pPr>
      <w:ind w:firstLine="420" w:firstLineChars="100"/>
    </w:pPr>
    <w:rPr>
      <w:rFonts w:ascii="Times New Roman" w:hAnsi="Times New Roman" w:eastAsia="宋体" w:cs="Times New Roman"/>
      <w:kern w:val="0"/>
      <w:sz w:val="20"/>
      <w:szCs w:val="24"/>
    </w:rPr>
  </w:style>
  <w:style w:type="paragraph" w:styleId="45">
    <w:name w:val="Body Text First Indent 2"/>
    <w:basedOn w:val="15"/>
    <w:link w:val="122"/>
    <w:qFormat/>
    <w:uiPriority w:val="0"/>
    <w:pPr>
      <w:ind w:firstLine="420" w:firstLineChars="200"/>
    </w:pPr>
    <w:rPr>
      <w:rFonts w:ascii="Times New Roman" w:hAnsi="Times New Roman"/>
      <w:szCs w:val="24"/>
    </w:rPr>
  </w:style>
  <w:style w:type="character" w:styleId="48">
    <w:name w:val="page number"/>
    <w:qFormat/>
    <w:uiPriority w:val="0"/>
    <w:rPr>
      <w:rFonts w:ascii="Times New Roman" w:hAnsi="Times New Roman" w:eastAsia="宋体" w:cs="Times New Roman"/>
      <w:lang w:val="en-US" w:eastAsia="zh-CN" w:bidi="ar-SA"/>
    </w:rPr>
  </w:style>
  <w:style w:type="character" w:styleId="49">
    <w:name w:val="FollowedHyperlink"/>
    <w:qFormat/>
    <w:uiPriority w:val="0"/>
    <w:rPr>
      <w:rFonts w:ascii="Times New Roman" w:hAnsi="Times New Roman" w:eastAsia="宋体" w:cs="Times New Roman"/>
      <w:color w:val="800080"/>
      <w:u w:val="single"/>
      <w:lang w:val="en-US" w:eastAsia="zh-CN" w:bidi="ar-SA"/>
    </w:rPr>
  </w:style>
  <w:style w:type="character" w:styleId="50">
    <w:name w:val="Emphasis"/>
    <w:qFormat/>
    <w:uiPriority w:val="20"/>
    <w:rPr>
      <w:rFonts w:ascii="Times New Roman" w:hAnsi="Times New Roman" w:eastAsia="宋体" w:cs="Times New Roman"/>
      <w:i/>
      <w:iCs/>
      <w:lang w:val="en-US" w:eastAsia="zh-CN" w:bidi="ar-SA"/>
    </w:rPr>
  </w:style>
  <w:style w:type="character" w:styleId="51">
    <w:name w:val="Hyperlink"/>
    <w:qFormat/>
    <w:uiPriority w:val="99"/>
    <w:rPr>
      <w:rFonts w:ascii="Times New Roman" w:hAnsi="Times New Roman" w:eastAsia="宋体" w:cs="Times New Roman"/>
      <w:color w:val="0000FF"/>
      <w:u w:val="single"/>
      <w:lang w:val="en-US" w:eastAsia="zh-CN" w:bidi="ar-SA"/>
    </w:rPr>
  </w:style>
  <w:style w:type="character" w:styleId="52">
    <w:name w:val="annotation reference"/>
    <w:qFormat/>
    <w:uiPriority w:val="0"/>
    <w:rPr>
      <w:rFonts w:ascii="Times New Roman" w:hAnsi="Times New Roman" w:eastAsia="宋体" w:cs="Times New Roman"/>
      <w:sz w:val="21"/>
      <w:szCs w:val="21"/>
      <w:lang w:val="en-US" w:eastAsia="zh-CN" w:bidi="ar-SA"/>
    </w:rPr>
  </w:style>
  <w:style w:type="character" w:styleId="53">
    <w:name w:val="footnote reference"/>
    <w:qFormat/>
    <w:uiPriority w:val="0"/>
    <w:rPr>
      <w:rFonts w:ascii="Times New Roman" w:hAnsi="Times New Roman" w:eastAsia="宋体" w:cs="Times New Roman"/>
      <w:vertAlign w:val="superscript"/>
      <w:lang w:val="en-US" w:eastAsia="zh-CN" w:bidi="ar-SA"/>
    </w:rPr>
  </w:style>
  <w:style w:type="paragraph" w:customStyle="1" w:styleId="54">
    <w:name w:val="样式2"/>
    <w:basedOn w:val="33"/>
    <w:qFormat/>
    <w:uiPriority w:val="0"/>
    <w:pPr>
      <w:ind w:firstLine="2720"/>
    </w:pPr>
    <w:rPr>
      <w:bCs/>
    </w:rPr>
  </w:style>
  <w:style w:type="paragraph" w:customStyle="1" w:styleId="55">
    <w:name w:val="0"/>
    <w:basedOn w:val="1"/>
    <w:qFormat/>
    <w:uiPriority w:val="0"/>
    <w:pPr>
      <w:widowControl/>
    </w:pPr>
    <w:rPr>
      <w:rFonts w:ascii="Times New Roman" w:hAnsi="Times New Roman" w:eastAsia="宋体" w:cs="Times New Roman"/>
      <w:kern w:val="0"/>
      <w:szCs w:val="2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8">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59">
    <w:name w:val="Char"/>
    <w:basedOn w:val="1"/>
    <w:qFormat/>
    <w:uiPriority w:val="0"/>
    <w:pPr>
      <w:spacing w:line="360" w:lineRule="auto"/>
    </w:pPr>
    <w:rPr>
      <w:rFonts w:ascii="黑体" w:hAnsi="黑体" w:eastAsia="宋体" w:cs="Times New Roman"/>
      <w:sz w:val="24"/>
      <w:szCs w:val="24"/>
      <w:lang w:val="zh-CN"/>
    </w:rPr>
  </w:style>
  <w:style w:type="paragraph" w:customStyle="1" w:styleId="60">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61">
    <w:name w:val="z-窗体顶端1"/>
    <w:basedOn w:val="1"/>
    <w:next w:val="1"/>
    <w:link w:val="134"/>
    <w:qFormat/>
    <w:uiPriority w:val="0"/>
    <w:pPr>
      <w:pBdr>
        <w:bottom w:val="single" w:color="auto" w:sz="6" w:space="1"/>
      </w:pBdr>
      <w:jc w:val="center"/>
    </w:pPr>
    <w:rPr>
      <w:rFonts w:ascii="Arial" w:hAnsi="Arial" w:eastAsia="宋体" w:cs="Times New Roman"/>
      <w:vanish/>
      <w:kern w:val="0"/>
      <w:sz w:val="16"/>
      <w:szCs w:val="16"/>
    </w:rPr>
  </w:style>
  <w:style w:type="paragraph" w:customStyle="1" w:styleId="62">
    <w:name w:val="_Style 10"/>
    <w:basedOn w:val="1"/>
    <w:next w:val="1"/>
    <w:qFormat/>
    <w:uiPriority w:val="0"/>
    <w:rPr>
      <w:rFonts w:ascii="Times New Roman" w:hAnsi="Times New Roman" w:eastAsia="宋体" w:cs="Times New Roman"/>
      <w:szCs w:val="24"/>
    </w:rPr>
  </w:style>
  <w:style w:type="paragraph" w:customStyle="1" w:styleId="63">
    <w:name w:val="Char Char"/>
    <w:basedOn w:val="1"/>
    <w:qFormat/>
    <w:uiPriority w:val="0"/>
    <w:rPr>
      <w:rFonts w:ascii="Tahoma" w:hAnsi="Tahoma" w:eastAsia="宋体" w:cs="Times New Roman"/>
      <w:sz w:val="24"/>
      <w:szCs w:val="20"/>
    </w:rPr>
  </w:style>
  <w:style w:type="paragraph" w:customStyle="1" w:styleId="64">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65">
    <w:name w:val="Char Char Char Char"/>
    <w:basedOn w:val="1"/>
    <w:qFormat/>
    <w:uiPriority w:val="0"/>
    <w:rPr>
      <w:rFonts w:ascii="仿宋_GB2312" w:hAnsi="Times New Roman" w:eastAsia="仿宋_GB2312" w:cs="Times New Roman"/>
      <w:b/>
      <w:sz w:val="32"/>
      <w:szCs w:val="32"/>
    </w:rPr>
  </w:style>
  <w:style w:type="paragraph" w:customStyle="1" w:styleId="66">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67">
    <w:name w:val="样式1"/>
    <w:basedOn w:val="1"/>
    <w:qFormat/>
    <w:uiPriority w:val="0"/>
    <w:pPr>
      <w:spacing w:line="360" w:lineRule="auto"/>
      <w:jc w:val="center"/>
    </w:pPr>
    <w:rPr>
      <w:rFonts w:ascii="宋体" w:hAnsi="宋体" w:eastAsia="宋体" w:cs="Times New Roman"/>
      <w:sz w:val="32"/>
      <w:szCs w:val="30"/>
    </w:rPr>
  </w:style>
  <w:style w:type="paragraph" w:customStyle="1" w:styleId="68">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9">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0">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7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72">
    <w:name w:val="样式 一号 加粗 居中"/>
    <w:basedOn w:val="1"/>
    <w:qFormat/>
    <w:uiPriority w:val="0"/>
    <w:pPr>
      <w:jc w:val="center"/>
    </w:pPr>
    <w:rPr>
      <w:rFonts w:ascii="Times New Roman" w:hAnsi="Times New Roman" w:eastAsia="宋体" w:cs="宋体"/>
      <w:bCs/>
      <w:sz w:val="52"/>
      <w:szCs w:val="20"/>
    </w:rPr>
  </w:style>
  <w:style w:type="paragraph" w:customStyle="1" w:styleId="73">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4">
    <w:name w:val="z-窗体底端1"/>
    <w:basedOn w:val="1"/>
    <w:next w:val="1"/>
    <w:link w:val="135"/>
    <w:qFormat/>
    <w:uiPriority w:val="0"/>
    <w:pPr>
      <w:pBdr>
        <w:top w:val="single" w:color="auto" w:sz="6" w:space="1"/>
      </w:pBdr>
      <w:jc w:val="center"/>
    </w:pPr>
    <w:rPr>
      <w:rFonts w:ascii="Arial" w:hAnsi="Arial" w:eastAsia="宋体" w:cs="Times New Roman"/>
      <w:vanish/>
      <w:kern w:val="0"/>
      <w:sz w:val="16"/>
      <w:szCs w:val="16"/>
    </w:rPr>
  </w:style>
  <w:style w:type="paragraph" w:customStyle="1" w:styleId="75">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6">
    <w:name w:val="样式3"/>
    <w:basedOn w:val="4"/>
    <w:qFormat/>
    <w:uiPriority w:val="0"/>
    <w:pPr>
      <w:keepNext/>
      <w:keepLines/>
      <w:spacing w:before="120" w:after="120" w:line="360" w:lineRule="auto"/>
    </w:pPr>
    <w:rPr>
      <w:rFonts w:eastAsia="宋体"/>
      <w:sz w:val="24"/>
      <w:szCs w:val="24"/>
    </w:rPr>
  </w:style>
  <w:style w:type="paragraph" w:customStyle="1" w:styleId="77">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78">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7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1">
    <w:name w:val="样式 样式1 + 首行缩进:  2 字符"/>
    <w:basedOn w:val="67"/>
    <w:link w:val="137"/>
    <w:qFormat/>
    <w:uiPriority w:val="0"/>
    <w:pPr>
      <w:spacing w:line="360" w:lineRule="exact"/>
      <w:ind w:firstLine="420" w:firstLineChars="200"/>
      <w:jc w:val="both"/>
    </w:pPr>
    <w:rPr>
      <w:rFonts w:ascii="Arial" w:hAnsi="Arial" w:eastAsia="等线" w:cs="黑体"/>
      <w:sz w:val="24"/>
      <w:szCs w:val="22"/>
    </w:rPr>
  </w:style>
  <w:style w:type="paragraph" w:customStyle="1" w:styleId="82">
    <w:name w:val="样式 标题 1 + (符号) Arial 三号"/>
    <w:basedOn w:val="2"/>
    <w:qFormat/>
    <w:uiPriority w:val="0"/>
    <w:pPr>
      <w:snapToGrid w:val="0"/>
      <w:spacing w:before="0" w:after="0" w:line="360" w:lineRule="auto"/>
    </w:pPr>
    <w:rPr>
      <w:sz w:val="32"/>
    </w:rPr>
  </w:style>
  <w:style w:type="paragraph" w:customStyle="1" w:styleId="83">
    <w:name w:val="列出段落11"/>
    <w:basedOn w:val="1"/>
    <w:qFormat/>
    <w:uiPriority w:val="0"/>
    <w:pPr>
      <w:ind w:firstLine="420" w:firstLineChars="200"/>
    </w:pPr>
    <w:rPr>
      <w:rFonts w:ascii="Calibri" w:hAnsi="Calibri" w:eastAsia="宋体" w:cs="Times New Roman"/>
    </w:rPr>
  </w:style>
  <w:style w:type="paragraph" w:customStyle="1" w:styleId="84">
    <w:name w:val="_Style 5"/>
    <w:basedOn w:val="1"/>
    <w:next w:val="1"/>
    <w:qFormat/>
    <w:uiPriority w:val="0"/>
    <w:rPr>
      <w:rFonts w:ascii="Times New Roman" w:hAnsi="Times New Roman" w:eastAsia="宋体" w:cs="Times New Roman"/>
      <w:szCs w:val="20"/>
    </w:rPr>
  </w:style>
  <w:style w:type="paragraph" w:customStyle="1" w:styleId="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87">
    <w:name w:val="正文 New"/>
    <w:qFormat/>
    <w:uiPriority w:val="0"/>
    <w:pPr>
      <w:widowControl w:val="0"/>
      <w:jc w:val="both"/>
    </w:pPr>
    <w:rPr>
      <w:rFonts w:ascii="Times New Roman" w:hAnsi="Times New Roman" w:eastAsia="宋体" w:cs="Times New Roman"/>
      <w:lang w:val="en-US" w:eastAsia="zh-CN" w:bidi="ar-SA"/>
    </w:rPr>
  </w:style>
  <w:style w:type="paragraph" w:customStyle="1" w:styleId="88">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89">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90">
    <w:name w:val="彩色列表 - 强调文字颜色 13"/>
    <w:basedOn w:val="1"/>
    <w:qFormat/>
    <w:uiPriority w:val="34"/>
    <w:pPr>
      <w:ind w:firstLine="420" w:firstLineChars="200"/>
    </w:pPr>
    <w:rPr>
      <w:rFonts w:ascii="Calibri" w:hAnsi="Calibri" w:eastAsia="宋体" w:cs="Times New Roman"/>
    </w:rPr>
  </w:style>
  <w:style w:type="paragraph" w:customStyle="1" w:styleId="91">
    <w:name w:val="列出段落2"/>
    <w:basedOn w:val="1"/>
    <w:qFormat/>
    <w:uiPriority w:val="34"/>
    <w:pPr>
      <w:ind w:firstLine="420" w:firstLineChars="200"/>
    </w:pPr>
    <w:rPr>
      <w:sz w:val="24"/>
    </w:rPr>
  </w:style>
  <w:style w:type="paragraph" w:customStyle="1" w:styleId="92">
    <w:name w:val="列出段落21"/>
    <w:basedOn w:val="1"/>
    <w:qFormat/>
    <w:uiPriority w:val="0"/>
    <w:pPr>
      <w:ind w:firstLine="420" w:firstLineChars="200"/>
    </w:pPr>
    <w:rPr>
      <w:szCs w:val="20"/>
    </w:rPr>
  </w:style>
  <w:style w:type="character" w:customStyle="1" w:styleId="93">
    <w:name w:val="标题 1 字符1"/>
    <w:link w:val="2"/>
    <w:qFormat/>
    <w:uiPriority w:val="0"/>
    <w:rPr>
      <w:rFonts w:ascii="Times New Roman" w:hAnsi="Times New Roman" w:eastAsia="宋体" w:cs="Times New Roman"/>
      <w:b/>
      <w:bCs/>
      <w:kern w:val="44"/>
      <w:sz w:val="44"/>
      <w:szCs w:val="44"/>
      <w:lang w:val="en-US" w:eastAsia="zh-CN" w:bidi="ar-SA"/>
    </w:rPr>
  </w:style>
  <w:style w:type="character" w:customStyle="1" w:styleId="94">
    <w:name w:val="标题 2 字符1"/>
    <w:link w:val="3"/>
    <w:qFormat/>
    <w:uiPriority w:val="0"/>
    <w:rPr>
      <w:rFonts w:ascii="Arial" w:hAnsi="Arial" w:eastAsia="黑体" w:cs="Times New Roman"/>
      <w:b/>
      <w:bCs/>
      <w:kern w:val="0"/>
      <w:sz w:val="32"/>
      <w:szCs w:val="32"/>
      <w:lang w:val="en-US" w:eastAsia="zh-CN" w:bidi="ar-SA"/>
    </w:rPr>
  </w:style>
  <w:style w:type="character" w:customStyle="1" w:styleId="95">
    <w:name w:val="标题 3 字符1"/>
    <w:link w:val="4"/>
    <w:qFormat/>
    <w:uiPriority w:val="0"/>
    <w:rPr>
      <w:rFonts w:ascii="Times New Roman" w:hAnsi="Times New Roman" w:eastAsia="楷体_GB2312" w:cs="Times New Roman"/>
      <w:kern w:val="0"/>
      <w:sz w:val="28"/>
      <w:szCs w:val="20"/>
      <w:lang w:val="en-US" w:eastAsia="zh-CN" w:bidi="ar-SA"/>
    </w:rPr>
  </w:style>
  <w:style w:type="character" w:customStyle="1" w:styleId="96">
    <w:name w:val="标题 4 字符1"/>
    <w:link w:val="5"/>
    <w:qFormat/>
    <w:uiPriority w:val="0"/>
    <w:rPr>
      <w:rFonts w:ascii="Arial" w:hAnsi="Arial" w:eastAsia="黑体" w:cs="Times New Roman"/>
      <w:b/>
      <w:bCs/>
      <w:kern w:val="0"/>
      <w:sz w:val="28"/>
      <w:szCs w:val="28"/>
      <w:lang w:val="en-US" w:eastAsia="zh-CN" w:bidi="ar-SA"/>
    </w:rPr>
  </w:style>
  <w:style w:type="character" w:customStyle="1" w:styleId="97">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98">
    <w:name w:val="标题 1 字符"/>
    <w:basedOn w:val="47"/>
    <w:qFormat/>
    <w:uiPriority w:val="9"/>
    <w:rPr>
      <w:rFonts w:ascii="Times New Roman" w:hAnsi="Times New Roman" w:eastAsia="宋体" w:cs="Times New Roman"/>
      <w:b/>
      <w:bCs/>
      <w:kern w:val="44"/>
      <w:sz w:val="44"/>
      <w:szCs w:val="44"/>
      <w:lang w:val="en-US" w:eastAsia="zh-CN" w:bidi="ar-SA"/>
    </w:rPr>
  </w:style>
  <w:style w:type="character" w:customStyle="1" w:styleId="99">
    <w:name w:val="标题 2 字符"/>
    <w:basedOn w:val="47"/>
    <w:semiHidden/>
    <w:qFormat/>
    <w:uiPriority w:val="9"/>
    <w:rPr>
      <w:rFonts w:ascii="等线 Light" w:hAnsi="等线 Light" w:eastAsia="等线 Light" w:cs="黑体"/>
      <w:b/>
      <w:bCs/>
      <w:sz w:val="32"/>
      <w:szCs w:val="32"/>
      <w:lang w:val="en-US" w:eastAsia="zh-CN" w:bidi="ar-SA"/>
    </w:rPr>
  </w:style>
  <w:style w:type="character" w:customStyle="1" w:styleId="100">
    <w:name w:val="标题 3 字符"/>
    <w:basedOn w:val="47"/>
    <w:semiHidden/>
    <w:qFormat/>
    <w:uiPriority w:val="9"/>
    <w:rPr>
      <w:rFonts w:ascii="Times New Roman" w:hAnsi="Times New Roman" w:eastAsia="宋体" w:cs="Times New Roman"/>
      <w:b/>
      <w:bCs/>
      <w:sz w:val="32"/>
      <w:szCs w:val="32"/>
      <w:lang w:val="en-US" w:eastAsia="zh-CN" w:bidi="ar-SA"/>
    </w:rPr>
  </w:style>
  <w:style w:type="character" w:customStyle="1" w:styleId="101">
    <w:name w:val="标题 4 字符"/>
    <w:basedOn w:val="47"/>
    <w:semiHidden/>
    <w:qFormat/>
    <w:uiPriority w:val="9"/>
    <w:rPr>
      <w:rFonts w:ascii="等线 Light" w:hAnsi="等线 Light" w:eastAsia="等线 Light" w:cs="黑体"/>
      <w:b/>
      <w:bCs/>
      <w:sz w:val="28"/>
      <w:szCs w:val="28"/>
      <w:lang w:val="en-US" w:eastAsia="zh-CN" w:bidi="ar-SA"/>
    </w:rPr>
  </w:style>
  <w:style w:type="character" w:customStyle="1" w:styleId="102">
    <w:name w:val="标题 5 字符"/>
    <w:basedOn w:val="47"/>
    <w:semiHidden/>
    <w:qFormat/>
    <w:uiPriority w:val="9"/>
    <w:rPr>
      <w:rFonts w:ascii="Times New Roman" w:hAnsi="Times New Roman" w:eastAsia="宋体" w:cs="Times New Roman"/>
      <w:b/>
      <w:bCs/>
      <w:sz w:val="28"/>
      <w:szCs w:val="28"/>
      <w:lang w:val="en-US" w:eastAsia="zh-CN" w:bidi="ar-SA"/>
    </w:rPr>
  </w:style>
  <w:style w:type="character" w:customStyle="1" w:styleId="103">
    <w:name w:val="批注文字 字符"/>
    <w:basedOn w:val="47"/>
    <w:link w:val="13"/>
    <w:semiHidden/>
    <w:qFormat/>
    <w:uiPriority w:val="99"/>
    <w:rPr>
      <w:rFonts w:ascii="Times New Roman" w:hAnsi="Times New Roman" w:eastAsia="宋体" w:cs="Times New Roman"/>
      <w:lang w:val="en-US" w:eastAsia="zh-CN" w:bidi="ar-SA"/>
    </w:rPr>
  </w:style>
  <w:style w:type="character" w:customStyle="1" w:styleId="104">
    <w:name w:val="批注主题 字符"/>
    <w:basedOn w:val="103"/>
    <w:link w:val="43"/>
    <w:semiHidden/>
    <w:qFormat/>
    <w:uiPriority w:val="0"/>
    <w:rPr>
      <w:rFonts w:ascii="Times New Roman" w:hAnsi="Times New Roman" w:eastAsia="宋体" w:cs="Times New Roman"/>
      <w:b/>
      <w:bCs/>
      <w:kern w:val="0"/>
      <w:sz w:val="20"/>
      <w:szCs w:val="24"/>
    </w:rPr>
  </w:style>
  <w:style w:type="character" w:customStyle="1" w:styleId="105">
    <w:name w:val="正文文本 字符"/>
    <w:basedOn w:val="47"/>
    <w:link w:val="14"/>
    <w:semiHidden/>
    <w:qFormat/>
    <w:uiPriority w:val="99"/>
    <w:rPr>
      <w:rFonts w:ascii="Times New Roman" w:hAnsi="Times New Roman" w:eastAsia="宋体" w:cs="Times New Roman"/>
      <w:lang w:val="en-US" w:eastAsia="zh-CN" w:bidi="ar-SA"/>
    </w:rPr>
  </w:style>
  <w:style w:type="character" w:customStyle="1" w:styleId="106">
    <w:name w:val="正文首行缩进 字符"/>
    <w:basedOn w:val="105"/>
    <w:link w:val="44"/>
    <w:qFormat/>
    <w:uiPriority w:val="0"/>
    <w:rPr>
      <w:rFonts w:ascii="Times New Roman" w:hAnsi="Times New Roman" w:eastAsia="宋体" w:cs="Times New Roman"/>
      <w:kern w:val="0"/>
      <w:sz w:val="20"/>
      <w:szCs w:val="24"/>
    </w:rPr>
  </w:style>
  <w:style w:type="character" w:customStyle="1" w:styleId="107">
    <w:name w:val="正文缩进 字符"/>
    <w:link w:val="9"/>
    <w:qFormat/>
    <w:uiPriority w:val="0"/>
    <w:rPr>
      <w:rFonts w:ascii="宋体" w:hAnsi="Times New Roman" w:eastAsia="宋体" w:cs="Times New Roman"/>
      <w:kern w:val="0"/>
      <w:sz w:val="34"/>
      <w:szCs w:val="20"/>
      <w:lang w:val="en-US" w:eastAsia="zh-CN" w:bidi="ar-SA"/>
    </w:rPr>
  </w:style>
  <w:style w:type="character" w:customStyle="1" w:styleId="108">
    <w:name w:val="文档结构图 字符1"/>
    <w:link w:val="11"/>
    <w:qFormat/>
    <w:uiPriority w:val="0"/>
    <w:rPr>
      <w:rFonts w:ascii="Times New Roman" w:hAnsi="Times New Roman" w:eastAsia="宋体" w:cs="Times New Roman"/>
      <w:kern w:val="0"/>
      <w:sz w:val="20"/>
      <w:szCs w:val="24"/>
      <w:lang w:val="en-US" w:eastAsia="zh-CN" w:bidi="ar-SA"/>
    </w:rPr>
  </w:style>
  <w:style w:type="character" w:customStyle="1" w:styleId="109">
    <w:name w:val="文档结构图 字符"/>
    <w:basedOn w:val="47"/>
    <w:semiHidden/>
    <w:qFormat/>
    <w:uiPriority w:val="99"/>
    <w:rPr>
      <w:rFonts w:ascii="Microsoft YaHei UI" w:hAnsi="Times New Roman" w:eastAsia="Microsoft YaHei UI" w:cs="Times New Roman"/>
      <w:sz w:val="18"/>
      <w:szCs w:val="18"/>
      <w:lang w:val="en-US" w:eastAsia="zh-CN" w:bidi="ar-SA"/>
    </w:rPr>
  </w:style>
  <w:style w:type="character" w:customStyle="1" w:styleId="110">
    <w:name w:val="正文文本缩进 字符1"/>
    <w:link w:val="15"/>
    <w:qFormat/>
    <w:uiPriority w:val="0"/>
    <w:rPr>
      <w:rFonts w:ascii="Calibri" w:hAnsi="Calibri" w:eastAsia="宋体" w:cs="Times New Roman"/>
      <w:kern w:val="0"/>
      <w:sz w:val="20"/>
      <w:szCs w:val="20"/>
      <w:lang w:val="en-US" w:eastAsia="zh-CN" w:bidi="ar-SA"/>
    </w:rPr>
  </w:style>
  <w:style w:type="character" w:customStyle="1" w:styleId="111">
    <w:name w:val="正文文本缩进 字符"/>
    <w:basedOn w:val="47"/>
    <w:semiHidden/>
    <w:qFormat/>
    <w:uiPriority w:val="99"/>
    <w:rPr>
      <w:rFonts w:ascii="Times New Roman" w:hAnsi="Times New Roman" w:eastAsia="宋体" w:cs="Times New Roman"/>
      <w:lang w:val="en-US" w:eastAsia="zh-CN" w:bidi="ar-SA"/>
    </w:rPr>
  </w:style>
  <w:style w:type="character" w:customStyle="1" w:styleId="112">
    <w:name w:val="纯文本 字符1"/>
    <w:link w:val="19"/>
    <w:qFormat/>
    <w:uiPriority w:val="0"/>
    <w:rPr>
      <w:rFonts w:ascii="宋体" w:hAnsi="Courier New" w:eastAsia="宋体" w:cs="Times New Roman"/>
      <w:kern w:val="0"/>
      <w:sz w:val="20"/>
      <w:szCs w:val="21"/>
      <w:lang w:val="en-US" w:eastAsia="zh-CN" w:bidi="ar-SA"/>
    </w:rPr>
  </w:style>
  <w:style w:type="character" w:customStyle="1" w:styleId="113">
    <w:name w:val="纯文本 字符"/>
    <w:basedOn w:val="47"/>
    <w:semiHidden/>
    <w:qFormat/>
    <w:uiPriority w:val="99"/>
    <w:rPr>
      <w:rFonts w:ascii="等线" w:hAnsi="Courier New" w:eastAsia="宋体" w:cs="Courier New"/>
      <w:lang w:val="en-US" w:eastAsia="zh-CN" w:bidi="ar-SA"/>
    </w:rPr>
  </w:style>
  <w:style w:type="character" w:customStyle="1" w:styleId="114">
    <w:name w:val="日期 字符1"/>
    <w:link w:val="22"/>
    <w:qFormat/>
    <w:uiPriority w:val="0"/>
    <w:rPr>
      <w:rFonts w:ascii="Times New Roman" w:hAnsi="Times New Roman" w:eastAsia="宋体" w:cs="Times New Roman"/>
      <w:b/>
      <w:bCs/>
      <w:kern w:val="0"/>
      <w:sz w:val="36"/>
      <w:szCs w:val="24"/>
      <w:lang w:val="en-US" w:eastAsia="zh-CN" w:bidi="ar-SA"/>
    </w:rPr>
  </w:style>
  <w:style w:type="character" w:customStyle="1" w:styleId="115">
    <w:name w:val="日期 字符"/>
    <w:basedOn w:val="47"/>
    <w:semiHidden/>
    <w:qFormat/>
    <w:uiPriority w:val="99"/>
    <w:rPr>
      <w:rFonts w:ascii="Times New Roman" w:hAnsi="Times New Roman" w:eastAsia="宋体" w:cs="Times New Roman"/>
      <w:lang w:val="en-US" w:eastAsia="zh-CN" w:bidi="ar-SA"/>
    </w:rPr>
  </w:style>
  <w:style w:type="character" w:customStyle="1" w:styleId="116">
    <w:name w:val="正文文本缩进 2 字符1"/>
    <w:link w:val="23"/>
    <w:qFormat/>
    <w:uiPriority w:val="0"/>
    <w:rPr>
      <w:rFonts w:ascii="Times New Roman" w:hAnsi="Times New Roman" w:eastAsia="宋体" w:cs="Times New Roman"/>
      <w:kern w:val="0"/>
      <w:sz w:val="20"/>
      <w:szCs w:val="24"/>
      <w:lang w:val="en-US" w:eastAsia="zh-CN" w:bidi="ar-SA"/>
    </w:rPr>
  </w:style>
  <w:style w:type="character" w:customStyle="1" w:styleId="117">
    <w:name w:val="正文文本缩进 2 字符"/>
    <w:basedOn w:val="47"/>
    <w:semiHidden/>
    <w:qFormat/>
    <w:uiPriority w:val="99"/>
    <w:rPr>
      <w:rFonts w:ascii="Times New Roman" w:hAnsi="Times New Roman" w:eastAsia="宋体" w:cs="Times New Roman"/>
      <w:lang w:val="en-US" w:eastAsia="zh-CN" w:bidi="ar-SA"/>
    </w:rPr>
  </w:style>
  <w:style w:type="character" w:customStyle="1" w:styleId="118">
    <w:name w:val="批注框文本 字符1"/>
    <w:link w:val="24"/>
    <w:qFormat/>
    <w:uiPriority w:val="0"/>
    <w:rPr>
      <w:rFonts w:ascii="Times New Roman" w:hAnsi="Times New Roman" w:eastAsia="宋体" w:cs="Times New Roman"/>
      <w:kern w:val="0"/>
      <w:sz w:val="18"/>
      <w:szCs w:val="18"/>
      <w:lang w:val="en-US" w:eastAsia="zh-CN" w:bidi="ar-SA"/>
    </w:rPr>
  </w:style>
  <w:style w:type="character" w:customStyle="1" w:styleId="119">
    <w:name w:val="批注框文本 字符"/>
    <w:basedOn w:val="47"/>
    <w:semiHidden/>
    <w:qFormat/>
    <w:uiPriority w:val="99"/>
    <w:rPr>
      <w:rFonts w:ascii="Times New Roman" w:hAnsi="Times New Roman" w:eastAsia="宋体" w:cs="Times New Roman"/>
      <w:sz w:val="18"/>
      <w:szCs w:val="18"/>
      <w:lang w:val="en-US" w:eastAsia="zh-CN" w:bidi="ar-SA"/>
    </w:rPr>
  </w:style>
  <w:style w:type="character" w:customStyle="1" w:styleId="120">
    <w:name w:val="页脚 字符1"/>
    <w:link w:val="25"/>
    <w:qFormat/>
    <w:uiPriority w:val="99"/>
    <w:rPr>
      <w:rFonts w:ascii="Times New Roman" w:hAnsi="Times New Roman" w:eastAsia="宋体" w:cs="Times New Roman"/>
      <w:kern w:val="0"/>
      <w:sz w:val="18"/>
      <w:szCs w:val="18"/>
      <w:lang w:val="en-US" w:eastAsia="zh-CN" w:bidi="ar-SA"/>
    </w:rPr>
  </w:style>
  <w:style w:type="character" w:customStyle="1" w:styleId="121">
    <w:name w:val="页脚 字符"/>
    <w:basedOn w:val="47"/>
    <w:semiHidden/>
    <w:qFormat/>
    <w:uiPriority w:val="99"/>
    <w:rPr>
      <w:rFonts w:ascii="Times New Roman" w:hAnsi="Times New Roman" w:eastAsia="宋体" w:cs="Times New Roman"/>
      <w:sz w:val="18"/>
      <w:szCs w:val="18"/>
      <w:lang w:val="en-US" w:eastAsia="zh-CN" w:bidi="ar-SA"/>
    </w:rPr>
  </w:style>
  <w:style w:type="character" w:customStyle="1" w:styleId="122">
    <w:name w:val="正文首行缩进 2 字符"/>
    <w:basedOn w:val="111"/>
    <w:link w:val="45"/>
    <w:qFormat/>
    <w:uiPriority w:val="0"/>
    <w:rPr>
      <w:rFonts w:ascii="Times New Roman" w:hAnsi="Times New Roman"/>
      <w:szCs w:val="24"/>
    </w:rPr>
  </w:style>
  <w:style w:type="character" w:customStyle="1" w:styleId="123">
    <w:name w:val="页眉 字符1"/>
    <w:link w:val="26"/>
    <w:qFormat/>
    <w:uiPriority w:val="99"/>
    <w:rPr>
      <w:rFonts w:ascii="Times New Roman" w:hAnsi="Times New Roman" w:eastAsia="宋体" w:cs="Times New Roman"/>
      <w:kern w:val="0"/>
      <w:sz w:val="18"/>
      <w:szCs w:val="18"/>
      <w:lang w:val="en-US" w:eastAsia="zh-CN" w:bidi="ar-SA"/>
    </w:rPr>
  </w:style>
  <w:style w:type="character" w:customStyle="1" w:styleId="124">
    <w:name w:val="页眉 字符"/>
    <w:basedOn w:val="47"/>
    <w:semiHidden/>
    <w:qFormat/>
    <w:uiPriority w:val="99"/>
    <w:rPr>
      <w:rFonts w:ascii="Times New Roman" w:hAnsi="Times New Roman" w:eastAsia="宋体" w:cs="Times New Roman"/>
      <w:sz w:val="18"/>
      <w:szCs w:val="18"/>
      <w:lang w:val="en-US" w:eastAsia="zh-CN" w:bidi="ar-SA"/>
    </w:rPr>
  </w:style>
  <w:style w:type="character" w:customStyle="1" w:styleId="125">
    <w:name w:val="脚注文本 字符1"/>
    <w:link w:val="30"/>
    <w:qFormat/>
    <w:uiPriority w:val="0"/>
    <w:rPr>
      <w:rFonts w:ascii="Times New Roman" w:hAnsi="Times New Roman" w:eastAsia="宋体" w:cs="Times New Roman"/>
      <w:kern w:val="0"/>
      <w:sz w:val="18"/>
      <w:szCs w:val="18"/>
      <w:lang w:val="en-US" w:eastAsia="zh-CN" w:bidi="ar-SA"/>
    </w:rPr>
  </w:style>
  <w:style w:type="character" w:customStyle="1" w:styleId="126">
    <w:name w:val="脚注文本 字符"/>
    <w:basedOn w:val="47"/>
    <w:semiHidden/>
    <w:qFormat/>
    <w:uiPriority w:val="99"/>
    <w:rPr>
      <w:rFonts w:ascii="Times New Roman" w:hAnsi="Times New Roman" w:eastAsia="宋体" w:cs="Times New Roman"/>
      <w:sz w:val="18"/>
      <w:szCs w:val="18"/>
      <w:lang w:val="en-US" w:eastAsia="zh-CN" w:bidi="ar-SA"/>
    </w:rPr>
  </w:style>
  <w:style w:type="character" w:customStyle="1" w:styleId="127">
    <w:name w:val="正文文本缩进 3 字符1"/>
    <w:link w:val="32"/>
    <w:qFormat/>
    <w:uiPriority w:val="0"/>
    <w:rPr>
      <w:rFonts w:ascii="Times New Roman" w:hAnsi="Times New Roman" w:eastAsia="宋体" w:cs="Times New Roman"/>
      <w:kern w:val="0"/>
      <w:sz w:val="24"/>
      <w:szCs w:val="24"/>
      <w:lang w:val="en-US" w:eastAsia="zh-CN" w:bidi="ar-SA"/>
    </w:rPr>
  </w:style>
  <w:style w:type="character" w:customStyle="1" w:styleId="128">
    <w:name w:val="正文文本缩进 3 字符"/>
    <w:basedOn w:val="47"/>
    <w:semiHidden/>
    <w:qFormat/>
    <w:uiPriority w:val="99"/>
    <w:rPr>
      <w:rFonts w:ascii="Times New Roman" w:hAnsi="Times New Roman" w:eastAsia="宋体" w:cs="Times New Roman"/>
      <w:sz w:val="16"/>
      <w:szCs w:val="16"/>
      <w:lang w:val="en-US" w:eastAsia="zh-CN" w:bidi="ar-SA"/>
    </w:rPr>
  </w:style>
  <w:style w:type="character" w:customStyle="1" w:styleId="129">
    <w:name w:val="正文文本 2 字符1"/>
    <w:link w:val="36"/>
    <w:qFormat/>
    <w:uiPriority w:val="0"/>
    <w:rPr>
      <w:rFonts w:ascii="Times New Roman" w:hAnsi="Times New Roman" w:eastAsia="宋体" w:cs="Times New Roman"/>
      <w:kern w:val="0"/>
      <w:sz w:val="20"/>
      <w:szCs w:val="24"/>
      <w:lang w:val="en-US" w:eastAsia="zh-CN" w:bidi="ar-SA"/>
    </w:rPr>
  </w:style>
  <w:style w:type="character" w:customStyle="1" w:styleId="130">
    <w:name w:val="正文文本 2 字符"/>
    <w:basedOn w:val="47"/>
    <w:semiHidden/>
    <w:qFormat/>
    <w:uiPriority w:val="99"/>
    <w:rPr>
      <w:rFonts w:ascii="Times New Roman" w:hAnsi="Times New Roman" w:eastAsia="宋体" w:cs="Times New Roman"/>
      <w:lang w:val="en-US" w:eastAsia="zh-CN" w:bidi="ar-SA"/>
    </w:rPr>
  </w:style>
  <w:style w:type="character" w:customStyle="1" w:styleId="131">
    <w:name w:val="标题 字符1"/>
    <w:link w:val="42"/>
    <w:qFormat/>
    <w:uiPriority w:val="0"/>
    <w:rPr>
      <w:rFonts w:ascii="Arial" w:hAnsi="Arial" w:eastAsia="宋体" w:cs="Times New Roman"/>
      <w:b/>
      <w:bCs/>
      <w:kern w:val="0"/>
      <w:sz w:val="32"/>
      <w:szCs w:val="32"/>
      <w:lang w:val="en-US" w:eastAsia="zh-CN" w:bidi="ar-SA"/>
    </w:rPr>
  </w:style>
  <w:style w:type="character" w:customStyle="1" w:styleId="132">
    <w:name w:val="标题 字符"/>
    <w:basedOn w:val="47"/>
    <w:qFormat/>
    <w:uiPriority w:val="0"/>
    <w:rPr>
      <w:rFonts w:ascii="等线 Light" w:hAnsi="等线 Light" w:eastAsia="等线 Light" w:cs="黑体"/>
      <w:b/>
      <w:bCs/>
      <w:sz w:val="32"/>
      <w:szCs w:val="32"/>
      <w:lang w:val="en-US" w:eastAsia="zh-CN" w:bidi="ar-SA"/>
    </w:rPr>
  </w:style>
  <w:style w:type="character" w:customStyle="1" w:styleId="133">
    <w:name w:val="zbggmain style9"/>
    <w:qFormat/>
    <w:uiPriority w:val="0"/>
    <w:rPr>
      <w:rFonts w:ascii="Times New Roman" w:hAnsi="Times New Roman" w:eastAsia="宋体" w:cs="Times New Roman"/>
      <w:lang w:val="en-US" w:eastAsia="zh-CN" w:bidi="ar-SA"/>
    </w:rPr>
  </w:style>
  <w:style w:type="character" w:customStyle="1" w:styleId="134">
    <w:name w:val="z-窗体顶端 Char"/>
    <w:link w:val="61"/>
    <w:qFormat/>
    <w:uiPriority w:val="0"/>
    <w:rPr>
      <w:rFonts w:ascii="Arial" w:hAnsi="Arial" w:eastAsia="宋体" w:cs="Times New Roman"/>
      <w:vanish/>
      <w:kern w:val="0"/>
      <w:sz w:val="16"/>
      <w:szCs w:val="16"/>
      <w:lang w:val="en-US" w:eastAsia="zh-CN" w:bidi="ar-SA"/>
    </w:rPr>
  </w:style>
  <w:style w:type="character" w:customStyle="1" w:styleId="135">
    <w:name w:val="z-窗体底端 Char"/>
    <w:link w:val="74"/>
    <w:qFormat/>
    <w:uiPriority w:val="0"/>
    <w:rPr>
      <w:rFonts w:ascii="Arial" w:hAnsi="Arial" w:eastAsia="宋体" w:cs="Times New Roman"/>
      <w:vanish/>
      <w:kern w:val="0"/>
      <w:sz w:val="16"/>
      <w:szCs w:val="16"/>
      <w:lang w:val="en-US" w:eastAsia="zh-CN" w:bidi="ar-SA"/>
    </w:rPr>
  </w:style>
  <w:style w:type="character" w:customStyle="1" w:styleId="136">
    <w:name w:val="正文文本 字符1"/>
    <w:qFormat/>
    <w:uiPriority w:val="0"/>
    <w:rPr>
      <w:rFonts w:ascii="Calibri" w:hAnsi="Calibri" w:eastAsia="宋体" w:cs="Times New Roman"/>
      <w:lang w:val="en-US" w:eastAsia="zh-CN" w:bidi="ar-SA"/>
    </w:rPr>
  </w:style>
  <w:style w:type="character" w:customStyle="1" w:styleId="137">
    <w:name w:val="样式 样式1 + 首行缩进:  2 字符 Char"/>
    <w:link w:val="81"/>
    <w:qFormat/>
    <w:uiPriority w:val="0"/>
    <w:rPr>
      <w:rFonts w:ascii="Arial" w:hAnsi="Arial" w:eastAsia="等线" w:cs="黑体"/>
      <w:sz w:val="24"/>
      <w:szCs w:val="22"/>
      <w:lang w:val="en-US" w:eastAsia="zh-CN" w:bidi="ar-SA"/>
    </w:rPr>
  </w:style>
  <w:style w:type="character" w:customStyle="1" w:styleId="138">
    <w:name w:val="Char Char14"/>
    <w:qFormat/>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98</Pages>
  <Words>7379</Words>
  <Characters>42063</Characters>
  <Lines>350</Lines>
  <Paragraphs>98</Paragraphs>
  <TotalTime>1</TotalTime>
  <ScaleCrop>false</ScaleCrop>
  <LinksUpToDate>false</LinksUpToDate>
  <CharactersWithSpaces>49344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2018-09-25T04:52:00Z</dcterms:created>
  <dc:creator>张治</dc:creator>
  <cp:lastModifiedBy>zbzx-jsx</cp:lastModifiedBy>
  <dcterms:modified xsi:type="dcterms:W3CDTF">2019-10-12T00:45:08Z</dcterms:modified>
  <dc:title>杭州萧山国际机场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