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jc w:val="center"/>
        <w:rPr>
          <w:rFonts w:ascii="黑体" w:eastAsia="黑体"/>
          <w:spacing w:val="20"/>
          <w:sz w:val="72"/>
          <w:szCs w:val="72"/>
        </w:rPr>
      </w:pPr>
      <w:r>
        <w:rPr>
          <w:rFonts w:hint="eastAsia" w:ascii="方正大标宋简体" w:eastAsia="方正大标宋简体"/>
          <w:sz w:val="72"/>
          <w:szCs w:val="72"/>
        </w:rPr>
        <w:t>杭州萧山国际机场有限公司</w:t>
      </w:r>
    </w:p>
    <w:p>
      <w:pPr>
        <w:rPr>
          <w:sz w:val="24"/>
        </w:rPr>
      </w:pPr>
    </w:p>
    <w:p>
      <w:pPr>
        <w:rPr>
          <w:sz w:val="24"/>
        </w:rPr>
      </w:pPr>
    </w:p>
    <w:p>
      <w:pPr>
        <w:rPr>
          <w:sz w:val="24"/>
        </w:rPr>
      </w:pPr>
    </w:p>
    <w:p>
      <w:pPr>
        <w:rPr>
          <w:sz w:val="24"/>
        </w:rPr>
      </w:pPr>
    </w:p>
    <w:p>
      <w:pPr>
        <w:jc w:val="center"/>
        <w:rPr>
          <w:rFonts w:ascii="黑体" w:eastAsia="黑体"/>
          <w:sz w:val="72"/>
          <w:szCs w:val="72"/>
        </w:rPr>
      </w:pPr>
      <w:r>
        <w:rPr>
          <w:rFonts w:hint="eastAsia" w:ascii="黑体" w:eastAsia="黑体"/>
          <w:sz w:val="72"/>
          <w:szCs w:val="72"/>
        </w:rPr>
        <w:t>招 标 文 件</w:t>
      </w:r>
    </w:p>
    <w:p>
      <w:pPr>
        <w:rPr>
          <w:rFonts w:ascii="Times New Roman"/>
          <w:sz w:val="24"/>
          <w:szCs w:val="24"/>
        </w:rPr>
      </w:pPr>
    </w:p>
    <w:p>
      <w:pPr>
        <w:rPr>
          <w:sz w:val="24"/>
        </w:rPr>
      </w:pPr>
    </w:p>
    <w:p>
      <w:pPr>
        <w:rPr>
          <w:sz w:val="24"/>
        </w:rPr>
      </w:pPr>
    </w:p>
    <w:p>
      <w:pPr>
        <w:spacing w:line="360" w:lineRule="auto"/>
        <w:jc w:val="center"/>
        <w:rPr>
          <w:sz w:val="36"/>
          <w:szCs w:val="30"/>
          <w:u w:val="single"/>
        </w:rPr>
      </w:pPr>
      <w:r>
        <w:rPr>
          <w:rFonts w:hint="eastAsia"/>
          <w:sz w:val="36"/>
          <w:szCs w:val="30"/>
        </w:rPr>
        <w:t>招标项目：</w:t>
      </w:r>
      <w:r>
        <w:rPr>
          <w:rFonts w:hint="eastAsia"/>
          <w:sz w:val="36"/>
          <w:szCs w:val="30"/>
          <w:u w:val="single"/>
        </w:rPr>
        <w:t xml:space="preserve"> 杭州萧山国际机场110KV变电站扩容项目电能质量评估报告编制             </w:t>
      </w:r>
    </w:p>
    <w:p>
      <w:pPr>
        <w:pStyle w:val="5"/>
        <w:spacing w:line="480" w:lineRule="auto"/>
        <w:jc w:val="center"/>
        <w:rPr>
          <w:rFonts w:ascii="Calibri" w:hAnsi="Calibri" w:eastAsia="隶书" w:cs="Calibri"/>
          <w:sz w:val="32"/>
          <w:lang w:val="en-US"/>
        </w:rPr>
      </w:pPr>
    </w:p>
    <w:p>
      <w:pPr>
        <w:pStyle w:val="5"/>
        <w:spacing w:line="480" w:lineRule="auto"/>
        <w:jc w:val="center"/>
        <w:rPr>
          <w:rFonts w:ascii="Calibri" w:hAnsi="Calibri" w:eastAsia="隶书" w:cs="Calibri"/>
          <w:sz w:val="32"/>
        </w:rPr>
      </w:pPr>
    </w:p>
    <w:p>
      <w:pPr>
        <w:pStyle w:val="5"/>
        <w:spacing w:line="480" w:lineRule="auto"/>
        <w:jc w:val="center"/>
        <w:rPr>
          <w:rFonts w:ascii="Calibri" w:hAnsi="Calibri" w:eastAsia="隶书" w:cs="Calibri"/>
          <w:sz w:val="32"/>
        </w:rPr>
      </w:pPr>
    </w:p>
    <w:p>
      <w:pPr>
        <w:pStyle w:val="5"/>
        <w:spacing w:line="480" w:lineRule="auto"/>
        <w:rPr>
          <w:rFonts w:ascii="Calibri" w:hAnsi="Calibri" w:eastAsia="隶书" w:cs="Calibri"/>
          <w:sz w:val="32"/>
        </w:rPr>
      </w:pPr>
    </w:p>
    <w:p>
      <w:pPr>
        <w:pStyle w:val="5"/>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十</w:t>
      </w:r>
      <w:r>
        <w:rPr>
          <w:rFonts w:hint="eastAsia" w:ascii="Calibri" w:hAnsi="Calibri" w:eastAsia="黑体" w:cs="Calibri"/>
          <w:sz w:val="32"/>
          <w:szCs w:val="32"/>
          <w:u w:val="single"/>
        </w:rPr>
        <w:tab/>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9"/>
        <w:rPr>
          <w:rFonts w:ascii="Calibri" w:cs="Calibri"/>
          <w:b/>
          <w:color w:val="000000"/>
          <w:sz w:val="44"/>
        </w:rPr>
      </w:pPr>
      <w:bookmarkStart w:id="3" w:name="_Toc349011855"/>
      <w:bookmarkStart w:id="4" w:name="_Toc349007685"/>
      <w:bookmarkStart w:id="5" w:name="_Toc386363314"/>
      <w:bookmarkStart w:id="6" w:name="_Toc386359390"/>
      <w:r>
        <w:rPr>
          <w:rFonts w:hint="eastAsia" w:ascii="Calibri" w:cs="Calibri"/>
          <w:b/>
          <w:color w:val="000000"/>
          <w:sz w:val="44"/>
        </w:rPr>
        <w:t xml:space="preserve"> </w:t>
      </w:r>
    </w:p>
    <w:p>
      <w:pPr>
        <w:pStyle w:val="9"/>
        <w:rPr>
          <w:rFonts w:ascii="Calibri" w:hAnsi="Calibri" w:cs="Calibri"/>
          <w:b/>
          <w:color w:val="000000"/>
          <w:sz w:val="44"/>
        </w:rPr>
      </w:pPr>
      <w:bookmarkStart w:id="7" w:name="_Toc448002981"/>
      <w:bookmarkStart w:id="8" w:name="_Toc444811406"/>
      <w:bookmarkStart w:id="9" w:name="_Toc444174976"/>
      <w:bookmarkStart w:id="10" w:name="_Toc400369182"/>
      <w:bookmarkStart w:id="11" w:name="_Toc44417345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9"/>
        <w:spacing w:line="480" w:lineRule="auto"/>
        <w:rPr>
          <w:rFonts w:ascii="黑体" w:hAnsi="黑体" w:eastAsia="黑体"/>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9"/>
        <w:spacing w:line="480" w:lineRule="auto"/>
        <w:rPr>
          <w:rFonts w:ascii="黑体" w:hAnsi="黑体" w:eastAsia="黑体"/>
          <w:bCs w:val="0"/>
          <w:kern w:val="2"/>
          <w:sz w:val="22"/>
          <w:szCs w:val="22"/>
        </w:rPr>
      </w:pPr>
      <w:r>
        <w:fldChar w:fldCharType="begin"/>
      </w:r>
      <w:r>
        <w:instrText xml:space="preserve"> HYPERLINK \l "_Toc448002982" </w:instrText>
      </w:r>
      <w:r>
        <w:fldChar w:fldCharType="separate"/>
      </w:r>
      <w:r>
        <w:rPr>
          <w:rStyle w:val="15"/>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bCs w:val="0"/>
          <w:kern w:val="2"/>
          <w:sz w:val="22"/>
          <w:szCs w:val="22"/>
        </w:rPr>
      </w:pPr>
      <w:r>
        <w:fldChar w:fldCharType="begin"/>
      </w:r>
      <w:r>
        <w:instrText xml:space="preserve"> HYPERLINK \l "_Toc448002983" </w:instrText>
      </w:r>
      <w:r>
        <w:fldChar w:fldCharType="separate"/>
      </w:r>
      <w:r>
        <w:rPr>
          <w:rStyle w:val="15"/>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- 4 -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bCs w:val="0"/>
          <w:kern w:val="2"/>
          <w:sz w:val="22"/>
          <w:szCs w:val="22"/>
        </w:rPr>
      </w:pPr>
      <w:r>
        <w:fldChar w:fldCharType="begin"/>
      </w:r>
      <w:r>
        <w:instrText xml:space="preserve"> HYPERLINK \l "_Toc448002985" </w:instrText>
      </w:r>
      <w:r>
        <w:fldChar w:fldCharType="separate"/>
      </w:r>
      <w:r>
        <w:rPr>
          <w:rStyle w:val="15"/>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bCs w:val="0"/>
          <w:kern w:val="2"/>
          <w:sz w:val="22"/>
          <w:szCs w:val="22"/>
        </w:rPr>
      </w:pPr>
      <w:r>
        <w:fldChar w:fldCharType="begin"/>
      </w:r>
      <w:r>
        <w:instrText xml:space="preserve"> HYPERLINK \l "_Toc448002986" </w:instrText>
      </w:r>
      <w:r>
        <w:fldChar w:fldCharType="separate"/>
      </w:r>
      <w:r>
        <w:rPr>
          <w:rStyle w:val="15"/>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- 17 -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bCs w:val="0"/>
          <w:kern w:val="2"/>
          <w:sz w:val="22"/>
          <w:szCs w:val="22"/>
        </w:rPr>
      </w:pPr>
      <w:r>
        <w:fldChar w:fldCharType="begin"/>
      </w:r>
      <w:r>
        <w:instrText xml:space="preserve"> HYPERLINK \l "_Toc448002987" </w:instrText>
      </w:r>
      <w:r>
        <w:fldChar w:fldCharType="separate"/>
      </w:r>
      <w:r>
        <w:rPr>
          <w:rStyle w:val="15"/>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- 22 -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bCs w:val="0"/>
          <w:kern w:val="2"/>
          <w:sz w:val="22"/>
          <w:szCs w:val="22"/>
        </w:rPr>
      </w:pPr>
      <w:r>
        <w:fldChar w:fldCharType="begin"/>
      </w:r>
      <w:r>
        <w:instrText xml:space="preserve"> HYPERLINK \l "_Toc448002988" </w:instrText>
      </w:r>
      <w:r>
        <w:fldChar w:fldCharType="separate"/>
      </w:r>
      <w:r>
        <w:rPr>
          <w:rStyle w:val="15"/>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- 26 -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24932"/>
      <w:bookmarkStart w:id="13" w:name="_Toc14628"/>
      <w:bookmarkStart w:id="14" w:name="_Toc18642"/>
      <w:bookmarkStart w:id="15" w:name="_Toc24784"/>
      <w:bookmarkStart w:id="16" w:name="_Toc8110"/>
      <w:bookmarkStart w:id="17" w:name="_Toc6832"/>
      <w:bookmarkStart w:id="18" w:name="_Toc7641"/>
      <w:bookmarkStart w:id="19" w:name="_Toc6581"/>
      <w:bookmarkStart w:id="20" w:name="_Toc22293"/>
      <w:bookmarkStart w:id="21" w:name="_Toc448002982"/>
      <w:bookmarkStart w:id="22" w:name="_Toc248766631"/>
      <w:bookmarkStart w:id="23" w:name="_Toc249322950"/>
      <w:r>
        <w:rPr>
          <w:rFonts w:ascii="Calibri" w:eastAsia="黑体" w:cs="Calibri"/>
          <w:kern w:val="0"/>
          <w:sz w:val="32"/>
        </w:rPr>
        <w:t>第一章</w:t>
      </w:r>
      <w:r>
        <w:rPr>
          <w:rFonts w:ascii="Calibri" w:hAnsi="Calibri" w:eastAsia="黑体" w:cs="Calibri"/>
          <w:kern w:val="0"/>
          <w:sz w:val="32"/>
        </w:rPr>
        <w:t xml:space="preserve"> </w:t>
      </w:r>
      <w:r>
        <w:rPr>
          <w:rFonts w:hint="eastAsia" w:ascii="Calibri" w:eastAsia="黑体" w:cs="Calibri"/>
          <w:kern w:val="0"/>
          <w:sz w:val="32"/>
        </w:rPr>
        <w:t>招标公告</w:t>
      </w:r>
    </w:p>
    <w:p>
      <w:pPr>
        <w:widowControl/>
        <w:snapToGrid w:val="0"/>
        <w:spacing w:line="360" w:lineRule="auto"/>
        <w:jc w:val="left"/>
        <w:rPr>
          <w:rFonts w:ascii="Arial" w:hAnsi="Arial" w:cs="Arial"/>
          <w:b/>
          <w:bCs/>
          <w:kern w:val="0"/>
          <w:sz w:val="22"/>
        </w:rPr>
      </w:pPr>
      <w:bookmarkStart w:id="111" w:name="_GoBack"/>
      <w:r>
        <w:rPr>
          <w:rFonts w:hint="eastAsia" w:ascii="Arial" w:hAnsi="Arial" w:cs="Arial"/>
          <w:b/>
          <w:bCs/>
          <w:kern w:val="0"/>
          <w:sz w:val="22"/>
        </w:rPr>
        <w:t>一、招标范围及内容</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 xml:space="preserve"> 110KV变电站扩容项目电能质量评估报告编制 </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w:t>
      </w:r>
      <w:r>
        <w:rPr>
          <w:rFonts w:hint="eastAsia" w:ascii="宋体" w:hAnsi="宋体" w:cs="Arial"/>
          <w:kern w:val="0"/>
          <w:sz w:val="22"/>
          <w:u w:val="single"/>
        </w:rPr>
        <w:t xml:space="preserve">       </w:t>
      </w:r>
      <w:r>
        <w:rPr>
          <w:rFonts w:hint="eastAsia" w:ascii="宋体" w:hAnsi="宋体" w:cs="Arial"/>
          <w:kern w:val="0"/>
          <w:sz w:val="22"/>
        </w:rPr>
        <w:t>进行公开招标。</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u w:val="single"/>
        </w:rPr>
        <w:t xml:space="preserve">  杭州萧山国际机场内  </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（3）招标内容：</w:t>
      </w:r>
      <w:r>
        <w:rPr>
          <w:rFonts w:hint="eastAsia" w:ascii="宋体" w:hAnsi="宋体"/>
          <w:sz w:val="22"/>
          <w:szCs w:val="24"/>
        </w:rPr>
        <w:t>采取公开招标形式，拟聘请有专业资质的单位，对杭州萧山国际机场110KV变电站扩容项目开展电网电能质量评估。</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（4）服务期：60日历天</w:t>
      </w:r>
    </w:p>
    <w:p>
      <w:pPr>
        <w:widowControl/>
        <w:snapToGrid w:val="0"/>
        <w:spacing w:line="360" w:lineRule="auto"/>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r>
        <w:rPr>
          <w:rFonts w:hint="eastAsia" w:ascii="宋体" w:hAnsi="宋体" w:cs="Arial"/>
          <w:kern w:val="0"/>
          <w:sz w:val="22"/>
        </w:rPr>
        <w:t>，注册资金不少于人民币</w:t>
      </w:r>
      <w:r>
        <w:rPr>
          <w:rFonts w:hint="eastAsia" w:ascii="宋体" w:hAnsi="宋体" w:cs="Arial"/>
          <w:kern w:val="0"/>
          <w:sz w:val="22"/>
          <w:u w:val="single"/>
        </w:rPr>
        <w:t xml:space="preserve">  500  </w:t>
      </w:r>
      <w:r>
        <w:rPr>
          <w:rFonts w:hint="eastAsia" w:ascii="宋体" w:hAnsi="宋体" w:cs="Arial"/>
          <w:kern w:val="0"/>
          <w:sz w:val="22"/>
        </w:rPr>
        <w:t>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3）近年（2010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60" w:lineRule="auto"/>
        <w:ind w:firstLine="440" w:firstLineChars="200"/>
        <w:rPr>
          <w:rFonts w:hint="eastAsia"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）投标人须具备以下至少一项资质，并在人员、设备、资金等方面具有相应的能力；</w:t>
      </w:r>
    </w:p>
    <w:p>
      <w:pPr>
        <w:widowControl/>
        <w:adjustRightInd w:val="0"/>
        <w:snapToGrid w:val="0"/>
        <w:spacing w:line="360" w:lineRule="auto"/>
        <w:ind w:firstLine="440" w:firstLineChars="200"/>
        <w:rPr>
          <w:rFonts w:hint="eastAsia" w:ascii="宋体" w:hAnsi="宋体" w:cs="Arial"/>
          <w:kern w:val="0"/>
          <w:sz w:val="22"/>
        </w:rPr>
      </w:pPr>
      <w:r>
        <w:rPr>
          <w:rFonts w:hint="eastAsia" w:ascii="宋体" w:hAnsi="宋体" w:cs="Arial"/>
          <w:kern w:val="0"/>
          <w:sz w:val="22"/>
        </w:rPr>
        <w:t xml:space="preserve"> ① CMA认证，即中国计量认证证书，类别为电能质量；</w:t>
      </w:r>
    </w:p>
    <w:p>
      <w:pPr>
        <w:widowControl/>
        <w:adjustRightInd w:val="0"/>
        <w:snapToGrid w:val="0"/>
        <w:spacing w:line="360" w:lineRule="auto"/>
        <w:ind w:firstLine="440" w:firstLineChars="200"/>
        <w:rPr>
          <w:rFonts w:hint="eastAsia" w:ascii="宋体" w:hAnsi="宋体" w:cs="Arial"/>
          <w:kern w:val="0"/>
          <w:sz w:val="22"/>
        </w:rPr>
      </w:pPr>
      <w:r>
        <w:rPr>
          <w:rFonts w:hint="eastAsia" w:ascii="宋体" w:hAnsi="宋体" w:cs="Arial"/>
          <w:kern w:val="0"/>
          <w:sz w:val="22"/>
        </w:rPr>
        <w:t xml:space="preserve"> ② CNAS认证，即中国合格评定国家认可委员会颁发的认证证书，认证范围1.3电力；</w:t>
      </w:r>
    </w:p>
    <w:p>
      <w:pPr>
        <w:widowControl/>
        <w:adjustRightInd w:val="0"/>
        <w:snapToGrid w:val="0"/>
        <w:spacing w:line="360" w:lineRule="auto"/>
        <w:ind w:firstLine="440" w:firstLineChars="200"/>
        <w:rPr>
          <w:rFonts w:hint="eastAsia" w:ascii="宋体" w:hAnsi="宋体" w:cs="Arial"/>
          <w:kern w:val="0"/>
          <w:sz w:val="22"/>
        </w:rPr>
      </w:pPr>
      <w:r>
        <w:rPr>
          <w:rFonts w:hint="eastAsia" w:ascii="宋体" w:hAnsi="宋体" w:cs="Arial"/>
          <w:kern w:val="0"/>
          <w:sz w:val="22"/>
        </w:rPr>
        <w:t xml:space="preserve"> ③ 工业领域电力需求侧管理促进中心颁发的工业领域电力需求侧管理服务及机构能力评定证书，专业范围电力需求侧管理项目实施和技术服务。</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6</w:t>
      </w:r>
      <w:r>
        <w:rPr>
          <w:rFonts w:hint="eastAsia" w:ascii="宋体" w:hAnsi="宋体" w:cs="Arial"/>
          <w:kern w:val="0"/>
          <w:sz w:val="22"/>
        </w:rPr>
        <w:t>）</w:t>
      </w:r>
      <w:r>
        <w:rPr>
          <w:rFonts w:hint="eastAsia" w:ascii="宋体" w:hAnsi="宋体"/>
          <w:bCs/>
          <w:sz w:val="22"/>
          <w:szCs w:val="24"/>
        </w:rPr>
        <w:t>法定代表人为同一个人的两个及两个以上法人，母公司、全资子公司及其控股公司，以及其他形式有资产关联关系的投标人，都不得在同一招标项目中同时投标；</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7</w:t>
      </w:r>
      <w:r>
        <w:rPr>
          <w:rFonts w:hint="eastAsia" w:ascii="宋体" w:hAnsi="宋体" w:cs="Arial"/>
          <w:kern w:val="0"/>
          <w:sz w:val="22"/>
        </w:rPr>
        <w:t>）本次招标不接受联合体投标。</w:t>
      </w:r>
    </w:p>
    <w:p>
      <w:pPr>
        <w:widowControl/>
        <w:snapToGrid w:val="0"/>
        <w:spacing w:line="360" w:lineRule="auto"/>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60" w:lineRule="auto"/>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日上午9时00分（北京时间）。投标文件在封口处加盖公章，并派专人于2019年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日上午9时00分（北京时间）前送至杭州萧山国际机场翔越路综合服务楼园区招标中心，逾期无效；若采用投递（邮寄）方式的，请于</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日上午9时00分（北京时间）</w:t>
      </w:r>
      <w:r>
        <w:rPr>
          <w:rFonts w:hint="eastAsia" w:ascii="宋体" w:hAnsi="宋体" w:cs="Arial"/>
          <w:kern w:val="0"/>
          <w:sz w:val="22"/>
        </w:rPr>
        <w:t>前投递至杭州萧山国际机场翔越路综合服务楼园区招标中心，逾期无效。</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60" w:lineRule="auto"/>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60" w:lineRule="auto"/>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60" w:lineRule="auto"/>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60" w:lineRule="auto"/>
        <w:ind w:firstLine="440" w:firstLineChars="200"/>
        <w:rPr>
          <w:rFonts w:ascii="宋体" w:hAnsi="宋体"/>
          <w:sz w:val="22"/>
        </w:rPr>
      </w:pPr>
      <w:r>
        <w:rPr>
          <w:rFonts w:hint="eastAsia" w:ascii="宋体" w:hAnsi="宋体"/>
          <w:sz w:val="22"/>
        </w:rPr>
        <w:t>投标联系人：贾思勰        联系电话： 0571-</w:t>
      </w:r>
      <w:r>
        <w:rPr>
          <w:rFonts w:ascii="宋体" w:hAnsi="宋体"/>
          <w:sz w:val="22"/>
        </w:rPr>
        <w:t>83837612</w:t>
      </w:r>
    </w:p>
    <w:p>
      <w:pPr>
        <w:widowControl/>
        <w:adjustRightInd w:val="0"/>
        <w:snapToGrid w:val="0"/>
        <w:spacing w:line="360" w:lineRule="auto"/>
        <w:ind w:firstLine="440" w:firstLineChars="200"/>
        <w:rPr>
          <w:rFonts w:ascii="宋体" w:hAnsi="宋体"/>
          <w:sz w:val="22"/>
          <w:szCs w:val="24"/>
        </w:rPr>
      </w:pPr>
      <w:r>
        <w:rPr>
          <w:rFonts w:hint="eastAsia" w:ascii="宋体" w:hAnsi="宋体"/>
          <w:sz w:val="22"/>
          <w:szCs w:val="24"/>
        </w:rPr>
        <w:t>招标监督人：阮周长         联系电话： 0571-86662133</w:t>
      </w:r>
    </w:p>
    <w:bookmarkEnd w:id="12"/>
    <w:bookmarkEnd w:id="13"/>
    <w:bookmarkEnd w:id="14"/>
    <w:bookmarkEnd w:id="15"/>
    <w:bookmarkEnd w:id="16"/>
    <w:bookmarkEnd w:id="17"/>
    <w:bookmarkEnd w:id="18"/>
    <w:bookmarkEnd w:id="19"/>
    <w:bookmarkEnd w:id="20"/>
    <w:bookmarkEnd w:id="21"/>
    <w:p>
      <w:pPr>
        <w:widowControl/>
        <w:adjustRightInd w:val="0"/>
        <w:snapToGrid w:val="0"/>
        <w:spacing w:line="340" w:lineRule="exact"/>
        <w:ind w:firstLine="440" w:firstLineChars="200"/>
        <w:rPr>
          <w:rFonts w:ascii="宋体" w:hAnsi="宋体"/>
          <w:sz w:val="22"/>
        </w:rPr>
      </w:pPr>
    </w:p>
    <w:bookmarkEnd w:id="111"/>
    <w:p>
      <w:pPr>
        <w:pStyle w:val="2"/>
        <w:spacing w:before="0" w:after="0" w:line="360" w:lineRule="auto"/>
        <w:jc w:val="center"/>
        <w:rPr>
          <w:rFonts w:hint="eastAsia" w:ascii="Calibri" w:eastAsia="黑体" w:cs="Calibri"/>
          <w:kern w:val="0"/>
          <w:sz w:val="32"/>
        </w:rPr>
      </w:pPr>
      <w:bookmarkStart w:id="24" w:name="_Toc448002983"/>
      <w:r>
        <w:rPr>
          <w:rFonts w:hint="eastAsia" w:ascii="Calibri" w:eastAsia="黑体" w:cs="Calibri"/>
          <w:kern w:val="0"/>
          <w:sz w:val="32"/>
        </w:rPr>
        <w:br w:type="page"/>
      </w:r>
      <w:r>
        <w:rPr>
          <w:rFonts w:hint="eastAsia" w:ascii="Calibri" w:eastAsia="黑体" w:cs="Calibri"/>
          <w:kern w:val="0"/>
          <w:sz w:val="32"/>
        </w:rPr>
        <w:t>第二章  投标人须知</w:t>
      </w:r>
      <w:bookmarkEnd w:id="0"/>
      <w:bookmarkEnd w:id="22"/>
      <w:bookmarkEnd w:id="23"/>
      <w:bookmarkEnd w:id="24"/>
      <w:bookmarkStart w:id="25" w:name="_Toc143421654"/>
    </w:p>
    <w:bookmarkEnd w:id="1"/>
    <w:bookmarkEnd w:id="2"/>
    <w:bookmarkEnd w:id="25"/>
    <w:p>
      <w:pPr>
        <w:pStyle w:val="17"/>
        <w:jc w:val="center"/>
        <w:rPr>
          <w:rFonts w:ascii="Calibri" w:hAnsi="Calibri" w:eastAsia="黑体" w:cs="Calibri"/>
          <w:kern w:val="2"/>
          <w:sz w:val="28"/>
          <w:szCs w:val="32"/>
        </w:rPr>
      </w:pPr>
      <w:bookmarkStart w:id="26" w:name="_Toc143421656"/>
      <w:bookmarkStart w:id="27" w:name="_Toc11067"/>
      <w:r>
        <w:rPr>
          <w:rFonts w:ascii="Calibri" w:hAnsi="Arial" w:eastAsia="黑体" w:cs="Calibri"/>
          <w:kern w:val="2"/>
          <w:sz w:val="28"/>
          <w:szCs w:val="32"/>
        </w:rPr>
        <w:t>投标人须知前附表</w:t>
      </w:r>
    </w:p>
    <w:tbl>
      <w:tblPr>
        <w:tblStyle w:val="1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noWrap w:val="0"/>
            <w:vAlign w:val="center"/>
          </w:tcPr>
          <w:p>
            <w:pPr>
              <w:autoSpaceDE w:val="0"/>
              <w:autoSpaceDN w:val="0"/>
              <w:adjustRightInd w:val="0"/>
              <w:snapToGrid w:val="0"/>
              <w:rPr>
                <w:rFonts w:ascii="宋体" w:hAnsi="宋体" w:cs="Calibri"/>
                <w:kern w:val="0"/>
                <w:sz w:val="22"/>
              </w:rPr>
            </w:pPr>
            <w:r>
              <w:rPr>
                <w:rFonts w:hint="eastAsia" w:ascii="宋体" w:hAnsi="宋体"/>
                <w:sz w:val="22"/>
                <w:szCs w:val="24"/>
              </w:rPr>
              <w:t>杭州萧山国际机场110KV变电站扩容项目电能质量评估报告编制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noWrap w:val="0"/>
            <w:vAlign w:val="center"/>
          </w:tcPr>
          <w:p>
            <w:pPr>
              <w:autoSpaceDE w:val="0"/>
              <w:autoSpaceDN w:val="0"/>
              <w:adjustRightInd w:val="0"/>
              <w:snapToGrid w:val="0"/>
              <w:rPr>
                <w:rFonts w:ascii="宋体" w:hAnsi="宋体" w:cs="Calibri"/>
                <w:kern w:val="0"/>
                <w:sz w:val="22"/>
              </w:rPr>
            </w:pPr>
            <w:r>
              <w:rPr>
                <w:rStyle w:val="2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noWrap w:val="0"/>
            <w:vAlign w:val="center"/>
          </w:tcPr>
          <w:p>
            <w:pPr>
              <w:autoSpaceDE w:val="0"/>
              <w:autoSpaceDN w:val="0"/>
              <w:adjustRightInd w:val="0"/>
              <w:snapToGrid w:val="0"/>
              <w:rPr>
                <w:rFonts w:ascii="宋体" w:hAnsi="宋体" w:cs="Calibri"/>
                <w:color w:val="FF0000"/>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noWrap w:val="0"/>
            <w:vAlign w:val="center"/>
          </w:tcPr>
          <w:p>
            <w:pPr>
              <w:rPr>
                <w:rFonts w:ascii="宋体" w:hAnsi="宋体"/>
                <w:color w:val="000000"/>
                <w:sz w:val="22"/>
              </w:rPr>
            </w:pPr>
            <w:r>
              <w:rPr>
                <w:rFonts w:hint="eastAsia" w:ascii="宋体" w:hAnsi="宋体"/>
                <w:color w:val="000000"/>
                <w:sz w:val="22"/>
                <w:u w:val="single"/>
              </w:rPr>
              <w:t xml:space="preserve">  60  </w:t>
            </w:r>
            <w:r>
              <w:rPr>
                <w:rFonts w:hint="eastAsia" w:ascii="宋体" w:hAnsi="宋体"/>
                <w:color w:val="000000"/>
                <w:sz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noWrap w:val="0"/>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 xml:space="preserve"> 电能质量评估相关  </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noWrap w:val="0"/>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10</w:t>
            </w:r>
            <w:r>
              <w:rPr>
                <w:rFonts w:hint="eastAsia" w:ascii="宋体" w:hAnsi="宋体" w:cs="Calibri"/>
                <w:kern w:val="0"/>
                <w:sz w:val="22"/>
              </w:rPr>
              <w:t>月</w:t>
            </w:r>
            <w:r>
              <w:rPr>
                <w:rFonts w:hint="eastAsia" w:ascii="宋体" w:hAnsi="宋体" w:cs="Calibri"/>
                <w:kern w:val="0"/>
                <w:sz w:val="22"/>
                <w:lang w:val="en-US" w:eastAsia="zh-CN"/>
              </w:rPr>
              <w:t>30</w:t>
            </w:r>
            <w:r>
              <w:rPr>
                <w:rFonts w:hint="eastAsia" w:ascii="宋体" w:hAnsi="宋体" w:cs="Calibri"/>
                <w:kern w:val="0"/>
                <w:sz w:val="22"/>
              </w:rPr>
              <w:t>日11：30前，以书面加盖公章的形式通过E-mail或传真提交给招标人（投标联系人:贾思勰，电话0571-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noWrap w:val="0"/>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2019年</w:t>
            </w:r>
            <w:r>
              <w:rPr>
                <w:rFonts w:hint="eastAsia" w:ascii="宋体" w:hAnsi="宋体" w:cs="Calibri"/>
                <w:b/>
                <w:kern w:val="0"/>
                <w:sz w:val="22"/>
                <w:lang w:val="en-US" w:eastAsia="zh-CN"/>
              </w:rPr>
              <w:t>11</w:t>
            </w:r>
            <w:r>
              <w:rPr>
                <w:rFonts w:hint="eastAsia" w:ascii="宋体" w:hAnsi="宋体" w:cs="Calibri"/>
                <w:b/>
                <w:kern w:val="0"/>
                <w:sz w:val="22"/>
              </w:rPr>
              <w:t>月</w:t>
            </w:r>
            <w:r>
              <w:rPr>
                <w:rFonts w:hint="eastAsia" w:ascii="宋体" w:hAnsi="宋体" w:cs="Calibri"/>
                <w:b/>
                <w:kern w:val="0"/>
                <w:sz w:val="22"/>
                <w:lang w:val="en-US" w:eastAsia="zh-CN"/>
              </w:rPr>
              <w:t>6</w:t>
            </w:r>
            <w:r>
              <w:rPr>
                <w:rFonts w:hint="eastAsia" w:ascii="宋体" w:hAnsi="宋体" w:cs="Calibri"/>
                <w:b/>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noWrap w:val="0"/>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28" w:name="_Toc226175287"/>
            <w:bookmarkStart w:id="29"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28"/>
            <w:bookmarkEnd w:id="2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noWrap w:val="0"/>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noWrap w:val="0"/>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noWrap w:val="0"/>
            <w:vAlign w:val="center"/>
          </w:tcPr>
          <w:p>
            <w:pPr>
              <w:snapToGrid w:val="0"/>
              <w:rPr>
                <w:rFonts w:hint="eastAsia" w:ascii="宋体" w:hAnsi="宋体"/>
                <w:sz w:val="22"/>
                <w:lang w:val="zh-CN"/>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noWrap w:val="0"/>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宋体"/>
                <w:sz w:val="22"/>
                <w:u w:val="single"/>
              </w:rPr>
              <w:t>杭州萧山国际机场110KV变电站扩容项目电能质量评估报告编制</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rPr>
              <w:t>2019年</w:t>
            </w:r>
            <w:r>
              <w:rPr>
                <w:rFonts w:hint="eastAsia" w:ascii="宋体" w:hAnsi="宋体" w:cs="Calibri"/>
                <w:kern w:val="0"/>
                <w:sz w:val="22"/>
                <w:u w:val="single"/>
                <w:lang w:val="en-US" w:eastAsia="zh-CN"/>
              </w:rPr>
              <w:t>11</w:t>
            </w:r>
            <w:r>
              <w:rPr>
                <w:rFonts w:hint="eastAsia" w:ascii="宋体" w:hAnsi="宋体" w:cs="Calibri"/>
                <w:kern w:val="0"/>
                <w:sz w:val="22"/>
                <w:u w:val="single"/>
              </w:rPr>
              <w:t>月</w:t>
            </w:r>
            <w:r>
              <w:rPr>
                <w:rFonts w:hint="eastAsia" w:ascii="宋体" w:hAnsi="宋体" w:cs="Calibri"/>
                <w:kern w:val="0"/>
                <w:sz w:val="22"/>
                <w:u w:val="single"/>
                <w:lang w:val="en-US" w:eastAsia="zh-CN"/>
              </w:rPr>
              <w:t>6</w:t>
            </w:r>
            <w:r>
              <w:rPr>
                <w:rFonts w:hint="eastAsia" w:ascii="宋体" w:hAnsi="宋体" w:cs="Calibri"/>
                <w:kern w:val="0"/>
                <w:sz w:val="22"/>
                <w:u w:val="single"/>
              </w:rPr>
              <w:t>日上午9时00分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noWrap w:val="0"/>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noWrap w:val="0"/>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noWrap w:val="0"/>
            <w:vAlign w:val="center"/>
          </w:tcPr>
          <w:p>
            <w:pPr>
              <w:autoSpaceDE w:val="0"/>
              <w:autoSpaceDN w:val="0"/>
              <w:adjustRightInd w:val="0"/>
              <w:snapToGrid w:val="0"/>
              <w:jc w:val="left"/>
              <w:rPr>
                <w:rFonts w:ascii="宋体" w:hAnsi="宋体"/>
                <w:sz w:val="22"/>
              </w:rPr>
            </w:pPr>
            <w:r>
              <w:rPr>
                <w:rFonts w:ascii="宋体" w:hAnsi="宋体"/>
                <w:sz w:val="22"/>
              </w:rPr>
              <w:t>履约担保的形式：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履约担保的金额：</w:t>
            </w:r>
            <w:r>
              <w:rPr>
                <w:rFonts w:hint="eastAsia" w:ascii="宋体" w:hAnsi="宋体"/>
                <w:sz w:val="22"/>
              </w:rPr>
              <w:t>合同总价的</w:t>
            </w:r>
            <w:r>
              <w:rPr>
                <w:rFonts w:ascii="宋体" w:hAnsi="宋体"/>
                <w:sz w:val="22"/>
              </w:rPr>
              <w:t>10</w:t>
            </w:r>
            <w:r>
              <w:rPr>
                <w:rFonts w:hint="eastAsia" w:ascii="宋体" w:hAnsi="宋体"/>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noWrap w:val="0"/>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noWrap w:val="0"/>
            <w:vAlign w:val="center"/>
          </w:tcPr>
          <w:p>
            <w:pPr>
              <w:pStyle w:val="10"/>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noWrap w:val="0"/>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ascii="宋体" w:hAnsi="宋体" w:cs="Calibri"/>
                <w:snapToGrid w:val="0"/>
                <w:kern w:val="0"/>
                <w:sz w:val="22"/>
              </w:rPr>
              <w:t>异议</w:t>
            </w:r>
            <w:r>
              <w:rPr>
                <w:rFonts w:ascii="宋体" w:hAnsi="宋体" w:cs="Calibri"/>
                <w:snapToGrid w:val="0"/>
                <w:kern w:val="0"/>
                <w:sz w:val="22"/>
              </w:rPr>
              <w:t>。</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noWrap w:val="0"/>
            <w:vAlign w:val="center"/>
          </w:tcPr>
          <w:p>
            <w:pPr>
              <w:pStyle w:val="10"/>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noWrap w:val="0"/>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tbl>
    <w:p>
      <w:pPr>
        <w:autoSpaceDE w:val="0"/>
        <w:autoSpaceDN w:val="0"/>
        <w:adjustRightInd w:val="0"/>
        <w:spacing w:line="360" w:lineRule="exact"/>
        <w:ind w:firstLine="422" w:firstLineChars="200"/>
        <w:rPr>
          <w:rFonts w:eastAsia="黑体" w:cs="Calibri"/>
          <w:b/>
          <w:bCs/>
          <w:kern w:val="0"/>
          <w:szCs w:val="21"/>
        </w:rPr>
      </w:pPr>
    </w:p>
    <w:p>
      <w:pPr>
        <w:autoSpaceDE w:val="0"/>
        <w:autoSpaceDN w:val="0"/>
        <w:adjustRightInd w:val="0"/>
        <w:snapToGrid w:val="0"/>
        <w:spacing w:line="360" w:lineRule="auto"/>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26"/>
      <w:bookmarkEnd w:id="27"/>
    </w:p>
    <w:p>
      <w:pPr>
        <w:autoSpaceDE w:val="0"/>
        <w:autoSpaceDN w:val="0"/>
        <w:adjustRightInd w:val="0"/>
        <w:snapToGrid w:val="0"/>
        <w:spacing w:line="360" w:lineRule="auto"/>
        <w:rPr>
          <w:rFonts w:ascii="宋体" w:hAnsi="宋体" w:cs="Calibri"/>
          <w:b/>
          <w:bCs/>
          <w:kern w:val="0"/>
          <w:sz w:val="22"/>
        </w:rPr>
      </w:pPr>
      <w:bookmarkStart w:id="30" w:name="_Toc26216"/>
      <w:r>
        <w:rPr>
          <w:rFonts w:ascii="宋体" w:hAnsi="宋体" w:cs="Calibri"/>
          <w:b/>
          <w:bCs/>
          <w:kern w:val="0"/>
          <w:sz w:val="22"/>
        </w:rPr>
        <w:t>1.1 项目</w:t>
      </w:r>
      <w:bookmarkEnd w:id="30"/>
      <w:r>
        <w:rPr>
          <w:rFonts w:ascii="宋体" w:hAnsi="宋体" w:cs="Calibri"/>
          <w:b/>
          <w:bCs/>
          <w:kern w:val="0"/>
          <w:sz w:val="22"/>
        </w:rPr>
        <w:t>概况</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实施</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auto"/>
        <w:rPr>
          <w:rFonts w:ascii="宋体" w:hAnsi="宋体" w:cs="Calibri"/>
          <w:b/>
          <w:bCs/>
          <w:kern w:val="0"/>
          <w:sz w:val="22"/>
        </w:rPr>
      </w:pPr>
      <w:bookmarkStart w:id="31"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1"/>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auto"/>
        <w:rPr>
          <w:rFonts w:ascii="宋体" w:hAnsi="宋体" w:cs="Calibri"/>
          <w:b/>
          <w:bCs/>
          <w:kern w:val="0"/>
          <w:sz w:val="22"/>
        </w:rPr>
      </w:pPr>
      <w:bookmarkStart w:id="32"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32"/>
      <w:r>
        <w:rPr>
          <w:rFonts w:hint="eastAsia" w:ascii="宋体" w:hAnsi="宋体" w:cs="Calibri"/>
          <w:b/>
          <w:bCs/>
          <w:kern w:val="0"/>
          <w:sz w:val="22"/>
        </w:rPr>
        <w:t>内容</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auto"/>
        <w:rPr>
          <w:rFonts w:ascii="宋体" w:hAnsi="宋体" w:cs="Calibri"/>
          <w:b/>
          <w:bCs/>
          <w:kern w:val="0"/>
          <w:sz w:val="22"/>
        </w:rPr>
      </w:pPr>
      <w:bookmarkStart w:id="33"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33"/>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auto"/>
        <w:rPr>
          <w:rFonts w:ascii="宋体" w:hAnsi="宋体" w:cs="Calibri"/>
          <w:b/>
          <w:bCs/>
          <w:kern w:val="0"/>
          <w:sz w:val="22"/>
        </w:rPr>
      </w:pPr>
      <w:bookmarkStart w:id="34"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34"/>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auto"/>
        <w:rPr>
          <w:rFonts w:ascii="宋体" w:hAnsi="宋体" w:cs="Calibri"/>
          <w:b/>
          <w:bCs/>
          <w:kern w:val="0"/>
          <w:sz w:val="22"/>
        </w:rPr>
      </w:pPr>
      <w:bookmarkStart w:id="35"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35"/>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auto"/>
        <w:rPr>
          <w:rFonts w:ascii="宋体" w:hAnsi="宋体" w:cs="Calibri"/>
          <w:b/>
          <w:bCs/>
          <w:kern w:val="0"/>
          <w:sz w:val="22"/>
        </w:rPr>
      </w:pPr>
      <w:bookmarkStart w:id="36"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36"/>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auto"/>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auto"/>
        <w:ind w:firstLine="440" w:firstLineChars="200"/>
        <w:rPr>
          <w:rFonts w:ascii="宋体" w:hAnsi="宋体" w:cs="Calibri"/>
          <w:color w:val="000000"/>
          <w:sz w:val="22"/>
        </w:rPr>
      </w:pPr>
      <w:bookmarkStart w:id="37" w:name="_Toc13907"/>
      <w:r>
        <w:rPr>
          <w:rFonts w:ascii="宋体" w:hAnsi="宋体" w:cs="Calibri"/>
          <w:color w:val="000000"/>
          <w:sz w:val="22"/>
        </w:rPr>
        <w:t>见投标人须知前附表。</w:t>
      </w:r>
    </w:p>
    <w:p>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37"/>
    </w:p>
    <w:p>
      <w:pPr>
        <w:adjustRightInd w:val="0"/>
        <w:snapToGrid w:val="0"/>
        <w:spacing w:line="360" w:lineRule="auto"/>
        <w:ind w:firstLine="440" w:firstLineChars="20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auto"/>
        <w:rPr>
          <w:rFonts w:ascii="宋体" w:hAnsi="宋体" w:cs="Calibri"/>
          <w:b/>
          <w:bCs/>
          <w:kern w:val="0"/>
          <w:sz w:val="22"/>
        </w:rPr>
      </w:pPr>
      <w:bookmarkStart w:id="38"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38"/>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auto"/>
        <w:rPr>
          <w:rFonts w:ascii="宋体" w:hAnsi="宋体" w:cs="Calibri"/>
          <w:b/>
          <w:bCs/>
          <w:kern w:val="0"/>
          <w:sz w:val="22"/>
        </w:rPr>
      </w:pPr>
      <w:bookmarkStart w:id="39"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39"/>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auto"/>
        <w:rPr>
          <w:rFonts w:ascii="宋体" w:hAnsi="宋体" w:cs="Calibri"/>
          <w:b/>
          <w:bCs/>
          <w:kern w:val="0"/>
          <w:sz w:val="22"/>
        </w:rPr>
      </w:pPr>
      <w:bookmarkStart w:id="40"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40"/>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auto"/>
        <w:rPr>
          <w:rFonts w:ascii="宋体" w:hAnsi="宋体" w:cs="Calibri"/>
          <w:b/>
          <w:bCs/>
          <w:kern w:val="0"/>
          <w:sz w:val="22"/>
        </w:rPr>
      </w:pPr>
      <w:bookmarkStart w:id="41" w:name="_Toc15241"/>
      <w:bookmarkStart w:id="42" w:name="_Toc143421657"/>
      <w:r>
        <w:rPr>
          <w:rFonts w:ascii="宋体" w:hAnsi="宋体" w:cs="Calibri"/>
          <w:b/>
          <w:bCs/>
          <w:kern w:val="0"/>
          <w:sz w:val="22"/>
        </w:rPr>
        <w:t>2.招标文件</w:t>
      </w:r>
      <w:bookmarkEnd w:id="41"/>
      <w:bookmarkEnd w:id="42"/>
    </w:p>
    <w:p>
      <w:pPr>
        <w:autoSpaceDE w:val="0"/>
        <w:autoSpaceDN w:val="0"/>
        <w:adjustRightInd w:val="0"/>
        <w:snapToGrid w:val="0"/>
        <w:spacing w:line="360" w:lineRule="auto"/>
        <w:rPr>
          <w:rFonts w:ascii="宋体" w:hAnsi="宋体" w:cs="Calibri"/>
          <w:b/>
          <w:bCs/>
          <w:kern w:val="0"/>
          <w:sz w:val="22"/>
        </w:rPr>
      </w:pPr>
      <w:bookmarkStart w:id="43" w:name="_Toc1426"/>
      <w:r>
        <w:rPr>
          <w:rFonts w:ascii="宋体" w:hAnsi="宋体" w:cs="Calibri"/>
          <w:b/>
          <w:bCs/>
          <w:kern w:val="0"/>
          <w:sz w:val="22"/>
        </w:rPr>
        <w:t>2.1 招标文件的组成</w:t>
      </w:r>
      <w:bookmarkEnd w:id="43"/>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本招标文件包括：</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（1）招标公告</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（2）投标人须知</w:t>
      </w:r>
    </w:p>
    <w:p>
      <w:pPr>
        <w:adjustRightInd w:val="0"/>
        <w:snapToGrid w:val="0"/>
        <w:spacing w:line="360" w:lineRule="auto"/>
        <w:ind w:firstLine="440" w:firstLineChars="200"/>
        <w:rPr>
          <w:rFonts w:ascii="宋体" w:hAnsi="宋体" w:cs="Calibri"/>
          <w:kern w:val="0"/>
          <w:sz w:val="22"/>
        </w:rPr>
      </w:pPr>
      <w:r>
        <w:rPr>
          <w:rFonts w:ascii="宋体" w:hAnsi="宋体" w:cs="Calibri"/>
          <w:color w:val="000000"/>
          <w:kern w:val="0"/>
          <w:sz w:val="22"/>
        </w:rPr>
        <w:t>（3）</w:t>
      </w:r>
      <w:r>
        <w:rPr>
          <w:rFonts w:hint="eastAsia" w:ascii="宋体" w:hAnsi="宋体" w:cs="Calibri"/>
          <w:kern w:val="0"/>
          <w:sz w:val="22"/>
        </w:rPr>
        <w:t>服务技术标准及要求</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4</w:t>
      </w:r>
      <w:r>
        <w:rPr>
          <w:rFonts w:ascii="宋体" w:hAnsi="宋体" w:cs="Calibri"/>
          <w:color w:val="000000"/>
          <w:kern w:val="0"/>
          <w:sz w:val="22"/>
        </w:rPr>
        <w:t>）合同条款</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5</w:t>
      </w:r>
      <w:r>
        <w:rPr>
          <w:rFonts w:ascii="宋体" w:hAnsi="宋体" w:cs="Calibri"/>
          <w:color w:val="000000"/>
          <w:kern w:val="0"/>
          <w:sz w:val="22"/>
        </w:rPr>
        <w:t>）评标办法及标准</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6</w:t>
      </w:r>
      <w:r>
        <w:rPr>
          <w:rFonts w:ascii="宋体" w:hAnsi="宋体" w:cs="Calibri"/>
          <w:color w:val="000000"/>
          <w:kern w:val="0"/>
          <w:sz w:val="22"/>
        </w:rPr>
        <w:t>）投标文件格式</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sz w:val="22"/>
        </w:rPr>
        <w:t>根据本须知第</w:t>
      </w:r>
      <w:r>
        <w:rPr>
          <w:rFonts w:hint="eastAsia" w:ascii="宋体" w:hAnsi="宋体" w:cs="Calibri"/>
          <w:color w:val="000000"/>
          <w:sz w:val="22"/>
        </w:rPr>
        <w:t>2.2</w:t>
      </w:r>
      <w:r>
        <w:rPr>
          <w:rFonts w:ascii="宋体" w:hAnsi="宋体" w:cs="Calibri"/>
          <w:color w:val="000000"/>
          <w:sz w:val="22"/>
        </w:rPr>
        <w:t>款和</w:t>
      </w:r>
      <w:r>
        <w:rPr>
          <w:rFonts w:hint="eastAsia" w:ascii="宋体" w:hAnsi="宋体" w:cs="Calibri"/>
          <w:color w:val="000000"/>
          <w:sz w:val="22"/>
        </w:rPr>
        <w:t>2.3</w:t>
      </w:r>
      <w:r>
        <w:rPr>
          <w:rFonts w:ascii="宋体" w:hAnsi="宋体" w:cs="Calibri"/>
          <w:color w:val="000000"/>
          <w:sz w:val="22"/>
        </w:rPr>
        <w:t>款对招标文件做出的澄清、修改，构成招标文件的组成部分。</w:t>
      </w:r>
    </w:p>
    <w:p>
      <w:pPr>
        <w:autoSpaceDE w:val="0"/>
        <w:autoSpaceDN w:val="0"/>
        <w:adjustRightInd w:val="0"/>
        <w:snapToGrid w:val="0"/>
        <w:spacing w:line="360" w:lineRule="auto"/>
        <w:rPr>
          <w:rFonts w:ascii="宋体" w:hAnsi="宋体" w:cs="Calibri"/>
          <w:b/>
          <w:bCs/>
          <w:kern w:val="0"/>
          <w:sz w:val="22"/>
        </w:rPr>
      </w:pPr>
      <w:bookmarkStart w:id="44" w:name="_Toc18230"/>
      <w:r>
        <w:rPr>
          <w:rFonts w:ascii="宋体" w:hAnsi="宋体" w:cs="Calibri"/>
          <w:b/>
          <w:bCs/>
          <w:kern w:val="0"/>
          <w:sz w:val="22"/>
        </w:rPr>
        <w:t>2.2 招标文件的澄清</w:t>
      </w:r>
      <w:bookmarkEnd w:id="44"/>
    </w:p>
    <w:p>
      <w:pPr>
        <w:adjustRightInd w:val="0"/>
        <w:snapToGrid w:val="0"/>
        <w:spacing w:line="360" w:lineRule="auto"/>
        <w:ind w:firstLine="440"/>
        <w:rPr>
          <w:rFonts w:ascii="宋体" w:hAnsi="宋体" w:cs="Calibri"/>
          <w:color w:val="000000"/>
          <w:sz w:val="22"/>
        </w:rPr>
      </w:pPr>
      <w:bookmarkStart w:id="45" w:name="_Toc18303"/>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auto"/>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2.3 招标文件的修改</w:t>
      </w:r>
      <w:bookmarkEnd w:id="45"/>
    </w:p>
    <w:p>
      <w:pPr>
        <w:adjustRightInd w:val="0"/>
        <w:snapToGrid w:val="0"/>
        <w:spacing w:line="360" w:lineRule="auto"/>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auto"/>
        <w:ind w:firstLine="440"/>
        <w:rPr>
          <w:rFonts w:ascii="宋体" w:hAns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auto"/>
        <w:rPr>
          <w:rFonts w:ascii="宋体" w:hAnsi="宋体" w:cs="Calibri"/>
          <w:b/>
          <w:bCs/>
          <w:kern w:val="0"/>
          <w:sz w:val="22"/>
        </w:rPr>
      </w:pPr>
      <w:bookmarkStart w:id="46" w:name="_Toc18870"/>
      <w:bookmarkStart w:id="47" w:name="_Toc143421658"/>
      <w:r>
        <w:rPr>
          <w:rFonts w:ascii="宋体" w:hAnsi="宋体" w:cs="Calibri"/>
          <w:b/>
          <w:bCs/>
          <w:kern w:val="0"/>
          <w:sz w:val="22"/>
        </w:rPr>
        <w:t>3.投标文件</w:t>
      </w:r>
      <w:bookmarkEnd w:id="46"/>
      <w:bookmarkEnd w:id="47"/>
    </w:p>
    <w:p>
      <w:pPr>
        <w:autoSpaceDE w:val="0"/>
        <w:autoSpaceDN w:val="0"/>
        <w:adjustRightInd w:val="0"/>
        <w:snapToGrid w:val="0"/>
        <w:spacing w:line="360" w:lineRule="auto"/>
        <w:rPr>
          <w:rFonts w:ascii="宋体" w:hAnsi="宋体" w:cs="Calibri"/>
          <w:b/>
          <w:bCs/>
          <w:kern w:val="0"/>
          <w:sz w:val="22"/>
        </w:rPr>
      </w:pPr>
      <w:bookmarkStart w:id="48" w:name="_Toc461"/>
      <w:r>
        <w:rPr>
          <w:rFonts w:ascii="宋体" w:hAnsi="宋体" w:cs="Calibri"/>
          <w:b/>
          <w:bCs/>
          <w:kern w:val="0"/>
          <w:sz w:val="22"/>
        </w:rPr>
        <w:t>3.1 投标文件的语言和计量单位</w:t>
      </w:r>
      <w:bookmarkEnd w:id="48"/>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sz w:val="22"/>
        </w:rPr>
        <w:t>3.1.1投标文件与投标有关的所有文件均应使用中文。</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3.1.2除规范另有规定外，投标文件使用的度量衡单位，均采用中华人民共和国法定计量单位。</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3.1.3招标文件中的“天”除特别说明外，均为日历天。</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3.1.4招标文件中所指的“合同”除特别说明外，指 “</w:t>
      </w:r>
      <w:r>
        <w:rPr>
          <w:rFonts w:hint="eastAsia" w:ascii="宋体" w:hAnsi="宋体" w:cs="Calibri"/>
          <w:color w:val="000000"/>
          <w:kern w:val="0"/>
          <w:sz w:val="22"/>
        </w:rPr>
        <w:t>服务</w:t>
      </w:r>
      <w:r>
        <w:rPr>
          <w:rFonts w:ascii="宋体" w:hAnsi="宋体" w:cs="Calibri"/>
          <w:color w:val="000000"/>
          <w:kern w:val="0"/>
          <w:sz w:val="22"/>
        </w:rPr>
        <w:t>合同”。</w:t>
      </w:r>
    </w:p>
    <w:p>
      <w:pPr>
        <w:autoSpaceDE w:val="0"/>
        <w:autoSpaceDN w:val="0"/>
        <w:adjustRightInd w:val="0"/>
        <w:snapToGrid w:val="0"/>
        <w:spacing w:line="360" w:lineRule="auto"/>
        <w:rPr>
          <w:rFonts w:ascii="宋体" w:hAnsi="宋体" w:cs="Calibri"/>
          <w:b/>
          <w:bCs/>
          <w:kern w:val="0"/>
          <w:sz w:val="22"/>
        </w:rPr>
      </w:pPr>
      <w:bookmarkStart w:id="49" w:name="_Toc1411"/>
      <w:r>
        <w:rPr>
          <w:rFonts w:ascii="宋体" w:hAnsi="宋体" w:cs="Calibri"/>
          <w:b/>
          <w:bCs/>
          <w:kern w:val="0"/>
          <w:sz w:val="22"/>
        </w:rPr>
        <w:t>3.2 投标文件的组成</w:t>
      </w:r>
      <w:bookmarkEnd w:id="49"/>
    </w:p>
    <w:p>
      <w:pPr>
        <w:adjustRightInd w:val="0"/>
        <w:snapToGrid w:val="0"/>
        <w:spacing w:line="360" w:lineRule="auto"/>
        <w:ind w:firstLine="440" w:firstLineChars="200"/>
        <w:rPr>
          <w:rFonts w:ascii="宋体" w:hAnsi="宋体" w:cs="Calibri"/>
          <w:color w:val="000000"/>
          <w:sz w:val="22"/>
        </w:rPr>
      </w:pPr>
      <w:bookmarkStart w:id="50" w:name="_Toc32225"/>
      <w:r>
        <w:rPr>
          <w:rFonts w:ascii="宋体" w:hAnsi="宋体" w:cs="Calibri"/>
          <w:color w:val="000000"/>
          <w:sz w:val="22"/>
        </w:rPr>
        <w:t>3.2.1投标函；</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3.2.5投标人资格证明文件：</w:t>
      </w:r>
    </w:p>
    <w:p>
      <w:pPr>
        <w:numPr>
          <w:ilvl w:val="0"/>
          <w:numId w:val="2"/>
        </w:num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numPr>
          <w:ilvl w:val="0"/>
          <w:numId w:val="2"/>
        </w:numPr>
        <w:adjustRightInd w:val="0"/>
        <w:snapToGrid w:val="0"/>
        <w:spacing w:line="360" w:lineRule="auto"/>
        <w:ind w:firstLine="440" w:firstLineChars="200"/>
        <w:rPr>
          <w:rFonts w:ascii="宋体" w:hAnsi="宋体" w:cs="Calibri"/>
          <w:color w:val="000000"/>
          <w:sz w:val="22"/>
        </w:rPr>
      </w:pPr>
      <w:r>
        <w:rPr>
          <w:rFonts w:hint="eastAsia" w:ascii="宋体" w:hAnsi="宋体" w:cs="Calibri"/>
          <w:color w:val="000000"/>
          <w:sz w:val="22"/>
        </w:rPr>
        <w:t>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auto"/>
        <w:ind w:firstLine="440" w:firstLineChars="200"/>
        <w:rPr>
          <w:rFonts w:ascii="宋体" w:hAnsi="宋体" w:cs="Calibri"/>
          <w:color w:val="000000"/>
          <w:sz w:val="22"/>
        </w:rPr>
      </w:pPr>
      <w:r>
        <w:rPr>
          <w:rFonts w:hint="eastAsia" w:ascii="宋体" w:hAnsi="宋体" w:cs="Calibri"/>
          <w:color w:val="000000"/>
          <w:sz w:val="22"/>
        </w:rPr>
        <w:t>（3</w:t>
      </w:r>
      <w:r>
        <w:rPr>
          <w:rFonts w:ascii="宋体" w:hAnsi="宋体" w:cs="Calibri"/>
          <w:color w:val="000000"/>
          <w:sz w:val="22"/>
        </w:rPr>
        <w:t>）有关证明投标人的企业信誉及获得各种奖励等资料；</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4</w:t>
      </w:r>
      <w:r>
        <w:rPr>
          <w:rFonts w:ascii="宋体" w:hAnsi="宋体" w:cs="Calibri"/>
          <w:color w:val="000000"/>
          <w:sz w:val="22"/>
        </w:rPr>
        <w:t>）投标人经济实力：包括企业注册资金、财务报告与报表中反映的财务状况</w:t>
      </w:r>
      <w:r>
        <w:rPr>
          <w:rFonts w:hint="eastAsia" w:ascii="宋体" w:hAnsi="宋体" w:cs="Calibri"/>
          <w:color w:val="000000"/>
          <w:sz w:val="22"/>
        </w:rPr>
        <w:t>；</w:t>
      </w:r>
    </w:p>
    <w:p>
      <w:pPr>
        <w:adjustRightInd w:val="0"/>
        <w:snapToGrid w:val="0"/>
        <w:spacing w:line="360" w:lineRule="auto"/>
        <w:ind w:firstLine="440" w:firstLineChars="200"/>
        <w:rPr>
          <w:rFonts w:ascii="宋体" w:hAnsi="宋体" w:cs="Calibri"/>
          <w:color w:val="000000"/>
          <w:sz w:val="22"/>
        </w:rPr>
      </w:pPr>
      <w:r>
        <w:rPr>
          <w:rFonts w:hint="eastAsia" w:ascii="宋体" w:hAnsi="宋体" w:cs="Calibri"/>
          <w:color w:val="000000"/>
          <w:sz w:val="22"/>
        </w:rPr>
        <w:t>（5）</w:t>
      </w:r>
      <w:r>
        <w:rPr>
          <w:rFonts w:ascii="宋体" w:hAnsi="宋体" w:cs="Calibri"/>
          <w:color w:val="000000"/>
          <w:sz w:val="22"/>
        </w:rPr>
        <w:t>近</w:t>
      </w:r>
      <w:r>
        <w:rPr>
          <w:rFonts w:hint="eastAsia" w:ascii="宋体" w:hAnsi="宋体" w:cs="Calibri"/>
          <w:color w:val="000000"/>
          <w:sz w:val="22"/>
        </w:rPr>
        <w:t>五</w:t>
      </w:r>
      <w:r>
        <w:rPr>
          <w:rFonts w:ascii="宋体" w:hAnsi="宋体" w:cs="Calibri"/>
          <w:color w:val="000000"/>
          <w:sz w:val="22"/>
        </w:rPr>
        <w:t>年完成类似项目业绩情况</w:t>
      </w:r>
      <w:r>
        <w:rPr>
          <w:rFonts w:hint="eastAsia" w:ascii="宋体" w:hAnsi="宋体" w:cs="Calibri"/>
          <w:color w:val="000000"/>
          <w:sz w:val="22"/>
        </w:rPr>
        <w:t>；</w:t>
      </w:r>
    </w:p>
    <w:p>
      <w:pPr>
        <w:adjustRightInd w:val="0"/>
        <w:snapToGrid w:val="0"/>
        <w:spacing w:line="360" w:lineRule="auto"/>
        <w:ind w:firstLine="440" w:firstLineChars="200"/>
        <w:rPr>
          <w:rFonts w:ascii="宋体" w:hAnsi="宋体" w:cs="Calibri"/>
          <w:color w:val="000000"/>
          <w:sz w:val="22"/>
        </w:rPr>
      </w:pPr>
      <w:r>
        <w:rPr>
          <w:rFonts w:hint="eastAsia" w:ascii="宋体" w:hAnsi="宋体" w:cs="Calibri"/>
          <w:color w:val="000000"/>
          <w:sz w:val="22"/>
        </w:rPr>
        <w:t>（5）招标文件投标人资格要求中提供的相关材料。</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3.2.6</w:t>
      </w:r>
      <w:r>
        <w:rPr>
          <w:rFonts w:hint="eastAsia" w:ascii="宋体" w:hAnsi="宋体" w:cs="Calibri"/>
          <w:color w:val="000000"/>
          <w:sz w:val="22"/>
        </w:rPr>
        <w:t xml:space="preserve"> </w:t>
      </w:r>
      <w:r>
        <w:rPr>
          <w:rFonts w:ascii="宋体" w:hAnsi="宋体" w:cs="Calibri"/>
          <w:color w:val="000000"/>
          <w:sz w:val="22"/>
        </w:rPr>
        <w:t>服务大纲</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现场机构、人力、物资设备配置</w:t>
      </w:r>
      <w:r>
        <w:rPr>
          <w:rFonts w:ascii="宋体" w:hAnsi="宋体" w:cs="Calibri"/>
          <w:color w:val="000000"/>
          <w:sz w:val="22"/>
        </w:rPr>
        <w:t>；</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（5）</w:t>
      </w:r>
      <w:r>
        <w:rPr>
          <w:rFonts w:hint="eastAsia" w:ascii="宋体" w:hAnsi="宋体" w:cs="Calibri"/>
          <w:color w:val="000000"/>
          <w:sz w:val="22"/>
        </w:rPr>
        <w:t>运行、安全、服务等相关管理方案</w:t>
      </w:r>
      <w:r>
        <w:rPr>
          <w:rFonts w:ascii="宋体" w:hAnsi="宋体" w:cs="Calibri"/>
          <w:color w:val="000000"/>
          <w:sz w:val="22"/>
        </w:rPr>
        <w:t>；</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360" w:lineRule="auto"/>
        <w:ind w:firstLine="440" w:firstLineChars="200"/>
        <w:rPr>
          <w:rFonts w:ascii="宋体" w:hAnsi="宋体" w:cs="Calibri"/>
          <w:color w:val="000000"/>
          <w:sz w:val="22"/>
        </w:rPr>
      </w:pPr>
      <w:r>
        <w:rPr>
          <w:rFonts w:hint="eastAsia" w:ascii="宋体" w:hAnsi="宋体" w:cs="Calibri"/>
          <w:color w:val="000000"/>
          <w:sz w:val="22"/>
        </w:rPr>
        <w:t>（7）对特殊情况的承诺以及灾害性、突发事件的应急预案；</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8</w:t>
      </w:r>
      <w:r>
        <w:rPr>
          <w:rFonts w:ascii="宋体" w:hAnsi="宋体" w:cs="Calibri"/>
          <w:color w:val="000000"/>
          <w:sz w:val="22"/>
        </w:rPr>
        <w:t>）投入到本项目的项目负责人、其他人员的情况汇总表及业绩、经历、能力介绍、资格证明材料及人员到位率的承诺；</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9</w:t>
      </w:r>
      <w:r>
        <w:rPr>
          <w:rFonts w:ascii="宋体" w:hAnsi="宋体" w:cs="Calibri"/>
          <w:color w:val="000000"/>
          <w:sz w:val="22"/>
        </w:rPr>
        <w:t>）投入本项目服务的仪器、仪表、设备及交通工具汇总表</w:t>
      </w:r>
      <w:r>
        <w:rPr>
          <w:rFonts w:hint="eastAsia" w:ascii="宋体" w:hAnsi="宋体" w:cs="Calibri"/>
          <w:color w:val="000000"/>
          <w:sz w:val="22"/>
        </w:rPr>
        <w:t>。</w:t>
      </w:r>
    </w:p>
    <w:p>
      <w:pPr>
        <w:adjustRightInd w:val="0"/>
        <w:snapToGrid w:val="0"/>
        <w:spacing w:line="360" w:lineRule="auto"/>
        <w:ind w:firstLine="440" w:firstLineChars="200"/>
        <w:rPr>
          <w:rFonts w:ascii="宋体" w:hAnsi="宋体"/>
          <w:sz w:val="22"/>
        </w:rPr>
      </w:pPr>
      <w:r>
        <w:rPr>
          <w:rFonts w:ascii="宋体" w:hAnsi="宋体" w:cs="Calibri"/>
          <w:color w:val="000000"/>
          <w:sz w:val="22"/>
        </w:rPr>
        <w:t>3.2.7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3.3 投标报价</w:t>
      </w:r>
      <w:bookmarkEnd w:id="50"/>
    </w:p>
    <w:p>
      <w:pPr>
        <w:adjustRightInd w:val="0"/>
        <w:snapToGrid w:val="0"/>
        <w:spacing w:line="360" w:lineRule="auto"/>
        <w:ind w:firstLine="440" w:firstLineChars="200"/>
        <w:rPr>
          <w:rFonts w:ascii="宋体" w:hAnsi="宋体" w:cs="Calibri"/>
          <w:color w:val="000000"/>
          <w:kern w:val="0"/>
          <w:sz w:val="22"/>
        </w:rPr>
      </w:pPr>
      <w:bookmarkStart w:id="51" w:name="_Toc13307"/>
      <w:r>
        <w:rPr>
          <w:rFonts w:ascii="宋体" w:hAnsi="宋体" w:cs="Calibri"/>
          <w:color w:val="000000"/>
          <w:kern w:val="0"/>
          <w:sz w:val="22"/>
        </w:rPr>
        <w:t>3.</w:t>
      </w:r>
      <w:r>
        <w:rPr>
          <w:rFonts w:hint="eastAsia" w:ascii="宋体" w:hAnsi="宋体" w:cs="Calibri"/>
          <w:color w:val="000000"/>
          <w:kern w:val="0"/>
          <w:sz w:val="22"/>
        </w:rPr>
        <w:t>3</w:t>
      </w:r>
      <w:r>
        <w:rPr>
          <w:rFonts w:ascii="宋体" w:hAnsi="宋体" w:cs="Calibri"/>
          <w:color w:val="000000"/>
          <w:kern w:val="0"/>
          <w:sz w:val="22"/>
        </w:rPr>
        <w:t>.1 投标人应按本招标文件中“投标文件格式”的要求填写相应表格。</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3.</w:t>
      </w:r>
      <w:r>
        <w:rPr>
          <w:rFonts w:hint="eastAsia" w:ascii="宋体" w:hAnsi="宋体" w:cs="Calibri"/>
          <w:color w:val="000000"/>
          <w:kern w:val="0"/>
          <w:sz w:val="22"/>
        </w:rPr>
        <w:t>3</w:t>
      </w:r>
      <w:r>
        <w:rPr>
          <w:rFonts w:ascii="宋体" w:hAnsi="宋体" w:cs="Calibri"/>
          <w:color w:val="000000"/>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3.</w:t>
      </w:r>
      <w:r>
        <w:rPr>
          <w:rFonts w:hint="eastAsia" w:ascii="宋体" w:hAnsi="宋体" w:cs="Calibri"/>
          <w:color w:val="000000"/>
          <w:kern w:val="0"/>
          <w:sz w:val="22"/>
        </w:rPr>
        <w:t>3</w:t>
      </w:r>
      <w:r>
        <w:rPr>
          <w:rFonts w:ascii="宋体" w:hAnsi="宋体" w:cs="Calibri"/>
          <w:color w:val="000000"/>
          <w:kern w:val="0"/>
          <w:sz w:val="22"/>
        </w:rPr>
        <w:t>.3招标人设有最高投标限价的，投标人的投标报价不得超过最高投标限价，最高投标限价详见投标人须知前附表。</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3.</w:t>
      </w:r>
      <w:r>
        <w:rPr>
          <w:rFonts w:hint="eastAsia" w:ascii="宋体" w:hAnsi="宋体" w:cs="Calibri"/>
          <w:color w:val="000000"/>
          <w:kern w:val="0"/>
          <w:sz w:val="22"/>
        </w:rPr>
        <w:t>3</w:t>
      </w:r>
      <w:r>
        <w:rPr>
          <w:rFonts w:ascii="宋体" w:hAnsi="宋体" w:cs="Calibri"/>
          <w:color w:val="000000"/>
          <w:kern w:val="0"/>
          <w:sz w:val="22"/>
        </w:rPr>
        <w:t>.4投标报价的其他要求</w:t>
      </w:r>
      <w:r>
        <w:rPr>
          <w:rFonts w:hint="eastAsia" w:ascii="宋体" w:hAnsi="宋体" w:cs="Calibri"/>
          <w:color w:val="000000"/>
          <w:kern w:val="0"/>
          <w:sz w:val="22"/>
        </w:rPr>
        <w:t>：</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3.4 投标有效期</w:t>
      </w:r>
      <w:bookmarkEnd w:id="51"/>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3.4.1在投标人须知前附表规定的投标有效期内，投标人不得要求撤销和修改其投标文件。</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auto"/>
        <w:rPr>
          <w:rFonts w:ascii="宋体" w:hAnsi="宋体" w:cs="Calibri"/>
          <w:b/>
          <w:bCs/>
          <w:kern w:val="0"/>
          <w:sz w:val="22"/>
        </w:rPr>
      </w:pPr>
      <w:bookmarkStart w:id="52" w:name="_Toc30464"/>
      <w:r>
        <w:rPr>
          <w:rFonts w:ascii="宋体" w:hAnsi="宋体" w:cs="Calibri"/>
          <w:b/>
          <w:bCs/>
          <w:kern w:val="0"/>
          <w:sz w:val="22"/>
        </w:rPr>
        <w:t>3.5 投标保证金</w:t>
      </w:r>
      <w:bookmarkEnd w:id="52"/>
      <w:r>
        <w:rPr>
          <w:rFonts w:hint="eastAsia" w:ascii="宋体" w:hAnsi="宋体" w:cs="Calibri"/>
          <w:b/>
          <w:bCs/>
          <w:kern w:val="0"/>
          <w:sz w:val="22"/>
        </w:rPr>
        <w:t>（如有）</w:t>
      </w:r>
    </w:p>
    <w:p>
      <w:pPr>
        <w:adjustRightInd w:val="0"/>
        <w:snapToGrid w:val="0"/>
        <w:spacing w:line="360" w:lineRule="auto"/>
        <w:ind w:firstLine="440"/>
        <w:rPr>
          <w:rFonts w:ascii="宋体" w:hAnsi="宋体" w:cs="Calibri"/>
          <w:kern w:val="0"/>
          <w:sz w:val="22"/>
        </w:rPr>
      </w:pPr>
      <w:bookmarkStart w:id="5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auto"/>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auto"/>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auto"/>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auto"/>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auto"/>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3.6 投标文件的编制</w:t>
      </w:r>
      <w:bookmarkEnd w:id="53"/>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3.6.1 投标文件应按本须知</w:t>
      </w:r>
      <w:r>
        <w:rPr>
          <w:rFonts w:hint="eastAsia" w:ascii="宋体" w:hAnsi="宋体" w:cs="Calibri"/>
          <w:color w:val="000000"/>
          <w:sz w:val="22"/>
        </w:rPr>
        <w:t>第3.2款</w:t>
      </w:r>
      <w:r>
        <w:rPr>
          <w:rFonts w:ascii="宋体" w:hAnsi="宋体" w:cs="Calibri"/>
          <w:color w:val="000000"/>
          <w:sz w:val="22"/>
        </w:rPr>
        <w:t>规定的内容和第</w:t>
      </w:r>
      <w:r>
        <w:rPr>
          <w:rFonts w:hint="eastAsia" w:ascii="宋体" w:hAnsi="宋体" w:cs="Calibri"/>
          <w:color w:val="000000"/>
          <w:sz w:val="22"/>
        </w:rPr>
        <w:t>六</w:t>
      </w:r>
      <w:r>
        <w:rPr>
          <w:rFonts w:ascii="宋体" w:hAnsi="宋体" w:cs="Calibri"/>
          <w:color w:val="000000"/>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sz w:val="22"/>
        </w:rPr>
        <w:t xml:space="preserve">3.6.2 </w:t>
      </w:r>
      <w:r>
        <w:rPr>
          <w:rFonts w:ascii="宋体" w:hAnsi="宋体" w:cs="Calibri"/>
          <w:color w:val="000000"/>
          <w:kern w:val="0"/>
          <w:sz w:val="22"/>
        </w:rPr>
        <w:t>投标文件应对招标文件有关</w:t>
      </w:r>
      <w:r>
        <w:rPr>
          <w:rFonts w:hint="eastAsia" w:ascii="宋体" w:hAnsi="宋体" w:cs="Calibri"/>
          <w:color w:val="000000"/>
          <w:kern w:val="0"/>
          <w:sz w:val="22"/>
        </w:rPr>
        <w:t>服务</w:t>
      </w:r>
      <w:r>
        <w:rPr>
          <w:rFonts w:ascii="宋体" w:hAnsi="宋体" w:cs="Calibri"/>
          <w:color w:val="000000"/>
          <w:kern w:val="0"/>
          <w:sz w:val="22"/>
        </w:rPr>
        <w:t>期、投标有效期、招标</w:t>
      </w:r>
      <w:r>
        <w:rPr>
          <w:rFonts w:hint="eastAsia" w:ascii="宋体" w:hAnsi="宋体" w:cs="Calibri"/>
          <w:color w:val="000000"/>
          <w:kern w:val="0"/>
          <w:sz w:val="22"/>
        </w:rPr>
        <w:t>内容</w:t>
      </w:r>
      <w:r>
        <w:rPr>
          <w:rFonts w:ascii="宋体" w:hAnsi="宋体" w:cs="Calibri"/>
          <w:color w:val="000000"/>
          <w:kern w:val="0"/>
          <w:sz w:val="22"/>
        </w:rPr>
        <w:t>等实质性内容作出响应。</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color w:val="000000"/>
          <w:kern w:val="0"/>
          <w:sz w:val="22"/>
        </w:rPr>
        <w:t>签字或盖章的具体要求见投标人须知前附表。</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3.6.4投标文件正本一份， 副本份数见投标人须知前附表。正本、副本的封面上应清楚地标记</w:t>
      </w:r>
      <w:r>
        <w:rPr>
          <w:rFonts w:ascii="宋体" w:hAnsi="宋体" w:cs="Calibri"/>
          <w:b/>
          <w:bCs/>
          <w:color w:val="000000"/>
          <w:sz w:val="22"/>
        </w:rPr>
        <w:t>“正本</w:t>
      </w:r>
      <w:r>
        <w:rPr>
          <w:rFonts w:ascii="宋体" w:hAnsi="宋体" w:cs="Calibri"/>
          <w:color w:val="000000"/>
          <w:sz w:val="22"/>
        </w:rPr>
        <w:t>”或“</w:t>
      </w:r>
      <w:r>
        <w:rPr>
          <w:rFonts w:ascii="宋体" w:hAnsi="宋体" w:cs="Calibri"/>
          <w:b/>
          <w:bCs/>
          <w:color w:val="000000"/>
          <w:sz w:val="22"/>
        </w:rPr>
        <w:t>副本</w:t>
      </w:r>
      <w:r>
        <w:rPr>
          <w:rFonts w:ascii="宋体" w:hAnsi="宋体" w:cs="Calibri"/>
          <w:color w:val="000000"/>
          <w:sz w:val="22"/>
        </w:rPr>
        <w:t>”的字样。当副本和正本不一致时，以正本为准。</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3.6.5投标文件的正本与副本应分别按A4规格装订成册，具体装订要求见投标人须知前附表规定。</w:t>
      </w:r>
      <w:bookmarkStart w:id="54" w:name="_Toc143421659"/>
    </w:p>
    <w:p>
      <w:pPr>
        <w:autoSpaceDE w:val="0"/>
        <w:autoSpaceDN w:val="0"/>
        <w:adjustRightInd w:val="0"/>
        <w:snapToGrid w:val="0"/>
        <w:spacing w:line="360" w:lineRule="auto"/>
        <w:rPr>
          <w:rFonts w:ascii="宋体" w:hAnsi="宋体" w:cs="Calibri"/>
          <w:b/>
          <w:bCs/>
          <w:kern w:val="0"/>
          <w:sz w:val="22"/>
        </w:rPr>
      </w:pPr>
      <w:bookmarkStart w:id="55" w:name="_Toc32652"/>
      <w:r>
        <w:rPr>
          <w:rFonts w:ascii="宋体" w:hAnsi="宋体" w:cs="Calibri"/>
          <w:b/>
          <w:bCs/>
          <w:kern w:val="0"/>
          <w:sz w:val="22"/>
        </w:rPr>
        <w:t>4.投标</w:t>
      </w:r>
      <w:bookmarkEnd w:id="54"/>
      <w:bookmarkEnd w:id="55"/>
    </w:p>
    <w:p>
      <w:pPr>
        <w:autoSpaceDE w:val="0"/>
        <w:autoSpaceDN w:val="0"/>
        <w:adjustRightInd w:val="0"/>
        <w:snapToGrid w:val="0"/>
        <w:spacing w:line="360" w:lineRule="auto"/>
        <w:rPr>
          <w:rFonts w:ascii="宋体" w:hAnsi="宋体" w:cs="Calibri"/>
          <w:b/>
          <w:bCs/>
          <w:kern w:val="0"/>
          <w:sz w:val="22"/>
        </w:rPr>
      </w:pPr>
      <w:bookmarkStart w:id="56" w:name="_Toc649"/>
      <w:r>
        <w:rPr>
          <w:rFonts w:ascii="宋体" w:hAnsi="宋体" w:cs="Calibri"/>
          <w:b/>
          <w:bCs/>
          <w:kern w:val="0"/>
          <w:sz w:val="22"/>
        </w:rPr>
        <w:t>4.1 投标文件的密封和标识</w:t>
      </w:r>
      <w:bookmarkEnd w:id="56"/>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sz w:val="22"/>
        </w:rPr>
        <w:t>4.1.1</w:t>
      </w:r>
      <w:r>
        <w:rPr>
          <w:rFonts w:ascii="宋体" w:hAnsi="宋体" w:cs="Calibri"/>
          <w:color w:val="000000"/>
          <w:kern w:val="0"/>
          <w:sz w:val="22"/>
        </w:rPr>
        <w:t>投标文件的正本、副本可一同</w:t>
      </w:r>
      <w:r>
        <w:rPr>
          <w:rFonts w:hint="eastAsia" w:ascii="宋体" w:hAnsi="宋体" w:cs="Calibri"/>
          <w:color w:val="000000"/>
          <w:kern w:val="0"/>
          <w:sz w:val="22"/>
        </w:rPr>
        <w:t>密封</w:t>
      </w:r>
      <w:r>
        <w:rPr>
          <w:rFonts w:ascii="宋体" w:hAnsi="宋体" w:cs="Calibri"/>
          <w:color w:val="000000"/>
          <w:kern w:val="0"/>
          <w:sz w:val="22"/>
        </w:rPr>
        <w:t>包装，并在封口处加盖投标人单位章或法定代表人盖章（或签字）或委托代理人盖章（或签字）。</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4.1.2 投标文件的封套上应清楚地标记“投标文件”字样，封套上应写明的其他内容见投标人须知前附表。</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4.1.3 未按本章第4.1.1项或第4.1.2项要求密封和加写标记的投标文件，招标人不予受理。</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4.1.</w:t>
      </w:r>
      <w:r>
        <w:rPr>
          <w:rFonts w:hint="eastAsia" w:ascii="宋体" w:hAnsi="宋体" w:cs="Calibri"/>
          <w:color w:val="000000"/>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auto"/>
        <w:rPr>
          <w:rFonts w:ascii="宋体" w:hAnsi="宋体" w:cs="Calibri"/>
          <w:b/>
          <w:bCs/>
          <w:kern w:val="0"/>
          <w:sz w:val="22"/>
        </w:rPr>
      </w:pPr>
      <w:bookmarkStart w:id="57" w:name="_Toc16616"/>
      <w:r>
        <w:rPr>
          <w:rFonts w:ascii="宋体" w:hAnsi="宋体" w:cs="Calibri"/>
          <w:b/>
          <w:bCs/>
          <w:kern w:val="0"/>
          <w:sz w:val="22"/>
        </w:rPr>
        <w:t xml:space="preserve">4.2 投标文件的递交 </w:t>
      </w:r>
      <w:bookmarkEnd w:id="57"/>
    </w:p>
    <w:p>
      <w:pPr>
        <w:autoSpaceDE w:val="0"/>
        <w:autoSpaceDN w:val="0"/>
        <w:adjustRightInd w:val="0"/>
        <w:snapToGrid w:val="0"/>
        <w:spacing w:line="360" w:lineRule="auto"/>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4.2.2投标人送达投标文件的地点：见投标人须知前附表。</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4.2.3除投标人须知前附表另有规定外，投标人所递交的投标文件不予退还。</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4.2.</w:t>
      </w:r>
      <w:r>
        <w:rPr>
          <w:rFonts w:hint="eastAsia" w:ascii="宋体" w:hAnsi="宋体" w:cs="Calibri"/>
          <w:color w:val="000000"/>
          <w:sz w:val="22"/>
        </w:rPr>
        <w:t>4</w:t>
      </w:r>
      <w:r>
        <w:rPr>
          <w:rFonts w:ascii="宋体" w:hAnsi="宋体" w:cs="Calibri"/>
          <w:color w:val="000000"/>
          <w:sz w:val="22"/>
        </w:rPr>
        <w:t>逾期送达的或者未送达指定地点的投标文件，招标人不予受理。</w:t>
      </w:r>
    </w:p>
    <w:p>
      <w:pPr>
        <w:autoSpaceDE w:val="0"/>
        <w:autoSpaceDN w:val="0"/>
        <w:adjustRightInd w:val="0"/>
        <w:snapToGrid w:val="0"/>
        <w:spacing w:line="360" w:lineRule="auto"/>
        <w:rPr>
          <w:rFonts w:ascii="宋体" w:hAnsi="宋体" w:cs="Calibri"/>
          <w:b/>
          <w:bCs/>
          <w:kern w:val="0"/>
          <w:sz w:val="22"/>
        </w:rPr>
      </w:pPr>
      <w:bookmarkStart w:id="58" w:name="_Toc26099"/>
      <w:r>
        <w:rPr>
          <w:rFonts w:ascii="宋体" w:hAnsi="宋体" w:cs="Calibri"/>
          <w:b/>
          <w:bCs/>
          <w:kern w:val="0"/>
          <w:sz w:val="22"/>
        </w:rPr>
        <w:t>4.3 投标文件的修改和撤回</w:t>
      </w:r>
      <w:bookmarkEnd w:id="58"/>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4.3.1在规定的投标截止时间前，投标人可以修改或撤回已递交的投标文件，但应以书面形式通知招标人。</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4.3.3修改的内容为投标文件的组成部分。修改的投标文件应按照本须知规定进行编制、密封、标识和递交，并标明“修改”字样。</w:t>
      </w:r>
    </w:p>
    <w:p>
      <w:pPr>
        <w:autoSpaceDE w:val="0"/>
        <w:autoSpaceDN w:val="0"/>
        <w:adjustRightInd w:val="0"/>
        <w:snapToGrid w:val="0"/>
        <w:spacing w:line="360" w:lineRule="auto"/>
        <w:rPr>
          <w:rFonts w:ascii="宋体" w:hAnsi="宋体" w:cs="Calibri"/>
          <w:b/>
          <w:bCs/>
          <w:kern w:val="0"/>
          <w:sz w:val="22"/>
        </w:rPr>
      </w:pPr>
      <w:bookmarkStart w:id="59" w:name="_Toc29641"/>
      <w:r>
        <w:rPr>
          <w:rFonts w:ascii="宋体" w:hAnsi="宋体" w:cs="Calibri"/>
          <w:b/>
          <w:bCs/>
          <w:kern w:val="0"/>
          <w:sz w:val="22"/>
        </w:rPr>
        <w:t>5.开标</w:t>
      </w:r>
      <w:bookmarkEnd w:id="59"/>
    </w:p>
    <w:p>
      <w:pPr>
        <w:autoSpaceDE w:val="0"/>
        <w:autoSpaceDN w:val="0"/>
        <w:adjustRightInd w:val="0"/>
        <w:snapToGrid w:val="0"/>
        <w:spacing w:line="360" w:lineRule="auto"/>
        <w:rPr>
          <w:rFonts w:ascii="宋体" w:hAnsi="宋体" w:cs="Calibri"/>
          <w:b/>
          <w:bCs/>
          <w:kern w:val="0"/>
          <w:sz w:val="22"/>
        </w:rPr>
      </w:pPr>
      <w:bookmarkStart w:id="60" w:name="_Toc15123"/>
      <w:r>
        <w:rPr>
          <w:rFonts w:ascii="宋体" w:hAnsi="宋体" w:cs="Calibri"/>
          <w:b/>
          <w:bCs/>
          <w:kern w:val="0"/>
          <w:sz w:val="22"/>
        </w:rPr>
        <w:t>5.1 开标时间和地点</w:t>
      </w:r>
      <w:bookmarkEnd w:id="60"/>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5.1.2投标人在投标时应随身携带下列资料提交招标人</w:t>
      </w:r>
    </w:p>
    <w:p>
      <w:pPr>
        <w:adjustRightInd w:val="0"/>
        <w:snapToGrid w:val="0"/>
        <w:spacing w:line="360" w:lineRule="auto"/>
        <w:ind w:firstLine="440" w:firstLineChars="200"/>
        <w:rPr>
          <w:rFonts w:ascii="宋体" w:hAnsi="宋体" w:cs="Calibri"/>
          <w:sz w:val="22"/>
        </w:rPr>
      </w:pPr>
      <w:bookmarkStart w:id="61"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auto"/>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5.2 开标程序</w:t>
      </w:r>
      <w:bookmarkEnd w:id="61"/>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主持人按下列程序进行开标：</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（1）宣布开标纪律；</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（2）公布在投标截止时间前递交投标文件的投标人名称，并点名确认投标人是否派人到场；</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（3）宣布开标人、唱标人、记录人、监标人等有关人员姓名；</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（4）按照投标人须知前附表规定检查投标文件的密封情况；</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（5）按照投标人须知前附表的规定确定并宣布投标文件开标顺序；</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（6）</w:t>
      </w:r>
      <w:r>
        <w:rPr>
          <w:rFonts w:ascii="宋体" w:hAnsi="宋体" w:cs="Calibri"/>
          <w:color w:val="000000"/>
          <w:sz w:val="22"/>
        </w:rPr>
        <w:t>按照宣布的开标顺序当众开标，公布投标人名称、投标保证金的递交情况、投标报价、</w:t>
      </w:r>
      <w:r>
        <w:rPr>
          <w:rFonts w:hint="eastAsia" w:ascii="宋体" w:hAnsi="宋体" w:cs="Calibri"/>
          <w:color w:val="000000"/>
          <w:sz w:val="22"/>
        </w:rPr>
        <w:t>服务期</w:t>
      </w:r>
      <w:r>
        <w:rPr>
          <w:rFonts w:ascii="宋体" w:hAnsi="宋体" w:cs="Calibri"/>
          <w:color w:val="000000"/>
          <w:sz w:val="22"/>
        </w:rPr>
        <w:t>及其他内容，并记录在案；</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（7）投标人代表、招标人代表、监标人、记录人等有关人员在开标记录上签字确认；</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（8）开标结束。</w:t>
      </w:r>
    </w:p>
    <w:p>
      <w:pPr>
        <w:autoSpaceDE w:val="0"/>
        <w:autoSpaceDN w:val="0"/>
        <w:adjustRightInd w:val="0"/>
        <w:snapToGrid w:val="0"/>
        <w:spacing w:line="360" w:lineRule="auto"/>
        <w:rPr>
          <w:rFonts w:ascii="宋体" w:hAnsi="宋体" w:cs="Calibri"/>
          <w:b/>
          <w:bCs/>
          <w:kern w:val="0"/>
          <w:sz w:val="22"/>
        </w:rPr>
      </w:pPr>
      <w:bookmarkStart w:id="62" w:name="_Toc31578"/>
      <w:r>
        <w:rPr>
          <w:rFonts w:ascii="宋体" w:hAnsi="宋体" w:cs="Calibri"/>
          <w:b/>
          <w:bCs/>
          <w:kern w:val="0"/>
          <w:sz w:val="22"/>
        </w:rPr>
        <w:t>6.评标</w:t>
      </w:r>
      <w:bookmarkEnd w:id="62"/>
    </w:p>
    <w:p>
      <w:pPr>
        <w:autoSpaceDE w:val="0"/>
        <w:autoSpaceDN w:val="0"/>
        <w:adjustRightInd w:val="0"/>
        <w:snapToGrid w:val="0"/>
        <w:spacing w:line="360" w:lineRule="auto"/>
        <w:rPr>
          <w:rFonts w:ascii="宋体" w:hAnsi="宋体" w:cs="Calibri"/>
          <w:b/>
          <w:bCs/>
          <w:kern w:val="0"/>
          <w:sz w:val="22"/>
        </w:rPr>
      </w:pPr>
      <w:bookmarkStart w:id="63" w:name="_Toc10279"/>
      <w:r>
        <w:rPr>
          <w:rFonts w:ascii="宋体" w:hAnsi="宋体" w:cs="Calibri"/>
          <w:b/>
          <w:bCs/>
          <w:kern w:val="0"/>
          <w:sz w:val="22"/>
        </w:rPr>
        <w:t>6.1 评标委员会</w:t>
      </w:r>
      <w:bookmarkEnd w:id="63"/>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6.1.1</w:t>
      </w:r>
      <w:r>
        <w:rPr>
          <w:rFonts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6.1.2评标委员会成员有下列情形之一的，应当回避：</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（1）招标人或投标人的主要负责人的近亲属；</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（2）项目主管部门或者行政监督部门的人员；</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（3）与投标人有经济利益关系，可能影响对投标公正评审的；</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auto"/>
        <w:rPr>
          <w:rFonts w:ascii="宋体" w:hAnsi="宋体" w:cs="Calibri"/>
          <w:b/>
          <w:bCs/>
          <w:kern w:val="0"/>
          <w:sz w:val="22"/>
        </w:rPr>
      </w:pPr>
      <w:bookmarkStart w:id="64" w:name="_Toc3460"/>
      <w:r>
        <w:rPr>
          <w:rFonts w:ascii="宋体" w:hAnsi="宋体" w:cs="Calibri"/>
          <w:b/>
          <w:bCs/>
          <w:kern w:val="0"/>
          <w:sz w:val="22"/>
        </w:rPr>
        <w:t>6.2 评标原则</w:t>
      </w:r>
      <w:bookmarkEnd w:id="64"/>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评标活动遵循公平、公正、科学和择优的原则。</w:t>
      </w:r>
    </w:p>
    <w:p>
      <w:pPr>
        <w:autoSpaceDE w:val="0"/>
        <w:autoSpaceDN w:val="0"/>
        <w:adjustRightInd w:val="0"/>
        <w:snapToGrid w:val="0"/>
        <w:spacing w:line="360" w:lineRule="auto"/>
        <w:rPr>
          <w:rFonts w:ascii="宋体" w:hAnsi="宋体" w:cs="Calibri"/>
          <w:b/>
          <w:bCs/>
          <w:kern w:val="0"/>
          <w:sz w:val="22"/>
        </w:rPr>
      </w:pPr>
      <w:bookmarkStart w:id="65" w:name="_Toc28178"/>
      <w:r>
        <w:rPr>
          <w:rFonts w:ascii="宋体" w:hAnsi="宋体" w:cs="Calibri"/>
          <w:b/>
          <w:bCs/>
          <w:kern w:val="0"/>
          <w:sz w:val="22"/>
        </w:rPr>
        <w:t>6.3 评标</w:t>
      </w:r>
      <w:bookmarkEnd w:id="65"/>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评标委员会按照第</w:t>
      </w:r>
      <w:r>
        <w:rPr>
          <w:rFonts w:hint="eastAsia" w:ascii="宋体" w:hAnsi="宋体" w:cs="Calibri"/>
          <w:color w:val="000000"/>
          <w:kern w:val="0"/>
          <w:sz w:val="22"/>
        </w:rPr>
        <w:t>五</w:t>
      </w:r>
      <w:r>
        <w:rPr>
          <w:rFonts w:ascii="宋体" w:hAnsi="宋体" w:cs="Calibri"/>
          <w:color w:val="000000"/>
          <w:kern w:val="0"/>
          <w:sz w:val="22"/>
        </w:rPr>
        <w:t>章“评标方法及标准”对投标文件进行评审。第</w:t>
      </w:r>
      <w:r>
        <w:rPr>
          <w:rFonts w:hint="eastAsia" w:ascii="宋体" w:hAnsi="宋体" w:cs="Calibri"/>
          <w:color w:val="000000"/>
          <w:kern w:val="0"/>
          <w:sz w:val="22"/>
        </w:rPr>
        <w:t>五</w:t>
      </w:r>
      <w:r>
        <w:rPr>
          <w:rFonts w:ascii="宋体" w:hAnsi="宋体" w:cs="Calibri"/>
          <w:color w:val="000000"/>
          <w:kern w:val="0"/>
          <w:sz w:val="22"/>
        </w:rPr>
        <w:t>章“评标方法及标准”没有规定的方法、评审因素和标准，不作为评标依据。</w:t>
      </w:r>
    </w:p>
    <w:p>
      <w:pPr>
        <w:autoSpaceDE w:val="0"/>
        <w:autoSpaceDN w:val="0"/>
        <w:adjustRightInd w:val="0"/>
        <w:snapToGrid w:val="0"/>
        <w:spacing w:line="360" w:lineRule="auto"/>
        <w:rPr>
          <w:rFonts w:ascii="宋体" w:hAnsi="宋体" w:cs="Calibri"/>
          <w:b/>
          <w:bCs/>
          <w:kern w:val="0"/>
          <w:sz w:val="22"/>
        </w:rPr>
      </w:pPr>
      <w:bookmarkStart w:id="66" w:name="_Toc24237"/>
      <w:r>
        <w:rPr>
          <w:rFonts w:ascii="宋体" w:hAnsi="宋体" w:cs="Calibri"/>
          <w:b/>
          <w:bCs/>
          <w:kern w:val="0"/>
          <w:sz w:val="22"/>
        </w:rPr>
        <w:t>7.合同授予</w:t>
      </w:r>
      <w:bookmarkEnd w:id="66"/>
    </w:p>
    <w:p>
      <w:pPr>
        <w:autoSpaceDE w:val="0"/>
        <w:autoSpaceDN w:val="0"/>
        <w:adjustRightInd w:val="0"/>
        <w:snapToGrid w:val="0"/>
        <w:spacing w:line="360" w:lineRule="auto"/>
        <w:rPr>
          <w:rFonts w:ascii="宋体" w:hAnsi="宋体" w:cs="Calibri"/>
          <w:b/>
          <w:bCs/>
          <w:kern w:val="0"/>
          <w:sz w:val="22"/>
        </w:rPr>
      </w:pPr>
      <w:bookmarkStart w:id="67" w:name="_Toc18809"/>
      <w:r>
        <w:rPr>
          <w:rFonts w:ascii="宋体" w:hAnsi="宋体" w:cs="Calibri"/>
          <w:b/>
          <w:bCs/>
          <w:kern w:val="0"/>
          <w:sz w:val="22"/>
        </w:rPr>
        <w:t>7.1 定标方式</w:t>
      </w:r>
      <w:bookmarkEnd w:id="67"/>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auto"/>
        <w:rPr>
          <w:rFonts w:ascii="宋体" w:hAnsi="宋体" w:cs="Calibri"/>
          <w:b/>
          <w:bCs/>
          <w:kern w:val="0"/>
          <w:sz w:val="22"/>
        </w:rPr>
      </w:pPr>
      <w:bookmarkStart w:id="68" w:name="_Toc14573"/>
      <w:r>
        <w:rPr>
          <w:rFonts w:ascii="宋体" w:hAnsi="宋体" w:cs="Calibri"/>
          <w:b/>
          <w:bCs/>
          <w:kern w:val="0"/>
          <w:sz w:val="22"/>
        </w:rPr>
        <w:t>7.2 中标通知</w:t>
      </w:r>
      <w:bookmarkEnd w:id="68"/>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在投标人须知</w:t>
      </w:r>
      <w:r>
        <w:rPr>
          <w:rFonts w:hint="eastAsia" w:ascii="宋体" w:hAnsi="宋体" w:cs="Calibri"/>
          <w:color w:val="000000"/>
          <w:kern w:val="0"/>
          <w:sz w:val="22"/>
        </w:rPr>
        <w:t>第3.4款</w:t>
      </w:r>
      <w:r>
        <w:rPr>
          <w:rFonts w:ascii="宋体" w:hAnsi="宋体" w:cs="Calibri"/>
          <w:color w:val="000000"/>
          <w:kern w:val="0"/>
          <w:sz w:val="22"/>
        </w:rPr>
        <w:t>规定的投标有效期内，招标人以书面形式向中标人发出中标通知书。</w:t>
      </w:r>
    </w:p>
    <w:p>
      <w:pPr>
        <w:autoSpaceDE w:val="0"/>
        <w:autoSpaceDN w:val="0"/>
        <w:adjustRightInd w:val="0"/>
        <w:snapToGrid w:val="0"/>
        <w:spacing w:line="360" w:lineRule="auto"/>
        <w:rPr>
          <w:rFonts w:ascii="宋体" w:hAnsi="宋体" w:cs="Calibri"/>
          <w:b/>
          <w:bCs/>
          <w:kern w:val="0"/>
          <w:sz w:val="22"/>
        </w:rPr>
      </w:pPr>
      <w:bookmarkStart w:id="69" w:name="_Toc27132"/>
      <w:bookmarkStart w:id="70" w:name="_Toc27581"/>
      <w:r>
        <w:rPr>
          <w:rFonts w:ascii="宋体" w:hAnsi="宋体" w:cs="Calibri"/>
          <w:b/>
          <w:bCs/>
          <w:kern w:val="0"/>
          <w:sz w:val="22"/>
        </w:rPr>
        <w:t>7.3 履约</w:t>
      </w:r>
      <w:r>
        <w:rPr>
          <w:rFonts w:hint="eastAsia" w:ascii="宋体" w:hAnsi="宋体" w:cs="Calibri"/>
          <w:b/>
          <w:bCs/>
          <w:kern w:val="0"/>
          <w:sz w:val="22"/>
        </w:rPr>
        <w:t>保证金</w:t>
      </w:r>
      <w:bookmarkEnd w:id="69"/>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7.3.1在签订合同前，中标人应按投标人须知前附表规定的金额</w:t>
      </w:r>
      <w:r>
        <w:rPr>
          <w:rFonts w:hint="eastAsia" w:ascii="宋体" w:hAnsi="宋体" w:cs="Calibri"/>
          <w:color w:val="000000"/>
          <w:kern w:val="0"/>
          <w:sz w:val="22"/>
        </w:rPr>
        <w:t>和</w:t>
      </w:r>
      <w:r>
        <w:rPr>
          <w:rFonts w:ascii="宋体" w:hAnsi="宋体" w:cs="Calibri"/>
          <w:color w:val="000000"/>
          <w:kern w:val="0"/>
          <w:sz w:val="22"/>
        </w:rPr>
        <w:t>担保形式向招标人提交履约</w:t>
      </w:r>
      <w:r>
        <w:rPr>
          <w:rFonts w:hint="eastAsia" w:ascii="宋体" w:hAnsi="宋体" w:cs="Calibri"/>
          <w:color w:val="000000"/>
          <w:kern w:val="0"/>
          <w:sz w:val="22"/>
        </w:rPr>
        <w:t>保证金</w:t>
      </w:r>
      <w:r>
        <w:rPr>
          <w:rFonts w:ascii="宋体" w:hAnsi="宋体" w:cs="Calibri"/>
          <w:color w:val="000000"/>
          <w:kern w:val="0"/>
          <w:sz w:val="22"/>
        </w:rPr>
        <w:t>。</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7.3.2 中标人不能按本章第7.3.1项要求提交履约</w:t>
      </w:r>
      <w:r>
        <w:rPr>
          <w:rFonts w:hint="eastAsia" w:ascii="宋体" w:hAnsi="宋体" w:cs="Calibri"/>
          <w:color w:val="000000"/>
          <w:kern w:val="0"/>
          <w:sz w:val="22"/>
        </w:rPr>
        <w:t>保证金</w:t>
      </w:r>
      <w:r>
        <w:rPr>
          <w:rFonts w:ascii="宋体" w:hAnsi="宋体" w:cs="Calibri"/>
          <w:color w:val="000000"/>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auto"/>
        <w:rPr>
          <w:rFonts w:hint="eastAsia" w:ascii="宋体" w:hAnsi="宋体" w:cs="Calibri"/>
          <w:b/>
          <w:bCs/>
          <w:kern w:val="0"/>
          <w:sz w:val="22"/>
        </w:rPr>
      </w:pPr>
      <w:r>
        <w:rPr>
          <w:rFonts w:hint="eastAsia" w:ascii="宋体" w:hAnsi="宋体" w:cs="Calibri"/>
          <w:b/>
          <w:bCs/>
          <w:kern w:val="0"/>
          <w:sz w:val="22"/>
        </w:rPr>
        <w:t>7.4 签订合同</w:t>
      </w:r>
      <w:bookmarkEnd w:id="70"/>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sz w:val="22"/>
        </w:rPr>
        <w:t>7</w:t>
      </w:r>
      <w:bookmarkStart w:id="71" w:name="_Toc219809801"/>
      <w:bookmarkStart w:id="72" w:name="_Toc220123241"/>
      <w:bookmarkStart w:id="73" w:name="_Toc11806"/>
      <w:r>
        <w:rPr>
          <w:rFonts w:ascii="宋体" w:hAnsi="宋体" w:cs="Calibri"/>
          <w:color w:val="000000"/>
          <w:kern w:val="0"/>
          <w:sz w:val="22"/>
        </w:rPr>
        <w:t>.</w:t>
      </w:r>
      <w:r>
        <w:rPr>
          <w:rFonts w:hint="eastAsia" w:ascii="宋体" w:hAnsi="宋体" w:cs="Calibri"/>
          <w:color w:val="000000"/>
          <w:kern w:val="0"/>
          <w:sz w:val="22"/>
        </w:rPr>
        <w:t>4</w:t>
      </w:r>
      <w:r>
        <w:rPr>
          <w:rFonts w:ascii="宋体" w:hAnsi="宋体" w:cs="Calibri"/>
          <w:color w:val="000000"/>
          <w:kern w:val="0"/>
          <w:sz w:val="22"/>
        </w:rPr>
        <w:t>.1招标人和中标人应当自中标通知书发出之日起30个工作日内订立书面合同（合同条款按第</w:t>
      </w:r>
      <w:r>
        <w:rPr>
          <w:rFonts w:hint="eastAsia" w:ascii="宋体" w:hAnsi="宋体" w:cs="Calibri"/>
          <w:color w:val="000000"/>
          <w:kern w:val="0"/>
          <w:sz w:val="22"/>
        </w:rPr>
        <w:t>四</w:t>
      </w:r>
      <w:r>
        <w:rPr>
          <w:rFonts w:ascii="宋体" w:hAnsi="宋体" w:cs="Calibri"/>
          <w:color w:val="000000"/>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7.</w:t>
      </w:r>
      <w:r>
        <w:rPr>
          <w:rFonts w:hint="eastAsia" w:ascii="宋体" w:hAnsi="宋体" w:cs="Calibri"/>
          <w:color w:val="000000"/>
          <w:kern w:val="0"/>
          <w:sz w:val="22"/>
        </w:rPr>
        <w:t>4</w:t>
      </w:r>
      <w:r>
        <w:rPr>
          <w:rFonts w:ascii="宋体" w:hAnsi="宋体" w:cs="Calibri"/>
          <w:color w:val="000000"/>
          <w:kern w:val="0"/>
          <w:sz w:val="22"/>
        </w:rPr>
        <w:t>.2 发出中标通知书后，招标人无正当理由拒签合同的，招标人向中标人退还投标保证金；给中标人造成损失的，还应当赔偿损失。</w:t>
      </w:r>
    </w:p>
    <w:p>
      <w:pPr>
        <w:adjustRightInd w:val="0"/>
        <w:snapToGrid w:val="0"/>
        <w:spacing w:line="360" w:lineRule="auto"/>
        <w:ind w:firstLine="440" w:firstLineChars="200"/>
        <w:rPr>
          <w:rFonts w:ascii="宋体" w:hAnsi="宋体" w:cs="Calibri"/>
          <w:color w:val="000000"/>
          <w:kern w:val="0"/>
          <w:sz w:val="22"/>
        </w:rPr>
      </w:pPr>
      <w:r>
        <w:rPr>
          <w:rFonts w:hint="eastAsia" w:ascii="宋体" w:hAnsi="宋体" w:cs="Calibri"/>
          <w:color w:val="000000"/>
          <w:kern w:val="0"/>
          <w:sz w:val="22"/>
        </w:rPr>
        <w:t>7.4.3 招标人在授予合同有权对本项目的服务内容等予以增加或者减少，中标人不得提出异议，否则招标人有权取消其中标资格。</w:t>
      </w:r>
    </w:p>
    <w:p>
      <w:pPr>
        <w:adjustRightInd w:val="0"/>
        <w:snapToGrid w:val="0"/>
        <w:spacing w:line="360" w:lineRule="auto"/>
        <w:ind w:firstLine="440" w:firstLineChars="200"/>
        <w:rPr>
          <w:rFonts w:ascii="宋体" w:hAnsi="宋体" w:cs="Calibri"/>
          <w:color w:val="000000"/>
          <w:kern w:val="0"/>
          <w:sz w:val="22"/>
        </w:rPr>
      </w:pPr>
      <w:r>
        <w:rPr>
          <w:rFonts w:hint="eastAsia" w:ascii="宋体" w:hAnsi="宋体" w:cs="Calibri"/>
          <w:color w:val="000000"/>
          <w:kern w:val="0"/>
          <w:sz w:val="22"/>
        </w:rPr>
        <w:t>7.4.4 招标人在授予合同前的任何时候，仍保留接受或者拒绝任何投标和拒绝所有投标的权利。</w:t>
      </w:r>
    </w:p>
    <w:p>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8.重新招标和不再招标</w:t>
      </w:r>
      <w:bookmarkEnd w:id="71"/>
      <w:bookmarkEnd w:id="72"/>
      <w:bookmarkEnd w:id="73"/>
    </w:p>
    <w:p>
      <w:pPr>
        <w:autoSpaceDE w:val="0"/>
        <w:autoSpaceDN w:val="0"/>
        <w:adjustRightInd w:val="0"/>
        <w:snapToGrid w:val="0"/>
        <w:spacing w:line="360" w:lineRule="auto"/>
        <w:rPr>
          <w:rFonts w:ascii="宋体" w:hAnsi="宋体" w:cs="Calibri"/>
          <w:b/>
          <w:bCs/>
          <w:kern w:val="0"/>
          <w:sz w:val="22"/>
        </w:rPr>
      </w:pPr>
      <w:bookmarkStart w:id="74" w:name="_Toc220123242"/>
      <w:bookmarkStart w:id="75" w:name="_Toc219809802"/>
      <w:bookmarkStart w:id="76" w:name="_Toc15553"/>
      <w:r>
        <w:rPr>
          <w:rFonts w:ascii="宋体" w:hAnsi="宋体" w:cs="Calibri"/>
          <w:b/>
          <w:bCs/>
          <w:kern w:val="0"/>
          <w:sz w:val="22"/>
        </w:rPr>
        <w:t>8.1 重新招标</w:t>
      </w:r>
      <w:bookmarkEnd w:id="74"/>
      <w:bookmarkEnd w:id="75"/>
      <w:bookmarkEnd w:id="76"/>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有下列情形之一的，招标人将重新招标；</w:t>
      </w:r>
    </w:p>
    <w:p>
      <w:pPr>
        <w:adjustRightInd w:val="0"/>
        <w:snapToGrid w:val="0"/>
        <w:spacing w:line="360" w:lineRule="auto"/>
        <w:ind w:firstLine="440" w:firstLineChars="200"/>
        <w:rPr>
          <w:rFonts w:ascii="宋体" w:hAnsi="宋体" w:cs="Calibri"/>
          <w:color w:val="000000"/>
          <w:kern w:val="0"/>
          <w:sz w:val="22"/>
        </w:rPr>
      </w:pPr>
      <w:r>
        <w:rPr>
          <w:rFonts w:ascii="宋体" w:hAnsi="宋体" w:cs="Calibri"/>
          <w:color w:val="000000"/>
          <w:kern w:val="0"/>
          <w:sz w:val="22"/>
        </w:rPr>
        <w:t>（1）投标截止时间止，投标人少于3个的；</w:t>
      </w:r>
    </w:p>
    <w:p>
      <w:pPr>
        <w:adjustRightInd w:val="0"/>
        <w:snapToGrid w:val="0"/>
        <w:spacing w:line="360" w:lineRule="auto"/>
        <w:ind w:firstLine="440" w:firstLineChars="200"/>
        <w:rPr>
          <w:rFonts w:ascii="宋体" w:hAnsi="宋体" w:cs="Calibri"/>
          <w:color w:val="000000"/>
          <w:kern w:val="0"/>
          <w:sz w:val="22"/>
        </w:rPr>
      </w:pPr>
      <w:r>
        <w:rPr>
          <w:rFonts w:hint="eastAsia" w:ascii="宋体" w:hAnsi="宋体" w:cs="Calibri"/>
          <w:color w:val="000000"/>
          <w:kern w:val="0"/>
          <w:sz w:val="22"/>
        </w:rPr>
        <w:t>（2）</w:t>
      </w:r>
      <w:r>
        <w:rPr>
          <w:rFonts w:hint="eastAsia" w:ascii="宋体" w:hAnsi="宋体"/>
          <w:bCs/>
          <w:sz w:val="22"/>
        </w:rPr>
        <w:t>所有投标人的报价均偏高，招标人无法接受的；</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kern w:val="0"/>
          <w:sz w:val="22"/>
        </w:rPr>
        <w:t>（</w:t>
      </w:r>
      <w:r>
        <w:rPr>
          <w:rFonts w:hint="eastAsia" w:ascii="宋体" w:hAnsi="宋体" w:cs="Calibri"/>
          <w:color w:val="000000"/>
          <w:kern w:val="0"/>
          <w:sz w:val="22"/>
        </w:rPr>
        <w:t>3</w:t>
      </w:r>
      <w:r>
        <w:rPr>
          <w:rFonts w:ascii="宋体" w:hAnsi="宋体" w:cs="Calibri"/>
          <w:color w:val="000000"/>
          <w:kern w:val="0"/>
          <w:sz w:val="22"/>
        </w:rPr>
        <w:t>）经评标委员会评审后否决所有投标的。</w:t>
      </w:r>
    </w:p>
    <w:p>
      <w:pPr>
        <w:autoSpaceDE w:val="0"/>
        <w:autoSpaceDN w:val="0"/>
        <w:adjustRightInd w:val="0"/>
        <w:snapToGrid w:val="0"/>
        <w:spacing w:line="360" w:lineRule="auto"/>
        <w:rPr>
          <w:rFonts w:ascii="宋体" w:hAnsi="宋体" w:cs="Calibri"/>
          <w:b/>
          <w:bCs/>
          <w:kern w:val="0"/>
          <w:sz w:val="22"/>
        </w:rPr>
      </w:pPr>
      <w:bookmarkStart w:id="77" w:name="_Toc219809803"/>
      <w:bookmarkStart w:id="78" w:name="_Toc220123243"/>
      <w:bookmarkStart w:id="79" w:name="_Toc18806"/>
      <w:r>
        <w:rPr>
          <w:rFonts w:ascii="宋体" w:hAnsi="宋体" w:cs="Calibri"/>
          <w:b/>
          <w:bCs/>
          <w:kern w:val="0"/>
          <w:sz w:val="22"/>
        </w:rPr>
        <w:t>8.2 不再招标</w:t>
      </w:r>
      <w:bookmarkEnd w:id="77"/>
      <w:bookmarkEnd w:id="78"/>
      <w:bookmarkEnd w:id="79"/>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重新招标后投标人仍少于3个或者所有投标被否决的，经批准后不再进行招标。</w:t>
      </w:r>
    </w:p>
    <w:p>
      <w:pPr>
        <w:autoSpaceDE w:val="0"/>
        <w:autoSpaceDN w:val="0"/>
        <w:adjustRightInd w:val="0"/>
        <w:snapToGrid w:val="0"/>
        <w:spacing w:line="360" w:lineRule="auto"/>
        <w:rPr>
          <w:rFonts w:ascii="宋体" w:hAnsi="宋体" w:cs="Calibri"/>
          <w:b/>
          <w:bCs/>
          <w:kern w:val="0"/>
          <w:sz w:val="22"/>
        </w:rPr>
      </w:pPr>
      <w:bookmarkStart w:id="80" w:name="_Toc215941254"/>
      <w:bookmarkStart w:id="81" w:name="_Toc219809804"/>
      <w:bookmarkStart w:id="82" w:name="_Toc220123244"/>
      <w:bookmarkStart w:id="83" w:name="_Toc2986"/>
      <w:r>
        <w:rPr>
          <w:rFonts w:ascii="宋体" w:hAnsi="宋体" w:cs="Calibri"/>
          <w:b/>
          <w:bCs/>
          <w:kern w:val="0"/>
          <w:sz w:val="22"/>
        </w:rPr>
        <w:t>9.纪律和监督</w:t>
      </w:r>
      <w:bookmarkEnd w:id="80"/>
      <w:bookmarkEnd w:id="81"/>
      <w:bookmarkEnd w:id="82"/>
      <w:bookmarkEnd w:id="83"/>
    </w:p>
    <w:p>
      <w:pPr>
        <w:autoSpaceDE w:val="0"/>
        <w:autoSpaceDN w:val="0"/>
        <w:adjustRightInd w:val="0"/>
        <w:snapToGrid w:val="0"/>
        <w:spacing w:line="360" w:lineRule="auto"/>
        <w:rPr>
          <w:rFonts w:ascii="宋体" w:hAnsi="宋体" w:cs="Calibri"/>
          <w:b/>
          <w:bCs/>
          <w:kern w:val="0"/>
          <w:sz w:val="22"/>
        </w:rPr>
      </w:pPr>
      <w:bookmarkStart w:id="84" w:name="_Toc219809805"/>
      <w:bookmarkStart w:id="85" w:name="_Toc220123245"/>
      <w:bookmarkStart w:id="86" w:name="_Toc5509"/>
      <w:r>
        <w:rPr>
          <w:rFonts w:ascii="宋体" w:hAnsi="宋体" w:cs="Calibri"/>
          <w:b/>
          <w:bCs/>
          <w:kern w:val="0"/>
          <w:sz w:val="22"/>
        </w:rPr>
        <w:t>9.1 对招标人的纪律要求</w:t>
      </w:r>
      <w:bookmarkEnd w:id="84"/>
      <w:bookmarkEnd w:id="85"/>
      <w:bookmarkEnd w:id="86"/>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auto"/>
        <w:rPr>
          <w:rFonts w:ascii="宋体" w:hAnsi="宋体" w:cs="Calibri"/>
          <w:b/>
          <w:bCs/>
          <w:kern w:val="0"/>
          <w:sz w:val="22"/>
        </w:rPr>
      </w:pPr>
      <w:bookmarkStart w:id="87" w:name="_Toc219809806"/>
      <w:bookmarkStart w:id="88" w:name="_Toc220123246"/>
      <w:bookmarkStart w:id="89" w:name="_Toc10820"/>
      <w:r>
        <w:rPr>
          <w:rFonts w:ascii="宋体" w:hAnsi="宋体" w:cs="Calibri"/>
          <w:b/>
          <w:bCs/>
          <w:kern w:val="0"/>
          <w:sz w:val="22"/>
        </w:rPr>
        <w:t>9.2 对投标人的纪律要求</w:t>
      </w:r>
      <w:bookmarkEnd w:id="87"/>
      <w:bookmarkEnd w:id="88"/>
      <w:bookmarkEnd w:id="89"/>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auto"/>
        <w:ind w:firstLine="440"/>
        <w:rPr>
          <w:rFonts w:ascii="宋体" w:hAnsi="宋体" w:cs="Calibri"/>
          <w:color w:val="000000"/>
          <w:sz w:val="22"/>
        </w:rPr>
      </w:pPr>
      <w:r>
        <w:rPr>
          <w:rFonts w:hint="eastAsia" w:ascii="宋体" w:hAnsi="宋体" w:cs="Calibri"/>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auto"/>
        <w:rPr>
          <w:rFonts w:ascii="宋体" w:hAnsi="宋体" w:cs="Calibri"/>
          <w:b/>
          <w:bCs/>
          <w:kern w:val="0"/>
          <w:sz w:val="22"/>
        </w:rPr>
      </w:pPr>
      <w:bookmarkStart w:id="90" w:name="_Toc219809807"/>
      <w:bookmarkStart w:id="91" w:name="_Toc220123247"/>
      <w:bookmarkStart w:id="92" w:name="_Toc10756"/>
      <w:r>
        <w:rPr>
          <w:rFonts w:ascii="宋体" w:hAnsi="宋体" w:cs="Calibri"/>
          <w:b/>
          <w:bCs/>
          <w:kern w:val="0"/>
          <w:sz w:val="22"/>
        </w:rPr>
        <w:t>9.3 对评标委员会成员的纪律要求</w:t>
      </w:r>
      <w:bookmarkEnd w:id="90"/>
      <w:bookmarkEnd w:id="91"/>
      <w:bookmarkEnd w:id="92"/>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auto"/>
        <w:rPr>
          <w:rFonts w:ascii="宋体" w:hAnsi="宋体" w:cs="Calibri"/>
          <w:b/>
          <w:bCs/>
          <w:kern w:val="0"/>
          <w:sz w:val="22"/>
        </w:rPr>
      </w:pPr>
      <w:bookmarkStart w:id="93" w:name="_Toc219809808"/>
      <w:bookmarkStart w:id="94" w:name="_Toc220123248"/>
      <w:bookmarkStart w:id="95" w:name="_Toc12792"/>
      <w:r>
        <w:rPr>
          <w:rFonts w:ascii="宋体" w:hAnsi="宋体" w:cs="Calibri"/>
          <w:b/>
          <w:bCs/>
          <w:kern w:val="0"/>
          <w:sz w:val="22"/>
        </w:rPr>
        <w:t>9.4 对评标活动有关的工作人员的纪律要求</w:t>
      </w:r>
      <w:bookmarkEnd w:id="93"/>
      <w:bookmarkEnd w:id="94"/>
      <w:bookmarkEnd w:id="95"/>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auto"/>
        <w:rPr>
          <w:rFonts w:ascii="宋体" w:hAnsi="宋体" w:cs="Calibri"/>
          <w:b/>
          <w:bCs/>
          <w:kern w:val="0"/>
          <w:sz w:val="22"/>
        </w:rPr>
      </w:pPr>
      <w:bookmarkStart w:id="96" w:name="_Toc219809809"/>
      <w:bookmarkStart w:id="97" w:name="_Toc220123249"/>
      <w:bookmarkStart w:id="98" w:name="_Toc239"/>
      <w:r>
        <w:rPr>
          <w:rFonts w:ascii="宋体" w:hAnsi="宋体" w:cs="Calibri"/>
          <w:b/>
          <w:bCs/>
          <w:kern w:val="0"/>
          <w:sz w:val="22"/>
        </w:rPr>
        <w:t>9.5 投诉</w:t>
      </w:r>
      <w:bookmarkEnd w:id="96"/>
      <w:bookmarkEnd w:id="97"/>
      <w:bookmarkEnd w:id="98"/>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auto"/>
        <w:rPr>
          <w:rFonts w:ascii="宋体" w:hAnsi="宋体" w:cs="Calibri"/>
          <w:b/>
          <w:bCs/>
          <w:kern w:val="0"/>
          <w:sz w:val="22"/>
        </w:rPr>
      </w:pPr>
      <w:bookmarkStart w:id="99" w:name="_Toc10817"/>
      <w:r>
        <w:rPr>
          <w:rFonts w:ascii="宋体" w:hAnsi="宋体" w:cs="Calibri"/>
          <w:b/>
          <w:bCs/>
          <w:kern w:val="0"/>
          <w:sz w:val="22"/>
        </w:rPr>
        <w:t>10. 需要补充的其他内容</w:t>
      </w:r>
      <w:bookmarkEnd w:id="99"/>
    </w:p>
    <w:p>
      <w:pPr>
        <w:autoSpaceDE w:val="0"/>
        <w:autoSpaceDN w:val="0"/>
        <w:adjustRightInd w:val="0"/>
        <w:snapToGrid w:val="0"/>
        <w:spacing w:line="360" w:lineRule="auto"/>
        <w:ind w:firstLine="440" w:firstLineChars="200"/>
        <w:jc w:val="left"/>
        <w:rPr>
          <w:rFonts w:ascii="宋体" w:hAnsi="宋体" w:cs="Calibri"/>
          <w:color w:val="000000"/>
          <w:sz w:val="22"/>
        </w:rPr>
      </w:pPr>
      <w:r>
        <w:rPr>
          <w:rFonts w:ascii="宋体" w:hAnsi="宋体" w:cs="Calibri"/>
          <w:color w:val="000000"/>
          <w:sz w:val="22"/>
        </w:rPr>
        <w:t>需要补充的其他内容：见投标人须知前附表。</w:t>
      </w:r>
    </w:p>
    <w:p>
      <w:pPr>
        <w:pStyle w:val="2"/>
        <w:snapToGrid w:val="0"/>
        <w:spacing w:before="0" w:after="0" w:line="360" w:lineRule="auto"/>
        <w:jc w:val="center"/>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Calibri" w:hAnsi="Calibri" w:eastAsia="黑体" w:cs="Calibri"/>
          <w:kern w:val="0"/>
          <w:sz w:val="32"/>
        </w:rPr>
      </w:pPr>
      <w:bookmarkStart w:id="100" w:name="_Toc223327527"/>
      <w:bookmarkStart w:id="101" w:name="_Toc213036227"/>
      <w:bookmarkStart w:id="10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00"/>
      <w:bookmarkEnd w:id="101"/>
      <w:r>
        <w:rPr>
          <w:rFonts w:hint="eastAsia" w:ascii="Calibri" w:hAnsi="Calibri" w:eastAsia="黑体" w:cs="Calibri"/>
          <w:kern w:val="0"/>
          <w:sz w:val="32"/>
        </w:rPr>
        <w:t>服务技术标准及要求</w:t>
      </w:r>
      <w:bookmarkEnd w:id="102"/>
    </w:p>
    <w:p>
      <w:pPr>
        <w:adjustRightInd w:val="0"/>
        <w:snapToGrid w:val="0"/>
        <w:spacing w:line="360" w:lineRule="auto"/>
        <w:ind w:firstLine="442" w:firstLineChars="200"/>
        <w:outlineLvl w:val="0"/>
        <w:rPr>
          <w:rFonts w:ascii="宋体" w:hAnsi="宋体"/>
          <w:b/>
          <w:bCs/>
          <w:kern w:val="44"/>
          <w:sz w:val="22"/>
          <w:szCs w:val="21"/>
          <w:lang w:val="zh-CN"/>
        </w:rPr>
      </w:pPr>
      <w:bookmarkStart w:id="103" w:name="_Toc472337583"/>
      <w:r>
        <w:rPr>
          <w:rFonts w:hint="eastAsia" w:ascii="宋体" w:hAnsi="宋体"/>
          <w:b/>
          <w:bCs/>
          <w:kern w:val="44"/>
          <w:sz w:val="22"/>
          <w:szCs w:val="21"/>
          <w:lang w:val="zh-CN"/>
        </w:rPr>
        <w:t>一、项目简介</w:t>
      </w:r>
    </w:p>
    <w:bookmarkEnd w:id="103"/>
    <w:p>
      <w:pPr>
        <w:widowControl/>
        <w:spacing w:line="360" w:lineRule="auto"/>
        <w:ind w:firstLine="440" w:firstLineChars="200"/>
        <w:jc w:val="left"/>
        <w:rPr>
          <w:rFonts w:hint="eastAsia" w:ascii="宋体" w:hAnsi="宋体"/>
          <w:bCs/>
          <w:kern w:val="0"/>
          <w:sz w:val="22"/>
          <w:lang w:bidi="en-US"/>
        </w:rPr>
      </w:pPr>
      <w:r>
        <w:rPr>
          <w:rFonts w:hint="eastAsia" w:ascii="宋体" w:hAnsi="宋体"/>
          <w:bCs/>
          <w:kern w:val="0"/>
          <w:sz w:val="22"/>
          <w:lang w:bidi="en-US"/>
        </w:rPr>
        <w:t>杭州萧山国际机场现110kV变电站于2012年9月投运，用于机场东区、全部航站楼及1号路北侧区域供电，装机容量为2台50000kVA主变，互为备用，48面10kV馈线柜供电至场区内各10kV变电站。目前，110kV变电站实际最大负荷约25000kVA，已达到装机容量的50%，48面馈线柜已使用43面，剩余5面柜子可用。</w:t>
      </w:r>
    </w:p>
    <w:p>
      <w:pPr>
        <w:widowControl/>
        <w:spacing w:line="360" w:lineRule="auto"/>
        <w:ind w:firstLine="440" w:firstLineChars="200"/>
        <w:jc w:val="left"/>
        <w:rPr>
          <w:rFonts w:ascii="宋体" w:hAnsi="宋体"/>
          <w:bCs/>
          <w:kern w:val="0"/>
          <w:sz w:val="22"/>
          <w:lang w:bidi="en-US"/>
        </w:rPr>
      </w:pPr>
      <w:r>
        <w:rPr>
          <w:rFonts w:hint="eastAsia" w:ascii="宋体" w:hAnsi="宋体"/>
          <w:bCs/>
          <w:kern w:val="0"/>
          <w:sz w:val="22"/>
          <w:lang w:bidi="en-US"/>
        </w:rPr>
        <w:t>根据机场远期建设规划，110kV变电站现有规模已无法满足近期用电需求，计划按照110KV变电站的终端容量（100000kVA）进行改造，在现有2台50000kVA主变的基础上再新建2台50000KVA主变压器，</w:t>
      </w:r>
    </w:p>
    <w:p>
      <w:pPr>
        <w:widowControl/>
        <w:spacing w:line="360" w:lineRule="auto"/>
        <w:ind w:firstLine="440" w:firstLineChars="200"/>
        <w:jc w:val="left"/>
        <w:rPr>
          <w:rFonts w:hint="eastAsia" w:ascii="宋体" w:hAnsi="宋体"/>
          <w:bCs/>
          <w:kern w:val="0"/>
          <w:sz w:val="22"/>
          <w:lang w:bidi="en-US"/>
        </w:rPr>
      </w:pPr>
      <w:r>
        <w:rPr>
          <w:rFonts w:hint="eastAsia" w:ascii="宋体" w:hAnsi="宋体"/>
          <w:bCs/>
          <w:kern w:val="0"/>
          <w:sz w:val="22"/>
          <w:lang w:bidi="en-US"/>
        </w:rPr>
        <w:t>扩容外接线路方案采用T接合兴线路至机场方案，路径由瓜沥变西侧出线，线路左转往北，利用户外电缆终端平台接入合兴-空港线路（空港1643线），形成瓜沥-合兴-空港1回线，新建单回电缆线路约0.5km。</w:t>
      </w:r>
    </w:p>
    <w:p>
      <w:pPr>
        <w:widowControl/>
        <w:autoSpaceDE w:val="0"/>
        <w:autoSpaceDN w:val="0"/>
        <w:adjustRightInd w:val="0"/>
        <w:spacing w:line="360" w:lineRule="auto"/>
        <w:ind w:firstLine="331" w:firstLineChars="150"/>
        <w:rPr>
          <w:rFonts w:ascii="宋体" w:hAnsi="宋体"/>
          <w:b/>
          <w:bCs/>
          <w:sz w:val="22"/>
        </w:rPr>
      </w:pPr>
      <w:r>
        <w:rPr>
          <w:rFonts w:hint="eastAsia" w:ascii="宋体" w:hAnsi="宋体"/>
          <w:b/>
          <w:sz w:val="22"/>
        </w:rPr>
        <w:t xml:space="preserve"> 二、</w:t>
      </w:r>
      <w:r>
        <w:rPr>
          <w:rFonts w:hint="eastAsia" w:ascii="宋体" w:hAnsi="宋体"/>
          <w:b/>
          <w:bCs/>
          <w:sz w:val="22"/>
        </w:rPr>
        <w:t>研究任务</w:t>
      </w:r>
    </w:p>
    <w:p>
      <w:pPr>
        <w:widowControl/>
        <w:spacing w:line="360" w:lineRule="auto"/>
        <w:ind w:firstLine="440" w:firstLineChars="200"/>
        <w:jc w:val="left"/>
        <w:rPr>
          <w:rFonts w:hint="eastAsia" w:ascii="宋体" w:hAnsi="宋体"/>
          <w:bCs/>
          <w:kern w:val="0"/>
          <w:sz w:val="22"/>
          <w:lang w:bidi="en-US"/>
        </w:rPr>
      </w:pPr>
      <w:r>
        <w:rPr>
          <w:rFonts w:hint="eastAsia" w:ascii="宋体" w:hAnsi="宋体"/>
          <w:bCs/>
          <w:kern w:val="0"/>
          <w:sz w:val="22"/>
          <w:lang w:bidi="en-US"/>
        </w:rPr>
        <w:t>本次研究的主要任务是对杭州萧山国际机场110KV变电站扩容项目进行电能质量评估研究，评估报告应依据国家相关法律法规要求，结合国家、浙江省、杭州市电力标准的相关要求进行编制，至少包括以下内容：</w:t>
      </w:r>
    </w:p>
    <w:p>
      <w:pPr>
        <w:widowControl/>
        <w:adjustRightInd w:val="0"/>
        <w:snapToGrid w:val="0"/>
        <w:spacing w:line="360" w:lineRule="auto"/>
        <w:ind w:firstLine="440" w:firstLineChars="200"/>
        <w:rPr>
          <w:rFonts w:hint="eastAsia" w:ascii="宋体" w:hAnsi="宋体"/>
          <w:sz w:val="22"/>
        </w:rPr>
      </w:pPr>
      <w:r>
        <w:rPr>
          <w:rFonts w:hint="eastAsia" w:ascii="宋体" w:hAnsi="宋体"/>
          <w:sz w:val="22"/>
        </w:rPr>
        <w:t>1.数据建模；</w:t>
      </w:r>
    </w:p>
    <w:p>
      <w:pPr>
        <w:widowControl/>
        <w:adjustRightInd w:val="0"/>
        <w:snapToGrid w:val="0"/>
        <w:spacing w:line="360" w:lineRule="auto"/>
        <w:ind w:firstLine="440" w:firstLineChars="200"/>
        <w:rPr>
          <w:rFonts w:hint="eastAsia" w:ascii="宋体" w:hAnsi="宋体"/>
          <w:sz w:val="22"/>
        </w:rPr>
      </w:pPr>
      <w:r>
        <w:rPr>
          <w:rFonts w:hint="eastAsia" w:ascii="宋体" w:hAnsi="宋体"/>
          <w:sz w:val="22"/>
        </w:rPr>
        <w:t>2.数据分析，包括谐波、电压偏差、电压波动、闪变、电压不平衡度、直流分量、电力系统频率偏差等项目；</w:t>
      </w:r>
    </w:p>
    <w:p>
      <w:pPr>
        <w:widowControl/>
        <w:adjustRightInd w:val="0"/>
        <w:snapToGrid w:val="0"/>
        <w:spacing w:line="360" w:lineRule="auto"/>
        <w:ind w:firstLine="440" w:firstLineChars="200"/>
        <w:rPr>
          <w:rFonts w:hint="eastAsia" w:ascii="宋体" w:hAnsi="宋体"/>
          <w:sz w:val="22"/>
        </w:rPr>
      </w:pPr>
      <w:r>
        <w:rPr>
          <w:rFonts w:hint="eastAsia" w:ascii="宋体" w:hAnsi="宋体"/>
          <w:sz w:val="22"/>
        </w:rPr>
        <w:t>3.评估结论</w:t>
      </w:r>
    </w:p>
    <w:p>
      <w:pPr>
        <w:widowControl/>
        <w:autoSpaceDE w:val="0"/>
        <w:autoSpaceDN w:val="0"/>
        <w:adjustRightInd w:val="0"/>
        <w:spacing w:line="360" w:lineRule="auto"/>
        <w:ind w:firstLine="442" w:firstLineChars="200"/>
        <w:rPr>
          <w:rFonts w:ascii="宋体" w:hAnsi="宋体"/>
          <w:b/>
          <w:bCs/>
          <w:sz w:val="22"/>
        </w:rPr>
      </w:pPr>
      <w:bookmarkStart w:id="104" w:name="_Toc453691309"/>
      <w:r>
        <w:rPr>
          <w:rFonts w:hint="eastAsia" w:ascii="宋体" w:hAnsi="宋体"/>
          <w:b/>
          <w:bCs/>
          <w:sz w:val="22"/>
        </w:rPr>
        <w:t>三、</w:t>
      </w:r>
      <w:bookmarkEnd w:id="104"/>
      <w:r>
        <w:rPr>
          <w:rFonts w:hint="eastAsia" w:ascii="宋体" w:hAnsi="宋体"/>
          <w:b/>
          <w:bCs/>
          <w:sz w:val="22"/>
        </w:rPr>
        <w:t>项目成果</w:t>
      </w:r>
    </w:p>
    <w:p>
      <w:pPr>
        <w:widowControl/>
        <w:autoSpaceDE w:val="0"/>
        <w:autoSpaceDN w:val="0"/>
        <w:adjustRightInd w:val="0"/>
        <w:spacing w:line="360" w:lineRule="auto"/>
        <w:ind w:firstLine="440" w:firstLineChars="200"/>
        <w:rPr>
          <w:rFonts w:ascii="宋体" w:hAnsi="宋体"/>
          <w:sz w:val="22"/>
        </w:rPr>
      </w:pPr>
      <w:r>
        <w:rPr>
          <w:rFonts w:hint="eastAsia" w:ascii="宋体" w:hAnsi="宋体"/>
          <w:sz w:val="22"/>
        </w:rPr>
        <w:t>项目成果为包括上述研究内容的研究报告。最终成果以通过甲方评审及当地行政主管部门审查批复为准</w:t>
      </w:r>
      <w:r>
        <w:rPr>
          <w:rFonts w:ascii="宋体" w:hAnsi="宋体"/>
          <w:sz w:val="22"/>
        </w:rPr>
        <w:t>。</w:t>
      </w:r>
    </w:p>
    <w:p>
      <w:pPr>
        <w:widowControl/>
        <w:autoSpaceDE w:val="0"/>
        <w:autoSpaceDN w:val="0"/>
        <w:adjustRightInd w:val="0"/>
        <w:spacing w:line="360" w:lineRule="auto"/>
        <w:ind w:firstLine="442" w:firstLineChars="200"/>
        <w:rPr>
          <w:rFonts w:ascii="宋体" w:hAnsi="宋体"/>
          <w:b/>
          <w:sz w:val="22"/>
        </w:rPr>
      </w:pPr>
      <w:r>
        <w:rPr>
          <w:rFonts w:hint="eastAsia" w:ascii="宋体" w:hAnsi="宋体"/>
          <w:b/>
          <w:sz w:val="22"/>
        </w:rPr>
        <w:t>四、项目实施服务期及服务要求</w:t>
      </w:r>
    </w:p>
    <w:p>
      <w:pPr>
        <w:widowControl/>
        <w:adjustRightInd w:val="0"/>
        <w:snapToGrid w:val="0"/>
        <w:spacing w:line="360" w:lineRule="auto"/>
        <w:ind w:firstLine="440" w:firstLineChars="200"/>
        <w:rPr>
          <w:rFonts w:hint="eastAsia" w:ascii="宋体" w:hAnsi="宋体"/>
          <w:sz w:val="22"/>
        </w:rPr>
      </w:pPr>
      <w:r>
        <w:rPr>
          <w:rFonts w:hint="eastAsia" w:ascii="宋体" w:hAnsi="宋体"/>
          <w:sz w:val="22"/>
        </w:rPr>
        <w:t>1.会同项目方做好研究工作计划、方案；</w:t>
      </w:r>
    </w:p>
    <w:p>
      <w:pPr>
        <w:widowControl/>
        <w:adjustRightInd w:val="0"/>
        <w:snapToGrid w:val="0"/>
        <w:spacing w:line="360" w:lineRule="auto"/>
        <w:ind w:firstLine="440" w:firstLineChars="200"/>
        <w:rPr>
          <w:rFonts w:hint="eastAsia" w:ascii="宋体" w:hAnsi="宋体"/>
          <w:sz w:val="22"/>
        </w:rPr>
      </w:pPr>
      <w:r>
        <w:rPr>
          <w:rFonts w:hint="eastAsia" w:ascii="宋体" w:hAnsi="宋体"/>
          <w:sz w:val="22"/>
        </w:rPr>
        <w:t>2.深入项目单位进行调研和资料收集，提前一周提交调研计划、调研清单；</w:t>
      </w:r>
    </w:p>
    <w:p>
      <w:pPr>
        <w:widowControl/>
        <w:adjustRightInd w:val="0"/>
        <w:snapToGrid w:val="0"/>
        <w:spacing w:line="360" w:lineRule="auto"/>
        <w:ind w:firstLine="440" w:firstLineChars="200"/>
        <w:rPr>
          <w:rFonts w:hint="eastAsia" w:ascii="宋体" w:hAnsi="宋体"/>
          <w:sz w:val="22"/>
        </w:rPr>
      </w:pPr>
      <w:r>
        <w:rPr>
          <w:rFonts w:hint="eastAsia" w:ascii="宋体" w:hAnsi="宋体"/>
          <w:sz w:val="22"/>
        </w:rPr>
        <w:t>3.承担每个阶段业主单位的汇报、征求意见等程序性工作；</w:t>
      </w:r>
    </w:p>
    <w:p>
      <w:pPr>
        <w:widowControl/>
        <w:adjustRightInd w:val="0"/>
        <w:snapToGrid w:val="0"/>
        <w:spacing w:line="360" w:lineRule="auto"/>
        <w:ind w:firstLine="440" w:firstLineChars="200"/>
        <w:rPr>
          <w:rFonts w:hint="eastAsia" w:ascii="宋体" w:hAnsi="宋体"/>
          <w:sz w:val="22"/>
        </w:rPr>
      </w:pPr>
      <w:r>
        <w:rPr>
          <w:rFonts w:hint="eastAsia" w:ascii="宋体" w:hAnsi="宋体"/>
          <w:sz w:val="22"/>
        </w:rPr>
        <w:t>4.时间要求：合同签订后一周内启动项目，合同签订后60日历天内提交研究初稿，安排阶段性汇报讨论，通过业主单位评审后定稿；</w:t>
      </w:r>
    </w:p>
    <w:p>
      <w:pPr>
        <w:widowControl/>
        <w:adjustRightInd w:val="0"/>
        <w:snapToGrid w:val="0"/>
        <w:spacing w:line="360" w:lineRule="auto"/>
        <w:ind w:firstLine="440" w:firstLineChars="200"/>
        <w:rPr>
          <w:rFonts w:hint="eastAsia" w:ascii="宋体" w:hAnsi="宋体"/>
          <w:sz w:val="22"/>
        </w:rPr>
      </w:pPr>
      <w:r>
        <w:rPr>
          <w:rFonts w:hint="eastAsia" w:ascii="宋体" w:hAnsi="宋体"/>
          <w:sz w:val="22"/>
        </w:rPr>
        <w:t>5.项目组要求：明确负责人及团队人员，项目负责人有编制110kV等级或者相近行业接入电网电能质量评估的业绩（2014年至今），团队固定成员不少于4人，应全程参与调研、方案研究等过程。</w:t>
      </w:r>
    </w:p>
    <w:p>
      <w:pPr>
        <w:widowControl/>
        <w:adjustRightInd w:val="0"/>
        <w:snapToGrid w:val="0"/>
        <w:spacing w:line="360" w:lineRule="auto"/>
        <w:ind w:firstLine="440" w:firstLineChars="200"/>
        <w:rPr>
          <w:rFonts w:hint="eastAsia" w:ascii="宋体" w:hAnsi="宋体"/>
          <w:sz w:val="22"/>
        </w:rPr>
      </w:pPr>
      <w:r>
        <w:rPr>
          <w:rFonts w:hint="eastAsia" w:ascii="宋体" w:hAnsi="宋体"/>
          <w:sz w:val="22"/>
        </w:rPr>
        <w:t>6.项目成果：成果包括纸质评估文本、电子文件，内容必须清晰完整，符合设计要求，评估成果应完整、准确地阐述评估意图和内容，数量根据上报要求和评审要求确定。</w:t>
      </w:r>
    </w:p>
    <w:p>
      <w:pPr>
        <w:widowControl/>
        <w:autoSpaceDE w:val="0"/>
        <w:autoSpaceDN w:val="0"/>
        <w:adjustRightInd w:val="0"/>
        <w:spacing w:line="360" w:lineRule="auto"/>
        <w:ind w:firstLine="442" w:firstLineChars="200"/>
        <w:rPr>
          <w:rFonts w:ascii="宋体" w:hAnsi="宋体"/>
          <w:b/>
          <w:bCs/>
          <w:sz w:val="22"/>
        </w:rPr>
      </w:pPr>
      <w:bookmarkStart w:id="105" w:name="_Toc453691310"/>
      <w:r>
        <w:rPr>
          <w:rFonts w:hint="eastAsia" w:ascii="宋体" w:hAnsi="宋体"/>
          <w:b/>
          <w:bCs/>
          <w:sz w:val="22"/>
        </w:rPr>
        <w:t>五、成果版权及使用</w:t>
      </w:r>
      <w:bookmarkEnd w:id="105"/>
    </w:p>
    <w:p>
      <w:pPr>
        <w:widowControl/>
        <w:adjustRightInd w:val="0"/>
        <w:snapToGrid w:val="0"/>
        <w:spacing w:line="360" w:lineRule="auto"/>
        <w:ind w:firstLine="440" w:firstLineChars="200"/>
        <w:rPr>
          <w:rFonts w:ascii="宋体" w:hAnsi="宋体"/>
          <w:sz w:val="22"/>
        </w:rPr>
      </w:pPr>
      <w:r>
        <w:rPr>
          <w:rFonts w:ascii="宋体" w:hAnsi="宋体"/>
          <w:sz w:val="22"/>
        </w:rPr>
        <w:t>1.</w:t>
      </w:r>
      <w:r>
        <w:rPr>
          <w:rFonts w:hint="eastAsia" w:ascii="宋体" w:hAnsi="宋体"/>
          <w:sz w:val="22"/>
        </w:rPr>
        <w:t>项目成果所有权、使用权以及除署名权以外的知识产权均属于杭州萧山国际机场有限公司。中标单位未经同意不得外传，否则承担由此产生的一切法律和经济责任。未经允许，任何单位和个人不得转让和使用本项目的成果。</w:t>
      </w:r>
    </w:p>
    <w:p>
      <w:pPr>
        <w:widowControl/>
        <w:autoSpaceDE w:val="0"/>
        <w:autoSpaceDN w:val="0"/>
        <w:adjustRightInd w:val="0"/>
        <w:spacing w:line="360" w:lineRule="auto"/>
        <w:ind w:firstLine="440" w:firstLineChars="200"/>
        <w:rPr>
          <w:rFonts w:ascii="方正大标宋简体"/>
          <w:sz w:val="24"/>
        </w:rPr>
      </w:pPr>
      <w:r>
        <w:rPr>
          <w:rFonts w:hint="eastAsia" w:ascii="宋体" w:hAnsi="宋体"/>
          <w:sz w:val="22"/>
        </w:rPr>
        <w:t>2.合同另有约定的，从其约定。</w:t>
      </w:r>
    </w:p>
    <w:p>
      <w:pPr>
        <w:widowControl/>
        <w:jc w:val="left"/>
        <w:rPr>
          <w:rFonts w:eastAsia="黑体" w:cs="Calibri"/>
          <w:b/>
          <w:bCs/>
          <w:kern w:val="0"/>
          <w:sz w:val="32"/>
          <w:szCs w:val="44"/>
        </w:rPr>
      </w:pPr>
      <w:r>
        <w:rPr>
          <w:rFonts w:eastAsia="黑体" w:cs="Calibri"/>
          <w:b/>
          <w:bCs/>
          <w:kern w:val="0"/>
          <w:sz w:val="32"/>
          <w:szCs w:val="44"/>
        </w:rPr>
        <w:br w:type="page"/>
      </w:r>
    </w:p>
    <w:p>
      <w:pPr>
        <w:pStyle w:val="2"/>
        <w:spacing w:before="0" w:after="0" w:line="360" w:lineRule="auto"/>
        <w:jc w:val="center"/>
        <w:rPr>
          <w:rFonts w:ascii="Calibri" w:hAnsi="Calibri" w:eastAsia="黑体" w:cs="Calibri"/>
          <w:kern w:val="0"/>
          <w:sz w:val="32"/>
        </w:rPr>
      </w:pPr>
      <w:bookmarkStart w:id="106"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06"/>
    </w:p>
    <w:p>
      <w:pPr>
        <w:rPr>
          <w:sz w:val="24"/>
        </w:rPr>
      </w:pPr>
      <w:r>
        <w:rPr>
          <w:rFonts w:hint="eastAsia"/>
          <w:sz w:val="24"/>
        </w:rPr>
        <w:t>合同登记编号：</w:t>
      </w:r>
    </w:p>
    <w:tbl>
      <w:tblPr>
        <w:tblStyle w:val="12"/>
        <w:tblpPr w:leftFromText="180" w:rightFromText="180" w:vertAnchor="text" w:horzAnchor="page" w:tblpX="1906" w:tblpY="151"/>
        <w:tblW w:w="5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424"/>
        <w:gridCol w:w="425"/>
        <w:gridCol w:w="424"/>
        <w:gridCol w:w="425"/>
        <w:gridCol w:w="424"/>
        <w:gridCol w:w="425"/>
        <w:gridCol w:w="424"/>
        <w:gridCol w:w="424"/>
        <w:gridCol w:w="425"/>
        <w:gridCol w:w="424"/>
        <w:gridCol w:w="425"/>
        <w:gridCol w:w="42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424" w:type="dxa"/>
            <w:noWrap w:val="0"/>
            <w:vAlign w:val="top"/>
          </w:tcPr>
          <w:p>
            <w:pPr>
              <w:rPr>
                <w:sz w:val="24"/>
              </w:rPr>
            </w:pPr>
          </w:p>
        </w:tc>
        <w:tc>
          <w:tcPr>
            <w:tcW w:w="424" w:type="dxa"/>
            <w:noWrap w:val="0"/>
            <w:vAlign w:val="top"/>
          </w:tcPr>
          <w:p>
            <w:pPr>
              <w:rPr>
                <w:sz w:val="24"/>
              </w:rPr>
            </w:pPr>
          </w:p>
        </w:tc>
        <w:tc>
          <w:tcPr>
            <w:tcW w:w="425" w:type="dxa"/>
            <w:noWrap w:val="0"/>
            <w:vAlign w:val="top"/>
          </w:tcPr>
          <w:p>
            <w:pPr>
              <w:rPr>
                <w:sz w:val="24"/>
              </w:rPr>
            </w:pPr>
          </w:p>
        </w:tc>
        <w:tc>
          <w:tcPr>
            <w:tcW w:w="424" w:type="dxa"/>
            <w:noWrap w:val="0"/>
            <w:vAlign w:val="top"/>
          </w:tcPr>
          <w:p>
            <w:pPr>
              <w:rPr>
                <w:sz w:val="24"/>
              </w:rPr>
            </w:pPr>
          </w:p>
        </w:tc>
        <w:tc>
          <w:tcPr>
            <w:tcW w:w="425" w:type="dxa"/>
            <w:noWrap w:val="0"/>
            <w:vAlign w:val="top"/>
          </w:tcPr>
          <w:p>
            <w:pPr>
              <w:rPr>
                <w:sz w:val="24"/>
              </w:rPr>
            </w:pPr>
          </w:p>
        </w:tc>
        <w:tc>
          <w:tcPr>
            <w:tcW w:w="424" w:type="dxa"/>
            <w:noWrap w:val="0"/>
            <w:vAlign w:val="top"/>
          </w:tcPr>
          <w:p>
            <w:pPr>
              <w:rPr>
                <w:sz w:val="24"/>
              </w:rPr>
            </w:pPr>
          </w:p>
        </w:tc>
        <w:tc>
          <w:tcPr>
            <w:tcW w:w="425" w:type="dxa"/>
            <w:noWrap w:val="0"/>
            <w:vAlign w:val="top"/>
          </w:tcPr>
          <w:p>
            <w:pPr>
              <w:rPr>
                <w:sz w:val="24"/>
              </w:rPr>
            </w:pPr>
          </w:p>
        </w:tc>
        <w:tc>
          <w:tcPr>
            <w:tcW w:w="424" w:type="dxa"/>
            <w:noWrap w:val="0"/>
            <w:vAlign w:val="top"/>
          </w:tcPr>
          <w:p>
            <w:pPr>
              <w:rPr>
                <w:sz w:val="24"/>
              </w:rPr>
            </w:pPr>
          </w:p>
        </w:tc>
        <w:tc>
          <w:tcPr>
            <w:tcW w:w="424" w:type="dxa"/>
            <w:noWrap w:val="0"/>
            <w:vAlign w:val="top"/>
          </w:tcPr>
          <w:p>
            <w:pPr>
              <w:rPr>
                <w:sz w:val="24"/>
              </w:rPr>
            </w:pPr>
          </w:p>
        </w:tc>
        <w:tc>
          <w:tcPr>
            <w:tcW w:w="425" w:type="dxa"/>
            <w:noWrap w:val="0"/>
            <w:vAlign w:val="top"/>
          </w:tcPr>
          <w:p>
            <w:pPr>
              <w:rPr>
                <w:sz w:val="24"/>
              </w:rPr>
            </w:pPr>
          </w:p>
        </w:tc>
        <w:tc>
          <w:tcPr>
            <w:tcW w:w="424" w:type="dxa"/>
            <w:noWrap w:val="0"/>
            <w:vAlign w:val="top"/>
          </w:tcPr>
          <w:p>
            <w:pPr>
              <w:rPr>
                <w:sz w:val="24"/>
              </w:rPr>
            </w:pPr>
          </w:p>
        </w:tc>
        <w:tc>
          <w:tcPr>
            <w:tcW w:w="425" w:type="dxa"/>
            <w:noWrap w:val="0"/>
            <w:vAlign w:val="top"/>
          </w:tcPr>
          <w:p>
            <w:pPr>
              <w:rPr>
                <w:sz w:val="24"/>
              </w:rPr>
            </w:pPr>
          </w:p>
        </w:tc>
        <w:tc>
          <w:tcPr>
            <w:tcW w:w="424" w:type="dxa"/>
            <w:noWrap w:val="0"/>
            <w:vAlign w:val="top"/>
          </w:tcPr>
          <w:p>
            <w:pPr>
              <w:rPr>
                <w:sz w:val="24"/>
              </w:rPr>
            </w:pPr>
          </w:p>
        </w:tc>
        <w:tc>
          <w:tcPr>
            <w:tcW w:w="425" w:type="dxa"/>
            <w:noWrap w:val="0"/>
            <w:vAlign w:val="top"/>
          </w:tcPr>
          <w:p>
            <w:pPr>
              <w:rPr>
                <w:sz w:val="24"/>
              </w:rPr>
            </w:pPr>
          </w:p>
        </w:tc>
      </w:tr>
    </w:tbl>
    <w:p>
      <w:pPr>
        <w:rPr>
          <w:sz w:val="24"/>
          <w:u w:val="single"/>
        </w:rPr>
      </w:pPr>
      <w:r>
        <w:rPr>
          <w:rFonts w:hint="eastAsia"/>
          <w:sz w:val="24"/>
        </w:rPr>
        <w:t xml:space="preserve">                                              合同号：</w:t>
      </w:r>
      <w:r>
        <w:rPr>
          <w:rFonts w:hint="eastAsia"/>
          <w:sz w:val="24"/>
          <w:u w:val="single"/>
        </w:rPr>
        <w:t xml:space="preserve">           </w:t>
      </w:r>
    </w:p>
    <w:p>
      <w:pPr>
        <w:rPr>
          <w:sz w:val="24"/>
          <w:u w:val="single"/>
        </w:rPr>
      </w:pPr>
    </w:p>
    <w:p>
      <w:pPr>
        <w:rPr>
          <w:sz w:val="24"/>
          <w:u w:val="single"/>
        </w:rPr>
      </w:pPr>
    </w:p>
    <w:p>
      <w:pPr>
        <w:rPr>
          <w:sz w:val="24"/>
          <w:u w:val="single"/>
        </w:rPr>
      </w:pPr>
    </w:p>
    <w:p>
      <w:pPr>
        <w:spacing w:line="360" w:lineRule="auto"/>
        <w:jc w:val="center"/>
        <w:rPr>
          <w:b/>
          <w:bCs/>
          <w:sz w:val="28"/>
          <w:szCs w:val="28"/>
        </w:rPr>
      </w:pPr>
      <w:r>
        <w:rPr>
          <w:rFonts w:hint="eastAsia"/>
          <w:b/>
          <w:bCs/>
          <w:sz w:val="28"/>
          <w:szCs w:val="28"/>
        </w:rPr>
        <w:t xml:space="preserve"> 技  术  咨  询  合  同  书</w:t>
      </w:r>
    </w:p>
    <w:p>
      <w:pPr>
        <w:spacing w:line="360" w:lineRule="auto"/>
        <w:jc w:val="center"/>
        <w:rPr>
          <w:b/>
          <w:bCs/>
          <w:sz w:val="24"/>
          <w:szCs w:val="24"/>
        </w:rPr>
      </w:pPr>
    </w:p>
    <w:p>
      <w:pPr>
        <w:spacing w:line="360" w:lineRule="auto"/>
        <w:jc w:val="center"/>
        <w:rPr>
          <w:b/>
          <w:bCs/>
          <w:sz w:val="24"/>
          <w:szCs w:val="24"/>
        </w:rPr>
      </w:pPr>
    </w:p>
    <w:p>
      <w:pPr>
        <w:pStyle w:val="19"/>
        <w:widowControl w:val="0"/>
        <w:snapToGrid w:val="0"/>
        <w:spacing w:line="360" w:lineRule="auto"/>
        <w:ind w:firstLine="0"/>
        <w:rPr>
          <w:sz w:val="24"/>
          <w:szCs w:val="24"/>
          <w:u w:val="single"/>
        </w:rPr>
      </w:pPr>
      <w:r>
        <w:rPr>
          <w:rFonts w:hint="eastAsia"/>
          <w:bCs/>
          <w:color w:val="auto"/>
          <w:kern w:val="2"/>
          <w:sz w:val="24"/>
          <w:szCs w:val="24"/>
        </w:rPr>
        <w:t>项目名称：</w:t>
      </w:r>
      <w:r>
        <w:rPr>
          <w:rFonts w:hint="eastAsia" w:ascii="Calibri" w:hAnsi="Calibri"/>
          <w:b w:val="0"/>
          <w:kern w:val="2"/>
          <w:sz w:val="24"/>
          <w:szCs w:val="24"/>
          <w:u w:val="single"/>
        </w:rPr>
        <w:t xml:space="preserve">    杭州萧山国际机场110KV变电站扩容项目电能质量评估报告编制    </w:t>
      </w:r>
    </w:p>
    <w:p>
      <w:pPr>
        <w:spacing w:line="360" w:lineRule="auto"/>
        <w:rPr>
          <w:sz w:val="24"/>
          <w:szCs w:val="24"/>
        </w:rPr>
      </w:pPr>
    </w:p>
    <w:p>
      <w:pPr>
        <w:spacing w:line="360" w:lineRule="auto"/>
        <w:rPr>
          <w:sz w:val="24"/>
          <w:szCs w:val="24"/>
          <w:u w:val="single"/>
        </w:rPr>
      </w:pPr>
      <w:r>
        <w:rPr>
          <w:rFonts w:hint="eastAsia"/>
          <w:b/>
          <w:bCs/>
          <w:sz w:val="24"/>
          <w:szCs w:val="24"/>
        </w:rPr>
        <w:t>委 托 方：</w:t>
      </w:r>
      <w:r>
        <w:rPr>
          <w:rFonts w:hint="eastAsia"/>
          <w:sz w:val="24"/>
          <w:szCs w:val="24"/>
          <w:u w:val="single"/>
        </w:rPr>
        <w:t xml:space="preserve">             杭州萧山国际机场有限公司                           </w:t>
      </w:r>
    </w:p>
    <w:p>
      <w:pPr>
        <w:spacing w:line="360" w:lineRule="auto"/>
        <w:rPr>
          <w:b/>
          <w:bCs/>
          <w:sz w:val="24"/>
          <w:szCs w:val="24"/>
        </w:rPr>
      </w:pPr>
      <w:r>
        <w:rPr>
          <w:rFonts w:hint="eastAsia"/>
          <w:b/>
          <w:bCs/>
          <w:sz w:val="24"/>
          <w:szCs w:val="24"/>
        </w:rPr>
        <w:t>（甲方）</w:t>
      </w:r>
    </w:p>
    <w:p>
      <w:pPr>
        <w:spacing w:line="360" w:lineRule="auto"/>
        <w:rPr>
          <w:b/>
          <w:bCs/>
          <w:sz w:val="24"/>
          <w:szCs w:val="24"/>
          <w:u w:val="single"/>
        </w:rPr>
      </w:pPr>
    </w:p>
    <w:p>
      <w:pPr>
        <w:spacing w:line="360" w:lineRule="auto"/>
        <w:rPr>
          <w:sz w:val="24"/>
          <w:szCs w:val="24"/>
          <w:u w:val="single"/>
        </w:rPr>
      </w:pPr>
      <w:r>
        <w:rPr>
          <w:rFonts w:hint="eastAsia"/>
          <w:b/>
          <w:bCs/>
          <w:sz w:val="24"/>
          <w:szCs w:val="24"/>
        </w:rPr>
        <w:t>承揽 方：</w:t>
      </w:r>
      <w:r>
        <w:rPr>
          <w:rFonts w:hint="eastAsia"/>
          <w:sz w:val="24"/>
          <w:szCs w:val="24"/>
          <w:u w:val="single"/>
        </w:rPr>
        <w:t xml:space="preserve">                                                                 </w:t>
      </w:r>
    </w:p>
    <w:p>
      <w:pPr>
        <w:spacing w:line="360" w:lineRule="auto"/>
        <w:rPr>
          <w:b/>
          <w:bCs/>
          <w:sz w:val="24"/>
          <w:szCs w:val="24"/>
        </w:rPr>
      </w:pPr>
      <w:r>
        <w:rPr>
          <w:rFonts w:hint="eastAsia"/>
          <w:b/>
          <w:bCs/>
          <w:sz w:val="24"/>
          <w:szCs w:val="24"/>
        </w:rPr>
        <w:t>（乙方）</w:t>
      </w:r>
    </w:p>
    <w:p>
      <w:pPr>
        <w:spacing w:line="360" w:lineRule="auto"/>
        <w:rPr>
          <w:b/>
          <w:bCs/>
          <w:sz w:val="24"/>
          <w:szCs w:val="24"/>
        </w:rPr>
      </w:pPr>
    </w:p>
    <w:p>
      <w:pPr>
        <w:spacing w:line="360" w:lineRule="auto"/>
        <w:rPr>
          <w:b/>
          <w:bCs/>
          <w:sz w:val="24"/>
          <w:szCs w:val="24"/>
        </w:rPr>
      </w:pPr>
    </w:p>
    <w:p>
      <w:pPr>
        <w:spacing w:line="360" w:lineRule="auto"/>
        <w:rPr>
          <w:b/>
          <w:bCs/>
          <w:sz w:val="24"/>
          <w:szCs w:val="24"/>
        </w:rPr>
      </w:pPr>
      <w:r>
        <w:rPr>
          <w:rFonts w:hint="eastAsia"/>
          <w:b/>
          <w:bCs/>
          <w:sz w:val="24"/>
          <w:szCs w:val="24"/>
        </w:rPr>
        <w:t>签订地点：                   省                   市（县）</w:t>
      </w:r>
    </w:p>
    <w:p>
      <w:pPr>
        <w:spacing w:line="360" w:lineRule="auto"/>
        <w:rPr>
          <w:b/>
          <w:bCs/>
          <w:sz w:val="24"/>
          <w:szCs w:val="24"/>
        </w:rPr>
      </w:pPr>
      <w:r>
        <w:rPr>
          <w:rFonts w:hint="eastAsia"/>
          <w:b/>
          <w:bCs/>
          <w:sz w:val="24"/>
          <w:szCs w:val="24"/>
        </w:rPr>
        <w:t>签订日期：                   年           月          日</w:t>
      </w:r>
    </w:p>
    <w:p>
      <w:pPr>
        <w:spacing w:line="360" w:lineRule="auto"/>
        <w:rPr>
          <w:b/>
          <w:bCs/>
          <w:sz w:val="24"/>
          <w:szCs w:val="24"/>
        </w:rPr>
      </w:pPr>
    </w:p>
    <w:p>
      <w:pPr>
        <w:spacing w:line="360" w:lineRule="auto"/>
        <w:rPr>
          <w:b/>
          <w:bCs/>
          <w:sz w:val="24"/>
          <w:szCs w:val="24"/>
        </w:rPr>
      </w:pPr>
    </w:p>
    <w:p>
      <w:pPr>
        <w:spacing w:line="360" w:lineRule="auto"/>
        <w:rPr>
          <w:b/>
          <w:bCs/>
          <w:sz w:val="24"/>
          <w:szCs w:val="24"/>
        </w:rPr>
      </w:pPr>
    </w:p>
    <w:p>
      <w:pPr>
        <w:spacing w:line="360" w:lineRule="auto"/>
        <w:rPr>
          <w:b/>
          <w:bCs/>
          <w:sz w:val="24"/>
          <w:szCs w:val="24"/>
        </w:rPr>
      </w:pPr>
    </w:p>
    <w:p>
      <w:pPr>
        <w:spacing w:line="360" w:lineRule="auto"/>
        <w:rPr>
          <w:b/>
          <w:bCs/>
          <w:sz w:val="24"/>
          <w:szCs w:val="24"/>
        </w:rPr>
      </w:pPr>
    </w:p>
    <w:p>
      <w:pPr>
        <w:spacing w:line="360" w:lineRule="auto"/>
        <w:rPr>
          <w:b/>
          <w:bCs/>
          <w:sz w:val="24"/>
          <w:szCs w:val="24"/>
        </w:rPr>
      </w:pPr>
    </w:p>
    <w:p>
      <w:pPr>
        <w:spacing w:line="360" w:lineRule="auto"/>
        <w:rPr>
          <w:b/>
          <w:bCs/>
          <w:sz w:val="24"/>
          <w:szCs w:val="24"/>
        </w:rPr>
      </w:pPr>
    </w:p>
    <w:p>
      <w:pPr>
        <w:spacing w:line="360" w:lineRule="auto"/>
        <w:rPr>
          <w:b/>
          <w:bCs/>
          <w:sz w:val="24"/>
          <w:szCs w:val="24"/>
        </w:rPr>
      </w:pPr>
    </w:p>
    <w:p>
      <w:pPr>
        <w:spacing w:line="360" w:lineRule="auto"/>
        <w:rPr>
          <w:b/>
          <w:bCs/>
          <w:sz w:val="24"/>
          <w:szCs w:val="24"/>
        </w:rPr>
      </w:pPr>
    </w:p>
    <w:p>
      <w:pPr>
        <w:spacing w:line="360" w:lineRule="auto"/>
        <w:jc w:val="center"/>
        <w:rPr>
          <w:b/>
          <w:bCs/>
          <w:sz w:val="24"/>
          <w:szCs w:val="24"/>
        </w:rPr>
      </w:pPr>
      <w:r>
        <w:rPr>
          <w:rFonts w:hint="eastAsia"/>
          <w:b/>
          <w:bCs/>
          <w:sz w:val="24"/>
          <w:szCs w:val="24"/>
        </w:rPr>
        <w:t>浙江省科学技术厅监制</w:t>
      </w:r>
    </w:p>
    <w:p>
      <w:pPr>
        <w:spacing w:line="360" w:lineRule="auto"/>
        <w:ind w:firstLine="480" w:firstLineChars="200"/>
        <w:jc w:val="left"/>
        <w:rPr>
          <w:rFonts w:ascii="宋体" w:hAnsi="宋体"/>
          <w:sz w:val="24"/>
          <w:szCs w:val="24"/>
        </w:rPr>
      </w:pPr>
    </w:p>
    <w:p>
      <w:pPr>
        <w:spacing w:line="360" w:lineRule="auto"/>
        <w:ind w:firstLine="440" w:firstLineChars="200"/>
        <w:jc w:val="left"/>
        <w:rPr>
          <w:rFonts w:ascii="宋体" w:hAnsi="宋体"/>
          <w:sz w:val="22"/>
        </w:rPr>
      </w:pPr>
      <w:r>
        <w:rPr>
          <w:rFonts w:hint="eastAsia" w:ascii="宋体" w:hAnsi="宋体"/>
          <w:sz w:val="22"/>
        </w:rPr>
        <w:t>依据《中华人民共和国合同法》的规定，合同双方就</w:t>
      </w:r>
      <w:r>
        <w:rPr>
          <w:rFonts w:hint="eastAsia" w:ascii="宋体" w:hAnsi="宋体"/>
          <w:sz w:val="22"/>
          <w:u w:val="single"/>
        </w:rPr>
        <w:t xml:space="preserve"> 杭州萧山国际机场110KV变电站扩容项目电能质量评估报告编制 </w:t>
      </w:r>
      <w:r>
        <w:rPr>
          <w:rFonts w:hint="eastAsia" w:ascii="宋体" w:hAnsi="宋体"/>
          <w:sz w:val="22"/>
        </w:rPr>
        <w:t>的技术咨询，经协商一致，签订本合同。</w:t>
      </w:r>
    </w:p>
    <w:p>
      <w:pPr>
        <w:spacing w:line="360" w:lineRule="auto"/>
        <w:ind w:firstLine="442" w:firstLineChars="200"/>
        <w:jc w:val="left"/>
        <w:rPr>
          <w:rFonts w:ascii="宋体" w:hAnsi="宋体"/>
          <w:b/>
          <w:sz w:val="22"/>
        </w:rPr>
      </w:pPr>
      <w:r>
        <w:rPr>
          <w:rFonts w:hint="eastAsia" w:ascii="宋体" w:hAnsi="宋体"/>
          <w:b/>
          <w:sz w:val="22"/>
        </w:rPr>
        <w:t>一、研究的内容、形式和要求：</w:t>
      </w:r>
    </w:p>
    <w:p>
      <w:pPr>
        <w:spacing w:line="360" w:lineRule="auto"/>
        <w:ind w:firstLine="442" w:firstLineChars="200"/>
        <w:jc w:val="left"/>
        <w:rPr>
          <w:rFonts w:ascii="宋体" w:hAnsi="宋体"/>
          <w:b/>
          <w:sz w:val="22"/>
        </w:rPr>
      </w:pPr>
      <w:r>
        <w:rPr>
          <w:rFonts w:hint="eastAsia" w:ascii="宋体" w:hAnsi="宋体"/>
          <w:b/>
          <w:sz w:val="22"/>
        </w:rPr>
        <w:t>（一）研究内容</w:t>
      </w:r>
    </w:p>
    <w:p>
      <w:pPr>
        <w:widowControl/>
        <w:spacing w:line="360" w:lineRule="auto"/>
        <w:ind w:firstLine="440" w:firstLineChars="200"/>
        <w:jc w:val="left"/>
        <w:rPr>
          <w:rFonts w:hint="eastAsia" w:ascii="宋体" w:hAnsi="宋体"/>
          <w:bCs/>
          <w:kern w:val="0"/>
          <w:sz w:val="22"/>
          <w:lang w:bidi="en-US"/>
        </w:rPr>
      </w:pPr>
      <w:r>
        <w:rPr>
          <w:rFonts w:hint="eastAsia" w:ascii="宋体" w:hAnsi="宋体"/>
          <w:bCs/>
          <w:kern w:val="0"/>
          <w:sz w:val="22"/>
          <w:lang w:bidi="en-US"/>
        </w:rPr>
        <w:t>本次研究的主要任务是对杭州萧山国际机场110KV变电站扩容项目进行电能质量评估研究，评估报告应依据国家相关法律法规要求，结合国家、浙江省、杭州市电力标准的相关要求进行编制，至少包括以下内容：</w:t>
      </w:r>
    </w:p>
    <w:p>
      <w:pPr>
        <w:widowControl/>
        <w:adjustRightInd w:val="0"/>
        <w:snapToGrid w:val="0"/>
        <w:spacing w:line="360" w:lineRule="auto"/>
        <w:ind w:firstLine="440" w:firstLineChars="200"/>
        <w:rPr>
          <w:rFonts w:ascii="宋体" w:hAnsi="宋体"/>
          <w:sz w:val="22"/>
        </w:rPr>
      </w:pPr>
      <w:r>
        <w:rPr>
          <w:rFonts w:hint="eastAsia" w:ascii="宋体" w:hAnsi="宋体"/>
          <w:sz w:val="22"/>
        </w:rPr>
        <w:t>1.数据建模；</w:t>
      </w:r>
    </w:p>
    <w:p>
      <w:pPr>
        <w:widowControl/>
        <w:spacing w:line="360" w:lineRule="auto"/>
        <w:ind w:firstLine="440" w:firstLineChars="200"/>
        <w:jc w:val="left"/>
        <w:rPr>
          <w:rFonts w:hint="eastAsia" w:ascii="宋体" w:hAnsi="宋体"/>
          <w:bCs/>
          <w:kern w:val="0"/>
          <w:sz w:val="22"/>
          <w:lang w:bidi="en-US"/>
        </w:rPr>
      </w:pPr>
      <w:r>
        <w:rPr>
          <w:rFonts w:hint="eastAsia" w:ascii="宋体" w:hAnsi="宋体"/>
          <w:bCs/>
          <w:kern w:val="0"/>
          <w:sz w:val="22"/>
          <w:lang w:bidi="en-US"/>
        </w:rPr>
        <w:t>2.数据分析，包括谐波、电压偏差、电压波动、闪变、电压不平衡度、直流分量、电力系统频率偏差等项目；</w:t>
      </w:r>
    </w:p>
    <w:p>
      <w:pPr>
        <w:widowControl/>
        <w:autoSpaceDE w:val="0"/>
        <w:autoSpaceDN w:val="0"/>
        <w:adjustRightInd w:val="0"/>
        <w:spacing w:line="360" w:lineRule="auto"/>
        <w:ind w:firstLine="440" w:firstLineChars="200"/>
        <w:rPr>
          <w:rFonts w:ascii="宋体" w:hAnsi="宋体"/>
          <w:sz w:val="22"/>
        </w:rPr>
      </w:pPr>
      <w:r>
        <w:rPr>
          <w:rFonts w:hint="eastAsia" w:ascii="宋体" w:hAnsi="宋体"/>
          <w:sz w:val="22"/>
        </w:rPr>
        <w:t>3.评估结论</w:t>
      </w:r>
    </w:p>
    <w:p>
      <w:pPr>
        <w:spacing w:line="360" w:lineRule="auto"/>
        <w:ind w:firstLine="442" w:firstLineChars="200"/>
        <w:jc w:val="left"/>
        <w:rPr>
          <w:rFonts w:ascii="宋体" w:hAnsi="宋体"/>
          <w:b/>
          <w:sz w:val="22"/>
        </w:rPr>
      </w:pPr>
      <w:r>
        <w:rPr>
          <w:rFonts w:hint="eastAsia" w:ascii="宋体" w:hAnsi="宋体"/>
          <w:b/>
          <w:sz w:val="22"/>
        </w:rPr>
        <w:t>（二）技术服务要求</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1、乙方制定详细的工作计划，并在【七】日内向甲方提交该工作计划，乙方按照工作配合甲方做好报告编制；</w:t>
      </w:r>
    </w:p>
    <w:p>
      <w:pPr>
        <w:autoSpaceDE w:val="0"/>
        <w:autoSpaceDN w:val="0"/>
        <w:adjustRightInd w:val="0"/>
        <w:spacing w:line="360" w:lineRule="auto"/>
        <w:ind w:firstLine="440" w:firstLineChars="200"/>
        <w:jc w:val="left"/>
        <w:rPr>
          <w:rFonts w:ascii="宋体" w:hAnsi="宋体"/>
          <w:bCs/>
          <w:sz w:val="22"/>
        </w:rPr>
      </w:pPr>
      <w:r>
        <w:rPr>
          <w:rFonts w:hint="eastAsia" w:ascii="宋体" w:hAnsi="宋体"/>
          <w:sz w:val="22"/>
        </w:rPr>
        <w:t>2、</w:t>
      </w:r>
      <w:r>
        <w:rPr>
          <w:rFonts w:hint="eastAsia" w:ascii="宋体" w:hAnsi="宋体"/>
          <w:bCs/>
          <w:sz w:val="22"/>
        </w:rPr>
        <w:t>乙方应为本项目提供由不少于4名专业人员组成的顾问服务团队，负责人【 】人（姓名，性别，身份证号），成员【 】人（姓名，性别，身份证号），团队负责人拥有10年以上电能质量评估经验，并应有以主要负责人身份操作类似项目的实际经验，能全权代表报价人进行资源调配的权限；</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3、项目组成员全程参与项目调研、研究等工作，开展不少于</w:t>
      </w:r>
      <w:r>
        <w:rPr>
          <w:rFonts w:ascii="宋体" w:hAnsi="宋体"/>
          <w:sz w:val="22"/>
        </w:rPr>
        <w:t>3次的实地调研工作，提前提交调研清单和工作计划。根据项目方安排，承担各阶段的项目成果汇报并根据项目方要求进行方案完善</w:t>
      </w:r>
      <w:r>
        <w:rPr>
          <w:rFonts w:hint="eastAsia" w:ascii="宋体" w:hAnsi="宋体"/>
          <w:sz w:val="22"/>
        </w:rPr>
        <w:t>；</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4、项目成果为杭州萧山国际机场110KV变电站扩容项目电能质量评估报告，最终成果以通过甲方评审及当地行政主管部门审查批复为准；</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5、提供技术服务的时间：合同签订后一周内启动项目；合同签订后60日历天内完成研究报告，安排阶段性汇报讨论，通过业主单位评审后定稿。</w:t>
      </w:r>
    </w:p>
    <w:p>
      <w:pPr>
        <w:spacing w:line="360" w:lineRule="auto"/>
        <w:ind w:firstLine="442" w:firstLineChars="200"/>
        <w:jc w:val="left"/>
        <w:rPr>
          <w:rFonts w:ascii="宋体" w:hAnsi="宋体"/>
          <w:sz w:val="22"/>
        </w:rPr>
      </w:pPr>
      <w:r>
        <w:rPr>
          <w:rFonts w:hint="eastAsia" w:ascii="宋体" w:hAnsi="宋体"/>
          <w:b/>
          <w:sz w:val="22"/>
        </w:rPr>
        <w:t>（三）履行期限、地点和方式</w:t>
      </w:r>
    </w:p>
    <w:p>
      <w:pPr>
        <w:spacing w:line="360" w:lineRule="auto"/>
        <w:ind w:firstLine="440" w:firstLineChars="200"/>
        <w:jc w:val="left"/>
        <w:rPr>
          <w:rFonts w:ascii="宋体" w:hAnsi="宋体"/>
          <w:sz w:val="22"/>
        </w:rPr>
      </w:pPr>
      <w:r>
        <w:rPr>
          <w:rFonts w:hint="eastAsia" w:ascii="宋体" w:hAnsi="宋体"/>
          <w:sz w:val="22"/>
        </w:rPr>
        <w:t>本合同自2019年   月   日至     年   月   日在</w:t>
      </w:r>
      <w:r>
        <w:rPr>
          <w:rFonts w:hint="eastAsia" w:ascii="宋体" w:hAnsi="宋体"/>
          <w:sz w:val="22"/>
          <w:u w:val="single"/>
        </w:rPr>
        <w:t xml:space="preserve">                  </w:t>
      </w:r>
      <w:r>
        <w:rPr>
          <w:rFonts w:hint="eastAsia" w:ascii="宋体" w:hAnsi="宋体"/>
          <w:sz w:val="22"/>
        </w:rPr>
        <w:t xml:space="preserve"> （地点）履行。               </w:t>
      </w:r>
    </w:p>
    <w:p>
      <w:pPr>
        <w:autoSpaceDE w:val="0"/>
        <w:autoSpaceDN w:val="0"/>
        <w:adjustRightInd w:val="0"/>
        <w:spacing w:line="360" w:lineRule="auto"/>
        <w:ind w:firstLine="440" w:firstLineChars="200"/>
        <w:jc w:val="left"/>
        <w:rPr>
          <w:rFonts w:hint="eastAsia" w:ascii="宋体" w:hAnsi="宋体"/>
          <w:sz w:val="22"/>
        </w:rPr>
      </w:pPr>
      <w:r>
        <w:rPr>
          <w:rFonts w:hint="eastAsia" w:ascii="宋体" w:hAnsi="宋体"/>
          <w:sz w:val="22"/>
        </w:rPr>
        <w:t>本合同的履行方式：以经过甲方认可的方式来履行。</w:t>
      </w:r>
    </w:p>
    <w:p>
      <w:pPr>
        <w:spacing w:line="360" w:lineRule="auto"/>
        <w:ind w:firstLine="442" w:firstLineChars="200"/>
        <w:jc w:val="left"/>
        <w:rPr>
          <w:rFonts w:hint="eastAsia" w:ascii="宋体" w:hAnsi="宋体"/>
          <w:b/>
          <w:sz w:val="22"/>
        </w:rPr>
      </w:pPr>
    </w:p>
    <w:p>
      <w:pPr>
        <w:spacing w:line="360" w:lineRule="auto"/>
        <w:ind w:firstLine="442" w:firstLineChars="200"/>
        <w:jc w:val="left"/>
        <w:rPr>
          <w:rFonts w:ascii="宋体" w:hAnsi="宋体"/>
          <w:b/>
          <w:sz w:val="22"/>
        </w:rPr>
      </w:pPr>
      <w:r>
        <w:rPr>
          <w:rFonts w:hint="eastAsia" w:ascii="宋体" w:hAnsi="宋体"/>
          <w:b/>
          <w:sz w:val="22"/>
        </w:rPr>
        <w:t>二、技术情报和资料的保密：</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1、没有甲方事先书面同意，乙方不得将成果文件以及涉及到本项目的所有资料提供给与履行本合同无关的任何人。即使向与履行本合同有关的人员提供，也必须保密并限于履行合同必须的范围。</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2、没有甲方事先书面同意，除了履行本合同之外，乙方不应使用与本项目有关的任何文件和资料。</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3、本项目所涉及的文件和资料是甲方的财产。如果甲方有要求，乙方在完成合同后应将这些文件及全部复制件还给甲方。</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4、因乙方泄密造成甲方损失的，甲方将追究其法律责任，并要求乙方赔偿损失，支付甲方违约金人民币十五万元，甲方不承担保密措施费。如甲方损失高于违约金的，乙方应赔偿甲方的全部损失。</w:t>
      </w:r>
    </w:p>
    <w:p>
      <w:pPr>
        <w:spacing w:line="360" w:lineRule="auto"/>
        <w:ind w:firstLine="440" w:firstLineChars="200"/>
        <w:jc w:val="left"/>
        <w:rPr>
          <w:rFonts w:ascii="宋体" w:hAnsi="宋体"/>
          <w:sz w:val="22"/>
        </w:rPr>
      </w:pPr>
    </w:p>
    <w:p>
      <w:pPr>
        <w:spacing w:line="360" w:lineRule="auto"/>
        <w:ind w:firstLine="442" w:firstLineChars="200"/>
        <w:jc w:val="left"/>
        <w:rPr>
          <w:rFonts w:ascii="宋体" w:hAnsi="宋体"/>
          <w:b/>
          <w:sz w:val="22"/>
        </w:rPr>
      </w:pPr>
      <w:r>
        <w:rPr>
          <w:rFonts w:hint="eastAsia" w:ascii="宋体" w:hAnsi="宋体"/>
          <w:b/>
          <w:sz w:val="22"/>
        </w:rPr>
        <w:t>三、验收、评价方法：</w:t>
      </w:r>
    </w:p>
    <w:p>
      <w:pPr>
        <w:spacing w:line="360" w:lineRule="auto"/>
        <w:ind w:firstLine="440" w:firstLineChars="200"/>
        <w:jc w:val="left"/>
        <w:rPr>
          <w:rFonts w:hint="eastAsia" w:ascii="宋体" w:hAnsi="宋体"/>
          <w:sz w:val="22"/>
        </w:rPr>
      </w:pPr>
      <w:r>
        <w:rPr>
          <w:rFonts w:hint="eastAsia" w:ascii="宋体" w:hAnsi="宋体"/>
          <w:sz w:val="22"/>
        </w:rPr>
        <w:t>以通过甲方评审及当地行政主管部门审查批复为准。若审查通过后，视为验收合格；若不通过，视为不合格，则乙方需继续为甲方提供咨询服务，直至获得最终批复。</w:t>
      </w:r>
    </w:p>
    <w:p>
      <w:pPr>
        <w:spacing w:line="360" w:lineRule="auto"/>
        <w:ind w:firstLine="440" w:firstLineChars="200"/>
        <w:jc w:val="left"/>
        <w:rPr>
          <w:rFonts w:ascii="宋体" w:hAnsi="宋体"/>
          <w:sz w:val="22"/>
        </w:rPr>
      </w:pPr>
    </w:p>
    <w:p>
      <w:pPr>
        <w:spacing w:line="360" w:lineRule="auto"/>
        <w:ind w:firstLine="442" w:firstLineChars="200"/>
        <w:jc w:val="left"/>
        <w:rPr>
          <w:rFonts w:ascii="宋体" w:hAnsi="宋体"/>
          <w:b/>
          <w:sz w:val="22"/>
        </w:rPr>
      </w:pPr>
      <w:r>
        <w:rPr>
          <w:rFonts w:hint="eastAsia" w:ascii="宋体" w:hAnsi="宋体"/>
          <w:b/>
          <w:sz w:val="22"/>
        </w:rPr>
        <w:t>四、报酬及其支付方式：</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1、本项目报酬（咨询经费）：                元，包括开展项目所需的调研、资料、评审等所有费用。</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2、支付方式：</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咨询服务的酬金按如下阶段付款：</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预付款（合同签署后</w:t>
      </w:r>
      <w:r>
        <w:rPr>
          <w:rFonts w:ascii="宋体" w:hAnsi="宋体"/>
          <w:sz w:val="22"/>
        </w:rPr>
        <w:t>15</w:t>
      </w:r>
      <w:r>
        <w:rPr>
          <w:rFonts w:hint="eastAsia" w:ascii="宋体" w:hAnsi="宋体"/>
          <w:sz w:val="22"/>
        </w:rPr>
        <w:t>天内）：甲方支付给乙方合同总价的</w:t>
      </w:r>
      <w:r>
        <w:rPr>
          <w:rFonts w:ascii="宋体" w:hAnsi="宋体"/>
          <w:sz w:val="22"/>
        </w:rPr>
        <w:t>20%</w:t>
      </w:r>
      <w:r>
        <w:rPr>
          <w:rFonts w:hint="eastAsia" w:ascii="宋体" w:hAnsi="宋体"/>
          <w:sz w:val="22"/>
        </w:rPr>
        <w:t>；</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第一笔进度付款</w:t>
      </w:r>
      <w:r>
        <w:rPr>
          <w:rFonts w:ascii="宋体" w:hAnsi="宋体"/>
          <w:sz w:val="22"/>
        </w:rPr>
        <w:t xml:space="preserve">, </w:t>
      </w:r>
      <w:r>
        <w:rPr>
          <w:rFonts w:hint="eastAsia" w:ascii="宋体" w:hAnsi="宋体"/>
          <w:sz w:val="22"/>
        </w:rPr>
        <w:t>完成接入电网电能质量评估文本，并经甲方审核确认：15个工作日内甲方支付给乙方合同总价的60%；</w:t>
      </w:r>
    </w:p>
    <w:p>
      <w:pPr>
        <w:autoSpaceDE w:val="0"/>
        <w:autoSpaceDN w:val="0"/>
        <w:adjustRightInd w:val="0"/>
        <w:spacing w:line="360" w:lineRule="auto"/>
        <w:ind w:firstLine="440" w:firstLineChars="200"/>
        <w:jc w:val="left"/>
        <w:rPr>
          <w:rFonts w:hint="eastAsia" w:ascii="宋体" w:hAnsi="宋体"/>
          <w:sz w:val="22"/>
        </w:rPr>
      </w:pPr>
      <w:r>
        <w:rPr>
          <w:rFonts w:hint="eastAsia" w:ascii="宋体" w:hAnsi="宋体"/>
          <w:sz w:val="22"/>
        </w:rPr>
        <w:t>最后付款</w:t>
      </w:r>
      <w:r>
        <w:rPr>
          <w:rFonts w:ascii="宋体" w:hAnsi="宋体"/>
          <w:sz w:val="22"/>
        </w:rPr>
        <w:t>,</w:t>
      </w:r>
      <w:r>
        <w:rPr>
          <w:rFonts w:hint="eastAsia" w:ascii="宋体" w:hAnsi="宋体"/>
          <w:sz w:val="22"/>
        </w:rPr>
        <w:t>通过当地行政主管部门审查批复：15个工作日内甲方支付给乙方合同总价的40</w:t>
      </w:r>
      <w:r>
        <w:rPr>
          <w:rFonts w:ascii="宋体" w:hAnsi="宋体"/>
          <w:sz w:val="22"/>
        </w:rPr>
        <w:t>%</w:t>
      </w:r>
      <w:r>
        <w:rPr>
          <w:rFonts w:hint="eastAsia" w:ascii="宋体" w:hAnsi="宋体"/>
          <w:sz w:val="22"/>
        </w:rPr>
        <w:t>。</w:t>
      </w:r>
    </w:p>
    <w:p>
      <w:pPr>
        <w:adjustRightInd w:val="0"/>
        <w:snapToGrid w:val="0"/>
        <w:spacing w:line="360" w:lineRule="auto"/>
        <w:ind w:firstLine="442" w:firstLineChars="200"/>
        <w:rPr>
          <w:rFonts w:hint="eastAsia" w:ascii="宋体" w:hAnsi="宋体"/>
          <w:b/>
          <w:sz w:val="22"/>
          <w:szCs w:val="24"/>
        </w:rPr>
      </w:pPr>
    </w:p>
    <w:p>
      <w:pPr>
        <w:adjustRightInd w:val="0"/>
        <w:snapToGrid w:val="0"/>
        <w:spacing w:line="360" w:lineRule="auto"/>
        <w:ind w:firstLine="442" w:firstLineChars="200"/>
        <w:rPr>
          <w:rFonts w:ascii="宋体" w:hAnsi="宋体"/>
          <w:b/>
          <w:sz w:val="22"/>
          <w:szCs w:val="24"/>
        </w:rPr>
      </w:pPr>
      <w:r>
        <w:rPr>
          <w:rFonts w:hint="eastAsia" w:ascii="宋体" w:hAnsi="宋体"/>
          <w:b/>
          <w:sz w:val="22"/>
          <w:szCs w:val="24"/>
        </w:rPr>
        <w:t>五、成果归属</w:t>
      </w:r>
    </w:p>
    <w:p>
      <w:pPr>
        <w:adjustRightInd w:val="0"/>
        <w:snapToGrid w:val="0"/>
        <w:spacing w:line="360" w:lineRule="auto"/>
        <w:ind w:firstLine="440" w:firstLineChars="200"/>
        <w:rPr>
          <w:rFonts w:ascii="宋体" w:hAnsi="宋体"/>
          <w:sz w:val="22"/>
          <w:szCs w:val="24"/>
        </w:rPr>
      </w:pPr>
      <w:r>
        <w:rPr>
          <w:rFonts w:ascii="宋体" w:hAnsi="宋体"/>
          <w:sz w:val="22"/>
          <w:szCs w:val="24"/>
        </w:rPr>
        <w:t>1</w:t>
      </w:r>
      <w:r>
        <w:rPr>
          <w:rFonts w:hint="eastAsia" w:ascii="宋体" w:hAnsi="宋体"/>
          <w:sz w:val="22"/>
          <w:szCs w:val="24"/>
        </w:rPr>
        <w:t>、乙方向甲方保证其向甲方提供的研究报告系基于充分的调查研究，具有专业性、客观性和权威性。本合同项下乙方根据甲方提供的资料信息以及经过调查研究而形成的研究成果，其所有权以及相关权益均归于甲方；非经甲方事先书面同意，乙方不得擅自使用或向任何其他方提供。</w:t>
      </w:r>
    </w:p>
    <w:p>
      <w:pPr>
        <w:adjustRightInd w:val="0"/>
        <w:snapToGrid w:val="0"/>
        <w:spacing w:line="360" w:lineRule="auto"/>
        <w:ind w:firstLine="440" w:firstLineChars="200"/>
        <w:rPr>
          <w:rFonts w:ascii="宋体" w:hAnsi="宋体"/>
          <w:sz w:val="22"/>
          <w:szCs w:val="24"/>
        </w:rPr>
      </w:pPr>
      <w:r>
        <w:rPr>
          <w:rFonts w:ascii="宋体" w:hAnsi="宋体"/>
          <w:sz w:val="22"/>
          <w:szCs w:val="24"/>
        </w:rPr>
        <w:t>2</w:t>
      </w:r>
      <w:r>
        <w:rPr>
          <w:rFonts w:hint="eastAsia" w:ascii="宋体" w:hAnsi="宋体"/>
          <w:sz w:val="22"/>
          <w:szCs w:val="24"/>
        </w:rPr>
        <w:t>、乙方保证其所提供的研究成果的全部或任何部分不侵犯任何其他方的合法权益，如因乙方提供的研究成果侵犯第三方合法权益而导致甲方被任何其他方主张权利的，乙方应向甲方承担违约责任。</w:t>
      </w:r>
    </w:p>
    <w:p>
      <w:pPr>
        <w:spacing w:line="360" w:lineRule="auto"/>
        <w:ind w:firstLine="440" w:firstLineChars="200"/>
        <w:jc w:val="left"/>
        <w:rPr>
          <w:rFonts w:ascii="宋体" w:hAnsi="宋体"/>
          <w:sz w:val="22"/>
        </w:rPr>
      </w:pPr>
    </w:p>
    <w:p>
      <w:pPr>
        <w:spacing w:line="360" w:lineRule="auto"/>
        <w:ind w:firstLine="442" w:firstLineChars="200"/>
        <w:jc w:val="left"/>
        <w:rPr>
          <w:rFonts w:ascii="宋体" w:hAnsi="宋体"/>
          <w:b/>
          <w:sz w:val="22"/>
        </w:rPr>
      </w:pPr>
      <w:r>
        <w:rPr>
          <w:rFonts w:hint="eastAsia" w:ascii="宋体" w:hAnsi="宋体"/>
          <w:b/>
          <w:sz w:val="22"/>
        </w:rPr>
        <w:t>六、违约责任；</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1、违反本合同约定，违约方应当按合同法第一百一十四条、第一百一十六条及其相应的规定承担违约责任。</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2、除合同条款规定的情况外，如果乙方没有按照合同规定的时间提供服务，甲方应在不影响合同项下的其他补救措施的情况下，从合同价中扣除误期赔偿费。每延误一周的赔偿费按合同总价的百分之一(1％)计收，直至提供合格服务为止。误期赔偿费的最高限额为合同价格的百分之十(10％)。一旦达到误期赔偿费的最高限额不再赔付，甲方有权单方面终止合同，乙方应退还已经收取的所有服务费。</w:t>
      </w:r>
      <w:r>
        <w:rPr>
          <w:rFonts w:hint="eastAsia" w:ascii="宋体" w:hAnsi="宋体"/>
          <w:sz w:val="22"/>
        </w:rPr>
        <w:tab/>
      </w:r>
    </w:p>
    <w:p>
      <w:pPr>
        <w:adjustRightInd w:val="0"/>
        <w:snapToGrid w:val="0"/>
        <w:spacing w:line="360" w:lineRule="auto"/>
        <w:ind w:firstLine="440" w:firstLineChars="200"/>
        <w:rPr>
          <w:rFonts w:ascii="宋体" w:hAnsi="宋体"/>
          <w:szCs w:val="24"/>
        </w:rPr>
      </w:pPr>
      <w:r>
        <w:rPr>
          <w:rFonts w:hint="eastAsia" w:ascii="宋体" w:hAnsi="宋体"/>
          <w:sz w:val="22"/>
        </w:rPr>
        <w:t>3、</w:t>
      </w:r>
      <w:r>
        <w:rPr>
          <w:rFonts w:hint="eastAsia" w:ascii="宋体" w:hAnsi="宋体"/>
          <w:szCs w:val="24"/>
        </w:rPr>
        <w:t>除本合同另有规定外，任何一方违反本合同项下义务，应按照我国《合同法》相关规定承担违约责任，向守约方承担赔偿责任。</w:t>
      </w:r>
    </w:p>
    <w:p>
      <w:pPr>
        <w:spacing w:line="360" w:lineRule="auto"/>
        <w:ind w:firstLine="442" w:firstLineChars="200"/>
        <w:jc w:val="left"/>
        <w:rPr>
          <w:rFonts w:hint="eastAsia" w:ascii="宋体" w:hAnsi="宋体"/>
          <w:b/>
          <w:sz w:val="22"/>
        </w:rPr>
      </w:pPr>
      <w:r>
        <w:rPr>
          <w:rFonts w:hint="eastAsia" w:ascii="宋体" w:hAnsi="宋体"/>
          <w:b/>
          <w:sz w:val="22"/>
        </w:rPr>
        <w:t>七</w:t>
      </w:r>
      <w:r>
        <w:rPr>
          <w:rFonts w:hint="eastAsia" w:ascii="宋体" w:hAnsi="宋体"/>
          <w:b/>
          <w:sz w:val="22"/>
        </w:rPr>
        <w:t>、履约保证金</w:t>
      </w:r>
    </w:p>
    <w:p>
      <w:pPr>
        <w:spacing w:line="360" w:lineRule="auto"/>
        <w:ind w:firstLine="440" w:firstLineChars="200"/>
        <w:jc w:val="left"/>
        <w:rPr>
          <w:rFonts w:hint="eastAsia" w:ascii="宋体" w:hAnsi="宋体"/>
          <w:sz w:val="22"/>
        </w:rPr>
      </w:pPr>
      <w:r>
        <w:rPr>
          <w:rFonts w:hint="eastAsia" w:ascii="宋体" w:hAnsi="宋体"/>
          <w:sz w:val="22"/>
        </w:rPr>
        <w:t>1．甲方发出中标通知书后【15】日内，向甲方支付合同总价的【10</w:t>
      </w:r>
      <w:r>
        <w:rPr>
          <w:rFonts w:ascii="宋体" w:hAnsi="宋体"/>
          <w:sz w:val="22"/>
        </w:rPr>
        <w:t>%</w:t>
      </w:r>
      <w:r>
        <w:rPr>
          <w:rFonts w:hint="eastAsia" w:ascii="宋体" w:hAnsi="宋体"/>
          <w:sz w:val="22"/>
        </w:rPr>
        <w:t>】作为履约保证金。如果逾期未缴纳，甲方有权解除本合同，并要求乙方承担由此给甲方造成的损失。</w:t>
      </w:r>
    </w:p>
    <w:p>
      <w:pPr>
        <w:spacing w:line="360" w:lineRule="auto"/>
        <w:ind w:firstLine="440" w:firstLineChars="200"/>
        <w:jc w:val="left"/>
        <w:rPr>
          <w:rFonts w:ascii="宋体" w:hAnsi="宋体"/>
          <w:sz w:val="22"/>
        </w:rPr>
      </w:pPr>
      <w:r>
        <w:rPr>
          <w:rFonts w:hint="eastAsia" w:ascii="宋体" w:hAnsi="宋体"/>
          <w:sz w:val="22"/>
        </w:rPr>
        <w:t>2．在合同履行期间，如果乙方存在违约情形，甲方有权优先从履约保证金中扣除相应款项，并书面通知乙方。乙方自收到书面通知之日起【</w:t>
      </w:r>
      <w:r>
        <w:rPr>
          <w:rFonts w:ascii="宋体" w:hAnsi="宋体"/>
          <w:sz w:val="22"/>
        </w:rPr>
        <w:t>5</w:t>
      </w:r>
      <w:r>
        <w:rPr>
          <w:rFonts w:hint="eastAsia" w:ascii="宋体" w:hAnsi="宋体"/>
          <w:sz w:val="22"/>
        </w:rPr>
        <w:t>】日内补足履约保证金。如果乙方不及时补足履约保证金，视为乙方违约，甲方有权解除合同，并要求乙方承担相应的违约责任。待合同约定服务内容全部履行并完毕，乙方不存在任何违约情形并收到甲方书面认可后【</w:t>
      </w:r>
      <w:r>
        <w:rPr>
          <w:rFonts w:ascii="宋体" w:hAnsi="宋体"/>
          <w:sz w:val="22"/>
        </w:rPr>
        <w:t>10</w:t>
      </w:r>
      <w:r>
        <w:rPr>
          <w:rFonts w:hint="eastAsia" w:ascii="宋体" w:hAnsi="宋体"/>
          <w:sz w:val="22"/>
        </w:rPr>
        <w:t>】日内，甲方无息返还履约保证金。</w:t>
      </w:r>
    </w:p>
    <w:p>
      <w:pPr>
        <w:spacing w:line="360" w:lineRule="auto"/>
        <w:ind w:firstLine="442" w:firstLineChars="200"/>
        <w:jc w:val="left"/>
        <w:rPr>
          <w:rFonts w:ascii="宋体" w:hAnsi="宋体"/>
          <w:b/>
          <w:sz w:val="22"/>
        </w:rPr>
      </w:pPr>
      <w:r>
        <w:rPr>
          <w:rFonts w:hint="eastAsia" w:ascii="宋体" w:hAnsi="宋体"/>
          <w:b/>
          <w:sz w:val="22"/>
        </w:rPr>
        <w:t>八、争议的解决办法</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1、合同双方应本着友好协商的态度来解决合同执行过程中或衔接过程中发生的争议。若争议开始后在60日历天内无法解决，则应向甲方所在地的人民法院起诉。</w:t>
      </w:r>
    </w:p>
    <w:p>
      <w:pPr>
        <w:spacing w:line="360" w:lineRule="auto"/>
        <w:ind w:firstLine="440" w:firstLineChars="200"/>
        <w:jc w:val="left"/>
        <w:rPr>
          <w:rFonts w:ascii="宋体" w:hAnsi="宋体"/>
          <w:sz w:val="22"/>
        </w:rPr>
      </w:pPr>
    </w:p>
    <w:p>
      <w:pPr>
        <w:spacing w:line="360" w:lineRule="auto"/>
        <w:ind w:firstLine="442" w:firstLineChars="200"/>
        <w:jc w:val="left"/>
        <w:rPr>
          <w:rFonts w:ascii="宋体" w:hAnsi="宋体"/>
          <w:b/>
          <w:sz w:val="22"/>
        </w:rPr>
      </w:pPr>
      <w:r>
        <w:rPr>
          <w:rFonts w:hint="eastAsia" w:ascii="宋体" w:hAnsi="宋体"/>
          <w:b/>
          <w:sz w:val="22"/>
        </w:rPr>
        <w:t>九、其它（含中介方权利、义务、服务费及其支付方式等上述条款未尽事宜）：</w:t>
      </w:r>
    </w:p>
    <w:p>
      <w:pPr>
        <w:spacing w:line="360" w:lineRule="auto"/>
        <w:ind w:firstLine="442" w:firstLineChars="200"/>
        <w:jc w:val="left"/>
        <w:rPr>
          <w:rFonts w:ascii="宋体" w:hAnsi="宋体"/>
          <w:b/>
          <w:sz w:val="22"/>
          <w:u w:val="single"/>
        </w:rPr>
      </w:pPr>
      <w:r>
        <w:rPr>
          <w:rFonts w:hint="eastAsia" w:ascii="宋体" w:hAnsi="宋体"/>
          <w:b/>
          <w:sz w:val="22"/>
          <w:u w:val="single"/>
        </w:rPr>
        <w:t xml:space="preserve">                                                                           </w:t>
      </w:r>
    </w:p>
    <w:p>
      <w:pPr>
        <w:spacing w:line="360" w:lineRule="auto"/>
        <w:ind w:firstLine="442" w:firstLineChars="200"/>
        <w:jc w:val="left"/>
        <w:rPr>
          <w:rFonts w:ascii="宋体" w:hAnsi="宋体"/>
          <w:b/>
          <w:sz w:val="22"/>
        </w:rPr>
      </w:pPr>
      <w:r>
        <w:rPr>
          <w:rFonts w:ascii="宋体" w:hAnsi="宋体"/>
          <w:b/>
          <w:sz w:val="22"/>
        </w:rPr>
        <w:br w:type="page"/>
      </w:r>
    </w:p>
    <w:tbl>
      <w:tblPr>
        <w:tblStyle w:val="12"/>
        <w:tblW w:w="83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620"/>
        <w:gridCol w:w="2700"/>
        <w:gridCol w:w="1440"/>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jc w:val="center"/>
        </w:trPr>
        <w:tc>
          <w:tcPr>
            <w:tcW w:w="656" w:type="dxa"/>
            <w:vMerge w:val="restart"/>
            <w:noWrap w:val="0"/>
            <w:vAlign w:val="center"/>
          </w:tcPr>
          <w:p>
            <w:pPr>
              <w:jc w:val="center"/>
              <w:rPr>
                <w:rFonts w:ascii="宋体" w:hAnsi="宋体"/>
                <w:sz w:val="22"/>
              </w:rPr>
            </w:pPr>
            <w:r>
              <w:rPr>
                <w:rFonts w:hint="eastAsia" w:ascii="宋体" w:hAnsi="宋体"/>
                <w:sz w:val="22"/>
              </w:rPr>
              <w:t>委托方︵甲方︶</w:t>
            </w:r>
          </w:p>
        </w:tc>
        <w:tc>
          <w:tcPr>
            <w:tcW w:w="1620" w:type="dxa"/>
            <w:noWrap w:val="0"/>
            <w:vAlign w:val="center"/>
          </w:tcPr>
          <w:p>
            <w:pPr>
              <w:jc w:val="center"/>
              <w:rPr>
                <w:rFonts w:ascii="宋体" w:hAnsi="宋体"/>
                <w:sz w:val="22"/>
              </w:rPr>
            </w:pPr>
            <w:r>
              <w:rPr>
                <w:rFonts w:hint="eastAsia" w:ascii="宋体" w:hAnsi="宋体"/>
                <w:sz w:val="22"/>
              </w:rPr>
              <w:t>名称（或姓名）</w:t>
            </w:r>
          </w:p>
        </w:tc>
        <w:tc>
          <w:tcPr>
            <w:tcW w:w="6105" w:type="dxa"/>
            <w:gridSpan w:val="3"/>
            <w:noWrap w:val="0"/>
            <w:vAlign w:val="center"/>
          </w:tcPr>
          <w:p>
            <w:pPr>
              <w:jc w:val="center"/>
              <w:rPr>
                <w:rFonts w:ascii="宋体" w:hAnsi="宋体"/>
                <w:sz w:val="22"/>
              </w:rPr>
            </w:pPr>
            <w:r>
              <w:rPr>
                <w:rFonts w:hint="eastAsia" w:ascii="宋体" w:hAnsi="宋体"/>
                <w:sz w:val="22"/>
              </w:rPr>
              <w:t>　　　　　　　　　　　　　　　　　　　　　   　（签章）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656" w:type="dxa"/>
            <w:vMerge w:val="continue"/>
            <w:noWrap w:val="0"/>
            <w:vAlign w:val="center"/>
          </w:tcPr>
          <w:p>
            <w:pPr>
              <w:jc w:val="center"/>
              <w:rPr>
                <w:rFonts w:ascii="宋体" w:hAnsi="宋体"/>
                <w:sz w:val="22"/>
              </w:rPr>
            </w:pPr>
          </w:p>
        </w:tc>
        <w:tc>
          <w:tcPr>
            <w:tcW w:w="1620" w:type="dxa"/>
            <w:noWrap w:val="0"/>
            <w:vAlign w:val="center"/>
          </w:tcPr>
          <w:p>
            <w:pPr>
              <w:jc w:val="center"/>
              <w:rPr>
                <w:rFonts w:ascii="宋体" w:hAnsi="宋体"/>
                <w:sz w:val="22"/>
              </w:rPr>
            </w:pPr>
            <w:r>
              <w:rPr>
                <w:rFonts w:hint="eastAsia" w:ascii="宋体" w:hAnsi="宋体"/>
                <w:sz w:val="22"/>
              </w:rPr>
              <w:t>法定代表人</w:t>
            </w:r>
          </w:p>
        </w:tc>
        <w:tc>
          <w:tcPr>
            <w:tcW w:w="2700" w:type="dxa"/>
            <w:noWrap w:val="0"/>
            <w:vAlign w:val="center"/>
          </w:tcPr>
          <w:p>
            <w:pPr>
              <w:jc w:val="center"/>
              <w:rPr>
                <w:rFonts w:ascii="宋体" w:hAnsi="宋体"/>
                <w:sz w:val="22"/>
              </w:rPr>
            </w:pPr>
            <w:r>
              <w:rPr>
                <w:rFonts w:hint="eastAsia" w:ascii="宋体" w:hAnsi="宋体"/>
                <w:sz w:val="22"/>
              </w:rPr>
              <w:t>　　　　　　　　（签章）</w:t>
            </w:r>
          </w:p>
        </w:tc>
        <w:tc>
          <w:tcPr>
            <w:tcW w:w="1440" w:type="dxa"/>
            <w:noWrap w:val="0"/>
            <w:vAlign w:val="center"/>
          </w:tcPr>
          <w:p>
            <w:pPr>
              <w:jc w:val="center"/>
              <w:rPr>
                <w:rFonts w:ascii="宋体" w:hAnsi="宋体"/>
                <w:sz w:val="22"/>
              </w:rPr>
            </w:pPr>
            <w:r>
              <w:rPr>
                <w:rFonts w:hint="eastAsia" w:ascii="宋体" w:hAnsi="宋体"/>
                <w:sz w:val="22"/>
              </w:rPr>
              <w:t>委托代理人</w:t>
            </w:r>
          </w:p>
        </w:tc>
        <w:tc>
          <w:tcPr>
            <w:tcW w:w="1965" w:type="dxa"/>
            <w:noWrap w:val="0"/>
            <w:vAlign w:val="center"/>
          </w:tcPr>
          <w:p>
            <w:pPr>
              <w:jc w:val="center"/>
              <w:rPr>
                <w:rFonts w:ascii="宋体" w:hAnsi="宋体"/>
                <w:sz w:val="22"/>
              </w:rPr>
            </w:pPr>
            <w:r>
              <w:rPr>
                <w:rFonts w:hint="eastAsia" w:ascii="宋体" w:hAnsi="宋体"/>
                <w:sz w:val="22"/>
              </w:rPr>
              <w:t>　　　　（签章）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atLeast"/>
          <w:jc w:val="center"/>
        </w:trPr>
        <w:tc>
          <w:tcPr>
            <w:tcW w:w="656" w:type="dxa"/>
            <w:vMerge w:val="continue"/>
            <w:noWrap w:val="0"/>
            <w:vAlign w:val="center"/>
          </w:tcPr>
          <w:p>
            <w:pPr>
              <w:jc w:val="center"/>
              <w:rPr>
                <w:rFonts w:ascii="宋体" w:hAnsi="宋体"/>
                <w:sz w:val="22"/>
              </w:rPr>
            </w:pPr>
          </w:p>
        </w:tc>
        <w:tc>
          <w:tcPr>
            <w:tcW w:w="1620" w:type="dxa"/>
            <w:noWrap w:val="0"/>
            <w:vAlign w:val="center"/>
          </w:tcPr>
          <w:p>
            <w:pPr>
              <w:jc w:val="center"/>
              <w:rPr>
                <w:rFonts w:ascii="宋体" w:hAnsi="宋体"/>
                <w:sz w:val="22"/>
              </w:rPr>
            </w:pPr>
            <w:r>
              <w:rPr>
                <w:rFonts w:hint="eastAsia" w:ascii="宋体" w:hAnsi="宋体"/>
                <w:sz w:val="22"/>
              </w:rPr>
              <w:t>联  系  人</w:t>
            </w:r>
          </w:p>
        </w:tc>
        <w:tc>
          <w:tcPr>
            <w:tcW w:w="6105" w:type="dxa"/>
            <w:gridSpan w:val="3"/>
            <w:noWrap w:val="0"/>
            <w:vAlign w:val="center"/>
          </w:tcPr>
          <w:p>
            <w:pPr>
              <w:jc w:val="center"/>
              <w:rPr>
                <w:rFonts w:ascii="宋体" w:hAnsi="宋体"/>
                <w:sz w:val="22"/>
              </w:rPr>
            </w:pPr>
            <w:r>
              <w:rPr>
                <w:rFonts w:hint="eastAsia" w:ascii="宋体" w:hAnsi="宋体"/>
                <w:sz w:val="22"/>
              </w:rPr>
              <w:t>　　　　　　　　　　　　　　　　　　　　　　　（签章）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656" w:type="dxa"/>
            <w:vMerge w:val="continue"/>
            <w:noWrap w:val="0"/>
            <w:vAlign w:val="center"/>
          </w:tcPr>
          <w:p>
            <w:pPr>
              <w:jc w:val="center"/>
              <w:rPr>
                <w:rFonts w:ascii="宋体" w:hAnsi="宋体"/>
                <w:sz w:val="22"/>
              </w:rPr>
            </w:pPr>
          </w:p>
        </w:tc>
        <w:tc>
          <w:tcPr>
            <w:tcW w:w="1620" w:type="dxa"/>
            <w:noWrap w:val="0"/>
            <w:vAlign w:val="center"/>
          </w:tcPr>
          <w:p>
            <w:pPr>
              <w:jc w:val="center"/>
              <w:rPr>
                <w:rFonts w:ascii="宋体" w:hAnsi="宋体"/>
                <w:sz w:val="22"/>
              </w:rPr>
            </w:pPr>
            <w:r>
              <w:rPr>
                <w:rFonts w:hint="eastAsia" w:ascii="宋体" w:hAnsi="宋体"/>
                <w:sz w:val="22"/>
              </w:rPr>
              <w:t>住      所</w:t>
            </w:r>
          </w:p>
          <w:p>
            <w:pPr>
              <w:jc w:val="center"/>
              <w:rPr>
                <w:rFonts w:ascii="宋体" w:hAnsi="宋体"/>
                <w:sz w:val="22"/>
              </w:rPr>
            </w:pPr>
            <w:r>
              <w:rPr>
                <w:rFonts w:hint="eastAsia" w:ascii="宋体" w:hAnsi="宋体"/>
                <w:sz w:val="22"/>
              </w:rPr>
              <w:t>（通讯地址）</w:t>
            </w:r>
          </w:p>
        </w:tc>
        <w:tc>
          <w:tcPr>
            <w:tcW w:w="6105" w:type="dxa"/>
            <w:gridSpan w:val="3"/>
            <w:noWrap w:val="0"/>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jc w:val="center"/>
        </w:trPr>
        <w:tc>
          <w:tcPr>
            <w:tcW w:w="656" w:type="dxa"/>
            <w:vMerge w:val="continue"/>
            <w:noWrap w:val="0"/>
            <w:vAlign w:val="center"/>
          </w:tcPr>
          <w:p>
            <w:pPr>
              <w:jc w:val="center"/>
              <w:rPr>
                <w:rFonts w:ascii="宋体" w:hAnsi="宋体"/>
                <w:sz w:val="22"/>
              </w:rPr>
            </w:pPr>
          </w:p>
        </w:tc>
        <w:tc>
          <w:tcPr>
            <w:tcW w:w="1620" w:type="dxa"/>
            <w:noWrap w:val="0"/>
            <w:vAlign w:val="center"/>
          </w:tcPr>
          <w:p>
            <w:pPr>
              <w:jc w:val="center"/>
              <w:rPr>
                <w:rFonts w:ascii="宋体" w:hAnsi="宋体"/>
                <w:sz w:val="22"/>
              </w:rPr>
            </w:pPr>
            <w:r>
              <w:rPr>
                <w:rFonts w:hint="eastAsia" w:ascii="宋体" w:hAnsi="宋体"/>
                <w:sz w:val="22"/>
              </w:rPr>
              <w:t>电     话</w:t>
            </w:r>
          </w:p>
        </w:tc>
        <w:tc>
          <w:tcPr>
            <w:tcW w:w="2700" w:type="dxa"/>
            <w:noWrap w:val="0"/>
            <w:vAlign w:val="center"/>
          </w:tcPr>
          <w:p>
            <w:pPr>
              <w:jc w:val="center"/>
              <w:rPr>
                <w:rFonts w:ascii="宋体" w:hAnsi="宋体"/>
                <w:sz w:val="22"/>
              </w:rPr>
            </w:pPr>
          </w:p>
        </w:tc>
        <w:tc>
          <w:tcPr>
            <w:tcW w:w="1440" w:type="dxa"/>
            <w:noWrap w:val="0"/>
            <w:vAlign w:val="center"/>
          </w:tcPr>
          <w:p>
            <w:pPr>
              <w:jc w:val="center"/>
              <w:rPr>
                <w:rFonts w:ascii="宋体" w:hAnsi="宋体"/>
                <w:sz w:val="22"/>
              </w:rPr>
            </w:pPr>
            <w:r>
              <w:rPr>
                <w:rFonts w:hint="eastAsia" w:ascii="宋体" w:hAnsi="宋体"/>
                <w:sz w:val="22"/>
              </w:rPr>
              <w:t>E－mail</w:t>
            </w:r>
          </w:p>
        </w:tc>
        <w:tc>
          <w:tcPr>
            <w:tcW w:w="1965" w:type="dxa"/>
            <w:noWrap w:val="0"/>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jc w:val="center"/>
        </w:trPr>
        <w:tc>
          <w:tcPr>
            <w:tcW w:w="656" w:type="dxa"/>
            <w:vMerge w:val="continue"/>
            <w:noWrap w:val="0"/>
            <w:vAlign w:val="center"/>
          </w:tcPr>
          <w:p>
            <w:pPr>
              <w:jc w:val="center"/>
              <w:rPr>
                <w:rFonts w:ascii="宋体" w:hAnsi="宋体"/>
                <w:sz w:val="22"/>
              </w:rPr>
            </w:pPr>
          </w:p>
        </w:tc>
        <w:tc>
          <w:tcPr>
            <w:tcW w:w="1620" w:type="dxa"/>
            <w:noWrap w:val="0"/>
            <w:vAlign w:val="center"/>
          </w:tcPr>
          <w:p>
            <w:pPr>
              <w:jc w:val="center"/>
              <w:rPr>
                <w:rFonts w:ascii="宋体" w:hAnsi="宋体"/>
                <w:sz w:val="22"/>
              </w:rPr>
            </w:pPr>
            <w:r>
              <w:rPr>
                <w:rFonts w:hint="eastAsia" w:ascii="宋体" w:hAnsi="宋体"/>
                <w:sz w:val="22"/>
              </w:rPr>
              <w:t>开户银行</w:t>
            </w:r>
          </w:p>
        </w:tc>
        <w:tc>
          <w:tcPr>
            <w:tcW w:w="6105" w:type="dxa"/>
            <w:gridSpan w:val="3"/>
            <w:noWrap w:val="0"/>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656" w:type="dxa"/>
            <w:vMerge w:val="continue"/>
            <w:noWrap w:val="0"/>
            <w:vAlign w:val="center"/>
          </w:tcPr>
          <w:p>
            <w:pPr>
              <w:jc w:val="center"/>
              <w:rPr>
                <w:rFonts w:ascii="宋体" w:hAnsi="宋体"/>
                <w:sz w:val="22"/>
              </w:rPr>
            </w:pPr>
          </w:p>
        </w:tc>
        <w:tc>
          <w:tcPr>
            <w:tcW w:w="1620" w:type="dxa"/>
            <w:noWrap w:val="0"/>
            <w:vAlign w:val="center"/>
          </w:tcPr>
          <w:p>
            <w:pPr>
              <w:jc w:val="center"/>
              <w:rPr>
                <w:rFonts w:ascii="宋体" w:hAnsi="宋体"/>
                <w:sz w:val="22"/>
              </w:rPr>
            </w:pPr>
            <w:r>
              <w:rPr>
                <w:rFonts w:hint="eastAsia" w:ascii="宋体" w:hAnsi="宋体"/>
                <w:sz w:val="22"/>
              </w:rPr>
              <w:t>帐    号</w:t>
            </w:r>
          </w:p>
        </w:tc>
        <w:tc>
          <w:tcPr>
            <w:tcW w:w="2700" w:type="dxa"/>
            <w:noWrap w:val="0"/>
            <w:vAlign w:val="center"/>
          </w:tcPr>
          <w:p>
            <w:pPr>
              <w:jc w:val="center"/>
              <w:rPr>
                <w:rFonts w:ascii="宋体" w:hAnsi="宋体"/>
                <w:sz w:val="22"/>
              </w:rPr>
            </w:pPr>
          </w:p>
        </w:tc>
        <w:tc>
          <w:tcPr>
            <w:tcW w:w="1440" w:type="dxa"/>
            <w:noWrap w:val="0"/>
            <w:vAlign w:val="center"/>
          </w:tcPr>
          <w:p>
            <w:pPr>
              <w:jc w:val="center"/>
              <w:rPr>
                <w:rFonts w:ascii="宋体" w:hAnsi="宋体"/>
                <w:sz w:val="22"/>
              </w:rPr>
            </w:pPr>
            <w:r>
              <w:rPr>
                <w:rFonts w:hint="eastAsia" w:ascii="宋体" w:hAnsi="宋体"/>
                <w:sz w:val="22"/>
              </w:rPr>
              <w:t>邮政编码</w:t>
            </w:r>
          </w:p>
        </w:tc>
        <w:tc>
          <w:tcPr>
            <w:tcW w:w="1965" w:type="dxa"/>
            <w:noWrap w:val="0"/>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jc w:val="center"/>
        </w:trPr>
        <w:tc>
          <w:tcPr>
            <w:tcW w:w="656" w:type="dxa"/>
            <w:vMerge w:val="restart"/>
            <w:noWrap w:val="0"/>
            <w:vAlign w:val="center"/>
          </w:tcPr>
          <w:p>
            <w:pPr>
              <w:jc w:val="center"/>
              <w:rPr>
                <w:rFonts w:ascii="宋体" w:hAnsi="宋体"/>
                <w:sz w:val="22"/>
              </w:rPr>
            </w:pPr>
            <w:r>
              <w:rPr>
                <w:rFonts w:hint="eastAsia" w:ascii="宋体" w:hAnsi="宋体"/>
                <w:sz w:val="22"/>
              </w:rPr>
              <w:t>承揽方︵乙方︶</w:t>
            </w:r>
          </w:p>
        </w:tc>
        <w:tc>
          <w:tcPr>
            <w:tcW w:w="1620" w:type="dxa"/>
            <w:noWrap w:val="0"/>
            <w:vAlign w:val="center"/>
          </w:tcPr>
          <w:p>
            <w:pPr>
              <w:jc w:val="center"/>
              <w:rPr>
                <w:rFonts w:ascii="宋体" w:hAnsi="宋体"/>
                <w:sz w:val="22"/>
              </w:rPr>
            </w:pPr>
            <w:r>
              <w:rPr>
                <w:rFonts w:hint="eastAsia" w:ascii="宋体" w:hAnsi="宋体"/>
                <w:sz w:val="22"/>
              </w:rPr>
              <w:t>名称（或姓名）</w:t>
            </w:r>
          </w:p>
        </w:tc>
        <w:tc>
          <w:tcPr>
            <w:tcW w:w="6105" w:type="dxa"/>
            <w:gridSpan w:val="3"/>
            <w:noWrap w:val="0"/>
            <w:vAlign w:val="center"/>
          </w:tcPr>
          <w:p>
            <w:pPr>
              <w:jc w:val="center"/>
              <w:rPr>
                <w:rFonts w:ascii="宋体" w:hAnsi="宋体"/>
                <w:sz w:val="22"/>
              </w:rPr>
            </w:pPr>
            <w:r>
              <w:rPr>
                <w:rFonts w:hint="eastAsia" w:ascii="宋体" w:hAnsi="宋体"/>
                <w:sz w:val="22"/>
              </w:rPr>
              <w:t xml:space="preserve">                    　　　　　　　　　　　　　 （签章）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656" w:type="dxa"/>
            <w:vMerge w:val="continue"/>
            <w:noWrap w:val="0"/>
            <w:vAlign w:val="center"/>
          </w:tcPr>
          <w:p>
            <w:pPr>
              <w:jc w:val="center"/>
              <w:rPr>
                <w:rFonts w:ascii="宋体" w:hAnsi="宋体"/>
                <w:sz w:val="22"/>
              </w:rPr>
            </w:pPr>
          </w:p>
        </w:tc>
        <w:tc>
          <w:tcPr>
            <w:tcW w:w="1620" w:type="dxa"/>
            <w:noWrap w:val="0"/>
            <w:vAlign w:val="center"/>
          </w:tcPr>
          <w:p>
            <w:pPr>
              <w:jc w:val="center"/>
              <w:rPr>
                <w:rFonts w:ascii="宋体" w:hAnsi="宋体"/>
                <w:sz w:val="22"/>
              </w:rPr>
            </w:pPr>
            <w:r>
              <w:rPr>
                <w:rFonts w:hint="eastAsia" w:ascii="宋体" w:hAnsi="宋体"/>
                <w:sz w:val="22"/>
              </w:rPr>
              <w:t>法定代表人</w:t>
            </w:r>
          </w:p>
        </w:tc>
        <w:tc>
          <w:tcPr>
            <w:tcW w:w="2700" w:type="dxa"/>
            <w:noWrap w:val="0"/>
            <w:vAlign w:val="center"/>
          </w:tcPr>
          <w:p>
            <w:pPr>
              <w:jc w:val="center"/>
              <w:rPr>
                <w:rFonts w:ascii="宋体" w:hAnsi="宋体"/>
                <w:sz w:val="22"/>
              </w:rPr>
            </w:pPr>
            <w:r>
              <w:rPr>
                <w:rFonts w:hint="eastAsia" w:ascii="宋体" w:hAnsi="宋体"/>
                <w:sz w:val="22"/>
              </w:rPr>
              <w:t>　　　　　　　　（签章）</w:t>
            </w:r>
          </w:p>
        </w:tc>
        <w:tc>
          <w:tcPr>
            <w:tcW w:w="1440" w:type="dxa"/>
            <w:noWrap w:val="0"/>
            <w:vAlign w:val="center"/>
          </w:tcPr>
          <w:p>
            <w:pPr>
              <w:jc w:val="center"/>
              <w:rPr>
                <w:rFonts w:ascii="宋体" w:hAnsi="宋体"/>
                <w:sz w:val="22"/>
              </w:rPr>
            </w:pPr>
            <w:r>
              <w:rPr>
                <w:rFonts w:hint="eastAsia" w:ascii="宋体" w:hAnsi="宋体"/>
                <w:sz w:val="22"/>
              </w:rPr>
              <w:t>委托代理人</w:t>
            </w:r>
          </w:p>
        </w:tc>
        <w:tc>
          <w:tcPr>
            <w:tcW w:w="1965" w:type="dxa"/>
            <w:noWrap w:val="0"/>
            <w:vAlign w:val="center"/>
          </w:tcPr>
          <w:p>
            <w:pPr>
              <w:jc w:val="center"/>
              <w:rPr>
                <w:rFonts w:ascii="宋体" w:hAnsi="宋体"/>
                <w:sz w:val="22"/>
              </w:rPr>
            </w:pPr>
            <w:r>
              <w:rPr>
                <w:rFonts w:hint="eastAsia" w:ascii="宋体" w:hAnsi="宋体"/>
                <w:sz w:val="22"/>
              </w:rPr>
              <w:t>　　　　（签章）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6" w:hRule="atLeast"/>
          <w:jc w:val="center"/>
        </w:trPr>
        <w:tc>
          <w:tcPr>
            <w:tcW w:w="656" w:type="dxa"/>
            <w:vMerge w:val="continue"/>
            <w:noWrap w:val="0"/>
            <w:vAlign w:val="center"/>
          </w:tcPr>
          <w:p>
            <w:pPr>
              <w:jc w:val="center"/>
              <w:rPr>
                <w:rFonts w:ascii="宋体" w:hAnsi="宋体"/>
                <w:sz w:val="22"/>
              </w:rPr>
            </w:pPr>
          </w:p>
        </w:tc>
        <w:tc>
          <w:tcPr>
            <w:tcW w:w="1620" w:type="dxa"/>
            <w:noWrap w:val="0"/>
            <w:vAlign w:val="center"/>
          </w:tcPr>
          <w:p>
            <w:pPr>
              <w:jc w:val="center"/>
              <w:rPr>
                <w:rFonts w:ascii="宋体" w:hAnsi="宋体"/>
                <w:sz w:val="22"/>
              </w:rPr>
            </w:pPr>
            <w:r>
              <w:rPr>
                <w:rFonts w:hint="eastAsia" w:ascii="宋体" w:hAnsi="宋体"/>
                <w:sz w:val="22"/>
              </w:rPr>
              <w:t>联  系  人</w:t>
            </w:r>
          </w:p>
        </w:tc>
        <w:tc>
          <w:tcPr>
            <w:tcW w:w="6105" w:type="dxa"/>
            <w:gridSpan w:val="3"/>
            <w:noWrap w:val="0"/>
            <w:vAlign w:val="center"/>
          </w:tcPr>
          <w:p>
            <w:pPr>
              <w:jc w:val="center"/>
              <w:rPr>
                <w:rFonts w:ascii="宋体" w:hAnsi="宋体"/>
                <w:sz w:val="22"/>
              </w:rPr>
            </w:pPr>
            <w:r>
              <w:rPr>
                <w:rFonts w:hint="eastAsia" w:ascii="宋体" w:hAnsi="宋体"/>
                <w:sz w:val="22"/>
              </w:rPr>
              <w:t>　　　　　　　　　　　　　　　　　　　　　　　（签章）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656" w:type="dxa"/>
            <w:vMerge w:val="continue"/>
            <w:noWrap w:val="0"/>
            <w:vAlign w:val="center"/>
          </w:tcPr>
          <w:p>
            <w:pPr>
              <w:jc w:val="center"/>
              <w:rPr>
                <w:rFonts w:ascii="宋体" w:hAnsi="宋体"/>
                <w:sz w:val="22"/>
              </w:rPr>
            </w:pPr>
          </w:p>
        </w:tc>
        <w:tc>
          <w:tcPr>
            <w:tcW w:w="1620" w:type="dxa"/>
            <w:noWrap w:val="0"/>
            <w:vAlign w:val="center"/>
          </w:tcPr>
          <w:p>
            <w:pPr>
              <w:jc w:val="center"/>
              <w:rPr>
                <w:rFonts w:ascii="宋体" w:hAnsi="宋体"/>
                <w:sz w:val="22"/>
              </w:rPr>
            </w:pPr>
            <w:r>
              <w:rPr>
                <w:rFonts w:hint="eastAsia" w:ascii="宋体" w:hAnsi="宋体"/>
                <w:sz w:val="22"/>
              </w:rPr>
              <w:t>住     所</w:t>
            </w:r>
          </w:p>
          <w:p>
            <w:pPr>
              <w:jc w:val="center"/>
              <w:rPr>
                <w:rFonts w:ascii="宋体" w:hAnsi="宋体"/>
                <w:sz w:val="22"/>
              </w:rPr>
            </w:pPr>
            <w:r>
              <w:rPr>
                <w:rFonts w:hint="eastAsia" w:ascii="宋体" w:hAnsi="宋体"/>
                <w:sz w:val="22"/>
              </w:rPr>
              <w:t>（通讯地址）</w:t>
            </w:r>
          </w:p>
        </w:tc>
        <w:tc>
          <w:tcPr>
            <w:tcW w:w="6105" w:type="dxa"/>
            <w:gridSpan w:val="3"/>
            <w:noWrap w:val="0"/>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656" w:type="dxa"/>
            <w:vMerge w:val="continue"/>
            <w:noWrap w:val="0"/>
            <w:vAlign w:val="center"/>
          </w:tcPr>
          <w:p>
            <w:pPr>
              <w:jc w:val="center"/>
              <w:rPr>
                <w:rFonts w:ascii="宋体" w:hAnsi="宋体"/>
                <w:sz w:val="22"/>
              </w:rPr>
            </w:pPr>
          </w:p>
        </w:tc>
        <w:tc>
          <w:tcPr>
            <w:tcW w:w="1620" w:type="dxa"/>
            <w:noWrap w:val="0"/>
            <w:vAlign w:val="center"/>
          </w:tcPr>
          <w:p>
            <w:pPr>
              <w:jc w:val="center"/>
              <w:rPr>
                <w:rFonts w:ascii="宋体" w:hAnsi="宋体"/>
                <w:sz w:val="22"/>
              </w:rPr>
            </w:pPr>
            <w:r>
              <w:rPr>
                <w:rFonts w:hint="eastAsia" w:ascii="宋体" w:hAnsi="宋体"/>
                <w:sz w:val="22"/>
              </w:rPr>
              <w:t>电    话</w:t>
            </w:r>
          </w:p>
        </w:tc>
        <w:tc>
          <w:tcPr>
            <w:tcW w:w="2700" w:type="dxa"/>
            <w:noWrap w:val="0"/>
            <w:vAlign w:val="center"/>
          </w:tcPr>
          <w:p>
            <w:pPr>
              <w:jc w:val="center"/>
              <w:rPr>
                <w:rFonts w:ascii="宋体" w:hAnsi="宋体"/>
                <w:sz w:val="22"/>
              </w:rPr>
            </w:pPr>
          </w:p>
        </w:tc>
        <w:tc>
          <w:tcPr>
            <w:tcW w:w="1440" w:type="dxa"/>
            <w:noWrap w:val="0"/>
            <w:vAlign w:val="center"/>
          </w:tcPr>
          <w:p>
            <w:pPr>
              <w:jc w:val="center"/>
              <w:rPr>
                <w:rFonts w:ascii="宋体" w:hAnsi="宋体"/>
                <w:sz w:val="22"/>
              </w:rPr>
            </w:pPr>
            <w:r>
              <w:rPr>
                <w:rFonts w:hint="eastAsia" w:ascii="宋体" w:hAnsi="宋体"/>
                <w:sz w:val="22"/>
              </w:rPr>
              <w:t>E－mail</w:t>
            </w:r>
          </w:p>
        </w:tc>
        <w:tc>
          <w:tcPr>
            <w:tcW w:w="1965" w:type="dxa"/>
            <w:noWrap w:val="0"/>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656" w:type="dxa"/>
            <w:vMerge w:val="continue"/>
            <w:noWrap w:val="0"/>
            <w:vAlign w:val="center"/>
          </w:tcPr>
          <w:p>
            <w:pPr>
              <w:jc w:val="center"/>
              <w:rPr>
                <w:rFonts w:ascii="宋体" w:hAnsi="宋体"/>
                <w:sz w:val="22"/>
              </w:rPr>
            </w:pPr>
          </w:p>
        </w:tc>
        <w:tc>
          <w:tcPr>
            <w:tcW w:w="1620" w:type="dxa"/>
            <w:noWrap w:val="0"/>
            <w:vAlign w:val="center"/>
          </w:tcPr>
          <w:p>
            <w:pPr>
              <w:jc w:val="center"/>
              <w:rPr>
                <w:rFonts w:ascii="宋体" w:hAnsi="宋体"/>
                <w:sz w:val="22"/>
              </w:rPr>
            </w:pPr>
            <w:r>
              <w:rPr>
                <w:rFonts w:hint="eastAsia" w:ascii="宋体" w:hAnsi="宋体"/>
                <w:sz w:val="22"/>
              </w:rPr>
              <w:t>开户银行</w:t>
            </w:r>
          </w:p>
        </w:tc>
        <w:tc>
          <w:tcPr>
            <w:tcW w:w="6105" w:type="dxa"/>
            <w:gridSpan w:val="3"/>
            <w:noWrap w:val="0"/>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656" w:type="dxa"/>
            <w:vMerge w:val="continue"/>
            <w:noWrap w:val="0"/>
            <w:vAlign w:val="center"/>
          </w:tcPr>
          <w:p>
            <w:pPr>
              <w:jc w:val="center"/>
              <w:rPr>
                <w:rFonts w:ascii="宋体" w:hAnsi="宋体"/>
                <w:sz w:val="22"/>
              </w:rPr>
            </w:pPr>
          </w:p>
        </w:tc>
        <w:tc>
          <w:tcPr>
            <w:tcW w:w="1620" w:type="dxa"/>
            <w:noWrap w:val="0"/>
            <w:vAlign w:val="center"/>
          </w:tcPr>
          <w:p>
            <w:pPr>
              <w:jc w:val="center"/>
              <w:rPr>
                <w:rFonts w:ascii="宋体" w:hAnsi="宋体"/>
                <w:sz w:val="22"/>
              </w:rPr>
            </w:pPr>
            <w:r>
              <w:rPr>
                <w:rFonts w:hint="eastAsia" w:ascii="宋体" w:hAnsi="宋体"/>
                <w:sz w:val="22"/>
              </w:rPr>
              <w:t>帐    号</w:t>
            </w:r>
          </w:p>
        </w:tc>
        <w:tc>
          <w:tcPr>
            <w:tcW w:w="2700" w:type="dxa"/>
            <w:noWrap w:val="0"/>
            <w:vAlign w:val="center"/>
          </w:tcPr>
          <w:p>
            <w:pPr>
              <w:jc w:val="center"/>
              <w:rPr>
                <w:rFonts w:ascii="宋体" w:hAnsi="宋体"/>
                <w:sz w:val="22"/>
              </w:rPr>
            </w:pPr>
          </w:p>
        </w:tc>
        <w:tc>
          <w:tcPr>
            <w:tcW w:w="1440" w:type="dxa"/>
            <w:noWrap w:val="0"/>
            <w:vAlign w:val="center"/>
          </w:tcPr>
          <w:p>
            <w:pPr>
              <w:jc w:val="center"/>
              <w:rPr>
                <w:rFonts w:ascii="宋体" w:hAnsi="宋体"/>
                <w:sz w:val="22"/>
              </w:rPr>
            </w:pPr>
            <w:r>
              <w:rPr>
                <w:rFonts w:hint="eastAsia" w:ascii="宋体" w:hAnsi="宋体"/>
                <w:sz w:val="22"/>
              </w:rPr>
              <w:t>邮政编码</w:t>
            </w:r>
          </w:p>
        </w:tc>
        <w:tc>
          <w:tcPr>
            <w:tcW w:w="1965" w:type="dxa"/>
            <w:noWrap w:val="0"/>
            <w:vAlign w:val="center"/>
          </w:tcPr>
          <w:p>
            <w:pPr>
              <w:jc w:val="center"/>
              <w:rPr>
                <w:rFonts w:ascii="宋体" w:hAnsi="宋体"/>
                <w:sz w:val="22"/>
              </w:rPr>
            </w:pPr>
          </w:p>
        </w:tc>
      </w:tr>
    </w:tbl>
    <w:p>
      <w:pPr>
        <w:pStyle w:val="18"/>
        <w:spacing w:line="360" w:lineRule="exact"/>
        <w:ind w:firstLine="440"/>
        <w:jc w:val="left"/>
        <w:rPr>
          <w:rFonts w:hint="eastAsia" w:ascii="宋体" w:hAnsi="宋体"/>
          <w:sz w:val="24"/>
          <w:szCs w:val="21"/>
        </w:rPr>
      </w:pPr>
      <w:r>
        <w:rPr>
          <w:rFonts w:ascii="宋体" w:hAnsi="宋体"/>
          <w:sz w:val="22"/>
        </w:rPr>
        <w:br w:type="page"/>
      </w:r>
      <w:r>
        <w:rPr>
          <w:rFonts w:hint="eastAsia" w:ascii="宋体" w:hAnsi="宋体"/>
          <w:sz w:val="24"/>
          <w:szCs w:val="21"/>
        </w:rPr>
        <w:t xml:space="preserve"> </w:t>
      </w:r>
      <w:bookmarkStart w:id="107" w:name="_Toc448002987"/>
      <w:r>
        <w:rPr>
          <w:rFonts w:hint="eastAsia" w:ascii="宋体" w:hAnsi="宋体"/>
          <w:sz w:val="24"/>
          <w:szCs w:val="21"/>
        </w:rPr>
        <w:t>附件1：</w:t>
      </w:r>
    </w:p>
    <w:p>
      <w:pPr>
        <w:pStyle w:val="18"/>
        <w:spacing w:line="360" w:lineRule="exact"/>
        <w:ind w:firstLine="480"/>
        <w:jc w:val="left"/>
        <w:rPr>
          <w:rFonts w:hint="eastAsia" w:ascii="宋体" w:hAnsi="宋体"/>
          <w:sz w:val="24"/>
          <w:szCs w:val="21"/>
        </w:rPr>
      </w:pPr>
    </w:p>
    <w:p>
      <w:pPr>
        <w:pStyle w:val="18"/>
        <w:spacing w:line="360" w:lineRule="exact"/>
        <w:ind w:firstLine="643"/>
        <w:jc w:val="center"/>
        <w:rPr>
          <w:rFonts w:ascii="宋体" w:hAnsi="宋体"/>
          <w:b/>
          <w:color w:val="auto"/>
          <w:sz w:val="32"/>
          <w:szCs w:val="32"/>
        </w:rPr>
      </w:pPr>
      <w:r>
        <w:rPr>
          <w:rFonts w:hint="eastAsia" w:ascii="宋体" w:hAnsi="宋体"/>
          <w:b/>
          <w:color w:val="auto"/>
          <w:sz w:val="32"/>
          <w:szCs w:val="32"/>
        </w:rPr>
        <w:t>杭州萧山国际机场有限公司廉洁自律承诺书</w:t>
      </w:r>
    </w:p>
    <w:p>
      <w:pPr>
        <w:pStyle w:val="16"/>
        <w:adjustRightInd w:val="0"/>
        <w:snapToGrid w:val="0"/>
        <w:ind w:firstLine="482"/>
        <w:jc w:val="left"/>
        <w:rPr>
          <w:rFonts w:ascii="宋体" w:hAnsi="宋体"/>
          <w:b/>
          <w:sz w:val="24"/>
          <w:szCs w:val="24"/>
        </w:rPr>
      </w:pPr>
    </w:p>
    <w:p>
      <w:pPr>
        <w:pStyle w:val="16"/>
        <w:adjustRightInd w:val="0"/>
        <w:snapToGrid w:val="0"/>
        <w:spacing w:line="360" w:lineRule="auto"/>
        <w:ind w:firstLine="0" w:firstLineChars="0"/>
        <w:jc w:val="left"/>
        <w:rPr>
          <w:rFonts w:ascii="宋体" w:hAnsi="宋体"/>
          <w:b/>
          <w:sz w:val="24"/>
          <w:szCs w:val="24"/>
        </w:rPr>
      </w:pPr>
      <w:r>
        <w:rPr>
          <w:rFonts w:hint="eastAsia" w:ascii="宋体" w:hAnsi="宋体"/>
          <w:b/>
          <w:sz w:val="24"/>
          <w:szCs w:val="24"/>
        </w:rPr>
        <w:t>杭州萧山国际机场有限公司：</w:t>
      </w:r>
    </w:p>
    <w:p>
      <w:pPr>
        <w:pStyle w:val="16"/>
        <w:adjustRightInd w:val="0"/>
        <w:snapToGrid w:val="0"/>
        <w:spacing w:line="360" w:lineRule="auto"/>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16"/>
        <w:adjustRightInd w:val="0"/>
        <w:snapToGrid w:val="0"/>
        <w:spacing w:line="360" w:lineRule="auto"/>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6"/>
        <w:adjustRightInd w:val="0"/>
        <w:snapToGrid w:val="0"/>
        <w:spacing w:line="360" w:lineRule="auto"/>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16"/>
        <w:adjustRightInd w:val="0"/>
        <w:snapToGrid w:val="0"/>
        <w:spacing w:line="360" w:lineRule="auto"/>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16"/>
        <w:adjustRightInd w:val="0"/>
        <w:snapToGrid w:val="0"/>
        <w:spacing w:line="360" w:lineRule="auto"/>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16"/>
        <w:adjustRightInd w:val="0"/>
        <w:snapToGrid w:val="0"/>
        <w:spacing w:line="360" w:lineRule="auto"/>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16"/>
        <w:adjustRightInd w:val="0"/>
        <w:snapToGrid w:val="0"/>
        <w:spacing w:line="360" w:lineRule="auto"/>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16"/>
        <w:adjustRightInd w:val="0"/>
        <w:snapToGrid w:val="0"/>
        <w:spacing w:line="360" w:lineRule="auto"/>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16"/>
        <w:adjustRightInd w:val="0"/>
        <w:snapToGrid w:val="0"/>
        <w:spacing w:line="360" w:lineRule="auto"/>
        <w:ind w:firstLine="480"/>
        <w:jc w:val="left"/>
        <w:rPr>
          <w:rFonts w:ascii="宋体" w:hAnsi="宋体"/>
          <w:sz w:val="24"/>
          <w:szCs w:val="24"/>
        </w:rPr>
      </w:pPr>
      <w:r>
        <w:rPr>
          <w:rFonts w:hint="eastAsia" w:ascii="宋体" w:hAnsi="宋体"/>
          <w:sz w:val="24"/>
          <w:szCs w:val="24"/>
        </w:rPr>
        <w:t>八、如违反上述廉洁自律承诺，贵公司有权：</w:t>
      </w:r>
    </w:p>
    <w:p>
      <w:pPr>
        <w:pStyle w:val="16"/>
        <w:numPr>
          <w:ilvl w:val="0"/>
          <w:numId w:val="3"/>
        </w:numPr>
        <w:adjustRightInd w:val="0"/>
        <w:snapToGrid w:val="0"/>
        <w:spacing w:line="360" w:lineRule="auto"/>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16"/>
        <w:numPr>
          <w:ilvl w:val="0"/>
          <w:numId w:val="3"/>
        </w:numPr>
        <w:adjustRightInd w:val="0"/>
        <w:snapToGrid w:val="0"/>
        <w:spacing w:line="360" w:lineRule="auto"/>
        <w:ind w:firstLineChars="0"/>
        <w:jc w:val="left"/>
        <w:rPr>
          <w:rFonts w:ascii="宋体" w:hAnsi="宋体"/>
          <w:sz w:val="24"/>
          <w:szCs w:val="24"/>
        </w:rPr>
      </w:pPr>
      <w:r>
        <w:rPr>
          <w:rFonts w:hint="eastAsia" w:ascii="宋体" w:hAnsi="宋体"/>
          <w:sz w:val="24"/>
          <w:szCs w:val="24"/>
        </w:rPr>
        <w:t>扣除我方向贵公司缴纳的履约保证金的</w:t>
      </w:r>
      <w:r>
        <w:rPr>
          <w:rFonts w:ascii="宋体" w:hAnsi="宋体"/>
          <w:sz w:val="24"/>
          <w:szCs w:val="24"/>
        </w:rPr>
        <w:t>10%作为违反廉洁自律承诺的违约金。如该违约金不足以弥补贵公司损失的，我单位仍将承担实际损失赔偿责任。</w:t>
      </w:r>
    </w:p>
    <w:p>
      <w:pPr>
        <w:pStyle w:val="16"/>
        <w:numPr>
          <w:ilvl w:val="0"/>
          <w:numId w:val="3"/>
        </w:numPr>
        <w:adjustRightInd w:val="0"/>
        <w:snapToGrid w:val="0"/>
        <w:spacing w:line="360" w:lineRule="auto"/>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16"/>
        <w:numPr>
          <w:ilvl w:val="0"/>
          <w:numId w:val="3"/>
        </w:numPr>
        <w:adjustRightInd w:val="0"/>
        <w:snapToGrid w:val="0"/>
        <w:spacing w:line="360" w:lineRule="auto"/>
        <w:ind w:firstLineChars="0"/>
        <w:jc w:val="left"/>
        <w:rPr>
          <w:rFonts w:ascii="宋体" w:hAnsi="宋体"/>
          <w:sz w:val="24"/>
          <w:szCs w:val="24"/>
        </w:rPr>
      </w:pPr>
      <w:r>
        <w:rPr>
          <w:rFonts w:hint="eastAsia" w:ascii="宋体" w:hAnsi="宋体"/>
          <w:sz w:val="24"/>
          <w:szCs w:val="24"/>
        </w:rPr>
        <w:t>由此引起的相应损失均由我单位承担。</w:t>
      </w:r>
    </w:p>
    <w:p>
      <w:pPr>
        <w:pStyle w:val="16"/>
        <w:adjustRightInd w:val="0"/>
        <w:snapToGrid w:val="0"/>
        <w:spacing w:line="360" w:lineRule="auto"/>
        <w:ind w:firstLine="480"/>
        <w:jc w:val="left"/>
        <w:rPr>
          <w:rFonts w:ascii="宋体" w:hAnsi="宋体"/>
          <w:sz w:val="24"/>
          <w:szCs w:val="24"/>
        </w:rPr>
      </w:pPr>
    </w:p>
    <w:p>
      <w:pPr>
        <w:pStyle w:val="16"/>
        <w:adjustRightInd w:val="0"/>
        <w:snapToGrid w:val="0"/>
        <w:spacing w:line="360" w:lineRule="auto"/>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16"/>
        <w:adjustRightInd w:val="0"/>
        <w:snapToGrid w:val="0"/>
        <w:spacing w:line="360" w:lineRule="auto"/>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16"/>
        <w:adjustRightInd w:val="0"/>
        <w:snapToGrid w:val="0"/>
        <w:spacing w:line="360" w:lineRule="auto"/>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16"/>
        <w:adjustRightInd w:val="0"/>
        <w:snapToGrid w:val="0"/>
        <w:spacing w:line="360" w:lineRule="auto"/>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16"/>
        <w:adjustRightInd w:val="0"/>
        <w:snapToGrid w:val="0"/>
        <w:spacing w:line="360" w:lineRule="auto"/>
        <w:ind w:firstLine="482"/>
        <w:jc w:val="left"/>
        <w:rPr>
          <w:rFonts w:ascii="宋体" w:hAnsi="宋体"/>
          <w:b/>
          <w:sz w:val="24"/>
          <w:szCs w:val="24"/>
        </w:rPr>
      </w:pPr>
    </w:p>
    <w:p>
      <w:pPr>
        <w:pStyle w:val="11"/>
        <w:spacing w:before="0" w:after="0" w:line="360" w:lineRule="auto"/>
        <w:rPr>
          <w:rFonts w:ascii="宋体" w:hAnsi="宋体" w:eastAsia="宋体"/>
          <w:b w:val="0"/>
          <w:sz w:val="24"/>
          <w:szCs w:val="24"/>
        </w:rPr>
        <w:sectPr>
          <w:footerReference r:id="rId7" w:type="even"/>
          <w:pgSz w:w="11906" w:h="16838"/>
          <w:pgMar w:top="1134" w:right="1247" w:bottom="1134" w:left="1247" w:header="851" w:footer="992" w:gutter="0"/>
          <w:pgNumType w:fmt="numberInDash"/>
          <w:cols w:space="720" w:num="1"/>
          <w:docGrid w:linePitch="312" w:charSpace="0"/>
        </w:sectPr>
      </w:pPr>
      <w:r>
        <w:rPr>
          <w:rFonts w:ascii="宋体" w:hAnsi="宋体" w:eastAsia="宋体"/>
          <w:b w:val="0"/>
          <w:sz w:val="24"/>
          <w:szCs w:val="24"/>
        </w:rPr>
        <w:t xml:space="preserve">                           年     月     日</w:t>
      </w:r>
    </w:p>
    <w:p>
      <w:pPr>
        <w:pStyle w:val="18"/>
        <w:spacing w:after="120" w:afterLines="50" w:line="360" w:lineRule="exact"/>
        <w:ind w:firstLine="480"/>
        <w:jc w:val="left"/>
        <w:rPr>
          <w:rFonts w:ascii="宋体" w:hAnsi="宋体"/>
          <w:sz w:val="24"/>
          <w:szCs w:val="21"/>
        </w:rPr>
      </w:pPr>
      <w:r>
        <w:rPr>
          <w:rFonts w:hint="eastAsia" w:ascii="宋体" w:hAnsi="宋体"/>
          <w:sz w:val="24"/>
          <w:szCs w:val="21"/>
        </w:rPr>
        <w:t>附件2</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auto"/>
        <w:ind w:firstLine="280"/>
        <w:rPr>
          <w:rFonts w:hint="eastAsia" w:ascii="宋体" w:hAnsi="宋体" w:cs="宋体"/>
          <w:sz w:val="24"/>
          <w:szCs w:val="24"/>
        </w:rPr>
      </w:pPr>
      <w:r>
        <w:rPr>
          <w:rFonts w:hint="eastAsia" w:ascii="宋体" w:hAnsi="宋体" w:cs="宋体"/>
          <w:sz w:val="24"/>
          <w:szCs w:val="24"/>
        </w:rPr>
        <w:t>1.商业秘密</w:t>
      </w:r>
    </w:p>
    <w:p>
      <w:pPr>
        <w:adjustRightInd w:val="0"/>
        <w:snapToGrid w:val="0"/>
        <w:spacing w:line="360" w:lineRule="auto"/>
        <w:ind w:firstLine="280"/>
        <w:rPr>
          <w:rFonts w:hint="eastAsia" w:ascii="宋体" w:hAnsi="宋体" w:cs="宋体"/>
          <w:sz w:val="24"/>
          <w:szCs w:val="24"/>
        </w:rPr>
      </w:pPr>
      <w:r>
        <w:rPr>
          <w:rFonts w:hint="eastAsia" w:ascii="宋体" w:hAnsi="宋体" w:cs="宋体"/>
          <w:sz w:val="24"/>
          <w:szCs w:val="24"/>
        </w:rPr>
        <w:t>1.1商业秘密是指机场公司（包括机场公司关联公司）一切专有、不对外公开的资料和信息。包括但不限于以下方面：</w:t>
      </w:r>
    </w:p>
    <w:p>
      <w:pPr>
        <w:adjustRightInd w:val="0"/>
        <w:snapToGrid w:val="0"/>
        <w:spacing w:line="360" w:lineRule="auto"/>
        <w:ind w:firstLine="280"/>
        <w:rPr>
          <w:rFonts w:hint="eastAsia" w:ascii="宋体" w:hAnsi="宋体" w:cs="宋体"/>
          <w:sz w:val="24"/>
          <w:szCs w:val="24"/>
        </w:rPr>
      </w:pPr>
      <w:r>
        <w:rPr>
          <w:rFonts w:hint="eastAsia" w:ascii="宋体" w:hAnsi="宋体" w:cs="宋体"/>
          <w:sz w:val="24"/>
          <w:szCs w:val="24"/>
        </w:rPr>
        <w:t>（1）经营信息（发展规划、运营状况、客户资源、货源情报、投融资计划、开发计划、标书等）；</w:t>
      </w:r>
    </w:p>
    <w:p>
      <w:pPr>
        <w:adjustRightInd w:val="0"/>
        <w:snapToGrid w:val="0"/>
        <w:spacing w:line="360" w:lineRule="auto"/>
        <w:ind w:firstLine="280"/>
        <w:rPr>
          <w:rFonts w:hint="eastAsia" w:ascii="宋体" w:hAnsi="宋体" w:cs="宋体"/>
          <w:sz w:val="24"/>
          <w:szCs w:val="24"/>
        </w:rPr>
      </w:pPr>
      <w:r>
        <w:rPr>
          <w:rFonts w:hint="eastAsia" w:ascii="宋体" w:hAnsi="宋体" w:cs="宋体"/>
          <w:sz w:val="24"/>
          <w:szCs w:val="24"/>
        </w:rPr>
        <w:t>（2）管理信息（管理方法、管理制度、员工管理、合同管理、纠纷管理等）；</w:t>
      </w:r>
    </w:p>
    <w:p>
      <w:pPr>
        <w:adjustRightInd w:val="0"/>
        <w:snapToGrid w:val="0"/>
        <w:spacing w:line="360" w:lineRule="auto"/>
        <w:ind w:firstLine="280"/>
        <w:rPr>
          <w:rFonts w:hint="eastAsia" w:ascii="宋体" w:hAnsi="宋体" w:cs="宋体"/>
          <w:sz w:val="24"/>
          <w:szCs w:val="24"/>
        </w:rPr>
      </w:pPr>
      <w:r>
        <w:rPr>
          <w:rFonts w:hint="eastAsia" w:ascii="宋体" w:hAnsi="宋体" w:cs="宋体"/>
          <w:sz w:val="24"/>
          <w:szCs w:val="24"/>
        </w:rPr>
        <w:t>（3）产品及技术信息（设计及图纸、样品及服务、技术方案、质量标准、技术标准、计算机程序等）；</w:t>
      </w:r>
    </w:p>
    <w:p>
      <w:pPr>
        <w:adjustRightInd w:val="0"/>
        <w:snapToGrid w:val="0"/>
        <w:spacing w:line="360" w:lineRule="auto"/>
        <w:ind w:firstLine="280"/>
        <w:rPr>
          <w:rFonts w:hint="eastAsia" w:ascii="宋体" w:hAnsi="宋体" w:cs="宋体"/>
          <w:sz w:val="24"/>
          <w:szCs w:val="24"/>
        </w:rPr>
      </w:pPr>
      <w:r>
        <w:rPr>
          <w:rFonts w:hint="eastAsia" w:ascii="宋体" w:hAnsi="宋体" w:cs="宋体"/>
          <w:sz w:val="24"/>
          <w:szCs w:val="24"/>
        </w:rPr>
        <w:t>（4）财务信息（财务收支、固定资产、流动资金、成本核算等）；</w:t>
      </w:r>
    </w:p>
    <w:p>
      <w:pPr>
        <w:adjustRightInd w:val="0"/>
        <w:snapToGrid w:val="0"/>
        <w:spacing w:line="360" w:lineRule="auto"/>
        <w:ind w:firstLine="280"/>
        <w:rPr>
          <w:rFonts w:hint="eastAsia" w:ascii="宋体" w:hAnsi="宋体" w:cs="宋体"/>
          <w:sz w:val="24"/>
          <w:szCs w:val="24"/>
        </w:rPr>
      </w:pPr>
      <w:r>
        <w:rPr>
          <w:rFonts w:hint="eastAsia" w:ascii="宋体" w:hAnsi="宋体" w:cs="宋体"/>
          <w:sz w:val="24"/>
          <w:szCs w:val="24"/>
        </w:rPr>
        <w:t>（5）我方单独或机场公司（包括机场公司关联公司）和我方共同为机场公司开发、设计、生产的产品、资料及相关信息；</w:t>
      </w:r>
    </w:p>
    <w:p>
      <w:pPr>
        <w:adjustRightInd w:val="0"/>
        <w:snapToGrid w:val="0"/>
        <w:spacing w:line="360" w:lineRule="auto"/>
        <w:ind w:firstLine="280"/>
        <w:rPr>
          <w:rFonts w:hint="eastAsia" w:ascii="宋体" w:hAnsi="宋体" w:cs="宋体"/>
          <w:sz w:val="24"/>
          <w:szCs w:val="24"/>
        </w:rPr>
      </w:pPr>
      <w:r>
        <w:rPr>
          <w:rFonts w:hint="eastAsia" w:ascii="宋体" w:hAnsi="宋体" w:cs="宋体"/>
          <w:sz w:val="24"/>
          <w:szCs w:val="24"/>
        </w:rPr>
        <w:t>（6）其他机场公司未对外公开的有关营运、计划、航班数据、标准、开发、生产、经营、质量管理控制和租赁的资料和数据等信息以及对供应商的管理文件。</w:t>
      </w:r>
    </w:p>
    <w:p>
      <w:pPr>
        <w:spacing w:line="360" w:lineRule="auto"/>
        <w:ind w:firstLine="280"/>
        <w:rPr>
          <w:rFonts w:hint="eastAsia" w:ascii="宋体" w:hAnsi="宋体" w:cs="宋体"/>
          <w:sz w:val="24"/>
          <w:szCs w:val="24"/>
        </w:rPr>
      </w:pPr>
      <w:r>
        <w:rPr>
          <w:rFonts w:hint="eastAsia" w:ascii="宋体" w:hAnsi="宋体" w:cs="宋体"/>
          <w:sz w:val="24"/>
          <w:szCs w:val="24"/>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ind w:firstLine="280"/>
        <w:rPr>
          <w:rFonts w:hint="eastAsia" w:ascii="宋体" w:hAnsi="宋体" w:cs="宋体"/>
          <w:sz w:val="24"/>
          <w:szCs w:val="24"/>
        </w:rPr>
      </w:pPr>
      <w:r>
        <w:rPr>
          <w:rFonts w:hint="eastAsia" w:ascii="宋体" w:hAnsi="宋体" w:cs="宋体"/>
          <w:sz w:val="24"/>
          <w:szCs w:val="24"/>
        </w:rPr>
        <w:t>1.3、对于上述提及的商业秘密，不能仅因为公开发表的文章或资讯中包含其内容，就认为是可对外公开的特殊情况。</w:t>
      </w:r>
    </w:p>
    <w:p>
      <w:pPr>
        <w:spacing w:line="360" w:lineRule="auto"/>
        <w:ind w:firstLine="280"/>
        <w:rPr>
          <w:rFonts w:hint="eastAsia" w:ascii="宋体" w:hAnsi="宋体" w:cs="宋体"/>
          <w:sz w:val="24"/>
          <w:szCs w:val="24"/>
        </w:rPr>
      </w:pPr>
      <w:r>
        <w:rPr>
          <w:rFonts w:hint="eastAsia" w:ascii="宋体" w:hAnsi="宋体" w:cs="宋体"/>
          <w:sz w:val="24"/>
          <w:szCs w:val="24"/>
        </w:rPr>
        <w:t>1.4、以下资料不属于本承诺所指的商业秘密：</w:t>
      </w:r>
    </w:p>
    <w:p>
      <w:pPr>
        <w:spacing w:line="360" w:lineRule="auto"/>
        <w:ind w:firstLine="280"/>
        <w:rPr>
          <w:rFonts w:hint="eastAsia" w:ascii="宋体" w:hAnsi="宋体" w:cs="宋体"/>
          <w:sz w:val="24"/>
          <w:szCs w:val="24"/>
        </w:rPr>
      </w:pPr>
      <w:r>
        <w:rPr>
          <w:rFonts w:hint="eastAsia" w:ascii="宋体" w:hAnsi="宋体" w:cs="宋体"/>
          <w:sz w:val="24"/>
          <w:szCs w:val="24"/>
        </w:rPr>
        <w:t>（1）我方从机场公司拟获悉之前已持有的我方无需承担保密义务的机场公司有关资料(但通过其它违约或侵权行为而获得的资料除外)；</w:t>
      </w:r>
    </w:p>
    <w:p>
      <w:pPr>
        <w:spacing w:line="360" w:lineRule="auto"/>
        <w:ind w:firstLine="280"/>
        <w:rPr>
          <w:rFonts w:hint="eastAsia" w:ascii="宋体" w:hAnsi="宋体" w:cs="宋体"/>
          <w:sz w:val="24"/>
          <w:szCs w:val="24"/>
        </w:rPr>
      </w:pPr>
      <w:r>
        <w:rPr>
          <w:rFonts w:hint="eastAsia" w:ascii="宋体" w:hAnsi="宋体" w:cs="宋体"/>
          <w:sz w:val="24"/>
          <w:szCs w:val="24"/>
        </w:rPr>
        <w:t>（2）已经公开或已成为常识性的资料，且该等公开并非因违反本承诺所致。</w:t>
      </w:r>
    </w:p>
    <w:p>
      <w:pPr>
        <w:spacing w:line="360" w:lineRule="auto"/>
        <w:ind w:firstLine="280"/>
        <w:rPr>
          <w:rFonts w:hint="eastAsia" w:ascii="宋体" w:hAnsi="宋体" w:cs="宋体"/>
          <w:sz w:val="24"/>
          <w:szCs w:val="24"/>
        </w:rPr>
      </w:pPr>
      <w:r>
        <w:rPr>
          <w:rFonts w:hint="eastAsia" w:ascii="宋体" w:hAnsi="宋体" w:cs="宋体"/>
          <w:sz w:val="24"/>
          <w:szCs w:val="24"/>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ind w:firstLine="280"/>
        <w:rPr>
          <w:rFonts w:hint="eastAsia" w:ascii="宋体" w:hAnsi="宋体" w:cs="宋体"/>
          <w:sz w:val="24"/>
          <w:szCs w:val="24"/>
        </w:rPr>
      </w:pPr>
      <w:r>
        <w:rPr>
          <w:rFonts w:hint="eastAsia" w:ascii="宋体" w:hAnsi="宋体" w:cs="宋体"/>
          <w:sz w:val="24"/>
          <w:szCs w:val="24"/>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auto"/>
        <w:ind w:firstLine="280"/>
        <w:rPr>
          <w:rFonts w:hint="eastAsia" w:ascii="宋体" w:hAnsi="宋体" w:cs="宋体"/>
          <w:sz w:val="24"/>
          <w:szCs w:val="24"/>
        </w:rPr>
      </w:pPr>
      <w:r>
        <w:rPr>
          <w:rFonts w:hint="eastAsia" w:ascii="宋体" w:hAnsi="宋体" w:cs="宋体"/>
          <w:sz w:val="24"/>
          <w:szCs w:val="24"/>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auto"/>
        <w:ind w:firstLine="280"/>
        <w:rPr>
          <w:rFonts w:hint="eastAsia" w:ascii="宋体" w:hAnsi="宋体" w:cs="宋体"/>
          <w:sz w:val="24"/>
          <w:szCs w:val="24"/>
        </w:rPr>
      </w:pPr>
      <w:r>
        <w:rPr>
          <w:rFonts w:hint="eastAsia" w:ascii="宋体" w:hAnsi="宋体" w:cs="宋体"/>
          <w:sz w:val="24"/>
          <w:szCs w:val="24"/>
        </w:rPr>
        <w:t>（1）披露、使用或者允许他人以不正当手段获取的商业秘密；</w:t>
      </w:r>
    </w:p>
    <w:p>
      <w:pPr>
        <w:adjustRightInd w:val="0"/>
        <w:snapToGrid w:val="0"/>
        <w:spacing w:line="360" w:lineRule="auto"/>
        <w:ind w:firstLine="280"/>
        <w:rPr>
          <w:rFonts w:hint="eastAsia" w:ascii="宋体" w:hAnsi="宋体" w:cs="宋体"/>
          <w:sz w:val="24"/>
          <w:szCs w:val="24"/>
        </w:rPr>
      </w:pPr>
      <w:r>
        <w:rPr>
          <w:rFonts w:hint="eastAsia" w:ascii="宋体" w:hAnsi="宋体" w:cs="宋体"/>
          <w:sz w:val="24"/>
          <w:szCs w:val="24"/>
        </w:rPr>
        <w:t>（2）为机场公司以外的第三人窃取、刺探、收买、非法提供商业秘密。</w:t>
      </w:r>
    </w:p>
    <w:p>
      <w:pPr>
        <w:adjustRightInd w:val="0"/>
        <w:snapToGrid w:val="0"/>
        <w:spacing w:line="360" w:lineRule="auto"/>
        <w:ind w:firstLine="280"/>
        <w:rPr>
          <w:rFonts w:hint="eastAsia" w:ascii="宋体" w:hAnsi="宋体" w:cs="宋体"/>
          <w:sz w:val="24"/>
          <w:szCs w:val="24"/>
        </w:rPr>
      </w:pPr>
      <w:r>
        <w:rPr>
          <w:rFonts w:hint="eastAsia" w:ascii="宋体" w:hAnsi="宋体" w:cs="宋体"/>
          <w:sz w:val="24"/>
          <w:szCs w:val="24"/>
        </w:rPr>
        <w:t>（3）在电子公告系统、聊天系统、电子邮箱、论坛等计算机网络系统上传递、转发、抄送、发布、谈论和传播商业秘密；</w:t>
      </w:r>
    </w:p>
    <w:p>
      <w:pPr>
        <w:adjustRightInd w:val="0"/>
        <w:snapToGrid w:val="0"/>
        <w:spacing w:line="360" w:lineRule="auto"/>
        <w:ind w:firstLine="280"/>
        <w:rPr>
          <w:rFonts w:hint="eastAsia" w:ascii="宋体" w:hAnsi="宋体" w:cs="宋体"/>
          <w:sz w:val="24"/>
          <w:szCs w:val="24"/>
        </w:rPr>
      </w:pPr>
      <w:r>
        <w:rPr>
          <w:rFonts w:hint="eastAsia" w:ascii="宋体" w:hAnsi="宋体" w:cs="宋体"/>
          <w:sz w:val="24"/>
          <w:szCs w:val="24"/>
        </w:rPr>
        <w:t xml:space="preserve">（4）在私人交往和通信中，向亲属、朋友以及与工作无关人员泄露商业秘密，或在公共场所谈论商业秘密； </w:t>
      </w:r>
    </w:p>
    <w:p>
      <w:pPr>
        <w:adjustRightInd w:val="0"/>
        <w:snapToGrid w:val="0"/>
        <w:spacing w:line="360" w:lineRule="auto"/>
        <w:ind w:firstLine="280"/>
        <w:rPr>
          <w:rFonts w:hint="eastAsia" w:ascii="宋体" w:hAnsi="宋体" w:cs="宋体"/>
          <w:sz w:val="24"/>
          <w:szCs w:val="24"/>
        </w:rPr>
      </w:pPr>
      <w:r>
        <w:rPr>
          <w:rFonts w:hint="eastAsia" w:ascii="宋体" w:hAnsi="宋体" w:cs="宋体"/>
          <w:sz w:val="24"/>
          <w:szCs w:val="24"/>
        </w:rPr>
        <w:t>（5）擅自将属于商业秘密的文件、资料和其他物品携带、传递、寄运出机场公司办公场所或国（境）外。</w:t>
      </w:r>
    </w:p>
    <w:p>
      <w:pPr>
        <w:adjustRightInd w:val="0"/>
        <w:snapToGrid w:val="0"/>
        <w:spacing w:line="360" w:lineRule="auto"/>
        <w:ind w:firstLine="280"/>
        <w:rPr>
          <w:rFonts w:hint="eastAsia" w:ascii="宋体" w:hAnsi="宋体" w:cs="宋体"/>
          <w:sz w:val="24"/>
          <w:szCs w:val="24"/>
        </w:rPr>
      </w:pPr>
      <w:r>
        <w:rPr>
          <w:rFonts w:hint="eastAsia" w:ascii="宋体" w:hAnsi="宋体" w:cs="宋体"/>
          <w:sz w:val="24"/>
          <w:szCs w:val="24"/>
        </w:rPr>
        <w:t>（6）未经机场公司同意就以任何方式私自保存、截留含有机场公司商业秘密的任何形式资料、文件和物品的复印件、复制品、副本。</w:t>
      </w:r>
    </w:p>
    <w:p>
      <w:pPr>
        <w:adjustRightInd w:val="0"/>
        <w:snapToGrid w:val="0"/>
        <w:spacing w:line="360" w:lineRule="auto"/>
        <w:ind w:firstLine="280"/>
        <w:rPr>
          <w:rFonts w:hint="eastAsia" w:ascii="宋体" w:hAnsi="宋体" w:cs="宋体"/>
          <w:sz w:val="24"/>
          <w:szCs w:val="24"/>
        </w:rPr>
      </w:pPr>
      <w:r>
        <w:rPr>
          <w:rFonts w:hint="eastAsia" w:ascii="宋体" w:hAnsi="宋体" w:cs="宋体"/>
          <w:sz w:val="24"/>
          <w:szCs w:val="24"/>
        </w:rPr>
        <w:t>（7）将含有机场公司商业秘密的产品、技术或其他资料、信息向第三人销售、使用或以任何方式提供。</w:t>
      </w:r>
    </w:p>
    <w:p>
      <w:pPr>
        <w:spacing w:line="360" w:lineRule="auto"/>
        <w:ind w:firstLine="280"/>
        <w:rPr>
          <w:rFonts w:hint="eastAsia" w:ascii="宋体" w:hAnsi="宋体" w:cs="宋体"/>
          <w:sz w:val="24"/>
          <w:szCs w:val="24"/>
        </w:rPr>
      </w:pPr>
      <w:r>
        <w:rPr>
          <w:rFonts w:hint="eastAsia" w:ascii="宋体" w:hAnsi="宋体" w:cs="宋体"/>
          <w:sz w:val="24"/>
          <w:szCs w:val="24"/>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ind w:firstLine="280"/>
        <w:rPr>
          <w:rFonts w:hint="eastAsia" w:ascii="宋体" w:hAnsi="宋体" w:cs="宋体"/>
          <w:sz w:val="24"/>
          <w:szCs w:val="24"/>
        </w:rPr>
      </w:pPr>
      <w:r>
        <w:rPr>
          <w:rFonts w:hint="eastAsia" w:ascii="宋体" w:hAnsi="宋体" w:cs="宋体"/>
          <w:sz w:val="24"/>
          <w:szCs w:val="24"/>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auto"/>
        <w:ind w:firstLine="280"/>
        <w:rPr>
          <w:rFonts w:hint="eastAsia" w:ascii="宋体" w:hAnsi="宋体" w:cs="宋体"/>
          <w:sz w:val="24"/>
          <w:szCs w:val="24"/>
        </w:rPr>
      </w:pPr>
      <w:r>
        <w:rPr>
          <w:rFonts w:hint="eastAsia" w:ascii="宋体" w:hAnsi="宋体" w:cs="宋体"/>
          <w:sz w:val="24"/>
          <w:szCs w:val="24"/>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auto"/>
        <w:ind w:firstLine="280"/>
        <w:rPr>
          <w:rFonts w:hint="eastAsia" w:ascii="宋体" w:hAnsi="宋体" w:cs="宋体"/>
          <w:sz w:val="24"/>
          <w:szCs w:val="24"/>
        </w:rPr>
      </w:pPr>
      <w:r>
        <w:rPr>
          <w:rFonts w:hint="eastAsia" w:ascii="宋体" w:hAnsi="宋体" w:cs="宋体"/>
          <w:sz w:val="24"/>
          <w:szCs w:val="24"/>
        </w:rPr>
        <w:t>8、违约责任</w:t>
      </w:r>
    </w:p>
    <w:p>
      <w:pPr>
        <w:adjustRightInd w:val="0"/>
        <w:snapToGrid w:val="0"/>
        <w:spacing w:line="360" w:lineRule="auto"/>
        <w:ind w:firstLine="280"/>
        <w:rPr>
          <w:rFonts w:hint="eastAsia" w:ascii="宋体" w:hAnsi="宋体" w:cs="宋体"/>
          <w:sz w:val="24"/>
          <w:szCs w:val="24"/>
        </w:rPr>
      </w:pPr>
      <w:r>
        <w:rPr>
          <w:rFonts w:hint="eastAsia" w:ascii="宋体" w:hAnsi="宋体" w:cs="宋体"/>
          <w:sz w:val="24"/>
          <w:szCs w:val="24"/>
        </w:rPr>
        <w:t>8.1因我方违反保密义务的行为造成机场公司的一切损失，我方应当全部予以赔偿。</w:t>
      </w:r>
    </w:p>
    <w:p>
      <w:pPr>
        <w:adjustRightInd w:val="0"/>
        <w:snapToGrid w:val="0"/>
        <w:spacing w:line="360" w:lineRule="auto"/>
        <w:ind w:firstLine="280"/>
        <w:rPr>
          <w:rFonts w:hint="eastAsia" w:ascii="宋体" w:hAnsi="宋体" w:cs="宋体"/>
          <w:sz w:val="24"/>
          <w:szCs w:val="24"/>
        </w:rPr>
      </w:pPr>
      <w:r>
        <w:rPr>
          <w:rFonts w:hint="eastAsia" w:ascii="宋体" w:hAnsi="宋体" w:cs="宋体"/>
          <w:sz w:val="24"/>
          <w:szCs w:val="24"/>
        </w:rPr>
        <w:t>8.2如我方违反本承诺书下保密义务，应当承担违约责任，除赔偿损失外，还应依据合同向机场公司支付相应的违约金；</w:t>
      </w:r>
    </w:p>
    <w:p>
      <w:pPr>
        <w:adjustRightInd w:val="0"/>
        <w:snapToGrid w:val="0"/>
        <w:spacing w:line="360" w:lineRule="auto"/>
        <w:ind w:firstLine="280"/>
        <w:rPr>
          <w:rFonts w:hint="eastAsia" w:ascii="宋体" w:hAnsi="宋体" w:cs="宋体"/>
          <w:sz w:val="24"/>
          <w:szCs w:val="24"/>
        </w:rPr>
      </w:pPr>
      <w:r>
        <w:rPr>
          <w:rFonts w:hint="eastAsia" w:ascii="宋体" w:hAnsi="宋体" w:cs="宋体"/>
          <w:sz w:val="24"/>
          <w:szCs w:val="24"/>
        </w:rPr>
        <w:t>9、本承诺书适用中华人民共和国法律，如因履行本承诺书发生争议，则双方均有权向机场公司所在地法院提起诉讼。</w:t>
      </w:r>
    </w:p>
    <w:p>
      <w:pPr>
        <w:spacing w:line="360" w:lineRule="auto"/>
        <w:ind w:firstLine="280"/>
        <w:rPr>
          <w:rFonts w:hint="eastAsia" w:ascii="宋体" w:hAnsi="宋体" w:cs="宋体"/>
          <w:sz w:val="24"/>
          <w:szCs w:val="24"/>
        </w:rPr>
      </w:pPr>
    </w:p>
    <w:p>
      <w:pPr>
        <w:spacing w:line="360" w:lineRule="auto"/>
        <w:ind w:firstLine="280"/>
        <w:rPr>
          <w:rFonts w:hint="eastAsia" w:ascii="宋体" w:hAnsi="宋体" w:cs="宋体"/>
          <w:sz w:val="24"/>
          <w:szCs w:val="24"/>
        </w:rPr>
      </w:pPr>
    </w:p>
    <w:p>
      <w:pPr>
        <w:spacing w:line="360" w:lineRule="auto"/>
        <w:ind w:firstLine="280"/>
        <w:rPr>
          <w:rFonts w:hint="eastAsia" w:ascii="宋体" w:hAnsi="宋体" w:cs="宋体"/>
          <w:sz w:val="24"/>
          <w:szCs w:val="24"/>
        </w:rPr>
      </w:pPr>
      <w:r>
        <w:rPr>
          <w:rFonts w:hint="eastAsia" w:ascii="宋体" w:hAnsi="宋体" w:cs="宋体"/>
          <w:sz w:val="24"/>
          <w:szCs w:val="24"/>
        </w:rPr>
        <w:t xml:space="preserve">                        供应商(盖章):</w:t>
      </w:r>
    </w:p>
    <w:p>
      <w:pPr>
        <w:spacing w:line="360" w:lineRule="auto"/>
        <w:ind w:firstLine="280"/>
        <w:jc w:val="center"/>
        <w:rPr>
          <w:rFonts w:hint="eastAsia" w:ascii="宋体" w:hAnsi="宋体" w:cs="宋体"/>
          <w:sz w:val="24"/>
          <w:szCs w:val="24"/>
        </w:rPr>
      </w:pPr>
      <w:r>
        <w:rPr>
          <w:rFonts w:hint="eastAsia" w:ascii="宋体" w:hAnsi="宋体" w:cs="宋体"/>
          <w:sz w:val="24"/>
          <w:szCs w:val="24"/>
        </w:rPr>
        <w:t>法定代表人或授权代表：</w:t>
      </w:r>
    </w:p>
    <w:p>
      <w:pPr>
        <w:spacing w:line="360" w:lineRule="auto"/>
        <w:ind w:firstLine="280"/>
        <w:rPr>
          <w:rFonts w:hint="eastAsia" w:ascii="宋体" w:hAnsi="宋体" w:cs="宋体"/>
          <w:sz w:val="24"/>
          <w:szCs w:val="24"/>
        </w:rPr>
      </w:pPr>
      <w:r>
        <w:rPr>
          <w:rFonts w:hint="eastAsia" w:ascii="宋体" w:hAnsi="宋体" w:cs="宋体"/>
          <w:sz w:val="24"/>
          <w:szCs w:val="24"/>
        </w:rPr>
        <w:t xml:space="preserve">                        电话/传真：</w:t>
      </w:r>
    </w:p>
    <w:p>
      <w:pPr>
        <w:spacing w:line="360" w:lineRule="auto"/>
        <w:ind w:firstLine="280"/>
        <w:rPr>
          <w:rFonts w:hint="eastAsia" w:ascii="宋体" w:hAnsi="宋体" w:cs="宋体"/>
          <w:sz w:val="24"/>
          <w:szCs w:val="24"/>
        </w:rPr>
      </w:pPr>
      <w:r>
        <w:rPr>
          <w:rFonts w:hint="eastAsia" w:ascii="宋体" w:hAnsi="宋体" w:cs="宋体"/>
          <w:sz w:val="24"/>
          <w:szCs w:val="24"/>
        </w:rPr>
        <w:t xml:space="preserve">                        地址：</w:t>
      </w:r>
    </w:p>
    <w:p>
      <w:pPr>
        <w:snapToGrid w:val="0"/>
        <w:spacing w:line="360" w:lineRule="auto"/>
        <w:ind w:firstLine="280"/>
        <w:rPr>
          <w:rFonts w:hint="eastAsia" w:ascii="宋体" w:hAnsi="宋体" w:cs="宋体"/>
          <w:sz w:val="24"/>
          <w:szCs w:val="24"/>
        </w:rPr>
      </w:pPr>
      <w:r>
        <w:rPr>
          <w:rFonts w:hint="eastAsia" w:ascii="宋体" w:hAnsi="宋体" w:cs="宋体"/>
          <w:sz w:val="24"/>
          <w:szCs w:val="24"/>
        </w:rPr>
        <w:t xml:space="preserve">                        日期：     年   月   日</w:t>
      </w:r>
    </w:p>
    <w:p>
      <w:pPr>
        <w:pStyle w:val="2"/>
        <w:spacing w:before="0" w:after="0" w:line="360" w:lineRule="auto"/>
        <w:jc w:val="center"/>
        <w:rPr>
          <w:rFonts w:ascii="Calibri" w:hAnsi="Calibri" w:eastAsia="黑体" w:cs="Calibri"/>
          <w:kern w:val="0"/>
          <w:sz w:val="32"/>
        </w:rPr>
      </w:pPr>
      <w:r>
        <w:rPr>
          <w:rFonts w:hint="eastAsia" w:ascii="宋体" w:hAnsi="宋体" w:cs="宋体"/>
          <w:kern w:val="0"/>
          <w:sz w:val="24"/>
          <w:szCs w:val="24"/>
        </w:rPr>
        <w:br w:type="page"/>
      </w: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07"/>
    </w:p>
    <w:p>
      <w:pPr>
        <w:pStyle w:val="5"/>
        <w:spacing w:line="360" w:lineRule="auto"/>
        <w:ind w:firstLine="420"/>
        <w:rPr>
          <w:rFonts w:cs="Calibri"/>
          <w:bCs/>
          <w:sz w:val="22"/>
          <w:szCs w:val="22"/>
        </w:rPr>
      </w:pPr>
      <w:r>
        <w:rPr>
          <w:rFonts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5"/>
        <w:spacing w:line="360" w:lineRule="auto"/>
        <w:rPr>
          <w:rFonts w:cs="Calibri"/>
          <w:b/>
          <w:bCs/>
          <w:sz w:val="22"/>
          <w:szCs w:val="22"/>
        </w:rPr>
      </w:pPr>
      <w:r>
        <w:rPr>
          <w:rFonts w:cs="Calibri"/>
          <w:b/>
          <w:bCs/>
          <w:sz w:val="22"/>
          <w:szCs w:val="22"/>
        </w:rPr>
        <w:t>一、评标原则</w:t>
      </w:r>
    </w:p>
    <w:p>
      <w:pPr>
        <w:pStyle w:val="5"/>
        <w:spacing w:line="360" w:lineRule="auto"/>
        <w:ind w:firstLine="420"/>
        <w:rPr>
          <w:rFonts w:cs="Calibri"/>
          <w:bCs/>
          <w:sz w:val="22"/>
          <w:szCs w:val="22"/>
        </w:rPr>
      </w:pPr>
      <w:r>
        <w:rPr>
          <w:rFonts w:hint="eastAsia" w:cs="Calibri"/>
          <w:bCs/>
          <w:sz w:val="22"/>
          <w:szCs w:val="22"/>
        </w:rPr>
        <w:t>本次评标采用</w:t>
      </w:r>
      <w:r>
        <w:rPr>
          <w:rFonts w:hint="eastAsia" w:cs="Calibri"/>
          <w:b/>
          <w:sz w:val="22"/>
          <w:szCs w:val="22"/>
        </w:rPr>
        <w:t>经评审的最低价法</w:t>
      </w:r>
      <w:r>
        <w:rPr>
          <w:rFonts w:hint="eastAsia" w:cs="Calibri"/>
          <w:bCs/>
          <w:sz w:val="22"/>
          <w:szCs w:val="22"/>
        </w:rPr>
        <w:t>，</w:t>
      </w:r>
      <w:r>
        <w:rPr>
          <w:rFonts w:cs="Calibri"/>
          <w:bCs/>
          <w:sz w:val="22"/>
          <w:szCs w:val="22"/>
        </w:rPr>
        <w:t>评标应遵循公平、公正、科学、择优的原则。</w:t>
      </w:r>
    </w:p>
    <w:p>
      <w:pPr>
        <w:pStyle w:val="5"/>
        <w:spacing w:line="360" w:lineRule="auto"/>
        <w:rPr>
          <w:rFonts w:cs="Calibri"/>
          <w:b/>
          <w:bCs/>
          <w:sz w:val="22"/>
          <w:szCs w:val="22"/>
        </w:rPr>
      </w:pPr>
      <w:r>
        <w:rPr>
          <w:rFonts w:cs="Calibri"/>
          <w:b/>
          <w:bCs/>
          <w:sz w:val="22"/>
          <w:szCs w:val="22"/>
        </w:rPr>
        <w:t>二、评标组织</w:t>
      </w:r>
    </w:p>
    <w:p>
      <w:pPr>
        <w:pStyle w:val="5"/>
        <w:spacing w:line="360" w:lineRule="auto"/>
        <w:ind w:firstLine="420"/>
        <w:rPr>
          <w:rFonts w:cs="Calibri"/>
          <w:sz w:val="22"/>
          <w:szCs w:val="22"/>
        </w:rPr>
      </w:pPr>
      <w:r>
        <w:rPr>
          <w:rFonts w:cs="Calibri"/>
          <w:sz w:val="22"/>
          <w:szCs w:val="22"/>
        </w:rPr>
        <w:t>评标工作由招标人依法组建的评标委员会（小组）负责。评标委员会成员为3人及以上单数，</w:t>
      </w:r>
      <w:r>
        <w:rPr>
          <w:sz w:val="22"/>
          <w:szCs w:val="22"/>
        </w:rPr>
        <w:t>评标委员会由招标人自行组建。</w:t>
      </w:r>
    </w:p>
    <w:p>
      <w:pPr>
        <w:pStyle w:val="5"/>
        <w:spacing w:line="360" w:lineRule="auto"/>
        <w:rPr>
          <w:rFonts w:cs="Calibri"/>
          <w:b/>
          <w:bCs/>
          <w:sz w:val="22"/>
          <w:szCs w:val="22"/>
        </w:rPr>
      </w:pPr>
      <w:r>
        <w:rPr>
          <w:rFonts w:cs="Calibri"/>
          <w:b/>
          <w:bCs/>
          <w:sz w:val="22"/>
          <w:szCs w:val="22"/>
        </w:rPr>
        <w:t>三、投标文件的评审</w:t>
      </w:r>
    </w:p>
    <w:p>
      <w:pPr>
        <w:pStyle w:val="5"/>
        <w:spacing w:line="360" w:lineRule="auto"/>
        <w:ind w:firstLine="442"/>
        <w:rPr>
          <w:rFonts w:cs="Calibri"/>
          <w:b/>
          <w:sz w:val="22"/>
          <w:szCs w:val="22"/>
        </w:rPr>
      </w:pPr>
      <w:r>
        <w:rPr>
          <w:rFonts w:cs="Calibri"/>
          <w:b/>
          <w:sz w:val="22"/>
          <w:szCs w:val="22"/>
        </w:rPr>
        <w:t>3.1 符合性评审</w:t>
      </w:r>
    </w:p>
    <w:p>
      <w:pPr>
        <w:widowControl/>
        <w:tabs>
          <w:tab w:val="left" w:pos="709"/>
        </w:tabs>
        <w:snapToGrid w:val="0"/>
        <w:spacing w:line="360" w:lineRule="auto"/>
        <w:ind w:firstLine="444"/>
        <w:rPr>
          <w:rFonts w:ascii="宋体" w:hAnsi="宋体" w:cs="Calibri"/>
          <w:bCs/>
          <w:sz w:val="22"/>
        </w:rPr>
      </w:pPr>
      <w:r>
        <w:rPr>
          <w:rFonts w:ascii="宋体" w:hAnsi="宋体" w:cs="Calibri"/>
          <w:bCs/>
          <w:sz w:val="22"/>
        </w:rPr>
        <w:t>3.1.1评标委员会应依照招标文件的要求和规定首先对投标人的投标资格和投标文件进行符合性审查，</w:t>
      </w:r>
      <w:r>
        <w:rPr>
          <w:rFonts w:ascii="宋体" w:hAnsi="宋体" w:cs="Calibri"/>
          <w:b/>
          <w:sz w:val="22"/>
        </w:rPr>
        <w:t>审查过程中评标委员会可以要求投标人提交下列审查项所需的有关证明和证件的原件，以便核验。</w:t>
      </w:r>
      <w:r>
        <w:rPr>
          <w:rFonts w:ascii="宋体" w:hAnsi="宋体" w:cs="Calibri"/>
          <w:bCs/>
          <w:sz w:val="22"/>
        </w:rPr>
        <w:t>投标文件如存在以下情况之一的，经评标委员会三分之二以上的成员认定，符合性审查不予通过，</w:t>
      </w:r>
      <w:r>
        <w:rPr>
          <w:rFonts w:ascii="宋体" w:hAnsi="宋体" w:cs="Calibri"/>
          <w:b/>
          <w:bCs/>
          <w:sz w:val="22"/>
        </w:rPr>
        <w:t>作</w:t>
      </w:r>
      <w:r>
        <w:rPr>
          <w:rFonts w:hint="eastAsia" w:ascii="宋体" w:hAnsi="宋体" w:cs="Calibri"/>
          <w:b/>
          <w:bCs/>
          <w:sz w:val="22"/>
        </w:rPr>
        <w:t>否决投标</w:t>
      </w:r>
      <w:r>
        <w:rPr>
          <w:rFonts w:ascii="宋体" w:hAnsi="宋体" w:cs="Calibri"/>
          <w:b/>
          <w:bCs/>
          <w:sz w:val="22"/>
        </w:rPr>
        <w:t>处理，</w:t>
      </w:r>
      <w:r>
        <w:rPr>
          <w:rFonts w:ascii="宋体" w:hAnsi="宋体" w:cs="Calibri"/>
          <w:bCs/>
          <w:sz w:val="22"/>
        </w:rPr>
        <w:t>不再进行详细评审：</w:t>
      </w:r>
    </w:p>
    <w:p>
      <w:pPr>
        <w:spacing w:line="360" w:lineRule="auto"/>
        <w:ind w:firstLine="471"/>
        <w:rPr>
          <w:rFonts w:ascii="宋体" w:hAnsi="宋体" w:cs="Calibri"/>
          <w:sz w:val="22"/>
        </w:rPr>
      </w:pPr>
      <w:r>
        <w:rPr>
          <w:rFonts w:ascii="宋体" w:hAnsi="宋体" w:cs="Calibri"/>
          <w:sz w:val="22"/>
        </w:rPr>
        <w:t>（1）</w:t>
      </w:r>
      <w:r>
        <w:rPr>
          <w:rFonts w:ascii="宋体" w:hAnsi="宋体" w:cs="Calibri"/>
          <w:bCs/>
          <w:sz w:val="22"/>
        </w:rPr>
        <w:t>投标人的投标资格不满足国家有关规定或招标文件载明的投标资格条件的；</w:t>
      </w:r>
    </w:p>
    <w:p>
      <w:pPr>
        <w:spacing w:line="360" w:lineRule="auto"/>
        <w:ind w:firstLine="471"/>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auto"/>
        <w:ind w:firstLine="471"/>
        <w:rPr>
          <w:rFonts w:ascii="宋体" w:hAnsi="宋体" w:cs="Calibri"/>
          <w:sz w:val="22"/>
        </w:rPr>
      </w:pPr>
      <w:r>
        <w:rPr>
          <w:rFonts w:ascii="宋体" w:hAnsi="宋体" w:cs="Calibri"/>
          <w:sz w:val="22"/>
        </w:rPr>
        <w:t>（3）投标文件未按规定的格式填写，内容不全或关键字迹模糊、无法辨认的；</w:t>
      </w:r>
    </w:p>
    <w:p>
      <w:pPr>
        <w:spacing w:line="360" w:lineRule="auto"/>
        <w:ind w:firstLine="471"/>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auto"/>
        <w:ind w:firstLine="471"/>
        <w:rPr>
          <w:rFonts w:ascii="宋体" w:hAnsi="宋体" w:cs="Calibri"/>
          <w:sz w:val="22"/>
        </w:rPr>
      </w:pPr>
      <w:r>
        <w:rPr>
          <w:rFonts w:ascii="宋体" w:hAnsi="宋体" w:cs="Calibri"/>
          <w:sz w:val="22"/>
        </w:rPr>
        <w:t>（5）服务期不满足招标文件要求的；</w:t>
      </w:r>
    </w:p>
    <w:p>
      <w:pPr>
        <w:spacing w:line="360" w:lineRule="auto"/>
        <w:ind w:firstLine="471"/>
        <w:rPr>
          <w:rFonts w:ascii="宋体" w:hAnsi="宋体" w:cs="Calibri"/>
          <w:sz w:val="22"/>
        </w:rPr>
      </w:pPr>
      <w:r>
        <w:rPr>
          <w:rFonts w:ascii="宋体" w:hAnsi="宋体" w:cs="Calibri"/>
          <w:sz w:val="22"/>
        </w:rPr>
        <w:t>（6）不响应招标文件规定的实质性要求（包括具体条文前用“★”标示的）</w:t>
      </w:r>
    </w:p>
    <w:p>
      <w:pPr>
        <w:spacing w:line="360" w:lineRule="auto"/>
        <w:ind w:firstLine="471"/>
        <w:rPr>
          <w:rFonts w:ascii="宋体" w:hAnsi="宋体" w:cs="Calibri"/>
          <w:sz w:val="22"/>
        </w:rPr>
      </w:pPr>
      <w:r>
        <w:rPr>
          <w:rFonts w:hint="eastAsia" w:ascii="宋体" w:hAnsi="宋体" w:cs="Calibri"/>
          <w:sz w:val="22"/>
        </w:rPr>
        <w:t>（7）</w:t>
      </w:r>
      <w:r>
        <w:rPr>
          <w:rFonts w:ascii="宋体" w:hAnsi="宋体" w:cs="Calibri"/>
          <w:sz w:val="22"/>
        </w:rPr>
        <w:t>投标人不以自己的名义或未按招标文件的要求提供投标保证金或提供的保证金有缺陷而不能接受的；</w:t>
      </w:r>
    </w:p>
    <w:p>
      <w:pPr>
        <w:spacing w:line="360" w:lineRule="auto"/>
        <w:ind w:firstLine="471"/>
        <w:rPr>
          <w:rFonts w:ascii="宋体" w:hAnsi="宋体" w:cs="Calibri"/>
          <w:sz w:val="22"/>
        </w:rPr>
      </w:pPr>
      <w:r>
        <w:rPr>
          <w:rFonts w:ascii="宋体" w:hAnsi="宋体" w:cs="Calibri"/>
          <w:sz w:val="22"/>
        </w:rPr>
        <w:t>（</w:t>
      </w:r>
      <w:r>
        <w:rPr>
          <w:rFonts w:hint="eastAsia" w:ascii="宋体" w:hAnsi="宋体" w:cs="Calibri"/>
          <w:sz w:val="22"/>
        </w:rPr>
        <w:t>8</w:t>
      </w:r>
      <w:r>
        <w:rPr>
          <w:rFonts w:ascii="宋体" w:hAnsi="宋体" w:cs="Calibri"/>
          <w:sz w:val="22"/>
        </w:rPr>
        <w:t>）投标人以他人名义投标、或与他人串通投标、或以行贿手段谋取中标，或弄虚作假的；</w:t>
      </w:r>
    </w:p>
    <w:p>
      <w:pPr>
        <w:spacing w:line="360" w:lineRule="auto"/>
        <w:ind w:firstLine="471"/>
        <w:rPr>
          <w:rFonts w:ascii="宋体" w:hAnsi="宋体" w:cs="Calibri"/>
          <w:sz w:val="22"/>
        </w:rPr>
      </w:pPr>
      <w:r>
        <w:rPr>
          <w:rFonts w:ascii="宋体" w:hAnsi="宋体" w:cs="Calibri"/>
          <w:sz w:val="22"/>
        </w:rPr>
        <w:t>（</w:t>
      </w:r>
      <w:r>
        <w:rPr>
          <w:rFonts w:hint="eastAsia" w:ascii="宋体" w:hAnsi="宋体" w:cs="Calibri"/>
          <w:sz w:val="22"/>
        </w:rPr>
        <w:t>9</w:t>
      </w:r>
      <w:r>
        <w:rPr>
          <w:rFonts w:ascii="宋体" w:hAnsi="宋体" w:cs="Calibri"/>
          <w:sz w:val="22"/>
        </w:rPr>
        <w:t>）存在法律、法规、规章规定的其它无效投标情况的。</w:t>
      </w:r>
    </w:p>
    <w:p>
      <w:pPr>
        <w:spacing w:line="360" w:lineRule="auto"/>
        <w:ind w:firstLine="471"/>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auto"/>
        <w:ind w:firstLine="446"/>
        <w:rPr>
          <w:rFonts w:ascii="宋体" w:hAnsi="宋体" w:cs="Calibri"/>
          <w:b/>
          <w:sz w:val="22"/>
        </w:rPr>
      </w:pPr>
      <w:r>
        <w:rPr>
          <w:rFonts w:ascii="宋体" w:hAnsi="宋体" w:cs="Calibri"/>
          <w:b/>
          <w:sz w:val="22"/>
        </w:rPr>
        <w:t>3.1.2 报价算术性修正</w:t>
      </w:r>
    </w:p>
    <w:p>
      <w:pPr>
        <w:pStyle w:val="5"/>
        <w:spacing w:line="360" w:lineRule="auto"/>
        <w:ind w:firstLine="440"/>
        <w:rPr>
          <w:rFonts w:cs="Calibri"/>
          <w:sz w:val="22"/>
          <w:szCs w:val="22"/>
        </w:rPr>
      </w:pPr>
      <w:r>
        <w:rPr>
          <w:rFonts w:cs="Calibri"/>
          <w:sz w:val="22"/>
          <w:szCs w:val="22"/>
        </w:rPr>
        <w:t>评标委员会按以下原则对通过符合性审查的投标文件报价进行算术性修正：</w:t>
      </w:r>
    </w:p>
    <w:p>
      <w:pPr>
        <w:pStyle w:val="5"/>
        <w:spacing w:line="360" w:lineRule="auto"/>
        <w:ind w:left="440"/>
        <w:rPr>
          <w:rFonts w:cs="Calibri"/>
          <w:sz w:val="22"/>
          <w:szCs w:val="22"/>
        </w:rPr>
      </w:pPr>
      <w:r>
        <w:rPr>
          <w:rFonts w:cs="Calibri"/>
          <w:sz w:val="22"/>
          <w:szCs w:val="22"/>
        </w:rPr>
        <w:t>（1）投标文件中的大写金额与小写金额不一致的，以大写金额为准；</w:t>
      </w:r>
    </w:p>
    <w:p>
      <w:pPr>
        <w:spacing w:line="360" w:lineRule="auto"/>
        <w:ind w:firstLine="471"/>
        <w:rPr>
          <w:rFonts w:ascii="宋体" w:hAnsi="宋体" w:cs="Calibri"/>
          <w:sz w:val="22"/>
        </w:rPr>
      </w:pPr>
      <w:r>
        <w:rPr>
          <w:rFonts w:ascii="宋体" w:hAnsi="宋体" w:cs="Calibri"/>
          <w:sz w:val="22"/>
        </w:rPr>
        <w:t>（2）总价金额与依据单价（或各分项合计）计算出的结果不一致的，以单价金额（或各分项合计）为准修正总价，但单价金额小数点有明显错误的除外。</w:t>
      </w:r>
    </w:p>
    <w:p>
      <w:pPr>
        <w:pStyle w:val="5"/>
        <w:spacing w:line="360" w:lineRule="auto"/>
        <w:ind w:firstLine="440"/>
        <w:rPr>
          <w:rFonts w:cs="Calibri"/>
          <w:b/>
          <w:sz w:val="22"/>
          <w:szCs w:val="22"/>
        </w:rPr>
      </w:pPr>
      <w:r>
        <w:rPr>
          <w:rFonts w:cs="Calibri"/>
          <w:sz w:val="22"/>
          <w:szCs w:val="22"/>
        </w:rPr>
        <w:t>★修正的价格经投标人书面确认后具有约束力。投标人不接受修正价格的，其投标作</w:t>
      </w:r>
      <w:r>
        <w:rPr>
          <w:rFonts w:hint="eastAsia" w:hAnsi="宋体" w:cs="Calibri"/>
          <w:b/>
          <w:bCs/>
          <w:sz w:val="22"/>
        </w:rPr>
        <w:t>否决投标</w:t>
      </w:r>
      <w:r>
        <w:rPr>
          <w:rFonts w:cs="Calibri"/>
          <w:b/>
          <w:sz w:val="22"/>
          <w:szCs w:val="22"/>
        </w:rPr>
        <w:t>处理</w:t>
      </w:r>
      <w:r>
        <w:rPr>
          <w:rFonts w:cs="Calibri"/>
          <w:sz w:val="22"/>
          <w:szCs w:val="22"/>
        </w:rPr>
        <w:t>。</w:t>
      </w:r>
    </w:p>
    <w:p>
      <w:pPr>
        <w:pStyle w:val="5"/>
        <w:spacing w:line="360" w:lineRule="auto"/>
        <w:ind w:firstLine="440"/>
        <w:rPr>
          <w:rFonts w:cs="Calibri"/>
          <w:b/>
          <w:sz w:val="22"/>
          <w:szCs w:val="22"/>
        </w:rPr>
      </w:pPr>
      <w:r>
        <w:rPr>
          <w:rFonts w:cs="Calibri"/>
          <w:sz w:val="22"/>
          <w:szCs w:val="22"/>
        </w:rPr>
        <w:t>当通过符合性评审的单位少于三家时（不包括三家），应由评标委员会确认是否具有竞争性，如果有竞争性，则评标继续进行。</w:t>
      </w:r>
    </w:p>
    <w:p>
      <w:pPr>
        <w:pStyle w:val="5"/>
        <w:spacing w:line="360" w:lineRule="auto"/>
        <w:ind w:firstLine="442"/>
        <w:rPr>
          <w:rFonts w:cs="Calibri"/>
          <w:b/>
          <w:sz w:val="22"/>
          <w:szCs w:val="22"/>
        </w:rPr>
      </w:pPr>
      <w:r>
        <w:rPr>
          <w:rFonts w:cs="Calibri"/>
          <w:b/>
          <w:sz w:val="22"/>
          <w:szCs w:val="22"/>
        </w:rPr>
        <w:t>3.2 投标文件的澄清和补正</w:t>
      </w:r>
    </w:p>
    <w:p>
      <w:pPr>
        <w:pStyle w:val="5"/>
        <w:snapToGrid w:val="0"/>
        <w:spacing w:line="360" w:lineRule="auto"/>
        <w:ind w:firstLine="440"/>
        <w:rPr>
          <w:rFonts w:cs="Calibri"/>
          <w:sz w:val="22"/>
          <w:szCs w:val="22"/>
        </w:rPr>
      </w:pPr>
      <w:r>
        <w:rPr>
          <w:rFonts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5"/>
        <w:snapToGrid w:val="0"/>
        <w:spacing w:line="360" w:lineRule="auto"/>
        <w:ind w:firstLine="440"/>
        <w:rPr>
          <w:rFonts w:cs="Calibri"/>
          <w:sz w:val="22"/>
          <w:szCs w:val="22"/>
        </w:rPr>
      </w:pPr>
      <w:r>
        <w:rPr>
          <w:rFonts w:cs="Calibri"/>
          <w:sz w:val="22"/>
          <w:szCs w:val="22"/>
        </w:rPr>
        <w:t>3.2.2澄清、说明和补正不得改变投标文件的实质性内容（算术性错误修正的除外）。投标人的书面澄清、说明和补正属于投标文件的组成部分。</w:t>
      </w:r>
    </w:p>
    <w:p>
      <w:pPr>
        <w:pStyle w:val="5"/>
        <w:snapToGrid w:val="0"/>
        <w:spacing w:line="360" w:lineRule="auto"/>
        <w:ind w:firstLine="440"/>
        <w:rPr>
          <w:rFonts w:cs="Calibri"/>
          <w:sz w:val="22"/>
          <w:szCs w:val="22"/>
        </w:rPr>
      </w:pPr>
      <w:r>
        <w:rPr>
          <w:rFonts w:cs="Calibri"/>
          <w:sz w:val="22"/>
          <w:szCs w:val="22"/>
        </w:rPr>
        <w:t>3.2.3 评标委员会对投标人提交的澄清、说明或补正有疑问的，可以要求投标人进一步澄清、说明或补正，直至满足评标委员会的要求。</w:t>
      </w:r>
    </w:p>
    <w:p>
      <w:pPr>
        <w:pStyle w:val="5"/>
        <w:spacing w:line="360" w:lineRule="auto"/>
        <w:ind w:firstLine="442" w:firstLineChars="200"/>
        <w:rPr>
          <w:rFonts w:cs="Calibri"/>
          <w:b/>
          <w:sz w:val="22"/>
          <w:szCs w:val="22"/>
        </w:rPr>
      </w:pPr>
      <w:r>
        <w:rPr>
          <w:rFonts w:cs="Calibri"/>
          <w:b/>
          <w:sz w:val="22"/>
          <w:szCs w:val="22"/>
        </w:rPr>
        <w:t>3.</w:t>
      </w:r>
      <w:r>
        <w:rPr>
          <w:rFonts w:hint="eastAsia" w:cs="Calibri"/>
          <w:b/>
          <w:sz w:val="22"/>
          <w:szCs w:val="22"/>
        </w:rPr>
        <w:t>3</w:t>
      </w:r>
      <w:r>
        <w:rPr>
          <w:rFonts w:cs="Calibri"/>
          <w:b/>
          <w:sz w:val="22"/>
          <w:szCs w:val="22"/>
        </w:rPr>
        <w:t>推荐中标候选人</w:t>
      </w:r>
    </w:p>
    <w:p>
      <w:pPr>
        <w:pStyle w:val="5"/>
        <w:adjustRightInd w:val="0"/>
        <w:snapToGrid w:val="0"/>
        <w:spacing w:line="360" w:lineRule="auto"/>
        <w:ind w:firstLine="440" w:firstLineChars="200"/>
        <w:rPr>
          <w:rFonts w:cs="Calibri"/>
          <w:sz w:val="22"/>
          <w:szCs w:val="22"/>
        </w:rPr>
      </w:pPr>
      <w:r>
        <w:rPr>
          <w:rFonts w:hint="eastAsia" w:cs="Calibri"/>
          <w:sz w:val="22"/>
          <w:szCs w:val="22"/>
        </w:rPr>
        <w:t>3.3.1评标委员会按照经评审的价格由低到高的顺序推荐中标候选人，本项目推荐2名中标候选人。</w:t>
      </w:r>
    </w:p>
    <w:p>
      <w:pPr>
        <w:pStyle w:val="5"/>
        <w:adjustRightInd w:val="0"/>
        <w:snapToGrid w:val="0"/>
        <w:spacing w:line="360" w:lineRule="auto"/>
        <w:ind w:firstLine="440" w:firstLineChars="200"/>
        <w:rPr>
          <w:rFonts w:cs="Calibri"/>
          <w:sz w:val="22"/>
          <w:szCs w:val="22"/>
        </w:rPr>
      </w:pPr>
      <w:r>
        <w:rPr>
          <w:rFonts w:cs="Calibri"/>
          <w:sz w:val="22"/>
          <w:szCs w:val="22"/>
        </w:rPr>
        <w:t>3.</w:t>
      </w:r>
      <w:r>
        <w:rPr>
          <w:rFonts w:hint="eastAsia" w:cs="Calibri"/>
          <w:sz w:val="22"/>
          <w:szCs w:val="22"/>
        </w:rPr>
        <w:t>3</w:t>
      </w:r>
      <w:r>
        <w:rPr>
          <w:rFonts w:cs="Calibri"/>
          <w:sz w:val="22"/>
          <w:szCs w:val="22"/>
        </w:rPr>
        <w:t>.</w:t>
      </w:r>
      <w:r>
        <w:rPr>
          <w:rFonts w:hint="eastAsia" w:cs="Calibri"/>
          <w:sz w:val="22"/>
          <w:szCs w:val="22"/>
        </w:rPr>
        <w:t>2</w:t>
      </w:r>
      <w:r>
        <w:rPr>
          <w:rFonts w:cs="Calibri"/>
          <w:sz w:val="22"/>
          <w:szCs w:val="22"/>
        </w:rPr>
        <w:t>当有效投标文件只有一名时，则由评标委员会确定是否推荐为中标候选人。</w:t>
      </w:r>
    </w:p>
    <w:p>
      <w:pPr>
        <w:pStyle w:val="5"/>
        <w:spacing w:line="360" w:lineRule="auto"/>
        <w:ind w:firstLine="442" w:firstLineChars="200"/>
        <w:rPr>
          <w:rFonts w:cs="Calibri"/>
          <w:b/>
          <w:sz w:val="22"/>
          <w:szCs w:val="22"/>
        </w:rPr>
      </w:pPr>
      <w:r>
        <w:rPr>
          <w:rFonts w:cs="Calibri"/>
          <w:b/>
          <w:sz w:val="22"/>
          <w:szCs w:val="22"/>
        </w:rPr>
        <w:t>3.</w:t>
      </w:r>
      <w:r>
        <w:rPr>
          <w:rFonts w:hint="eastAsia" w:cs="Calibri"/>
          <w:b/>
          <w:sz w:val="22"/>
          <w:szCs w:val="22"/>
        </w:rPr>
        <w:t>4</w:t>
      </w:r>
      <w:r>
        <w:rPr>
          <w:rFonts w:cs="Calibri"/>
          <w:b/>
          <w:sz w:val="22"/>
          <w:szCs w:val="22"/>
        </w:rPr>
        <w:t>评标报告</w:t>
      </w:r>
    </w:p>
    <w:p>
      <w:pPr>
        <w:pStyle w:val="5"/>
        <w:snapToGrid w:val="0"/>
        <w:spacing w:line="360" w:lineRule="auto"/>
        <w:ind w:firstLine="440"/>
        <w:rPr>
          <w:rFonts w:cs="Calibri"/>
          <w:sz w:val="22"/>
          <w:szCs w:val="22"/>
        </w:rPr>
      </w:pPr>
      <w:r>
        <w:rPr>
          <w:rFonts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5"/>
        <w:spacing w:line="360" w:lineRule="auto"/>
        <w:rPr>
          <w:rFonts w:cs="Calibri"/>
          <w:b/>
          <w:sz w:val="22"/>
          <w:szCs w:val="22"/>
        </w:rPr>
      </w:pPr>
      <w:r>
        <w:rPr>
          <w:rFonts w:cs="Calibri"/>
          <w:b/>
          <w:sz w:val="22"/>
          <w:szCs w:val="22"/>
        </w:rPr>
        <w:t>四、定标</w:t>
      </w:r>
    </w:p>
    <w:p>
      <w:pPr>
        <w:pStyle w:val="5"/>
        <w:snapToGrid w:val="0"/>
        <w:spacing w:line="360" w:lineRule="auto"/>
        <w:ind w:firstLine="440"/>
        <w:rPr>
          <w:rFonts w:cs="Calibri"/>
          <w:sz w:val="22"/>
          <w:szCs w:val="22"/>
        </w:rPr>
      </w:pPr>
      <w:r>
        <w:rPr>
          <w:rFonts w:cs="Calibri"/>
          <w:sz w:val="22"/>
          <w:szCs w:val="22"/>
        </w:rPr>
        <w:t>4.1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pStyle w:val="5"/>
        <w:snapToGrid w:val="0"/>
        <w:spacing w:line="360" w:lineRule="auto"/>
        <w:ind w:firstLine="440"/>
        <w:rPr>
          <w:rFonts w:cs="Calibri"/>
          <w:sz w:val="22"/>
          <w:szCs w:val="22"/>
        </w:rPr>
      </w:pPr>
      <w:r>
        <w:rPr>
          <w:rFonts w:cs="Calibri"/>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5"/>
        <w:snapToGrid w:val="0"/>
        <w:spacing w:line="360" w:lineRule="auto"/>
        <w:ind w:firstLine="440"/>
        <w:rPr>
          <w:rFonts w:cs="Calibri"/>
          <w:sz w:val="22"/>
          <w:szCs w:val="22"/>
        </w:rPr>
      </w:pPr>
      <w:r>
        <w:rPr>
          <w:rFonts w:cs="Calibri"/>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5"/>
        <w:snapToGrid w:val="0"/>
        <w:spacing w:line="360" w:lineRule="auto"/>
        <w:ind w:firstLine="440"/>
        <w:rPr>
          <w:rFonts w:cs="Calibri"/>
          <w:sz w:val="22"/>
          <w:szCs w:val="22"/>
        </w:rPr>
      </w:pPr>
      <w:r>
        <w:rPr>
          <w:rFonts w:cs="Calibri"/>
          <w:sz w:val="22"/>
          <w:szCs w:val="22"/>
        </w:rPr>
        <w:t xml:space="preserve">4.4 </w:t>
      </w:r>
      <w:bookmarkStart w:id="108" w:name="_Toc29892"/>
      <w:bookmarkEnd w:id="108"/>
      <w:r>
        <w:rPr>
          <w:rFonts w:cs="Calibri"/>
          <w:sz w:val="22"/>
          <w:szCs w:val="22"/>
        </w:rPr>
        <w:t>招标人对评标、定标结果不负责解释。</w:t>
      </w:r>
    </w:p>
    <w:p>
      <w:pPr>
        <w:pStyle w:val="2"/>
        <w:spacing w:before="0" w:after="0" w:line="360" w:lineRule="auto"/>
        <w:jc w:val="center"/>
        <w:rPr>
          <w:rFonts w:ascii="Calibri" w:hAnsi="Calibri" w:eastAsia="黑体" w:cs="Calibri"/>
          <w:kern w:val="0"/>
          <w:sz w:val="32"/>
        </w:rPr>
      </w:pPr>
      <w:r>
        <w:br w:type="page"/>
      </w:r>
      <w:bookmarkStart w:id="109"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09"/>
    </w:p>
    <w:p>
      <w:pPr>
        <w:spacing w:line="440" w:lineRule="exact"/>
        <w:jc w:val="center"/>
        <w:rPr>
          <w:rFonts w:cs="Calibri"/>
          <w:b/>
          <w:color w:val="000000"/>
          <w:sz w:val="28"/>
          <w:szCs w:val="28"/>
        </w:rPr>
      </w:pPr>
      <w:r>
        <w:rPr>
          <w:rFonts w:cs="Calibri"/>
          <w:b/>
          <w:color w:val="000000"/>
          <w:sz w:val="28"/>
          <w:szCs w:val="28"/>
        </w:rPr>
        <w:t>目   录</w:t>
      </w:r>
    </w:p>
    <w:p>
      <w:pPr>
        <w:rPr>
          <w:rFonts w:ascii="宋体" w:hAnsi="宋体" w:cs="Calibri"/>
          <w:sz w:val="22"/>
        </w:rPr>
      </w:pP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等线" w:hAnsi="等线" w:eastAsia="等线" w:cs="Calibri"/>
          <w:color w:val="000000"/>
          <w:sz w:val="22"/>
        </w:rPr>
      </w:pPr>
      <w:r>
        <w:rPr>
          <w:rFonts w:hint="eastAsia" w:ascii="等线" w:hAnsi="等线" w:eastAsia="等线" w:cs="Calibri"/>
          <w:color w:val="000000"/>
          <w:sz w:val="22"/>
        </w:rPr>
        <w:t>一、</w:t>
      </w:r>
      <w:r>
        <w:rPr>
          <w:rFonts w:ascii="等线" w:hAnsi="等线" w:eastAsia="等线" w:cs="Calibri"/>
          <w:color w:val="000000"/>
          <w:sz w:val="22"/>
        </w:rPr>
        <w:t>投标函；</w:t>
      </w:r>
    </w:p>
    <w:p>
      <w:pPr>
        <w:adjustRightInd w:val="0"/>
        <w:snapToGrid w:val="0"/>
        <w:spacing w:line="400" w:lineRule="exact"/>
        <w:ind w:firstLine="440" w:firstLineChars="200"/>
        <w:rPr>
          <w:rFonts w:ascii="等线" w:hAnsi="等线" w:eastAsia="等线" w:cs="Calibri"/>
          <w:color w:val="000000"/>
          <w:sz w:val="22"/>
        </w:rPr>
      </w:pPr>
      <w:r>
        <w:rPr>
          <w:rFonts w:hint="eastAsia" w:ascii="等线" w:hAnsi="等线" w:eastAsia="等线" w:cs="Calibri"/>
          <w:color w:val="000000"/>
          <w:sz w:val="22"/>
        </w:rPr>
        <w:t>二、</w:t>
      </w:r>
      <w:r>
        <w:rPr>
          <w:rFonts w:ascii="等线" w:hAnsi="等线" w:eastAsia="等线" w:cs="Calibri"/>
          <w:color w:val="000000"/>
          <w:sz w:val="22"/>
        </w:rPr>
        <w:t>投标报价表；</w:t>
      </w:r>
    </w:p>
    <w:p>
      <w:pPr>
        <w:adjustRightInd w:val="0"/>
        <w:snapToGrid w:val="0"/>
        <w:spacing w:line="400" w:lineRule="exact"/>
        <w:ind w:firstLine="440" w:firstLineChars="200"/>
        <w:rPr>
          <w:rFonts w:ascii="等线" w:hAnsi="等线" w:eastAsia="等线" w:cs="Calibri"/>
          <w:color w:val="000000"/>
          <w:sz w:val="22"/>
        </w:rPr>
      </w:pPr>
      <w:r>
        <w:rPr>
          <w:rFonts w:hint="eastAsia" w:ascii="等线" w:hAnsi="等线" w:eastAsia="等线" w:cs="Calibri"/>
          <w:color w:val="000000"/>
          <w:sz w:val="22"/>
        </w:rPr>
        <w:t>三、</w:t>
      </w:r>
      <w:r>
        <w:rPr>
          <w:rFonts w:ascii="等线" w:hAnsi="等线" w:eastAsia="等线" w:cs="Calibri"/>
          <w:color w:val="000000"/>
          <w:sz w:val="22"/>
        </w:rPr>
        <w:t>法定代表人资格证明书；</w:t>
      </w:r>
    </w:p>
    <w:p>
      <w:pPr>
        <w:adjustRightInd w:val="0"/>
        <w:snapToGrid w:val="0"/>
        <w:spacing w:line="400" w:lineRule="exact"/>
        <w:ind w:firstLine="440" w:firstLineChars="200"/>
        <w:rPr>
          <w:rFonts w:ascii="等线" w:hAnsi="等线" w:eastAsia="等线" w:cs="Calibri"/>
          <w:color w:val="000000"/>
          <w:sz w:val="22"/>
        </w:rPr>
      </w:pPr>
      <w:r>
        <w:rPr>
          <w:rFonts w:hint="eastAsia" w:ascii="等线" w:hAnsi="等线" w:eastAsia="等线" w:cs="Calibri"/>
          <w:color w:val="000000"/>
          <w:sz w:val="22"/>
        </w:rPr>
        <w:t>四、</w:t>
      </w:r>
      <w:r>
        <w:rPr>
          <w:rFonts w:ascii="等线" w:hAnsi="等线" w:eastAsia="等线" w:cs="Calibri"/>
          <w:color w:val="000000"/>
          <w:sz w:val="22"/>
        </w:rPr>
        <w:t>授权委托书；</w:t>
      </w:r>
    </w:p>
    <w:p>
      <w:pPr>
        <w:adjustRightInd w:val="0"/>
        <w:snapToGrid w:val="0"/>
        <w:spacing w:line="400" w:lineRule="exact"/>
        <w:ind w:firstLine="440" w:firstLineChars="200"/>
        <w:rPr>
          <w:rFonts w:ascii="等线" w:hAnsi="等线" w:eastAsia="等线" w:cs="Calibri"/>
          <w:color w:val="000000"/>
          <w:sz w:val="22"/>
        </w:rPr>
      </w:pPr>
      <w:r>
        <w:rPr>
          <w:rFonts w:hint="eastAsia" w:ascii="等线" w:hAnsi="等线" w:eastAsia="等线" w:cs="Calibri"/>
          <w:color w:val="000000"/>
          <w:sz w:val="22"/>
        </w:rPr>
        <w:t>五、</w:t>
      </w:r>
      <w:r>
        <w:rPr>
          <w:rFonts w:ascii="等线" w:hAnsi="等线" w:eastAsia="等线" w:cs="Calibri"/>
          <w:color w:val="000000"/>
          <w:sz w:val="22"/>
        </w:rPr>
        <w:t>投标人资格证明文件：</w:t>
      </w:r>
    </w:p>
    <w:p>
      <w:pPr>
        <w:adjustRightInd w:val="0"/>
        <w:snapToGrid w:val="0"/>
        <w:spacing w:line="400" w:lineRule="exact"/>
        <w:ind w:firstLine="440" w:firstLineChars="200"/>
        <w:rPr>
          <w:rFonts w:ascii="等线" w:hAnsi="等线" w:eastAsia="等线" w:cs="Calibri"/>
          <w:color w:val="000000"/>
          <w:sz w:val="22"/>
        </w:rPr>
      </w:pPr>
      <w:r>
        <w:rPr>
          <w:rFonts w:ascii="等线" w:hAnsi="等线" w:eastAsia="等线" w:cs="Calibri"/>
          <w:color w:val="000000"/>
          <w:sz w:val="22"/>
        </w:rPr>
        <w:t>（1）投标人一般情况</w:t>
      </w:r>
      <w:r>
        <w:rPr>
          <w:rFonts w:hint="eastAsia" w:ascii="等线" w:hAnsi="等线" w:eastAsia="等线" w:cs="Calibri"/>
          <w:color w:val="000000"/>
          <w:sz w:val="22"/>
        </w:rPr>
        <w:t>及</w:t>
      </w:r>
      <w:r>
        <w:rPr>
          <w:rFonts w:ascii="等线" w:hAnsi="等线" w:eastAsia="等线" w:cs="Calibri"/>
          <w:color w:val="000000"/>
          <w:sz w:val="22"/>
        </w:rPr>
        <w:t>有关证明投标人法律地位的文件（包括营业执照</w:t>
      </w:r>
      <w:r>
        <w:rPr>
          <w:rFonts w:hint="eastAsia" w:ascii="等线" w:hAnsi="等线" w:eastAsia="等线" w:cs="Calibri"/>
          <w:color w:val="000000"/>
          <w:sz w:val="22"/>
        </w:rPr>
        <w:t>、</w:t>
      </w:r>
      <w:r>
        <w:rPr>
          <w:rFonts w:hint="eastAsia" w:ascii="宋体" w:hAnsi="宋体" w:cs="Calibri"/>
          <w:sz w:val="22"/>
        </w:rPr>
        <w:t>税务登记证、</w:t>
      </w:r>
      <w:r>
        <w:rPr>
          <w:rFonts w:ascii="等线" w:hAnsi="等线" w:eastAsia="等线" w:cs="Calibri"/>
          <w:color w:val="000000"/>
          <w:sz w:val="22"/>
        </w:rPr>
        <w:t>资质</w:t>
      </w:r>
      <w:r>
        <w:rPr>
          <w:rFonts w:hint="eastAsia" w:ascii="等线" w:hAnsi="等线" w:eastAsia="等线" w:cs="Calibri"/>
          <w:color w:val="000000"/>
          <w:sz w:val="22"/>
        </w:rPr>
        <w:t>证书</w:t>
      </w:r>
      <w:r>
        <w:rPr>
          <w:rFonts w:ascii="等线" w:hAnsi="等线" w:eastAsia="等线" w:cs="Calibri"/>
          <w:color w:val="000000"/>
          <w:sz w:val="22"/>
        </w:rPr>
        <w:t>等），说明投标人的注册地点和主要经营范围；</w:t>
      </w:r>
    </w:p>
    <w:p>
      <w:pPr>
        <w:adjustRightInd w:val="0"/>
        <w:snapToGrid w:val="0"/>
        <w:spacing w:line="400" w:lineRule="exact"/>
        <w:ind w:firstLine="440" w:firstLineChars="200"/>
        <w:rPr>
          <w:rFonts w:ascii="等线" w:hAnsi="等线" w:eastAsia="等线" w:cs="Calibri"/>
          <w:color w:val="000000"/>
          <w:sz w:val="22"/>
        </w:rPr>
      </w:pPr>
      <w:r>
        <w:rPr>
          <w:rFonts w:hint="eastAsia" w:ascii="等线" w:hAnsi="等线" w:eastAsia="等线" w:cs="Calibri"/>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400" w:lineRule="exact"/>
        <w:ind w:firstLine="440" w:firstLineChars="200"/>
        <w:rPr>
          <w:rFonts w:ascii="等线" w:hAnsi="等线" w:eastAsia="等线" w:cs="Calibri"/>
          <w:color w:val="000000"/>
          <w:sz w:val="22"/>
        </w:rPr>
      </w:pPr>
      <w:r>
        <w:rPr>
          <w:rFonts w:ascii="等线" w:hAnsi="等线" w:eastAsia="等线" w:cs="Calibri"/>
          <w:color w:val="000000"/>
          <w:sz w:val="22"/>
        </w:rPr>
        <w:t>（2）有关证明投标人的企业信誉及获得各种奖励等资料；</w:t>
      </w:r>
    </w:p>
    <w:p>
      <w:pPr>
        <w:adjustRightInd w:val="0"/>
        <w:snapToGrid w:val="0"/>
        <w:spacing w:line="400" w:lineRule="exact"/>
        <w:ind w:firstLine="440" w:firstLineChars="200"/>
        <w:rPr>
          <w:rFonts w:ascii="等线" w:hAnsi="等线" w:eastAsia="等线" w:cs="Calibri"/>
          <w:color w:val="000000"/>
          <w:sz w:val="22"/>
        </w:rPr>
      </w:pPr>
      <w:r>
        <w:rPr>
          <w:rFonts w:ascii="等线" w:hAnsi="等线" w:eastAsia="等线" w:cs="Calibri"/>
          <w:color w:val="000000"/>
          <w:sz w:val="22"/>
        </w:rPr>
        <w:t>（3）投标人经济实力：包括企业注册资金、财务报告与报表中反映的财务状况</w:t>
      </w:r>
      <w:r>
        <w:rPr>
          <w:rFonts w:hint="eastAsia" w:ascii="等线" w:hAnsi="等线" w:eastAsia="等线" w:cs="Calibri"/>
          <w:color w:val="000000"/>
          <w:sz w:val="22"/>
        </w:rPr>
        <w:t>；</w:t>
      </w:r>
    </w:p>
    <w:p>
      <w:pPr>
        <w:adjustRightInd w:val="0"/>
        <w:snapToGrid w:val="0"/>
        <w:spacing w:line="400" w:lineRule="exact"/>
        <w:ind w:firstLine="440" w:firstLineChars="200"/>
        <w:rPr>
          <w:rFonts w:ascii="等线" w:hAnsi="等线" w:eastAsia="等线" w:cs="Calibri"/>
          <w:color w:val="000000"/>
          <w:sz w:val="22"/>
        </w:rPr>
      </w:pPr>
      <w:r>
        <w:rPr>
          <w:rFonts w:hint="eastAsia" w:ascii="等线" w:hAnsi="等线" w:eastAsia="等线" w:cs="Calibri"/>
          <w:color w:val="000000"/>
          <w:sz w:val="22"/>
        </w:rPr>
        <w:t>（4）</w:t>
      </w:r>
      <w:r>
        <w:rPr>
          <w:rFonts w:ascii="等线" w:hAnsi="等线" w:eastAsia="等线" w:cs="Calibri"/>
          <w:color w:val="000000"/>
          <w:sz w:val="22"/>
        </w:rPr>
        <w:t>近</w:t>
      </w:r>
      <w:r>
        <w:rPr>
          <w:rFonts w:hint="eastAsia" w:ascii="等线" w:hAnsi="等线" w:eastAsia="等线" w:cs="Calibri"/>
          <w:color w:val="000000"/>
          <w:sz w:val="22"/>
        </w:rPr>
        <w:t>五</w:t>
      </w:r>
      <w:r>
        <w:rPr>
          <w:rFonts w:ascii="等线" w:hAnsi="等线" w:eastAsia="等线" w:cs="Calibri"/>
          <w:color w:val="000000"/>
          <w:sz w:val="22"/>
        </w:rPr>
        <w:t>年完成类似项目业绩情况</w:t>
      </w:r>
      <w:r>
        <w:rPr>
          <w:rFonts w:hint="eastAsia" w:ascii="等线" w:hAnsi="等线" w:eastAsia="等线" w:cs="Calibri"/>
          <w:color w:val="000000"/>
          <w:sz w:val="22"/>
        </w:rPr>
        <w:t>；</w:t>
      </w:r>
    </w:p>
    <w:p>
      <w:pPr>
        <w:adjustRightInd w:val="0"/>
        <w:snapToGrid w:val="0"/>
        <w:spacing w:line="400" w:lineRule="exact"/>
        <w:ind w:firstLine="440" w:firstLineChars="200"/>
        <w:rPr>
          <w:rFonts w:ascii="等线" w:hAnsi="等线" w:eastAsia="等线" w:cs="Calibri"/>
          <w:color w:val="000000"/>
          <w:sz w:val="22"/>
        </w:rPr>
      </w:pPr>
      <w:r>
        <w:rPr>
          <w:rFonts w:hint="eastAsia" w:ascii="等线" w:hAnsi="等线" w:eastAsia="等线" w:cs="Calibri"/>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ascii="等线" w:hAnsi="等线" w:eastAsia="等线" w:cs="Calibri"/>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ascii="等线" w:hAnsi="等线" w:eastAsia="等线" w:cs="Calibri"/>
          <w:color w:val="000000"/>
          <w:sz w:val="22"/>
        </w:rPr>
      </w:pPr>
      <w:r>
        <w:rPr>
          <w:rFonts w:ascii="等线" w:hAnsi="等线" w:eastAsia="等线" w:cs="Calibri"/>
          <w:color w:val="000000"/>
          <w:sz w:val="22"/>
        </w:rPr>
        <w:t>（1）本项目概况；</w:t>
      </w:r>
    </w:p>
    <w:p>
      <w:pPr>
        <w:adjustRightInd w:val="0"/>
        <w:snapToGrid w:val="0"/>
        <w:spacing w:line="360" w:lineRule="exact"/>
        <w:ind w:firstLine="440" w:firstLineChars="200"/>
        <w:rPr>
          <w:rFonts w:ascii="等线" w:hAnsi="等线" w:eastAsia="等线" w:cs="Calibri"/>
          <w:color w:val="000000"/>
          <w:sz w:val="22"/>
        </w:rPr>
      </w:pPr>
      <w:r>
        <w:rPr>
          <w:rFonts w:ascii="等线" w:hAnsi="等线" w:eastAsia="等线" w:cs="Calibri"/>
          <w:color w:val="000000"/>
          <w:sz w:val="22"/>
        </w:rPr>
        <w:t>（2）工作内容和依据；</w:t>
      </w:r>
    </w:p>
    <w:p>
      <w:pPr>
        <w:adjustRightInd w:val="0"/>
        <w:snapToGrid w:val="0"/>
        <w:spacing w:line="360" w:lineRule="exact"/>
        <w:ind w:firstLine="440" w:firstLineChars="200"/>
        <w:rPr>
          <w:rFonts w:ascii="等线" w:hAnsi="等线" w:eastAsia="等线" w:cs="Calibri"/>
          <w:color w:val="000000"/>
          <w:sz w:val="22"/>
        </w:rPr>
      </w:pPr>
      <w:r>
        <w:rPr>
          <w:rFonts w:ascii="等线" w:hAnsi="等线" w:eastAsia="等线" w:cs="Calibri"/>
          <w:color w:val="000000"/>
          <w:sz w:val="22"/>
        </w:rPr>
        <w:t>（3）</w:t>
      </w:r>
      <w:r>
        <w:rPr>
          <w:rFonts w:hint="eastAsia" w:ascii="等线" w:hAnsi="等线" w:eastAsia="等线" w:cs="Calibri"/>
          <w:color w:val="000000"/>
          <w:sz w:val="22"/>
        </w:rPr>
        <w:t>现场机构、人力、物资设备配置</w:t>
      </w:r>
      <w:r>
        <w:rPr>
          <w:rFonts w:ascii="等线" w:hAnsi="等线" w:eastAsia="等线" w:cs="Calibri"/>
          <w:color w:val="000000"/>
          <w:sz w:val="22"/>
        </w:rPr>
        <w:t>；</w:t>
      </w:r>
    </w:p>
    <w:p>
      <w:pPr>
        <w:adjustRightInd w:val="0"/>
        <w:snapToGrid w:val="0"/>
        <w:spacing w:line="360" w:lineRule="exact"/>
        <w:ind w:firstLine="440" w:firstLineChars="200"/>
        <w:rPr>
          <w:rFonts w:ascii="等线" w:hAnsi="等线" w:eastAsia="等线" w:cs="Calibri"/>
          <w:color w:val="000000"/>
          <w:sz w:val="22"/>
        </w:rPr>
      </w:pPr>
      <w:r>
        <w:rPr>
          <w:rFonts w:ascii="等线" w:hAnsi="等线" w:eastAsia="等线" w:cs="Calibri"/>
          <w:color w:val="000000"/>
          <w:sz w:val="22"/>
        </w:rPr>
        <w:t>（4）服务人员的作业安排和进场计划；</w:t>
      </w:r>
    </w:p>
    <w:p>
      <w:pPr>
        <w:adjustRightInd w:val="0"/>
        <w:snapToGrid w:val="0"/>
        <w:spacing w:line="360" w:lineRule="exact"/>
        <w:ind w:firstLine="440" w:firstLineChars="200"/>
        <w:rPr>
          <w:rFonts w:ascii="等线" w:hAnsi="等线" w:eastAsia="等线" w:cs="Calibri"/>
          <w:color w:val="000000"/>
          <w:sz w:val="22"/>
        </w:rPr>
      </w:pPr>
      <w:r>
        <w:rPr>
          <w:rFonts w:ascii="等线" w:hAnsi="等线" w:eastAsia="等线" w:cs="Calibri"/>
          <w:color w:val="000000"/>
          <w:sz w:val="22"/>
        </w:rPr>
        <w:t>（5）</w:t>
      </w:r>
      <w:r>
        <w:rPr>
          <w:rFonts w:hint="eastAsia" w:ascii="等线" w:hAnsi="等线" w:eastAsia="等线" w:cs="Calibri"/>
          <w:color w:val="000000"/>
          <w:sz w:val="22"/>
        </w:rPr>
        <w:t>运行、安全、服务等相关管理方案</w:t>
      </w:r>
      <w:r>
        <w:rPr>
          <w:rFonts w:ascii="等线" w:hAnsi="等线" w:eastAsia="等线" w:cs="Calibri"/>
          <w:color w:val="000000"/>
          <w:sz w:val="22"/>
        </w:rPr>
        <w:t>；</w:t>
      </w:r>
    </w:p>
    <w:p>
      <w:pPr>
        <w:adjustRightInd w:val="0"/>
        <w:snapToGrid w:val="0"/>
        <w:spacing w:line="360" w:lineRule="exact"/>
        <w:ind w:firstLine="440" w:firstLineChars="200"/>
        <w:rPr>
          <w:rFonts w:ascii="等线" w:hAnsi="等线" w:eastAsia="等线" w:cs="Calibri"/>
          <w:color w:val="000000"/>
          <w:sz w:val="22"/>
        </w:rPr>
      </w:pPr>
      <w:r>
        <w:rPr>
          <w:rFonts w:ascii="等线" w:hAnsi="等线" w:eastAsia="等线" w:cs="Calibri"/>
          <w:color w:val="000000"/>
          <w:sz w:val="22"/>
        </w:rPr>
        <w:t>（6）对本项目的实施意见及重点</w:t>
      </w:r>
      <w:r>
        <w:rPr>
          <w:rFonts w:hint="eastAsia" w:ascii="等线" w:hAnsi="等线" w:eastAsia="等线" w:cs="Calibri"/>
          <w:color w:val="000000"/>
          <w:sz w:val="22"/>
        </w:rPr>
        <w:t>、</w:t>
      </w:r>
      <w:r>
        <w:rPr>
          <w:rFonts w:ascii="等线" w:hAnsi="等线" w:eastAsia="等线" w:cs="Calibri"/>
          <w:color w:val="000000"/>
          <w:sz w:val="22"/>
        </w:rPr>
        <w:t>难点控制；</w:t>
      </w:r>
    </w:p>
    <w:p>
      <w:pPr>
        <w:adjustRightInd w:val="0"/>
        <w:snapToGrid w:val="0"/>
        <w:spacing w:line="360" w:lineRule="exact"/>
        <w:ind w:firstLine="440" w:firstLineChars="200"/>
        <w:rPr>
          <w:rFonts w:ascii="等线" w:hAnsi="等线" w:eastAsia="等线" w:cs="Calibri"/>
          <w:color w:val="000000"/>
          <w:sz w:val="22"/>
        </w:rPr>
      </w:pPr>
      <w:r>
        <w:rPr>
          <w:rFonts w:hint="eastAsia" w:ascii="等线" w:hAnsi="等线" w:eastAsia="等线" w:cs="Calibri"/>
          <w:color w:val="000000"/>
          <w:sz w:val="22"/>
        </w:rPr>
        <w:t>（7）对特殊情况的承诺以及灾害性、突发事件的应急预案；</w:t>
      </w:r>
    </w:p>
    <w:p>
      <w:pPr>
        <w:adjustRightInd w:val="0"/>
        <w:snapToGrid w:val="0"/>
        <w:spacing w:line="360" w:lineRule="exact"/>
        <w:ind w:firstLine="440" w:firstLineChars="200"/>
        <w:rPr>
          <w:rFonts w:ascii="等线" w:hAnsi="等线" w:eastAsia="等线" w:cs="Calibri"/>
          <w:color w:val="000000"/>
          <w:sz w:val="22"/>
        </w:rPr>
      </w:pPr>
      <w:r>
        <w:rPr>
          <w:rFonts w:ascii="等线" w:hAnsi="等线" w:eastAsia="等线" w:cs="Calibri"/>
          <w:color w:val="000000"/>
          <w:sz w:val="22"/>
        </w:rPr>
        <w:t>（</w:t>
      </w:r>
      <w:r>
        <w:rPr>
          <w:rFonts w:hint="eastAsia" w:ascii="等线" w:hAnsi="等线" w:eastAsia="等线" w:cs="Calibri"/>
          <w:color w:val="000000"/>
          <w:sz w:val="22"/>
        </w:rPr>
        <w:t>8</w:t>
      </w:r>
      <w:r>
        <w:rPr>
          <w:rFonts w:ascii="等线" w:hAnsi="等线" w:eastAsia="等线"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等线" w:hAnsi="等线" w:eastAsia="等线" w:cs="Calibri"/>
          <w:color w:val="000000"/>
          <w:sz w:val="22"/>
        </w:rPr>
      </w:pPr>
      <w:r>
        <w:rPr>
          <w:rFonts w:ascii="等线" w:hAnsi="等线" w:eastAsia="等线" w:cs="Calibri"/>
          <w:color w:val="000000"/>
          <w:sz w:val="22"/>
        </w:rPr>
        <w:t>（</w:t>
      </w:r>
      <w:r>
        <w:rPr>
          <w:rFonts w:hint="eastAsia" w:ascii="等线" w:hAnsi="等线" w:eastAsia="等线" w:cs="Calibri"/>
          <w:color w:val="000000"/>
          <w:sz w:val="22"/>
        </w:rPr>
        <w:t>9</w:t>
      </w:r>
      <w:r>
        <w:rPr>
          <w:rFonts w:ascii="等线" w:hAnsi="等线" w:eastAsia="等线" w:cs="Calibri"/>
          <w:color w:val="000000"/>
          <w:sz w:val="22"/>
        </w:rPr>
        <w:t>）投入本项目服务的仪器、仪表、设备及交通工具汇总表</w:t>
      </w:r>
      <w:r>
        <w:rPr>
          <w:rFonts w:hint="eastAsia" w:ascii="等线" w:hAnsi="等线" w:eastAsia="等线"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等线" w:hAnsi="等线" w:eastAsia="等线" w:cs="Calibri"/>
          <w:color w:val="000000"/>
          <w:sz w:val="22"/>
        </w:rPr>
        <w:t>七、</w:t>
      </w:r>
      <w:r>
        <w:rPr>
          <w:rFonts w:hint="eastAsia" w:ascii="等线" w:hAnsi="等线" w:eastAsia="等线" w:cs="Arial"/>
          <w:color w:val="000000"/>
          <w:sz w:val="22"/>
        </w:rPr>
        <w:t>投标人认为</w:t>
      </w:r>
      <w:r>
        <w:rPr>
          <w:rFonts w:ascii="等线" w:hAnsi="等线" w:eastAsia="等线" w:cs="Arial"/>
          <w:color w:val="000000"/>
          <w:sz w:val="22"/>
        </w:rPr>
        <w:t>应该提供的其他材料</w:t>
      </w:r>
      <w:r>
        <w:rPr>
          <w:rFonts w:hint="eastAsia" w:ascii="等线" w:hAnsi="等线" w:eastAsia="等线" w:cs="Arial"/>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0" w:name="_Toc171421958"/>
      <w:r>
        <w:rPr>
          <w:rFonts w:cs="Calibri"/>
          <w:color w:val="000000"/>
        </w:rPr>
        <w:t>封面</w:t>
      </w:r>
      <w:bookmarkEnd w:id="11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ascii="宋体" w:hAnsi="宋体" w:cs="Calibri"/>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ascii="宋体" w:hAnsi="宋体" w:cs="Calibri"/>
          <w:sz w:val="24"/>
        </w:rPr>
      </w:pPr>
      <w:r>
        <w:rPr>
          <w:rFonts w:ascii="宋体" w:hAnsi="宋体" w:cs="Calibri"/>
          <w:sz w:val="24"/>
        </w:rPr>
        <w:t>1</w:t>
      </w:r>
      <w:r>
        <w:rPr>
          <w:rFonts w:hint="eastAsia" w:ascii="宋体" w:hAnsi="宋体" w:cs="Calibri"/>
          <w:sz w:val="24"/>
        </w:rPr>
        <w:t>.</w:t>
      </w:r>
      <w:r>
        <w:rPr>
          <w:rFonts w:ascii="宋体" w:hAnsi="宋体" w:cs="Calibri"/>
          <w:sz w:val="24"/>
        </w:rPr>
        <w:t>根据已收到的</w:t>
      </w:r>
      <w:r>
        <w:rPr>
          <w:rFonts w:ascii="宋体" w:hAnsi="宋体" w:cs="Calibri"/>
          <w:sz w:val="24"/>
          <w:u w:val="single"/>
        </w:rPr>
        <w:t xml:space="preserve">                           </w:t>
      </w:r>
      <w:r>
        <w:rPr>
          <w:rFonts w:ascii="宋体" w:hAnsi="宋体" w:cs="Calibri"/>
          <w:sz w:val="24"/>
        </w:rPr>
        <w:t>招标文件，遵照《中华人民共和国招标投标法》等有关规定，经考察现场和研究上述招标文件后，我方愿以投标总价</w:t>
      </w:r>
      <w:r>
        <w:rPr>
          <w:rFonts w:hint="eastAsia" w:ascii="宋体" w:hAnsi="宋体" w:cs="Calibri"/>
          <w:sz w:val="24"/>
        </w:rPr>
        <w:t>为</w:t>
      </w:r>
      <w:r>
        <w:rPr>
          <w:rFonts w:ascii="宋体" w:hAnsi="宋体" w:cs="Calibri"/>
          <w:sz w:val="24"/>
        </w:rPr>
        <w:t>人民币 (大写)：</w:t>
      </w:r>
      <w:r>
        <w:rPr>
          <w:rFonts w:ascii="宋体" w:hAnsi="宋体" w:cs="Calibri"/>
          <w:sz w:val="24"/>
          <w:u w:val="single"/>
        </w:rPr>
        <w:t xml:space="preserve">               </w:t>
      </w:r>
      <w:r>
        <w:rPr>
          <w:rFonts w:ascii="宋体" w:hAnsi="宋体" w:cs="Calibri"/>
          <w:sz w:val="24"/>
        </w:rPr>
        <w:t>元（RMB</w:t>
      </w:r>
      <w:r>
        <w:rPr>
          <w:rFonts w:ascii="宋体" w:hAnsi="宋体" w:cs="Calibri"/>
          <w:sz w:val="24"/>
          <w:u w:val="single"/>
        </w:rPr>
        <w:t xml:space="preserve">         </w:t>
      </w:r>
      <w:r>
        <w:rPr>
          <w:rFonts w:ascii="宋体" w:hAnsi="宋体" w:cs="Calibri"/>
          <w:sz w:val="24"/>
        </w:rPr>
        <w:t>元）报价并按上述招标文件要求承揽上述项目</w:t>
      </w:r>
      <w:r>
        <w:rPr>
          <w:rFonts w:hint="eastAsia" w:ascii="宋体" w:hAnsi="宋体" w:cs="Calibri"/>
          <w:bCs/>
          <w:sz w:val="24"/>
        </w:rPr>
        <w:t>所有</w:t>
      </w:r>
      <w:r>
        <w:rPr>
          <w:rFonts w:ascii="宋体" w:hAnsi="宋体" w:cs="Calibri"/>
          <w:bCs/>
          <w:sz w:val="24"/>
        </w:rPr>
        <w:t>等工作</w:t>
      </w:r>
      <w:r>
        <w:rPr>
          <w:rFonts w:ascii="宋体" w:hAnsi="宋体" w:cs="Calibri"/>
          <w:sz w:val="24"/>
          <w:szCs w:val="21"/>
        </w:rPr>
        <w:t>。</w:t>
      </w:r>
      <w:r>
        <w:rPr>
          <w:rFonts w:ascii="宋体" w:hAnsi="宋体" w:cs="Calibri"/>
          <w:sz w:val="24"/>
        </w:rPr>
        <w:t xml:space="preserve"> </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2. 我方承诺：</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（1）我方不是失信被执行人；</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（2）我方在规定期限内无行贿犯罪记录；</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（3）我方具有一般纳税人资格，可提供增值税专用发票；</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（4）我方注册资金符合本项目招标文件资格条件要求。</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3．如我方中标，我方承诺：</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(1)在收到中标通知书后，在中标通知书规定的期限内与你方签订合同；</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(2)在签订合同时不向你方提出附加条件；</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(3)按照招标文件要求提交履约保证金；</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(4)在合同约定的期限内完成合同规定的全部义务。</w:t>
      </w:r>
    </w:p>
    <w:p>
      <w:pPr>
        <w:snapToGrid w:val="0"/>
        <w:spacing w:line="360" w:lineRule="auto"/>
        <w:rPr>
          <w:rFonts w:ascii="等线" w:hAnsi="等线" w:eastAsia="等线" w:cs="Calibri"/>
          <w:sz w:val="24"/>
          <w:szCs w:val="20"/>
        </w:rPr>
      </w:pPr>
      <w:r>
        <w:rPr>
          <w:rFonts w:hint="eastAsia" w:ascii="等线" w:hAnsi="等线" w:eastAsia="等线" w:cs="Calibri"/>
          <w:sz w:val="24"/>
        </w:rPr>
        <w:t>　　 4、我方同意所递交的投标文件在“前附表”规定的投标有效期内有效，在此期间内我方的投标有可能中标，我方将受此约束。</w:t>
      </w:r>
    </w:p>
    <w:p>
      <w:pPr>
        <w:snapToGrid w:val="0"/>
        <w:spacing w:line="360" w:lineRule="auto"/>
        <w:rPr>
          <w:rFonts w:ascii="等线" w:hAnsi="等线" w:eastAsia="等线" w:cs="Calibri"/>
          <w:sz w:val="24"/>
          <w:szCs w:val="20"/>
        </w:rPr>
      </w:pPr>
      <w:r>
        <w:rPr>
          <w:rFonts w:hint="eastAsia" w:ascii="等线" w:hAnsi="等线" w:eastAsia="等线" w:cs="Calibri"/>
          <w:sz w:val="24"/>
        </w:rPr>
        <w:t xml:space="preserve">     5、除非另外达成协议并生效，你方的中标通知书和本投标文件将构成约束我们双方的合同。</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7、我方同意按照你方可能提出的要求，提供有关的任何其它数字或资料，并对贵方可能不接受最低报价及任何报价表示理解。</w:t>
      </w:r>
    </w:p>
    <w:p>
      <w:pPr>
        <w:snapToGrid w:val="0"/>
        <w:spacing w:line="440" w:lineRule="exact"/>
        <w:rPr>
          <w:rFonts w:ascii="等线" w:hAnsi="等线" w:eastAsia="等线" w:cs="Calibri"/>
          <w:color w:val="000000"/>
          <w:szCs w:val="21"/>
        </w:rPr>
      </w:pPr>
    </w:p>
    <w:p>
      <w:pPr>
        <w:snapToGrid w:val="0"/>
        <w:spacing w:line="440" w:lineRule="exact"/>
        <w:rPr>
          <w:rFonts w:ascii="等线" w:hAnsi="等线" w:eastAsia="等线" w:cs="Calibri"/>
          <w:color w:val="000000"/>
          <w:szCs w:val="21"/>
        </w:rPr>
      </w:pPr>
    </w:p>
    <w:p>
      <w:pPr>
        <w:snapToGrid w:val="0"/>
        <w:spacing w:line="440" w:lineRule="exact"/>
        <w:rPr>
          <w:rFonts w:ascii="等线" w:hAnsi="等线" w:eastAsia="等线" w:cs="Calibri"/>
          <w:color w:val="000000"/>
          <w:szCs w:val="21"/>
        </w:rPr>
      </w:pPr>
    </w:p>
    <w:p>
      <w:pPr>
        <w:snapToGrid w:val="0"/>
        <w:spacing w:line="440" w:lineRule="exact"/>
        <w:ind w:firstLine="3600" w:firstLineChars="1500"/>
        <w:rPr>
          <w:rFonts w:ascii="等线" w:hAnsi="等线" w:eastAsia="等线" w:cs="Calibri"/>
          <w:color w:val="000000"/>
          <w:sz w:val="24"/>
        </w:rPr>
      </w:pPr>
      <w:r>
        <w:rPr>
          <w:rFonts w:ascii="等线" w:hAnsi="等线" w:eastAsia="等线" w:cs="Calibri"/>
          <w:color w:val="000000"/>
          <w:sz w:val="24"/>
        </w:rPr>
        <w:t>投标人：（盖单位章）</w:t>
      </w:r>
    </w:p>
    <w:p>
      <w:pPr>
        <w:snapToGrid w:val="0"/>
        <w:spacing w:line="440" w:lineRule="exact"/>
        <w:ind w:firstLine="3600" w:firstLineChars="1500"/>
        <w:rPr>
          <w:rFonts w:ascii="等线" w:hAnsi="等线" w:eastAsia="等线" w:cs="Calibri"/>
          <w:color w:val="000000"/>
          <w:sz w:val="24"/>
        </w:rPr>
      </w:pPr>
      <w:r>
        <w:rPr>
          <w:rFonts w:ascii="等线" w:hAnsi="等线" w:eastAsia="等线" w:cs="Calibri"/>
          <w:color w:val="000000"/>
          <w:sz w:val="24"/>
        </w:rPr>
        <w:t>法定代表人或其委托代理人：（签字或盖章）</w:t>
      </w:r>
    </w:p>
    <w:p>
      <w:pPr>
        <w:snapToGrid w:val="0"/>
        <w:spacing w:line="440" w:lineRule="exact"/>
        <w:ind w:firstLine="3600" w:firstLineChars="1500"/>
        <w:rPr>
          <w:rFonts w:ascii="等线" w:hAnsi="等线" w:eastAsia="等线" w:cs="Calibri"/>
          <w:color w:val="000000"/>
          <w:sz w:val="24"/>
        </w:rPr>
      </w:pPr>
      <w:r>
        <w:rPr>
          <w:rFonts w:ascii="等线" w:hAnsi="等线" w:eastAsia="等线" w:cs="Calibri"/>
          <w:color w:val="000000"/>
          <w:sz w:val="24"/>
        </w:rPr>
        <w:t>地    址：</w:t>
      </w:r>
    </w:p>
    <w:p>
      <w:pPr>
        <w:snapToGrid w:val="0"/>
        <w:spacing w:line="440" w:lineRule="exact"/>
        <w:ind w:firstLine="3600" w:firstLineChars="1500"/>
        <w:rPr>
          <w:rFonts w:ascii="等线" w:hAnsi="等线" w:eastAsia="等线" w:cs="Calibri"/>
          <w:color w:val="000000"/>
          <w:sz w:val="24"/>
        </w:rPr>
      </w:pPr>
      <w:r>
        <w:rPr>
          <w:rFonts w:ascii="等线" w:hAnsi="等线" w:eastAsia="等线" w:cs="Calibri"/>
          <w:color w:val="000000"/>
          <w:sz w:val="24"/>
        </w:rPr>
        <w:t>邮政编码：</w:t>
      </w:r>
    </w:p>
    <w:p>
      <w:pPr>
        <w:snapToGrid w:val="0"/>
        <w:spacing w:line="440" w:lineRule="exact"/>
        <w:ind w:firstLine="3600" w:firstLineChars="1500"/>
        <w:rPr>
          <w:rFonts w:ascii="等线" w:hAnsi="等线" w:eastAsia="等线" w:cs="Calibri"/>
          <w:color w:val="000000"/>
          <w:sz w:val="24"/>
        </w:rPr>
      </w:pPr>
      <w:r>
        <w:rPr>
          <w:rFonts w:ascii="等线" w:hAnsi="等线" w:eastAsia="等线" w:cs="Calibri"/>
          <w:color w:val="000000"/>
          <w:sz w:val="24"/>
        </w:rPr>
        <w:t>电    话：</w:t>
      </w:r>
    </w:p>
    <w:p>
      <w:pPr>
        <w:snapToGrid w:val="0"/>
        <w:spacing w:line="440" w:lineRule="exact"/>
        <w:ind w:firstLine="3600" w:firstLineChars="1500"/>
        <w:rPr>
          <w:rFonts w:ascii="等线" w:hAnsi="等线" w:eastAsia="等线" w:cs="Calibri"/>
          <w:color w:val="000000"/>
          <w:sz w:val="24"/>
        </w:rPr>
      </w:pPr>
      <w:r>
        <w:rPr>
          <w:rFonts w:ascii="等线" w:hAnsi="等线" w:eastAsia="等线" w:cs="Calibri"/>
          <w:color w:val="000000"/>
          <w:sz w:val="24"/>
        </w:rPr>
        <w:t>传    真：</w:t>
      </w:r>
    </w:p>
    <w:p>
      <w:pPr>
        <w:snapToGrid w:val="0"/>
        <w:spacing w:line="440" w:lineRule="exact"/>
        <w:ind w:firstLine="3600" w:firstLineChars="1500"/>
        <w:rPr>
          <w:rFonts w:ascii="等线" w:hAnsi="等线" w:eastAsia="等线" w:cs="Calibri"/>
          <w:color w:val="000000"/>
          <w:sz w:val="24"/>
        </w:rPr>
      </w:pPr>
      <w:r>
        <w:rPr>
          <w:rFonts w:ascii="等线" w:hAnsi="等线" w:eastAsia="等线" w:cs="Calibri"/>
          <w:color w:val="000000"/>
          <w:sz w:val="24"/>
        </w:rPr>
        <w:t>开户银行：</w:t>
      </w:r>
    </w:p>
    <w:p>
      <w:pPr>
        <w:snapToGrid w:val="0"/>
        <w:spacing w:line="440" w:lineRule="exact"/>
        <w:ind w:firstLine="3600" w:firstLineChars="1500"/>
        <w:rPr>
          <w:rFonts w:ascii="等线" w:hAnsi="等线" w:eastAsia="等线" w:cs="Calibri"/>
          <w:color w:val="000000"/>
          <w:sz w:val="24"/>
        </w:rPr>
      </w:pPr>
      <w:r>
        <w:rPr>
          <w:rFonts w:ascii="等线" w:hAnsi="等线" w:eastAsia="等线" w:cs="Calibri"/>
          <w:color w:val="000000"/>
          <w:sz w:val="24"/>
        </w:rPr>
        <w:t>账    号：</w:t>
      </w:r>
    </w:p>
    <w:p>
      <w:pPr>
        <w:snapToGrid w:val="0"/>
        <w:spacing w:line="440" w:lineRule="exact"/>
        <w:ind w:firstLine="3600" w:firstLineChars="1500"/>
        <w:rPr>
          <w:rFonts w:eastAsia="黑体" w:cs="Calibri"/>
          <w:color w:val="000000"/>
          <w:sz w:val="32"/>
          <w:szCs w:val="32"/>
        </w:rPr>
      </w:pPr>
      <w:r>
        <w:rPr>
          <w:rFonts w:ascii="等线" w:hAnsi="等线" w:eastAsia="等线" w:cs="Calibri"/>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d5sAF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anyu01wAAAAcBAAAPAAAA&#10;AAAAAAEAIAAAACIAAABkcnMvZG93bnJldi54bWxQSwECFAAUAAAACACHTuJAHebABRYCAAA5BAAA&#10;DgAAAAAAAAABACAAAAAmAQAAZHJzL2Uyb0RvYy54bWxQSwUGAAAAAAYABgBZAQAArgUAAAAA&#10;">
            <v:path/>
            <v:fill on="t" focussize="0,0"/>
            <v:stroke/>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k96wdcAAAAJAQAADwAA&#10;AAAAAAABACAAAAAiAAAAZHJzL2Rvd25yZXYueG1sUEsBAhQAFAAAAAgAh07iQMCAvR8XAgAAOQQA&#10;AA4AAAAAAAAAAQAgAAAAJgEAAGRycy9lMm9Eb2MueG1sUEsFBgAAAAAGAAYAWQEAAK8FAAAAAA==&#10;">
            <v:path/>
            <v:fill on="t" focussize="0,0"/>
            <v:stroke/>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单位：万元</w:t>
      </w:r>
    </w:p>
    <w:tbl>
      <w:tblPr>
        <w:tblStyle w:val="1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noWrap w:val="0"/>
            <w:vAlign w:val="center"/>
          </w:tcPr>
          <w:p>
            <w:pPr>
              <w:jc w:val="center"/>
              <w:rPr>
                <w:rFonts w:cs="Calibri"/>
                <w:szCs w:val="21"/>
              </w:rPr>
            </w:pPr>
            <w:r>
              <w:rPr>
                <w:rFonts w:cs="Calibri"/>
                <w:szCs w:val="21"/>
              </w:rPr>
              <w:t>序号</w:t>
            </w:r>
          </w:p>
        </w:tc>
        <w:tc>
          <w:tcPr>
            <w:tcW w:w="3155" w:type="dxa"/>
            <w:noWrap w:val="0"/>
            <w:vAlign w:val="center"/>
          </w:tcPr>
          <w:p>
            <w:pPr>
              <w:jc w:val="center"/>
              <w:rPr>
                <w:rFonts w:cs="Calibri"/>
                <w:szCs w:val="21"/>
              </w:rPr>
            </w:pPr>
            <w:r>
              <w:rPr>
                <w:rFonts w:cs="Calibri"/>
                <w:szCs w:val="21"/>
              </w:rPr>
              <w:t>费用名称</w:t>
            </w:r>
          </w:p>
        </w:tc>
        <w:tc>
          <w:tcPr>
            <w:tcW w:w="4536" w:type="dxa"/>
            <w:tcBorders>
              <w:left w:val="single" w:color="auto" w:sz="4" w:space="0"/>
            </w:tcBorders>
            <w:noWrap w:val="0"/>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noWrap w:val="0"/>
            <w:vAlign w:val="center"/>
          </w:tcPr>
          <w:p>
            <w:pPr>
              <w:jc w:val="center"/>
              <w:rPr>
                <w:rFonts w:cs="Calibri"/>
                <w:b/>
                <w:bCs/>
                <w:szCs w:val="21"/>
              </w:rPr>
            </w:pPr>
            <w:r>
              <w:rPr>
                <w:rFonts w:cs="Calibri"/>
                <w:bCs/>
                <w:szCs w:val="21"/>
              </w:rPr>
              <w:t>1</w:t>
            </w:r>
          </w:p>
        </w:tc>
        <w:tc>
          <w:tcPr>
            <w:tcW w:w="3155" w:type="dxa"/>
            <w:noWrap w:val="0"/>
            <w:vAlign w:val="center"/>
          </w:tcPr>
          <w:p>
            <w:pPr>
              <w:jc w:val="center"/>
              <w:rPr>
                <w:rFonts w:cs="Calibri"/>
                <w:szCs w:val="21"/>
              </w:rPr>
            </w:pPr>
          </w:p>
        </w:tc>
        <w:tc>
          <w:tcPr>
            <w:tcW w:w="4536" w:type="dxa"/>
            <w:tcBorders>
              <w:left w:val="single" w:color="auto" w:sz="4" w:space="0"/>
            </w:tcBorders>
            <w:noWrap w:val="0"/>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noWrap w:val="0"/>
            <w:vAlign w:val="center"/>
          </w:tcPr>
          <w:p>
            <w:pPr>
              <w:jc w:val="center"/>
              <w:rPr>
                <w:rFonts w:cs="Calibri"/>
                <w:bCs/>
                <w:szCs w:val="21"/>
              </w:rPr>
            </w:pPr>
            <w:r>
              <w:rPr>
                <w:rFonts w:hint="eastAsia" w:cs="Calibri"/>
                <w:bCs/>
                <w:szCs w:val="21"/>
              </w:rPr>
              <w:t>2</w:t>
            </w:r>
          </w:p>
        </w:tc>
        <w:tc>
          <w:tcPr>
            <w:tcW w:w="3155" w:type="dxa"/>
            <w:noWrap w:val="0"/>
            <w:vAlign w:val="center"/>
          </w:tcPr>
          <w:p>
            <w:pPr>
              <w:jc w:val="center"/>
              <w:rPr>
                <w:rFonts w:cs="Calibri"/>
                <w:color w:val="000000"/>
                <w:szCs w:val="21"/>
              </w:rPr>
            </w:pPr>
          </w:p>
        </w:tc>
        <w:tc>
          <w:tcPr>
            <w:tcW w:w="4536" w:type="dxa"/>
            <w:tcBorders>
              <w:left w:val="single" w:color="auto" w:sz="4" w:space="0"/>
            </w:tcBorders>
            <w:noWrap w:val="0"/>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noWrap w:val="0"/>
            <w:vAlign w:val="center"/>
          </w:tcPr>
          <w:p>
            <w:pPr>
              <w:jc w:val="center"/>
              <w:rPr>
                <w:rFonts w:cs="Calibri"/>
                <w:bCs/>
                <w:szCs w:val="21"/>
              </w:rPr>
            </w:pPr>
            <w:r>
              <w:rPr>
                <w:rFonts w:hint="eastAsia" w:cs="Calibri"/>
                <w:bCs/>
                <w:szCs w:val="21"/>
              </w:rPr>
              <w:t>3</w:t>
            </w:r>
          </w:p>
        </w:tc>
        <w:tc>
          <w:tcPr>
            <w:tcW w:w="3155" w:type="dxa"/>
            <w:noWrap w:val="0"/>
            <w:vAlign w:val="center"/>
          </w:tcPr>
          <w:p>
            <w:pPr>
              <w:jc w:val="center"/>
              <w:rPr>
                <w:rFonts w:cs="Calibri"/>
                <w:color w:val="000000"/>
                <w:szCs w:val="21"/>
              </w:rPr>
            </w:pPr>
          </w:p>
        </w:tc>
        <w:tc>
          <w:tcPr>
            <w:tcW w:w="4536" w:type="dxa"/>
            <w:tcBorders>
              <w:left w:val="single" w:color="auto" w:sz="4" w:space="0"/>
            </w:tcBorders>
            <w:noWrap w:val="0"/>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noWrap w:val="0"/>
            <w:vAlign w:val="center"/>
          </w:tcPr>
          <w:p>
            <w:pPr>
              <w:jc w:val="center"/>
              <w:rPr>
                <w:rFonts w:cs="Calibri"/>
                <w:bCs/>
                <w:szCs w:val="21"/>
              </w:rPr>
            </w:pPr>
            <w:r>
              <w:rPr>
                <w:rFonts w:hint="eastAsia" w:cs="Calibri"/>
                <w:bCs/>
                <w:szCs w:val="21"/>
              </w:rPr>
              <w:t>4</w:t>
            </w:r>
          </w:p>
        </w:tc>
        <w:tc>
          <w:tcPr>
            <w:tcW w:w="3155" w:type="dxa"/>
            <w:noWrap w:val="0"/>
            <w:vAlign w:val="center"/>
          </w:tcPr>
          <w:p>
            <w:pPr>
              <w:jc w:val="center"/>
              <w:rPr>
                <w:rFonts w:cs="Calibri"/>
                <w:color w:val="000000"/>
                <w:szCs w:val="21"/>
              </w:rPr>
            </w:pPr>
          </w:p>
        </w:tc>
        <w:tc>
          <w:tcPr>
            <w:tcW w:w="4536" w:type="dxa"/>
            <w:tcBorders>
              <w:left w:val="single" w:color="auto" w:sz="4" w:space="0"/>
            </w:tcBorders>
            <w:noWrap w:val="0"/>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noWrap w:val="0"/>
            <w:vAlign w:val="center"/>
          </w:tcPr>
          <w:p>
            <w:pPr>
              <w:jc w:val="center"/>
              <w:rPr>
                <w:rFonts w:cs="Calibri"/>
                <w:bCs/>
                <w:szCs w:val="21"/>
              </w:rPr>
            </w:pPr>
          </w:p>
        </w:tc>
        <w:tc>
          <w:tcPr>
            <w:tcW w:w="3155" w:type="dxa"/>
            <w:noWrap w:val="0"/>
            <w:vAlign w:val="center"/>
          </w:tcPr>
          <w:p>
            <w:pPr>
              <w:jc w:val="center"/>
              <w:rPr>
                <w:rFonts w:cs="Calibri"/>
                <w:color w:val="000000"/>
                <w:szCs w:val="21"/>
              </w:rPr>
            </w:pPr>
          </w:p>
        </w:tc>
        <w:tc>
          <w:tcPr>
            <w:tcW w:w="4536" w:type="dxa"/>
            <w:tcBorders>
              <w:left w:val="single" w:color="auto" w:sz="4" w:space="0"/>
            </w:tcBorders>
            <w:noWrap w:val="0"/>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noWrap w:val="0"/>
            <w:vAlign w:val="center"/>
          </w:tcPr>
          <w:p>
            <w:pPr>
              <w:jc w:val="center"/>
              <w:rPr>
                <w:rFonts w:cs="Calibri"/>
                <w:bCs/>
                <w:szCs w:val="21"/>
              </w:rPr>
            </w:pPr>
          </w:p>
        </w:tc>
        <w:tc>
          <w:tcPr>
            <w:tcW w:w="3155" w:type="dxa"/>
            <w:noWrap w:val="0"/>
            <w:vAlign w:val="center"/>
          </w:tcPr>
          <w:p>
            <w:pPr>
              <w:jc w:val="center"/>
              <w:rPr>
                <w:rFonts w:cs="Calibri"/>
                <w:szCs w:val="21"/>
              </w:rPr>
            </w:pPr>
            <w:r>
              <w:rPr>
                <w:rFonts w:hint="eastAsia" w:cs="Calibri"/>
                <w:szCs w:val="21"/>
              </w:rPr>
              <w:t>合  计</w:t>
            </w:r>
          </w:p>
        </w:tc>
        <w:tc>
          <w:tcPr>
            <w:tcW w:w="4536" w:type="dxa"/>
            <w:tcBorders>
              <w:left w:val="single" w:color="auto" w:sz="4" w:space="0"/>
            </w:tcBorders>
            <w:noWrap w:val="0"/>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12"/>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noWrap w:val="0"/>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noWrap w:val="0"/>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noWrap w:val="0"/>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w:t>
      </w:r>
      <w:r>
        <w:rPr>
          <w:rFonts w:hint="eastAsia" w:eastAsia="黑体" w:cs="Calibri"/>
          <w:color w:val="000000"/>
          <w:sz w:val="32"/>
          <w:szCs w:val="32"/>
        </w:rPr>
        <w:t>五</w:t>
      </w:r>
      <w:r>
        <w:rPr>
          <w:rFonts w:eastAsia="黑体" w:cs="Calibri"/>
          <w:color w:val="000000"/>
          <w:sz w:val="32"/>
          <w:szCs w:val="32"/>
        </w:rPr>
        <w:t>年完成类似</w:t>
      </w:r>
      <w:r>
        <w:rPr>
          <w:rFonts w:hint="eastAsia" w:eastAsia="黑体" w:cs="Calibri"/>
          <w:color w:val="000000"/>
          <w:sz w:val="32"/>
          <w:szCs w:val="32"/>
        </w:rPr>
        <w:t>项目业绩</w:t>
      </w:r>
      <w:r>
        <w:rPr>
          <w:rFonts w:eastAsia="黑体" w:cs="Calibri"/>
          <w:color w:val="000000"/>
          <w:sz w:val="32"/>
          <w:szCs w:val="32"/>
        </w:rPr>
        <w:t>情况</w:t>
      </w:r>
    </w:p>
    <w:tbl>
      <w:tblPr>
        <w:tblStyle w:val="12"/>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12"/>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top"/>
          </w:tcPr>
          <w:p>
            <w:pPr>
              <w:pStyle w:val="6"/>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pStyle w:val="6"/>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12"/>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noWrap w:val="0"/>
            <w:vAlign w:val="center"/>
          </w:tcPr>
          <w:p>
            <w:pPr>
              <w:pStyle w:val="4"/>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noWrap w:val="0"/>
            <w:vAlign w:val="center"/>
          </w:tcPr>
          <w:p>
            <w:pPr>
              <w:pStyle w:val="4"/>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noWrap w:val="0"/>
            <w:vAlign w:val="center"/>
          </w:tcPr>
          <w:p>
            <w:pPr>
              <w:pStyle w:val="4"/>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noWrap w:val="0"/>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noWrap w:val="0"/>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noWrap w:val="0"/>
            <w:vAlign w:val="top"/>
          </w:tcPr>
          <w:p>
            <w:pPr>
              <w:pStyle w:val="4"/>
              <w:snapToGrid w:val="0"/>
              <w:ind w:firstLine="241"/>
              <w:jc w:val="center"/>
              <w:rPr>
                <w:rFonts w:ascii="Calibri" w:hAnsi="Calibri" w:cs="Calibri"/>
                <w:sz w:val="21"/>
                <w:szCs w:val="21"/>
              </w:rPr>
            </w:pPr>
          </w:p>
        </w:tc>
        <w:tc>
          <w:tcPr>
            <w:tcW w:w="1540" w:type="dxa"/>
            <w:noWrap w:val="0"/>
            <w:vAlign w:val="top"/>
          </w:tcPr>
          <w:p>
            <w:pPr>
              <w:pStyle w:val="4"/>
              <w:snapToGrid w:val="0"/>
              <w:ind w:firstLine="241"/>
              <w:jc w:val="center"/>
              <w:rPr>
                <w:rFonts w:ascii="Calibri" w:hAnsi="Calibri" w:cs="Calibri"/>
                <w:sz w:val="21"/>
                <w:szCs w:val="21"/>
              </w:rPr>
            </w:pPr>
          </w:p>
        </w:tc>
        <w:tc>
          <w:tcPr>
            <w:tcW w:w="1520" w:type="dxa"/>
            <w:noWrap w:val="0"/>
            <w:vAlign w:val="top"/>
          </w:tcPr>
          <w:p>
            <w:pPr>
              <w:pStyle w:val="4"/>
              <w:snapToGrid w:val="0"/>
              <w:ind w:firstLine="241"/>
              <w:jc w:val="center"/>
              <w:rPr>
                <w:rFonts w:ascii="Calibri" w:hAnsi="Calibri" w:cs="Calibri"/>
                <w:sz w:val="21"/>
                <w:szCs w:val="21"/>
              </w:rPr>
            </w:pPr>
          </w:p>
        </w:tc>
        <w:tc>
          <w:tcPr>
            <w:tcW w:w="1620" w:type="dxa"/>
            <w:noWrap w:val="0"/>
            <w:vAlign w:val="top"/>
          </w:tcPr>
          <w:p>
            <w:pPr>
              <w:pStyle w:val="4"/>
              <w:snapToGrid w:val="0"/>
              <w:ind w:firstLine="241"/>
              <w:jc w:val="center"/>
              <w:rPr>
                <w:rFonts w:ascii="Calibri" w:hAnsi="Calibri" w:cs="Calibri"/>
                <w:sz w:val="21"/>
                <w:szCs w:val="21"/>
              </w:rPr>
            </w:pPr>
          </w:p>
        </w:tc>
        <w:tc>
          <w:tcPr>
            <w:tcW w:w="2880" w:type="dxa"/>
            <w:noWrap w:val="0"/>
            <w:vAlign w:val="top"/>
          </w:tcPr>
          <w:p>
            <w:pPr>
              <w:pStyle w:val="4"/>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noWrap w:val="0"/>
            <w:vAlign w:val="top"/>
          </w:tcPr>
          <w:p>
            <w:pPr>
              <w:pStyle w:val="4"/>
              <w:snapToGrid w:val="0"/>
              <w:ind w:firstLine="0"/>
              <w:rPr>
                <w:rFonts w:ascii="Calibri" w:hAnsi="Calibri" w:cs="Calibri"/>
                <w:sz w:val="21"/>
                <w:szCs w:val="21"/>
              </w:rPr>
            </w:pPr>
          </w:p>
        </w:tc>
        <w:tc>
          <w:tcPr>
            <w:tcW w:w="1540" w:type="dxa"/>
            <w:noWrap w:val="0"/>
            <w:vAlign w:val="top"/>
          </w:tcPr>
          <w:p>
            <w:pPr>
              <w:pStyle w:val="4"/>
              <w:snapToGrid w:val="0"/>
              <w:ind w:firstLine="241"/>
              <w:jc w:val="center"/>
              <w:rPr>
                <w:rFonts w:ascii="Calibri" w:hAnsi="Calibri" w:cs="Calibri"/>
                <w:sz w:val="21"/>
                <w:szCs w:val="21"/>
              </w:rPr>
            </w:pPr>
          </w:p>
        </w:tc>
        <w:tc>
          <w:tcPr>
            <w:tcW w:w="1520" w:type="dxa"/>
            <w:noWrap w:val="0"/>
            <w:vAlign w:val="top"/>
          </w:tcPr>
          <w:p>
            <w:pPr>
              <w:pStyle w:val="4"/>
              <w:snapToGrid w:val="0"/>
              <w:ind w:firstLine="241"/>
              <w:jc w:val="center"/>
              <w:rPr>
                <w:rFonts w:ascii="Calibri" w:hAnsi="Calibri" w:cs="Calibri"/>
                <w:sz w:val="21"/>
                <w:szCs w:val="21"/>
              </w:rPr>
            </w:pPr>
          </w:p>
        </w:tc>
        <w:tc>
          <w:tcPr>
            <w:tcW w:w="1620" w:type="dxa"/>
            <w:noWrap w:val="0"/>
            <w:vAlign w:val="top"/>
          </w:tcPr>
          <w:p>
            <w:pPr>
              <w:pStyle w:val="4"/>
              <w:snapToGrid w:val="0"/>
              <w:ind w:firstLine="241"/>
              <w:jc w:val="center"/>
              <w:rPr>
                <w:rFonts w:ascii="Calibri" w:hAnsi="Calibri" w:cs="Calibri"/>
                <w:sz w:val="21"/>
                <w:szCs w:val="21"/>
              </w:rPr>
            </w:pPr>
          </w:p>
        </w:tc>
        <w:tc>
          <w:tcPr>
            <w:tcW w:w="2880" w:type="dxa"/>
            <w:noWrap w:val="0"/>
            <w:vAlign w:val="top"/>
          </w:tcPr>
          <w:p>
            <w:pPr>
              <w:pStyle w:val="4"/>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noWrap w:val="0"/>
            <w:vAlign w:val="top"/>
          </w:tcPr>
          <w:p>
            <w:pPr>
              <w:pStyle w:val="4"/>
              <w:snapToGrid w:val="0"/>
              <w:ind w:firstLine="0"/>
              <w:rPr>
                <w:rFonts w:ascii="Calibri" w:hAnsi="Calibri" w:cs="Calibri"/>
                <w:sz w:val="21"/>
                <w:szCs w:val="21"/>
              </w:rPr>
            </w:pPr>
          </w:p>
        </w:tc>
        <w:tc>
          <w:tcPr>
            <w:tcW w:w="1540" w:type="dxa"/>
            <w:noWrap w:val="0"/>
            <w:vAlign w:val="top"/>
          </w:tcPr>
          <w:p>
            <w:pPr>
              <w:pStyle w:val="4"/>
              <w:snapToGrid w:val="0"/>
              <w:ind w:firstLine="241"/>
              <w:jc w:val="center"/>
              <w:rPr>
                <w:rFonts w:ascii="Calibri" w:hAnsi="Calibri" w:cs="Calibri"/>
                <w:sz w:val="21"/>
                <w:szCs w:val="21"/>
              </w:rPr>
            </w:pPr>
          </w:p>
        </w:tc>
        <w:tc>
          <w:tcPr>
            <w:tcW w:w="1520" w:type="dxa"/>
            <w:noWrap w:val="0"/>
            <w:vAlign w:val="top"/>
          </w:tcPr>
          <w:p>
            <w:pPr>
              <w:pStyle w:val="4"/>
              <w:snapToGrid w:val="0"/>
              <w:ind w:firstLine="241"/>
              <w:jc w:val="center"/>
              <w:rPr>
                <w:rFonts w:ascii="Calibri" w:hAnsi="Calibri" w:cs="Calibri"/>
                <w:sz w:val="21"/>
                <w:szCs w:val="21"/>
              </w:rPr>
            </w:pPr>
          </w:p>
        </w:tc>
        <w:tc>
          <w:tcPr>
            <w:tcW w:w="1620" w:type="dxa"/>
            <w:noWrap w:val="0"/>
            <w:vAlign w:val="top"/>
          </w:tcPr>
          <w:p>
            <w:pPr>
              <w:pStyle w:val="4"/>
              <w:snapToGrid w:val="0"/>
              <w:ind w:firstLine="241"/>
              <w:jc w:val="center"/>
              <w:rPr>
                <w:rFonts w:ascii="Calibri" w:hAnsi="Calibri" w:cs="Calibri"/>
                <w:sz w:val="21"/>
                <w:szCs w:val="21"/>
              </w:rPr>
            </w:pPr>
          </w:p>
        </w:tc>
        <w:tc>
          <w:tcPr>
            <w:tcW w:w="2880" w:type="dxa"/>
            <w:noWrap w:val="0"/>
            <w:vAlign w:val="top"/>
          </w:tcPr>
          <w:p>
            <w:pPr>
              <w:pStyle w:val="4"/>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noWrap w:val="0"/>
            <w:vAlign w:val="top"/>
          </w:tcPr>
          <w:p>
            <w:pPr>
              <w:pStyle w:val="4"/>
              <w:snapToGrid w:val="0"/>
              <w:ind w:firstLine="0"/>
              <w:rPr>
                <w:rFonts w:ascii="Calibri" w:hAnsi="Calibri" w:cs="Calibri"/>
                <w:sz w:val="21"/>
                <w:szCs w:val="21"/>
              </w:rPr>
            </w:pPr>
          </w:p>
        </w:tc>
        <w:tc>
          <w:tcPr>
            <w:tcW w:w="1540" w:type="dxa"/>
            <w:noWrap w:val="0"/>
            <w:vAlign w:val="top"/>
          </w:tcPr>
          <w:p>
            <w:pPr>
              <w:pStyle w:val="4"/>
              <w:snapToGrid w:val="0"/>
              <w:ind w:firstLine="241"/>
              <w:jc w:val="center"/>
              <w:rPr>
                <w:rFonts w:ascii="Calibri" w:hAnsi="Calibri" w:cs="Calibri"/>
                <w:sz w:val="21"/>
                <w:szCs w:val="21"/>
              </w:rPr>
            </w:pPr>
          </w:p>
        </w:tc>
        <w:tc>
          <w:tcPr>
            <w:tcW w:w="1520" w:type="dxa"/>
            <w:noWrap w:val="0"/>
            <w:vAlign w:val="top"/>
          </w:tcPr>
          <w:p>
            <w:pPr>
              <w:pStyle w:val="4"/>
              <w:snapToGrid w:val="0"/>
              <w:ind w:firstLine="241"/>
              <w:jc w:val="center"/>
              <w:rPr>
                <w:rFonts w:ascii="Calibri" w:hAnsi="Calibri" w:cs="Calibri"/>
                <w:sz w:val="21"/>
                <w:szCs w:val="21"/>
              </w:rPr>
            </w:pPr>
          </w:p>
        </w:tc>
        <w:tc>
          <w:tcPr>
            <w:tcW w:w="1620" w:type="dxa"/>
            <w:noWrap w:val="0"/>
            <w:vAlign w:val="top"/>
          </w:tcPr>
          <w:p>
            <w:pPr>
              <w:pStyle w:val="4"/>
              <w:snapToGrid w:val="0"/>
              <w:ind w:firstLine="241"/>
              <w:jc w:val="center"/>
              <w:rPr>
                <w:rFonts w:ascii="Calibri" w:hAnsi="Calibri" w:cs="Calibri"/>
                <w:sz w:val="21"/>
                <w:szCs w:val="21"/>
              </w:rPr>
            </w:pPr>
          </w:p>
        </w:tc>
        <w:tc>
          <w:tcPr>
            <w:tcW w:w="2880" w:type="dxa"/>
            <w:noWrap w:val="0"/>
            <w:vAlign w:val="top"/>
          </w:tcPr>
          <w:p>
            <w:pPr>
              <w:pStyle w:val="4"/>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noWrap w:val="0"/>
            <w:vAlign w:val="top"/>
          </w:tcPr>
          <w:p>
            <w:pPr>
              <w:pStyle w:val="4"/>
              <w:snapToGrid w:val="0"/>
              <w:ind w:firstLine="0"/>
              <w:rPr>
                <w:rFonts w:ascii="Calibri" w:hAnsi="Calibri" w:cs="Calibri"/>
                <w:sz w:val="21"/>
                <w:szCs w:val="21"/>
              </w:rPr>
            </w:pPr>
          </w:p>
        </w:tc>
        <w:tc>
          <w:tcPr>
            <w:tcW w:w="1540" w:type="dxa"/>
            <w:noWrap w:val="0"/>
            <w:vAlign w:val="top"/>
          </w:tcPr>
          <w:p>
            <w:pPr>
              <w:pStyle w:val="4"/>
              <w:snapToGrid w:val="0"/>
              <w:ind w:firstLine="241"/>
              <w:jc w:val="center"/>
              <w:rPr>
                <w:rFonts w:ascii="Calibri" w:hAnsi="Calibri" w:cs="Calibri"/>
                <w:sz w:val="21"/>
                <w:szCs w:val="21"/>
              </w:rPr>
            </w:pPr>
          </w:p>
        </w:tc>
        <w:tc>
          <w:tcPr>
            <w:tcW w:w="1520" w:type="dxa"/>
            <w:noWrap w:val="0"/>
            <w:vAlign w:val="top"/>
          </w:tcPr>
          <w:p>
            <w:pPr>
              <w:pStyle w:val="4"/>
              <w:snapToGrid w:val="0"/>
              <w:ind w:firstLine="241"/>
              <w:jc w:val="center"/>
              <w:rPr>
                <w:rFonts w:ascii="Calibri" w:hAnsi="Calibri" w:cs="Calibri"/>
                <w:sz w:val="21"/>
                <w:szCs w:val="21"/>
              </w:rPr>
            </w:pPr>
          </w:p>
        </w:tc>
        <w:tc>
          <w:tcPr>
            <w:tcW w:w="1620" w:type="dxa"/>
            <w:noWrap w:val="0"/>
            <w:vAlign w:val="top"/>
          </w:tcPr>
          <w:p>
            <w:pPr>
              <w:pStyle w:val="4"/>
              <w:snapToGrid w:val="0"/>
              <w:ind w:firstLine="241"/>
              <w:jc w:val="center"/>
              <w:rPr>
                <w:rFonts w:ascii="Calibri" w:hAnsi="Calibri" w:cs="Calibri"/>
                <w:sz w:val="21"/>
                <w:szCs w:val="21"/>
              </w:rPr>
            </w:pPr>
          </w:p>
        </w:tc>
        <w:tc>
          <w:tcPr>
            <w:tcW w:w="2880" w:type="dxa"/>
            <w:noWrap w:val="0"/>
            <w:vAlign w:val="top"/>
          </w:tcPr>
          <w:p>
            <w:pPr>
              <w:pStyle w:val="4"/>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noWrap w:val="0"/>
            <w:vAlign w:val="top"/>
          </w:tcPr>
          <w:p>
            <w:pPr>
              <w:pStyle w:val="4"/>
              <w:snapToGrid w:val="0"/>
              <w:ind w:firstLine="0"/>
              <w:rPr>
                <w:rFonts w:ascii="Calibri" w:hAnsi="Calibri" w:cs="Calibri"/>
                <w:sz w:val="21"/>
                <w:szCs w:val="21"/>
              </w:rPr>
            </w:pPr>
          </w:p>
        </w:tc>
        <w:tc>
          <w:tcPr>
            <w:tcW w:w="1540" w:type="dxa"/>
            <w:noWrap w:val="0"/>
            <w:vAlign w:val="top"/>
          </w:tcPr>
          <w:p>
            <w:pPr>
              <w:pStyle w:val="4"/>
              <w:snapToGrid w:val="0"/>
              <w:ind w:firstLine="241"/>
              <w:jc w:val="center"/>
              <w:rPr>
                <w:rFonts w:ascii="Calibri" w:hAnsi="Calibri" w:cs="Calibri"/>
                <w:sz w:val="21"/>
                <w:szCs w:val="21"/>
              </w:rPr>
            </w:pPr>
          </w:p>
        </w:tc>
        <w:tc>
          <w:tcPr>
            <w:tcW w:w="1520" w:type="dxa"/>
            <w:noWrap w:val="0"/>
            <w:vAlign w:val="top"/>
          </w:tcPr>
          <w:p>
            <w:pPr>
              <w:pStyle w:val="4"/>
              <w:snapToGrid w:val="0"/>
              <w:ind w:firstLine="241"/>
              <w:jc w:val="center"/>
              <w:rPr>
                <w:rFonts w:ascii="Calibri" w:hAnsi="Calibri" w:cs="Calibri"/>
                <w:sz w:val="21"/>
                <w:szCs w:val="21"/>
              </w:rPr>
            </w:pPr>
          </w:p>
        </w:tc>
        <w:tc>
          <w:tcPr>
            <w:tcW w:w="1620" w:type="dxa"/>
            <w:noWrap w:val="0"/>
            <w:vAlign w:val="top"/>
          </w:tcPr>
          <w:p>
            <w:pPr>
              <w:pStyle w:val="4"/>
              <w:snapToGrid w:val="0"/>
              <w:ind w:firstLine="241"/>
              <w:jc w:val="center"/>
              <w:rPr>
                <w:rFonts w:ascii="Calibri" w:hAnsi="Calibri" w:cs="Calibri"/>
                <w:sz w:val="21"/>
                <w:szCs w:val="21"/>
              </w:rPr>
            </w:pPr>
          </w:p>
        </w:tc>
        <w:tc>
          <w:tcPr>
            <w:tcW w:w="2880" w:type="dxa"/>
            <w:noWrap w:val="0"/>
            <w:vAlign w:val="top"/>
          </w:tcPr>
          <w:p>
            <w:pPr>
              <w:pStyle w:val="4"/>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noWrap w:val="0"/>
            <w:vAlign w:val="top"/>
          </w:tcPr>
          <w:p>
            <w:pPr>
              <w:pStyle w:val="4"/>
              <w:snapToGrid w:val="0"/>
              <w:ind w:firstLine="0"/>
              <w:rPr>
                <w:rFonts w:ascii="Calibri" w:hAnsi="Calibri" w:cs="Calibri"/>
                <w:sz w:val="21"/>
                <w:szCs w:val="21"/>
              </w:rPr>
            </w:pPr>
          </w:p>
        </w:tc>
        <w:tc>
          <w:tcPr>
            <w:tcW w:w="1540" w:type="dxa"/>
            <w:noWrap w:val="0"/>
            <w:vAlign w:val="top"/>
          </w:tcPr>
          <w:p>
            <w:pPr>
              <w:pStyle w:val="4"/>
              <w:snapToGrid w:val="0"/>
              <w:ind w:firstLine="241"/>
              <w:jc w:val="center"/>
              <w:rPr>
                <w:rFonts w:ascii="Calibri" w:hAnsi="Calibri" w:cs="Calibri"/>
                <w:sz w:val="21"/>
                <w:szCs w:val="21"/>
              </w:rPr>
            </w:pPr>
          </w:p>
        </w:tc>
        <w:tc>
          <w:tcPr>
            <w:tcW w:w="1520" w:type="dxa"/>
            <w:noWrap w:val="0"/>
            <w:vAlign w:val="top"/>
          </w:tcPr>
          <w:p>
            <w:pPr>
              <w:pStyle w:val="4"/>
              <w:snapToGrid w:val="0"/>
              <w:ind w:firstLine="241"/>
              <w:jc w:val="center"/>
              <w:rPr>
                <w:rFonts w:ascii="Calibri" w:hAnsi="Calibri" w:cs="Calibri"/>
                <w:sz w:val="21"/>
                <w:szCs w:val="21"/>
              </w:rPr>
            </w:pPr>
          </w:p>
        </w:tc>
        <w:tc>
          <w:tcPr>
            <w:tcW w:w="1620" w:type="dxa"/>
            <w:noWrap w:val="0"/>
            <w:vAlign w:val="top"/>
          </w:tcPr>
          <w:p>
            <w:pPr>
              <w:pStyle w:val="4"/>
              <w:snapToGrid w:val="0"/>
              <w:ind w:firstLine="241"/>
              <w:jc w:val="center"/>
              <w:rPr>
                <w:rFonts w:ascii="Calibri" w:hAnsi="Calibri" w:cs="Calibri"/>
                <w:sz w:val="21"/>
                <w:szCs w:val="21"/>
              </w:rPr>
            </w:pPr>
          </w:p>
        </w:tc>
        <w:tc>
          <w:tcPr>
            <w:tcW w:w="2880" w:type="dxa"/>
            <w:noWrap w:val="0"/>
            <w:vAlign w:val="top"/>
          </w:tcPr>
          <w:p>
            <w:pPr>
              <w:pStyle w:val="4"/>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noWrap w:val="0"/>
            <w:vAlign w:val="top"/>
          </w:tcPr>
          <w:p>
            <w:pPr>
              <w:pStyle w:val="4"/>
              <w:snapToGrid w:val="0"/>
              <w:ind w:firstLine="0"/>
              <w:rPr>
                <w:rFonts w:ascii="Calibri" w:hAnsi="Calibri" w:cs="Calibri"/>
                <w:sz w:val="21"/>
                <w:szCs w:val="21"/>
              </w:rPr>
            </w:pPr>
          </w:p>
        </w:tc>
        <w:tc>
          <w:tcPr>
            <w:tcW w:w="1540" w:type="dxa"/>
            <w:noWrap w:val="0"/>
            <w:vAlign w:val="top"/>
          </w:tcPr>
          <w:p>
            <w:pPr>
              <w:pStyle w:val="4"/>
              <w:snapToGrid w:val="0"/>
              <w:ind w:firstLine="241"/>
              <w:jc w:val="center"/>
              <w:rPr>
                <w:rFonts w:ascii="Calibri" w:hAnsi="Calibri" w:cs="Calibri"/>
                <w:sz w:val="21"/>
                <w:szCs w:val="21"/>
              </w:rPr>
            </w:pPr>
          </w:p>
        </w:tc>
        <w:tc>
          <w:tcPr>
            <w:tcW w:w="1520" w:type="dxa"/>
            <w:noWrap w:val="0"/>
            <w:vAlign w:val="top"/>
          </w:tcPr>
          <w:p>
            <w:pPr>
              <w:pStyle w:val="4"/>
              <w:snapToGrid w:val="0"/>
              <w:ind w:firstLine="241"/>
              <w:jc w:val="center"/>
              <w:rPr>
                <w:rFonts w:ascii="Calibri" w:hAnsi="Calibri" w:cs="Calibri"/>
                <w:sz w:val="21"/>
                <w:szCs w:val="21"/>
              </w:rPr>
            </w:pPr>
          </w:p>
        </w:tc>
        <w:tc>
          <w:tcPr>
            <w:tcW w:w="1620" w:type="dxa"/>
            <w:noWrap w:val="0"/>
            <w:vAlign w:val="top"/>
          </w:tcPr>
          <w:p>
            <w:pPr>
              <w:pStyle w:val="4"/>
              <w:snapToGrid w:val="0"/>
              <w:ind w:firstLine="241"/>
              <w:jc w:val="center"/>
              <w:rPr>
                <w:rFonts w:ascii="Calibri" w:hAnsi="Calibri" w:cs="Calibri"/>
                <w:sz w:val="21"/>
                <w:szCs w:val="21"/>
              </w:rPr>
            </w:pPr>
          </w:p>
        </w:tc>
        <w:tc>
          <w:tcPr>
            <w:tcW w:w="2880" w:type="dxa"/>
            <w:noWrap w:val="0"/>
            <w:vAlign w:val="top"/>
          </w:tcPr>
          <w:p>
            <w:pPr>
              <w:pStyle w:val="4"/>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noWrap w:val="0"/>
            <w:vAlign w:val="top"/>
          </w:tcPr>
          <w:p>
            <w:pPr>
              <w:pStyle w:val="4"/>
              <w:snapToGrid w:val="0"/>
              <w:ind w:firstLine="0"/>
              <w:rPr>
                <w:rFonts w:ascii="Calibri" w:hAnsi="Calibri" w:cs="Calibri"/>
                <w:sz w:val="21"/>
                <w:szCs w:val="21"/>
              </w:rPr>
            </w:pPr>
          </w:p>
        </w:tc>
        <w:tc>
          <w:tcPr>
            <w:tcW w:w="1540" w:type="dxa"/>
            <w:noWrap w:val="0"/>
            <w:vAlign w:val="top"/>
          </w:tcPr>
          <w:p>
            <w:pPr>
              <w:pStyle w:val="4"/>
              <w:snapToGrid w:val="0"/>
              <w:ind w:firstLine="241"/>
              <w:jc w:val="center"/>
              <w:rPr>
                <w:rFonts w:ascii="Calibri" w:hAnsi="Calibri" w:cs="Calibri"/>
                <w:sz w:val="21"/>
                <w:szCs w:val="21"/>
              </w:rPr>
            </w:pPr>
          </w:p>
        </w:tc>
        <w:tc>
          <w:tcPr>
            <w:tcW w:w="1520" w:type="dxa"/>
            <w:noWrap w:val="0"/>
            <w:vAlign w:val="top"/>
          </w:tcPr>
          <w:p>
            <w:pPr>
              <w:pStyle w:val="4"/>
              <w:snapToGrid w:val="0"/>
              <w:ind w:firstLine="241"/>
              <w:jc w:val="center"/>
              <w:rPr>
                <w:rFonts w:ascii="Calibri" w:hAnsi="Calibri" w:cs="Calibri"/>
                <w:sz w:val="21"/>
                <w:szCs w:val="21"/>
              </w:rPr>
            </w:pPr>
          </w:p>
        </w:tc>
        <w:tc>
          <w:tcPr>
            <w:tcW w:w="1620" w:type="dxa"/>
            <w:noWrap w:val="0"/>
            <w:vAlign w:val="top"/>
          </w:tcPr>
          <w:p>
            <w:pPr>
              <w:pStyle w:val="4"/>
              <w:snapToGrid w:val="0"/>
              <w:ind w:firstLine="241"/>
              <w:jc w:val="center"/>
              <w:rPr>
                <w:rFonts w:ascii="Calibri" w:hAnsi="Calibri" w:cs="Calibri"/>
                <w:sz w:val="21"/>
                <w:szCs w:val="21"/>
              </w:rPr>
            </w:pPr>
          </w:p>
        </w:tc>
        <w:tc>
          <w:tcPr>
            <w:tcW w:w="2880" w:type="dxa"/>
            <w:noWrap w:val="0"/>
            <w:vAlign w:val="top"/>
          </w:tcPr>
          <w:p>
            <w:pPr>
              <w:pStyle w:val="4"/>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大标宋简体">
    <w:altName w:val="微软雅黑"/>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w:t>
    </w:r>
    <w:r>
      <w:rPr>
        <w:lang/>
      </w:rPr>
      <w:t xml:space="preserve"> 19 -</w:t>
    </w:r>
    <w:r>
      <w:fldChar w:fldCharType="end"/>
    </w:r>
  </w:p>
  <w:p>
    <w:pPr>
      <w:pStyle w:val="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separate"/>
    </w:r>
    <w:r>
      <w:rPr>
        <w:rStyle w:val="14"/>
      </w:rPr>
      <w:t>0</w: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separate"/>
    </w:r>
    <w:r>
      <w:rPr>
        <w:rStyle w:val="14"/>
      </w:rPr>
      <w:t>0</w: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588F00"/>
    <w:multiLevelType w:val="singleLevel"/>
    <w:tmpl w:val="A4588F00"/>
    <w:lvl w:ilvl="0" w:tentative="0">
      <w:start w:val="1"/>
      <w:numFmt w:val="decimal"/>
      <w:pStyle w:val="3"/>
      <w:lvlText w:val="%1."/>
      <w:lvlJc w:val="left"/>
      <w:pPr>
        <w:tabs>
          <w:tab w:val="left" w:pos="780"/>
        </w:tabs>
        <w:ind w:left="780" w:hanging="360"/>
      </w:pPr>
    </w:lvl>
  </w:abstractNum>
  <w:abstractNum w:abstractNumId="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5D9EB23F"/>
    <w:multiLevelType w:val="singleLevel"/>
    <w:tmpl w:val="5D9EB23F"/>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624"/>
    <w:rsid w:val="00043A8D"/>
    <w:rsid w:val="0011566B"/>
    <w:rsid w:val="003A7624"/>
    <w:rsid w:val="003C02AB"/>
    <w:rsid w:val="00506CDD"/>
    <w:rsid w:val="005D535E"/>
    <w:rsid w:val="00715797"/>
    <w:rsid w:val="00876C9D"/>
    <w:rsid w:val="00D0717F"/>
    <w:rsid w:val="00F23F4B"/>
    <w:rsid w:val="09BA487C"/>
    <w:rsid w:val="11C9010A"/>
    <w:rsid w:val="1A2A1CF5"/>
    <w:rsid w:val="1FC85927"/>
    <w:rsid w:val="204A3002"/>
    <w:rsid w:val="432542E0"/>
    <w:rsid w:val="4B677649"/>
    <w:rsid w:val="5D3B4FD0"/>
    <w:rsid w:val="69072DE3"/>
    <w:rsid w:val="6C163A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lang w:val="zh-CN" w:eastAsia="zh-CN"/>
    </w:rPr>
  </w:style>
  <w:style w:type="character" w:default="1" w:styleId="13">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3">
    <w:name w:val="List Number 2"/>
    <w:basedOn w:val="1"/>
    <w:uiPriority w:val="0"/>
    <w:pPr>
      <w:numPr>
        <w:ilvl w:val="0"/>
        <w:numId w:val="1"/>
      </w:numPr>
    </w:pPr>
  </w:style>
  <w:style w:type="paragraph" w:styleId="4">
    <w:name w:val="Normal Indent"/>
    <w:basedOn w:val="1"/>
    <w:uiPriority w:val="0"/>
    <w:pPr>
      <w:autoSpaceDE w:val="0"/>
      <w:autoSpaceDN w:val="0"/>
      <w:adjustRightInd w:val="0"/>
      <w:ind w:firstLine="420"/>
      <w:jc w:val="left"/>
    </w:pPr>
    <w:rPr>
      <w:rFonts w:ascii="宋体" w:hAnsi="Times New Roman"/>
      <w:kern w:val="0"/>
      <w:sz w:val="34"/>
      <w:szCs w:val="20"/>
      <w:lang w:val="zh-CN" w:eastAsia="zh-CN"/>
    </w:rPr>
  </w:style>
  <w:style w:type="paragraph" w:styleId="5">
    <w:name w:val="Plain Text"/>
    <w:basedOn w:val="1"/>
    <w:uiPriority w:val="0"/>
    <w:rPr>
      <w:rFonts w:ascii="宋体" w:hAnsi="Courier New"/>
      <w:kern w:val="0"/>
      <w:sz w:val="20"/>
      <w:szCs w:val="21"/>
      <w:lang w:val="zh-CN" w:eastAsia="zh-CN"/>
    </w:rPr>
  </w:style>
  <w:style w:type="paragraph" w:styleId="6">
    <w:name w:val="Date"/>
    <w:basedOn w:val="1"/>
    <w:next w:val="1"/>
    <w:uiPriority w:val="0"/>
    <w:pPr>
      <w:ind w:left="100" w:leftChars="2500"/>
    </w:pPr>
    <w:rPr>
      <w:rFonts w:ascii="Times New Roman" w:hAnsi="Times New Roman"/>
      <w:b/>
      <w:bCs/>
      <w:kern w:val="0"/>
      <w:sz w:val="36"/>
      <w:szCs w:val="24"/>
      <w:lang w:val="zh-CN" w:eastAsia="zh-CN"/>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2"/>
    <w:next w:val="1"/>
    <w:uiPriority w:val="0"/>
    <w:pPr>
      <w:tabs>
        <w:tab w:val="right" w:leader="dot" w:pos="8659"/>
      </w:tabs>
      <w:spacing w:before="0" w:after="0" w:line="240" w:lineRule="auto"/>
      <w:jc w:val="center"/>
    </w:pPr>
    <w:rPr>
      <w:b w:val="0"/>
      <w:sz w:val="21"/>
    </w:rPr>
  </w:style>
  <w:style w:type="paragraph" w:styleId="10">
    <w:name w:val="index 1"/>
    <w:basedOn w:val="1"/>
    <w:next w:val="1"/>
    <w:uiPriority w:val="0"/>
    <w:pPr>
      <w:spacing w:line="320" w:lineRule="exact"/>
    </w:pPr>
    <w:rPr>
      <w:rFonts w:ascii="Times New Roman" w:hAnsi="Times New Roman"/>
      <w:snapToGrid w:val="0"/>
      <w:color w:val="FF6600"/>
      <w:kern w:val="0"/>
      <w:sz w:val="18"/>
      <w:szCs w:val="21"/>
    </w:rPr>
  </w:style>
  <w:style w:type="paragraph" w:styleId="11">
    <w:name w:val="Title"/>
    <w:basedOn w:val="1"/>
    <w:next w:val="1"/>
    <w:qFormat/>
    <w:uiPriority w:val="0"/>
    <w:pPr>
      <w:spacing w:before="60" w:after="60"/>
      <w:jc w:val="center"/>
      <w:outlineLvl w:val="0"/>
    </w:pPr>
    <w:rPr>
      <w:rFonts w:ascii="Cambria" w:hAnsi="Cambria" w:eastAsia="黑体"/>
      <w:b/>
      <w:bCs/>
      <w:kern w:val="0"/>
      <w:sz w:val="32"/>
      <w:szCs w:val="32"/>
    </w:rPr>
  </w:style>
  <w:style w:type="character" w:styleId="14">
    <w:name w:val="page number"/>
    <w:uiPriority w:val="0"/>
    <w:rPr>
      <w:rFonts w:ascii="Calibri" w:hAnsi="Calibri" w:eastAsia="宋体" w:cs="Times New Roman"/>
    </w:rPr>
  </w:style>
  <w:style w:type="character" w:styleId="15">
    <w:name w:val="Hyperlink"/>
    <w:uiPriority w:val="0"/>
    <w:rPr>
      <w:rFonts w:ascii="Calibri" w:hAnsi="Calibri" w:eastAsia="宋体" w:cs="Times New Roman"/>
      <w:color w:val="0000FF"/>
      <w:u w:val="single"/>
    </w:rPr>
  </w:style>
  <w:style w:type="paragraph" w:customStyle="1" w:styleId="16">
    <w:name w:val="样式 样式1 + 首行缩进:  2 字符"/>
    <w:basedOn w:val="1"/>
    <w:qFormat/>
    <w:uiPriority w:val="0"/>
    <w:pPr>
      <w:spacing w:line="360" w:lineRule="exact"/>
      <w:ind w:firstLine="420" w:firstLineChars="200"/>
    </w:pPr>
    <w:rPr>
      <w:rFonts w:ascii="Arial" w:hAnsi="Arial"/>
      <w:szCs w:val="20"/>
    </w:rPr>
  </w:style>
  <w:style w:type="paragraph" w:customStyle="1" w:styleId="17">
    <w:name w:val="样式 标题 1 + (符号) Arial 三号"/>
    <w:basedOn w:val="2"/>
    <w:uiPriority w:val="0"/>
    <w:pPr>
      <w:snapToGrid w:val="0"/>
      <w:spacing w:before="0" w:after="0" w:line="360" w:lineRule="auto"/>
    </w:pPr>
    <w:rPr>
      <w:sz w:val="32"/>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正文文字"/>
    <w:basedOn w:val="1"/>
    <w:uiPriority w:val="0"/>
    <w:pPr>
      <w:widowControl/>
      <w:spacing w:line="952" w:lineRule="atLeast"/>
      <w:ind w:firstLine="419"/>
      <w:textAlignment w:val="baseline"/>
    </w:pPr>
    <w:rPr>
      <w:rFonts w:ascii="Times New Roman" w:hAnsi="Times New Roman"/>
      <w:b/>
      <w:color w:val="000000"/>
      <w:kern w:val="0"/>
      <w:sz w:val="44"/>
      <w:szCs w:val="20"/>
    </w:rPr>
  </w:style>
  <w:style w:type="character" w:customStyle="1" w:styleId="20">
    <w:name w:val="zbggmain style9"/>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zbzx-jsx</dc:creator>
  <cp:lastModifiedBy>zbzx-jsx</cp:lastModifiedBy>
  <dcterms:modified xsi:type="dcterms:W3CDTF">2019-10-17T08:20:57Z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