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hint="eastAsia"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spacing w:line="520" w:lineRule="atLeast"/>
        <w:jc w:val="center"/>
        <w:rPr>
          <w:rFonts w:ascii="宋体" w:hAnsi="宋体" w:cs="宋体"/>
          <w:b/>
          <w:bCs/>
          <w:sz w:val="48"/>
          <w:szCs w:val="48"/>
        </w:rPr>
      </w:pPr>
      <w:r>
        <w:rPr>
          <w:rFonts w:hint="eastAsia" w:ascii="宋体" w:hAnsi="宋体" w:cs="宋体"/>
          <w:b/>
          <w:bCs/>
          <w:sz w:val="48"/>
          <w:szCs w:val="48"/>
        </w:rPr>
        <w:t>杭州萧山</w:t>
      </w:r>
      <w:r>
        <w:rPr>
          <w:rFonts w:hint="eastAsia" w:ascii="宋体" w:hAnsi="宋体" w:cs="宋体"/>
          <w:b/>
          <w:bCs/>
          <w:sz w:val="48"/>
          <w:szCs w:val="48"/>
          <w:lang w:eastAsia="zh-CN"/>
        </w:rPr>
        <w:t>国际</w:t>
      </w:r>
      <w:r>
        <w:rPr>
          <w:rFonts w:hint="eastAsia" w:ascii="宋体" w:hAnsi="宋体" w:cs="宋体"/>
          <w:b/>
          <w:bCs/>
          <w:sz w:val="48"/>
          <w:szCs w:val="48"/>
        </w:rPr>
        <w:t>机场</w:t>
      </w:r>
      <w:r>
        <w:rPr>
          <w:rFonts w:ascii="宋体" w:hAnsi="宋体" w:cs="宋体"/>
          <w:b/>
          <w:bCs/>
          <w:sz w:val="48"/>
          <w:szCs w:val="48"/>
        </w:rPr>
        <w:t xml:space="preserve">CDM </w:t>
      </w:r>
      <w:r>
        <w:rPr>
          <w:rFonts w:hint="eastAsia" w:ascii="宋体" w:hAnsi="宋体" w:cs="宋体"/>
          <w:b/>
          <w:bCs/>
          <w:sz w:val="48"/>
          <w:szCs w:val="48"/>
        </w:rPr>
        <w:t>电子进程单系统</w:t>
      </w:r>
    </w:p>
    <w:p>
      <w:pPr>
        <w:spacing w:line="520" w:lineRule="atLeast"/>
        <w:jc w:val="center"/>
        <w:rPr>
          <w:rFonts w:hint="eastAsia" w:ascii="宋体" w:hAnsi="宋体" w:cs="宋体"/>
          <w:b/>
          <w:bCs/>
          <w:sz w:val="48"/>
          <w:szCs w:val="48"/>
        </w:rPr>
      </w:pPr>
      <w:r>
        <w:rPr>
          <w:rFonts w:hint="eastAsia" w:ascii="宋体" w:hAnsi="宋体" w:cs="宋体"/>
          <w:b/>
          <w:bCs/>
          <w:sz w:val="48"/>
          <w:szCs w:val="48"/>
        </w:rPr>
        <w:t>建设项目</w:t>
      </w:r>
    </w:p>
    <w:p>
      <w:pPr>
        <w:spacing w:line="520" w:lineRule="atLeast"/>
        <w:jc w:val="center"/>
        <w:rPr>
          <w:rFonts w:hint="eastAsia" w:ascii="宋体" w:hAnsi="宋体" w:eastAsia="宋体" w:cs="宋体"/>
          <w:b/>
          <w:bCs/>
          <w:sz w:val="48"/>
          <w:szCs w:val="48"/>
          <w:lang w:eastAsia="zh-CN"/>
        </w:rPr>
      </w:pPr>
      <w:r>
        <w:rPr>
          <w:rFonts w:hint="eastAsia" w:ascii="宋体" w:hAnsi="宋体" w:cs="宋体"/>
          <w:b/>
          <w:bCs/>
          <w:sz w:val="48"/>
          <w:szCs w:val="48"/>
          <w:lang w:eastAsia="zh-CN"/>
        </w:rPr>
        <w:t>（重新招标）</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招标文件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9"/>
        <w:spacing w:line="480" w:lineRule="auto"/>
        <w:jc w:val="center"/>
        <w:rPr>
          <w:rFonts w:ascii="Calibri" w:hAnsi="Calibri" w:eastAsia="楷体_GB2312"/>
          <w:sz w:val="24"/>
          <w:szCs w:val="24"/>
          <w:u w:val="single"/>
        </w:rPr>
      </w:pPr>
      <w:r>
        <w:rPr>
          <w:rFonts w:hint="eastAsia" w:ascii="Calibri" w:hAnsi="Calibri" w:eastAsia="黑体" w:cs="黑体"/>
          <w:sz w:val="32"/>
          <w:szCs w:val="32"/>
        </w:rPr>
        <w:t>二</w:t>
      </w:r>
      <w:r>
        <w:rPr>
          <w:rFonts w:hint="eastAsia" w:ascii="黑体" w:hAnsi="黑体" w:eastAsia="黑体" w:cs="黑体"/>
          <w:sz w:val="32"/>
          <w:szCs w:val="32"/>
        </w:rPr>
        <w:t>Ο</w:t>
      </w:r>
      <w:r>
        <w:rPr>
          <w:rFonts w:hint="eastAsia" w:ascii="Calibri" w:hAnsi="Calibri" w:eastAsia="黑体" w:cs="黑体"/>
          <w:sz w:val="32"/>
          <w:szCs w:val="32"/>
        </w:rPr>
        <w:t>一九年</w:t>
      </w:r>
      <w:r>
        <w:rPr>
          <w:rFonts w:hint="eastAsia" w:ascii="Calibri" w:hAnsi="Calibri" w:eastAsia="黑体" w:cs="黑体"/>
          <w:sz w:val="32"/>
          <w:szCs w:val="32"/>
          <w:lang w:eastAsia="zh-CN"/>
        </w:rPr>
        <w:t>十</w:t>
      </w:r>
      <w:r>
        <w:rPr>
          <w:rFonts w:hint="eastAsia" w:ascii="Calibri" w:hAnsi="Calibri" w:eastAsia="黑体" w:cs="黑体"/>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360" w:lineRule="auto"/>
        <w:jc w:val="center"/>
        <w:rPr>
          <w:b/>
          <w:sz w:val="44"/>
          <w:szCs w:val="44"/>
        </w:rPr>
      </w:pPr>
    </w:p>
    <w:p>
      <w:pPr>
        <w:pStyle w:val="36"/>
        <w:tabs>
          <w:tab w:val="right" w:leader="dot" w:pos="8300"/>
        </w:tabs>
        <w:spacing w:line="360" w:lineRule="auto"/>
        <w:rPr>
          <w:rFonts w:ascii="黑体" w:hAnsi="黑体" w:eastAsia="黑体" w:cs="黑体"/>
          <w:sz w:val="24"/>
          <w:szCs w:val="32"/>
        </w:rPr>
      </w:pPr>
      <w:r>
        <w:rPr>
          <w:rFonts w:hint="eastAsia" w:ascii="黑体" w:hAnsi="黑体" w:eastAsia="黑体" w:cs="黑体"/>
          <w:b/>
          <w:sz w:val="28"/>
          <w:szCs w:val="28"/>
        </w:rPr>
        <w:fldChar w:fldCharType="begin"/>
      </w:r>
      <w:r>
        <w:rPr>
          <w:rFonts w:hint="eastAsia" w:ascii="黑体" w:hAnsi="黑体" w:eastAsia="黑体" w:cs="黑体"/>
          <w:b/>
          <w:sz w:val="28"/>
          <w:szCs w:val="28"/>
        </w:rPr>
        <w:instrText xml:space="preserve"> TOC \o "1-1" \h \z \u </w:instrText>
      </w:r>
      <w:r>
        <w:rPr>
          <w:rFonts w:hint="eastAsia" w:ascii="黑体" w:hAnsi="黑体" w:eastAsia="黑体" w:cs="黑体"/>
          <w:b/>
          <w:sz w:val="28"/>
          <w:szCs w:val="28"/>
        </w:rPr>
        <w:fldChar w:fldCharType="separate"/>
      </w:r>
      <w:r>
        <w:fldChar w:fldCharType="begin"/>
      </w:r>
      <w:r>
        <w:instrText xml:space="preserve"> HYPERLINK \l "_Toc21938" </w:instrText>
      </w:r>
      <w:r>
        <w:fldChar w:fldCharType="separate"/>
      </w:r>
      <w:r>
        <w:rPr>
          <w:rFonts w:hint="eastAsia" w:ascii="黑体" w:hAnsi="黑体" w:eastAsia="黑体" w:cs="黑体"/>
          <w:sz w:val="24"/>
          <w:szCs w:val="32"/>
        </w:rPr>
        <w:t>第一章  招标公告</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_Toc21938 </w:instrText>
      </w:r>
      <w:r>
        <w:rPr>
          <w:rFonts w:hint="eastAsia" w:ascii="黑体" w:hAnsi="黑体" w:eastAsia="黑体" w:cs="黑体"/>
          <w:sz w:val="24"/>
          <w:szCs w:val="32"/>
        </w:rPr>
        <w:fldChar w:fldCharType="separate"/>
      </w:r>
      <w:r>
        <w:rPr>
          <w:rFonts w:hint="eastAsia" w:ascii="黑体" w:hAnsi="黑体" w:eastAsia="黑体" w:cs="黑体"/>
          <w:sz w:val="24"/>
          <w:szCs w:val="32"/>
        </w:rPr>
        <w:t>- 2 -</w:t>
      </w:r>
      <w:r>
        <w:rPr>
          <w:rFonts w:hint="eastAsia" w:ascii="黑体" w:hAnsi="黑体" w:eastAsia="黑体" w:cs="黑体"/>
          <w:sz w:val="24"/>
          <w:szCs w:val="32"/>
        </w:rPr>
        <w:fldChar w:fldCharType="end"/>
      </w:r>
      <w:r>
        <w:rPr>
          <w:rFonts w:hint="eastAsia" w:ascii="黑体" w:hAnsi="黑体" w:eastAsia="黑体" w:cs="黑体"/>
          <w:sz w:val="24"/>
          <w:szCs w:val="32"/>
        </w:rPr>
        <w:fldChar w:fldCharType="end"/>
      </w:r>
    </w:p>
    <w:p>
      <w:pPr>
        <w:pStyle w:val="36"/>
        <w:tabs>
          <w:tab w:val="right" w:leader="dot" w:pos="8300"/>
        </w:tabs>
        <w:spacing w:line="360" w:lineRule="auto"/>
        <w:rPr>
          <w:rFonts w:ascii="黑体" w:hAnsi="黑体" w:eastAsia="黑体" w:cs="黑体"/>
          <w:sz w:val="24"/>
          <w:szCs w:val="32"/>
        </w:rPr>
      </w:pPr>
      <w:r>
        <w:fldChar w:fldCharType="begin"/>
      </w:r>
      <w:r>
        <w:instrText xml:space="preserve"> HYPERLINK \l "_Toc20962" </w:instrText>
      </w:r>
      <w:r>
        <w:fldChar w:fldCharType="separate"/>
      </w:r>
      <w:r>
        <w:rPr>
          <w:rFonts w:hint="eastAsia" w:ascii="黑体" w:hAnsi="黑体" w:eastAsia="黑体" w:cs="黑体"/>
          <w:sz w:val="24"/>
          <w:szCs w:val="32"/>
        </w:rPr>
        <w:t>第二章  投标人须知</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_Toc20962 </w:instrText>
      </w:r>
      <w:r>
        <w:rPr>
          <w:rFonts w:hint="eastAsia" w:ascii="黑体" w:hAnsi="黑体" w:eastAsia="黑体" w:cs="黑体"/>
          <w:sz w:val="24"/>
          <w:szCs w:val="32"/>
        </w:rPr>
        <w:fldChar w:fldCharType="separate"/>
      </w:r>
      <w:r>
        <w:rPr>
          <w:rFonts w:hint="eastAsia" w:ascii="黑体" w:hAnsi="黑体" w:eastAsia="黑体" w:cs="黑体"/>
          <w:sz w:val="24"/>
          <w:szCs w:val="32"/>
        </w:rPr>
        <w:t>- 3 -</w:t>
      </w:r>
      <w:r>
        <w:rPr>
          <w:rFonts w:hint="eastAsia" w:ascii="黑体" w:hAnsi="黑体" w:eastAsia="黑体" w:cs="黑体"/>
          <w:sz w:val="24"/>
          <w:szCs w:val="32"/>
        </w:rPr>
        <w:fldChar w:fldCharType="end"/>
      </w:r>
      <w:r>
        <w:rPr>
          <w:rFonts w:hint="eastAsia" w:ascii="黑体" w:hAnsi="黑体" w:eastAsia="黑体" w:cs="黑体"/>
          <w:sz w:val="24"/>
          <w:szCs w:val="32"/>
        </w:rPr>
        <w:fldChar w:fldCharType="end"/>
      </w:r>
    </w:p>
    <w:p>
      <w:pPr>
        <w:pStyle w:val="36"/>
        <w:tabs>
          <w:tab w:val="right" w:leader="dot" w:pos="8300"/>
        </w:tabs>
        <w:spacing w:line="360" w:lineRule="auto"/>
        <w:rPr>
          <w:rFonts w:ascii="黑体" w:hAnsi="黑体" w:eastAsia="黑体" w:cs="黑体"/>
          <w:sz w:val="24"/>
          <w:szCs w:val="32"/>
        </w:rPr>
      </w:pPr>
      <w:r>
        <w:fldChar w:fldCharType="begin"/>
      </w:r>
      <w:r>
        <w:instrText xml:space="preserve"> HYPERLINK \l "_Toc7479" </w:instrText>
      </w:r>
      <w:r>
        <w:fldChar w:fldCharType="separate"/>
      </w:r>
      <w:r>
        <w:rPr>
          <w:rFonts w:hint="eastAsia" w:ascii="黑体" w:hAnsi="黑体" w:eastAsia="黑体" w:cs="黑体"/>
          <w:sz w:val="24"/>
          <w:szCs w:val="32"/>
        </w:rPr>
        <w:t>第三章  合同条款及格式</w:t>
      </w:r>
      <w:r>
        <w:rPr>
          <w:rFonts w:hint="eastAsia" w:ascii="黑体" w:hAnsi="黑体" w:eastAsia="黑体" w:cs="黑体"/>
          <w:sz w:val="24"/>
          <w:szCs w:val="32"/>
        </w:rPr>
        <w:tab/>
      </w:r>
      <w:r>
        <w:rPr>
          <w:rFonts w:hint="eastAsia" w:ascii="黑体" w:hAnsi="黑体" w:eastAsia="黑体"/>
          <w:szCs w:val="32"/>
        </w:rPr>
        <w:fldChar w:fldCharType="begin"/>
      </w:r>
      <w:r>
        <w:rPr>
          <w:rFonts w:hint="eastAsia" w:ascii="黑体" w:hAnsi="黑体" w:eastAsia="黑体" w:cs="黑体"/>
          <w:sz w:val="24"/>
          <w:szCs w:val="32"/>
        </w:rPr>
        <w:instrText xml:space="preserve"> PAGEREF _Toc7479 </w:instrText>
      </w:r>
      <w:r>
        <w:rPr>
          <w:rFonts w:hint="eastAsia" w:ascii="黑体" w:hAnsi="黑体" w:eastAsia="黑体"/>
          <w:szCs w:val="32"/>
        </w:rPr>
        <w:fldChar w:fldCharType="separate"/>
      </w:r>
      <w:r>
        <w:rPr>
          <w:rFonts w:hint="eastAsia" w:ascii="黑体" w:hAnsi="黑体" w:eastAsia="黑体" w:cs="黑体"/>
          <w:sz w:val="24"/>
          <w:szCs w:val="32"/>
        </w:rPr>
        <w:t>- 12 -</w:t>
      </w:r>
      <w:r>
        <w:rPr>
          <w:rFonts w:hint="eastAsia" w:ascii="黑体" w:hAnsi="黑体" w:eastAsia="黑体"/>
          <w:szCs w:val="32"/>
        </w:rPr>
        <w:fldChar w:fldCharType="end"/>
      </w:r>
      <w:r>
        <w:rPr>
          <w:rFonts w:hint="eastAsia" w:ascii="黑体" w:hAnsi="黑体" w:eastAsia="黑体"/>
          <w:szCs w:val="32"/>
        </w:rPr>
        <w:fldChar w:fldCharType="end"/>
      </w:r>
    </w:p>
    <w:p>
      <w:pPr>
        <w:pStyle w:val="36"/>
        <w:tabs>
          <w:tab w:val="right" w:leader="dot" w:pos="8300"/>
        </w:tabs>
        <w:spacing w:line="360" w:lineRule="auto"/>
        <w:rPr>
          <w:rFonts w:ascii="黑体" w:hAnsi="黑体" w:eastAsia="黑体" w:cs="黑体"/>
          <w:sz w:val="24"/>
          <w:szCs w:val="32"/>
        </w:rPr>
      </w:pPr>
      <w:r>
        <w:fldChar w:fldCharType="begin"/>
      </w:r>
      <w:r>
        <w:instrText xml:space="preserve"> HYPERLINK \l "_Toc7925" </w:instrText>
      </w:r>
      <w:r>
        <w:fldChar w:fldCharType="separate"/>
      </w:r>
      <w:r>
        <w:rPr>
          <w:rFonts w:hint="eastAsia" w:ascii="黑体" w:hAnsi="黑体" w:eastAsia="黑体" w:cs="黑体"/>
          <w:sz w:val="24"/>
          <w:szCs w:val="32"/>
        </w:rPr>
        <w:t>第四章  技术要求</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_Toc7925 </w:instrText>
      </w:r>
      <w:r>
        <w:rPr>
          <w:rFonts w:hint="eastAsia" w:ascii="黑体" w:hAnsi="黑体" w:eastAsia="黑体" w:cs="黑体"/>
          <w:sz w:val="24"/>
          <w:szCs w:val="32"/>
        </w:rPr>
        <w:fldChar w:fldCharType="separate"/>
      </w:r>
      <w:r>
        <w:rPr>
          <w:rFonts w:hint="eastAsia" w:ascii="黑体" w:hAnsi="黑体" w:eastAsia="黑体" w:cs="黑体"/>
          <w:sz w:val="24"/>
          <w:szCs w:val="32"/>
        </w:rPr>
        <w:t>- 34 -</w:t>
      </w:r>
      <w:r>
        <w:rPr>
          <w:rFonts w:hint="eastAsia" w:ascii="黑体" w:hAnsi="黑体" w:eastAsia="黑体" w:cs="黑体"/>
          <w:sz w:val="24"/>
          <w:szCs w:val="32"/>
        </w:rPr>
        <w:fldChar w:fldCharType="end"/>
      </w:r>
      <w:r>
        <w:rPr>
          <w:rFonts w:hint="eastAsia" w:ascii="黑体" w:hAnsi="黑体" w:eastAsia="黑体" w:cs="黑体"/>
          <w:sz w:val="24"/>
          <w:szCs w:val="32"/>
        </w:rPr>
        <w:fldChar w:fldCharType="end"/>
      </w:r>
    </w:p>
    <w:p>
      <w:pPr>
        <w:pStyle w:val="36"/>
        <w:tabs>
          <w:tab w:val="right" w:leader="dot" w:pos="8300"/>
        </w:tabs>
        <w:spacing w:line="360" w:lineRule="auto"/>
        <w:rPr>
          <w:rFonts w:ascii="黑体" w:hAnsi="黑体" w:eastAsia="黑体" w:cs="黑体"/>
          <w:sz w:val="24"/>
          <w:szCs w:val="32"/>
        </w:rPr>
      </w:pPr>
      <w:r>
        <w:fldChar w:fldCharType="begin"/>
      </w:r>
      <w:r>
        <w:instrText xml:space="preserve"> HYPERLINK \l "_Toc8275" </w:instrText>
      </w:r>
      <w:r>
        <w:fldChar w:fldCharType="separate"/>
      </w:r>
      <w:r>
        <w:rPr>
          <w:rFonts w:hint="eastAsia" w:ascii="黑体" w:hAnsi="黑体" w:eastAsia="黑体" w:cs="黑体"/>
          <w:sz w:val="24"/>
          <w:szCs w:val="32"/>
        </w:rPr>
        <w:t>第五章  评标办法及标准</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_Toc8275 </w:instrText>
      </w:r>
      <w:r>
        <w:rPr>
          <w:rFonts w:hint="eastAsia" w:ascii="黑体" w:hAnsi="黑体" w:eastAsia="黑体" w:cs="黑体"/>
          <w:sz w:val="24"/>
          <w:szCs w:val="32"/>
        </w:rPr>
        <w:fldChar w:fldCharType="separate"/>
      </w:r>
      <w:r>
        <w:rPr>
          <w:rFonts w:hint="eastAsia" w:ascii="黑体" w:hAnsi="黑体" w:eastAsia="黑体" w:cs="黑体"/>
          <w:sz w:val="24"/>
          <w:szCs w:val="32"/>
        </w:rPr>
        <w:t>- 37 -</w:t>
      </w:r>
      <w:r>
        <w:rPr>
          <w:rFonts w:hint="eastAsia" w:ascii="黑体" w:hAnsi="黑体" w:eastAsia="黑体" w:cs="黑体"/>
          <w:sz w:val="24"/>
          <w:szCs w:val="32"/>
        </w:rPr>
        <w:fldChar w:fldCharType="end"/>
      </w:r>
      <w:r>
        <w:rPr>
          <w:rFonts w:hint="eastAsia" w:ascii="黑体" w:hAnsi="黑体" w:eastAsia="黑体" w:cs="黑体"/>
          <w:sz w:val="24"/>
          <w:szCs w:val="32"/>
        </w:rPr>
        <w:fldChar w:fldCharType="end"/>
      </w:r>
    </w:p>
    <w:p>
      <w:pPr>
        <w:pStyle w:val="36"/>
        <w:tabs>
          <w:tab w:val="right" w:leader="dot" w:pos="8300"/>
        </w:tabs>
        <w:spacing w:line="360" w:lineRule="auto"/>
        <w:rPr>
          <w:rFonts w:ascii="黑体" w:hAnsi="黑体" w:eastAsia="黑体" w:cs="黑体"/>
          <w:sz w:val="24"/>
          <w:szCs w:val="32"/>
        </w:rPr>
      </w:pPr>
      <w:r>
        <w:fldChar w:fldCharType="begin"/>
      </w:r>
      <w:r>
        <w:instrText xml:space="preserve"> HYPERLINK \l "_Toc12372" </w:instrText>
      </w:r>
      <w:r>
        <w:fldChar w:fldCharType="separate"/>
      </w:r>
      <w:r>
        <w:rPr>
          <w:rFonts w:hint="eastAsia" w:ascii="黑体" w:hAnsi="黑体" w:eastAsia="黑体" w:cs="黑体"/>
          <w:sz w:val="24"/>
          <w:szCs w:val="32"/>
        </w:rPr>
        <w:t>第六章  投标文件格式</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_Toc12372 </w:instrText>
      </w:r>
      <w:r>
        <w:rPr>
          <w:rFonts w:hint="eastAsia" w:ascii="黑体" w:hAnsi="黑体" w:eastAsia="黑体" w:cs="黑体"/>
          <w:sz w:val="24"/>
          <w:szCs w:val="32"/>
        </w:rPr>
        <w:fldChar w:fldCharType="separate"/>
      </w:r>
      <w:r>
        <w:rPr>
          <w:rFonts w:hint="eastAsia" w:ascii="黑体" w:hAnsi="黑体" w:eastAsia="黑体" w:cs="黑体"/>
          <w:sz w:val="24"/>
          <w:szCs w:val="32"/>
        </w:rPr>
        <w:t>- 40 -</w:t>
      </w:r>
      <w:r>
        <w:rPr>
          <w:rFonts w:hint="eastAsia" w:ascii="黑体" w:hAnsi="黑体" w:eastAsia="黑体" w:cs="黑体"/>
          <w:sz w:val="24"/>
          <w:szCs w:val="32"/>
        </w:rPr>
        <w:fldChar w:fldCharType="end"/>
      </w:r>
      <w:r>
        <w:rPr>
          <w:rFonts w:hint="eastAsia" w:ascii="黑体" w:hAnsi="黑体" w:eastAsia="黑体" w:cs="黑体"/>
          <w:sz w:val="24"/>
          <w:szCs w:val="32"/>
        </w:rPr>
        <w:fldChar w:fldCharType="end"/>
      </w:r>
    </w:p>
    <w:p>
      <w:pPr>
        <w:tabs>
          <w:tab w:val="right" w:leader="dot" w:pos="8364"/>
        </w:tabs>
        <w:spacing w:line="360" w:lineRule="auto"/>
        <w:rPr>
          <w:rFonts w:ascii="黑体" w:hAnsi="黑体" w:eastAsia="黑体"/>
          <w:b/>
          <w:sz w:val="32"/>
          <w:szCs w:val="32"/>
        </w:rPr>
      </w:pPr>
      <w:r>
        <w:rPr>
          <w:rFonts w:hint="eastAsia" w:ascii="黑体" w:hAnsi="黑体" w:eastAsia="黑体"/>
          <w:b/>
          <w:sz w:val="28"/>
          <w:szCs w:val="28"/>
        </w:rPr>
        <w:fldChar w:fldCharType="end"/>
      </w:r>
    </w:p>
    <w:p>
      <w:pPr>
        <w:spacing w:line="560" w:lineRule="exact"/>
        <w:rPr>
          <w:b/>
        </w:rPr>
        <w:sectPr>
          <w:footerReference r:id="rId6" w:type="first"/>
          <w:headerReference r:id="rId3" w:type="default"/>
          <w:footerReference r:id="rId4" w:type="default"/>
          <w:footerReference r:id="rId5" w:type="even"/>
          <w:pgSz w:w="11900" w:h="16840"/>
          <w:pgMar w:top="1134" w:right="1800" w:bottom="1134" w:left="1800" w:header="851" w:footer="992" w:gutter="0"/>
          <w:pgNumType w:fmt="numberInDash" w:start="0"/>
          <w:cols w:space="425" w:num="1"/>
          <w:titlePg/>
          <w:docGrid w:linePitch="326" w:charSpace="0"/>
        </w:sectPr>
      </w:pPr>
      <w:r>
        <w:rPr>
          <w:rFonts w:hint="eastAsia"/>
          <w:b/>
        </w:rPr>
        <w:t xml:space="preserve">                                                          </w:t>
      </w:r>
    </w:p>
    <w:p>
      <w:pPr>
        <w:pStyle w:val="48"/>
      </w:pPr>
      <w:bookmarkStart w:id="0" w:name="_Toc21938"/>
      <w:bookmarkStart w:id="1" w:name="_Toc450630556"/>
      <w:r>
        <w:rPr>
          <w:rFonts w:hint="eastAsia"/>
        </w:rPr>
        <w:t>第一章 招标公告</w:t>
      </w:r>
      <w:bookmarkEnd w:id="0"/>
      <w:bookmarkEnd w:id="1"/>
    </w:p>
    <w:p>
      <w:pPr>
        <w:widowControl/>
        <w:snapToGrid w:val="0"/>
        <w:spacing w:line="360" w:lineRule="exact"/>
        <w:jc w:val="left"/>
        <w:rPr>
          <w:rFonts w:ascii="宋体" w:hAnsi="宋体" w:cs="Arial"/>
          <w:b/>
          <w:bCs/>
          <w:kern w:val="0"/>
          <w:sz w:val="22"/>
          <w:szCs w:val="22"/>
        </w:rPr>
      </w:pPr>
    </w:p>
    <w:p>
      <w:pPr>
        <w:pStyle w:val="110"/>
        <w:widowControl/>
        <w:numPr>
          <w:ilvl w:val="0"/>
          <w:numId w:val="0"/>
        </w:numPr>
        <w:snapToGrid w:val="0"/>
        <w:spacing w:line="360" w:lineRule="exact"/>
        <w:ind w:leftChars="0"/>
        <w:jc w:val="left"/>
        <w:rPr>
          <w:rFonts w:ascii="宋体" w:hAnsi="宋体" w:cs="Arial"/>
          <w:b/>
          <w:bCs/>
          <w:kern w:val="0"/>
          <w:sz w:val="22"/>
          <w:szCs w:val="22"/>
        </w:rPr>
      </w:pPr>
      <w:bookmarkStart w:id="122" w:name="_GoBack"/>
      <w:r>
        <w:rPr>
          <w:rFonts w:hint="eastAsia" w:ascii="宋体" w:hAnsi="宋体" w:cs="Arial"/>
          <w:b/>
          <w:bCs/>
          <w:kern w:val="0"/>
          <w:sz w:val="22"/>
          <w:szCs w:val="22"/>
          <w:lang w:eastAsia="zh-CN"/>
        </w:rPr>
        <w:t>一、</w:t>
      </w:r>
      <w:r>
        <w:rPr>
          <w:rFonts w:hint="eastAsia" w:ascii="宋体" w:hAnsi="宋体" w:cs="Arial"/>
          <w:b/>
          <w:bCs/>
          <w:kern w:val="0"/>
          <w:sz w:val="22"/>
          <w:szCs w:val="22"/>
        </w:rPr>
        <w:t>招标内容</w:t>
      </w:r>
    </w:p>
    <w:p>
      <w:pPr>
        <w:tabs>
          <w:tab w:val="left" w:pos="720"/>
        </w:tabs>
        <w:autoSpaceDE w:val="0"/>
        <w:autoSpaceDN w:val="0"/>
        <w:adjustRightInd w:val="0"/>
        <w:ind w:left="400"/>
        <w:rPr>
          <w:rFonts w:ascii="宋体" w:hAnsi="宋体" w:cs="Arial"/>
          <w:kern w:val="0"/>
          <w:sz w:val="22"/>
          <w:szCs w:val="22"/>
        </w:rPr>
      </w:pPr>
      <w:r>
        <w:rPr>
          <w:rFonts w:hint="eastAsia" w:ascii="宋体" w:hAnsi="宋体" w:cs="Arial"/>
          <w:kern w:val="0"/>
          <w:sz w:val="22"/>
          <w:szCs w:val="22"/>
        </w:rPr>
        <w:t>（1）项目概况：</w:t>
      </w:r>
      <w:r>
        <w:rPr>
          <w:rFonts w:hint="eastAsia" w:ascii="宋体" w:hAnsi="宋体" w:cs="宋体"/>
          <w:sz w:val="22"/>
        </w:rPr>
        <w:t>本项目</w:t>
      </w:r>
      <w:r>
        <w:rPr>
          <w:rFonts w:hint="eastAsia" w:ascii="宋体" w:hAnsi="宋体" w:cs="宋体"/>
          <w:sz w:val="22"/>
          <w:szCs w:val="22"/>
        </w:rPr>
        <w:t>为杭州萧山</w:t>
      </w:r>
      <w:r>
        <w:rPr>
          <w:rFonts w:hint="eastAsia" w:ascii="宋体" w:hAnsi="宋体" w:cs="宋体"/>
          <w:sz w:val="22"/>
          <w:szCs w:val="22"/>
          <w:lang w:eastAsia="zh-CN"/>
        </w:rPr>
        <w:t>国际</w:t>
      </w:r>
      <w:r>
        <w:rPr>
          <w:rFonts w:hint="eastAsia" w:ascii="宋体" w:hAnsi="宋体" w:cs="宋体"/>
          <w:sz w:val="22"/>
          <w:szCs w:val="22"/>
        </w:rPr>
        <w:t>机场机坪塔台</w:t>
      </w:r>
      <w:bookmarkStart w:id="2" w:name="OLE_LINK4"/>
      <w:bookmarkStart w:id="3" w:name="OLE_LINK2"/>
      <w:r>
        <w:rPr>
          <w:rFonts w:hint="eastAsia" w:ascii="宋体" w:hAnsi="宋体" w:cs="宋体"/>
          <w:sz w:val="22"/>
          <w:szCs w:val="22"/>
        </w:rPr>
        <w:t>CDM电子进程单</w:t>
      </w:r>
      <w:bookmarkEnd w:id="2"/>
      <w:r>
        <w:rPr>
          <w:rFonts w:hint="eastAsia" w:ascii="宋体" w:hAnsi="宋体" w:cs="宋体"/>
          <w:sz w:val="22"/>
          <w:szCs w:val="22"/>
        </w:rPr>
        <w:t>系统建设项目</w:t>
      </w:r>
      <w:bookmarkEnd w:id="3"/>
      <w:r>
        <w:rPr>
          <w:rFonts w:hint="eastAsia" w:ascii="宋体" w:hAnsi="宋体" w:cs="宋体"/>
          <w:sz w:val="22"/>
          <w:szCs w:val="22"/>
        </w:rPr>
        <w:t>工</w:t>
      </w:r>
      <w:r>
        <w:rPr>
          <w:rFonts w:hint="eastAsia" w:ascii="宋体" w:hAnsi="宋体" w:cs="宋体"/>
          <w:sz w:val="22"/>
        </w:rPr>
        <w:t>程，位于杭州萧山国际机场内，主要包括：机坪塔台</w:t>
      </w:r>
      <w:r>
        <w:rPr>
          <w:rFonts w:hint="eastAsia" w:ascii="宋体" w:hAnsi="宋体" w:cs="宋体"/>
          <w:sz w:val="22"/>
          <w:szCs w:val="22"/>
        </w:rPr>
        <w:t>CDM电子进程单</w:t>
      </w:r>
      <w:r>
        <w:rPr>
          <w:rFonts w:hint="eastAsia" w:ascii="宋体" w:hAnsi="宋体" w:cs="宋体"/>
          <w:sz w:val="22"/>
        </w:rPr>
        <w:t>系统建设等内容。</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（2）招标内容：</w:t>
      </w:r>
      <w:r>
        <w:rPr>
          <w:rFonts w:hint="eastAsia" w:ascii="宋体" w:hAnsi="宋体" w:cs="宋体"/>
          <w:sz w:val="22"/>
        </w:rPr>
        <w:t>机坪塔台</w:t>
      </w:r>
      <w:r>
        <w:rPr>
          <w:rFonts w:hint="eastAsia" w:ascii="宋体" w:hAnsi="宋体" w:cs="宋体"/>
          <w:sz w:val="22"/>
          <w:szCs w:val="22"/>
        </w:rPr>
        <w:t>CDM电子进程单</w:t>
      </w:r>
      <w:r>
        <w:rPr>
          <w:rFonts w:hint="eastAsia" w:ascii="宋体" w:hAnsi="宋体" w:cs="宋体"/>
          <w:sz w:val="22"/>
        </w:rPr>
        <w:t>系统，</w:t>
      </w:r>
      <w:r>
        <w:rPr>
          <w:rFonts w:hint="eastAsia" w:ascii="宋体" w:hAnsi="宋体" w:cs="Arial"/>
          <w:kern w:val="0"/>
          <w:sz w:val="22"/>
          <w:szCs w:val="22"/>
        </w:rPr>
        <w:t>详见“第四章 技术要求”</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（3）供货期：要求</w:t>
      </w:r>
      <w:r>
        <w:rPr>
          <w:rFonts w:hint="eastAsia" w:ascii="宋体" w:hAnsi="宋体" w:cs="Calibri"/>
          <w:kern w:val="0"/>
          <w:sz w:val="22"/>
        </w:rPr>
        <w:t>合同签订后</w:t>
      </w:r>
      <w:r>
        <w:rPr>
          <w:rFonts w:hint="eastAsia" w:ascii="宋体" w:hAnsi="宋体" w:cs="Calibri"/>
          <w:kern w:val="0"/>
          <w:sz w:val="22"/>
          <w:u w:val="single"/>
        </w:rPr>
        <w:t>90</w:t>
      </w:r>
      <w:r>
        <w:rPr>
          <w:rFonts w:hint="eastAsia" w:ascii="宋体" w:hAnsi="宋体" w:cs="Arial"/>
          <w:kern w:val="0"/>
          <w:sz w:val="22"/>
          <w:szCs w:val="22"/>
        </w:rPr>
        <w:t>日历天内完工。</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二、投标人资格要求</w:t>
      </w:r>
      <w:r>
        <w:rPr>
          <w:rFonts w:ascii="宋体" w:hAnsi="宋体" w:cs="Arial"/>
          <w:b/>
          <w:bCs/>
          <w:kern w:val="0"/>
          <w:sz w:val="22"/>
          <w:szCs w:val="22"/>
        </w:rPr>
        <w:t> </w:t>
      </w:r>
    </w:p>
    <w:p>
      <w:pPr>
        <w:widowControl/>
        <w:adjustRightInd w:val="0"/>
        <w:snapToGrid w:val="0"/>
        <w:spacing w:line="340" w:lineRule="exact"/>
        <w:ind w:firstLine="440" w:firstLineChars="200"/>
      </w:pPr>
      <w:r>
        <w:rPr>
          <w:rFonts w:hint="eastAsia" w:ascii="宋体" w:hAnsi="宋体" w:cs="宋体"/>
          <w:sz w:val="22"/>
          <w:szCs w:val="22"/>
        </w:rPr>
        <w:t>（1）</w:t>
      </w:r>
      <w:r>
        <w:rPr>
          <w:rStyle w:val="120"/>
          <w:rFonts w:hint="eastAsia" w:ascii="宋体" w:hAnsi="宋体" w:cs="宋体"/>
          <w:sz w:val="22"/>
        </w:rPr>
        <w:t>具有独立法人资格，注册资金不少于人民币</w:t>
      </w:r>
      <w:r>
        <w:rPr>
          <w:rStyle w:val="120"/>
          <w:rFonts w:hint="eastAsia" w:ascii="宋体" w:hAnsi="宋体" w:cs="宋体"/>
          <w:sz w:val="22"/>
          <w:u w:val="single"/>
        </w:rPr>
        <w:t>1000</w:t>
      </w:r>
      <w:r>
        <w:rPr>
          <w:rStyle w:val="120"/>
          <w:rFonts w:hint="eastAsia" w:ascii="宋体" w:hAnsi="宋体" w:cs="宋体"/>
          <w:sz w:val="22"/>
        </w:rPr>
        <w:t>万元或等值外币(按投标截止日中国人民银行公布的汇率中间价换算)</w:t>
      </w:r>
      <w:r>
        <w:rPr>
          <w:rFonts w:hint="eastAsia" w:ascii="宋体" w:hAnsi="宋体" w:cs="Arial"/>
          <w:kern w:val="0"/>
          <w:sz w:val="22"/>
        </w:rPr>
        <w:t>。需提供营业执照复印件并加盖公章。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widowControl/>
        <w:adjustRightInd w:val="0"/>
        <w:snapToGrid w:val="0"/>
        <w:spacing w:line="340" w:lineRule="exact"/>
        <w:ind w:firstLine="440" w:firstLineChars="200"/>
        <w:rPr>
          <w:rFonts w:ascii="宋体" w:hAnsi="宋体" w:cs="宋体"/>
          <w:sz w:val="22"/>
          <w:szCs w:val="22"/>
        </w:rPr>
      </w:pPr>
      <w:r>
        <w:rPr>
          <w:rFonts w:hint="eastAsia" w:ascii="宋体" w:hAnsi="宋体" w:cs="宋体"/>
          <w:sz w:val="22"/>
          <w:szCs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3）</w:t>
      </w:r>
      <w:r>
        <w:rPr>
          <w:rFonts w:hint="eastAsia" w:ascii="宋体" w:hAnsi="宋体" w:cs="宋体"/>
          <w:sz w:val="22"/>
          <w:szCs w:val="22"/>
        </w:rPr>
        <w:t>近年（201</w:t>
      </w:r>
      <w:r>
        <w:rPr>
          <w:rFonts w:ascii="宋体" w:hAnsi="宋体" w:cs="宋体"/>
          <w:sz w:val="22"/>
          <w:szCs w:val="22"/>
        </w:rPr>
        <w:t>6</w:t>
      </w:r>
      <w:r>
        <w:rPr>
          <w:rFonts w:hint="eastAsia" w:ascii="宋体" w:hAnsi="宋体" w:cs="宋体"/>
          <w:sz w:val="22"/>
          <w:szCs w:val="22"/>
        </w:rPr>
        <w:t>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adjustRightInd w:val="0"/>
        <w:snapToGrid w:val="0"/>
        <w:spacing w:line="340" w:lineRule="exact"/>
        <w:ind w:firstLine="440" w:firstLineChars="200"/>
      </w:pPr>
      <w:r>
        <w:rPr>
          <w:rFonts w:hint="eastAsia" w:ascii="宋体" w:hAnsi="宋体" w:cs="宋体"/>
          <w:sz w:val="22"/>
          <w:szCs w:val="22"/>
        </w:rPr>
        <w:t>（4）具有一般纳税人资格，可提供增值税专用发票（需提供主管税务部门出具的一般纳税人资格认定《税务事项通知书》并加盖投标人公章作为证明材料或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adjustRightInd w:val="0"/>
        <w:snapToGrid w:val="0"/>
        <w:spacing w:line="34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5</w:t>
      </w:r>
      <w:r>
        <w:rPr>
          <w:rFonts w:hint="eastAsia" w:ascii="宋体" w:hAnsi="宋体" w:cs="宋体"/>
          <w:sz w:val="22"/>
          <w:szCs w:val="22"/>
        </w:rPr>
        <w:t>）自</w:t>
      </w:r>
      <w:r>
        <w:rPr>
          <w:rFonts w:ascii="宋体" w:hAnsi="宋体" w:cs="宋体"/>
          <w:sz w:val="22"/>
          <w:szCs w:val="22"/>
        </w:rPr>
        <w:t>2016</w:t>
      </w:r>
      <w:r>
        <w:rPr>
          <w:rFonts w:hint="eastAsia" w:ascii="宋体" w:hAnsi="宋体" w:cs="宋体"/>
          <w:sz w:val="22"/>
          <w:szCs w:val="22"/>
        </w:rPr>
        <w:t>年</w:t>
      </w:r>
      <w:r>
        <w:rPr>
          <w:rFonts w:ascii="宋体" w:hAnsi="宋体" w:cs="宋体"/>
          <w:sz w:val="22"/>
          <w:szCs w:val="22"/>
        </w:rPr>
        <w:t>1月1日至投标截止日止，</w:t>
      </w:r>
      <w:r>
        <w:rPr>
          <w:rFonts w:hint="eastAsia" w:ascii="宋体" w:hAnsi="宋体" w:cs="宋体"/>
          <w:sz w:val="22"/>
          <w:szCs w:val="22"/>
        </w:rPr>
        <w:t>投标人具有</w:t>
      </w:r>
      <w:r>
        <w:rPr>
          <w:rFonts w:ascii="宋体" w:hAnsi="宋体" w:cs="宋体"/>
          <w:sz w:val="22"/>
          <w:szCs w:val="22"/>
        </w:rPr>
        <w:t>CDM电子进程单</w:t>
      </w:r>
      <w:r>
        <w:rPr>
          <w:rFonts w:hint="eastAsia" w:ascii="宋体" w:hAnsi="宋体" w:cs="宋体"/>
          <w:sz w:val="22"/>
          <w:szCs w:val="22"/>
        </w:rPr>
        <w:t>相关项目的开发经验，投标时需提供案例证明（业绩证明材料：合同（合同协议书）或中标通知书，上述业绩证明材料无法体现服务项目特征的，须另提供投标人出具的证明材料予以证明）。</w:t>
      </w:r>
    </w:p>
    <w:p>
      <w:pPr>
        <w:widowControl/>
        <w:adjustRightInd w:val="0"/>
        <w:snapToGrid w:val="0"/>
        <w:spacing w:line="34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6</w:t>
      </w:r>
      <w:r>
        <w:rPr>
          <w:rFonts w:hint="eastAsia" w:ascii="宋体" w:hAnsi="宋体" w:cs="宋体"/>
          <w:sz w:val="22"/>
          <w:szCs w:val="22"/>
        </w:rPr>
        <w:t>）本次招标不接受代理商及联合体投标。</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三、招标文件获取</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szCs w:val="22"/>
        </w:rPr>
        <w:t>http://www.hzairport.com/zbxx.aspx</w:t>
      </w:r>
      <w:r>
        <w:rPr>
          <w:rFonts w:ascii="宋体" w:hAnsi="宋体" w:cs="Arial"/>
          <w:kern w:val="0"/>
          <w:sz w:val="22"/>
          <w:szCs w:val="22"/>
        </w:rPr>
        <w:fldChar w:fldCharType="end"/>
      </w:r>
      <w:r>
        <w:rPr>
          <w:rFonts w:hint="eastAsia" w:ascii="宋体" w:hAnsi="宋体" w:cs="Arial"/>
          <w:kern w:val="0"/>
          <w:sz w:val="22"/>
          <w:szCs w:val="22"/>
        </w:rPr>
        <w:t>自行下载招标文件。</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招标文件下载</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四、投标文件的递交</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（1）投标文件递交截止时间：</w:t>
      </w:r>
      <w:r>
        <w:rPr>
          <w:rFonts w:hint="eastAsia" w:ascii="宋体" w:hAnsi="宋体" w:cs="Arial"/>
          <w:kern w:val="0"/>
          <w:sz w:val="22"/>
        </w:rPr>
        <w:t>2019年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6</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13</w:t>
      </w:r>
      <w:r>
        <w:rPr>
          <w:rFonts w:hint="eastAsia" w:ascii="宋体" w:hAnsi="宋体" w:cs="Arial"/>
          <w:kern w:val="0"/>
          <w:sz w:val="22"/>
        </w:rPr>
        <w:t>时</w:t>
      </w:r>
      <w:r>
        <w:rPr>
          <w:rFonts w:hint="eastAsia" w:ascii="宋体" w:hAnsi="宋体" w:cs="Arial"/>
          <w:kern w:val="0"/>
          <w:sz w:val="22"/>
          <w:lang w:val="en-US" w:eastAsia="zh-CN"/>
        </w:rPr>
        <w:t>45</w:t>
      </w:r>
      <w:r>
        <w:rPr>
          <w:rFonts w:hint="eastAsia" w:ascii="宋体" w:hAnsi="宋体" w:cs="Arial"/>
          <w:kern w:val="0"/>
          <w:sz w:val="22"/>
        </w:rPr>
        <w:t>分（北京时间）。投标文件在封口处加盖公章，并派专人于2019年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6</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13</w:t>
      </w:r>
      <w:r>
        <w:rPr>
          <w:rFonts w:hint="eastAsia" w:ascii="宋体" w:hAnsi="宋体" w:cs="Arial"/>
          <w:kern w:val="0"/>
          <w:sz w:val="22"/>
        </w:rPr>
        <w:t>时</w:t>
      </w:r>
      <w:r>
        <w:rPr>
          <w:rFonts w:hint="eastAsia" w:ascii="宋体" w:hAnsi="宋体" w:cs="Arial"/>
          <w:kern w:val="0"/>
          <w:sz w:val="22"/>
          <w:lang w:val="en-US" w:eastAsia="zh-CN"/>
        </w:rPr>
        <w:t>45</w:t>
      </w:r>
      <w:r>
        <w:rPr>
          <w:rFonts w:hint="eastAsia" w:ascii="宋体" w:hAnsi="宋体" w:cs="Arial"/>
          <w:kern w:val="0"/>
          <w:sz w:val="22"/>
        </w:rPr>
        <w:t>分（北京时间）前送至杭州萧山国际机场翔越路综合服务楼园区招标中心，逾期无效；若采用投递（邮寄）方式的，2019年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6</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13</w:t>
      </w:r>
      <w:r>
        <w:rPr>
          <w:rFonts w:hint="eastAsia" w:ascii="宋体" w:hAnsi="宋体" w:cs="Arial"/>
          <w:kern w:val="0"/>
          <w:sz w:val="22"/>
        </w:rPr>
        <w:t>时</w:t>
      </w:r>
      <w:r>
        <w:rPr>
          <w:rFonts w:hint="eastAsia" w:ascii="宋体" w:hAnsi="宋体" w:cs="Arial"/>
          <w:kern w:val="0"/>
          <w:sz w:val="22"/>
          <w:lang w:val="en-US" w:eastAsia="zh-CN"/>
        </w:rPr>
        <w:t>45</w:t>
      </w:r>
      <w:r>
        <w:rPr>
          <w:rFonts w:hint="eastAsia" w:ascii="宋体" w:hAnsi="宋体" w:cs="Arial"/>
          <w:kern w:val="0"/>
          <w:sz w:val="22"/>
        </w:rPr>
        <w:t>分（北京时间）前投递至杭州萧山国际机场翔越路综合服务楼园区招标中心，逾期无效。</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（2）</w:t>
      </w:r>
      <w:r>
        <w:rPr>
          <w:rFonts w:hint="eastAsia" w:ascii="宋体" w:hAnsi="宋体"/>
          <w:sz w:val="22"/>
          <w:szCs w:val="22"/>
        </w:rPr>
        <w:t>逾期送达或者未送达指定地点的投标文件，招标人不予受理。</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五、发布公告的媒介</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本次招标公告在</w:t>
      </w:r>
      <w:r>
        <w:rPr>
          <w:rFonts w:hint="eastAsia" w:ascii="宋体" w:hAnsi="宋体" w:cs="Arial"/>
          <w:b/>
          <w:kern w:val="0"/>
          <w:sz w:val="22"/>
          <w:szCs w:val="22"/>
        </w:rPr>
        <w:t>中国采购与招标网和杭州萧山机场有限公司</w:t>
      </w:r>
      <w:r>
        <w:rPr>
          <w:rFonts w:hint="eastAsia" w:ascii="宋体" w:hAnsi="宋体" w:cs="Arial"/>
          <w:kern w:val="0"/>
          <w:sz w:val="22"/>
          <w:szCs w:val="22"/>
        </w:rPr>
        <w:t>主页上发布</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sz w:val="22"/>
          <w:szCs w:val="22"/>
        </w:rPr>
        <w:t>中国采购与招标网</w:t>
      </w:r>
      <w:r>
        <w:rPr>
          <w:rFonts w:ascii="宋体" w:hAnsi="宋体"/>
          <w:sz w:val="22"/>
          <w:szCs w:val="22"/>
        </w:rPr>
        <w:t xml:space="preserve">  </w:t>
      </w:r>
      <w:r>
        <w:fldChar w:fldCharType="begin"/>
      </w:r>
      <w:r>
        <w:instrText xml:space="preserve"> HYPERLINK "http://www.chinabidding.com.cn/" </w:instrText>
      </w:r>
      <w:r>
        <w:fldChar w:fldCharType="separate"/>
      </w:r>
      <w:r>
        <w:rPr>
          <w:rFonts w:ascii="宋体" w:hAnsi="宋体"/>
          <w:sz w:val="22"/>
          <w:szCs w:val="22"/>
        </w:rPr>
        <w:t>http://www.chinabidding.com.cn</w:t>
      </w:r>
      <w:r>
        <w:rPr>
          <w:rFonts w:ascii="宋体" w:hAnsi="宋体"/>
          <w:sz w:val="22"/>
          <w:szCs w:val="22"/>
        </w:rPr>
        <w:fldChar w:fldCharType="end"/>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杭州萧山机场有限公司主页http://www.hzairport.com</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六、联系方式</w:t>
      </w:r>
    </w:p>
    <w:p>
      <w:pPr>
        <w:widowControl/>
        <w:adjustRightInd w:val="0"/>
        <w:snapToGrid w:val="0"/>
        <w:spacing w:line="340" w:lineRule="exact"/>
        <w:ind w:firstLine="440" w:firstLineChars="200"/>
        <w:rPr>
          <w:rFonts w:ascii="宋体" w:hAnsi="宋体"/>
          <w:sz w:val="22"/>
          <w:szCs w:val="22"/>
        </w:rPr>
      </w:pPr>
      <w:r>
        <w:rPr>
          <w:rFonts w:hint="eastAsia" w:ascii="宋体" w:hAnsi="宋体"/>
          <w:sz w:val="22"/>
          <w:szCs w:val="22"/>
        </w:rPr>
        <w:t xml:space="preserve">投标联系人：贾思勰  </w:t>
      </w:r>
      <w:r>
        <w:rPr>
          <w:rFonts w:ascii="宋体" w:hAnsi="宋体"/>
          <w:sz w:val="22"/>
          <w:szCs w:val="22"/>
        </w:rPr>
        <w:t xml:space="preserve">                  </w:t>
      </w:r>
      <w:r>
        <w:rPr>
          <w:rFonts w:hint="eastAsia" w:ascii="宋体" w:hAnsi="宋体"/>
          <w:sz w:val="22"/>
          <w:szCs w:val="22"/>
        </w:rPr>
        <w:t>联系电话：0571-</w:t>
      </w:r>
      <w:r>
        <w:rPr>
          <w:rFonts w:ascii="宋体" w:hAnsi="宋体"/>
          <w:sz w:val="22"/>
          <w:szCs w:val="22"/>
        </w:rPr>
        <w:t>83837612</w:t>
      </w:r>
    </w:p>
    <w:p>
      <w:pPr>
        <w:widowControl/>
        <w:adjustRightInd w:val="0"/>
        <w:snapToGrid w:val="0"/>
        <w:spacing w:line="340" w:lineRule="exact"/>
        <w:ind w:firstLine="440" w:firstLineChars="200"/>
        <w:rPr>
          <w:rFonts w:ascii="宋体" w:hAnsi="宋体"/>
          <w:sz w:val="22"/>
          <w:szCs w:val="22"/>
        </w:rPr>
      </w:pPr>
      <w:r>
        <w:rPr>
          <w:rFonts w:hint="eastAsia" w:ascii="宋体" w:hAnsi="宋体"/>
          <w:sz w:val="22"/>
          <w:szCs w:val="22"/>
        </w:rPr>
        <w:t xml:space="preserve">招标监督人：阮周长  </w:t>
      </w:r>
      <w:r>
        <w:rPr>
          <w:rFonts w:ascii="宋体" w:hAnsi="宋体"/>
          <w:sz w:val="22"/>
          <w:szCs w:val="22"/>
        </w:rPr>
        <w:t xml:space="preserve">          </w:t>
      </w:r>
      <w:r>
        <w:rPr>
          <w:rFonts w:hint="eastAsia" w:ascii="宋体" w:hAnsi="宋体"/>
          <w:sz w:val="22"/>
          <w:szCs w:val="22"/>
        </w:rPr>
        <w:t>联系电话：0571-86662133</w:t>
      </w:r>
    </w:p>
    <w:bookmarkEnd w:id="122"/>
    <w:p>
      <w:pPr>
        <w:widowControl/>
        <w:adjustRightInd w:val="0"/>
        <w:snapToGrid w:val="0"/>
        <w:spacing w:line="340" w:lineRule="exact"/>
        <w:ind w:firstLine="440" w:firstLineChars="200"/>
      </w:pPr>
      <w:r>
        <w:rPr>
          <w:rFonts w:hint="eastAsia" w:ascii="宋体" w:hAnsi="宋体"/>
          <w:sz w:val="22"/>
          <w:szCs w:val="22"/>
        </w:rPr>
        <w:t xml:space="preserve"> </w:t>
      </w:r>
      <w:r>
        <w:rPr>
          <w:rFonts w:ascii="宋体" w:hAnsi="宋体"/>
          <w:sz w:val="22"/>
          <w:szCs w:val="22"/>
        </w:rPr>
        <w:br w:type="page"/>
      </w:r>
      <w:bookmarkStart w:id="4" w:name="_Toc450630558"/>
      <w:bookmarkStart w:id="5" w:name="_Toc20962"/>
      <w:bookmarkStart w:id="6" w:name="_Toc450630557"/>
      <w:r>
        <w:t>第</w:t>
      </w:r>
      <w:r>
        <w:rPr>
          <w:rFonts w:hint="eastAsia"/>
        </w:rPr>
        <w:t>二</w:t>
      </w:r>
      <w:r>
        <w:t>章  投标</w:t>
      </w:r>
      <w:r>
        <w:rPr>
          <w:rFonts w:hint="eastAsia"/>
        </w:rPr>
        <w:t>人须知</w:t>
      </w:r>
      <w:bookmarkEnd w:id="4"/>
      <w:bookmarkEnd w:id="5"/>
      <w:bookmarkEnd w:id="6"/>
    </w:p>
    <w:p>
      <w:pPr>
        <w:pStyle w:val="32"/>
        <w:spacing w:line="240" w:lineRule="auto"/>
        <w:ind w:left="480"/>
        <w:jc w:val="center"/>
        <w:rPr>
          <w:b/>
          <w:sz w:val="28"/>
          <w:szCs w:val="28"/>
        </w:rPr>
      </w:pPr>
      <w:r>
        <w:rPr>
          <w:rFonts w:hint="eastAsia"/>
          <w:b/>
          <w:sz w:val="28"/>
          <w:szCs w:val="28"/>
        </w:rPr>
        <w:t>投标人须知前附表</w:t>
      </w:r>
    </w:p>
    <w:tbl>
      <w:tblPr>
        <w:tblStyle w:val="52"/>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szCs w:val="22"/>
              </w:rPr>
            </w:pPr>
            <w:r>
              <w:rPr>
                <w:rFonts w:hint="eastAsia" w:ascii="宋体" w:hAnsi="宋体" w:cs="宋体"/>
                <w:sz w:val="22"/>
                <w:szCs w:val="22"/>
              </w:rPr>
              <w:t>杭州萧山机场机坪塔台CDM电子进程单系统建设项目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建设地点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20"/>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90</w:t>
            </w:r>
            <w:r>
              <w:rPr>
                <w:rFonts w:hint="eastAsia"/>
                <w:sz w:val="22"/>
              </w:rPr>
              <w:t>日历天</w:t>
            </w:r>
            <w:r>
              <w:rPr>
                <w:rFonts w:hint="eastAsia"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autoSpaceDE w:val="0"/>
              <w:autoSpaceDN w:val="0"/>
              <w:adjustRightInd w:val="0"/>
              <w:snapToGrid w:val="0"/>
              <w:rPr>
                <w:rFonts w:ascii="宋体" w:hAnsi="宋体"/>
                <w:sz w:val="22"/>
                <w:szCs w:val="22"/>
              </w:rPr>
            </w:pPr>
            <w:r>
              <w:rPr>
                <w:rFonts w:hint="eastAsia" w:hAnsi="宋体" w:cs="宋体"/>
                <w:sz w:val="22"/>
                <w:szCs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t>□组织，踏勘时间：</w:t>
            </w:r>
            <w:r>
              <w:rPr>
                <w:rFonts w:ascii="宋体" w:hAnsi="宋体" w:cs="宋体"/>
                <w:kern w:val="0"/>
                <w:sz w:val="22"/>
              </w:rPr>
              <w:t>201</w:t>
            </w:r>
            <w:r>
              <w:rPr>
                <w:rFonts w:hint="eastAsia" w:ascii="宋体" w:hAnsi="宋体" w:cs="宋体"/>
                <w:kern w:val="0"/>
                <w:sz w:val="22"/>
              </w:rPr>
              <w:t>9年  月  日</w:t>
            </w:r>
            <w:r>
              <w:rPr>
                <w:rFonts w:ascii="宋体" w:hAnsi="宋体" w:cs="宋体"/>
                <w:kern w:val="0"/>
                <w:sz w:val="22"/>
              </w:rPr>
              <w:t>09</w:t>
            </w:r>
            <w:r>
              <w:rPr>
                <w:rFonts w:hint="eastAsia" w:ascii="宋体" w:hAnsi="宋体" w:cs="宋体"/>
                <w:kern w:val="0"/>
                <w:sz w:val="22"/>
              </w:rPr>
              <w:t>：</w:t>
            </w:r>
            <w:r>
              <w:rPr>
                <w:rFonts w:ascii="宋体" w:hAnsi="宋体" w:cs="宋体"/>
                <w:kern w:val="0"/>
                <w:sz w:val="22"/>
              </w:rPr>
              <w:t>30</w:t>
            </w:r>
          </w:p>
          <w:p>
            <w:pPr>
              <w:autoSpaceDE w:val="0"/>
              <w:autoSpaceDN w:val="0"/>
              <w:adjustRightInd w:val="0"/>
              <w:snapToGrid w:val="0"/>
              <w:rPr>
                <w:rFonts w:ascii="宋体" w:hAnsi="宋体" w:cs="Calibri"/>
                <w:kern w:val="0"/>
                <w:sz w:val="22"/>
              </w:rPr>
            </w:pPr>
            <w:r>
              <w:rPr>
                <w:rFonts w:ascii="宋体" w:hAnsi="宋体" w:cs="Calibri"/>
                <w:kern w:val="0"/>
                <w:sz w:val="22"/>
              </w:rPr>
              <w:t>踏勘集中地点：</w:t>
            </w:r>
          </w:p>
          <w:p>
            <w:pPr>
              <w:autoSpaceDE w:val="0"/>
              <w:autoSpaceDN w:val="0"/>
              <w:adjustRightInd w:val="0"/>
              <w:snapToGrid w:val="0"/>
              <w:rPr>
                <w:rFonts w:ascii="宋体" w:hAnsi="宋体" w:cs="Calibri"/>
                <w:kern w:val="0"/>
                <w:sz w:val="22"/>
              </w:rPr>
            </w:pPr>
            <w:r>
              <w:rPr>
                <w:rFonts w:hint="eastAsia" w:ascii="宋体" w:hAnsi="宋体" w:cs="Arial"/>
                <w:sz w:val="22"/>
                <w:szCs w:val="22"/>
              </w:rPr>
              <w:t>（</w:t>
            </w:r>
            <w:r>
              <w:rPr>
                <w:rFonts w:hint="eastAsia" w:ascii="宋体" w:hAnsi="宋体" w:cs="Arial"/>
                <w:b/>
                <w:sz w:val="22"/>
                <w:szCs w:val="22"/>
              </w:rPr>
              <w:t>由于未参加现场踏勘引起的报价失误等责任由投标人自负</w:t>
            </w:r>
            <w:r>
              <w:rPr>
                <w:rFonts w:hint="eastAsia" w:ascii="宋体" w:hAnsi="宋体" w:cs="Arial"/>
                <w:sz w:val="22"/>
                <w:szCs w:val="22"/>
              </w:rPr>
              <w:t>）</w:t>
            </w:r>
            <w:r>
              <w:rPr>
                <w:rFonts w:ascii="宋体" w:hAnsi="宋体" w:cs="Calibri"/>
                <w:kern w:val="0"/>
                <w:sz w:val="22"/>
                <w:szCs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spacing w:line="360" w:lineRule="exact"/>
              <w:jc w:val="left"/>
              <w:rPr>
                <w:rFonts w:ascii="宋体" w:hAnsi="宋体"/>
                <w:snapToGrid w:val="0"/>
                <w:kern w:val="0"/>
                <w:szCs w:val="21"/>
              </w:rPr>
            </w:pPr>
            <w:r>
              <w:rPr>
                <w:rFonts w:hint="eastAsia" w:ascii="宋体" w:hAnsi="宋体"/>
                <w:snapToGrid w:val="0"/>
                <w:kern w:val="0"/>
                <w:szCs w:val="21"/>
              </w:rPr>
              <w:t>2019年</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10</w:t>
            </w:r>
            <w:r>
              <w:rPr>
                <w:rFonts w:hint="eastAsia" w:ascii="宋体" w:hAnsi="宋体"/>
                <w:snapToGrid w:val="0"/>
                <w:kern w:val="0"/>
                <w:szCs w:val="21"/>
                <w:u w:val="single"/>
              </w:rPr>
              <w:t xml:space="preserve">  </w:t>
            </w:r>
            <w:r>
              <w:rPr>
                <w:rFonts w:hint="eastAsia" w:ascii="宋体" w:hAnsi="宋体"/>
                <w:snapToGrid w:val="0"/>
                <w:kern w:val="0"/>
                <w:szCs w:val="21"/>
              </w:rPr>
              <w:t>月</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29</w:t>
            </w:r>
            <w:r>
              <w:rPr>
                <w:rFonts w:hint="eastAsia" w:ascii="宋体" w:hAnsi="宋体"/>
                <w:snapToGrid w:val="0"/>
                <w:kern w:val="0"/>
                <w:szCs w:val="21"/>
                <w:u w:val="single"/>
              </w:rPr>
              <w:t xml:space="preserve">  </w:t>
            </w:r>
            <w:r>
              <w:rPr>
                <w:rFonts w:hint="eastAsia" w:ascii="宋体" w:hAnsi="宋体"/>
                <w:snapToGrid w:val="0"/>
                <w:kern w:val="0"/>
                <w:szCs w:val="21"/>
              </w:rPr>
              <w:t>日</w:t>
            </w:r>
            <w:r>
              <w:rPr>
                <w:rFonts w:ascii="宋体" w:hAnsi="宋体"/>
                <w:snapToGrid w:val="0"/>
                <w:kern w:val="0"/>
                <w:szCs w:val="21"/>
                <w:u w:val="single"/>
              </w:rPr>
              <w:t>11:30</w:t>
            </w:r>
            <w:r>
              <w:rPr>
                <w:rFonts w:hint="eastAsia" w:ascii="宋体" w:hAnsi="宋体"/>
                <w:snapToGrid w:val="0"/>
                <w:kern w:val="0"/>
                <w:szCs w:val="21"/>
              </w:rPr>
              <w:t>时前</w:t>
            </w:r>
          </w:p>
          <w:p>
            <w:pPr>
              <w:autoSpaceDE w:val="0"/>
              <w:autoSpaceDN w:val="0"/>
              <w:adjustRightInd w:val="0"/>
              <w:snapToGrid w:val="0"/>
              <w:rPr>
                <w:rFonts w:ascii="宋体" w:hAnsi="宋体" w:cs="Calibri"/>
                <w:kern w:val="0"/>
                <w:sz w:val="22"/>
              </w:rPr>
            </w:pPr>
            <w:r>
              <w:rPr>
                <w:rFonts w:hint="eastAsia" w:ascii="Arial" w:hAnsi="Arial" w:cs="Arial"/>
                <w:bCs/>
                <w:szCs w:val="21"/>
              </w:rPr>
              <w:t>各</w:t>
            </w:r>
            <w:r>
              <w:rPr>
                <w:rFonts w:ascii="Arial" w:hAnsi="Arial" w:cs="Arial"/>
                <w:bCs/>
                <w:szCs w:val="21"/>
              </w:rPr>
              <w:t>投标人对招标文件有疑问</w:t>
            </w:r>
            <w:r>
              <w:rPr>
                <w:rFonts w:hint="eastAsia" w:ascii="Arial" w:hAnsi="Arial" w:cs="Arial"/>
                <w:bCs/>
                <w:szCs w:val="21"/>
              </w:rPr>
              <w:t>的</w:t>
            </w:r>
            <w:r>
              <w:rPr>
                <w:rFonts w:ascii="Arial" w:hAnsi="Arial" w:cs="Arial"/>
                <w:bCs/>
                <w:szCs w:val="21"/>
              </w:rPr>
              <w:t>，请在</w:t>
            </w:r>
            <w:r>
              <w:rPr>
                <w:rFonts w:hint="eastAsia" w:ascii="Arial" w:hAnsi="Arial" w:cs="Arial"/>
                <w:bCs/>
                <w:szCs w:val="21"/>
              </w:rPr>
              <w:t>上述时间</w:t>
            </w:r>
            <w:r>
              <w:rPr>
                <w:rFonts w:ascii="Arial" w:hAnsi="Arial" w:cs="Arial"/>
                <w:szCs w:val="21"/>
              </w:rPr>
              <w:t>前以书面形式提交</w:t>
            </w:r>
            <w:r>
              <w:rPr>
                <w:rFonts w:hint="eastAsia" w:ascii="Arial" w:hAnsi="Arial" w:cs="Arial"/>
                <w:szCs w:val="21"/>
              </w:rPr>
              <w:t>招标人（投标联系人：贾思勰，电话：</w:t>
            </w:r>
            <w:r>
              <w:rPr>
                <w:rFonts w:ascii="Arial" w:hAnsi="Arial" w:cs="Arial"/>
                <w:szCs w:val="21"/>
              </w:rPr>
              <w:t>83837612</w:t>
            </w:r>
            <w:r>
              <w:rPr>
                <w:rFonts w:hint="eastAsia" w:ascii="Arial" w:hAnsi="Arial" w:cs="Arial"/>
                <w:szCs w:val="21"/>
              </w:rPr>
              <w:t>；传真：0571-</w:t>
            </w:r>
            <w:r>
              <w:rPr>
                <w:rFonts w:ascii="Arial" w:hAnsi="Arial" w:cs="Arial"/>
                <w:szCs w:val="21"/>
              </w:rPr>
              <w:t>83837612</w:t>
            </w:r>
            <w:r>
              <w:rPr>
                <w:rFonts w:hint="eastAsia" w:ascii="Arial" w:hAnsi="Arial" w:cs="Arial"/>
                <w:szCs w:val="21"/>
              </w:rPr>
              <w:t>；电子邮箱：zbzx@zairport.com）</w:t>
            </w:r>
            <w:r>
              <w:rPr>
                <w:rFonts w:hint="eastAsia" w:ascii="宋体" w:hAnsi="宋体" w:cs="Arial"/>
                <w:szCs w:val="21"/>
              </w:rPr>
              <w:t>投标人必须在规定时间前提出对招标文件的疑问，否则招标人有权拒绝接受和拒绝回答未在截止时间前提出的疑问。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Arial"/>
                <w:kern w:val="0"/>
                <w:sz w:val="22"/>
              </w:rPr>
              <w:t>2019年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6</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13</w:t>
            </w:r>
            <w:r>
              <w:rPr>
                <w:rFonts w:hint="eastAsia" w:ascii="宋体" w:hAnsi="宋体" w:cs="Arial"/>
                <w:kern w:val="0"/>
                <w:sz w:val="22"/>
              </w:rPr>
              <w:t>时</w:t>
            </w:r>
            <w:r>
              <w:rPr>
                <w:rFonts w:hint="eastAsia" w:ascii="宋体" w:hAnsi="宋体" w:cs="Arial"/>
                <w:kern w:val="0"/>
                <w:sz w:val="22"/>
                <w:lang w:val="en-US" w:eastAsia="zh-CN"/>
              </w:rPr>
              <w:t>45</w:t>
            </w:r>
            <w:r>
              <w:rPr>
                <w:rFonts w:hint="eastAsia" w:ascii="宋体" w:hAnsi="宋体" w:cs="Arial"/>
                <w:kern w:val="0"/>
                <w:sz w:val="22"/>
              </w:rPr>
              <w:t>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7" w:name="_Toc226175287"/>
            <w:bookmarkStart w:id="8"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7"/>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宋体"/>
                <w:sz w:val="22"/>
                <w:szCs w:val="22"/>
                <w:u w:val="single"/>
              </w:rPr>
              <w:t>杭州萧山机场机坪塔台</w:t>
            </w:r>
            <w:r>
              <w:rPr>
                <w:rFonts w:ascii="宋体" w:hAnsi="宋体" w:cs="宋体"/>
                <w:sz w:val="22"/>
                <w:szCs w:val="22"/>
                <w:u w:val="single"/>
              </w:rPr>
              <w:t>CDM电子进程单</w:t>
            </w:r>
            <w:r>
              <w:rPr>
                <w:rFonts w:hint="eastAsia" w:ascii="宋体" w:hAnsi="宋体" w:cs="宋体"/>
                <w:sz w:val="22"/>
                <w:szCs w:val="22"/>
                <w:u w:val="single"/>
              </w:rPr>
              <w:t>系统建设项目</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hint="eastAsia" w:ascii="宋体" w:hAnsi="宋体" w:cs="Arial"/>
                <w:kern w:val="0"/>
                <w:sz w:val="22"/>
              </w:rPr>
              <w:t>2019年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6</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13</w:t>
            </w:r>
            <w:r>
              <w:rPr>
                <w:rFonts w:hint="eastAsia" w:ascii="宋体" w:hAnsi="宋体" w:cs="Arial"/>
                <w:kern w:val="0"/>
                <w:sz w:val="22"/>
              </w:rPr>
              <w:t>时</w:t>
            </w:r>
            <w:r>
              <w:rPr>
                <w:rFonts w:hint="eastAsia" w:ascii="宋体" w:hAnsi="宋体" w:cs="Arial"/>
                <w:kern w:val="0"/>
                <w:sz w:val="22"/>
                <w:lang w:val="en-US" w:eastAsia="zh-CN"/>
              </w:rPr>
              <w:t>45</w:t>
            </w:r>
            <w:r>
              <w:rPr>
                <w:rFonts w:hint="eastAsia" w:ascii="宋体" w:hAnsi="宋体" w:cs="Arial"/>
                <w:kern w:val="0"/>
                <w:sz w:val="22"/>
              </w:rPr>
              <w:t>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宋体"/>
                <w:b/>
                <w:bCs/>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cs="Calibri"/>
                <w:kern w:val="0"/>
                <w:sz w:val="22"/>
              </w:rPr>
              <w:t>2</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47"/>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47"/>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9" w:name="_Toc26216"/>
    </w:p>
    <w:p>
      <w:pPr>
        <w:autoSpaceDE w:val="0"/>
        <w:autoSpaceDN w:val="0"/>
        <w:adjustRightInd w:val="0"/>
        <w:snapToGrid w:val="0"/>
        <w:spacing w:line="360" w:lineRule="exact"/>
        <w:rPr>
          <w:rFonts w:ascii="宋体" w:hAnsi="宋体" w:cs="Calibri"/>
          <w:b/>
          <w:bCs/>
          <w:kern w:val="0"/>
          <w:sz w:val="22"/>
        </w:rPr>
      </w:pPr>
      <w:r>
        <w:rPr>
          <w:b/>
        </w:rPr>
        <w:br w:type="page"/>
      </w:r>
      <w:bookmarkEnd w:id="9"/>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kern w:val="0"/>
          <w:sz w:val="22"/>
        </w:rPr>
      </w:pPr>
      <w:r>
        <w:rPr>
          <w:rFonts w:ascii="宋体" w:hAnsi="宋体" w:cs="Calibri"/>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sz w:val="22"/>
        </w:rPr>
      </w:pPr>
      <w:r>
        <w:rPr>
          <w:rFonts w:ascii="宋体" w:hAnsi="宋体" w:cs="Calibri"/>
          <w:kern w:val="0"/>
          <w:sz w:val="22"/>
        </w:rPr>
        <w:t>1.1.2项目</w:t>
      </w:r>
      <w:r>
        <w:rPr>
          <w:rFonts w:hint="eastAsia" w:ascii="宋体" w:hAnsi="宋体" w:cs="Calibri"/>
          <w:kern w:val="0"/>
          <w:sz w:val="22"/>
        </w:rPr>
        <w:t>实施</w:t>
      </w:r>
      <w:r>
        <w:rPr>
          <w:rFonts w:ascii="宋体" w:hAnsi="宋体" w:cs="Calibri"/>
          <w:kern w:val="0"/>
          <w:sz w:val="22"/>
        </w:rPr>
        <w:t>地点见投标人须知前附表</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10"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10"/>
    </w:p>
    <w:p>
      <w:pPr>
        <w:adjustRightInd w:val="0"/>
        <w:snapToGrid w:val="0"/>
        <w:spacing w:line="360" w:lineRule="exact"/>
        <w:ind w:firstLine="44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1"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11"/>
      <w:r>
        <w:rPr>
          <w:rFonts w:hint="eastAsia" w:ascii="宋体" w:hAnsi="宋体" w:cs="Calibri"/>
          <w:b/>
          <w:bCs/>
          <w:kern w:val="0"/>
          <w:sz w:val="22"/>
        </w:rPr>
        <w:t>内容</w:t>
      </w:r>
    </w:p>
    <w:p>
      <w:pPr>
        <w:adjustRightInd w:val="0"/>
        <w:snapToGrid w:val="0"/>
        <w:spacing w:line="360" w:lineRule="exact"/>
        <w:ind w:firstLine="44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2"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12"/>
    </w:p>
    <w:p>
      <w:pPr>
        <w:adjustRightInd w:val="0"/>
        <w:snapToGrid w:val="0"/>
        <w:spacing w:line="360" w:lineRule="exact"/>
        <w:ind w:firstLine="44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3"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13"/>
    </w:p>
    <w:p>
      <w:pPr>
        <w:adjustRightInd w:val="0"/>
        <w:snapToGrid w:val="0"/>
        <w:spacing w:line="360" w:lineRule="exact"/>
        <w:ind w:firstLine="44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4"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14"/>
    </w:p>
    <w:p>
      <w:pPr>
        <w:adjustRightInd w:val="0"/>
        <w:snapToGrid w:val="0"/>
        <w:spacing w:line="360" w:lineRule="exact"/>
        <w:ind w:firstLine="44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5"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工期</w:t>
      </w:r>
      <w:bookmarkEnd w:id="15"/>
    </w:p>
    <w:p>
      <w:pPr>
        <w:adjustRightInd w:val="0"/>
        <w:snapToGrid w:val="0"/>
        <w:spacing w:line="360" w:lineRule="exact"/>
        <w:ind w:firstLine="44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sz w:val="22"/>
        </w:rPr>
      </w:pPr>
      <w:bookmarkStart w:id="16" w:name="_Toc13907"/>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16"/>
    </w:p>
    <w:p>
      <w:pPr>
        <w:adjustRightInd w:val="0"/>
        <w:snapToGrid w:val="0"/>
        <w:spacing w:line="360" w:lineRule="exact"/>
        <w:ind w:firstLine="44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.1投标人须知前附表规定组织踏勘现场的，招标人按投标人须知前附表规定的时间、地点组织投标人踏勘项目现场。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.2 投标人踏勘现场发生的费用自理。</w:t>
      </w:r>
    </w:p>
    <w:p>
      <w:pPr>
        <w:adjustRightInd w:val="0"/>
        <w:snapToGrid w:val="0"/>
        <w:spacing w:line="360" w:lineRule="exact"/>
        <w:ind w:firstLine="44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.3 投标人自行负责在踏勘现场中所发生的人员伤亡和财产损失。</w:t>
      </w:r>
    </w:p>
    <w:p>
      <w:pPr>
        <w:adjustRightInd w:val="0"/>
        <w:snapToGrid w:val="0"/>
        <w:spacing w:line="360" w:lineRule="exact"/>
        <w:ind w:firstLine="44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17"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17"/>
    </w:p>
    <w:p>
      <w:pPr>
        <w:adjustRightInd w:val="0"/>
        <w:snapToGrid w:val="0"/>
        <w:spacing w:line="360" w:lineRule="exact"/>
        <w:ind w:firstLine="44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8"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18"/>
    </w:p>
    <w:p>
      <w:pPr>
        <w:adjustRightInd w:val="0"/>
        <w:snapToGrid w:val="0"/>
        <w:spacing w:line="360" w:lineRule="exact"/>
        <w:ind w:firstLine="440"/>
        <w:rPr>
          <w:rFonts w:ascii="宋体" w:hAnsi="宋体" w:cs="Calibri"/>
          <w:sz w:val="22"/>
        </w:rPr>
      </w:pPr>
      <w:r>
        <w:rPr>
          <w:rFonts w:ascii="宋体" w:hAnsi="宋体" w:cs="Calibri"/>
          <w:sz w:val="22"/>
        </w:rPr>
        <w:t>本项目</w:t>
      </w:r>
      <w:r>
        <w:rPr>
          <w:rFonts w:hint="eastAsia" w:ascii="宋体" w:hAnsi="宋体" w:cs="Calibri"/>
          <w:sz w:val="22"/>
        </w:rPr>
        <w:t>涉及到非主体、非关键性工作</w:t>
      </w:r>
      <w:r>
        <w:rPr>
          <w:rFonts w:ascii="宋体" w:hAnsi="宋体" w:cs="Calibri"/>
          <w:sz w:val="22"/>
        </w:rPr>
        <w:t>允许分包。</w:t>
      </w:r>
    </w:p>
    <w:p>
      <w:pPr>
        <w:autoSpaceDE w:val="0"/>
        <w:autoSpaceDN w:val="0"/>
        <w:adjustRightInd w:val="0"/>
        <w:snapToGrid w:val="0"/>
        <w:spacing w:line="360" w:lineRule="exact"/>
        <w:rPr>
          <w:rFonts w:ascii="宋体" w:hAnsi="宋体" w:cs="Calibri"/>
          <w:b/>
          <w:bCs/>
          <w:kern w:val="0"/>
          <w:sz w:val="22"/>
        </w:rPr>
      </w:pPr>
      <w:bookmarkStart w:id="19"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9"/>
    </w:p>
    <w:p>
      <w:pPr>
        <w:adjustRightInd w:val="0"/>
        <w:snapToGrid w:val="0"/>
        <w:spacing w:line="360" w:lineRule="exact"/>
        <w:ind w:firstLine="440"/>
        <w:rPr>
          <w:rFonts w:ascii="宋体" w:hAnsi="宋体" w:cs="Calibri"/>
          <w:sz w:val="22"/>
        </w:rPr>
      </w:pPr>
      <w:r>
        <w:rPr>
          <w:rFonts w:ascii="宋体" w:hAnsi="宋体" w:cs="Calibri"/>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20" w:name="_Toc15241"/>
      <w:bookmarkStart w:id="21" w:name="_Toc143421657"/>
      <w:r>
        <w:rPr>
          <w:rFonts w:ascii="宋体" w:hAnsi="宋体" w:cs="Calibri"/>
          <w:b/>
          <w:bCs/>
          <w:kern w:val="0"/>
          <w:sz w:val="22"/>
        </w:rPr>
        <w:t>2.招标文件</w:t>
      </w:r>
      <w:bookmarkEnd w:id="20"/>
      <w:bookmarkEnd w:id="21"/>
    </w:p>
    <w:p>
      <w:pPr>
        <w:autoSpaceDE w:val="0"/>
        <w:autoSpaceDN w:val="0"/>
        <w:adjustRightInd w:val="0"/>
        <w:snapToGrid w:val="0"/>
        <w:spacing w:line="360" w:lineRule="exact"/>
        <w:rPr>
          <w:rFonts w:ascii="宋体" w:hAnsi="宋体" w:cs="Calibri"/>
          <w:b/>
          <w:bCs/>
          <w:kern w:val="0"/>
          <w:sz w:val="22"/>
        </w:rPr>
      </w:pPr>
      <w:bookmarkStart w:id="22" w:name="_Toc1426"/>
      <w:r>
        <w:rPr>
          <w:rFonts w:ascii="宋体" w:hAnsi="宋体" w:cs="Calibri"/>
          <w:b/>
          <w:bCs/>
          <w:kern w:val="0"/>
          <w:sz w:val="22"/>
        </w:rPr>
        <w:t>2.1 招标文件的组成</w:t>
      </w:r>
      <w:bookmarkEnd w:id="22"/>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ascii="宋体" w:hAnsi="宋体" w:cs="Calibri"/>
          <w:kern w:val="0"/>
          <w:sz w:val="22"/>
        </w:rPr>
        <w:t>（</w:t>
      </w:r>
      <w:r>
        <w:rPr>
          <w:rFonts w:cs="Calibri" w:asciiTheme="minorEastAsia" w:hAnsiTheme="minorEastAsia" w:eastAsiaTheme="minorEastAsia"/>
          <w:color w:val="000000"/>
          <w:kern w:val="0"/>
          <w:sz w:val="22"/>
        </w:rPr>
        <w:t>（1）招标公告</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（2）投标人须知</w:t>
      </w:r>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kern w:val="0"/>
          <w:sz w:val="22"/>
        </w:rPr>
        <w:t>服务技术标准及要求</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color w:val="000000"/>
          <w:kern w:val="0"/>
          <w:sz w:val="22"/>
        </w:rPr>
        <w:t>）合同条款</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5</w:t>
      </w:r>
      <w:r>
        <w:rPr>
          <w:rFonts w:cs="Calibri" w:asciiTheme="minorEastAsia" w:hAnsiTheme="minorEastAsia" w:eastAsiaTheme="minorEastAsia"/>
          <w:color w:val="000000"/>
          <w:kern w:val="0"/>
          <w:sz w:val="22"/>
        </w:rPr>
        <w:t>）评标办法及标准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6</w:t>
      </w:r>
      <w:r>
        <w:rPr>
          <w:rFonts w:cs="Calibri" w:asciiTheme="minorEastAsia" w:hAnsiTheme="minorEastAsia" w:eastAsiaTheme="minorEastAsia"/>
          <w:color w:val="000000"/>
          <w:kern w:val="0"/>
          <w:sz w:val="22"/>
        </w:rPr>
        <w:t>）投标文件格式</w:t>
      </w:r>
    </w:p>
    <w:p>
      <w:pPr>
        <w:adjustRightInd w:val="0"/>
        <w:snapToGrid w:val="0"/>
        <w:spacing w:line="360" w:lineRule="exact"/>
        <w:ind w:firstLine="440" w:firstLineChars="200"/>
        <w:rPr>
          <w:rFonts w:ascii="宋体" w:hAnsi="宋体" w:cs="Calibri"/>
          <w:kern w:val="0"/>
          <w:sz w:val="22"/>
        </w:rPr>
      </w:pPr>
      <w:r>
        <w:rPr>
          <w:rFonts w:cs="Calibri" w:asciiTheme="minorEastAsia" w:hAnsiTheme="minorEastAsia" w:eastAsiaTheme="minorEastAsia"/>
          <w:color w:val="000000"/>
          <w:sz w:val="22"/>
        </w:rPr>
        <w:t>根据本须知第</w:t>
      </w:r>
      <w:r>
        <w:rPr>
          <w:rFonts w:hint="eastAsia" w:cs="Calibri" w:asciiTheme="minorEastAsia" w:hAnsiTheme="minorEastAsia" w:eastAsiaTheme="minorEastAsia"/>
          <w:color w:val="000000"/>
          <w:sz w:val="22"/>
        </w:rPr>
        <w:t>14</w:t>
      </w:r>
      <w:r>
        <w:rPr>
          <w:rFonts w:cs="Calibri" w:asciiTheme="minorEastAsia" w:hAnsiTheme="minorEastAsia" w:eastAsiaTheme="minorEastAsia"/>
          <w:color w:val="000000"/>
          <w:sz w:val="22"/>
        </w:rPr>
        <w:t>款和</w:t>
      </w:r>
      <w:r>
        <w:rPr>
          <w:rFonts w:hint="eastAsia" w:cs="Calibri" w:asciiTheme="minorEastAsia" w:hAnsiTheme="minorEastAsia" w:eastAsiaTheme="minorEastAsia"/>
          <w:color w:val="000000"/>
          <w:sz w:val="22"/>
        </w:rPr>
        <w:t>15</w:t>
      </w:r>
      <w:r>
        <w:rPr>
          <w:rFonts w:cs="Calibri" w:asciiTheme="minorEastAsia" w:hAnsiTheme="minorEastAsia" w:eastAsiaTheme="minorEastAsia"/>
          <w:color w:val="000000"/>
          <w:sz w:val="22"/>
        </w:rPr>
        <w:t>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23" w:name="_Toc18230"/>
      <w:r>
        <w:rPr>
          <w:rFonts w:ascii="宋体" w:hAnsi="宋体" w:cs="Calibri"/>
          <w:b/>
          <w:bCs/>
          <w:kern w:val="0"/>
          <w:sz w:val="22"/>
        </w:rPr>
        <w:t>2.2 招标文件的澄清</w:t>
      </w:r>
      <w:bookmarkEnd w:id="23"/>
    </w:p>
    <w:p>
      <w:pPr>
        <w:adjustRightInd w:val="0"/>
        <w:snapToGrid w:val="0"/>
        <w:spacing w:line="360" w:lineRule="exact"/>
        <w:ind w:firstLine="440"/>
        <w:rPr>
          <w:rFonts w:ascii="宋体" w:hAnsi="宋体" w:cs="Calibri"/>
          <w:sz w:val="22"/>
        </w:rPr>
      </w:pPr>
      <w:r>
        <w:rPr>
          <w:rFonts w:ascii="宋体" w:hAnsi="宋体" w:cs="Calibri"/>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sz w:val="22"/>
        </w:rPr>
      </w:pPr>
      <w:r>
        <w:rPr>
          <w:rFonts w:ascii="宋体" w:hAnsi="宋体" w:cs="Calibri"/>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24" w:name="_Toc18303"/>
      <w:r>
        <w:rPr>
          <w:rFonts w:ascii="宋体" w:hAnsi="宋体" w:cs="Calibri"/>
          <w:b/>
          <w:bCs/>
          <w:kern w:val="0"/>
          <w:sz w:val="22"/>
        </w:rPr>
        <w:t>2.3 招标文件的修改</w:t>
      </w:r>
      <w:bookmarkEnd w:id="24"/>
    </w:p>
    <w:p>
      <w:pPr>
        <w:adjustRightInd w:val="0"/>
        <w:snapToGrid w:val="0"/>
        <w:spacing w:line="360" w:lineRule="exact"/>
        <w:ind w:firstLine="440"/>
        <w:rPr>
          <w:rFonts w:ascii="宋体" w:hAnsi="宋体" w:cs="Calibri"/>
          <w:sz w:val="22"/>
        </w:rPr>
      </w:pPr>
      <w:r>
        <w:rPr>
          <w:rFonts w:ascii="宋体" w:hAnsi="宋体" w:cs="Calibri"/>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ascii="宋体" w:hAnsi="宋体" w:cs="Calibri"/>
          <w:sz w:val="22"/>
        </w:rPr>
        <w:t>2.3.2</w:t>
      </w:r>
      <w:r>
        <w:rPr>
          <w:rFonts w:hint="eastAsia" w:ascii="宋体" w:hAnsi="宋体" w:cs="Calibri"/>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25" w:name="_Toc143421658"/>
      <w:bookmarkStart w:id="26" w:name="_Toc18870"/>
      <w:r>
        <w:rPr>
          <w:rFonts w:ascii="宋体" w:hAnsi="宋体" w:cs="Calibri"/>
          <w:b/>
          <w:bCs/>
          <w:kern w:val="0"/>
          <w:sz w:val="22"/>
        </w:rPr>
        <w:t>3.投标文件</w:t>
      </w:r>
      <w:bookmarkEnd w:id="25"/>
      <w:bookmarkEnd w:id="26"/>
    </w:p>
    <w:p>
      <w:pPr>
        <w:autoSpaceDE w:val="0"/>
        <w:autoSpaceDN w:val="0"/>
        <w:adjustRightInd w:val="0"/>
        <w:snapToGrid w:val="0"/>
        <w:spacing w:line="360" w:lineRule="exact"/>
        <w:rPr>
          <w:rFonts w:ascii="宋体" w:hAnsi="宋体" w:cs="Calibri"/>
          <w:b/>
          <w:bCs/>
          <w:kern w:val="0"/>
          <w:sz w:val="22"/>
        </w:rPr>
      </w:pPr>
      <w:bookmarkStart w:id="27" w:name="_Toc461"/>
      <w:r>
        <w:rPr>
          <w:rFonts w:ascii="宋体" w:hAnsi="宋体" w:cs="Calibri"/>
          <w:b/>
          <w:bCs/>
          <w:kern w:val="0"/>
          <w:sz w:val="22"/>
        </w:rPr>
        <w:t>3.1 投标文件的语言和计量单位</w:t>
      </w:r>
      <w:bookmarkEnd w:id="27"/>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服务</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8" w:name="_Toc1411"/>
      <w:r>
        <w:rPr>
          <w:rFonts w:ascii="宋体" w:hAnsi="宋体" w:cs="Calibri"/>
          <w:b/>
          <w:bCs/>
          <w:kern w:val="0"/>
          <w:sz w:val="22"/>
        </w:rPr>
        <w:t>3.2 投标文件的组成</w:t>
      </w:r>
      <w:bookmarkEnd w:id="28"/>
    </w:p>
    <w:p>
      <w:pPr>
        <w:adjustRightInd w:val="0"/>
        <w:snapToGrid w:val="0"/>
        <w:spacing w:line="360" w:lineRule="exact"/>
        <w:ind w:firstLine="440" w:firstLineChars="200"/>
        <w:rPr>
          <w:rFonts w:ascii="宋体" w:hAnsi="宋体" w:cs="Calibri"/>
          <w:sz w:val="22"/>
        </w:rPr>
      </w:pPr>
      <w:bookmarkStart w:id="29" w:name="_Toc32225"/>
      <w:r>
        <w:rPr>
          <w:rFonts w:hint="eastAsia" w:ascii="宋体" w:hAnsi="宋体" w:cs="Calibri"/>
          <w:sz w:val="22"/>
        </w:rPr>
        <w:t>3.2.1投标函；</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3.2.2法定代表人资格证明书；</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3.2.3授权委托书；</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3.2.4 投标报价表；</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3.2.5 所投设备详细技术参数及技术方案说明；</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3.2.6投标人资格证明文件：</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（1）投标人一般情况及有关证明投标人法律地位的文件（包括营业执照、税务登记证、资质证书等），说明投标人的注册地点和主要经营范围；</w:t>
      </w:r>
    </w:p>
    <w:p>
      <w:pPr>
        <w:adjustRightInd w:val="0"/>
        <w:snapToGrid w:val="0"/>
        <w:spacing w:line="360" w:lineRule="exact"/>
        <w:ind w:firstLine="440" w:firstLineChars="200"/>
        <w:rPr>
          <w:rFonts w:hint="eastAsia" w:ascii="宋体" w:hAnsi="宋体" w:cs="Calibri"/>
          <w:sz w:val="22"/>
        </w:rPr>
      </w:pPr>
      <w:r>
        <w:rPr>
          <w:rFonts w:hint="eastAsia" w:ascii="宋体" w:hAnsi="宋体" w:cs="Calibri"/>
          <w:sz w:val="22"/>
        </w:rPr>
        <w:t>（2）信用中国网站www.creditchina.gov.cn 、中国裁判文书网http://wenshu.court.gov.cn查询结果证材料以及主管税务部门出具的一般纳税人资格认定《税务事项通知书》。</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w:t>
      </w:r>
      <w:r>
        <w:rPr>
          <w:rFonts w:ascii="宋体" w:hAnsi="宋体" w:cs="Calibri"/>
          <w:sz w:val="22"/>
        </w:rPr>
        <w:t>3</w:t>
      </w:r>
      <w:r>
        <w:rPr>
          <w:rFonts w:hint="eastAsia" w:ascii="宋体" w:hAnsi="宋体" w:cs="Calibri"/>
          <w:sz w:val="22"/>
        </w:rPr>
        <w:t>）有关证明投标人的企业信誉及获得各种奖励等资料；</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w:t>
      </w:r>
      <w:r>
        <w:rPr>
          <w:rFonts w:ascii="宋体" w:hAnsi="宋体" w:cs="Calibri"/>
          <w:sz w:val="22"/>
        </w:rPr>
        <w:t>4</w:t>
      </w:r>
      <w:r>
        <w:rPr>
          <w:rFonts w:hint="eastAsia" w:ascii="宋体" w:hAnsi="宋体" w:cs="Calibri"/>
          <w:sz w:val="22"/>
        </w:rPr>
        <w:t>）投标人经济实力：包括企业注册资金、财务报告与报表中反映的财务状况；</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w:t>
      </w:r>
      <w:r>
        <w:rPr>
          <w:rFonts w:ascii="宋体" w:hAnsi="宋体" w:cs="Calibri"/>
          <w:sz w:val="22"/>
        </w:rPr>
        <w:t>5</w:t>
      </w:r>
      <w:r>
        <w:rPr>
          <w:rFonts w:hint="eastAsia" w:ascii="宋体" w:hAnsi="宋体" w:cs="Calibri"/>
          <w:sz w:val="22"/>
        </w:rPr>
        <w:t>）近三年完成类似项目业绩情况。</w:t>
      </w:r>
    </w:p>
    <w:p>
      <w:pPr>
        <w:adjustRightInd w:val="0"/>
        <w:snapToGrid w:val="0"/>
        <w:spacing w:line="360" w:lineRule="exact"/>
        <w:ind w:firstLine="440" w:firstLineChars="200"/>
        <w:rPr>
          <w:rFonts w:hint="eastAsia" w:ascii="宋体" w:hAnsi="宋体" w:cs="Calibri"/>
          <w:sz w:val="22"/>
        </w:rPr>
      </w:pPr>
      <w:r>
        <w:rPr>
          <w:rFonts w:hint="eastAsia" w:ascii="宋体" w:hAnsi="宋体" w:cs="Calibri"/>
          <w:sz w:val="22"/>
        </w:rPr>
        <w:t>（6）招标文件投标人资格要求中提供的相关材料。</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3.2.7 服务大纲</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（1）本项目概况；</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（2）工作内容和依据；</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（3）服务管理班子的组织结构形式；</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（4）服务人员的作业安排和进场计划（供货、售后服务、质量保证等）；</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（5）服务人员工作守则；</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（6）对本项目的实施意见及重点、难点控制；</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（7）投入到本项目的项目负责人、其他人员的情况汇总表及业绩、经历、能力介绍、资格证明材料及人员到位率的承诺；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（8）投入本项目服务的仪器、仪表、设备及交通工具汇总表。</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3.2.8技术规格偏离表；</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3.2.9商务条款响应偏离表；</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3.2.10廉洁自律承诺书</w:t>
      </w:r>
    </w:p>
    <w:p>
      <w:pPr>
        <w:adjustRightInd w:val="0"/>
        <w:snapToGrid w:val="0"/>
        <w:spacing w:line="360" w:lineRule="exact"/>
        <w:ind w:firstLine="440" w:firstLineChars="200"/>
        <w:rPr>
          <w:rFonts w:ascii="宋体" w:hAnsi="宋体"/>
          <w:sz w:val="22"/>
        </w:rPr>
      </w:pPr>
      <w:r>
        <w:rPr>
          <w:rFonts w:hint="eastAsia" w:ascii="宋体" w:hAnsi="宋体" w:cs="Calibri"/>
          <w:sz w:val="22"/>
        </w:rPr>
        <w:t>3.2.11投标人认为应该提供的其他材料。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9"/>
    </w:p>
    <w:p>
      <w:pPr>
        <w:adjustRightInd w:val="0"/>
        <w:snapToGrid w:val="0"/>
        <w:spacing w:line="360" w:lineRule="exact"/>
        <w:ind w:firstLine="440"/>
        <w:rPr>
          <w:rFonts w:ascii="宋体" w:hAnsi="宋体" w:cs="Calibri"/>
          <w:sz w:val="22"/>
        </w:rPr>
      </w:pPr>
      <w:bookmarkStart w:id="30"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ascii="宋体" w:hAnsi="宋体" w:cs="Calibri"/>
          <w:b/>
          <w:kern w:val="0"/>
          <w:sz w:val="22"/>
        </w:rPr>
        <w:t>投标报价如有漏项，风险由投标人承担，即在评标时，按照最不利原则予以修正，但在签订合同时，认为这些漏项或者缺项已包含在投标报价的其他部分中，不再单独计价，也不因此增加合同价格</w:t>
      </w:r>
      <w:r>
        <w:rPr>
          <w:rFonts w:ascii="宋体" w:hAnsi="宋体" w:cs="Calibri"/>
          <w:b/>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30"/>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31" w:name="_Toc30464"/>
      <w:r>
        <w:rPr>
          <w:rFonts w:ascii="宋体" w:hAnsi="宋体" w:cs="Calibri"/>
          <w:b/>
          <w:bCs/>
          <w:kern w:val="0"/>
          <w:sz w:val="22"/>
        </w:rPr>
        <w:t>3.5 投标保证金</w:t>
      </w:r>
      <w:bookmarkEnd w:id="31"/>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七</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招标人与中标人签订合同书后5个工作日内，应当向未中标的投标人和中标人无息退还投标保证金。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（2）中标人在收到中标通知书后，</w:t>
      </w:r>
      <w:r>
        <w:rPr>
          <w:rFonts w:ascii="宋体" w:hAnsi="宋体" w:cs="Calibri"/>
          <w:sz w:val="22"/>
        </w:rPr>
        <w:t>无正当理由拒签合同协议书或未按招标文件规定提交履约担保，或因投标人在投标文件中未如实填报或隐瞒不报投标人的行贿犯罪记录导致取消中标资格的；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32" w:name="_Toc29989"/>
      <w:r>
        <w:rPr>
          <w:rFonts w:ascii="宋体" w:hAnsi="宋体" w:cs="Calibri"/>
          <w:b/>
          <w:bCs/>
          <w:kern w:val="0"/>
          <w:sz w:val="22"/>
        </w:rPr>
        <w:t>3.6 投标文件的编制</w:t>
      </w:r>
      <w:bookmarkEnd w:id="32"/>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七</w:t>
      </w:r>
      <w:r>
        <w:rPr>
          <w:rFonts w:ascii="宋体" w:hAnsi="宋体" w:cs="Calibri"/>
          <w:sz w:val="22"/>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投标文件应对招标文件有关工期、投标有效期、招标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33" w:name="_Toc143421659"/>
    </w:p>
    <w:p>
      <w:pPr>
        <w:autoSpaceDE w:val="0"/>
        <w:autoSpaceDN w:val="0"/>
        <w:adjustRightInd w:val="0"/>
        <w:snapToGrid w:val="0"/>
        <w:spacing w:line="360" w:lineRule="exact"/>
        <w:rPr>
          <w:rFonts w:ascii="宋体" w:hAnsi="宋体" w:cs="Calibri"/>
          <w:b/>
          <w:bCs/>
          <w:kern w:val="0"/>
          <w:sz w:val="22"/>
        </w:rPr>
      </w:pPr>
      <w:bookmarkStart w:id="34" w:name="_Toc32652"/>
      <w:r>
        <w:rPr>
          <w:rFonts w:ascii="宋体" w:hAnsi="宋体" w:cs="Calibri"/>
          <w:b/>
          <w:bCs/>
          <w:kern w:val="0"/>
          <w:sz w:val="22"/>
        </w:rPr>
        <w:t>4.投标</w:t>
      </w:r>
      <w:bookmarkEnd w:id="33"/>
      <w:bookmarkEnd w:id="34"/>
    </w:p>
    <w:p>
      <w:pPr>
        <w:autoSpaceDE w:val="0"/>
        <w:autoSpaceDN w:val="0"/>
        <w:adjustRightInd w:val="0"/>
        <w:snapToGrid w:val="0"/>
        <w:spacing w:line="360" w:lineRule="exact"/>
        <w:rPr>
          <w:rFonts w:ascii="宋体" w:hAnsi="宋体" w:cs="Calibri"/>
          <w:b/>
          <w:bCs/>
          <w:kern w:val="0"/>
          <w:sz w:val="22"/>
        </w:rPr>
      </w:pPr>
      <w:bookmarkStart w:id="35" w:name="_Toc649"/>
      <w:r>
        <w:rPr>
          <w:rFonts w:ascii="宋体" w:hAnsi="宋体" w:cs="Calibri"/>
          <w:b/>
          <w:bCs/>
          <w:kern w:val="0"/>
          <w:sz w:val="22"/>
        </w:rPr>
        <w:t>4.1 投标文件的密封和标识</w:t>
      </w:r>
      <w:bookmarkEnd w:id="35"/>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6" w:name="_Toc16616"/>
      <w:r>
        <w:rPr>
          <w:rFonts w:ascii="宋体" w:hAnsi="宋体" w:cs="Calibri"/>
          <w:b/>
          <w:bCs/>
          <w:kern w:val="0"/>
          <w:sz w:val="22"/>
        </w:rPr>
        <w:t xml:space="preserve">4.2 投标文件的递交 </w:t>
      </w:r>
      <w:bookmarkEnd w:id="36"/>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7" w:name="_Toc26099"/>
      <w:r>
        <w:rPr>
          <w:rFonts w:ascii="宋体" w:hAnsi="宋体" w:cs="Calibri"/>
          <w:b/>
          <w:bCs/>
          <w:kern w:val="0"/>
          <w:sz w:val="22"/>
        </w:rPr>
        <w:t>4.3 投标文件的修改和撤回</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8" w:name="_Toc29641"/>
      <w:r>
        <w:rPr>
          <w:rFonts w:ascii="宋体" w:hAnsi="宋体" w:cs="Calibri"/>
          <w:b/>
          <w:bCs/>
          <w:kern w:val="0"/>
          <w:sz w:val="22"/>
        </w:rPr>
        <w:t>5.开标</w:t>
      </w:r>
      <w:bookmarkEnd w:id="38"/>
    </w:p>
    <w:p>
      <w:pPr>
        <w:autoSpaceDE w:val="0"/>
        <w:autoSpaceDN w:val="0"/>
        <w:adjustRightInd w:val="0"/>
        <w:snapToGrid w:val="0"/>
        <w:spacing w:line="360" w:lineRule="exact"/>
        <w:rPr>
          <w:rFonts w:ascii="宋体" w:hAnsi="宋体" w:cs="Calibri"/>
          <w:b/>
          <w:bCs/>
          <w:kern w:val="0"/>
          <w:sz w:val="22"/>
        </w:rPr>
      </w:pPr>
      <w:bookmarkStart w:id="39" w:name="_Toc15123"/>
      <w:r>
        <w:rPr>
          <w:rFonts w:ascii="宋体" w:hAnsi="宋体" w:cs="Calibri"/>
          <w:b/>
          <w:bCs/>
          <w:kern w:val="0"/>
          <w:sz w:val="22"/>
        </w:rPr>
        <w:t>5.1 开标时间和地点</w:t>
      </w:r>
      <w:bookmarkEnd w:id="39"/>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40" w:name="_Toc7101"/>
      <w:r>
        <w:rPr>
          <w:rFonts w:ascii="宋体" w:hAnsi="宋体" w:cs="Calibri"/>
          <w:b/>
          <w:bCs/>
          <w:kern w:val="0"/>
          <w:sz w:val="22"/>
        </w:rPr>
        <w:t>5.2 开标程序</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按照宣布的开标顺序当众开标，公布投标人名称、投标保证金的递交情况、投标报价、工期</w:t>
      </w:r>
      <w:r>
        <w:rPr>
          <w:rFonts w:hint="eastAsia" w:ascii="宋体" w:hAnsi="宋体" w:cs="Calibri"/>
          <w:sz w:val="22"/>
        </w:rPr>
        <w:t>、质量目标</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41" w:name="_Toc31578"/>
      <w:r>
        <w:rPr>
          <w:rFonts w:ascii="宋体" w:hAnsi="宋体" w:cs="Calibri"/>
          <w:b/>
          <w:bCs/>
          <w:kern w:val="0"/>
          <w:sz w:val="22"/>
        </w:rPr>
        <w:t>6.评标</w:t>
      </w:r>
      <w:bookmarkEnd w:id="41"/>
    </w:p>
    <w:p>
      <w:pPr>
        <w:autoSpaceDE w:val="0"/>
        <w:autoSpaceDN w:val="0"/>
        <w:adjustRightInd w:val="0"/>
        <w:snapToGrid w:val="0"/>
        <w:spacing w:line="360" w:lineRule="exact"/>
        <w:rPr>
          <w:rFonts w:ascii="宋体" w:hAnsi="宋体" w:cs="Calibri"/>
          <w:b/>
          <w:bCs/>
          <w:kern w:val="0"/>
          <w:sz w:val="22"/>
        </w:rPr>
      </w:pPr>
      <w:bookmarkStart w:id="42" w:name="_Toc10279"/>
      <w:r>
        <w:rPr>
          <w:rFonts w:ascii="宋体" w:hAnsi="宋体" w:cs="Calibri"/>
          <w:b/>
          <w:bCs/>
          <w:kern w:val="0"/>
          <w:sz w:val="22"/>
        </w:rPr>
        <w:t>6.1 评标委员会</w:t>
      </w:r>
      <w:bookmarkEnd w:id="42"/>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43" w:name="_Toc3460"/>
      <w:r>
        <w:rPr>
          <w:rFonts w:ascii="宋体" w:hAnsi="宋体" w:cs="Calibri"/>
          <w:b/>
          <w:bCs/>
          <w:kern w:val="0"/>
          <w:sz w:val="22"/>
        </w:rPr>
        <w:t>6.2 评标原则</w:t>
      </w:r>
      <w:bookmarkEnd w:id="43"/>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44" w:name="_Toc28178"/>
      <w:r>
        <w:rPr>
          <w:rFonts w:ascii="宋体" w:hAnsi="宋体" w:cs="Calibri"/>
          <w:b/>
          <w:bCs/>
          <w:kern w:val="0"/>
          <w:sz w:val="22"/>
        </w:rPr>
        <w:t>6.3 评标</w:t>
      </w:r>
      <w:bookmarkEnd w:id="44"/>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六</w:t>
      </w:r>
      <w:r>
        <w:rPr>
          <w:rFonts w:ascii="宋体" w:hAnsi="宋体" w:cs="Calibri"/>
          <w:kern w:val="0"/>
          <w:sz w:val="22"/>
        </w:rPr>
        <w:t>章“评标方法及标准”对投标文件进行评审。第</w:t>
      </w:r>
      <w:r>
        <w:rPr>
          <w:rFonts w:hint="eastAsia" w:ascii="宋体" w:hAnsi="宋体" w:cs="Calibri"/>
          <w:kern w:val="0"/>
          <w:sz w:val="22"/>
        </w:rPr>
        <w:t>六</w:t>
      </w:r>
      <w:r>
        <w:rPr>
          <w:rFonts w:ascii="宋体" w:hAnsi="宋体" w:cs="Calibri"/>
          <w:kern w:val="0"/>
          <w:sz w:val="22"/>
        </w:rPr>
        <w:t>章“评标方法及标准”没有规定的方法、评审因素和标准，不作为评标依据。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45" w:name="_Toc24237"/>
      <w:r>
        <w:rPr>
          <w:rFonts w:ascii="宋体" w:hAnsi="宋体" w:cs="Calibri"/>
          <w:b/>
          <w:bCs/>
          <w:kern w:val="0"/>
          <w:sz w:val="22"/>
        </w:rPr>
        <w:t>7.合同授予</w:t>
      </w:r>
      <w:bookmarkEnd w:id="45"/>
    </w:p>
    <w:p>
      <w:pPr>
        <w:autoSpaceDE w:val="0"/>
        <w:autoSpaceDN w:val="0"/>
        <w:adjustRightInd w:val="0"/>
        <w:snapToGrid w:val="0"/>
        <w:spacing w:line="360" w:lineRule="exact"/>
        <w:rPr>
          <w:rFonts w:ascii="宋体" w:hAnsi="宋体" w:cs="Calibri"/>
          <w:b/>
          <w:bCs/>
          <w:kern w:val="0"/>
          <w:sz w:val="22"/>
        </w:rPr>
      </w:pPr>
      <w:bookmarkStart w:id="46" w:name="_Toc18809"/>
      <w:r>
        <w:rPr>
          <w:rFonts w:ascii="宋体" w:hAnsi="宋体" w:cs="Calibri"/>
          <w:b/>
          <w:bCs/>
          <w:kern w:val="0"/>
          <w:sz w:val="22"/>
        </w:rPr>
        <w:t>7.1 定标方式</w:t>
      </w:r>
      <w:bookmarkEnd w:id="46"/>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7" w:name="_Toc14573"/>
      <w:r>
        <w:rPr>
          <w:rFonts w:ascii="宋体" w:hAnsi="宋体" w:cs="Calibri"/>
          <w:b/>
          <w:bCs/>
          <w:kern w:val="0"/>
          <w:sz w:val="22"/>
        </w:rPr>
        <w:t>7.2 中标通知</w:t>
      </w:r>
      <w:bookmarkEnd w:id="47"/>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在投标人须知第3.4款规定的投标有效期内，招标人以书面形式向中标人发出中标通知书，同时将中标结果通知未中标的投标人。</w:t>
      </w:r>
    </w:p>
    <w:p>
      <w:pPr>
        <w:autoSpaceDE w:val="0"/>
        <w:autoSpaceDN w:val="0"/>
        <w:adjustRightInd w:val="0"/>
        <w:snapToGrid w:val="0"/>
        <w:spacing w:line="360" w:lineRule="exact"/>
        <w:rPr>
          <w:rFonts w:ascii="宋体" w:hAnsi="宋体" w:cs="Calibri"/>
          <w:b/>
          <w:bCs/>
          <w:kern w:val="0"/>
          <w:sz w:val="22"/>
        </w:rPr>
      </w:pPr>
      <w:bookmarkStart w:id="48" w:name="_Toc27132"/>
      <w:r>
        <w:rPr>
          <w:rFonts w:ascii="宋体" w:hAnsi="宋体" w:cs="Calibri"/>
          <w:b/>
          <w:bCs/>
          <w:kern w:val="0"/>
          <w:sz w:val="22"/>
        </w:rPr>
        <w:t>7.3 履约</w:t>
      </w:r>
      <w:r>
        <w:rPr>
          <w:rFonts w:hint="eastAsia" w:ascii="宋体" w:hAnsi="宋体" w:cs="Calibri"/>
          <w:b/>
          <w:bCs/>
          <w:kern w:val="0"/>
          <w:sz w:val="22"/>
        </w:rPr>
        <w:t>保证金</w:t>
      </w:r>
      <w:bookmarkEnd w:id="48"/>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9" w:name="_Toc27581"/>
      <w:r>
        <w:rPr>
          <w:rFonts w:ascii="宋体" w:hAnsi="宋体" w:cs="Calibri"/>
          <w:b/>
          <w:bCs/>
          <w:kern w:val="0"/>
          <w:sz w:val="22"/>
        </w:rPr>
        <w:t>7.4 签订合同</w:t>
      </w:r>
      <w:bookmarkEnd w:id="49"/>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50" w:name="_Toc220123241"/>
      <w:bookmarkStart w:id="51" w:name="_Toc11806"/>
      <w:bookmarkStart w:id="52" w:name="_Toc21980980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7.4.3 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ascii="宋体" w:hAnsi="宋体" w:cs="Calibri"/>
          <w:kern w:val="0"/>
          <w:sz w:val="22"/>
        </w:rPr>
      </w:pPr>
      <w:r>
        <w:rPr>
          <w:rFonts w:hint="eastAsia" w:cs="Calibri" w:asciiTheme="minorEastAsia" w:hAnsiTheme="minorEastAsia" w:eastAsiaTheme="minorEastAsia"/>
          <w:kern w:val="0"/>
          <w:sz w:val="22"/>
        </w:rPr>
        <w:t>7.4.4 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50"/>
      <w:bookmarkEnd w:id="51"/>
      <w:bookmarkEnd w:id="52"/>
    </w:p>
    <w:p>
      <w:pPr>
        <w:autoSpaceDE w:val="0"/>
        <w:autoSpaceDN w:val="0"/>
        <w:adjustRightInd w:val="0"/>
        <w:snapToGrid w:val="0"/>
        <w:spacing w:line="360" w:lineRule="exact"/>
        <w:rPr>
          <w:rFonts w:ascii="宋体" w:hAnsi="宋体" w:cs="Calibri"/>
          <w:b/>
          <w:bCs/>
          <w:kern w:val="0"/>
          <w:sz w:val="22"/>
        </w:rPr>
      </w:pPr>
      <w:bookmarkStart w:id="53" w:name="_Toc15553"/>
      <w:bookmarkStart w:id="54" w:name="_Toc220123242"/>
      <w:bookmarkStart w:id="55" w:name="_Toc219809802"/>
      <w:r>
        <w:rPr>
          <w:rFonts w:ascii="宋体" w:hAnsi="宋体" w:cs="Calibri"/>
          <w:b/>
          <w:bCs/>
          <w:kern w:val="0"/>
          <w:sz w:val="22"/>
        </w:rPr>
        <w:t>8.1 重新招标</w:t>
      </w:r>
      <w:bookmarkEnd w:id="53"/>
      <w:bookmarkEnd w:id="54"/>
      <w:bookmarkEnd w:id="55"/>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56" w:name="_Toc18806"/>
      <w:bookmarkStart w:id="57" w:name="_Toc219809803"/>
      <w:bookmarkStart w:id="58" w:name="_Toc220123243"/>
      <w:r>
        <w:rPr>
          <w:rFonts w:ascii="宋体" w:hAnsi="宋体" w:cs="Calibri"/>
          <w:b/>
          <w:bCs/>
          <w:kern w:val="0"/>
          <w:sz w:val="22"/>
        </w:rPr>
        <w:t>8.2 不再招标</w:t>
      </w:r>
      <w:bookmarkEnd w:id="56"/>
      <w:bookmarkEnd w:id="57"/>
      <w:bookmarkEnd w:id="58"/>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9" w:name="_Toc2986"/>
      <w:bookmarkStart w:id="60" w:name="_Toc220123244"/>
      <w:bookmarkStart w:id="61" w:name="_Toc215941254"/>
      <w:bookmarkStart w:id="62" w:name="_Toc219809804"/>
      <w:r>
        <w:rPr>
          <w:rFonts w:ascii="宋体" w:hAnsi="宋体" w:cs="Calibri"/>
          <w:b/>
          <w:bCs/>
          <w:kern w:val="0"/>
          <w:sz w:val="22"/>
        </w:rPr>
        <w:t>9.纪律和监督</w:t>
      </w:r>
      <w:bookmarkEnd w:id="59"/>
      <w:bookmarkEnd w:id="60"/>
      <w:bookmarkEnd w:id="61"/>
      <w:bookmarkEnd w:id="62"/>
    </w:p>
    <w:p>
      <w:pPr>
        <w:autoSpaceDE w:val="0"/>
        <w:autoSpaceDN w:val="0"/>
        <w:adjustRightInd w:val="0"/>
        <w:snapToGrid w:val="0"/>
        <w:spacing w:line="360" w:lineRule="exact"/>
        <w:rPr>
          <w:rFonts w:ascii="宋体" w:hAnsi="宋体" w:cs="Calibri"/>
          <w:b/>
          <w:bCs/>
          <w:kern w:val="0"/>
          <w:sz w:val="22"/>
        </w:rPr>
      </w:pPr>
      <w:bookmarkStart w:id="63" w:name="_Toc219809805"/>
      <w:bookmarkStart w:id="64" w:name="_Toc220123245"/>
      <w:bookmarkStart w:id="65" w:name="_Toc5509"/>
      <w:r>
        <w:rPr>
          <w:rFonts w:ascii="宋体" w:hAnsi="宋体" w:cs="Calibri"/>
          <w:b/>
          <w:bCs/>
          <w:kern w:val="0"/>
          <w:sz w:val="22"/>
        </w:rPr>
        <w:t>9.1 对招标人的纪律要求</w:t>
      </w:r>
      <w:bookmarkEnd w:id="63"/>
      <w:bookmarkEnd w:id="64"/>
      <w:bookmarkEnd w:id="65"/>
    </w:p>
    <w:p>
      <w:pPr>
        <w:adjustRightInd w:val="0"/>
        <w:snapToGrid w:val="0"/>
        <w:spacing w:line="360" w:lineRule="exact"/>
        <w:ind w:firstLine="440"/>
        <w:rPr>
          <w:rFonts w:ascii="宋体" w:hAnsi="宋体" w:cs="Calibri"/>
          <w:sz w:val="22"/>
        </w:rPr>
      </w:pPr>
      <w:r>
        <w:rPr>
          <w:rFonts w:ascii="宋体" w:hAnsi="宋体" w:cs="Calibri"/>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66" w:name="_Toc219809806"/>
      <w:bookmarkStart w:id="67" w:name="_Toc220123246"/>
      <w:bookmarkStart w:id="68" w:name="_Toc10820"/>
      <w:r>
        <w:rPr>
          <w:rFonts w:ascii="宋体" w:hAnsi="宋体" w:cs="Calibri"/>
          <w:b/>
          <w:bCs/>
          <w:kern w:val="0"/>
          <w:sz w:val="22"/>
        </w:rPr>
        <w:t>9.2 对投标人的纪律要求</w:t>
      </w:r>
      <w:bookmarkEnd w:id="66"/>
      <w:bookmarkEnd w:id="67"/>
      <w:bookmarkEnd w:id="68"/>
    </w:p>
    <w:p>
      <w:pPr>
        <w:adjustRightInd w:val="0"/>
        <w:snapToGrid w:val="0"/>
        <w:spacing w:line="360" w:lineRule="exact"/>
        <w:ind w:firstLine="440"/>
        <w:rPr>
          <w:rFonts w:ascii="宋体" w:hAnsi="宋体" w:cs="Calibri"/>
          <w:sz w:val="22"/>
        </w:rPr>
      </w:pPr>
      <w:r>
        <w:rPr>
          <w:rFonts w:ascii="宋体" w:hAnsi="宋体" w:cs="Calibri"/>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sz w:val="22"/>
        </w:rPr>
      </w:pPr>
      <w:r>
        <w:rPr>
          <w:rFonts w:hint="eastAsia" w:ascii="宋体" w:hAnsi="宋体" w:cs="Calibri"/>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9" w:name="_Toc219809807"/>
      <w:bookmarkStart w:id="70" w:name="_Toc10756"/>
      <w:bookmarkStart w:id="71" w:name="_Toc220123247"/>
      <w:r>
        <w:rPr>
          <w:rFonts w:ascii="宋体" w:hAnsi="宋体" w:cs="Calibri"/>
          <w:b/>
          <w:bCs/>
          <w:kern w:val="0"/>
          <w:sz w:val="22"/>
        </w:rPr>
        <w:t>9.3 对评标委员会成员的纪律要求</w:t>
      </w:r>
      <w:bookmarkEnd w:id="69"/>
      <w:bookmarkEnd w:id="70"/>
      <w:bookmarkEnd w:id="71"/>
    </w:p>
    <w:p>
      <w:pPr>
        <w:adjustRightInd w:val="0"/>
        <w:snapToGrid w:val="0"/>
        <w:spacing w:line="360" w:lineRule="exact"/>
        <w:ind w:firstLine="440"/>
        <w:rPr>
          <w:rFonts w:ascii="宋体" w:hAnsi="宋体" w:cs="Calibri"/>
          <w:sz w:val="22"/>
        </w:rPr>
      </w:pPr>
      <w:r>
        <w:rPr>
          <w:rFonts w:ascii="宋体" w:hAnsi="宋体" w:cs="Calibri"/>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sz w:val="22"/>
        </w:rPr>
        <w:t>六</w:t>
      </w:r>
      <w:r>
        <w:rPr>
          <w:rFonts w:ascii="宋体" w:hAnsi="宋体" w:cs="Calibri"/>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72" w:name="_Toc12792"/>
      <w:bookmarkStart w:id="73" w:name="_Toc219809808"/>
      <w:bookmarkStart w:id="74" w:name="_Toc220123248"/>
      <w:r>
        <w:rPr>
          <w:rFonts w:ascii="宋体" w:hAnsi="宋体" w:cs="Calibri"/>
          <w:b/>
          <w:bCs/>
          <w:kern w:val="0"/>
          <w:sz w:val="22"/>
        </w:rPr>
        <w:t>9.4 对评标活动有关的工作人员的纪律要求</w:t>
      </w:r>
      <w:bookmarkEnd w:id="72"/>
      <w:bookmarkEnd w:id="73"/>
      <w:bookmarkEnd w:id="74"/>
    </w:p>
    <w:p>
      <w:pPr>
        <w:adjustRightInd w:val="0"/>
        <w:snapToGrid w:val="0"/>
        <w:spacing w:line="360" w:lineRule="exact"/>
        <w:ind w:firstLine="440"/>
        <w:rPr>
          <w:rFonts w:ascii="宋体" w:hAnsi="宋体" w:cs="Calibri"/>
          <w:sz w:val="22"/>
        </w:rPr>
      </w:pPr>
      <w:r>
        <w:rPr>
          <w:rFonts w:ascii="宋体" w:hAnsi="宋体" w:cs="Calibri"/>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75" w:name="_Toc220123249"/>
      <w:bookmarkStart w:id="76" w:name="_Toc239"/>
      <w:bookmarkStart w:id="77" w:name="_Toc219809809"/>
      <w:r>
        <w:rPr>
          <w:rFonts w:ascii="宋体" w:hAnsi="宋体" w:cs="Calibri"/>
          <w:b/>
          <w:bCs/>
          <w:kern w:val="0"/>
          <w:sz w:val="22"/>
        </w:rPr>
        <w:t>9.5 投诉</w:t>
      </w:r>
      <w:bookmarkEnd w:id="75"/>
      <w:bookmarkEnd w:id="76"/>
      <w:bookmarkEnd w:id="77"/>
    </w:p>
    <w:p>
      <w:pPr>
        <w:adjustRightInd w:val="0"/>
        <w:snapToGrid w:val="0"/>
        <w:spacing w:line="360" w:lineRule="exact"/>
        <w:ind w:firstLine="440"/>
        <w:rPr>
          <w:rFonts w:ascii="宋体" w:hAnsi="宋体" w:cs="Calibri"/>
          <w:sz w:val="22"/>
        </w:rPr>
      </w:pPr>
      <w:r>
        <w:rPr>
          <w:rFonts w:ascii="宋体" w:hAnsi="宋体" w:cs="Calibri"/>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8" w:name="_Toc10817"/>
      <w:r>
        <w:rPr>
          <w:rFonts w:ascii="宋体" w:hAnsi="宋体" w:cs="Calibri"/>
          <w:b/>
          <w:bCs/>
          <w:kern w:val="0"/>
          <w:sz w:val="22"/>
        </w:rPr>
        <w:t>10. 需要补充的其他内容</w:t>
      </w:r>
      <w:bookmarkEnd w:id="78"/>
    </w:p>
    <w:p>
      <w:pPr>
        <w:autoSpaceDE w:val="0"/>
        <w:autoSpaceDN w:val="0"/>
        <w:adjustRightInd w:val="0"/>
        <w:snapToGrid w:val="0"/>
        <w:spacing w:line="360" w:lineRule="exact"/>
        <w:ind w:firstLine="440"/>
        <w:jc w:val="left"/>
        <w:rPr>
          <w:rFonts w:ascii="宋体" w:hAnsi="宋体" w:cs="Calibri"/>
          <w:sz w:val="22"/>
        </w:rPr>
      </w:pPr>
      <w:r>
        <w:rPr>
          <w:rFonts w:ascii="宋体" w:hAnsi="宋体" w:cs="Calibri"/>
          <w:sz w:val="22"/>
        </w:rPr>
        <w:t>需要补充的其他内容：见投标人须知前附表。</w:t>
      </w:r>
    </w:p>
    <w:p>
      <w:pPr>
        <w:autoSpaceDE w:val="0"/>
        <w:autoSpaceDN w:val="0"/>
        <w:adjustRightInd w:val="0"/>
        <w:snapToGrid w:val="0"/>
        <w:spacing w:line="360" w:lineRule="exact"/>
        <w:ind w:firstLine="440"/>
        <w:jc w:val="left"/>
        <w:rPr>
          <w:rFonts w:ascii="宋体" w:hAnsi="宋体" w:cs="Calibri"/>
          <w:sz w:val="22"/>
        </w:rPr>
      </w:pPr>
      <w:r>
        <w:rPr>
          <w:rFonts w:ascii="宋体" w:hAnsi="宋体" w:cs="Calibri"/>
          <w:sz w:val="22"/>
        </w:rPr>
        <w:br w:type="page"/>
      </w:r>
    </w:p>
    <w:p>
      <w:pPr>
        <w:pStyle w:val="48"/>
      </w:pPr>
      <w:bookmarkStart w:id="79" w:name="_Toc7479"/>
      <w:bookmarkStart w:id="80" w:name="_Toc450630559"/>
    </w:p>
    <w:p>
      <w:pPr>
        <w:pStyle w:val="48"/>
      </w:pPr>
      <w:r>
        <w:t>第</w:t>
      </w:r>
      <w:r>
        <w:rPr>
          <w:rFonts w:hint="eastAsia"/>
        </w:rPr>
        <w:t>三</w:t>
      </w:r>
      <w:r>
        <w:t xml:space="preserve">章  </w:t>
      </w:r>
      <w:r>
        <w:rPr>
          <w:rFonts w:hint="eastAsia"/>
        </w:rPr>
        <w:t>合同条款及格式</w:t>
      </w:r>
      <w:bookmarkEnd w:id="79"/>
      <w:bookmarkEnd w:id="80"/>
    </w:p>
    <w:p>
      <w:pPr>
        <w:adjustRightInd w:val="0"/>
        <w:snapToGrid w:val="0"/>
        <w:spacing w:line="560" w:lineRule="exact"/>
        <w:ind w:firstLine="452"/>
        <w:jc w:val="left"/>
        <w:rPr>
          <w:rFonts w:ascii="仿宋_GB2312" w:hAnsi="仿宋_GB2312" w:eastAsia="仿宋_GB2312" w:cs="仿宋_GB2312"/>
          <w:b/>
          <w:sz w:val="28"/>
          <w:szCs w:val="28"/>
          <w:u w:val="single"/>
        </w:rPr>
      </w:pPr>
      <w:bookmarkStart w:id="81" w:name="_Toc12988"/>
      <w:bookmarkStart w:id="82" w:name="_Toc450630560"/>
      <w:bookmarkStart w:id="83" w:name="_Toc448097405"/>
      <w:r>
        <w:rPr>
          <w:rFonts w:hint="eastAsia" w:ascii="仿宋_GB2312" w:hAnsi="仿宋_GB2312" w:eastAsia="仿宋_GB2312" w:cs="仿宋_GB2312"/>
          <w:b/>
          <w:sz w:val="28"/>
          <w:szCs w:val="28"/>
        </w:rPr>
        <w:t>甲方：</w:t>
      </w:r>
      <w:r>
        <w:rPr>
          <w:rFonts w:hint="eastAsia" w:ascii="仿宋_GB2312" w:hAnsi="仿宋_GB2312" w:eastAsia="仿宋_GB2312" w:cs="仿宋_GB2312"/>
          <w:b/>
          <w:sz w:val="28"/>
          <w:szCs w:val="28"/>
          <w:u w:val="single"/>
        </w:rPr>
        <w:t>杭州萧山国际机场有限公司</w:t>
      </w:r>
    </w:p>
    <w:p>
      <w:pPr>
        <w:adjustRightInd w:val="0"/>
        <w:snapToGrid w:val="0"/>
        <w:spacing w:line="560" w:lineRule="exact"/>
        <w:ind w:firstLine="452"/>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住所地：</w:t>
      </w:r>
      <w:r>
        <w:rPr>
          <w:rFonts w:hint="eastAsia" w:ascii="仿宋_GB2312" w:hAnsi="仿宋_GB2312" w:eastAsia="仿宋_GB2312" w:cs="仿宋_GB2312"/>
          <w:b/>
          <w:sz w:val="28"/>
          <w:szCs w:val="28"/>
          <w:u w:val="single"/>
        </w:rPr>
        <w:t xml:space="preserve">杭州萧山国际机场内    </w:t>
      </w:r>
    </w:p>
    <w:p>
      <w:pPr>
        <w:adjustRightInd w:val="0"/>
        <w:snapToGrid w:val="0"/>
        <w:spacing w:line="560" w:lineRule="exact"/>
        <w:ind w:firstLine="452"/>
        <w:jc w:val="left"/>
        <w:rPr>
          <w:rFonts w:ascii="仿宋_GB2312" w:hAnsi="仿宋_GB2312" w:eastAsia="仿宋_GB2312" w:cs="仿宋_GB2312"/>
          <w:b/>
          <w:sz w:val="28"/>
          <w:szCs w:val="28"/>
        </w:rPr>
      </w:pPr>
    </w:p>
    <w:p>
      <w:pPr>
        <w:adjustRightInd w:val="0"/>
        <w:snapToGrid w:val="0"/>
        <w:spacing w:line="560" w:lineRule="exact"/>
        <w:ind w:firstLine="452"/>
        <w:jc w:val="left"/>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乙方：</w:t>
      </w:r>
    </w:p>
    <w:p>
      <w:pPr>
        <w:adjustRightInd w:val="0"/>
        <w:snapToGrid w:val="0"/>
        <w:spacing w:line="560" w:lineRule="exact"/>
        <w:ind w:firstLine="452"/>
        <w:jc w:val="left"/>
        <w:rPr>
          <w:rFonts w:ascii="仿宋_GB2312" w:hAnsi="仿宋_GB2312" w:eastAsia="仿宋_GB2312" w:cs="仿宋_GB2312"/>
          <w:sz w:val="28"/>
          <w:szCs w:val="28"/>
          <w:u w:val="single"/>
        </w:rPr>
      </w:pPr>
      <w:r>
        <w:rPr>
          <w:rFonts w:hint="eastAsia" w:ascii="仿宋_GB2312" w:hAnsi="仿宋_GB2312" w:eastAsia="仿宋_GB2312" w:cs="仿宋_GB2312"/>
          <w:b/>
          <w:sz w:val="28"/>
          <w:szCs w:val="28"/>
        </w:rPr>
        <w:t>住所地：</w:t>
      </w:r>
    </w:p>
    <w:p>
      <w:pPr>
        <w:adjustRightInd w:val="0"/>
        <w:snapToGrid w:val="0"/>
        <w:spacing w:line="560" w:lineRule="exact"/>
        <w:ind w:firstLine="450"/>
        <w:jc w:val="left"/>
        <w:rPr>
          <w:rFonts w:ascii="仿宋_GB2312" w:hAnsi="仿宋_GB2312" w:eastAsia="仿宋_GB2312" w:cs="仿宋_GB2312"/>
          <w:sz w:val="28"/>
          <w:szCs w:val="28"/>
        </w:rPr>
      </w:pPr>
    </w:p>
    <w:p>
      <w:pPr>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甲、乙双方根据《中华人民共和国合同法》等相关法律法规，就相关产品采购事宜，在互利、平等的原则基础上，经协商一致，特签订本合同，以共同遵守。</w:t>
      </w:r>
    </w:p>
    <w:p>
      <w:pPr>
        <w:spacing w:line="560" w:lineRule="exact"/>
        <w:ind w:firstLine="593"/>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一、产品规格型号及参数</w:t>
      </w:r>
    </w:p>
    <w:p>
      <w:pPr>
        <w:spacing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本合同下，乙方向甲方提供如下系统及服务：</w:t>
      </w:r>
    </w:p>
    <w:tbl>
      <w:tblPr>
        <w:tblStyle w:val="52"/>
        <w:tblW w:w="96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527"/>
        <w:gridCol w:w="1680"/>
        <w:gridCol w:w="705"/>
        <w:gridCol w:w="735"/>
        <w:gridCol w:w="1590"/>
        <w:gridCol w:w="1701"/>
        <w:gridCol w:w="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pPr>
              <w:pStyle w:val="103"/>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527" w:type="dxa"/>
            <w:tcBorders>
              <w:top w:val="single" w:color="auto" w:sz="4" w:space="0"/>
              <w:left w:val="single" w:color="auto" w:sz="4" w:space="0"/>
              <w:bottom w:val="single" w:color="auto" w:sz="4" w:space="0"/>
              <w:right w:val="single" w:color="auto" w:sz="4" w:space="0"/>
            </w:tcBorders>
            <w:vAlign w:val="center"/>
          </w:tcPr>
          <w:p>
            <w:pPr>
              <w:pStyle w:val="103"/>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产品名称</w:t>
            </w:r>
          </w:p>
        </w:tc>
        <w:tc>
          <w:tcPr>
            <w:tcW w:w="1680" w:type="dxa"/>
            <w:tcBorders>
              <w:top w:val="single" w:color="auto" w:sz="4" w:space="0"/>
              <w:left w:val="single" w:color="auto" w:sz="4" w:space="0"/>
              <w:bottom w:val="single" w:color="auto" w:sz="4" w:space="0"/>
              <w:right w:val="single" w:color="auto" w:sz="4" w:space="0"/>
            </w:tcBorders>
            <w:vAlign w:val="center"/>
          </w:tcPr>
          <w:p>
            <w:pPr>
              <w:pStyle w:val="103"/>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品牌型号</w:t>
            </w:r>
          </w:p>
        </w:tc>
        <w:tc>
          <w:tcPr>
            <w:tcW w:w="705" w:type="dxa"/>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单位</w:t>
            </w:r>
          </w:p>
        </w:tc>
        <w:tc>
          <w:tcPr>
            <w:tcW w:w="735" w:type="dxa"/>
            <w:tcBorders>
              <w:top w:val="single" w:color="auto" w:sz="4" w:space="0"/>
              <w:left w:val="single" w:color="auto" w:sz="4" w:space="0"/>
              <w:bottom w:val="single" w:color="auto" w:sz="4" w:space="0"/>
              <w:right w:val="single" w:color="auto" w:sz="4" w:space="0"/>
            </w:tcBorders>
            <w:vAlign w:val="center"/>
          </w:tcPr>
          <w:p>
            <w:pPr>
              <w:pStyle w:val="103"/>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1590" w:type="dxa"/>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单价（元）</w:t>
            </w:r>
          </w:p>
        </w:tc>
        <w:tc>
          <w:tcPr>
            <w:tcW w:w="1701" w:type="dxa"/>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金额（元）</w:t>
            </w:r>
          </w:p>
        </w:tc>
        <w:tc>
          <w:tcPr>
            <w:tcW w:w="884" w:type="dxa"/>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1</w:t>
            </w:r>
          </w:p>
        </w:tc>
        <w:tc>
          <w:tcPr>
            <w:tcW w:w="15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left"/>
              <w:rPr>
                <w:rFonts w:ascii="仿宋_GB2312" w:hAnsi="仿宋_GB2312" w:eastAsia="仿宋_GB2312" w:cs="仿宋_GB2312"/>
                <w:sz w:val="28"/>
                <w:szCs w:val="28"/>
              </w:rPr>
            </w:pPr>
          </w:p>
        </w:tc>
        <w:tc>
          <w:tcPr>
            <w:tcW w:w="16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firstLine="560" w:firstLineChars="200"/>
              <w:jc w:val="left"/>
              <w:rPr>
                <w:rFonts w:ascii="仿宋_GB2312" w:hAnsi="仿宋_GB2312" w:eastAsia="仿宋_GB2312" w:cs="仿宋_GB2312"/>
                <w:sz w:val="28"/>
                <w:szCs w:val="28"/>
              </w:rPr>
            </w:pPr>
          </w:p>
        </w:tc>
        <w:tc>
          <w:tcPr>
            <w:tcW w:w="7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rPr>
                <w:rFonts w:ascii="仿宋_GB2312" w:hAnsi="仿宋_GB2312" w:eastAsia="仿宋_GB2312" w:cs="仿宋_GB2312"/>
                <w:sz w:val="28"/>
                <w:szCs w:val="28"/>
              </w:rPr>
            </w:pPr>
          </w:p>
        </w:tc>
        <w:tc>
          <w:tcPr>
            <w:tcW w:w="7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rPr>
                <w:rFonts w:ascii="仿宋_GB2312" w:hAnsi="仿宋_GB2312" w:eastAsia="仿宋_GB2312" w:cs="仿宋_GB2312"/>
                <w:sz w:val="28"/>
                <w:szCs w:val="28"/>
              </w:rPr>
            </w:pPr>
          </w:p>
        </w:tc>
        <w:tc>
          <w:tcPr>
            <w:tcW w:w="15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firstLine="560" w:firstLineChars="200"/>
              <w:jc w:val="left"/>
              <w:rPr>
                <w:rFonts w:ascii="仿宋_GB2312" w:hAnsi="仿宋_GB2312" w:eastAsia="仿宋_GB2312" w:cs="仿宋_GB2312"/>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firstLine="560" w:firstLineChars="200"/>
              <w:jc w:val="left"/>
              <w:rPr>
                <w:rFonts w:ascii="仿宋_GB2312" w:hAnsi="仿宋_GB2312" w:eastAsia="仿宋_GB2312" w:cs="仿宋_GB2312"/>
                <w:sz w:val="28"/>
                <w:szCs w:val="28"/>
              </w:rPr>
            </w:pPr>
          </w:p>
        </w:tc>
        <w:tc>
          <w:tcPr>
            <w:tcW w:w="8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5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left"/>
              <w:rPr>
                <w:rFonts w:ascii="仿宋_GB2312" w:hAnsi="仿宋_GB2312" w:eastAsia="仿宋_GB2312" w:cs="仿宋_GB2312"/>
                <w:sz w:val="28"/>
                <w:szCs w:val="28"/>
              </w:rPr>
            </w:pPr>
          </w:p>
        </w:tc>
        <w:tc>
          <w:tcPr>
            <w:tcW w:w="16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firstLine="560" w:firstLineChars="200"/>
              <w:jc w:val="left"/>
              <w:rPr>
                <w:rFonts w:ascii="仿宋_GB2312" w:hAnsi="仿宋_GB2312" w:eastAsia="仿宋_GB2312" w:cs="仿宋_GB2312"/>
                <w:sz w:val="28"/>
                <w:szCs w:val="28"/>
              </w:rPr>
            </w:pPr>
          </w:p>
        </w:tc>
        <w:tc>
          <w:tcPr>
            <w:tcW w:w="7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rPr>
                <w:rFonts w:ascii="仿宋_GB2312" w:hAnsi="仿宋_GB2312" w:eastAsia="仿宋_GB2312" w:cs="仿宋_GB2312"/>
                <w:sz w:val="28"/>
                <w:szCs w:val="28"/>
              </w:rPr>
            </w:pPr>
          </w:p>
        </w:tc>
        <w:tc>
          <w:tcPr>
            <w:tcW w:w="7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rPr>
                <w:rFonts w:ascii="仿宋_GB2312" w:hAnsi="仿宋_GB2312" w:eastAsia="仿宋_GB2312" w:cs="仿宋_GB2312"/>
                <w:sz w:val="28"/>
                <w:szCs w:val="28"/>
              </w:rPr>
            </w:pPr>
          </w:p>
        </w:tc>
        <w:tc>
          <w:tcPr>
            <w:tcW w:w="15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firstLine="560" w:firstLineChars="200"/>
              <w:jc w:val="left"/>
              <w:rPr>
                <w:rFonts w:ascii="仿宋_GB2312" w:hAnsi="仿宋_GB2312" w:eastAsia="仿宋_GB2312" w:cs="仿宋_GB2312"/>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firstLine="560" w:firstLineChars="200"/>
              <w:jc w:val="left"/>
              <w:rPr>
                <w:rFonts w:ascii="仿宋_GB2312" w:hAnsi="仿宋_GB2312" w:eastAsia="仿宋_GB2312" w:cs="仿宋_GB2312"/>
                <w:sz w:val="28"/>
                <w:szCs w:val="28"/>
              </w:rPr>
            </w:pPr>
          </w:p>
        </w:tc>
        <w:tc>
          <w:tcPr>
            <w:tcW w:w="8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ind w:firstLine="560" w:firstLineChars="20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pPr>
              <w:pStyle w:val="103"/>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合计</w:t>
            </w:r>
          </w:p>
        </w:tc>
        <w:tc>
          <w:tcPr>
            <w:tcW w:w="8822" w:type="dxa"/>
            <w:gridSpan w:val="7"/>
            <w:tcBorders>
              <w:top w:val="single" w:color="auto" w:sz="4" w:space="0"/>
              <w:left w:val="single" w:color="auto" w:sz="4" w:space="0"/>
              <w:bottom w:val="single" w:color="auto" w:sz="4" w:space="0"/>
              <w:right w:val="single" w:color="auto" w:sz="4" w:space="0"/>
            </w:tcBorders>
            <w:vAlign w:val="center"/>
          </w:tcPr>
          <w:p>
            <w:pPr>
              <w:pStyle w:val="103"/>
              <w:spacing w:line="360" w:lineRule="auto"/>
              <w:jc w:val="center"/>
              <w:rPr>
                <w:rFonts w:ascii="仿宋_GB2312" w:hAnsi="仿宋_GB2312" w:eastAsia="仿宋_GB2312" w:cs="仿宋_GB2312"/>
                <w:sz w:val="28"/>
                <w:szCs w:val="28"/>
              </w:rPr>
            </w:pPr>
          </w:p>
        </w:tc>
      </w:tr>
    </w:tbl>
    <w:p>
      <w:pPr>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乙方负责杭州萧山国际机场有限公司</w:t>
      </w:r>
      <w:r>
        <w:rPr>
          <w:rFonts w:hint="eastAsia" w:ascii="仿宋_GB2312" w:hAnsi="仿宋_GB2312" w:eastAsia="仿宋_GB2312" w:cs="仿宋_GB2312"/>
          <w:sz w:val="28"/>
          <w:szCs w:val="28"/>
          <w:lang w:val="en-US" w:eastAsia="zh-CN"/>
        </w:rPr>
        <w:t>CDM电子进程单系统</w:t>
      </w:r>
      <w:r>
        <w:rPr>
          <w:rFonts w:hint="eastAsia" w:ascii="仿宋_GB2312" w:hAnsi="仿宋_GB2312" w:eastAsia="仿宋_GB2312" w:cs="仿宋_GB2312"/>
          <w:sz w:val="28"/>
          <w:szCs w:val="28"/>
        </w:rPr>
        <w:t>的统一建设及服务（含需求分析、系统设计、开发、实施、培训和售后服务等），并负责本项目总体集成工作，包括支持系统的数据库软件、双机软件的采购及安装部署、运行</w:t>
      </w:r>
      <w:r>
        <w:rPr>
          <w:rFonts w:ascii="仿宋_GB2312" w:hAnsi="仿宋_GB2312" w:eastAsia="仿宋_GB2312" w:cs="仿宋_GB2312"/>
          <w:sz w:val="28"/>
          <w:szCs w:val="28"/>
        </w:rPr>
        <w:t>系统的硬件</w:t>
      </w:r>
      <w:r>
        <w:rPr>
          <w:rFonts w:hint="eastAsia" w:ascii="仿宋_GB2312" w:hAnsi="仿宋_GB2312" w:eastAsia="仿宋_GB2312" w:cs="仿宋_GB2312"/>
          <w:sz w:val="28"/>
          <w:szCs w:val="28"/>
        </w:rPr>
        <w:t>环境</w:t>
      </w:r>
      <w:r>
        <w:rPr>
          <w:rFonts w:ascii="仿宋_GB2312" w:hAnsi="仿宋_GB2312" w:eastAsia="仿宋_GB2312" w:cs="仿宋_GB2312"/>
          <w:sz w:val="28"/>
          <w:szCs w:val="28"/>
        </w:rPr>
        <w:t>的安装联调、</w:t>
      </w:r>
      <w:r>
        <w:rPr>
          <w:rFonts w:hint="eastAsia" w:ascii="仿宋_GB2312" w:hAnsi="仿宋_GB2312" w:eastAsia="仿宋_GB2312" w:cs="仿宋_GB2312"/>
          <w:sz w:val="28"/>
          <w:szCs w:val="28"/>
          <w:lang w:val="en-US" w:eastAsia="zh-CN"/>
        </w:rPr>
        <w:t>以及包括A-CDM和奥创系统在内的机场目前在用</w:t>
      </w:r>
      <w:r>
        <w:rPr>
          <w:rFonts w:ascii="仿宋_GB2312" w:hAnsi="仿宋_GB2312" w:eastAsia="仿宋_GB2312" w:cs="仿宋_GB2312"/>
          <w:sz w:val="28"/>
          <w:szCs w:val="28"/>
        </w:rPr>
        <w:t>系统的接口开发及实施联调。</w:t>
      </w:r>
    </w:p>
    <w:p>
      <w:pPr>
        <w:widowControl/>
        <w:snapToGrid w:val="0"/>
        <w:spacing w:line="360" w:lineRule="auto"/>
        <w:ind w:firstLine="442"/>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乙方愿意为甲方提供杭州萧山机场机坪塔台</w:t>
      </w:r>
      <w:r>
        <w:rPr>
          <w:rFonts w:ascii="仿宋_GB2312" w:hAnsi="仿宋_GB2312" w:eastAsia="仿宋_GB2312" w:cs="仿宋_GB2312"/>
          <w:sz w:val="28"/>
          <w:szCs w:val="28"/>
        </w:rPr>
        <w:t>CDM电子进程单系统</w:t>
      </w:r>
      <w:r>
        <w:rPr>
          <w:rFonts w:hint="eastAsia" w:ascii="仿宋_GB2312" w:hAnsi="仿宋_GB2312" w:eastAsia="仿宋_GB2312" w:cs="仿宋_GB2312"/>
          <w:sz w:val="28"/>
          <w:szCs w:val="28"/>
        </w:rPr>
        <w:t>终端使用许可（含系统后台及前端硬件、软件使用许可及维护服务）</w:t>
      </w:r>
    </w:p>
    <w:p>
      <w:pPr>
        <w:adjustRightInd w:val="0"/>
        <w:snapToGrid w:val="0"/>
        <w:spacing w:line="560" w:lineRule="exact"/>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二、合同金额</w:t>
      </w:r>
    </w:p>
    <w:p>
      <w:pPr>
        <w:spacing w:line="560" w:lineRule="exact"/>
        <w:ind w:firstLine="560" w:firstLineChars="200"/>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本合同金额为（大写）：</w:t>
      </w:r>
      <w:r>
        <w:rPr>
          <w:rFonts w:hint="eastAsia" w:ascii="仿宋_GB2312" w:hAnsi="仿宋_GB2312" w:eastAsia="仿宋_GB2312" w:cs="仿宋_GB2312"/>
          <w:b/>
          <w:sz w:val="28"/>
          <w:szCs w:val="28"/>
          <w:u w:val="single"/>
        </w:rPr>
        <w:t xml:space="preserve">       人民币（</w:t>
      </w:r>
      <w:r>
        <w:rPr>
          <w:rFonts w:hint="eastAsia" w:ascii="宋体" w:hAnsi="宋体" w:cs="宋体"/>
          <w:b/>
          <w:sz w:val="28"/>
          <w:szCs w:val="28"/>
          <w:u w:val="single"/>
        </w:rPr>
        <w:t>¥</w:t>
      </w:r>
      <w:r>
        <w:rPr>
          <w:rFonts w:hint="eastAsia" w:ascii="仿宋_GB2312" w:hAnsi="仿宋_GB2312" w:eastAsia="仿宋_GB2312" w:cs="仿宋_GB2312"/>
          <w:b/>
          <w:sz w:val="28"/>
          <w:szCs w:val="28"/>
          <w:u w:val="single"/>
        </w:rPr>
        <w:t xml:space="preserve">    .00），</w:t>
      </w:r>
      <w:r>
        <w:rPr>
          <w:rFonts w:hint="eastAsia" w:ascii="仿宋_GB2312" w:hAnsi="仿宋_GB2312" w:eastAsia="仿宋_GB2312" w:cs="仿宋_GB2312"/>
          <w:sz w:val="28"/>
          <w:szCs w:val="28"/>
        </w:rPr>
        <w:t>其中不含税价为</w:t>
      </w:r>
      <w:r>
        <w:rPr>
          <w:rFonts w:hint="eastAsia" w:ascii="仿宋_GB2312" w:hAnsi="仿宋_GB2312" w:eastAsia="仿宋_GB2312" w:cs="仿宋_GB2312"/>
          <w:sz w:val="28"/>
          <w:szCs w:val="28"/>
          <w:u w:val="single"/>
        </w:rPr>
        <w:t xml:space="preserve"> </w:t>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元，税费为</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元。本合同价为杭州萧山国际机场内交货价，含产品价格、运输费、包装费、保险费、税费、</w:t>
      </w:r>
      <w:r>
        <w:rPr>
          <w:rFonts w:hint="eastAsia" w:ascii="仿宋_GB2312" w:hAnsi="仿宋_GB2312" w:eastAsia="仿宋_GB2312" w:cs="仿宋_GB2312"/>
          <w:sz w:val="28"/>
          <w:szCs w:val="28"/>
          <w:u w:val="single"/>
        </w:rPr>
        <w:t>安装调试、应用软件和各个其它系统厂家的接口对接和维护服务</w:t>
      </w:r>
      <w:r>
        <w:rPr>
          <w:rFonts w:hint="eastAsia" w:ascii="仿宋_GB2312" w:hAnsi="仿宋_GB2312" w:eastAsia="仿宋_GB2312" w:cs="仿宋_GB2312"/>
          <w:sz w:val="28"/>
          <w:szCs w:val="28"/>
        </w:rPr>
        <w:t>等所有费用。甲方不再承担其他任何费用。</w:t>
      </w:r>
    </w:p>
    <w:p>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tabs>
          <w:tab w:val="left" w:pos="5985"/>
        </w:tabs>
        <w:snapToGrid w:val="0"/>
        <w:spacing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lang w:val="en-US"/>
        </w:rPr>
        <w:t>三</w:t>
      </w:r>
      <w:r>
        <w:rPr>
          <w:rFonts w:hint="eastAsia" w:ascii="仿宋_GB2312" w:hAnsi="仿宋_GB2312" w:eastAsia="仿宋_GB2312" w:cs="仿宋_GB2312"/>
          <w:b/>
          <w:sz w:val="28"/>
          <w:szCs w:val="28"/>
        </w:rPr>
        <w:t>、技术要求</w:t>
      </w:r>
      <w:bookmarkStart w:id="84" w:name="_Toc510195154"/>
      <w:bookmarkStart w:id="85" w:name="_Toc433407156"/>
      <w:bookmarkStart w:id="86" w:name="_Toc510195155"/>
      <w:bookmarkStart w:id="87" w:name="_Toc324860156"/>
      <w:bookmarkStart w:id="88" w:name="_Toc324859367"/>
      <w:bookmarkStart w:id="89" w:name="_Toc510018377"/>
    </w:p>
    <w:p>
      <w:pPr>
        <w:tabs>
          <w:tab w:val="left" w:pos="5985"/>
        </w:tabs>
        <w:snapToGrid w:val="0"/>
        <w:spacing w:line="560" w:lineRule="exact"/>
        <w:ind w:firstLine="562" w:firstLineChars="200"/>
        <w:rPr>
          <w:rFonts w:ascii="仿宋_GB2312" w:hAnsi="仿宋_GB2312" w:eastAsia="仿宋_GB2312" w:cs="仿宋_GB2312"/>
          <w:b/>
          <w:snapToGrid w:val="0"/>
          <w:sz w:val="28"/>
          <w:szCs w:val="28"/>
        </w:rPr>
      </w:pPr>
      <w:r>
        <w:rPr>
          <w:rFonts w:ascii="仿宋_GB2312" w:hAnsi="仿宋_GB2312" w:eastAsia="仿宋_GB2312" w:cs="仿宋_GB2312"/>
          <w:b/>
          <w:snapToGrid w:val="0"/>
          <w:sz w:val="28"/>
          <w:szCs w:val="28"/>
          <w:lang w:val="en-US"/>
        </w:rPr>
        <w:t>3</w:t>
      </w:r>
      <w:r>
        <w:rPr>
          <w:rFonts w:ascii="仿宋_GB2312" w:hAnsi="仿宋_GB2312" w:eastAsia="仿宋_GB2312" w:cs="仿宋_GB2312"/>
          <w:b/>
          <w:snapToGrid w:val="0"/>
          <w:sz w:val="28"/>
          <w:szCs w:val="28"/>
        </w:rPr>
        <w:t xml:space="preserve">.1 </w:t>
      </w:r>
      <w:bookmarkEnd w:id="84"/>
      <w:r>
        <w:rPr>
          <w:rFonts w:hint="eastAsia" w:ascii="仿宋_GB2312" w:hAnsi="仿宋_GB2312" w:eastAsia="仿宋_GB2312" w:cs="仿宋_GB2312"/>
          <w:b/>
          <w:snapToGrid w:val="0"/>
          <w:sz w:val="28"/>
          <w:szCs w:val="28"/>
        </w:rPr>
        <w:t>总体目标</w:t>
      </w:r>
      <w:bookmarkStart w:id="90" w:name="_Toc510195158"/>
      <w:bookmarkStart w:id="91" w:name="_Toc483396597"/>
      <w:bookmarkStart w:id="92" w:name="_Toc510028351"/>
      <w:bookmarkStart w:id="93" w:name="_Toc510018384"/>
    </w:p>
    <w:p>
      <w:pPr>
        <w:spacing w:line="560" w:lineRule="exact"/>
        <w:jc w:val="left"/>
        <w:rPr>
          <w:rFonts w:ascii="仿宋_GB2312" w:hAnsi="仿宋_GB2312" w:eastAsia="仿宋_GB2312" w:cs="仿宋_GB2312"/>
          <w:sz w:val="28"/>
          <w:szCs w:val="28"/>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电子进程单集成系统总体设计包括两点，一是实现基本的进程单功能，并根据机坪指挥信息需求、未来扇区划分以及席位设置，进行个性化功能设计，辅助指挥员完成航空器机坪运行指挥、协调、移交、流量以及运行环境监控工作；二是能够开放进程单数据、航班数据、操作数据的实时监控、记录、导出（下文不再叙述相关数据功能，即要求所有相关数据可监控、可记录、可导出）。</w:t>
      </w:r>
    </w:p>
    <w:p>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扇区及席位划分设计：根据机坪情况设置对应的地面管制区，每个扇区配备指挥席、监控席、协调席三个席位界面，以及一个机场流量席、带班席界面。夜间根据需求能够完成两个扇区及相应席位的合并，协调席可独立完成扇区合并。</w:t>
      </w:r>
    </w:p>
    <w:p>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同扇区及管制单位的航班移交：机坪、空管地面席、空管塔台席席位之间的管制移交，由指挥人员根据席位开放情况，勾选进出港航班进程单的对应移交管制单位，实现不同席位之间的进程单自动移交。同时对移交进入本区域的航班，初次进入进程单系统指定区域后，进行闪烁提醒。</w:t>
      </w:r>
    </w:p>
    <w:p>
      <w:pPr>
        <w:spacing w:line="560" w:lineRule="exact"/>
        <w:rPr>
          <w:rFonts w:ascii="仿宋_GB2312" w:hAnsi="仿宋_GB2312" w:eastAsia="仿宋_GB2312" w:cs="仿宋_GB2312"/>
          <w:b/>
          <w:snapToGrid w:val="0"/>
          <w:sz w:val="28"/>
          <w:szCs w:val="28"/>
        </w:rPr>
      </w:pPr>
      <w:r>
        <w:rPr>
          <w:rFonts w:hint="eastAsia" w:ascii="仿宋_GB2312" w:hAnsi="仿宋_GB2312" w:eastAsia="仿宋_GB2312" w:cs="仿宋_GB2312"/>
          <w:b/>
          <w:snapToGrid w:val="0"/>
          <w:sz w:val="28"/>
          <w:szCs w:val="28"/>
        </w:rPr>
        <w:t xml:space="preserve">     </w:t>
      </w:r>
      <w:r>
        <w:rPr>
          <w:rFonts w:hint="eastAsia" w:ascii="仿宋_GB2312" w:hAnsi="仿宋_GB2312" w:eastAsia="仿宋_GB2312" w:cs="仿宋_GB2312"/>
          <w:b/>
          <w:snapToGrid w:val="0"/>
          <w:sz w:val="28"/>
          <w:szCs w:val="28"/>
          <w:lang w:val="en-US"/>
        </w:rPr>
        <w:t>3</w:t>
      </w:r>
      <w:r>
        <w:rPr>
          <w:rFonts w:hint="eastAsia" w:ascii="仿宋_GB2312" w:hAnsi="仿宋_GB2312" w:eastAsia="仿宋_GB2312" w:cs="仿宋_GB2312"/>
          <w:b/>
          <w:snapToGrid w:val="0"/>
          <w:sz w:val="28"/>
          <w:szCs w:val="28"/>
        </w:rPr>
        <w:t xml:space="preserve">.2 </w:t>
      </w:r>
      <w:bookmarkEnd w:id="90"/>
      <w:bookmarkEnd w:id="91"/>
      <w:r>
        <w:rPr>
          <w:rFonts w:hint="eastAsia" w:ascii="仿宋_GB2312" w:hAnsi="仿宋_GB2312" w:eastAsia="仿宋_GB2312" w:cs="仿宋_GB2312"/>
          <w:b/>
          <w:snapToGrid w:val="0"/>
          <w:sz w:val="28"/>
          <w:szCs w:val="28"/>
        </w:rPr>
        <w:t>功能要求</w:t>
      </w:r>
    </w:p>
    <w:p>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电子进程单集成系统总体设计包括两点，一是实现基本的进程单功能，并根据机坪指挥信息需求、未来扇区划分以及席位设置，进行个性化功能设计，辅助指挥员完成航空器机坪运行指挥、协调、移交、流量以及运行环境监控工作；二是能够开放进程单数据、航班数据、操作数据的实时监控、记录、导出（下文不再叙述相关数据功能，即要求所有相关数据可监控、可记录、可导出）。</w:t>
      </w:r>
    </w:p>
    <w:p>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扇区及席位划分设计：根据机坪情况设置对应的地面管制区，每个扇区配备指挥席、监控席、协调席三个席位界面，以及一个机场流量席、带班席界面。夜间根据需求能够完成两个扇区及相应席位的合并，协调席可独立完成扇区合并。</w:t>
      </w:r>
    </w:p>
    <w:p>
      <w:pPr>
        <w:spacing w:line="560" w:lineRule="exact"/>
        <w:ind w:firstLine="560" w:firstLineChars="200"/>
        <w:jc w:val="left"/>
        <w:rPr>
          <w:rFonts w:ascii="仿宋_GB2312" w:hAnsi="仿宋_GB2312" w:eastAsia="仿宋_GB2312" w:cs="仿宋_GB2312"/>
          <w:b/>
          <w:snapToGrid w:val="0"/>
          <w:sz w:val="28"/>
          <w:szCs w:val="28"/>
        </w:rPr>
      </w:pPr>
      <w:r>
        <w:rPr>
          <w:rFonts w:hint="eastAsia" w:ascii="仿宋_GB2312" w:hAnsi="仿宋_GB2312" w:eastAsia="仿宋_GB2312" w:cs="仿宋_GB2312"/>
          <w:sz w:val="28"/>
          <w:szCs w:val="28"/>
        </w:rPr>
        <w:t>不同扇区及管制单位的航班移交：机坪、空管地面席、空管塔台席席位之间的管制移交，由指挥人员根据席位开放情况，勾选进出港航班进程单的对应移交管制单位，实现不同席位之间的进程单自动移交。同时对移交进入本区域的航班，初次进入进程单系统指定区域后，进行闪烁提醒。</w:t>
      </w:r>
    </w:p>
    <w:bookmarkEnd w:id="85"/>
    <w:bookmarkEnd w:id="86"/>
    <w:bookmarkEnd w:id="87"/>
    <w:bookmarkEnd w:id="88"/>
    <w:bookmarkEnd w:id="89"/>
    <w:bookmarkEnd w:id="92"/>
    <w:bookmarkEnd w:id="93"/>
    <w:p>
      <w:pPr>
        <w:tabs>
          <w:tab w:val="left" w:pos="5985"/>
        </w:tabs>
        <w:snapToGrid w:val="0"/>
        <w:spacing w:line="560" w:lineRule="exact"/>
        <w:ind w:firstLine="562" w:firstLineChars="200"/>
        <w:rPr>
          <w:rFonts w:ascii="仿宋_GB2312" w:hAnsi="仿宋_GB2312" w:eastAsia="仿宋_GB2312" w:cs="仿宋_GB2312"/>
          <w:b/>
          <w:snapToGrid w:val="0"/>
          <w:kern w:val="0"/>
          <w:sz w:val="28"/>
          <w:szCs w:val="28"/>
        </w:rPr>
      </w:pPr>
      <w:r>
        <w:rPr>
          <w:rFonts w:hint="eastAsia" w:ascii="仿宋_GB2312" w:hAnsi="仿宋_GB2312" w:eastAsia="仿宋_GB2312" w:cs="仿宋_GB2312"/>
          <w:b/>
          <w:sz w:val="28"/>
          <w:szCs w:val="28"/>
          <w:lang w:val="en-US"/>
        </w:rPr>
        <w:t>3</w:t>
      </w:r>
      <w:r>
        <w:rPr>
          <w:rFonts w:hint="eastAsia" w:ascii="仿宋_GB2312" w:hAnsi="仿宋_GB2312" w:eastAsia="仿宋_GB2312" w:cs="仿宋_GB2312"/>
          <w:b/>
          <w:sz w:val="28"/>
          <w:szCs w:val="28"/>
        </w:rPr>
        <w:t>.4</w:t>
      </w:r>
      <w:r>
        <w:rPr>
          <w:rFonts w:hint="eastAsia" w:ascii="仿宋_GB2312" w:hAnsi="仿宋_GB2312" w:eastAsia="仿宋_GB2312" w:cs="仿宋_GB2312"/>
          <w:b/>
          <w:snapToGrid w:val="0"/>
          <w:kern w:val="0"/>
          <w:sz w:val="28"/>
          <w:szCs w:val="28"/>
        </w:rPr>
        <w:t>实施要求</w:t>
      </w:r>
    </w:p>
    <w:p>
      <w:pPr>
        <w:tabs>
          <w:tab w:val="left" w:pos="5985"/>
        </w:tabs>
        <w:snapToGrid w:val="0"/>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rPr>
        <w:t>3</w:t>
      </w:r>
      <w:r>
        <w:rPr>
          <w:rFonts w:hint="eastAsia" w:ascii="仿宋_GB2312" w:hAnsi="仿宋_GB2312" w:eastAsia="仿宋_GB2312" w:cs="仿宋_GB2312"/>
          <w:b/>
          <w:bCs/>
          <w:sz w:val="28"/>
          <w:szCs w:val="28"/>
        </w:rPr>
        <w:t>.4.1实施工期要求</w:t>
      </w:r>
    </w:p>
    <w:p>
      <w:pPr>
        <w:tabs>
          <w:tab w:val="left" w:pos="5985"/>
        </w:tabs>
        <w:snapToGrid w:val="0"/>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本项目要求【</w:t>
      </w:r>
      <w:r>
        <w:rPr>
          <w:rFonts w:ascii="仿宋_GB2312" w:hAnsi="仿宋_GB2312" w:eastAsia="仿宋_GB2312" w:cs="仿宋_GB2312"/>
          <w:bCs/>
          <w:sz w:val="28"/>
          <w:szCs w:val="28"/>
        </w:rPr>
        <w:t>90</w:t>
      </w:r>
      <w:r>
        <w:rPr>
          <w:rFonts w:hint="eastAsia" w:ascii="仿宋_GB2312" w:hAnsi="仿宋_GB2312" w:eastAsia="仿宋_GB2312" w:cs="仿宋_GB2312"/>
          <w:bCs/>
          <w:sz w:val="28"/>
          <w:szCs w:val="28"/>
        </w:rPr>
        <w:t>】日完成</w:t>
      </w:r>
      <w:r>
        <w:rPr>
          <w:rFonts w:hint="eastAsia" w:ascii="仿宋_GB2312" w:hAnsi="仿宋_GB2312" w:eastAsia="仿宋_GB2312" w:cs="仿宋_GB2312"/>
          <w:sz w:val="28"/>
          <w:szCs w:val="28"/>
          <w:u w:val="single"/>
        </w:rPr>
        <w:t>（含【</w:t>
      </w:r>
      <w:r>
        <w:rPr>
          <w:rFonts w:ascii="仿宋_GB2312" w:hAnsi="仿宋_GB2312" w:eastAsia="仿宋_GB2312" w:cs="仿宋_GB2312"/>
          <w:sz w:val="28"/>
          <w:szCs w:val="28"/>
          <w:u w:val="single"/>
        </w:rPr>
        <w:t>90</w:t>
      </w:r>
      <w:r>
        <w:rPr>
          <w:rFonts w:hint="eastAsia" w:ascii="仿宋_GB2312" w:hAnsi="仿宋_GB2312" w:eastAsia="仿宋_GB2312" w:cs="仿宋_GB2312"/>
          <w:sz w:val="28"/>
          <w:szCs w:val="28"/>
          <w:u w:val="single"/>
        </w:rPr>
        <w:t>】）</w:t>
      </w:r>
      <w:r>
        <w:rPr>
          <w:rFonts w:hint="eastAsia" w:ascii="仿宋_GB2312" w:hAnsi="仿宋_GB2312" w:eastAsia="仿宋_GB2312" w:cs="仿宋_GB2312"/>
          <w:bCs/>
          <w:sz w:val="28"/>
          <w:szCs w:val="28"/>
        </w:rPr>
        <w:t>。</w:t>
      </w:r>
    </w:p>
    <w:p>
      <w:pPr>
        <w:tabs>
          <w:tab w:val="left" w:pos="5985"/>
        </w:tabs>
        <w:snapToGrid w:val="0"/>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rPr>
        <w:t>3</w:t>
      </w:r>
      <w:r>
        <w:rPr>
          <w:rFonts w:hint="eastAsia" w:ascii="仿宋_GB2312" w:hAnsi="仿宋_GB2312" w:eastAsia="仿宋_GB2312" w:cs="仿宋_GB2312"/>
          <w:b/>
          <w:bCs/>
          <w:sz w:val="28"/>
          <w:szCs w:val="28"/>
        </w:rPr>
        <w:t>.4.2项目实施人员要求</w:t>
      </w:r>
    </w:p>
    <w:p>
      <w:pPr>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本项目不得分包或转包。严格遵循甲方项目进度要求，不得无故拖延工期。</w:t>
      </w:r>
    </w:p>
    <w:p>
      <w:pPr>
        <w:numPr>
          <w:ilvl w:val="255"/>
          <w:numId w:val="0"/>
        </w:numPr>
        <w:snapToGrid w:val="0"/>
        <w:spacing w:line="560" w:lineRule="exact"/>
        <w:ind w:left="900" w:leftChars="200" w:hanging="42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、项目经理：要求有同类项目管理经验。</w:t>
      </w:r>
    </w:p>
    <w:p>
      <w:pPr>
        <w:numPr>
          <w:ilvl w:val="255"/>
          <w:numId w:val="0"/>
        </w:numPr>
        <w:snapToGrid w:val="0"/>
        <w:spacing w:line="560" w:lineRule="exact"/>
        <w:ind w:left="846" w:hanging="420"/>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、实施工程师</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要求有同类项目实施经验。</w:t>
      </w:r>
    </w:p>
    <w:p>
      <w:pPr>
        <w:numPr>
          <w:ilvl w:val="255"/>
          <w:numId w:val="0"/>
        </w:numPr>
        <w:snapToGrid w:val="0"/>
        <w:spacing w:line="560" w:lineRule="exact"/>
        <w:ind w:left="900" w:leftChars="200" w:hanging="420"/>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、项目实施过程中，乙方应严格按照投标文件中承诺提供的项目人员，不得随意更换项目主要成员。如若更换需提前</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个工作日以书面形式通知甲方，经甲方确认后方可更换。</w:t>
      </w:r>
    </w:p>
    <w:p>
      <w:pPr>
        <w:tabs>
          <w:tab w:val="left" w:pos="5985"/>
        </w:tabs>
        <w:snapToGrid w:val="0"/>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    </w:t>
      </w:r>
      <w:r>
        <w:rPr>
          <w:rFonts w:hint="eastAsia" w:ascii="仿宋_GB2312" w:hAnsi="仿宋_GB2312" w:eastAsia="仿宋_GB2312" w:cs="仿宋_GB2312"/>
          <w:b/>
          <w:bCs/>
          <w:sz w:val="28"/>
          <w:szCs w:val="28"/>
          <w:lang w:val="en-US"/>
        </w:rPr>
        <w:t>3</w:t>
      </w:r>
      <w:r>
        <w:rPr>
          <w:rFonts w:hint="eastAsia" w:ascii="仿宋_GB2312" w:hAnsi="仿宋_GB2312" w:eastAsia="仿宋_GB2312" w:cs="仿宋_GB2312"/>
          <w:b/>
          <w:bCs/>
          <w:sz w:val="28"/>
          <w:szCs w:val="28"/>
        </w:rPr>
        <w:t>.4.2实施过程要求</w:t>
      </w:r>
    </w:p>
    <w:p>
      <w:pPr>
        <w:numPr>
          <w:ilvl w:val="255"/>
          <w:numId w:val="0"/>
        </w:numPr>
        <w:snapToGrid w:val="0"/>
        <w:spacing w:line="560" w:lineRule="exact"/>
        <w:ind w:left="480" w:left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、业务需求分析：</w:t>
      </w:r>
    </w:p>
    <w:p>
      <w:pPr>
        <w:numPr>
          <w:ilvl w:val="255"/>
          <w:numId w:val="0"/>
        </w:numPr>
        <w:snapToGrid w:val="0"/>
        <w:spacing w:line="560" w:lineRule="exact"/>
        <w:ind w:left="480" w:left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乙方必须在规定时间内对现状进行详细调研，对现有管理信息系统及各部门、分子公司进行需求分析，并编制需求调研报告，经招标人审查同意后，可进入系统设计阶段。</w:t>
      </w:r>
    </w:p>
    <w:p>
      <w:pPr>
        <w:numPr>
          <w:ilvl w:val="255"/>
          <w:numId w:val="0"/>
        </w:numPr>
        <w:snapToGrid w:val="0"/>
        <w:spacing w:line="560" w:lineRule="exact"/>
        <w:ind w:left="480" w:left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、建设实施：</w:t>
      </w:r>
    </w:p>
    <w:p>
      <w:pPr>
        <w:numPr>
          <w:ilvl w:val="255"/>
          <w:numId w:val="0"/>
        </w:numPr>
        <w:snapToGrid w:val="0"/>
        <w:spacing w:line="560" w:lineRule="exact"/>
        <w:ind w:left="480" w:left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乙方必须在规定时间内提出切实可行的总体实施规划。总体实施规划至少应包括以下内容：</w:t>
      </w:r>
      <w:r>
        <w:rPr>
          <w:rFonts w:ascii="仿宋_GB2312" w:hAnsi="仿宋_GB2312" w:eastAsia="仿宋_GB2312" w:cs="仿宋_GB2312"/>
          <w:sz w:val="28"/>
          <w:szCs w:val="28"/>
        </w:rPr>
        <w:t xml:space="preserve"> </w:t>
      </w:r>
    </w:p>
    <w:p>
      <w:pPr>
        <w:numPr>
          <w:ilvl w:val="255"/>
          <w:numId w:val="0"/>
        </w:numPr>
        <w:snapToGrid w:val="0"/>
        <w:spacing w:line="560" w:lineRule="exact"/>
        <w:ind w:left="480" w:left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、项目的进度控制：</w:t>
      </w:r>
    </w:p>
    <w:p>
      <w:pPr>
        <w:numPr>
          <w:ilvl w:val="255"/>
          <w:numId w:val="0"/>
        </w:numPr>
        <w:snapToGrid w:val="0"/>
        <w:spacing w:line="560" w:lineRule="exact"/>
        <w:ind w:left="480" w:left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乙方须根据推荐的软件提出详细的项目进度，并提出保证项目进度的措施，在项目实施中需甲方管理人员或工程技术人员配合的工作内容。</w:t>
      </w:r>
    </w:p>
    <w:p>
      <w:pPr>
        <w:numPr>
          <w:ilvl w:val="255"/>
          <w:numId w:val="0"/>
        </w:numPr>
        <w:snapToGrid w:val="0"/>
        <w:spacing w:line="560" w:lineRule="exact"/>
        <w:ind w:left="480" w:left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、项目的管理与质量控制。</w:t>
      </w:r>
      <w:r>
        <w:rPr>
          <w:rFonts w:ascii="仿宋_GB2312" w:hAnsi="仿宋_GB2312" w:eastAsia="仿宋_GB2312" w:cs="仿宋_GB2312"/>
          <w:sz w:val="28"/>
          <w:szCs w:val="28"/>
        </w:rPr>
        <w:t xml:space="preserve"> </w:t>
      </w:r>
    </w:p>
    <w:p>
      <w:pPr>
        <w:numPr>
          <w:ilvl w:val="255"/>
          <w:numId w:val="0"/>
        </w:numPr>
        <w:snapToGrid w:val="0"/>
        <w:spacing w:line="560" w:lineRule="exact"/>
        <w:ind w:left="480" w:left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、文档管理:</w:t>
      </w:r>
    </w:p>
    <w:p>
      <w:pPr>
        <w:numPr>
          <w:ilvl w:val="255"/>
          <w:numId w:val="0"/>
        </w:numPr>
        <w:snapToGrid w:val="0"/>
        <w:spacing w:line="560" w:lineRule="exact"/>
        <w:ind w:left="480" w:left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乙方要提出具体的实施文档管理办法。在实施过程中的每一步都 要有相关的文档作保证。</w:t>
      </w:r>
    </w:p>
    <w:p>
      <w:pPr>
        <w:numPr>
          <w:ilvl w:val="255"/>
          <w:numId w:val="0"/>
        </w:numPr>
        <w:snapToGrid w:val="0"/>
        <w:spacing w:line="560" w:lineRule="exact"/>
        <w:ind w:left="480" w:left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、安装、调试:</w:t>
      </w:r>
    </w:p>
    <w:p>
      <w:pPr>
        <w:numPr>
          <w:ilvl w:val="255"/>
          <w:numId w:val="0"/>
        </w:numPr>
        <w:snapToGrid w:val="0"/>
        <w:spacing w:line="560" w:lineRule="exact"/>
        <w:ind w:left="480" w:left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乙方按照项目需要及甲方的要求进行系统的安装、调试。</w:t>
      </w:r>
    </w:p>
    <w:p>
      <w:pPr>
        <w:numPr>
          <w:ilvl w:val="255"/>
          <w:numId w:val="0"/>
        </w:numPr>
        <w:snapToGrid w:val="0"/>
        <w:spacing w:line="560" w:lineRule="exact"/>
        <w:ind w:left="480" w:left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、实施及服务的实现：</w:t>
      </w:r>
    </w:p>
    <w:p>
      <w:pPr>
        <w:numPr>
          <w:ilvl w:val="255"/>
          <w:numId w:val="0"/>
        </w:numPr>
        <w:snapToGrid w:val="0"/>
        <w:spacing w:line="560" w:lineRule="exact"/>
        <w:ind w:left="480" w:left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乙方应提交完整的实施组织方案，包括实施理论、范围、组织机构、计划控制、质量管理及风险管理等方案，方案必须有可操作性。</w:t>
      </w:r>
    </w:p>
    <w:p>
      <w:pPr>
        <w:numPr>
          <w:ilvl w:val="255"/>
          <w:numId w:val="0"/>
        </w:numPr>
        <w:snapToGrid w:val="0"/>
        <w:spacing w:line="560" w:lineRule="exact"/>
        <w:ind w:left="480" w:left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8</w:t>
      </w:r>
      <w:r>
        <w:rPr>
          <w:rFonts w:hint="eastAsia" w:ascii="仿宋_GB2312" w:hAnsi="仿宋_GB2312" w:eastAsia="仿宋_GB2312" w:cs="仿宋_GB2312"/>
          <w:sz w:val="28"/>
          <w:szCs w:val="28"/>
        </w:rPr>
        <w:t xml:space="preserve">、技术培训要求: </w:t>
      </w:r>
    </w:p>
    <w:p>
      <w:pPr>
        <w:numPr>
          <w:ilvl w:val="255"/>
          <w:numId w:val="0"/>
        </w:numPr>
        <w:snapToGrid w:val="0"/>
        <w:spacing w:line="560" w:lineRule="exact"/>
        <w:ind w:left="480" w:left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由乙方对机场用户进行操作和实施培训，培训的过程中必须做到有明确的目的、有合适的教材、有具体的评价（评测），培训工作应贯穿整个项目的实施过程，达到能独立进行管理、故障处理、日常测试维护等工作的目的。</w:t>
      </w:r>
    </w:p>
    <w:p>
      <w:pPr>
        <w:numPr>
          <w:ilvl w:val="255"/>
          <w:numId w:val="0"/>
        </w:numPr>
        <w:snapToGrid w:val="0"/>
        <w:spacing w:line="560" w:lineRule="exact"/>
        <w:ind w:left="480" w:leftChars="200"/>
        <w:rPr>
          <w:rFonts w:ascii="仿宋_GB2312" w:hAnsi="仿宋_GB2312" w:eastAsia="仿宋_GB2312" w:cs="仿宋_GB2312"/>
          <w:sz w:val="28"/>
          <w:szCs w:val="28"/>
        </w:rPr>
      </w:pPr>
      <w:r>
        <w:rPr>
          <w:rFonts w:hint="eastAsia" w:ascii="仿宋_GB2312" w:hAnsi="仿宋_GB2312" w:eastAsia="仿宋_GB2312" w:cs="仿宋_GB2312"/>
          <w:sz w:val="28"/>
          <w:szCs w:val="28"/>
        </w:rPr>
        <w:t>提供系统使用操作培训，并提交用户使用手册。</w:t>
      </w:r>
    </w:p>
    <w:p>
      <w:pPr>
        <w:numPr>
          <w:ilvl w:val="255"/>
          <w:numId w:val="0"/>
        </w:numPr>
        <w:snapToGrid w:val="0"/>
        <w:spacing w:line="560" w:lineRule="exact"/>
        <w:ind w:left="480" w:leftChars="200"/>
        <w:rPr>
          <w:rFonts w:ascii="仿宋_GB2312" w:hAnsi="仿宋_GB2312" w:eastAsia="仿宋_GB2312" w:cs="仿宋_GB2312"/>
          <w:sz w:val="28"/>
          <w:szCs w:val="28"/>
        </w:rPr>
      </w:pPr>
      <w:r>
        <w:rPr>
          <w:rFonts w:hint="eastAsia" w:ascii="仿宋_GB2312" w:hAnsi="仿宋_GB2312" w:eastAsia="仿宋_GB2312" w:cs="仿宋_GB2312"/>
          <w:sz w:val="28"/>
          <w:szCs w:val="28"/>
        </w:rPr>
        <w:t>提供系统维护方案，提供各种典型的出错处理方法。</w:t>
      </w:r>
    </w:p>
    <w:p>
      <w:pPr>
        <w:tabs>
          <w:tab w:val="left" w:pos="5985"/>
        </w:tabs>
        <w:snapToGrid w:val="0"/>
        <w:spacing w:line="560" w:lineRule="exact"/>
        <w:rPr>
          <w:rFonts w:ascii="仿宋_GB2312" w:hAnsi="仿宋_GB2312" w:eastAsia="仿宋_GB2312" w:cs="仿宋_GB2312"/>
          <w:b/>
          <w:bCs/>
          <w:sz w:val="28"/>
          <w:szCs w:val="28"/>
        </w:rPr>
      </w:pPr>
    </w:p>
    <w:p>
      <w:pPr>
        <w:adjustRightInd w:val="0"/>
        <w:snapToGrid w:val="0"/>
        <w:spacing w:line="56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四、技术资料</w:t>
      </w:r>
    </w:p>
    <w:p>
      <w:pPr>
        <w:adjustRightInd w:val="0"/>
        <w:snapToGrid w:val="0"/>
        <w:spacing w:line="560" w:lineRule="exact"/>
        <w:ind w:firstLine="562" w:firstLineChars="200"/>
        <w:jc w:val="left"/>
        <w:rPr>
          <w:rFonts w:ascii="仿宋_GB2312" w:hAnsi="仿宋_GB2312" w:eastAsia="仿宋_GB2312" w:cs="仿宋_GB2312"/>
          <w:sz w:val="28"/>
          <w:szCs w:val="28"/>
        </w:rPr>
      </w:pPr>
      <w:r>
        <w:rPr>
          <w:rFonts w:ascii="仿宋_GB2312" w:hAnsi="仿宋_GB2312" w:eastAsia="仿宋_GB2312" w:cs="仿宋_GB2312"/>
          <w:b/>
          <w:bCs/>
          <w:sz w:val="28"/>
          <w:szCs w:val="28"/>
        </w:rPr>
        <w:t>1.</w:t>
      </w:r>
      <w:r>
        <w:rPr>
          <w:rFonts w:hint="eastAsia" w:ascii="仿宋_GB2312" w:hAnsi="仿宋_GB2312" w:eastAsia="仿宋_GB2312" w:cs="仿宋_GB2312"/>
          <w:sz w:val="28"/>
          <w:szCs w:val="28"/>
        </w:rPr>
        <w:t>乙方应在</w:t>
      </w:r>
      <w:r>
        <w:rPr>
          <w:rFonts w:hint="eastAsia" w:ascii="仿宋_GB2312" w:hAnsi="仿宋_GB2312" w:eastAsia="仿宋_GB2312" w:cs="仿宋_GB2312"/>
          <w:sz w:val="28"/>
          <w:szCs w:val="28"/>
          <w:u w:val="single"/>
        </w:rPr>
        <w:t xml:space="preserve">项目最终验收前【5】日内 </w:t>
      </w:r>
      <w:r>
        <w:rPr>
          <w:rFonts w:hint="eastAsia" w:ascii="仿宋_GB2312" w:hAnsi="仿宋_GB2312" w:eastAsia="仿宋_GB2312" w:cs="仿宋_GB2312"/>
          <w:sz w:val="28"/>
          <w:szCs w:val="28"/>
        </w:rPr>
        <w:t>向甲方提供使用系统的有关技术资料。乙方按照本合同约定期间交付符合本合同规定的货物和服务以及全部技术资料的，方视为完成交付义务。</w:t>
      </w:r>
    </w:p>
    <w:p>
      <w:pPr>
        <w:adjustRightInd w:val="0"/>
        <w:snapToGrid w:val="0"/>
        <w:spacing w:line="560" w:lineRule="exact"/>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2.</w:t>
      </w:r>
      <w:r>
        <w:rPr>
          <w:rFonts w:hint="eastAsia" w:ascii="仿宋_GB2312" w:hAnsi="仿宋_GB2312" w:eastAsia="仿宋_GB2312" w:cs="仿宋_GB2312"/>
          <w:sz w:val="28"/>
          <w:szCs w:val="28"/>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五</w:t>
      </w:r>
      <w:r>
        <w:rPr>
          <w:rFonts w:hint="eastAsia" w:ascii="仿宋_GB2312" w:hAnsi="仿宋_GB2312" w:eastAsia="仿宋_GB2312" w:cs="仿宋_GB2312"/>
          <w:b/>
          <w:sz w:val="28"/>
          <w:szCs w:val="28"/>
          <w:lang w:eastAsia="zh-CN"/>
        </w:rPr>
        <w:t>、</w:t>
      </w:r>
      <w:r>
        <w:rPr>
          <w:rFonts w:ascii="仿宋_GB2312" w:hAnsi="仿宋_GB2312" w:eastAsia="仿宋_GB2312" w:cs="仿宋_GB2312"/>
          <w:b/>
          <w:sz w:val="28"/>
          <w:szCs w:val="28"/>
        </w:rPr>
        <w:t>双方的权利和义务</w:t>
      </w:r>
    </w:p>
    <w:p>
      <w:pPr>
        <w:adjustRightInd w:val="0"/>
        <w:snapToGrid w:val="0"/>
        <w:spacing w:line="560" w:lineRule="exact"/>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、甲方的权利和义务</w:t>
      </w:r>
    </w:p>
    <w:p>
      <w:pPr>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（1）甲方在运行电子进程单系统时，可以就其需求向乙方咨询或征求意见，乙方应当根据甲方的工作需求在</w:t>
      </w:r>
      <w:r>
        <w:rPr>
          <w:rFonts w:ascii="仿宋_GB2312" w:hAnsi="仿宋_GB2312" w:eastAsia="仿宋_GB2312" w:cs="仿宋_GB2312"/>
          <w:sz w:val="28"/>
          <w:szCs w:val="28"/>
        </w:rPr>
        <w:t>24小时内予以解释和答复。如果乙方收到通知后在合同规定的时间内没有以合理的速度弥补缺陷，甲方可采取必要的补救措施，但其风险和费用将由乙方承担，此费用可以从履约保证金中扣除，甲方根据合同规定对乙方行使的其他权力不受影响。</w:t>
      </w:r>
    </w:p>
    <w:p>
      <w:pPr>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（2）甲方不得将乙方提供的信息提供给第三人开展研发活动，但是杭州萧山国际机场有限公司除外。</w:t>
      </w:r>
    </w:p>
    <w:p>
      <w:pPr>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（3）未经乙方书面许可，甲方不得利用乙方提供的信息、数据，从事经营性活动。</w:t>
      </w:r>
    </w:p>
    <w:p>
      <w:pPr>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（4）甲方如有重要事情需乙方配合，至少要提前十个工作日通知乙方，以便乙方做好准备工作。</w:t>
      </w:r>
    </w:p>
    <w:p>
      <w:pPr>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（5）甲方或其代表应有权检验和</w:t>
      </w:r>
      <w:r>
        <w:rPr>
          <w:rFonts w:ascii="仿宋_GB2312" w:hAnsi="仿宋_GB2312" w:eastAsia="仿宋_GB2312" w:cs="仿宋_GB2312"/>
          <w:sz w:val="28"/>
          <w:szCs w:val="28"/>
        </w:rPr>
        <w:t>/或测试交付内容，以确认是否符合合同规格的要求，并且不承担额外费用。合同条款和技术规格将说明甲方要求进行的检验和测试，以及在何处进行这些检验和测试。甲方将及时以书面形式把进行检验和/或甲方测试代表的身份通知乙</w:t>
      </w:r>
      <w:r>
        <w:rPr>
          <w:rFonts w:hint="eastAsia" w:ascii="仿宋_GB2312" w:hAnsi="仿宋_GB2312" w:eastAsia="仿宋_GB2312" w:cs="仿宋_GB2312"/>
          <w:sz w:val="28"/>
          <w:szCs w:val="28"/>
        </w:rPr>
        <w:t>方。</w:t>
      </w:r>
    </w:p>
    <w:p>
      <w:pPr>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（6）检验和测试可以在乙方或其分包人的驻地和</w:t>
      </w:r>
      <w:r>
        <w:rPr>
          <w:rFonts w:ascii="仿宋_GB2312" w:hAnsi="仿宋_GB2312" w:eastAsia="仿宋_GB2312" w:cs="仿宋_GB2312"/>
          <w:sz w:val="28"/>
          <w:szCs w:val="28"/>
        </w:rPr>
        <w:t>/或项目现场进行。如果在乙方或其分包人驻地进行，检验人员应能得到全部合理的设施和协助，甲方不应为此承担费用。</w:t>
      </w:r>
    </w:p>
    <w:p>
      <w:pPr>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（7）如果任何被检验或测试的交付内容不能满足规格的要求，甲方可以拒绝接受，乙方应更换被拒绝的交付内容，或者免费进行必要的修改以满足规格的要求。</w:t>
      </w:r>
    </w:p>
    <w:p>
      <w:pPr>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（8）甲方在项目现场进行检验、测试及必要时拒绝接受交付内容的权力将不会因为交付内容在乙方或其分包人的驻地通过了甲方或其代表的检验、测试和认可而受到限制或放弃。</w:t>
      </w:r>
    </w:p>
    <w:p>
      <w:pPr>
        <w:adjustRightInd w:val="0"/>
        <w:snapToGrid w:val="0"/>
        <w:spacing w:line="560" w:lineRule="exact"/>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、乙方的权利和义务</w:t>
      </w:r>
    </w:p>
    <w:p>
      <w:pPr>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乙方有权向甲方了解电子进程单的有关情况，查阅有关资料，向有关职能人员了解甲方现有的相关数据和资料。如果甲方对乙方完成本合同所需的甲方信息和资料不予提供，由甲方承担不予提供的损害后果。</w:t>
      </w:r>
    </w:p>
    <w:p>
      <w:pPr>
        <w:adjustRightInd w:val="0"/>
        <w:snapToGrid w:val="0"/>
        <w:spacing w:line="560" w:lineRule="exact"/>
        <w:ind w:firstLine="560" w:firstLineChars="200"/>
        <w:jc w:val="left"/>
        <w:rPr>
          <w:rFonts w:ascii="仿宋_GB2312" w:hAnsi="仿宋_GB2312" w:eastAsia="仿宋_GB2312" w:cs="仿宋_GB2312"/>
          <w:sz w:val="28"/>
          <w:szCs w:val="28"/>
        </w:rPr>
      </w:pPr>
      <w:bookmarkStart w:id="94" w:name="_Ref343524677"/>
      <w:r>
        <w:rPr>
          <w:rFonts w:hint="eastAsia" w:ascii="仿宋_GB2312" w:hAnsi="仿宋_GB2312" w:eastAsia="仿宋_GB2312" w:cs="仿宋_GB2312"/>
          <w:sz w:val="28"/>
          <w:szCs w:val="28"/>
        </w:rPr>
        <w:t>（2）在履行合同过程中，如果乙方及其分包人遇到妨碍按时交货和提供服务的情况时，应及时以书面形式将拖延的事实、可能拖延的时间和原因通知甲方。甲方在收到乙方通知后，应尽快对情况进行评价，并确定是否同意延长交货时间以及是否收取误期赔偿费。延期应通过修改合同的方式由双方认可。</w:t>
      </w:r>
      <w:bookmarkEnd w:id="94"/>
    </w:p>
    <w:p>
      <w:pPr>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乙方应保证合同项下所提供货物是全新的、未使用过的，是最新或目前的型号，除非合同另有规定，货物应含有设计上和材料的全部最新改进。乙方进一步保证，合同项下提供的全部货物没有设计、材料或工艺上的缺陷，或者没有因乙方的行为或疏忽而产生的缺陷，这些缺陷是所供货物在最终目的地国家现行条件下正常使用可能产生的。</w:t>
      </w:r>
    </w:p>
    <w:p>
      <w:pPr>
        <w:adjustRightInd w:val="0"/>
        <w:snapToGrid w:val="0"/>
        <w:spacing w:line="56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六</w:t>
      </w:r>
      <w:r>
        <w:rPr>
          <w:rFonts w:hint="eastAsia" w:ascii="仿宋_GB2312" w:hAnsi="仿宋_GB2312" w:eastAsia="仿宋_GB2312" w:cs="仿宋_GB2312"/>
          <w:b/>
          <w:sz w:val="28"/>
          <w:szCs w:val="28"/>
        </w:rPr>
        <w:t>、知识产权</w:t>
      </w:r>
    </w:p>
    <w:p>
      <w:pPr>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乙方应保证所提供的</w:t>
      </w:r>
      <w:r>
        <w:rPr>
          <w:rFonts w:hint="eastAsia" w:ascii="仿宋_GB2312" w:hAnsi="仿宋_GB2312" w:eastAsia="仿宋_GB2312" w:cs="仿宋_GB2312"/>
          <w:sz w:val="28"/>
          <w:szCs w:val="28"/>
          <w:u w:val="single"/>
        </w:rPr>
        <w:t>系统</w:t>
      </w:r>
      <w:r>
        <w:rPr>
          <w:rFonts w:hint="eastAsia" w:ascii="仿宋_GB2312" w:hAnsi="仿宋_GB2312" w:eastAsia="仿宋_GB2312" w:cs="仿宋_GB2312"/>
          <w:sz w:val="28"/>
          <w:szCs w:val="28"/>
        </w:rPr>
        <w:t>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七</w:t>
      </w:r>
      <w:r>
        <w:rPr>
          <w:rFonts w:hint="eastAsia" w:ascii="仿宋_GB2312" w:hAnsi="仿宋_GB2312" w:eastAsia="仿宋_GB2312" w:cs="仿宋_GB2312"/>
          <w:b/>
          <w:sz w:val="28"/>
          <w:szCs w:val="28"/>
        </w:rPr>
        <w:t>、产权担保</w:t>
      </w:r>
    </w:p>
    <w:p>
      <w:pPr>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乙方保证所交付的系统的所有权完全属于乙方且无任何抵押、查封等产权障碍或瑕疵。如因乙方提供系统存在权属纠纷或担保物权等权利限制或瑕疵而导致甲方遭受任何损失的，甲方有权解除本合同，乙方须就甲方遭受的该等损失承担赔偿责任。</w:t>
      </w:r>
    </w:p>
    <w:p>
      <w:pPr>
        <w:adjustRightInd w:val="0"/>
        <w:snapToGrid w:val="0"/>
        <w:spacing w:line="560" w:lineRule="exact"/>
        <w:ind w:firstLine="562" w:firstLineChars="200"/>
        <w:jc w:val="left"/>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八</w:t>
      </w:r>
      <w:r>
        <w:rPr>
          <w:rFonts w:hint="eastAsia" w:ascii="仿宋_GB2312" w:hAnsi="仿宋_GB2312" w:eastAsia="仿宋_GB2312" w:cs="仿宋_GB2312"/>
          <w:b/>
          <w:sz w:val="28"/>
          <w:szCs w:val="28"/>
        </w:rPr>
        <w:t>、履约担保</w:t>
      </w:r>
    </w:p>
    <w:p>
      <w:pPr>
        <w:adjustRightInd w:val="0"/>
        <w:snapToGrid w:val="0"/>
        <w:spacing w:line="560" w:lineRule="exact"/>
        <w:ind w:firstLine="562" w:firstLineChars="200"/>
        <w:jc w:val="left"/>
        <w:rPr>
          <w:rFonts w:ascii="仿宋_GB2312" w:hAnsi="仿宋_GB2312" w:eastAsia="仿宋_GB2312" w:cs="仿宋_GB2312"/>
          <w:sz w:val="28"/>
          <w:szCs w:val="28"/>
        </w:rPr>
      </w:pPr>
      <w:r>
        <w:rPr>
          <w:rFonts w:ascii="仿宋_GB2312" w:hAnsi="仿宋_GB2312" w:eastAsia="仿宋_GB2312" w:cs="仿宋_GB2312"/>
          <w:b/>
          <w:bCs/>
          <w:sz w:val="28"/>
          <w:szCs w:val="28"/>
        </w:rPr>
        <w:t>1.</w:t>
      </w:r>
      <w:r>
        <w:rPr>
          <w:rFonts w:hint="eastAsia" w:ascii="仿宋_GB2312" w:hAnsi="仿宋_GB2312" w:eastAsia="仿宋_GB2312" w:cs="仿宋_GB2312"/>
          <w:sz w:val="28"/>
          <w:szCs w:val="28"/>
        </w:rPr>
        <w:t>履约保证金金额：合同总价的</w:t>
      </w:r>
      <w:r>
        <w:rPr>
          <w:rFonts w:ascii="仿宋_GB2312" w:hAnsi="仿宋_GB2312" w:eastAsia="仿宋_GB2312" w:cs="仿宋_GB2312"/>
          <w:sz w:val="28"/>
          <w:szCs w:val="28"/>
        </w:rPr>
        <w:t>10%</w:t>
      </w:r>
    </w:p>
    <w:p>
      <w:pPr>
        <w:adjustRightInd w:val="0"/>
        <w:snapToGrid w:val="0"/>
        <w:spacing w:line="360" w:lineRule="auto"/>
        <w:ind w:firstLine="562" w:firstLineChars="200"/>
        <w:jc w:val="left"/>
        <w:rPr>
          <w:rFonts w:ascii="仿宋_GB2312" w:hAnsi="仿宋_GB2312" w:eastAsia="仿宋_GB2312" w:cs="仿宋_GB2312"/>
          <w:sz w:val="28"/>
          <w:szCs w:val="28"/>
        </w:rPr>
      </w:pPr>
      <w:r>
        <w:rPr>
          <w:rFonts w:ascii="仿宋_GB2312" w:hAnsi="仿宋_GB2312" w:eastAsia="仿宋_GB2312" w:cs="仿宋_GB2312"/>
          <w:b/>
          <w:bCs/>
          <w:sz w:val="28"/>
          <w:szCs w:val="28"/>
        </w:rPr>
        <w:t>2.</w:t>
      </w:r>
      <w:r>
        <w:rPr>
          <w:rFonts w:hint="eastAsia" w:ascii="仿宋_GB2312" w:hAnsi="仿宋_GB2312" w:eastAsia="仿宋_GB2312" w:cs="仿宋_GB2312"/>
          <w:sz w:val="28"/>
          <w:szCs w:val="28"/>
        </w:rPr>
        <w:t>履约保证金支付时间：以银行转账的方式在中标通知书发出后</w:t>
      </w:r>
      <w:r>
        <w:rPr>
          <w:rFonts w:ascii="仿宋_GB2312" w:hAnsi="仿宋_GB2312" w:eastAsia="仿宋_GB2312" w:cs="仿宋_GB2312"/>
          <w:sz w:val="28"/>
          <w:szCs w:val="28"/>
        </w:rPr>
        <w:t>10天内完成支付。</w:t>
      </w:r>
    </w:p>
    <w:p>
      <w:pPr>
        <w:adjustRightInd w:val="0"/>
        <w:snapToGrid w:val="0"/>
        <w:spacing w:line="560" w:lineRule="exact"/>
        <w:ind w:firstLine="562" w:firstLineChars="200"/>
        <w:jc w:val="left"/>
        <w:rPr>
          <w:rFonts w:ascii="仿宋_GB2312" w:hAnsi="仿宋_GB2312" w:eastAsia="仿宋_GB2312" w:cs="仿宋_GB2312"/>
          <w:sz w:val="28"/>
          <w:szCs w:val="28"/>
        </w:rPr>
      </w:pPr>
      <w:r>
        <w:rPr>
          <w:rFonts w:ascii="仿宋_GB2312" w:hAnsi="仿宋_GB2312" w:eastAsia="仿宋_GB2312" w:cs="仿宋_GB2312"/>
          <w:b/>
          <w:bCs/>
          <w:sz w:val="28"/>
          <w:szCs w:val="28"/>
        </w:rPr>
        <w:t>3.</w:t>
      </w:r>
      <w:r>
        <w:rPr>
          <w:rFonts w:hint="eastAsia" w:ascii="仿宋_GB2312" w:hAnsi="仿宋_GB2312" w:eastAsia="仿宋_GB2312" w:cs="仿宋_GB2312"/>
          <w:sz w:val="28"/>
          <w:szCs w:val="28"/>
        </w:rPr>
        <w:t>该履约保证金在完成系统最终验收后【</w:t>
      </w:r>
      <w:r>
        <w:rPr>
          <w:rFonts w:hint="eastAsia" w:ascii="宋体" w:hAnsi="宋体" w:cs="宋体"/>
          <w:sz w:val="22"/>
        </w:rPr>
        <w:t>28</w:t>
      </w:r>
      <w:r>
        <w:rPr>
          <w:rFonts w:hint="eastAsia" w:ascii="仿宋_GB2312" w:hAnsi="仿宋_GB2312" w:eastAsia="仿宋_GB2312" w:cs="仿宋_GB2312"/>
          <w:sz w:val="28"/>
          <w:szCs w:val="28"/>
        </w:rPr>
        <w:t>】天内无息返还。若乙方未能及时缴纳履约保证金，视为乙方违约，甲方有权终止合同，并要求乙方承担由此给甲方造成的所有损失。在合同履行期间，如果乙方存在违约情形，甲方有权扣除相应款项，并书面通知乙方。乙方自收到书面通知之日起【5】日内提出异议并补足履约保证金，如果逾期未提出，视为同意。如果乙方不及时补足履约保证金，经甲方通知后【3】日内，仍未补足，视为乙方违约，甲方有权解除合同，并要求乙方承担由此给甲方造成的所有损失。</w:t>
      </w:r>
    </w:p>
    <w:p>
      <w:pPr>
        <w:adjustRightInd w:val="0"/>
        <w:snapToGrid w:val="0"/>
        <w:spacing w:line="560" w:lineRule="exact"/>
        <w:ind w:firstLine="562" w:firstLineChars="200"/>
        <w:jc w:val="left"/>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九</w:t>
      </w:r>
      <w:r>
        <w:rPr>
          <w:rFonts w:hint="eastAsia" w:ascii="仿宋_GB2312" w:hAnsi="仿宋_GB2312" w:eastAsia="仿宋_GB2312" w:cs="仿宋_GB2312"/>
          <w:b/>
          <w:sz w:val="28"/>
          <w:szCs w:val="28"/>
        </w:rPr>
        <w:t>、转包或分包</w:t>
      </w:r>
    </w:p>
    <w:p>
      <w:pPr>
        <w:adjustRightInd w:val="0"/>
        <w:snapToGrid w:val="0"/>
        <w:spacing w:line="560" w:lineRule="exact"/>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1.</w:t>
      </w:r>
      <w:r>
        <w:rPr>
          <w:rFonts w:hint="eastAsia" w:ascii="仿宋_GB2312" w:hAnsi="仿宋_GB2312" w:eastAsia="仿宋_GB2312" w:cs="仿宋_GB2312"/>
          <w:sz w:val="28"/>
          <w:szCs w:val="28"/>
        </w:rPr>
        <w:t>本合同项下甲方采购的系统，必须由乙方直接供应；除非得到甲方的书面同意，乙方不得将本合同项下的系统全部或部分分包给第三方供应，不得将本合同项下权利义务转让给第三方；</w:t>
      </w:r>
    </w:p>
    <w:p>
      <w:pPr>
        <w:adjustRightInd w:val="0"/>
        <w:snapToGrid w:val="0"/>
        <w:spacing w:line="560" w:lineRule="exact"/>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2.</w:t>
      </w:r>
      <w:r>
        <w:rPr>
          <w:rFonts w:hint="eastAsia" w:ascii="仿宋_GB2312" w:hAnsi="仿宋_GB2312" w:eastAsia="仿宋_GB2312" w:cs="仿宋_GB2312"/>
          <w:sz w:val="28"/>
          <w:szCs w:val="28"/>
        </w:rPr>
        <w:t>如有未经甲方书面同意的转让和分包行为，甲方有权解除合同，并追究乙方的违约责任。</w:t>
      </w:r>
    </w:p>
    <w:p>
      <w:pPr>
        <w:adjustRightInd w:val="0"/>
        <w:snapToGrid w:val="0"/>
        <w:spacing w:line="560" w:lineRule="exact"/>
        <w:ind w:firstLine="562" w:firstLineChars="200"/>
        <w:jc w:val="left"/>
        <w:outlineLvl w:val="0"/>
        <w:rPr>
          <w:rFonts w:ascii="仿宋_GB2312" w:hAnsi="仿宋_GB2312" w:eastAsia="仿宋_GB2312" w:cs="仿宋_GB2312"/>
          <w:b/>
          <w:sz w:val="28"/>
          <w:szCs w:val="28"/>
        </w:rPr>
      </w:pPr>
      <w:bookmarkStart w:id="95" w:name="_Toc478453295"/>
      <w:r>
        <w:rPr>
          <w:rFonts w:hint="eastAsia" w:ascii="仿宋_GB2312" w:hAnsi="仿宋_GB2312" w:eastAsia="仿宋_GB2312" w:cs="仿宋_GB2312"/>
          <w:b/>
          <w:sz w:val="28"/>
          <w:szCs w:val="28"/>
          <w:lang w:eastAsia="zh-CN"/>
        </w:rPr>
        <w:t>十</w:t>
      </w:r>
      <w:r>
        <w:rPr>
          <w:rFonts w:hint="eastAsia" w:ascii="仿宋_GB2312" w:hAnsi="仿宋_GB2312" w:eastAsia="仿宋_GB2312" w:cs="仿宋_GB2312"/>
          <w:b/>
          <w:sz w:val="28"/>
          <w:szCs w:val="28"/>
        </w:rPr>
        <w:t>、交货期、交货方式</w:t>
      </w:r>
      <w:bookmarkEnd w:id="95"/>
    </w:p>
    <w:p>
      <w:pPr>
        <w:adjustRightInd w:val="0"/>
        <w:snapToGrid w:val="0"/>
        <w:spacing w:line="560" w:lineRule="exact"/>
        <w:ind w:firstLine="562" w:firstLineChars="200"/>
        <w:jc w:val="left"/>
        <w:rPr>
          <w:rFonts w:ascii="仿宋_GB2312" w:hAnsi="仿宋_GB2312" w:eastAsia="仿宋_GB2312" w:cs="仿宋_GB2312"/>
          <w:sz w:val="28"/>
          <w:szCs w:val="28"/>
          <w:u w:val="single"/>
        </w:rPr>
      </w:pPr>
      <w:r>
        <w:rPr>
          <w:rFonts w:ascii="仿宋_GB2312" w:hAnsi="仿宋_GB2312" w:eastAsia="仿宋_GB2312" w:cs="仿宋_GB2312"/>
          <w:b/>
          <w:bCs/>
          <w:sz w:val="28"/>
          <w:szCs w:val="28"/>
        </w:rPr>
        <w:t>1</w:t>
      </w:r>
      <w:r>
        <w:rPr>
          <w:rFonts w:hint="eastAsia" w:ascii="仿宋_GB2312" w:hAnsi="仿宋_GB2312" w:eastAsia="仿宋_GB2312" w:cs="仿宋_GB2312"/>
          <w:sz w:val="28"/>
          <w:szCs w:val="28"/>
        </w:rPr>
        <w:t>.交货期：合同生效之日起90日历天。</w:t>
      </w:r>
    </w:p>
    <w:p>
      <w:pPr>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2.交货地点：杭州萧山国际机场内</w:t>
      </w:r>
    </w:p>
    <w:p>
      <w:pPr>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3.交货方式：乙方在甲方安装联调系统。</w:t>
      </w:r>
    </w:p>
    <w:p>
      <w:pPr>
        <w:adjustRightInd w:val="0"/>
        <w:snapToGrid w:val="0"/>
        <w:spacing w:line="560" w:lineRule="exact"/>
        <w:ind w:firstLine="562" w:firstLineChars="200"/>
        <w:jc w:val="left"/>
        <w:outlineLvl w:val="0"/>
        <w:rPr>
          <w:rFonts w:ascii="仿宋_GB2312" w:hAnsi="仿宋_GB2312" w:eastAsia="仿宋_GB2312" w:cs="仿宋_GB2312"/>
          <w:b/>
          <w:sz w:val="28"/>
          <w:szCs w:val="28"/>
        </w:rPr>
      </w:pPr>
      <w:bookmarkStart w:id="96" w:name="_Toc478453296"/>
      <w:r>
        <w:rPr>
          <w:rFonts w:hint="eastAsia" w:ascii="仿宋_GB2312" w:hAnsi="仿宋_GB2312" w:eastAsia="仿宋_GB2312" w:cs="仿宋_GB2312"/>
          <w:b/>
          <w:sz w:val="28"/>
          <w:szCs w:val="28"/>
          <w:lang w:eastAsia="zh-CN"/>
        </w:rPr>
        <w:t>十一</w:t>
      </w:r>
      <w:r>
        <w:rPr>
          <w:rFonts w:hint="eastAsia" w:ascii="仿宋_GB2312" w:hAnsi="仿宋_GB2312" w:eastAsia="仿宋_GB2312" w:cs="仿宋_GB2312"/>
          <w:b/>
          <w:sz w:val="28"/>
          <w:szCs w:val="28"/>
        </w:rPr>
        <w:t>、安装、调试、试运行及验收</w:t>
      </w:r>
      <w:bookmarkEnd w:id="96"/>
    </w:p>
    <w:p>
      <w:pPr>
        <w:adjustRightInd w:val="0"/>
        <w:snapToGrid w:val="0"/>
        <w:spacing w:line="360" w:lineRule="auto"/>
        <w:ind w:firstLine="562" w:firstLineChars="200"/>
        <w:jc w:val="left"/>
        <w:rPr>
          <w:rFonts w:ascii="仿宋_GB2312" w:hAnsi="仿宋_GB2312" w:eastAsia="仿宋_GB2312" w:cs="仿宋_GB2312"/>
          <w:sz w:val="28"/>
          <w:szCs w:val="28"/>
        </w:rPr>
      </w:pPr>
      <w:bookmarkStart w:id="97" w:name="_Toc478453297"/>
      <w:r>
        <w:rPr>
          <w:rFonts w:hint="eastAsia" w:ascii="仿宋_GB2312" w:hAnsi="仿宋_GB2312" w:eastAsia="仿宋_GB2312" w:cs="仿宋_GB2312"/>
          <w:b/>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乙方项目开发完成</w:t>
      </w:r>
      <w:r>
        <w:rPr>
          <w:rFonts w:ascii="仿宋_GB2312" w:hAnsi="仿宋_GB2312" w:eastAsia="仿宋_GB2312" w:cs="仿宋_GB2312"/>
          <w:sz w:val="28"/>
          <w:szCs w:val="28"/>
        </w:rPr>
        <w:t>后，</w:t>
      </w:r>
      <w:r>
        <w:rPr>
          <w:rFonts w:hint="eastAsia" w:ascii="仿宋_GB2312" w:hAnsi="仿宋_GB2312" w:eastAsia="仿宋_GB2312" w:cs="仿宋_GB2312"/>
          <w:sz w:val="28"/>
          <w:szCs w:val="28"/>
        </w:rPr>
        <w:t>负责在甲方完成现场安装、开发、调试，确保系统正常运行。系统安装开发、调试完毕由乙方提交甲方初验，甲方按本合同及招标文件的要求对系统进行初验。初验标准：乙方已完成所有软硬件设备安装和调试工作，所提供的软硬件设备满足本合同及招标文件的所有要求，提交合同货物文件、现场安装报告并根据软硬件设备可能出现的问题拟订应急处理计划（方案），并在软硬件设备启用前进行营运测试和评估，测试合格后提交甲方对行李再确认系统的功能进行初验</w:t>
      </w:r>
      <w:r>
        <w:rPr>
          <w:rFonts w:ascii="仿宋_GB2312" w:hAnsi="仿宋_GB2312" w:eastAsia="仿宋_GB2312" w:cs="仿宋_GB2312"/>
          <w:sz w:val="28"/>
          <w:szCs w:val="28"/>
        </w:rPr>
        <w:t>,满足甲方功能要求的，甲方签署《初验报告》视为初验通过，乙方提交系统上线试运行。</w:t>
      </w:r>
    </w:p>
    <w:p>
      <w:pPr>
        <w:adjustRightInd w:val="0"/>
        <w:snapToGrid w:val="0"/>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初验合格后，进入为期【三个月】的试运行。若试运行期间软件运行不稳定或存在功能缺陷，且试运行期间问题没有解决，则试运行结束日期顺延，直到完成甲方提出的整改要求。项目实施试运行期间，提供现场技术支持服务。</w:t>
      </w:r>
    </w:p>
    <w:p>
      <w:pPr>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初验的标准是：</w:t>
      </w:r>
    </w:p>
    <w:p>
      <w:pPr>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站坪系统硬件安装调试完毕，软件系统部署到位，软件系统各项基础数据和席位配置完成。</w:t>
      </w:r>
    </w:p>
    <w:p>
      <w:pPr>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试运行的标准是：</w:t>
      </w:r>
    </w:p>
    <w:p>
      <w:pPr>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硬件设备正常运行。软件系统可以正常使用，机坪席位间航班移交正常，机坪和塔台管制间航班移交正常。</w:t>
      </w:r>
    </w:p>
    <w:p>
      <w:pPr>
        <w:adjustRightInd w:val="0"/>
        <w:snapToGrid w:val="0"/>
        <w:spacing w:line="560" w:lineRule="exact"/>
        <w:ind w:firstLine="560" w:firstLineChars="200"/>
        <w:jc w:val="left"/>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2.项目实施试运行期间，乙方提供【2】人/天的原厂现场技术支持服务。</w:t>
      </w:r>
    </w:p>
    <w:p>
      <w:pPr>
        <w:adjustRightInd w:val="0"/>
        <w:snapToGrid w:val="0"/>
        <w:spacing w:line="560" w:lineRule="exact"/>
        <w:ind w:firstLine="560" w:firstLineChars="200"/>
        <w:jc w:val="left"/>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3.试运行期满后，乙方提交甲方进行终验。</w:t>
      </w:r>
    </w:p>
    <w:p>
      <w:pPr>
        <w:adjustRightInd w:val="0"/>
        <w:snapToGrid w:val="0"/>
        <w:spacing w:line="560" w:lineRule="exact"/>
        <w:ind w:firstLine="560" w:firstLineChars="200"/>
        <w:jc w:val="left"/>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终验标准是：</w:t>
      </w:r>
    </w:p>
    <w:p>
      <w:pPr>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满足经甲乙双方签字确认的《需求分析文档》。硬件设备长期稳定运行。软件系统各项参数调优完毕，完善基数数据配置，满足正式运行要求。软件系统长期稳定运行，机坪和塔台管制间航班移交不发生系统级故障。</w:t>
      </w:r>
    </w:p>
    <w:p>
      <w:pPr>
        <w:adjustRightInd w:val="0"/>
        <w:snapToGrid w:val="0"/>
        <w:spacing w:line="560" w:lineRule="exact"/>
        <w:ind w:firstLine="560" w:firstLineChars="200"/>
        <w:jc w:val="left"/>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4. 乙方安装调试系统前应对产品做出全面检查和对验收文件进行整理，并列出清单，作为甲方验收和使用的技术条件依据，乙方检验的结果应随系统交甲方。</w:t>
      </w:r>
    </w:p>
    <w:p>
      <w:pPr>
        <w:adjustRightInd w:val="0"/>
        <w:snapToGrid w:val="0"/>
        <w:spacing w:line="560" w:lineRule="exact"/>
        <w:ind w:firstLine="560" w:firstLineChars="200"/>
        <w:jc w:val="left"/>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5.甲方在验收后如发现产品的品种、型号、规格、数量或质量不符合合同约定或相关质量要求，甲方应在验收之日起【5】日内以书面或电话形式向乙方提出异议；乙方应当在收到甲方异议之日起【5】日内作出答复或与甲方协商处理，并承担由此产生的相关费用。在上述异议期及产品质量问题的处理期间，甲方有权中止本合同项下的付款义务。</w:t>
      </w:r>
    </w:p>
    <w:p>
      <w:pPr>
        <w:adjustRightInd w:val="0"/>
        <w:snapToGrid w:val="0"/>
        <w:spacing w:line="560" w:lineRule="exact"/>
        <w:ind w:firstLine="560" w:firstLineChars="200"/>
        <w:jc w:val="left"/>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6.如甲方未按上述规定期限提出质量异议的，视为乙方所交付的产品符合合同规定；乙方未按上述规定期限做出答复或负责处理的，则视为乙方同意甲方提出的异议和处理意见。</w:t>
      </w:r>
    </w:p>
    <w:p>
      <w:pPr>
        <w:adjustRightInd w:val="0"/>
        <w:snapToGrid w:val="0"/>
        <w:spacing w:line="560" w:lineRule="exact"/>
        <w:ind w:firstLine="560" w:firstLineChars="200"/>
        <w:jc w:val="left"/>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7.免费技术培训：至少</w:t>
      </w:r>
      <w:r>
        <w:rPr>
          <w:rFonts w:ascii="仿宋_GB2312" w:hAnsi="仿宋_GB2312" w:eastAsia="仿宋_GB2312" w:cs="仿宋_GB2312"/>
          <w:sz w:val="28"/>
          <w:szCs w:val="28"/>
          <w:shd w:val="clear" w:color="auto" w:fill="FFFFFF" w:themeFill="background1"/>
        </w:rPr>
        <w:t>2天的用户现场培训</w:t>
      </w:r>
      <w:r>
        <w:rPr>
          <w:rFonts w:hint="eastAsia" w:ascii="仿宋_GB2312" w:hAnsi="仿宋_GB2312" w:eastAsia="仿宋_GB2312" w:cs="仿宋_GB2312"/>
          <w:sz w:val="28"/>
          <w:szCs w:val="28"/>
          <w:shd w:val="clear" w:color="auto" w:fill="FFFFFF" w:themeFill="background1"/>
        </w:rPr>
        <w:t>。</w:t>
      </w:r>
      <w:r>
        <w:rPr>
          <w:rFonts w:hint="eastAsia" w:ascii="仿宋_GB2312" w:hAnsi="仿宋_GB2312" w:eastAsia="仿宋_GB2312" w:cs="仿宋_GB2312"/>
          <w:sz w:val="28"/>
          <w:szCs w:val="28"/>
        </w:rPr>
        <w:t>应提供对甲方的维护操作技术培训，培训包括现场培训，使甲方能够掌握软件产品使用的基本要求，做好资料移交。</w:t>
      </w:r>
    </w:p>
    <w:p>
      <w:pPr>
        <w:adjustRightInd w:val="0"/>
        <w:snapToGrid w:val="0"/>
        <w:spacing w:line="560" w:lineRule="exact"/>
        <w:ind w:firstLine="560" w:firstLineChars="200"/>
        <w:jc w:val="left"/>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培训工作应贯穿整个项目的实施过程，达到甲方能独立进行管理、故障处理、日常测试维护等工作的目的。</w:t>
      </w:r>
    </w:p>
    <w:p>
      <w:pPr>
        <w:adjustRightInd w:val="0"/>
        <w:snapToGrid w:val="0"/>
        <w:spacing w:line="560" w:lineRule="exact"/>
        <w:ind w:firstLine="560" w:firstLineChars="200"/>
        <w:jc w:val="left"/>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提供系统使用操作培训，并提交用户使用手册。</w:t>
      </w:r>
    </w:p>
    <w:p>
      <w:pPr>
        <w:adjustRightInd w:val="0"/>
        <w:snapToGrid w:val="0"/>
        <w:spacing w:line="560" w:lineRule="exact"/>
        <w:ind w:firstLine="560" w:firstLineChars="200"/>
        <w:jc w:val="left"/>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提供系统维护方案，提供各种典型的出错处理方法。</w:t>
      </w:r>
    </w:p>
    <w:p>
      <w:pPr>
        <w:adjustRightInd w:val="0"/>
        <w:snapToGrid w:val="0"/>
        <w:spacing w:line="560" w:lineRule="exact"/>
        <w:ind w:firstLine="560" w:firstLineChars="200"/>
        <w:jc w:val="left"/>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adjustRightInd w:val="0"/>
        <w:snapToGrid w:val="0"/>
        <w:spacing w:line="560" w:lineRule="exact"/>
        <w:ind w:firstLine="562" w:firstLineChars="200"/>
        <w:jc w:val="left"/>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eastAsia="zh-CN"/>
        </w:rPr>
        <w:t>二</w:t>
      </w:r>
      <w:r>
        <w:rPr>
          <w:rFonts w:hint="eastAsia" w:ascii="仿宋_GB2312" w:hAnsi="仿宋_GB2312" w:eastAsia="仿宋_GB2312" w:cs="仿宋_GB2312"/>
          <w:b/>
          <w:sz w:val="28"/>
          <w:szCs w:val="28"/>
        </w:rPr>
        <w:t>、货款支付</w:t>
      </w:r>
      <w:bookmarkEnd w:id="97"/>
    </w:p>
    <w:p>
      <w:pPr>
        <w:snapToGrid w:val="0"/>
        <w:spacing w:line="56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1、乙方交纳履约保证金且本合同生效后</w:t>
      </w:r>
      <w:r>
        <w:rPr>
          <w:rFonts w:ascii="仿宋_GB2312" w:hAnsi="仿宋_GB2312" w:eastAsia="仿宋_GB2312" w:cs="仿宋_GB2312"/>
          <w:kern w:val="0"/>
          <w:sz w:val="28"/>
          <w:szCs w:val="28"/>
        </w:rPr>
        <w:t xml:space="preserve">10个工作日内，甲方支付本合同总金额的30%，即 ¥ </w:t>
      </w:r>
      <w:r>
        <w:rPr>
          <w:rFonts w:hint="eastAsia" w:ascii="仿宋_GB2312" w:hAnsi="仿宋_GB2312" w:eastAsia="仿宋_GB2312" w:cs="仿宋_GB2312"/>
          <w:kern w:val="0"/>
          <w:sz w:val="28"/>
          <w:szCs w:val="28"/>
        </w:rPr>
        <w:t xml:space="preserve">         元</w:t>
      </w:r>
      <w:r>
        <w:rPr>
          <w:rFonts w:ascii="仿宋_GB2312" w:hAnsi="仿宋_GB2312" w:eastAsia="仿宋_GB2312" w:cs="仿宋_GB2312"/>
          <w:kern w:val="0"/>
          <w:sz w:val="28"/>
          <w:szCs w:val="28"/>
        </w:rPr>
        <w:t xml:space="preserve">  。</w:t>
      </w:r>
    </w:p>
    <w:p>
      <w:pPr>
        <w:snapToGrid w:val="0"/>
        <w:spacing w:line="560" w:lineRule="exact"/>
        <w:ind w:firstLine="560" w:firstLineChars="200"/>
        <w:jc w:val="left"/>
        <w:rPr>
          <w:rFonts w:ascii="仿宋_GB2312" w:hAnsi="仿宋_GB2312" w:eastAsia="仿宋_GB2312" w:cs="仿宋_GB2312"/>
          <w:kern w:val="0"/>
          <w:sz w:val="28"/>
          <w:szCs w:val="28"/>
        </w:rPr>
      </w:pPr>
    </w:p>
    <w:p>
      <w:pPr>
        <w:snapToGrid w:val="0"/>
        <w:spacing w:line="56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2、乙方完成软件系统的部署、本地化设置与开发、安装调试上线后，可申请初验，由甲方出具初验合格证明后【10】日内，甲方支付本合同总金额的【30%】。</w:t>
      </w:r>
    </w:p>
    <w:p>
      <w:pPr>
        <w:snapToGrid w:val="0"/>
        <w:spacing w:line="56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3、初验通过后，进入【3个月】全面试运行期。试运行期系统稳定运行，可申请终验。经甲方终验合格后【10】日内，甲方支付本合同总价的【35%】。</w:t>
      </w:r>
    </w:p>
    <w:p>
      <w:pPr>
        <w:snapToGrid w:val="0"/>
        <w:spacing w:line="56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4、质量保证期满一年后，甲方支付本合同总价的【5%】。</w:t>
      </w:r>
    </w:p>
    <w:p>
      <w:pPr>
        <w:snapToGrid w:val="0"/>
        <w:spacing w:line="56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以上款项支付时，乙方需开具增值税专用发票。</w:t>
      </w:r>
    </w:p>
    <w:p>
      <w:pPr>
        <w:adjustRightInd w:val="0"/>
        <w:snapToGrid w:val="0"/>
        <w:spacing w:line="560" w:lineRule="exact"/>
        <w:ind w:firstLine="562" w:firstLineChars="200"/>
        <w:jc w:val="left"/>
        <w:outlineLvl w:val="0"/>
        <w:rPr>
          <w:rFonts w:ascii="仿宋_GB2312" w:hAnsi="仿宋_GB2312" w:eastAsia="仿宋_GB2312" w:cs="仿宋_GB2312"/>
          <w:b/>
          <w:sz w:val="28"/>
          <w:szCs w:val="28"/>
        </w:rPr>
      </w:pPr>
      <w:bookmarkStart w:id="98" w:name="_Toc478453299"/>
      <w:r>
        <w:rPr>
          <w:rFonts w:hint="eastAsia" w:ascii="仿宋_GB2312" w:hAnsi="仿宋_GB2312" w:eastAsia="仿宋_GB2312" w:cs="仿宋_GB2312"/>
          <w:b/>
          <w:sz w:val="28"/>
          <w:szCs w:val="28"/>
        </w:rPr>
        <w:t>十二、质量保证及售后服务</w:t>
      </w:r>
      <w:bookmarkEnd w:id="98"/>
    </w:p>
    <w:p>
      <w:pPr>
        <w:adjustRightInd w:val="0"/>
        <w:snapToGrid w:val="0"/>
        <w:spacing w:line="560" w:lineRule="exact"/>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1.</w:t>
      </w:r>
      <w:r>
        <w:rPr>
          <w:rFonts w:hint="eastAsia" w:ascii="仿宋_GB2312" w:hAnsi="仿宋_GB2312" w:eastAsia="仿宋_GB2312" w:cs="仿宋_GB2312"/>
          <w:sz w:val="28"/>
          <w:szCs w:val="28"/>
        </w:rPr>
        <w:t>乙方保证其所供应的产品符合相关产品质量标准，不存在任何质量瑕疵或因质量瑕疵而导致的安全隐患，且为未经使用的全新产品，符合合同规定及招标文件的要求。</w:t>
      </w:r>
    </w:p>
    <w:p>
      <w:pPr>
        <w:adjustRightInd w:val="0"/>
        <w:snapToGrid w:val="0"/>
        <w:spacing w:line="560" w:lineRule="exact"/>
        <w:ind w:firstLine="562" w:firstLineChars="200"/>
        <w:jc w:val="left"/>
        <w:rPr>
          <w:rFonts w:ascii="仿宋_GB2312" w:hAnsi="仿宋_GB2312" w:eastAsia="仿宋_GB2312" w:cs="仿宋_GB2312"/>
          <w:sz w:val="28"/>
          <w:szCs w:val="28"/>
          <w:u w:val="single"/>
        </w:rPr>
      </w:pPr>
      <w:r>
        <w:rPr>
          <w:rFonts w:hint="eastAsia" w:ascii="仿宋_GB2312" w:hAnsi="仿宋_GB2312" w:eastAsia="仿宋_GB2312" w:cs="仿宋_GB2312"/>
          <w:b/>
          <w:sz w:val="28"/>
          <w:szCs w:val="28"/>
        </w:rPr>
        <w:t>2.</w:t>
      </w:r>
      <w:r>
        <w:rPr>
          <w:rFonts w:hint="eastAsia" w:ascii="仿宋_GB2312" w:hAnsi="仿宋_GB2312" w:eastAsia="仿宋_GB2312" w:cs="仿宋_GB2312"/>
          <w:sz w:val="28"/>
          <w:szCs w:val="28"/>
        </w:rPr>
        <w:t>乙方应为系统提供的免费质量保证期：</w:t>
      </w:r>
      <w:r>
        <w:rPr>
          <w:rFonts w:hint="eastAsia" w:ascii="仿宋_GB2312" w:hAnsi="仿宋_GB2312" w:eastAsia="仿宋_GB2312" w:cs="仿宋_GB2312"/>
          <w:sz w:val="28"/>
          <w:szCs w:val="28"/>
          <w:u w:val="single"/>
        </w:rPr>
        <w:t>自最终验收合格且双方签署最终验收合格报告之日起开始计算质保期，时间为【一年】。</w:t>
      </w:r>
    </w:p>
    <w:p>
      <w:pPr>
        <w:spacing w:line="560" w:lineRule="exact"/>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3．</w:t>
      </w:r>
      <w:r>
        <w:rPr>
          <w:rFonts w:hint="eastAsia" w:ascii="仿宋_GB2312" w:hAnsi="仿宋_GB2312" w:eastAsia="仿宋_GB2312" w:cs="仿宋_GB2312"/>
          <w:sz w:val="28"/>
          <w:szCs w:val="28"/>
        </w:rPr>
        <w:t>免费质保期内，由于非甲方原因发生的系统问题，乙方免费提供维护直至系统性能、状态等达到正常标准，可以正常安全使用为止。如无法修复，乙方应负责免费更换或由甲方退还乙方所供系统，乙方退还甲方支付的合同款，同时应承担该系统的直接费用（运输、保险、检验、货款利息及银行手续费等）以及由此给甲方造成的损失。</w:t>
      </w:r>
    </w:p>
    <w:p>
      <w:pPr>
        <w:spacing w:line="560" w:lineRule="exact"/>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4．</w:t>
      </w:r>
      <w:r>
        <w:rPr>
          <w:rFonts w:hint="eastAsia" w:ascii="仿宋_GB2312" w:hAnsi="仿宋_GB2312" w:eastAsia="仿宋_GB2312" w:cs="仿宋_GB2312"/>
          <w:sz w:val="28"/>
          <w:szCs w:val="28"/>
        </w:rPr>
        <w:t>免费质保期内，乙方提供【24】小时售后服务，在接到报修通知后，维修人员应在【24】小时内赶到杭州萧山国际机场，并连续进行维修，直到系统恢复正常。修复部分的质保期自修复之日起重新开始计算。</w:t>
      </w:r>
    </w:p>
    <w:p>
      <w:pPr>
        <w:spacing w:line="560" w:lineRule="exact"/>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5．</w:t>
      </w:r>
      <w:r>
        <w:rPr>
          <w:rFonts w:hint="eastAsia" w:ascii="仿宋_GB2312" w:hAnsi="仿宋_GB2312" w:eastAsia="仿宋_GB2312" w:cs="仿宋_GB2312"/>
          <w:sz w:val="28"/>
          <w:szCs w:val="28"/>
        </w:rPr>
        <w:t>免费质保期结束的【3】天前，乙方负责对系统进行一次全面的检查和维护，并由甲方验收认可。</w:t>
      </w:r>
    </w:p>
    <w:p>
      <w:pPr>
        <w:spacing w:line="560" w:lineRule="exact"/>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6.</w:t>
      </w:r>
      <w:r>
        <w:rPr>
          <w:rFonts w:hint="eastAsia" w:ascii="仿宋_GB2312" w:hAnsi="仿宋_GB2312" w:eastAsia="仿宋_GB2312" w:cs="仿宋_GB2312"/>
          <w:sz w:val="28"/>
          <w:szCs w:val="28"/>
        </w:rPr>
        <w:t>乙方需提供项目负责人【1】及团队人员【10】人负责本合同项下约定的义务履行。合同履行过程中，乙方委派项目负责人不得更换，若因合理原因（包括但不限于正常调动、离职、时间冲突、回避、身体状况等）无法继续或暂时不能提供服务时，乙方应及时告知甲方，并由双方协商另行指派其他合适的项目接替；甲方不同意其他项目负责人接替的，视为甲方解除合同，合同终止履行，且甲方不承担任何违约责任。</w:t>
      </w:r>
    </w:p>
    <w:p>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项目团队人员不能履行合同规定的各项义务或不能胜任该项工作的，甲方有权提请乙方予以调换或商请其他同等资历及以上的项目团队人员担任。乙方应在收到甲方书面通知之日起【5】日内，更换新的项目团队人员。若乙方逾期未提供符合本合同及招标文件约定的相关项目团队人员，甲方有权终止本合同，并要求乙方承担合同总额【5%】的违约金。</w:t>
      </w:r>
    </w:p>
    <w:p>
      <w:pPr>
        <w:adjustRightInd w:val="0"/>
        <w:snapToGrid w:val="0"/>
        <w:spacing w:line="560" w:lineRule="exact"/>
        <w:ind w:firstLine="562" w:firstLineChars="200"/>
        <w:jc w:val="left"/>
        <w:outlineLvl w:val="0"/>
        <w:rPr>
          <w:rFonts w:ascii="仿宋_GB2312" w:hAnsi="仿宋_GB2312" w:eastAsia="仿宋_GB2312" w:cs="仿宋_GB2312"/>
          <w:b/>
          <w:sz w:val="28"/>
          <w:szCs w:val="28"/>
        </w:rPr>
      </w:pPr>
      <w:bookmarkStart w:id="99" w:name="_Toc478453300"/>
      <w:r>
        <w:rPr>
          <w:rFonts w:hint="eastAsia" w:ascii="仿宋_GB2312" w:hAnsi="仿宋_GB2312" w:eastAsia="仿宋_GB2312" w:cs="仿宋_GB2312"/>
          <w:b/>
          <w:sz w:val="28"/>
          <w:szCs w:val="28"/>
        </w:rPr>
        <w:t>十三、违约责任</w:t>
      </w:r>
      <w:bookmarkEnd w:id="99"/>
    </w:p>
    <w:p>
      <w:pPr>
        <w:adjustRightInd w:val="0"/>
        <w:snapToGrid w:val="0"/>
        <w:spacing w:line="560" w:lineRule="exact"/>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1.</w:t>
      </w:r>
      <w:r>
        <w:rPr>
          <w:rFonts w:hint="eastAsia" w:ascii="仿宋_GB2312" w:hAnsi="仿宋_GB2312" w:eastAsia="仿宋_GB2312" w:cs="仿宋_GB2312"/>
          <w:sz w:val="28"/>
          <w:szCs w:val="28"/>
        </w:rPr>
        <w:t xml:space="preserve"> 甲方无正当理由拒收系统的，甲方向乙方偿付</w:t>
      </w:r>
      <w:r>
        <w:rPr>
          <w:rFonts w:hint="eastAsia" w:ascii="仿宋_GB2312" w:hAnsi="仿宋_GB2312" w:eastAsia="仿宋_GB2312" w:cs="仿宋_GB2312"/>
          <w:sz w:val="28"/>
          <w:szCs w:val="28"/>
          <w:u w:val="single"/>
        </w:rPr>
        <w:t>合同款项百分之五作为违约金。</w:t>
      </w:r>
    </w:p>
    <w:p>
      <w:pPr>
        <w:adjustRightInd w:val="0"/>
        <w:snapToGrid w:val="0"/>
        <w:spacing w:line="560" w:lineRule="exact"/>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2.</w:t>
      </w:r>
      <w:r>
        <w:rPr>
          <w:rFonts w:hint="eastAsia" w:ascii="仿宋_GB2312" w:hAnsi="仿宋_GB2312" w:eastAsia="仿宋_GB2312" w:cs="仿宋_GB2312"/>
          <w:sz w:val="28"/>
          <w:szCs w:val="28"/>
        </w:rPr>
        <w:t xml:space="preserve"> 甲方无故逾期支付本合同约定款项的,甲方应按逾期付款总额每日【0.05】%向乙方支付违约金。</w:t>
      </w:r>
    </w:p>
    <w:p>
      <w:pPr>
        <w:adjustRightInd w:val="0"/>
        <w:snapToGrid w:val="0"/>
        <w:spacing w:line="560" w:lineRule="exact"/>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 xml:space="preserve">3. </w:t>
      </w:r>
      <w:r>
        <w:rPr>
          <w:rFonts w:hint="eastAsia" w:ascii="仿宋_GB2312" w:hAnsi="仿宋_GB2312" w:eastAsia="仿宋_GB2312" w:cs="仿宋_GB2312"/>
          <w:sz w:val="28"/>
          <w:szCs w:val="28"/>
        </w:rPr>
        <w:t xml:space="preserve">乙方责任原因逾期交付系统或提供服务（包含质保期内未按照本合同约定提供免费质保服务）的，乙方应按逾期交付部分每日【0.05】%向甲方支付违约金，由甲方从货款中扣除。逾期超过约定日期【10】个工作日的，甲方可解除本合同。乙方因逾期交货或提供服务，或因其他违约行为导致甲方解除合同的，乙方应向甲方支付合同总价5%的违约金，如造成甲方损失超过违约金的，超出部分由乙方继续承担赔偿责任。 </w:t>
      </w:r>
    </w:p>
    <w:p>
      <w:pPr>
        <w:adjustRightInd w:val="0"/>
        <w:snapToGrid w:val="0"/>
        <w:spacing w:line="560" w:lineRule="exact"/>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 xml:space="preserve">4. </w:t>
      </w:r>
      <w:r>
        <w:rPr>
          <w:rFonts w:hint="eastAsia" w:ascii="仿宋_GB2312" w:hAnsi="仿宋_GB2312" w:eastAsia="仿宋_GB2312" w:cs="仿宋_GB2312"/>
          <w:sz w:val="28"/>
          <w:szCs w:val="28"/>
        </w:rPr>
        <w:t>乙方所交的系统品种、型号、规格、技术参数、质量不符合合同规定及招标文件规定标准的，甲方有权拒收该系统或服务，并要求乙方重新提供；乙方因重新提供而逾期交付的，按乙方逾期交货处理。乙方拒绝重新提供或重新提供的系统或服务仍然不符合本合同及招标文件规定的标准和要求的，甲方可单方面解除合同，并扣除乙方履约保证金。</w:t>
      </w:r>
    </w:p>
    <w:p>
      <w:pPr>
        <w:adjustRightInd w:val="0"/>
        <w:snapToGrid w:val="0"/>
        <w:spacing w:line="560" w:lineRule="exact"/>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5．</w:t>
      </w:r>
      <w:r>
        <w:rPr>
          <w:rFonts w:hint="eastAsia" w:ascii="仿宋_GB2312" w:hAnsi="仿宋_GB2312" w:eastAsia="仿宋_GB2312" w:cs="仿宋_GB2312"/>
          <w:sz w:val="28"/>
          <w:szCs w:val="28"/>
        </w:rPr>
        <w:t>因乙方提供系统或服务导致甲方或第三方人身、财产损害的，乙方须依法承担全部赔偿责任；如因该等损害导致甲方向第三方承担赔偿责任的，乙方须在甲方赔偿范围内全额向甲方做出赔偿。</w:t>
      </w:r>
    </w:p>
    <w:p>
      <w:pPr>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 初验、试运行、终验过程中，如果发现系统运行存在任何问题时，乙方接到甲方通知之日起，必须    24 小时内赶到现场，解决问题。经过三次修改，系统问题仍然得不到解决，甲方有权要求乙方重新部署系统（含安装软件）或更换产品，并且有权要求乙方承担由此给甲方造成的损失。</w:t>
      </w:r>
    </w:p>
    <w:p>
      <w:pPr>
        <w:adjustRightInd w:val="0"/>
        <w:snapToGrid w:val="0"/>
        <w:spacing w:line="560" w:lineRule="exact"/>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7.</w:t>
      </w:r>
      <w:r>
        <w:rPr>
          <w:rFonts w:hint="eastAsia" w:ascii="仿宋_GB2312" w:hAnsi="仿宋_GB2312" w:eastAsia="仿宋_GB2312" w:cs="仿宋_GB2312"/>
          <w:sz w:val="28"/>
          <w:szCs w:val="28"/>
        </w:rPr>
        <w:t xml:space="preserve"> 在系统免费质量保证期内，乙方提供服务，详见本合同第十三条。质保期内，如果乙方不能及时解决故障，甲方有权扣除乙方质保金。 </w:t>
      </w:r>
    </w:p>
    <w:p>
      <w:pPr>
        <w:adjustRightInd w:val="0"/>
        <w:snapToGrid w:val="0"/>
        <w:spacing w:line="560" w:lineRule="exact"/>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8．</w:t>
      </w:r>
      <w:r>
        <w:rPr>
          <w:rFonts w:hint="eastAsia" w:ascii="仿宋_GB2312" w:hAnsi="仿宋_GB2312" w:eastAsia="仿宋_GB2312" w:cs="仿宋_GB2312"/>
          <w:sz w:val="28"/>
          <w:szCs w:val="28"/>
        </w:rPr>
        <w:t>除本合同另有规定外，乙方违反其在本合同项下其他义务并给甲方造成损失的，须向甲方承担全部赔偿责任。</w:t>
      </w:r>
    </w:p>
    <w:p>
      <w:pPr>
        <w:adjustRightInd w:val="0"/>
        <w:snapToGrid w:val="0"/>
        <w:spacing w:line="560" w:lineRule="exact"/>
        <w:ind w:firstLine="562" w:firstLineChars="200"/>
        <w:jc w:val="left"/>
        <w:outlineLvl w:val="0"/>
        <w:rPr>
          <w:rFonts w:ascii="仿宋_GB2312" w:hAnsi="仿宋_GB2312" w:eastAsia="仿宋_GB2312" w:cs="仿宋_GB2312"/>
          <w:b/>
          <w:sz w:val="28"/>
          <w:szCs w:val="28"/>
        </w:rPr>
      </w:pPr>
      <w:bookmarkStart w:id="100" w:name="_Toc478453301"/>
      <w:r>
        <w:rPr>
          <w:rFonts w:hint="eastAsia" w:ascii="仿宋_GB2312" w:hAnsi="仿宋_GB2312" w:eastAsia="仿宋_GB2312" w:cs="仿宋_GB2312"/>
          <w:b/>
          <w:sz w:val="28"/>
          <w:szCs w:val="28"/>
        </w:rPr>
        <w:t>十四、不可抗力事件处理</w:t>
      </w:r>
      <w:bookmarkEnd w:id="100"/>
    </w:p>
    <w:p>
      <w:pPr>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甲乙双方的任何一方由于不能预见且不可避免的不可抗力事件而不能履行合同时，应在不可抗力发生之日起3日内向对方通报不能履行或不能完全履行的不可抗力事由，并向对方提供相关主管机关书面证明。在提供有关主管机关证明以后，双方可协商延期履行、部分履行或者不履行合同，并根据情况可部分或全部免予承担违约责任。如不可抗力延续达30日，除非双方就合同迟延履行另行达成一致，否则本合同自动终止，双方互不承担违约责任。本合同自动终止后，甲乙双方须本着诚实信用原则在合理时间内处理好未尽事宜。</w:t>
      </w:r>
    </w:p>
    <w:p>
      <w:pPr>
        <w:adjustRightInd w:val="0"/>
        <w:snapToGrid w:val="0"/>
        <w:spacing w:line="56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十五、争议解决</w:t>
      </w:r>
    </w:p>
    <w:p>
      <w:pPr>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十六、合同组成文件包含下列内容，且解释顺序如下：</w:t>
      </w:r>
    </w:p>
    <w:p>
      <w:pPr>
        <w:adjustRightInd w:val="0"/>
        <w:snapToGrid w:val="0"/>
        <w:spacing w:line="560" w:lineRule="exact"/>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1.</w:t>
      </w:r>
      <w:r>
        <w:rPr>
          <w:rFonts w:hint="eastAsia" w:ascii="仿宋_GB2312" w:hAnsi="仿宋_GB2312" w:eastAsia="仿宋_GB2312" w:cs="仿宋_GB2312"/>
          <w:sz w:val="28"/>
          <w:szCs w:val="28"/>
        </w:rPr>
        <w:t>本合同协议书</w:t>
      </w:r>
    </w:p>
    <w:p>
      <w:pPr>
        <w:adjustRightInd w:val="0"/>
        <w:snapToGrid w:val="0"/>
        <w:spacing w:line="560" w:lineRule="exact"/>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2.</w:t>
      </w:r>
      <w:r>
        <w:rPr>
          <w:rFonts w:hint="eastAsia" w:ascii="仿宋_GB2312" w:hAnsi="仿宋_GB2312" w:eastAsia="仿宋_GB2312" w:cs="仿宋_GB2312"/>
          <w:sz w:val="28"/>
          <w:szCs w:val="28"/>
        </w:rPr>
        <w:t>中标通知书</w:t>
      </w:r>
    </w:p>
    <w:p>
      <w:pPr>
        <w:adjustRightInd w:val="0"/>
        <w:snapToGrid w:val="0"/>
        <w:spacing w:line="560" w:lineRule="exact"/>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3.</w:t>
      </w:r>
      <w:r>
        <w:rPr>
          <w:rFonts w:hint="eastAsia" w:ascii="仿宋_GB2312" w:hAnsi="仿宋_GB2312" w:eastAsia="仿宋_GB2312" w:cs="仿宋_GB2312"/>
          <w:sz w:val="28"/>
          <w:szCs w:val="28"/>
        </w:rPr>
        <w:t xml:space="preserve"> 招标文件</w:t>
      </w:r>
    </w:p>
    <w:p>
      <w:pPr>
        <w:adjustRightInd w:val="0"/>
        <w:snapToGrid w:val="0"/>
        <w:spacing w:line="560" w:lineRule="exact"/>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4.</w:t>
      </w:r>
      <w:r>
        <w:rPr>
          <w:rFonts w:hint="eastAsia" w:ascii="仿宋_GB2312" w:hAnsi="仿宋_GB2312" w:eastAsia="仿宋_GB2312" w:cs="仿宋_GB2312"/>
          <w:sz w:val="28"/>
          <w:szCs w:val="28"/>
        </w:rPr>
        <w:t xml:space="preserve"> 投标书及其附件</w:t>
      </w:r>
    </w:p>
    <w:p>
      <w:pPr>
        <w:adjustRightInd w:val="0"/>
        <w:snapToGrid w:val="0"/>
        <w:spacing w:line="560" w:lineRule="exact"/>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5.</w:t>
      </w:r>
      <w:r>
        <w:rPr>
          <w:rFonts w:hint="eastAsia" w:ascii="仿宋_GB2312" w:hAnsi="仿宋_GB2312" w:eastAsia="仿宋_GB2312" w:cs="仿宋_GB2312"/>
          <w:sz w:val="28"/>
          <w:szCs w:val="28"/>
        </w:rPr>
        <w:t>标准、规范及有关技术文件</w:t>
      </w:r>
    </w:p>
    <w:p>
      <w:pPr>
        <w:adjustRightInd w:val="0"/>
        <w:snapToGrid w:val="0"/>
        <w:spacing w:line="560" w:lineRule="exact"/>
        <w:ind w:firstLine="562" w:firstLineChars="200"/>
        <w:jc w:val="left"/>
        <w:outlineLvl w:val="0"/>
        <w:rPr>
          <w:rFonts w:ascii="仿宋_GB2312" w:hAnsi="仿宋_GB2312" w:eastAsia="仿宋_GB2312" w:cs="仿宋_GB2312"/>
          <w:b/>
          <w:sz w:val="28"/>
          <w:szCs w:val="28"/>
        </w:rPr>
      </w:pPr>
      <w:bookmarkStart w:id="101" w:name="_Toc478453302"/>
      <w:r>
        <w:rPr>
          <w:rFonts w:hint="eastAsia" w:ascii="仿宋_GB2312" w:hAnsi="仿宋_GB2312" w:eastAsia="仿宋_GB2312" w:cs="仿宋_GB2312"/>
          <w:b/>
          <w:sz w:val="28"/>
          <w:szCs w:val="28"/>
        </w:rPr>
        <w:t>十七、合同生效及其它</w:t>
      </w:r>
      <w:bookmarkEnd w:id="101"/>
    </w:p>
    <w:p>
      <w:pPr>
        <w:adjustRightInd w:val="0"/>
        <w:snapToGrid w:val="0"/>
        <w:spacing w:line="560" w:lineRule="exact"/>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1.</w:t>
      </w:r>
      <w:r>
        <w:rPr>
          <w:rFonts w:hint="eastAsia" w:ascii="仿宋_GB2312" w:hAnsi="仿宋_GB2312" w:eastAsia="仿宋_GB2312" w:cs="仿宋_GB2312"/>
          <w:sz w:val="28"/>
          <w:szCs w:val="28"/>
        </w:rPr>
        <w:t xml:space="preserve"> 合同经双方法定代表人或授权代表签字/盖章，并加盖单位公章或者合同专用章之日起生效。</w:t>
      </w:r>
    </w:p>
    <w:p>
      <w:pPr>
        <w:adjustRightInd w:val="0"/>
        <w:snapToGrid w:val="0"/>
        <w:spacing w:line="560" w:lineRule="exact"/>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2.</w:t>
      </w:r>
      <w:r>
        <w:rPr>
          <w:rFonts w:hint="eastAsia" w:ascii="仿宋_GB2312" w:hAnsi="仿宋_GB2312" w:eastAsia="仿宋_GB2312" w:cs="仿宋_GB2312"/>
          <w:sz w:val="28"/>
          <w:szCs w:val="28"/>
        </w:rPr>
        <w:t>本合同未尽事宜，双方可签订补充协议予以执行；未达成补充协议的，遵照《合同法》及有关法律法规执行。</w:t>
      </w:r>
    </w:p>
    <w:p>
      <w:pPr>
        <w:tabs>
          <w:tab w:val="right" w:pos="8306"/>
        </w:tabs>
        <w:adjustRightInd w:val="0"/>
        <w:snapToGrid w:val="0"/>
        <w:spacing w:line="560" w:lineRule="exact"/>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3.</w:t>
      </w:r>
      <w:r>
        <w:rPr>
          <w:rFonts w:hint="eastAsia" w:ascii="仿宋_GB2312" w:hAnsi="仿宋_GB2312" w:eastAsia="仿宋_GB2312" w:cs="仿宋_GB2312"/>
          <w:sz w:val="28"/>
          <w:szCs w:val="28"/>
        </w:rPr>
        <w:t>本合同</w:t>
      </w:r>
      <w:r>
        <w:rPr>
          <w:rFonts w:hint="eastAsia" w:ascii="仿宋_GB2312" w:hAnsi="仿宋_GB2312" w:eastAsia="仿宋_GB2312" w:cs="仿宋_GB2312"/>
          <w:sz w:val="28"/>
          <w:szCs w:val="28"/>
          <w:u w:val="single"/>
        </w:rPr>
        <w:t>一式陆</w:t>
      </w:r>
      <w:r>
        <w:rPr>
          <w:rFonts w:hint="eastAsia" w:ascii="仿宋_GB2312" w:hAnsi="仿宋_GB2312" w:eastAsia="仿宋_GB2312" w:cs="仿宋_GB2312"/>
          <w:sz w:val="28"/>
          <w:szCs w:val="28"/>
        </w:rPr>
        <w:t>份，甲方执肆份，乙方持贰份，具有同等法律效力。</w:t>
      </w:r>
    </w:p>
    <w:p>
      <w:pPr>
        <w:tabs>
          <w:tab w:val="right" w:pos="8306"/>
        </w:tabs>
        <w:adjustRightInd w:val="0"/>
        <w:snapToGrid w:val="0"/>
        <w:spacing w:line="560" w:lineRule="exact"/>
        <w:ind w:firstLine="560" w:firstLineChars="200"/>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4.附件： </w:t>
      </w:r>
      <w:r>
        <w:rPr>
          <w:rFonts w:hint="eastAsia" w:ascii="仿宋_GB2312" w:hAnsi="仿宋_GB2312" w:eastAsia="仿宋_GB2312" w:cs="仿宋_GB2312"/>
          <w:sz w:val="28"/>
          <w:szCs w:val="28"/>
          <w:u w:val="single"/>
        </w:rPr>
        <w:t>（</w:t>
      </w:r>
      <w:r>
        <w:rPr>
          <w:rFonts w:ascii="仿宋_GB2312" w:hAnsi="仿宋_GB2312" w:eastAsia="仿宋_GB2312" w:cs="仿宋_GB2312"/>
          <w:sz w:val="28"/>
          <w:szCs w:val="28"/>
          <w:u w:val="single"/>
        </w:rPr>
        <w:t>1）廉洁自律承诺书；</w:t>
      </w:r>
    </w:p>
    <w:p>
      <w:pPr>
        <w:tabs>
          <w:tab w:val="right" w:pos="8306"/>
        </w:tabs>
        <w:adjustRightInd w:val="0"/>
        <w:snapToGrid w:val="0"/>
        <w:spacing w:line="560" w:lineRule="exact"/>
        <w:ind w:firstLine="560" w:firstLineChars="200"/>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（2）保密承诺书</w:t>
      </w:r>
    </w:p>
    <w:p>
      <w:pPr>
        <w:tabs>
          <w:tab w:val="right" w:pos="8306"/>
        </w:tabs>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ab/>
      </w:r>
    </w:p>
    <w:p>
      <w:pPr>
        <w:widowControl/>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adjustRightInd w:val="0"/>
        <w:snapToGrid w:val="0"/>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（签字盖章页）</w:t>
      </w:r>
    </w:p>
    <w:p>
      <w:pPr>
        <w:adjustRightInd w:val="0"/>
        <w:snapToGrid w:val="0"/>
        <w:spacing w:line="560" w:lineRule="exact"/>
        <w:jc w:val="left"/>
        <w:rPr>
          <w:rFonts w:ascii="仿宋_GB2312" w:hAnsi="仿宋_GB2312" w:eastAsia="仿宋_GB2312" w:cs="仿宋_GB2312"/>
          <w:sz w:val="28"/>
          <w:szCs w:val="28"/>
        </w:rPr>
      </w:pPr>
    </w:p>
    <w:p>
      <w:pPr>
        <w:adjustRightInd w:val="0"/>
        <w:snapToGrid w:val="0"/>
        <w:spacing w:line="560" w:lineRule="exact"/>
        <w:jc w:val="left"/>
        <w:rPr>
          <w:rFonts w:ascii="仿宋_GB2312" w:hAnsi="仿宋_GB2312" w:eastAsia="仿宋_GB2312" w:cs="仿宋_GB2312"/>
          <w:sz w:val="28"/>
          <w:szCs w:val="28"/>
        </w:rPr>
      </w:pPr>
    </w:p>
    <w:p>
      <w:pPr>
        <w:adjustRightInd w:val="0"/>
        <w:snapToGrid w:val="0"/>
        <w:spacing w:line="560" w:lineRule="exact"/>
        <w:jc w:val="left"/>
        <w:rPr>
          <w:rFonts w:ascii="仿宋_GB2312" w:hAnsi="仿宋_GB2312" w:eastAsia="仿宋_GB2312" w:cs="仿宋_GB2312"/>
          <w:sz w:val="28"/>
          <w:szCs w:val="28"/>
        </w:rPr>
      </w:pPr>
    </w:p>
    <w:p>
      <w:pPr>
        <w:adjustRightInd w:val="0"/>
        <w:snapToGrid w:val="0"/>
        <w:spacing w:line="560" w:lineRule="exact"/>
        <w:jc w:val="left"/>
        <w:rPr>
          <w:rFonts w:ascii="仿宋_GB2312" w:hAnsi="仿宋_GB2312" w:eastAsia="仿宋_GB2312" w:cs="仿宋_GB2312"/>
          <w:sz w:val="28"/>
          <w:szCs w:val="28"/>
        </w:rPr>
      </w:pPr>
    </w:p>
    <w:p>
      <w:pPr>
        <w:adjustRightInd w:val="0"/>
        <w:snapToGrid w:val="0"/>
        <w:spacing w:line="560" w:lineRule="exact"/>
        <w:jc w:val="left"/>
        <w:rPr>
          <w:rFonts w:ascii="仿宋_GB2312" w:hAnsi="仿宋_GB2312" w:eastAsia="仿宋_GB2312" w:cs="仿宋_GB2312"/>
          <w:sz w:val="28"/>
          <w:szCs w:val="28"/>
        </w:rPr>
      </w:pPr>
    </w:p>
    <w:p>
      <w:pPr>
        <w:adjustRightInd w:val="0"/>
        <w:snapToGrid w:val="0"/>
        <w:spacing w:line="560" w:lineRule="exact"/>
        <w:jc w:val="left"/>
        <w:rPr>
          <w:rFonts w:ascii="仿宋_GB2312" w:hAnsi="仿宋_GB2312" w:eastAsia="仿宋_GB2312" w:cs="仿宋_GB2312"/>
          <w:sz w:val="28"/>
          <w:szCs w:val="28"/>
        </w:rPr>
      </w:pPr>
    </w:p>
    <w:p>
      <w:pPr>
        <w:adjustRightInd w:val="0"/>
        <w:snapToGrid w:val="0"/>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甲方：杭州萧山国际机场有限公司        乙方： </w:t>
      </w:r>
    </w:p>
    <w:p>
      <w:pPr>
        <w:widowControl/>
        <w:spacing w:line="560" w:lineRule="exact"/>
        <w:jc w:val="left"/>
        <w:rPr>
          <w:rFonts w:ascii="仿宋_GB2312" w:hAnsi="仿宋_GB2312" w:eastAsia="仿宋_GB2312" w:cs="仿宋_GB2312"/>
          <w:sz w:val="28"/>
          <w:szCs w:val="28"/>
        </w:rPr>
      </w:pPr>
    </w:p>
    <w:p>
      <w:pPr>
        <w:widowControl/>
        <w:spacing w:line="560" w:lineRule="exact"/>
        <w:jc w:val="left"/>
        <w:rPr>
          <w:rFonts w:ascii="仿宋_GB2312" w:hAnsi="仿宋_GB2312" w:eastAsia="仿宋_GB2312" w:cs="仿宋_GB2312"/>
          <w:sz w:val="28"/>
          <w:szCs w:val="28"/>
        </w:rPr>
      </w:pPr>
    </w:p>
    <w:p>
      <w:pPr>
        <w:widowControl/>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法定代表人或授权代表：                法定代表人或授权代表：   </w:t>
      </w:r>
    </w:p>
    <w:p>
      <w:pPr>
        <w:widowControl/>
        <w:spacing w:line="560" w:lineRule="exact"/>
        <w:jc w:val="left"/>
        <w:rPr>
          <w:rFonts w:ascii="仿宋_GB2312" w:hAnsi="仿宋_GB2312" w:eastAsia="仿宋_GB2312" w:cs="仿宋_GB2312"/>
          <w:sz w:val="28"/>
          <w:szCs w:val="28"/>
        </w:rPr>
      </w:pPr>
    </w:p>
    <w:p>
      <w:pPr>
        <w:widowControl/>
        <w:spacing w:line="560" w:lineRule="exact"/>
        <w:jc w:val="left"/>
        <w:rPr>
          <w:rFonts w:ascii="仿宋_GB2312" w:hAnsi="仿宋_GB2312" w:eastAsia="仿宋_GB2312" w:cs="仿宋_GB2312"/>
          <w:sz w:val="28"/>
          <w:szCs w:val="28"/>
        </w:rPr>
      </w:pPr>
    </w:p>
    <w:p>
      <w:pPr>
        <w:widowControl/>
        <w:spacing w:line="560" w:lineRule="exact"/>
        <w:jc w:val="left"/>
        <w:rPr>
          <w:rFonts w:ascii="仿宋_GB2312" w:hAnsi="仿宋_GB2312" w:eastAsia="仿宋_GB2312" w:cs="仿宋_GB2312"/>
          <w:sz w:val="28"/>
          <w:szCs w:val="28"/>
        </w:rPr>
      </w:pPr>
    </w:p>
    <w:p>
      <w:pPr>
        <w:widowControl/>
        <w:spacing w:line="560" w:lineRule="exact"/>
        <w:jc w:val="left"/>
        <w:rPr>
          <w:rFonts w:ascii="仿宋_GB2312" w:hAnsi="仿宋_GB2312" w:eastAsia="仿宋_GB2312" w:cs="仿宋_GB2312"/>
          <w:sz w:val="28"/>
          <w:szCs w:val="28"/>
        </w:rPr>
      </w:pPr>
    </w:p>
    <w:p>
      <w:pPr>
        <w:widowControl/>
        <w:spacing w:line="560" w:lineRule="exact"/>
        <w:jc w:val="left"/>
        <w:rPr>
          <w:rFonts w:ascii="仿宋_GB2312" w:hAnsi="仿宋_GB2312" w:eastAsia="仿宋_GB2312" w:cs="仿宋_GB2312"/>
          <w:sz w:val="28"/>
          <w:szCs w:val="28"/>
        </w:rPr>
      </w:pPr>
    </w:p>
    <w:p>
      <w:pPr>
        <w:widowControl/>
        <w:spacing w:line="560" w:lineRule="exact"/>
        <w:jc w:val="left"/>
        <w:rPr>
          <w:rFonts w:ascii="仿宋_GB2312" w:hAnsi="仿宋_GB2312" w:eastAsia="仿宋_GB2312" w:cs="仿宋_GB2312"/>
          <w:sz w:val="28"/>
          <w:szCs w:val="28"/>
        </w:rPr>
      </w:pPr>
    </w:p>
    <w:p>
      <w:pPr>
        <w:widowControl/>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签订日期：    年    月   日</w:t>
      </w:r>
    </w:p>
    <w:p>
      <w:pPr>
        <w:widowControl/>
        <w:spacing w:line="560" w:lineRule="exact"/>
        <w:jc w:val="left"/>
        <w:rPr>
          <w:rFonts w:ascii="仿宋_GB2312" w:hAnsi="仿宋_GB2312" w:eastAsia="仿宋_GB2312" w:cs="仿宋_GB2312"/>
          <w:sz w:val="28"/>
          <w:szCs w:val="28"/>
        </w:rPr>
      </w:pPr>
    </w:p>
    <w:p>
      <w:pPr>
        <w:widowControl/>
        <w:spacing w:line="560" w:lineRule="exact"/>
        <w:jc w:val="left"/>
        <w:rPr>
          <w:rFonts w:ascii="仿宋_GB2312" w:hAnsi="仿宋_GB2312" w:eastAsia="仿宋_GB2312" w:cs="仿宋_GB2312"/>
          <w:sz w:val="28"/>
          <w:szCs w:val="28"/>
        </w:rPr>
      </w:pPr>
    </w:p>
    <w:p>
      <w:pPr>
        <w:widowControl/>
        <w:spacing w:line="560" w:lineRule="exact"/>
        <w:jc w:val="left"/>
        <w:rPr>
          <w:rFonts w:ascii="仿宋_GB2312" w:hAnsi="仿宋_GB2312" w:eastAsia="仿宋_GB2312" w:cs="仿宋_GB2312"/>
          <w:sz w:val="28"/>
          <w:szCs w:val="28"/>
        </w:rPr>
      </w:pPr>
    </w:p>
    <w:p>
      <w:pPr>
        <w:widowControl/>
        <w:spacing w:line="560" w:lineRule="exact"/>
        <w:jc w:val="left"/>
        <w:rPr>
          <w:rFonts w:ascii="仿宋_GB2312" w:hAnsi="仿宋_GB2312" w:eastAsia="仿宋_GB2312" w:cs="仿宋_GB2312"/>
          <w:sz w:val="28"/>
          <w:szCs w:val="28"/>
        </w:rPr>
      </w:pPr>
    </w:p>
    <w:p>
      <w:pPr>
        <w:widowControl/>
        <w:spacing w:line="560" w:lineRule="exact"/>
        <w:jc w:val="left"/>
        <w:rPr>
          <w:rFonts w:ascii="仿宋_GB2312" w:hAnsi="仿宋_GB2312" w:eastAsia="仿宋_GB2312" w:cs="仿宋_GB2312"/>
          <w:sz w:val="28"/>
          <w:szCs w:val="28"/>
        </w:rPr>
      </w:pPr>
    </w:p>
    <w:p>
      <w:pPr>
        <w:widowControl/>
        <w:spacing w:line="560" w:lineRule="exact"/>
        <w:jc w:val="lef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附件1：</w:t>
      </w:r>
    </w:p>
    <w:p>
      <w:pPr>
        <w:spacing w:line="560" w:lineRule="exact"/>
        <w:rPr>
          <w:rFonts w:ascii="仿宋_GB2312" w:hAnsi="仿宋_GB2312" w:eastAsia="仿宋_GB2312" w:cs="仿宋_GB2312"/>
          <w:sz w:val="28"/>
          <w:szCs w:val="28"/>
        </w:rPr>
      </w:pPr>
    </w:p>
    <w:p>
      <w:pPr>
        <w:pStyle w:val="94"/>
        <w:spacing w:line="360" w:lineRule="exact"/>
        <w:ind w:firstLine="723"/>
        <w:rPr>
          <w:rFonts w:ascii="宋体" w:hAnsi="宋体"/>
          <w:b/>
          <w:color w:val="auto"/>
          <w:sz w:val="36"/>
          <w:szCs w:val="36"/>
        </w:rPr>
      </w:pPr>
      <w:r>
        <w:rPr>
          <w:rFonts w:hint="eastAsia" w:ascii="宋体" w:hAnsi="宋体"/>
          <w:b/>
          <w:color w:val="auto"/>
          <w:sz w:val="36"/>
          <w:szCs w:val="36"/>
        </w:rPr>
        <w:t>杭州萧山国际机场有限公司廉洁自律承诺书</w:t>
      </w:r>
    </w:p>
    <w:p>
      <w:pPr>
        <w:pStyle w:val="99"/>
        <w:adjustRightInd w:val="0"/>
        <w:snapToGrid w:val="0"/>
        <w:ind w:left="0" w:firstLine="0" w:firstLineChars="0"/>
        <w:jc w:val="left"/>
        <w:rPr>
          <w:rFonts w:ascii="仿宋_GB2312" w:hAnsi="仿宋_GB2312" w:eastAsia="仿宋_GB2312" w:cs="仿宋_GB2312"/>
          <w:b/>
          <w:bCs/>
          <w:sz w:val="28"/>
          <w:szCs w:val="28"/>
        </w:rPr>
      </w:pPr>
    </w:p>
    <w:p>
      <w:pPr>
        <w:pStyle w:val="99"/>
        <w:adjustRightInd w:val="0"/>
        <w:snapToGrid w:val="0"/>
        <w:ind w:left="0" w:firstLine="0" w:firstLineChars="0"/>
        <w:jc w:val="left"/>
        <w:rPr>
          <w:rFonts w:ascii="仿宋_GB2312" w:hAnsi="仿宋_GB2312" w:eastAsia="仿宋_GB2312" w:cs="仿宋_GB2312"/>
          <w:b/>
          <w:bCs/>
          <w:sz w:val="28"/>
          <w:szCs w:val="28"/>
        </w:rPr>
      </w:pPr>
    </w:p>
    <w:p>
      <w:pPr>
        <w:pStyle w:val="99"/>
        <w:adjustRightInd w:val="0"/>
        <w:snapToGrid w:val="0"/>
        <w:ind w:left="0" w:firstLine="0" w:firstLineChars="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杭州萧山国际机场有限公司：</w:t>
      </w:r>
    </w:p>
    <w:p>
      <w:pPr>
        <w:pStyle w:val="99"/>
        <w:adjustRightInd w:val="0"/>
        <w:snapToGrid w:val="0"/>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我单位响应贵公司项目招标要求，参加项目投标。在投标过程中及中标后，我们将严格遵守国家法律法规和贵司招标文件要求，并郑重作出如下承诺和保证：</w:t>
      </w:r>
    </w:p>
    <w:p>
      <w:pPr>
        <w:pStyle w:val="99"/>
        <w:adjustRightInd w:val="0"/>
        <w:snapToGrid w:val="0"/>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99"/>
        <w:adjustRightInd w:val="0"/>
        <w:snapToGrid w:val="0"/>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二、不以任何名义为贵公司有关人员或项目第三方人员报销应由贵公司或个人支付的费用；</w:t>
      </w:r>
    </w:p>
    <w:p>
      <w:pPr>
        <w:pStyle w:val="99"/>
        <w:adjustRightInd w:val="0"/>
        <w:snapToGrid w:val="0"/>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三、不向贵公司有关人员或项目第三方人员提供宴请、旅游、和健身娱乐等活动；</w:t>
      </w:r>
    </w:p>
    <w:p>
      <w:pPr>
        <w:pStyle w:val="99"/>
        <w:adjustRightInd w:val="0"/>
        <w:snapToGrid w:val="0"/>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四、不为贵公司有关人员或项目第三方人员出国（境）、旅游等提供方便；</w:t>
      </w:r>
    </w:p>
    <w:p>
      <w:pPr>
        <w:pStyle w:val="99"/>
        <w:adjustRightInd w:val="0"/>
        <w:snapToGrid w:val="0"/>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五、不为贵公司有关人员或项目第三方人员个人装修住房、婚丧嫁娶、配偶子女工作安排等提供好处或便利条件；</w:t>
      </w:r>
    </w:p>
    <w:p>
      <w:pPr>
        <w:pStyle w:val="99"/>
        <w:adjustRightInd w:val="0"/>
        <w:snapToGrid w:val="0"/>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六、严格遵守国家招标投标法、合同法等法律规定，诚实守信，合法经营，坚决杜绝各种违法违纪行为。</w:t>
      </w:r>
    </w:p>
    <w:p>
      <w:pPr>
        <w:pStyle w:val="99"/>
        <w:adjustRightInd w:val="0"/>
        <w:snapToGrid w:val="0"/>
        <w:ind w:firstLine="560"/>
        <w:jc w:val="left"/>
        <w:rPr>
          <w:rFonts w:ascii="仿宋_GB2312" w:hAnsi="仿宋_GB2312" w:eastAsia="仿宋_GB2312" w:cs="仿宋_GB2312"/>
          <w:sz w:val="28"/>
          <w:szCs w:val="28"/>
        </w:rPr>
      </w:pPr>
      <w:r>
        <w:rPr>
          <w:rFonts w:ascii="仿宋_GB2312" w:hAnsi="仿宋_GB2312" w:eastAsia="仿宋_GB2312" w:cs="仿宋_GB2312"/>
          <w:sz w:val="28"/>
          <w:szCs w:val="28"/>
        </w:rPr>
        <w:t>七</w:t>
      </w:r>
      <w:r>
        <w:rPr>
          <w:rFonts w:hint="eastAsia" w:ascii="仿宋_GB2312" w:hAnsi="仿宋_GB2312" w:eastAsia="仿宋_GB2312" w:cs="仿宋_GB2312"/>
          <w:sz w:val="28"/>
          <w:szCs w:val="28"/>
        </w:rPr>
        <w:t>、若发现贵公司有关人员或项目第三方人员有故意设置障碍或推诿刁难我方人员参与正常投标项目建设活动以索要好处等行为，我单位将及时向贵公司纪检监察部门举报，举报电话：</w:t>
      </w:r>
      <w:r>
        <w:rPr>
          <w:rFonts w:ascii="仿宋_GB2312" w:hAnsi="仿宋_GB2312" w:eastAsia="仿宋_GB2312" w:cs="仿宋_GB2312"/>
          <w:sz w:val="28"/>
          <w:szCs w:val="28"/>
        </w:rPr>
        <w:t>0571－86661113。</w:t>
      </w:r>
    </w:p>
    <w:p>
      <w:pPr>
        <w:pStyle w:val="99"/>
        <w:adjustRightInd w:val="0"/>
        <w:snapToGrid w:val="0"/>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八、如违反上述廉洁自律承诺，贵公司有权：</w:t>
      </w:r>
    </w:p>
    <w:p>
      <w:pPr>
        <w:pStyle w:val="99"/>
        <w:numPr>
          <w:ilvl w:val="0"/>
          <w:numId w:val="5"/>
        </w:numPr>
        <w:adjustRightInd w:val="0"/>
        <w:snapToGrid w:val="0"/>
        <w:ind w:firstLine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立即取消我单位投标、中标或在建项目的实施资格；</w:t>
      </w:r>
    </w:p>
    <w:p>
      <w:pPr>
        <w:pStyle w:val="99"/>
        <w:numPr>
          <w:ilvl w:val="0"/>
          <w:numId w:val="5"/>
        </w:numPr>
        <w:adjustRightInd w:val="0"/>
        <w:snapToGrid w:val="0"/>
        <w:ind w:firstLine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扣除我方向贵公司缴纳的履约保证金的</w:t>
      </w:r>
      <w:r>
        <w:rPr>
          <w:rFonts w:ascii="仿宋_GB2312" w:hAnsi="仿宋_GB2312" w:eastAsia="仿宋_GB2312" w:cs="仿宋_GB2312"/>
          <w:sz w:val="28"/>
          <w:szCs w:val="28"/>
        </w:rPr>
        <w:t>10%作为违反廉洁自律承诺的违约金。如该违约金不足以弥补贵公司损失的，我单位仍将承担实际损失赔偿责任。</w:t>
      </w:r>
    </w:p>
    <w:p>
      <w:pPr>
        <w:pStyle w:val="99"/>
        <w:numPr>
          <w:ilvl w:val="0"/>
          <w:numId w:val="5"/>
        </w:numPr>
        <w:adjustRightInd w:val="0"/>
        <w:snapToGrid w:val="0"/>
        <w:ind w:firstLine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拒绝我单位在一定时期内进入贵公司进行项目建设或其它经营活动；</w:t>
      </w:r>
    </w:p>
    <w:p>
      <w:pPr>
        <w:pStyle w:val="99"/>
        <w:numPr>
          <w:ilvl w:val="0"/>
          <w:numId w:val="5"/>
        </w:numPr>
        <w:adjustRightInd w:val="0"/>
        <w:snapToGrid w:val="0"/>
        <w:ind w:firstLine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由此引起的相应损失均由我单位承担。</w:t>
      </w:r>
    </w:p>
    <w:p>
      <w:pPr>
        <w:pStyle w:val="99"/>
        <w:adjustRightInd w:val="0"/>
        <w:snapToGrid w:val="0"/>
        <w:ind w:firstLine="560"/>
        <w:jc w:val="left"/>
        <w:rPr>
          <w:rFonts w:ascii="仿宋_GB2312" w:hAnsi="仿宋_GB2312" w:eastAsia="仿宋_GB2312" w:cs="仿宋_GB2312"/>
          <w:sz w:val="28"/>
          <w:szCs w:val="28"/>
        </w:rPr>
      </w:pPr>
    </w:p>
    <w:p>
      <w:pPr>
        <w:pStyle w:val="99"/>
        <w:adjustRightInd w:val="0"/>
        <w:snapToGrid w:val="0"/>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承诺人单位名称（盖章）：</w:t>
      </w:r>
      <w:r>
        <w:rPr>
          <w:rFonts w:ascii="仿宋_GB2312" w:hAnsi="仿宋_GB2312" w:eastAsia="仿宋_GB2312" w:cs="仿宋_GB2312"/>
          <w:sz w:val="28"/>
          <w:szCs w:val="28"/>
        </w:rPr>
        <w:t xml:space="preserve">            </w:t>
      </w:r>
    </w:p>
    <w:p>
      <w:pPr>
        <w:pStyle w:val="99"/>
        <w:adjustRightInd w:val="0"/>
        <w:snapToGrid w:val="0"/>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w:t>
      </w:r>
      <w:r>
        <w:rPr>
          <w:rFonts w:ascii="仿宋_GB2312" w:hAnsi="仿宋_GB2312" w:eastAsia="仿宋_GB2312" w:cs="仿宋_GB2312"/>
          <w:sz w:val="28"/>
          <w:szCs w:val="28"/>
        </w:rPr>
        <w:t xml:space="preserve"> ：                    </w:t>
      </w:r>
    </w:p>
    <w:p>
      <w:pPr>
        <w:pStyle w:val="99"/>
        <w:adjustRightInd w:val="0"/>
        <w:snapToGrid w:val="0"/>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或</w:t>
      </w:r>
      <w:r>
        <w:rPr>
          <w:rFonts w:ascii="仿宋_GB2312" w:hAnsi="仿宋_GB2312" w:eastAsia="仿宋_GB2312" w:cs="仿宋_GB2312"/>
          <w:sz w:val="28"/>
          <w:szCs w:val="28"/>
        </w:rPr>
        <w:t xml:space="preserve">                            </w:t>
      </w:r>
    </w:p>
    <w:p>
      <w:pPr>
        <w:pStyle w:val="99"/>
        <w:adjustRightInd w:val="0"/>
        <w:snapToGrid w:val="0"/>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委托代理人：</w:t>
      </w:r>
      <w:r>
        <w:rPr>
          <w:rFonts w:ascii="仿宋_GB2312" w:hAnsi="仿宋_GB2312" w:eastAsia="仿宋_GB2312" w:cs="仿宋_GB2312"/>
          <w:sz w:val="28"/>
          <w:szCs w:val="28"/>
        </w:rPr>
        <w:t xml:space="preserve">                   </w:t>
      </w:r>
    </w:p>
    <w:p>
      <w:pPr>
        <w:pStyle w:val="99"/>
        <w:adjustRightInd w:val="0"/>
        <w:snapToGrid w:val="0"/>
        <w:ind w:firstLine="560"/>
        <w:jc w:val="left"/>
        <w:rPr>
          <w:rFonts w:ascii="仿宋_GB2312" w:hAnsi="仿宋_GB2312" w:eastAsia="仿宋_GB2312" w:cs="仿宋_GB2312"/>
          <w:sz w:val="28"/>
          <w:szCs w:val="28"/>
        </w:rPr>
      </w:pPr>
    </w:p>
    <w:p>
      <w:pPr>
        <w:pStyle w:val="48"/>
        <w:rPr>
          <w:rFonts w:ascii="仿宋_GB2312" w:hAnsi="仿宋_GB2312" w:eastAsia="仿宋_GB2312" w:cs="仿宋_GB2312"/>
          <w:kern w:val="2"/>
          <w:sz w:val="28"/>
          <w:szCs w:val="28"/>
        </w:rPr>
      </w:pPr>
      <w:r>
        <w:rPr>
          <w:rFonts w:ascii="仿宋_GB2312" w:hAnsi="仿宋_GB2312" w:eastAsia="仿宋_GB2312" w:cs="仿宋_GB2312"/>
          <w:kern w:val="2"/>
          <w:sz w:val="28"/>
          <w:szCs w:val="28"/>
        </w:rPr>
        <w:t xml:space="preserve">                           年     月     日</w:t>
      </w:r>
    </w:p>
    <w:p>
      <w:pPr>
        <w:pStyle w:val="94"/>
        <w:spacing w:line="360" w:lineRule="exact"/>
        <w:ind w:firstLine="723"/>
        <w:rPr>
          <w:rFonts w:hint="eastAsia" w:ascii="宋体" w:hAnsi="宋体"/>
          <w:b/>
          <w:color w:val="auto"/>
          <w:sz w:val="36"/>
          <w:szCs w:val="36"/>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附件2：</w:t>
      </w:r>
    </w:p>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保密承诺书</w:t>
      </w:r>
    </w:p>
    <w:p>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我方愿成为杭州萧山国际机场有限公司（以下简称“机场公司”）的供应商或潜在供应商候选人，为机场公司提供【机坪塔台CDM电子进程单】项目的开发服务。在上述业务来往过程中，机场公司可能向我方提供经营、业务、服务等有关的文件、资料、软件等信息，为维护机场公司的利益，我方就保密事宜做出如下承诺：</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（1）经营信息（发展规划、运营状况、客户资源、货源情报、投融资计划、开发计划、标书等）；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（2）管理信息（管理方法、管理制度、员工管理、合同管理、纠纷管理等）；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（3）产品及技术信息（设计及图纸、样品及服务、技术方案、质量标准、技术标准、计算机程序等）；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（4）财务信息（财务收支、固定资产、流动资金、成本核算等）；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1.3、对于上述提及的商业秘密，不能仅因为公开发表的文章或资讯中包含其内容，就认为是可对外公开的特殊情况。</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1.4、以下资料不属于本承诺所指的商业秘密：</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（1）我方从机场公司拟获悉之前已持有的我方无需承担保密义务的机场公司有关资料(但通过其它违约或侵权行为而获得的资料除外)；</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（2）已经公开或已成为常识性的资料，且该等公开并非因违反本承诺所致。</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（1）披露、使用或者允许他人以不正当手段获取的商业秘密；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（2）为机场公司以外的第三人窃取、刺探、收买、非法提供商业秘密。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（3）在电子公告系统、聊天系统、电子邮箱、论坛等计算机网络系统上传递、转发、抄送、发布、谈论和传播商业秘密；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（5）擅自将属于商业秘密的文件、资料和其他物品携带、传递、寄运出机场公司办公场所或国（境）外。</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（7）将含有机场公司商业秘密的产品、技术或其他资料、信息向第三人销售、使用或以任何方式提供。</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8.1因我方违反保密义务的行为造成机场公司的一切损失，我方应当全部予以赔偿。</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9、本承诺书适用中华人民共和国法律，如因履行本承诺书发生争议，则双方均有权向机场公司所在地法院提起诉讼。</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供应商(盖章):</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w:t>
      </w: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电话/传真：</w:t>
      </w:r>
    </w:p>
    <w:p>
      <w:pPr>
        <w:spacing w:line="560" w:lineRule="exact"/>
        <w:jc w:val="center"/>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地址：</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pPr>
        <w:widowControl/>
        <w:spacing w:line="560" w:lineRule="exact"/>
        <w:jc w:val="left"/>
        <w:rPr>
          <w:rFonts w:ascii="仿宋_GB2312" w:hAnsi="仿宋_GB2312" w:eastAsia="仿宋_GB2312" w:cs="仿宋_GB2312"/>
          <w:sz w:val="28"/>
          <w:szCs w:val="28"/>
        </w:rPr>
      </w:pPr>
    </w:p>
    <w:bookmarkEnd w:id="81"/>
    <w:bookmarkEnd w:id="82"/>
    <w:bookmarkEnd w:id="83"/>
    <w:p>
      <w:pPr>
        <w:adjustRightInd w:val="0"/>
        <w:snapToGrid w:val="0"/>
        <w:spacing w:line="360" w:lineRule="exact"/>
        <w:ind w:left="5632" w:hanging="5632" w:hangingChars="2550"/>
        <w:rPr>
          <w:rFonts w:ascii="宋体" w:hAnsi="宋体"/>
          <w:b/>
          <w:sz w:val="22"/>
          <w:szCs w:val="22"/>
        </w:rPr>
      </w:pPr>
    </w:p>
    <w:p>
      <w:pPr>
        <w:spacing w:line="360" w:lineRule="exact"/>
        <w:rPr>
          <w:rFonts w:ascii="宋体" w:hAnsi="宋体"/>
          <w:sz w:val="22"/>
          <w:szCs w:val="22"/>
        </w:rPr>
      </w:pPr>
    </w:p>
    <w:p>
      <w:pPr>
        <w:adjustRightInd w:val="0"/>
        <w:snapToGrid w:val="0"/>
        <w:spacing w:line="360" w:lineRule="exact"/>
        <w:rPr>
          <w:rFonts w:ascii="宋体" w:hAnsi="宋体"/>
          <w:b/>
          <w:sz w:val="22"/>
          <w:szCs w:val="22"/>
        </w:rPr>
      </w:pPr>
      <w:r>
        <w:rPr>
          <w:rFonts w:hint="eastAsia" w:ascii="宋体" w:hAnsi="宋体"/>
          <w:b/>
          <w:sz w:val="22"/>
          <w:szCs w:val="22"/>
        </w:rPr>
        <w:t xml:space="preserve"> </w:t>
      </w:r>
    </w:p>
    <w:p>
      <w:pPr>
        <w:pStyle w:val="48"/>
      </w:pPr>
      <w:bookmarkStart w:id="102" w:name="_Toc450630562"/>
      <w:bookmarkStart w:id="103" w:name="_Toc8468"/>
      <w:r>
        <w:rPr>
          <w:rFonts w:hint="eastAsia"/>
        </w:rPr>
        <w:br w:type="page"/>
      </w:r>
    </w:p>
    <w:bookmarkEnd w:id="102"/>
    <w:bookmarkEnd w:id="103"/>
    <w:p>
      <w:pPr>
        <w:pStyle w:val="48"/>
      </w:pPr>
      <w:bookmarkStart w:id="104" w:name="_Toc448097408"/>
      <w:bookmarkStart w:id="105" w:name="_Toc7925"/>
      <w:r>
        <w:rPr>
          <w:rFonts w:hint="eastAsia" w:cs="黑体"/>
        </w:rPr>
        <w:t>第四章</w:t>
      </w:r>
      <w:bookmarkEnd w:id="104"/>
      <w:r>
        <w:rPr>
          <w:rFonts w:hint="eastAsia" w:cs="黑体"/>
        </w:rPr>
        <w:t xml:space="preserve"> 技术要求</w:t>
      </w:r>
      <w:bookmarkEnd w:id="105"/>
    </w:p>
    <w:p>
      <w:pPr>
        <w:snapToGrid w:val="0"/>
        <w:spacing w:line="360" w:lineRule="exact"/>
        <w:jc w:val="left"/>
        <w:rPr>
          <w:rFonts w:ascii="宋体"/>
          <w:sz w:val="22"/>
        </w:rPr>
      </w:pPr>
    </w:p>
    <w:p>
      <w:pPr>
        <w:spacing w:line="360" w:lineRule="auto"/>
        <w:rPr>
          <w:rFonts w:ascii="宋体" w:hAnsi="宋体" w:cs="宋体"/>
          <w:b/>
          <w:bCs/>
          <w:sz w:val="21"/>
          <w:szCs w:val="21"/>
        </w:rPr>
      </w:pPr>
      <w:r>
        <w:rPr>
          <w:rFonts w:hint="eastAsia" w:ascii="宋体" w:hAnsi="宋体" w:cs="宋体"/>
          <w:b/>
          <w:bCs/>
          <w:sz w:val="21"/>
          <w:szCs w:val="21"/>
        </w:rPr>
        <w:t>一、设备技术及安装需满足上海民航新时代机场设计研究院有限公司编制的航管专业设计图纸和技术说明等要求。</w:t>
      </w:r>
    </w:p>
    <w:p>
      <w:pPr>
        <w:spacing w:line="360" w:lineRule="auto"/>
        <w:ind w:firstLine="482" w:firstLineChars="200"/>
        <w:rPr>
          <w:rFonts w:ascii="宋体" w:hAnsi="宋体" w:cs="宋体"/>
          <w:b/>
          <w:bCs/>
          <w:sz w:val="21"/>
          <w:szCs w:val="21"/>
        </w:rPr>
      </w:pPr>
      <w:r>
        <w:rPr>
          <w:rFonts w:hint="eastAsia"/>
          <w:b/>
          <w:bCs/>
        </w:rPr>
        <w:t>任何条款被标注“</w:t>
      </w:r>
      <w:r>
        <w:rPr>
          <w:b/>
          <w:bCs/>
        </w:rPr>
        <w:t>*</w:t>
      </w:r>
      <w:r>
        <w:rPr>
          <w:rFonts w:hint="eastAsia"/>
          <w:b/>
          <w:bCs/>
        </w:rPr>
        <w:t>”表明该条款为重要条款，如其中</w:t>
      </w:r>
      <w:r>
        <w:rPr>
          <w:b/>
          <w:bCs/>
        </w:rPr>
        <w:t>1</w:t>
      </w:r>
      <w:r>
        <w:rPr>
          <w:rFonts w:hint="eastAsia"/>
          <w:b/>
          <w:bCs/>
        </w:rPr>
        <w:t>条不满足将导致废标。</w:t>
      </w:r>
    </w:p>
    <w:p>
      <w:pPr>
        <w:spacing w:line="360" w:lineRule="auto"/>
        <w:rPr>
          <w:b/>
          <w:bCs/>
          <w:sz w:val="21"/>
          <w:szCs w:val="21"/>
        </w:rPr>
      </w:pPr>
      <w:r>
        <w:rPr>
          <w:rFonts w:hint="eastAsia"/>
          <w:b/>
          <w:bCs/>
          <w:sz w:val="21"/>
          <w:szCs w:val="21"/>
        </w:rPr>
        <w:t>二、技术规范、规程要求</w:t>
      </w:r>
    </w:p>
    <w:p>
      <w:pPr>
        <w:spacing w:line="360" w:lineRule="auto"/>
        <w:ind w:firstLine="420" w:firstLineChars="200"/>
        <w:rPr>
          <w:sz w:val="21"/>
          <w:szCs w:val="21"/>
          <w:shd w:val="clear" w:color="050000" w:fill="auto"/>
        </w:rPr>
      </w:pPr>
      <w:r>
        <w:rPr>
          <w:rFonts w:hint="eastAsia"/>
          <w:sz w:val="21"/>
          <w:szCs w:val="21"/>
          <w:shd w:val="clear" w:color="050000" w:fill="auto"/>
        </w:rPr>
        <w:t>本项目需达到的技术规范、规程（不仅限于下面所列）：</w:t>
      </w:r>
    </w:p>
    <w:p>
      <w:pPr>
        <w:spacing w:line="360" w:lineRule="auto"/>
        <w:ind w:firstLine="420" w:firstLineChars="200"/>
        <w:rPr>
          <w:sz w:val="21"/>
          <w:szCs w:val="21"/>
          <w:shd w:val="clear" w:color="050000" w:fill="auto"/>
        </w:rPr>
      </w:pPr>
      <w:r>
        <w:rPr>
          <w:rFonts w:hint="eastAsia"/>
          <w:sz w:val="21"/>
          <w:szCs w:val="21"/>
          <w:shd w:val="clear" w:color="050000" w:fill="auto"/>
        </w:rPr>
        <w:t>1、《民用航空空中交通管制服务地空通信设备配置 第1部分：语音通信》（MH/T 4028-2010）</w:t>
      </w:r>
    </w:p>
    <w:p>
      <w:pPr>
        <w:spacing w:line="360" w:lineRule="auto"/>
        <w:ind w:firstLine="420" w:firstLineChars="200"/>
        <w:rPr>
          <w:sz w:val="21"/>
          <w:szCs w:val="21"/>
          <w:shd w:val="clear" w:color="050000" w:fill="auto"/>
        </w:rPr>
      </w:pPr>
      <w:r>
        <w:rPr>
          <w:rFonts w:hint="eastAsia"/>
          <w:sz w:val="21"/>
          <w:szCs w:val="21"/>
          <w:shd w:val="clear" w:color="050000" w:fill="auto"/>
        </w:rPr>
        <w:t>2、《民用航空空中交通管制自动化系统 第1部分：配置》（MH/T 4029.1-2010）</w:t>
      </w:r>
    </w:p>
    <w:p>
      <w:pPr>
        <w:spacing w:line="360" w:lineRule="auto"/>
        <w:ind w:firstLine="420" w:firstLineChars="200"/>
        <w:rPr>
          <w:sz w:val="21"/>
          <w:szCs w:val="21"/>
          <w:shd w:val="clear" w:color="050000" w:fill="auto"/>
        </w:rPr>
      </w:pPr>
      <w:r>
        <w:rPr>
          <w:rFonts w:hint="eastAsia"/>
          <w:sz w:val="21"/>
          <w:szCs w:val="21"/>
          <w:shd w:val="clear" w:color="050000" w:fill="auto"/>
        </w:rPr>
        <w:t>3、《民用航空通信导航监视设施防雷技术规范》（MH/T 4020-2006）</w:t>
      </w:r>
    </w:p>
    <w:p>
      <w:pPr>
        <w:spacing w:line="360" w:lineRule="auto"/>
        <w:ind w:firstLine="420" w:firstLineChars="200"/>
        <w:rPr>
          <w:sz w:val="21"/>
          <w:szCs w:val="21"/>
          <w:shd w:val="clear" w:color="050000" w:fill="auto"/>
        </w:rPr>
      </w:pPr>
      <w:r>
        <w:rPr>
          <w:rFonts w:hint="eastAsia"/>
          <w:sz w:val="21"/>
          <w:szCs w:val="21"/>
          <w:shd w:val="clear" w:color="050000" w:fill="auto"/>
        </w:rPr>
        <w:t>4、《关于推进航空器机坪运行管理移交机场管理机构工作的通知》（民航发【2013】75号）</w:t>
      </w:r>
    </w:p>
    <w:p>
      <w:pPr>
        <w:spacing w:line="360" w:lineRule="auto"/>
        <w:ind w:firstLine="420" w:firstLineChars="200"/>
        <w:rPr>
          <w:sz w:val="21"/>
          <w:szCs w:val="21"/>
          <w:shd w:val="clear" w:color="050000" w:fill="auto"/>
        </w:rPr>
      </w:pPr>
      <w:r>
        <w:rPr>
          <w:rFonts w:hint="eastAsia"/>
          <w:sz w:val="21"/>
          <w:szCs w:val="21"/>
          <w:shd w:val="clear" w:color="050000" w:fill="auto"/>
        </w:rPr>
        <w:t>5、《民用航空机场塔台空中交通管制设备配置》（MH/T 4005-1997）</w:t>
      </w:r>
    </w:p>
    <w:p>
      <w:pPr>
        <w:spacing w:line="360" w:lineRule="auto"/>
        <w:ind w:firstLine="420" w:firstLineChars="200"/>
        <w:rPr>
          <w:sz w:val="21"/>
          <w:szCs w:val="21"/>
          <w:shd w:val="clear" w:color="050000" w:fill="auto"/>
        </w:rPr>
      </w:pPr>
      <w:r>
        <w:rPr>
          <w:rFonts w:hint="eastAsia"/>
          <w:sz w:val="21"/>
          <w:szCs w:val="21"/>
          <w:shd w:val="clear" w:color="050000" w:fill="auto"/>
        </w:rPr>
        <w:t>6、民用航空气象 第4部分：设备配备（MH/T 4016.4-2008）</w:t>
      </w:r>
    </w:p>
    <w:p>
      <w:pPr>
        <w:spacing w:line="360" w:lineRule="auto"/>
        <w:ind w:firstLine="420" w:firstLineChars="200"/>
        <w:rPr>
          <w:sz w:val="21"/>
          <w:szCs w:val="21"/>
          <w:shd w:val="clear" w:color="050000" w:fill="auto"/>
        </w:rPr>
      </w:pPr>
      <w:r>
        <w:rPr>
          <w:rFonts w:hint="eastAsia"/>
          <w:sz w:val="21"/>
          <w:szCs w:val="21"/>
          <w:shd w:val="clear" w:color="050000" w:fill="auto"/>
        </w:rPr>
        <w:t>7、《民用航空气象 第5部分：设备技术要求》（MH/T 4016.5-2008）</w:t>
      </w:r>
    </w:p>
    <w:p>
      <w:pPr>
        <w:spacing w:line="360" w:lineRule="auto"/>
        <w:ind w:firstLine="420" w:firstLineChars="200"/>
        <w:rPr>
          <w:sz w:val="21"/>
          <w:szCs w:val="21"/>
          <w:shd w:val="clear" w:color="050000" w:fill="auto"/>
        </w:rPr>
      </w:pPr>
      <w:r>
        <w:rPr>
          <w:rFonts w:hint="eastAsia"/>
          <w:sz w:val="21"/>
          <w:szCs w:val="21"/>
          <w:shd w:val="clear" w:color="050000" w:fill="auto"/>
        </w:rPr>
        <w:t>8、《民用航空空中交通管理信息系统技术规范第1部分：系统数据与接口》（MH/T 4018.1-2004）</w:t>
      </w:r>
    </w:p>
    <w:p>
      <w:pPr>
        <w:spacing w:line="360" w:lineRule="auto"/>
        <w:ind w:firstLine="420" w:firstLineChars="200"/>
        <w:rPr>
          <w:sz w:val="21"/>
          <w:szCs w:val="21"/>
          <w:shd w:val="clear" w:color="050000" w:fill="auto"/>
        </w:rPr>
      </w:pPr>
      <w:r>
        <w:rPr>
          <w:rFonts w:hint="eastAsia"/>
          <w:sz w:val="21"/>
          <w:szCs w:val="21"/>
          <w:shd w:val="clear" w:color="050000" w:fill="auto"/>
        </w:rPr>
        <w:t>9、《民用航空空中交通管理信息系统技术规范 第2部分：系统与网络安全》（MH/T 4018.2-2004）</w:t>
      </w:r>
    </w:p>
    <w:p>
      <w:pPr>
        <w:spacing w:line="360" w:lineRule="auto"/>
        <w:ind w:firstLine="420" w:firstLineChars="200"/>
        <w:rPr>
          <w:sz w:val="21"/>
          <w:szCs w:val="21"/>
          <w:shd w:val="clear" w:color="050000" w:fill="auto"/>
        </w:rPr>
      </w:pPr>
      <w:r>
        <w:rPr>
          <w:rFonts w:hint="eastAsia"/>
          <w:sz w:val="21"/>
          <w:szCs w:val="21"/>
          <w:shd w:val="clear" w:color="050000" w:fill="auto"/>
        </w:rPr>
        <w:t>10、《民用航空空中交通管理信息系统技术规范 第3部分：系统网络及接入》（MH/T 4018.3-2004）</w:t>
      </w:r>
    </w:p>
    <w:p>
      <w:pPr>
        <w:spacing w:line="360" w:lineRule="auto"/>
        <w:rPr>
          <w:b/>
          <w:bCs/>
          <w:sz w:val="21"/>
          <w:szCs w:val="21"/>
        </w:rPr>
      </w:pPr>
      <w:r>
        <w:rPr>
          <w:rFonts w:hint="eastAsia"/>
          <w:b/>
          <w:bCs/>
          <w:sz w:val="21"/>
          <w:szCs w:val="21"/>
        </w:rPr>
        <w:t>三、项目要求</w:t>
      </w:r>
    </w:p>
    <w:p>
      <w:pPr>
        <w:spacing w:line="360" w:lineRule="auto"/>
        <w:ind w:firstLine="420" w:firstLineChars="200"/>
        <w:rPr>
          <w:sz w:val="21"/>
          <w:szCs w:val="21"/>
          <w:shd w:val="clear" w:color="050000" w:fill="auto"/>
        </w:rPr>
      </w:pPr>
      <w:r>
        <w:rPr>
          <w:rFonts w:hint="eastAsia"/>
          <w:sz w:val="21"/>
          <w:szCs w:val="21"/>
          <w:shd w:val="clear" w:color="050000" w:fill="auto"/>
        </w:rPr>
        <w:t>（一）总体要求</w:t>
      </w:r>
    </w:p>
    <w:p>
      <w:pPr>
        <w:spacing w:line="360" w:lineRule="auto"/>
        <w:ind w:firstLine="420" w:firstLineChars="200"/>
        <w:rPr>
          <w:sz w:val="21"/>
          <w:szCs w:val="21"/>
          <w:shd w:val="clear" w:color="050000" w:fill="auto"/>
        </w:rPr>
      </w:pPr>
      <w:r>
        <w:rPr>
          <w:rFonts w:hint="eastAsia"/>
          <w:sz w:val="21"/>
          <w:szCs w:val="21"/>
          <w:shd w:val="clear" w:color="050000" w:fill="auto"/>
        </w:rPr>
        <w:t>1、投标人的设备和安装需符合国家及民航相关规范要求，符合设计要求；</w:t>
      </w:r>
    </w:p>
    <w:p>
      <w:pPr>
        <w:spacing w:line="360" w:lineRule="auto"/>
        <w:ind w:firstLine="420" w:firstLineChars="200"/>
        <w:rPr>
          <w:sz w:val="21"/>
          <w:szCs w:val="21"/>
          <w:shd w:val="clear" w:color="050000" w:fill="auto"/>
        </w:rPr>
      </w:pPr>
      <w:r>
        <w:rPr>
          <w:rFonts w:hint="eastAsia"/>
          <w:sz w:val="21"/>
          <w:szCs w:val="21"/>
          <w:shd w:val="clear" w:color="050000" w:fill="auto"/>
        </w:rPr>
        <w:t>2、设备和安装要求：投标人应根据本项目招标文件中涉及到的设备系统及功能，补充未列入清单的设备、材料及软件等，保障各系统设备正常运行，其费用包含在投标总价中；未做补充，视为已包含在投标总价中。</w:t>
      </w:r>
    </w:p>
    <w:p>
      <w:pPr>
        <w:spacing w:line="360" w:lineRule="auto"/>
        <w:ind w:firstLine="420" w:firstLineChars="200"/>
        <w:rPr>
          <w:sz w:val="21"/>
          <w:szCs w:val="21"/>
          <w:shd w:val="clear" w:color="050000" w:fill="auto"/>
        </w:rPr>
      </w:pPr>
      <w:r>
        <w:rPr>
          <w:rFonts w:hint="eastAsia"/>
          <w:sz w:val="21"/>
          <w:szCs w:val="21"/>
          <w:shd w:val="clear" w:color="050000" w:fill="auto"/>
        </w:rPr>
        <w:t>3、投标人需配合招标人做好验收工作，所投产品必须满足行业验收要求。</w:t>
      </w:r>
    </w:p>
    <w:p>
      <w:pPr>
        <w:spacing w:line="360" w:lineRule="auto"/>
        <w:ind w:firstLine="420" w:firstLineChars="200"/>
        <w:rPr>
          <w:sz w:val="21"/>
          <w:szCs w:val="21"/>
          <w:shd w:val="clear" w:color="050000" w:fill="auto"/>
        </w:rPr>
      </w:pPr>
      <w:r>
        <w:rPr>
          <w:rFonts w:hint="eastAsia"/>
          <w:sz w:val="21"/>
          <w:szCs w:val="21"/>
          <w:shd w:val="clear" w:color="050000" w:fill="auto"/>
        </w:rPr>
        <w:t>4、投标人负责机坪塔台设备的采购、定位、就位和安装，负责配套附件的制作和安装，并按照设计图完成设备的互联、调试。</w:t>
      </w:r>
    </w:p>
    <w:p>
      <w:pPr>
        <w:spacing w:line="360" w:lineRule="auto"/>
        <w:ind w:firstLine="420" w:firstLineChars="200"/>
        <w:rPr>
          <w:sz w:val="21"/>
          <w:szCs w:val="21"/>
          <w:shd w:val="clear" w:color="050000" w:fill="auto"/>
        </w:rPr>
      </w:pPr>
      <w:r>
        <w:rPr>
          <w:rFonts w:hint="eastAsia"/>
          <w:sz w:val="21"/>
          <w:szCs w:val="21"/>
          <w:shd w:val="clear" w:color="050000" w:fill="auto"/>
        </w:rPr>
        <w:t>5、投标人需配合招标人向空管等单位完成申请及报批工作，如信号引接等。</w:t>
      </w:r>
    </w:p>
    <w:p>
      <w:pPr>
        <w:spacing w:line="360" w:lineRule="auto"/>
        <w:ind w:firstLine="420" w:firstLineChars="200"/>
        <w:rPr>
          <w:sz w:val="21"/>
          <w:szCs w:val="21"/>
          <w:shd w:val="clear" w:color="050000" w:fill="auto"/>
        </w:rPr>
      </w:pPr>
      <w:r>
        <w:rPr>
          <w:rFonts w:hint="eastAsia"/>
          <w:sz w:val="21"/>
          <w:szCs w:val="21"/>
          <w:shd w:val="clear" w:color="050000" w:fill="auto"/>
        </w:rPr>
        <w:t>（二）项目主要内容（包括采购、安装及调试）：</w:t>
      </w:r>
    </w:p>
    <w:p>
      <w:pPr>
        <w:spacing w:line="360" w:lineRule="auto"/>
        <w:ind w:firstLine="420" w:firstLineChars="200"/>
        <w:rPr>
          <w:sz w:val="21"/>
          <w:szCs w:val="21"/>
          <w:shd w:val="clear" w:color="050000" w:fill="auto"/>
        </w:rPr>
      </w:pPr>
      <w:r>
        <w:rPr>
          <w:rFonts w:hint="eastAsia"/>
          <w:sz w:val="21"/>
          <w:szCs w:val="21"/>
          <w:shd w:val="clear" w:color="050000" w:fill="auto"/>
        </w:rPr>
        <w:t>1、电子进程单系统1套。</w:t>
      </w:r>
    </w:p>
    <w:p>
      <w:pPr>
        <w:spacing w:line="360" w:lineRule="auto"/>
        <w:rPr>
          <w:b/>
          <w:bCs/>
          <w:sz w:val="21"/>
          <w:szCs w:val="21"/>
        </w:rPr>
      </w:pPr>
      <w:r>
        <w:rPr>
          <w:rFonts w:hint="eastAsia"/>
          <w:b/>
          <w:bCs/>
          <w:sz w:val="21"/>
          <w:szCs w:val="21"/>
        </w:rPr>
        <w:t>四、各系统技术要求</w:t>
      </w:r>
      <w:bookmarkStart w:id="106" w:name="_Toc485121560"/>
    </w:p>
    <w:bookmarkEnd w:id="106"/>
    <w:p>
      <w:pPr>
        <w:spacing w:line="360" w:lineRule="auto"/>
        <w:ind w:firstLine="482" w:firstLineChars="200"/>
        <w:jc w:val="center"/>
        <w:rPr>
          <w:b/>
          <w:bCs/>
          <w:shd w:val="clear" w:color="050000" w:fill="auto"/>
        </w:rPr>
      </w:pPr>
      <w:bookmarkStart w:id="107" w:name="_Toc485121561"/>
      <w:r>
        <w:rPr>
          <w:rFonts w:hint="eastAsia"/>
          <w:b/>
          <w:bCs/>
          <w:shd w:val="clear" w:color="050000" w:fill="auto"/>
        </w:rPr>
        <w:t>(一)电子进程单系统技术</w:t>
      </w:r>
      <w:r>
        <w:rPr>
          <w:rFonts w:hint="eastAsia"/>
          <w:b/>
          <w:bCs/>
          <w:shd w:val="clear" w:color="050000" w:fill="auto"/>
          <w:lang w:eastAsia="zh-CN"/>
        </w:rPr>
        <w:t>要求</w:t>
      </w:r>
    </w:p>
    <w:p>
      <w:pPr>
        <w:spacing w:line="360" w:lineRule="auto"/>
        <w:ind w:firstLine="422" w:firstLineChars="200"/>
        <w:rPr>
          <w:b/>
          <w:bCs/>
          <w:sz w:val="21"/>
          <w:szCs w:val="21"/>
          <w:shd w:val="clear" w:color="050000" w:fill="auto"/>
        </w:rPr>
      </w:pPr>
      <w:r>
        <w:rPr>
          <w:rFonts w:hint="eastAsia"/>
          <w:b/>
          <w:bCs/>
          <w:sz w:val="21"/>
          <w:szCs w:val="21"/>
          <w:shd w:val="clear" w:color="050000" w:fill="auto"/>
        </w:rPr>
        <w:t>1、总体</w:t>
      </w:r>
      <w:bookmarkEnd w:id="107"/>
      <w:r>
        <w:rPr>
          <w:rFonts w:hint="eastAsia"/>
          <w:b/>
          <w:bCs/>
          <w:sz w:val="21"/>
          <w:szCs w:val="21"/>
          <w:shd w:val="clear" w:color="050000" w:fill="auto"/>
        </w:rPr>
        <w:t>概述</w:t>
      </w:r>
    </w:p>
    <w:p>
      <w:pPr>
        <w:spacing w:line="360" w:lineRule="auto"/>
        <w:ind w:firstLine="420" w:firstLineChars="200"/>
        <w:rPr>
          <w:sz w:val="21"/>
          <w:szCs w:val="21"/>
          <w:shd w:val="clear" w:color="050000" w:fill="auto"/>
        </w:rPr>
      </w:pPr>
      <w:r>
        <w:rPr>
          <w:rFonts w:hint="eastAsia"/>
          <w:sz w:val="21"/>
          <w:szCs w:val="21"/>
          <w:shd w:val="clear" w:color="050000" w:fill="auto"/>
        </w:rPr>
        <w:t>电子进程单集成系统总体设计</w:t>
      </w:r>
      <w:r>
        <w:rPr>
          <w:rFonts w:hint="eastAsia"/>
          <w:sz w:val="21"/>
          <w:szCs w:val="21"/>
          <w:shd w:val="clear" w:color="050000" w:fill="auto"/>
          <w:lang w:eastAsia="zh-CN"/>
        </w:rPr>
        <w:t>要求</w:t>
      </w:r>
      <w:r>
        <w:rPr>
          <w:rFonts w:hint="eastAsia"/>
          <w:sz w:val="21"/>
          <w:szCs w:val="21"/>
          <w:shd w:val="clear" w:color="050000" w:fill="auto"/>
        </w:rPr>
        <w:t>包括两点，一是实现基本的进程单功能，并根据机坪指挥信息需求、未来扇区划分以及席位设置，进行个性化功能设计，辅助指挥员完成航空器机坪运行指挥、协调、移交、流量以及运行环境监控工作；二是能够开放进程单数据、航班数据、操作数据的实时监控、记录、导出（下文不再叙述相关数据功能，即要求所有相关数据可监控、可记录、可导出）。</w:t>
      </w:r>
    </w:p>
    <w:p>
      <w:pPr>
        <w:spacing w:line="360" w:lineRule="auto"/>
        <w:ind w:firstLine="420" w:firstLineChars="200"/>
        <w:rPr>
          <w:sz w:val="21"/>
          <w:szCs w:val="21"/>
          <w:shd w:val="clear" w:color="050000" w:fill="auto"/>
        </w:rPr>
      </w:pPr>
      <w:r>
        <w:rPr>
          <w:rFonts w:hint="eastAsia"/>
          <w:sz w:val="21"/>
          <w:szCs w:val="21"/>
          <w:shd w:val="clear" w:color="050000" w:fill="auto"/>
        </w:rPr>
        <w:t>扇区及席位划分设计：根据机坪情况设置对应的地面管制区，每个扇区配备指挥席、监控席、协调席三个席位界面，以及一个机场流量席、带班席界面。夜间根据需求能够完成两个扇区及相应席位的合并，协调席可独立完成扇区合并。</w:t>
      </w:r>
    </w:p>
    <w:p>
      <w:pPr>
        <w:spacing w:line="360" w:lineRule="auto"/>
        <w:ind w:firstLine="420" w:firstLineChars="200"/>
        <w:rPr>
          <w:sz w:val="21"/>
          <w:szCs w:val="21"/>
          <w:shd w:val="clear" w:color="050000" w:fill="auto"/>
        </w:rPr>
      </w:pPr>
      <w:r>
        <w:rPr>
          <w:rFonts w:hint="eastAsia"/>
          <w:sz w:val="21"/>
          <w:szCs w:val="21"/>
          <w:shd w:val="clear" w:color="050000" w:fill="auto"/>
        </w:rPr>
        <w:t>不同扇区及管制单位的航班移交：机坪、空管地面席、空管塔台席席位之间的管制移交，由指挥人员根据席位开放情况，勾选进出港航班进程单的对应移交管制单位，实现不同席位之间的进程单自动移交。同时对移交进入本区域的航班，初次进入进程单系统指定区域后，进行闪烁提醒。</w:t>
      </w:r>
    </w:p>
    <w:p>
      <w:pPr>
        <w:spacing w:line="360" w:lineRule="auto"/>
        <w:ind w:firstLine="422" w:firstLineChars="200"/>
        <w:rPr>
          <w:b/>
          <w:bCs/>
          <w:sz w:val="21"/>
          <w:szCs w:val="21"/>
          <w:shd w:val="clear" w:color="050000" w:fill="auto"/>
        </w:rPr>
      </w:pPr>
      <w:r>
        <w:rPr>
          <w:rFonts w:hint="eastAsia"/>
          <w:b/>
          <w:bCs/>
          <w:sz w:val="21"/>
          <w:szCs w:val="21"/>
          <w:shd w:val="clear" w:color="050000" w:fill="auto"/>
        </w:rPr>
        <w:t>2、配置功能要求</w:t>
      </w:r>
    </w:p>
    <w:p>
      <w:pPr>
        <w:spacing w:line="360" w:lineRule="auto"/>
        <w:ind w:firstLine="422" w:firstLineChars="200"/>
        <w:rPr>
          <w:b/>
          <w:bCs/>
          <w:sz w:val="21"/>
          <w:szCs w:val="21"/>
          <w:shd w:val="clear" w:color="050000" w:fill="auto"/>
        </w:rPr>
      </w:pPr>
      <w:r>
        <w:rPr>
          <w:rFonts w:hint="eastAsia"/>
          <w:b/>
          <w:bCs/>
          <w:sz w:val="21"/>
          <w:szCs w:val="21"/>
          <w:shd w:val="clear" w:color="050000" w:fill="auto"/>
        </w:rPr>
        <w:t>2.1、指挥席（监控席）席位：</w:t>
      </w:r>
    </w:p>
    <w:p>
      <w:pPr>
        <w:spacing w:line="360" w:lineRule="auto"/>
        <w:ind w:firstLine="420" w:firstLineChars="200"/>
        <w:rPr>
          <w:sz w:val="21"/>
          <w:szCs w:val="21"/>
          <w:shd w:val="clear" w:color="050000" w:fill="auto"/>
        </w:rPr>
      </w:pPr>
      <w:r>
        <w:rPr>
          <w:rFonts w:hint="eastAsia"/>
          <w:sz w:val="21"/>
          <w:szCs w:val="21"/>
          <w:shd w:val="clear" w:color="050000" w:fill="auto"/>
        </w:rPr>
        <w:t>（1）整体系统界面：出港备选航班、出港等待航班、出港推出航班、出港（推出）开车航班、滑行航班、出港移交航班、进港移交航班（空管移交机场）、进港落地航班、进港备选航班合计9个栏目。进港移交航班及进港落地航班自动落入滑行航班栏目。</w:t>
      </w:r>
    </w:p>
    <w:p>
      <w:pPr>
        <w:spacing w:line="360" w:lineRule="auto"/>
        <w:ind w:firstLine="420" w:firstLineChars="200"/>
        <w:rPr>
          <w:sz w:val="21"/>
          <w:szCs w:val="21"/>
          <w:shd w:val="clear" w:color="050000" w:fill="auto"/>
        </w:rPr>
      </w:pPr>
      <w:r>
        <w:rPr>
          <w:rFonts w:hint="eastAsia"/>
          <w:sz w:val="21"/>
          <w:szCs w:val="21"/>
          <w:shd w:val="clear" w:color="050000" w:fill="auto"/>
        </w:rPr>
        <w:t>（2）进港航班电子进程单界面：进港程序以及塔台、进近相关高度信息等信息不再显示，进港航班进程单保留航班呼号、机型、应答机、起飞机场、计划进港时间、预计（实际）落地时间、滑行路线(可预设并人工修改)、停机位、跑道、特殊标志、备注栏。其中：</w:t>
      </w:r>
    </w:p>
    <w:p>
      <w:pPr>
        <w:spacing w:line="360" w:lineRule="auto"/>
        <w:ind w:firstLine="420" w:firstLineChars="200"/>
        <w:rPr>
          <w:sz w:val="21"/>
          <w:szCs w:val="21"/>
          <w:shd w:val="clear" w:color="050000" w:fill="auto"/>
        </w:rPr>
      </w:pPr>
      <w:r>
        <w:rPr>
          <w:rFonts w:hint="eastAsia"/>
          <w:sz w:val="21"/>
          <w:szCs w:val="21"/>
          <w:shd w:val="clear" w:color="050000" w:fill="auto"/>
        </w:rPr>
        <w:t>a、特殊标志包括英文航班（E）、要客航班（V、VV、VVV三个级别）、特情航班（S），特殊标志显示在进程单航班呼号左前方，提供人工设置功能。</w:t>
      </w:r>
    </w:p>
    <w:p>
      <w:pPr>
        <w:spacing w:line="360" w:lineRule="auto"/>
        <w:ind w:firstLine="420" w:firstLineChars="200"/>
        <w:rPr>
          <w:sz w:val="21"/>
          <w:szCs w:val="21"/>
          <w:shd w:val="clear" w:color="050000" w:fill="auto"/>
        </w:rPr>
      </w:pPr>
      <w:r>
        <w:rPr>
          <w:rFonts w:hint="eastAsia"/>
          <w:sz w:val="21"/>
          <w:szCs w:val="21"/>
          <w:shd w:val="clear" w:color="050000" w:fill="auto"/>
        </w:rPr>
        <w:t>b、滑行路线提供可供选择的分段路线或者整段路线。分段路线只提供包括机型限制内容、等待线位置的合法的道口前等待路线。</w:t>
      </w:r>
    </w:p>
    <w:p>
      <w:pPr>
        <w:spacing w:line="360" w:lineRule="auto"/>
        <w:ind w:firstLine="420" w:firstLineChars="200"/>
        <w:rPr>
          <w:sz w:val="21"/>
          <w:szCs w:val="21"/>
          <w:shd w:val="clear" w:color="050000" w:fill="auto"/>
        </w:rPr>
      </w:pPr>
      <w:r>
        <w:rPr>
          <w:rFonts w:hint="eastAsia"/>
          <w:sz w:val="21"/>
          <w:szCs w:val="21"/>
          <w:shd w:val="clear" w:color="050000" w:fill="auto"/>
        </w:rPr>
        <w:t>c、备注栏可提供指挥人员进行文本的录入。</w:t>
      </w:r>
    </w:p>
    <w:p>
      <w:pPr>
        <w:spacing w:line="360" w:lineRule="auto"/>
        <w:ind w:firstLine="420" w:firstLineChars="200"/>
        <w:rPr>
          <w:sz w:val="21"/>
          <w:szCs w:val="21"/>
          <w:shd w:val="clear" w:color="050000" w:fill="auto"/>
        </w:rPr>
      </w:pPr>
      <w:r>
        <w:rPr>
          <w:rFonts w:hint="eastAsia"/>
          <w:sz w:val="21"/>
          <w:szCs w:val="21"/>
          <w:shd w:val="clear" w:color="050000" w:fill="auto"/>
        </w:rPr>
        <w:t>d、停机位信息应能够根据栎社机场多机场指挥系统数据实时导入和更新，停机位信息变更时，可进行相应机位信息变色提示。</w:t>
      </w:r>
    </w:p>
    <w:p>
      <w:pPr>
        <w:spacing w:line="360" w:lineRule="auto"/>
        <w:ind w:firstLine="420" w:firstLineChars="200"/>
        <w:rPr>
          <w:sz w:val="21"/>
          <w:szCs w:val="21"/>
          <w:shd w:val="clear" w:color="050000" w:fill="auto"/>
        </w:rPr>
      </w:pPr>
      <w:r>
        <w:rPr>
          <w:rFonts w:hint="eastAsia"/>
          <w:sz w:val="21"/>
          <w:szCs w:val="21"/>
          <w:shd w:val="clear" w:color="050000" w:fill="auto"/>
        </w:rPr>
        <w:t>（3）出港航班电子进程单界面：离港程序及离港方式等信息不再显示，显示信息包括排队等待顺序（等待航班队列中的顺序，航班开车后自动消失）、航班呼号、机型、计划起飞时间、目的机场、滑行路线、挂靠拖车时间、最晚起飞时间（放行正常最晚起飞时间）、放行方式、CTOT时间、停机位、使用跑道、放行申请情况、航路方向、特殊标志、备注栏。其中：</w:t>
      </w:r>
    </w:p>
    <w:p>
      <w:pPr>
        <w:spacing w:line="360" w:lineRule="auto"/>
        <w:ind w:firstLine="420" w:firstLineChars="200"/>
        <w:rPr>
          <w:sz w:val="21"/>
          <w:szCs w:val="21"/>
          <w:shd w:val="clear" w:color="050000" w:fill="auto"/>
        </w:rPr>
      </w:pPr>
      <w:r>
        <w:rPr>
          <w:rFonts w:hint="eastAsia"/>
          <w:sz w:val="21"/>
          <w:szCs w:val="21"/>
          <w:shd w:val="clear" w:color="050000" w:fill="auto"/>
        </w:rPr>
        <w:t>a、特殊标志除包含进港进程单所述标志外，还应添加暂停开车（N）、严格限制标志（R）。特殊标志显示在进程单航班呼号左前方。</w:t>
      </w:r>
    </w:p>
    <w:p>
      <w:pPr>
        <w:spacing w:line="360" w:lineRule="auto"/>
        <w:ind w:firstLine="420" w:firstLineChars="200"/>
        <w:rPr>
          <w:sz w:val="21"/>
          <w:szCs w:val="21"/>
          <w:shd w:val="clear" w:color="050000" w:fill="auto"/>
        </w:rPr>
      </w:pPr>
      <w:r>
        <w:rPr>
          <w:rFonts w:hint="eastAsia"/>
          <w:sz w:val="21"/>
          <w:szCs w:val="21"/>
          <w:shd w:val="clear" w:color="050000" w:fill="auto"/>
        </w:rPr>
        <w:t>b、滑行路线提供可供选择的分段路线或者整段路线。分段路线只提供包括机型限制内容、等待线位置的合法的道口前等待路线。</w:t>
      </w:r>
    </w:p>
    <w:p>
      <w:pPr>
        <w:spacing w:line="360" w:lineRule="auto"/>
        <w:ind w:firstLine="420" w:firstLineChars="200"/>
        <w:rPr>
          <w:sz w:val="21"/>
          <w:szCs w:val="21"/>
          <w:shd w:val="clear" w:color="050000" w:fill="auto"/>
        </w:rPr>
      </w:pPr>
      <w:r>
        <w:rPr>
          <w:rFonts w:hint="eastAsia"/>
          <w:sz w:val="21"/>
          <w:szCs w:val="21"/>
          <w:shd w:val="clear" w:color="050000" w:fill="auto"/>
        </w:rPr>
        <w:t>c、放行方式默认为CDM放行，可以手工更改为自行开车、时间协调。</w:t>
      </w:r>
    </w:p>
    <w:p>
      <w:pPr>
        <w:spacing w:line="360" w:lineRule="auto"/>
        <w:ind w:firstLine="420" w:firstLineChars="200"/>
        <w:rPr>
          <w:sz w:val="21"/>
          <w:szCs w:val="21"/>
          <w:shd w:val="clear" w:color="050000" w:fill="auto"/>
        </w:rPr>
      </w:pPr>
      <w:r>
        <w:rPr>
          <w:rFonts w:hint="eastAsia"/>
          <w:sz w:val="21"/>
          <w:szCs w:val="21"/>
          <w:shd w:val="clear" w:color="050000" w:fill="auto"/>
        </w:rPr>
        <w:t>d、初始停机位信息由多机场指挥系统实时导入，航班推出至远机位等待、飞机滑回等原因导致停机位变更的，可根据多机场指挥系统数据实时更新，且指挥人员拥有手工更改机位的权限。</w:t>
      </w:r>
    </w:p>
    <w:p>
      <w:pPr>
        <w:spacing w:line="360" w:lineRule="auto"/>
        <w:ind w:firstLine="420" w:firstLineChars="200"/>
        <w:rPr>
          <w:sz w:val="21"/>
          <w:szCs w:val="21"/>
          <w:shd w:val="clear" w:color="050000" w:fill="auto"/>
        </w:rPr>
      </w:pPr>
      <w:r>
        <w:rPr>
          <w:rFonts w:hint="eastAsia"/>
          <w:sz w:val="21"/>
          <w:szCs w:val="21"/>
          <w:shd w:val="clear" w:color="050000" w:fill="auto"/>
        </w:rPr>
        <w:t>e、使用跑道信息自动导入。</w:t>
      </w:r>
    </w:p>
    <w:p>
      <w:pPr>
        <w:spacing w:line="360" w:lineRule="auto"/>
        <w:ind w:firstLine="420" w:firstLineChars="200"/>
        <w:rPr>
          <w:sz w:val="21"/>
          <w:szCs w:val="21"/>
          <w:shd w:val="clear" w:color="050000" w:fill="auto"/>
        </w:rPr>
      </w:pPr>
      <w:r>
        <w:rPr>
          <w:rFonts w:hint="eastAsia"/>
          <w:sz w:val="21"/>
          <w:szCs w:val="21"/>
          <w:shd w:val="clear" w:color="050000" w:fill="auto"/>
        </w:rPr>
        <w:t>f、放行申请情况包括机组第一次申请放行是否复诵，跑道变更后，机组是否已经重新要放行，建议进行变色提醒。</w:t>
      </w:r>
    </w:p>
    <w:p>
      <w:pPr>
        <w:spacing w:line="360" w:lineRule="auto"/>
        <w:ind w:firstLine="420" w:firstLineChars="200"/>
        <w:rPr>
          <w:sz w:val="21"/>
          <w:szCs w:val="21"/>
          <w:shd w:val="clear" w:color="050000" w:fill="auto"/>
        </w:rPr>
      </w:pPr>
      <w:r>
        <w:rPr>
          <w:rFonts w:hint="eastAsia"/>
          <w:sz w:val="21"/>
          <w:szCs w:val="21"/>
          <w:shd w:val="clear" w:color="050000" w:fill="auto"/>
        </w:rPr>
        <w:t>g、航路方向信息根据目的地机场自动匹配，同时指挥员点击航路方向，可以查看具体的航路信息以及方位信息。</w:t>
      </w:r>
    </w:p>
    <w:p>
      <w:pPr>
        <w:spacing w:line="360" w:lineRule="auto"/>
        <w:ind w:firstLine="420" w:firstLineChars="200"/>
        <w:rPr>
          <w:sz w:val="21"/>
          <w:szCs w:val="21"/>
          <w:shd w:val="clear" w:color="050000" w:fill="auto"/>
        </w:rPr>
      </w:pPr>
      <w:r>
        <w:rPr>
          <w:rFonts w:hint="eastAsia"/>
          <w:sz w:val="21"/>
          <w:szCs w:val="21"/>
          <w:shd w:val="clear" w:color="050000" w:fill="auto"/>
        </w:rPr>
        <w:t>h、备注栏相应功能与进港进程单一致。</w:t>
      </w:r>
    </w:p>
    <w:p>
      <w:pPr>
        <w:spacing w:line="360" w:lineRule="auto"/>
        <w:ind w:firstLine="420" w:firstLineChars="200"/>
        <w:rPr>
          <w:sz w:val="21"/>
          <w:szCs w:val="21"/>
          <w:shd w:val="clear" w:color="050000" w:fill="auto"/>
        </w:rPr>
      </w:pPr>
      <w:r>
        <w:rPr>
          <w:rFonts w:hint="eastAsia"/>
          <w:sz w:val="21"/>
          <w:szCs w:val="21"/>
          <w:shd w:val="clear" w:color="050000" w:fill="auto"/>
        </w:rPr>
        <w:t>（4）航班试车、拖拽进程单。</w:t>
      </w:r>
    </w:p>
    <w:p>
      <w:pPr>
        <w:spacing w:line="360" w:lineRule="auto"/>
        <w:ind w:firstLine="420" w:firstLineChars="200"/>
        <w:rPr>
          <w:sz w:val="21"/>
          <w:szCs w:val="21"/>
          <w:shd w:val="clear" w:color="050000" w:fill="auto"/>
        </w:rPr>
      </w:pPr>
      <w:r>
        <w:rPr>
          <w:rFonts w:hint="eastAsia"/>
          <w:sz w:val="21"/>
          <w:szCs w:val="21"/>
          <w:shd w:val="clear" w:color="050000" w:fill="auto"/>
        </w:rPr>
        <w:t>a、试车进程单显示包括航班号或机号、机型、试车类型（慢车、大车）、开始时间、结束时间。</w:t>
      </w:r>
    </w:p>
    <w:p>
      <w:pPr>
        <w:spacing w:line="360" w:lineRule="auto"/>
        <w:ind w:firstLine="420" w:firstLineChars="200"/>
        <w:rPr>
          <w:sz w:val="21"/>
          <w:szCs w:val="21"/>
          <w:shd w:val="clear" w:color="050000" w:fill="auto"/>
        </w:rPr>
      </w:pPr>
      <w:r>
        <w:rPr>
          <w:rFonts w:hint="eastAsia"/>
          <w:sz w:val="21"/>
          <w:szCs w:val="21"/>
          <w:shd w:val="clear" w:color="050000" w:fill="auto"/>
        </w:rPr>
        <w:t>b、拖拽进程单包括航班号或机号、机型、申请时间、同意时间、起始位置、目的位置、移交位置、移交时间、到位时间，系统可以拖拽航班进程单的自动流转、申请时间默认为进程单生成时间（可修改），同意时间为指挥人员操作同意拖拽时间（自动生成）、移交/到位时间为指挥员进行相应操作的时间（自动生成）。</w:t>
      </w:r>
    </w:p>
    <w:p>
      <w:pPr>
        <w:spacing w:line="360" w:lineRule="auto"/>
        <w:ind w:firstLine="420" w:firstLineChars="200"/>
        <w:rPr>
          <w:sz w:val="21"/>
          <w:szCs w:val="21"/>
          <w:shd w:val="clear" w:color="050000" w:fill="auto"/>
        </w:rPr>
      </w:pPr>
      <w:r>
        <w:rPr>
          <w:rFonts w:hint="eastAsia"/>
          <w:sz w:val="21"/>
          <w:szCs w:val="21"/>
          <w:shd w:val="clear" w:color="050000" w:fill="auto"/>
        </w:rPr>
        <w:t>（5）附加预警提醒功能：</w:t>
      </w:r>
    </w:p>
    <w:p>
      <w:pPr>
        <w:spacing w:line="360" w:lineRule="auto"/>
        <w:ind w:firstLine="420" w:firstLineChars="200"/>
        <w:rPr>
          <w:sz w:val="21"/>
          <w:szCs w:val="21"/>
          <w:shd w:val="clear" w:color="050000" w:fill="auto"/>
        </w:rPr>
      </w:pPr>
      <w:r>
        <w:rPr>
          <w:rFonts w:hint="eastAsia"/>
          <w:sz w:val="21"/>
          <w:szCs w:val="21"/>
          <w:shd w:val="clear" w:color="050000" w:fill="auto"/>
        </w:rPr>
        <w:t>a、航班过早开车和未及时开车提醒，时间阈值可由指挥员自行设置。根据系统UTC时间以及CDM时间的差值，自动计算时间差值，如果时间差值在阈值范围以外，则进行提醒。</w:t>
      </w:r>
    </w:p>
    <w:p>
      <w:pPr>
        <w:spacing w:line="360" w:lineRule="auto"/>
        <w:ind w:firstLine="420" w:firstLineChars="200"/>
        <w:rPr>
          <w:sz w:val="21"/>
          <w:szCs w:val="21"/>
          <w:shd w:val="clear" w:color="050000" w:fill="auto"/>
        </w:rPr>
      </w:pPr>
      <w:r>
        <w:rPr>
          <w:rFonts w:hint="eastAsia"/>
          <w:sz w:val="21"/>
          <w:szCs w:val="21"/>
          <w:shd w:val="clear" w:color="050000" w:fill="auto"/>
        </w:rPr>
        <w:t>b、重要运行环境信息提醒栏：在进程单系统上方设计重要运行环境信息提醒栏（备注栏），可以由席位人员手工录入需要备注提醒的信息。另外需设置锁定功能，指挥席及监控席具有锁定权限。</w:t>
      </w:r>
    </w:p>
    <w:p>
      <w:pPr>
        <w:spacing w:line="360" w:lineRule="auto"/>
        <w:ind w:firstLine="422" w:firstLineChars="200"/>
        <w:rPr>
          <w:b/>
          <w:bCs/>
          <w:sz w:val="21"/>
          <w:szCs w:val="21"/>
          <w:shd w:val="clear" w:color="050000" w:fill="auto"/>
        </w:rPr>
      </w:pPr>
      <w:r>
        <w:rPr>
          <w:rFonts w:hint="eastAsia"/>
          <w:b/>
          <w:bCs/>
          <w:sz w:val="21"/>
          <w:szCs w:val="21"/>
          <w:shd w:val="clear" w:color="050000" w:fill="auto"/>
        </w:rPr>
        <w:t>2.2、协调席席位：</w:t>
      </w:r>
    </w:p>
    <w:p>
      <w:pPr>
        <w:spacing w:line="360" w:lineRule="auto"/>
        <w:ind w:firstLine="420" w:firstLineChars="200"/>
        <w:rPr>
          <w:sz w:val="21"/>
          <w:szCs w:val="21"/>
          <w:shd w:val="clear" w:color="050000" w:fill="auto"/>
        </w:rPr>
      </w:pPr>
      <w:r>
        <w:rPr>
          <w:rFonts w:hint="eastAsia"/>
          <w:sz w:val="21"/>
          <w:szCs w:val="21"/>
          <w:shd w:val="clear" w:color="050000" w:fill="auto"/>
        </w:rPr>
        <w:t>简易电子进程单集成系统：可以实现系统界面包括进港航班列表、出港等待航班、出港推出航班、出港（推出）开车航班、滑行航班、出港移交航班。</w:t>
      </w:r>
    </w:p>
    <w:p>
      <w:pPr>
        <w:spacing w:line="360" w:lineRule="auto"/>
        <w:ind w:firstLine="420" w:firstLineChars="200"/>
        <w:rPr>
          <w:sz w:val="21"/>
          <w:szCs w:val="21"/>
          <w:shd w:val="clear" w:color="050000" w:fill="auto"/>
        </w:rPr>
      </w:pPr>
      <w:r>
        <w:rPr>
          <w:rFonts w:hint="eastAsia"/>
          <w:sz w:val="21"/>
          <w:szCs w:val="21"/>
          <w:shd w:val="clear" w:color="050000" w:fill="auto"/>
        </w:rPr>
        <w:t>（1）进港航班列表中不同状态进港航班进程单通过不同航班列表予以区别，进入本管制区的进港移交航班、未进入本管制区的落地航班、进港备选航班用由深到浅的红色底色显示。进港进程单显示航班呼号、起飞机场、特殊标志、预计（实际）进港时间、滑行路线、停机位。</w:t>
      </w:r>
    </w:p>
    <w:p>
      <w:pPr>
        <w:spacing w:line="360" w:lineRule="auto"/>
        <w:ind w:firstLine="420" w:firstLineChars="200"/>
        <w:rPr>
          <w:sz w:val="21"/>
          <w:szCs w:val="21"/>
          <w:shd w:val="clear" w:color="050000" w:fill="auto"/>
        </w:rPr>
      </w:pPr>
      <w:r>
        <w:rPr>
          <w:rFonts w:hint="eastAsia"/>
          <w:sz w:val="21"/>
          <w:szCs w:val="21"/>
          <w:shd w:val="clear" w:color="050000" w:fill="auto"/>
        </w:rPr>
        <w:t>（2）出港进程单显示排队等待顺序（等待航班队列中的顺序，航班开车后自动消失）、航班呼号、机型、目的机场、最晚起飞时间（放行正常最晚起飞时间）、放行方式、CTOT时间、停机位、使用跑道、航路方向、特殊标志、备注栏。</w:t>
      </w:r>
    </w:p>
    <w:p>
      <w:pPr>
        <w:spacing w:line="360" w:lineRule="auto"/>
        <w:ind w:firstLine="420" w:firstLineChars="200"/>
        <w:rPr>
          <w:sz w:val="21"/>
          <w:szCs w:val="21"/>
          <w:shd w:val="clear" w:color="050000" w:fill="auto"/>
        </w:rPr>
      </w:pPr>
      <w:r>
        <w:rPr>
          <w:rFonts w:hint="eastAsia"/>
          <w:sz w:val="21"/>
          <w:szCs w:val="21"/>
          <w:shd w:val="clear" w:color="050000" w:fill="auto"/>
        </w:rPr>
        <w:t>（3）附加预警提醒功能：只显示重要运行环境信息提醒栏，协调席可手工录入。</w:t>
      </w:r>
    </w:p>
    <w:p>
      <w:pPr>
        <w:spacing w:line="360" w:lineRule="auto"/>
        <w:ind w:firstLine="422" w:firstLineChars="200"/>
        <w:rPr>
          <w:b/>
          <w:bCs/>
          <w:sz w:val="21"/>
          <w:szCs w:val="21"/>
          <w:shd w:val="clear" w:color="050000" w:fill="auto"/>
        </w:rPr>
      </w:pPr>
      <w:r>
        <w:rPr>
          <w:rFonts w:hint="eastAsia"/>
          <w:b/>
          <w:bCs/>
          <w:sz w:val="21"/>
          <w:szCs w:val="21"/>
          <w:shd w:val="clear" w:color="050000" w:fill="auto"/>
        </w:rPr>
        <w:t>2.3、流量席席位：</w:t>
      </w:r>
    </w:p>
    <w:p>
      <w:pPr>
        <w:spacing w:line="360" w:lineRule="auto"/>
        <w:ind w:firstLine="420" w:firstLineChars="200"/>
        <w:rPr>
          <w:sz w:val="21"/>
          <w:szCs w:val="21"/>
          <w:shd w:val="clear" w:color="050000" w:fill="auto"/>
        </w:rPr>
      </w:pPr>
      <w:r>
        <w:rPr>
          <w:rFonts w:hint="eastAsia"/>
          <w:sz w:val="21"/>
          <w:szCs w:val="21"/>
          <w:shd w:val="clear" w:color="050000" w:fill="auto"/>
        </w:rPr>
        <w:t>设置航班动态界面以及本场航班运行态势界面。流量席可调阅和导出航班各项运行数据，系统可实现受流控影响的航班正常性数据的记录和分析。</w:t>
      </w:r>
    </w:p>
    <w:p>
      <w:pPr>
        <w:spacing w:line="360" w:lineRule="auto"/>
        <w:ind w:firstLine="420" w:firstLineChars="200"/>
        <w:rPr>
          <w:sz w:val="21"/>
          <w:szCs w:val="21"/>
          <w:shd w:val="clear" w:color="050000" w:fill="auto"/>
        </w:rPr>
      </w:pPr>
      <w:r>
        <w:rPr>
          <w:rFonts w:hint="eastAsia"/>
          <w:sz w:val="21"/>
          <w:szCs w:val="21"/>
          <w:shd w:val="clear" w:color="050000" w:fill="auto"/>
        </w:rPr>
        <w:t>（1）航班动态界面</w:t>
      </w:r>
    </w:p>
    <w:p>
      <w:pPr>
        <w:spacing w:line="360" w:lineRule="auto"/>
        <w:ind w:firstLine="420" w:firstLineChars="200"/>
        <w:rPr>
          <w:sz w:val="21"/>
          <w:szCs w:val="21"/>
          <w:shd w:val="clear" w:color="050000" w:fill="auto"/>
        </w:rPr>
      </w:pPr>
      <w:r>
        <w:rPr>
          <w:rFonts w:hint="eastAsia"/>
          <w:sz w:val="21"/>
          <w:szCs w:val="21"/>
          <w:shd w:val="clear" w:color="050000" w:fill="auto"/>
        </w:rPr>
        <w:t>a、数据信息显示需求：航班动态界面包括本场每个出港航班保障进度（预计落地时间、实际落地时间、登机、登机结束等地面保障状态）、计划起飞时间、航班TOBT时间、COBT时间、CTOT时间（是否锁定区别显示）、最晚起飞时间、目的地机场、航路方向、限制信息（可以从浙江空管区调CDM系统自动导入）、备注信息（是否为重要航班）、航班性质（军航、正班、加班、包机、公务、货机、调机）。</w:t>
      </w:r>
    </w:p>
    <w:p>
      <w:pPr>
        <w:spacing w:line="360" w:lineRule="auto"/>
        <w:ind w:firstLine="420" w:firstLineChars="200"/>
        <w:rPr>
          <w:sz w:val="21"/>
          <w:szCs w:val="21"/>
          <w:shd w:val="clear" w:color="050000" w:fill="auto"/>
        </w:rPr>
      </w:pPr>
      <w:r>
        <w:rPr>
          <w:rFonts w:hint="eastAsia"/>
          <w:sz w:val="21"/>
          <w:szCs w:val="21"/>
          <w:shd w:val="clear" w:color="050000" w:fill="auto"/>
        </w:rPr>
        <w:t>b、整体信息显示及调阅：每个出港航班数据逐条列表显示，指挥员可根据相应选项筛选对应航班，比如指挥员可以筛选航班目的地机场选择具有同一目的地的所有航班，同时还可以对航班的TOBT、COBT、CTOT、计划起飞时间等时间进行排序。此外，对于已执行和未执行的出港航班分别处理，界面默认只显示未执行航班，已经执行航班进入历史航班库，可由席位人员调阅。</w:t>
      </w:r>
    </w:p>
    <w:p>
      <w:pPr>
        <w:spacing w:line="360" w:lineRule="auto"/>
        <w:ind w:firstLine="420" w:firstLineChars="200"/>
        <w:rPr>
          <w:sz w:val="21"/>
          <w:szCs w:val="21"/>
          <w:shd w:val="clear" w:color="050000" w:fill="auto"/>
        </w:rPr>
      </w:pPr>
      <w:r>
        <w:rPr>
          <w:rFonts w:hint="eastAsia"/>
          <w:sz w:val="21"/>
          <w:szCs w:val="21"/>
          <w:shd w:val="clear" w:color="050000" w:fill="auto"/>
        </w:rPr>
        <w:t>（2）本场航班运行态势界面</w:t>
      </w:r>
    </w:p>
    <w:p>
      <w:pPr>
        <w:spacing w:line="360" w:lineRule="auto"/>
        <w:ind w:firstLine="420" w:firstLineChars="200"/>
        <w:rPr>
          <w:sz w:val="21"/>
          <w:szCs w:val="21"/>
          <w:shd w:val="clear" w:color="050000" w:fill="auto"/>
        </w:rPr>
      </w:pPr>
      <w:r>
        <w:rPr>
          <w:rFonts w:hint="eastAsia"/>
          <w:sz w:val="21"/>
          <w:szCs w:val="21"/>
          <w:shd w:val="clear" w:color="050000" w:fill="auto"/>
        </w:rPr>
        <w:t>本场航班运行态势界面包含总体运行数据界面、放行限制信息（含运行环境信息）界面和航班运行时间树界面。</w:t>
      </w:r>
    </w:p>
    <w:p>
      <w:pPr>
        <w:spacing w:line="360" w:lineRule="auto"/>
        <w:ind w:firstLine="420" w:firstLineChars="200"/>
        <w:rPr>
          <w:sz w:val="21"/>
          <w:szCs w:val="21"/>
          <w:shd w:val="clear" w:color="050000" w:fill="auto"/>
        </w:rPr>
      </w:pPr>
      <w:r>
        <w:rPr>
          <w:rFonts w:hint="eastAsia"/>
          <w:sz w:val="21"/>
          <w:szCs w:val="21"/>
          <w:shd w:val="clear" w:color="050000" w:fill="auto"/>
        </w:rPr>
        <w:t>a、总体运行数据界面包括跑道外等待航班数量、航班放行正常性、每小时及整体航班执行情况（可筛选各方向及各目的地）、航班平均延误时间、有预达时间航班数据。</w:t>
      </w:r>
    </w:p>
    <w:p>
      <w:pPr>
        <w:spacing w:line="360" w:lineRule="auto"/>
        <w:ind w:firstLine="420" w:firstLineChars="200"/>
        <w:rPr>
          <w:sz w:val="21"/>
          <w:szCs w:val="21"/>
          <w:shd w:val="clear" w:color="050000" w:fill="auto"/>
        </w:rPr>
      </w:pPr>
      <w:r>
        <w:rPr>
          <w:rFonts w:hint="eastAsia"/>
          <w:sz w:val="21"/>
          <w:szCs w:val="21"/>
          <w:shd w:val="clear" w:color="050000" w:fill="auto"/>
        </w:rPr>
        <w:t>b、放行限制信息引入浙江空管区调CDM系统航班延误信息数据，每条限制信息后对应受影响航班数据，运行环境信息包括使用跑道方向、气象信息。并且根据航班号可以查阅对应限制信息。同时实现相应数据双向记录和储存，即记录和储存“限制信息—受影响航班号”、“航班号—相关限制信息”相关数据记录。</w:t>
      </w:r>
    </w:p>
    <w:p>
      <w:pPr>
        <w:spacing w:line="360" w:lineRule="auto"/>
        <w:ind w:firstLine="420" w:firstLineChars="200"/>
        <w:rPr>
          <w:sz w:val="21"/>
          <w:szCs w:val="21"/>
          <w:shd w:val="clear" w:color="050000" w:fill="auto"/>
        </w:rPr>
      </w:pPr>
      <w:r>
        <w:rPr>
          <w:rFonts w:hint="eastAsia"/>
          <w:sz w:val="21"/>
          <w:szCs w:val="21"/>
          <w:shd w:val="clear" w:color="050000" w:fill="auto"/>
        </w:rPr>
        <w:t>c、航班运行时间树显示选定时间节点之间的进出港航班，根据航班预计落地时间、预计起飞时间将进出港航班显示在对应航班刻度上，点击航班呼号，可以显示航班具体时间数据以及起飞机场、目的地机场信息。</w:t>
      </w:r>
    </w:p>
    <w:p>
      <w:pPr>
        <w:spacing w:line="360" w:lineRule="auto"/>
        <w:ind w:firstLine="422" w:firstLineChars="200"/>
        <w:rPr>
          <w:b/>
          <w:bCs/>
          <w:sz w:val="21"/>
          <w:szCs w:val="21"/>
          <w:shd w:val="clear" w:color="050000" w:fill="auto"/>
        </w:rPr>
      </w:pPr>
      <w:r>
        <w:rPr>
          <w:rFonts w:hint="eastAsia"/>
          <w:b/>
          <w:bCs/>
          <w:sz w:val="21"/>
          <w:szCs w:val="21"/>
          <w:shd w:val="clear" w:color="050000" w:fill="auto"/>
        </w:rPr>
        <w:t>2.4、带班席席位：</w:t>
      </w:r>
    </w:p>
    <w:p>
      <w:pPr>
        <w:spacing w:line="360" w:lineRule="auto"/>
        <w:ind w:firstLine="420" w:firstLineChars="200"/>
        <w:rPr>
          <w:szCs w:val="21"/>
        </w:rPr>
      </w:pPr>
      <w:r>
        <w:rPr>
          <w:rFonts w:hint="eastAsia"/>
          <w:sz w:val="21"/>
          <w:szCs w:val="21"/>
          <w:shd w:val="clear" w:color="050000" w:fill="auto"/>
        </w:rPr>
        <w:t>本场航班运行态势界面、进出港航班指挥信息界面。本场航班运行态势界面与流量席一致。进出港航班指挥信息界面包括进出港航班呼号、机型、停机位、滑行路线、移交时间、到位时间、推出时间、开车时间、滑出时间、起飞时间等进程单操作数据列表，航班指挥动作（操作移交、到位、推出开车、滑出等动作的时间点）先后顺序可以根据相应的时间进行排序和筛选。</w:t>
      </w:r>
    </w:p>
    <w:p>
      <w:pPr>
        <w:spacing w:line="360" w:lineRule="auto"/>
        <w:ind w:firstLine="422" w:firstLineChars="200"/>
        <w:rPr>
          <w:b/>
          <w:bCs/>
          <w:sz w:val="21"/>
          <w:szCs w:val="21"/>
          <w:shd w:val="clear" w:color="050000" w:fill="auto"/>
        </w:rPr>
      </w:pPr>
      <w:r>
        <w:rPr>
          <w:rFonts w:hint="eastAsia"/>
          <w:b/>
          <w:bCs/>
          <w:sz w:val="21"/>
          <w:szCs w:val="21"/>
          <w:shd w:val="clear" w:color="050000" w:fill="auto"/>
        </w:rPr>
        <w:t>3、系统性能要求</w:t>
      </w:r>
    </w:p>
    <w:p>
      <w:pPr>
        <w:spacing w:line="360" w:lineRule="auto"/>
        <w:ind w:firstLine="422" w:firstLineChars="200"/>
        <w:rPr>
          <w:b/>
          <w:bCs/>
          <w:sz w:val="21"/>
          <w:szCs w:val="21"/>
          <w:shd w:val="clear" w:color="050000" w:fill="auto"/>
        </w:rPr>
      </w:pPr>
      <w:r>
        <w:rPr>
          <w:rFonts w:hint="eastAsia"/>
          <w:b/>
          <w:bCs/>
          <w:sz w:val="21"/>
          <w:szCs w:val="21"/>
          <w:shd w:val="clear" w:color="050000" w:fill="auto"/>
        </w:rPr>
        <w:t>3.1、系统的主要功能</w:t>
      </w:r>
    </w:p>
    <w:p>
      <w:pPr>
        <w:spacing w:line="360" w:lineRule="auto"/>
        <w:ind w:firstLine="420" w:firstLineChars="200"/>
        <w:rPr>
          <w:sz w:val="21"/>
          <w:szCs w:val="21"/>
          <w:shd w:val="clear" w:color="050000" w:fill="auto"/>
        </w:rPr>
      </w:pPr>
      <w:r>
        <w:rPr>
          <w:rFonts w:hint="eastAsia"/>
          <w:sz w:val="21"/>
          <w:szCs w:val="21"/>
          <w:shd w:val="clear" w:color="050000" w:fill="auto"/>
        </w:rPr>
        <w:t>系统以电子进程单的形式提供管制员操作，以达到对起飞航班进行放行，从停机位上引导飞机滑行至起飞跑道进行起飞后移交给进近管制，对落地航班引导其落地并滑行至停机位，并通过电子进程单进行席位间移交信息传递、跑道管理和各种告警等处理。</w:t>
      </w:r>
    </w:p>
    <w:p>
      <w:pPr>
        <w:spacing w:line="360" w:lineRule="auto"/>
        <w:ind w:firstLine="422" w:firstLineChars="200"/>
        <w:rPr>
          <w:b/>
          <w:bCs/>
          <w:sz w:val="21"/>
          <w:szCs w:val="21"/>
          <w:shd w:val="clear" w:color="050000" w:fill="auto"/>
        </w:rPr>
      </w:pPr>
      <w:r>
        <w:rPr>
          <w:rFonts w:hint="eastAsia"/>
          <w:b/>
          <w:bCs/>
          <w:sz w:val="21"/>
          <w:szCs w:val="21"/>
          <w:shd w:val="clear" w:color="050000" w:fill="auto"/>
        </w:rPr>
        <w:t>3.1.1信息数据接收处理</w:t>
      </w:r>
    </w:p>
    <w:p>
      <w:pPr>
        <w:spacing w:line="360" w:lineRule="auto"/>
        <w:ind w:firstLine="420" w:firstLineChars="200"/>
        <w:rPr>
          <w:sz w:val="21"/>
          <w:szCs w:val="21"/>
          <w:shd w:val="clear" w:color="050000" w:fill="auto"/>
        </w:rPr>
      </w:pPr>
      <w:r>
        <w:rPr>
          <w:rFonts w:hint="eastAsia"/>
          <w:sz w:val="21"/>
          <w:szCs w:val="21"/>
          <w:shd w:val="clear" w:color="050000" w:fill="auto"/>
        </w:rPr>
        <w:t>系统自动接收识别飞行电报、飞行计划数据信息、停机位信息、DCL信息、ATIS信息，用于电子进程单的创建、更新和数字化放行。以及能与机场集成系统进行信息数据交换。</w:t>
      </w:r>
    </w:p>
    <w:p>
      <w:pPr>
        <w:spacing w:line="360" w:lineRule="auto"/>
        <w:ind w:firstLine="422" w:firstLineChars="200"/>
        <w:rPr>
          <w:b/>
          <w:bCs/>
          <w:sz w:val="21"/>
          <w:szCs w:val="21"/>
          <w:shd w:val="clear" w:color="050000" w:fill="auto"/>
        </w:rPr>
      </w:pPr>
      <w:r>
        <w:rPr>
          <w:rFonts w:hint="eastAsia"/>
          <w:b/>
          <w:bCs/>
          <w:sz w:val="21"/>
          <w:szCs w:val="21"/>
          <w:shd w:val="clear" w:color="050000" w:fill="auto"/>
        </w:rPr>
        <w:t>3.1.2飞行电报处理</w:t>
      </w:r>
    </w:p>
    <w:p>
      <w:pPr>
        <w:spacing w:line="360" w:lineRule="auto"/>
        <w:ind w:firstLine="420" w:firstLineChars="200"/>
        <w:rPr>
          <w:sz w:val="21"/>
          <w:szCs w:val="21"/>
          <w:shd w:val="clear" w:color="050000" w:fill="auto"/>
        </w:rPr>
      </w:pPr>
      <w:r>
        <w:rPr>
          <w:rFonts w:hint="eastAsia"/>
          <w:sz w:val="21"/>
          <w:szCs w:val="21"/>
          <w:shd w:val="clear" w:color="050000" w:fill="auto"/>
        </w:rPr>
        <w:t>系统自动处理来自AFTN网络的飞行计划报文，进行电报报文解析，根据电报类型和电报数据进行飞行计划的创建和更新。</w:t>
      </w:r>
    </w:p>
    <w:p>
      <w:pPr>
        <w:spacing w:line="360" w:lineRule="auto"/>
        <w:ind w:firstLine="422" w:firstLineChars="200"/>
        <w:rPr>
          <w:b/>
          <w:bCs/>
          <w:sz w:val="21"/>
          <w:szCs w:val="21"/>
          <w:shd w:val="clear" w:color="050000" w:fill="auto"/>
        </w:rPr>
      </w:pPr>
      <w:r>
        <w:rPr>
          <w:rFonts w:hint="eastAsia"/>
          <w:b/>
          <w:bCs/>
          <w:sz w:val="21"/>
          <w:szCs w:val="21"/>
          <w:shd w:val="clear" w:color="050000" w:fill="auto"/>
        </w:rPr>
        <w:t>3.1.3数据式管制界面</w:t>
      </w:r>
    </w:p>
    <w:p>
      <w:pPr>
        <w:spacing w:line="360" w:lineRule="auto"/>
        <w:ind w:firstLine="420" w:firstLineChars="200"/>
        <w:rPr>
          <w:sz w:val="21"/>
          <w:szCs w:val="21"/>
          <w:shd w:val="clear" w:color="050000" w:fill="auto"/>
        </w:rPr>
      </w:pPr>
      <w:r>
        <w:rPr>
          <w:rFonts w:hint="eastAsia"/>
          <w:sz w:val="21"/>
          <w:szCs w:val="21"/>
          <w:shd w:val="clear" w:color="050000" w:fill="auto"/>
        </w:rPr>
        <w:t>以数据化电子进程单为主的系统界面，每个航班生成对应的电子进程单，按照传统数据列表的方式排列显示，必须由管制员按照塔台的工作流程进行操作。</w:t>
      </w:r>
    </w:p>
    <w:p>
      <w:pPr>
        <w:spacing w:line="360" w:lineRule="auto"/>
        <w:ind w:firstLine="422" w:firstLineChars="200"/>
        <w:rPr>
          <w:b/>
          <w:bCs/>
          <w:sz w:val="21"/>
          <w:szCs w:val="21"/>
          <w:shd w:val="clear" w:color="050000" w:fill="auto"/>
        </w:rPr>
      </w:pPr>
      <w:r>
        <w:rPr>
          <w:rFonts w:hint="eastAsia"/>
          <w:b/>
          <w:bCs/>
          <w:sz w:val="21"/>
          <w:szCs w:val="21"/>
          <w:shd w:val="clear" w:color="050000" w:fill="auto"/>
        </w:rPr>
        <w:t>3.1.4告警处置</w:t>
      </w:r>
    </w:p>
    <w:p>
      <w:pPr>
        <w:spacing w:line="360" w:lineRule="auto"/>
        <w:ind w:firstLine="420" w:firstLineChars="200"/>
        <w:rPr>
          <w:sz w:val="21"/>
          <w:szCs w:val="21"/>
          <w:shd w:val="clear" w:color="050000" w:fill="auto"/>
        </w:rPr>
      </w:pPr>
      <w:r>
        <w:rPr>
          <w:rFonts w:hint="eastAsia"/>
          <w:sz w:val="21"/>
          <w:szCs w:val="21"/>
          <w:shd w:val="clear" w:color="050000" w:fill="auto"/>
        </w:rPr>
        <w:t>针对各种意外情况，系统可提供告警显示，提醒管制员进行处置。告警范围包括飞行计划报文错误或缺失、航班属性与报文不匹配、应答机代码重复、航班性质提示、飞机不具备RVSM/PBN能力提示、机场运行信息变化提示、备降航班提示、延误航班提示、滑行路径告警、停机位告警、跑道侵入告警等。</w:t>
      </w:r>
    </w:p>
    <w:p>
      <w:pPr>
        <w:spacing w:line="360" w:lineRule="auto"/>
        <w:ind w:firstLine="422" w:firstLineChars="200"/>
        <w:rPr>
          <w:b/>
          <w:bCs/>
          <w:sz w:val="21"/>
          <w:szCs w:val="21"/>
          <w:shd w:val="clear" w:color="050000" w:fill="auto"/>
        </w:rPr>
      </w:pPr>
      <w:r>
        <w:rPr>
          <w:rFonts w:hint="eastAsia"/>
          <w:b/>
          <w:bCs/>
          <w:sz w:val="21"/>
          <w:szCs w:val="21"/>
          <w:shd w:val="clear" w:color="050000" w:fill="auto"/>
        </w:rPr>
        <w:t>3.1.5跑道运行模式</w:t>
      </w:r>
    </w:p>
    <w:p>
      <w:pPr>
        <w:spacing w:line="360" w:lineRule="auto"/>
        <w:ind w:firstLine="420" w:firstLineChars="200"/>
        <w:rPr>
          <w:sz w:val="21"/>
          <w:szCs w:val="21"/>
          <w:shd w:val="clear" w:color="050000" w:fill="auto"/>
        </w:rPr>
      </w:pPr>
      <w:r>
        <w:rPr>
          <w:rFonts w:hint="eastAsia"/>
          <w:sz w:val="21"/>
          <w:szCs w:val="21"/>
          <w:shd w:val="clear" w:color="050000" w:fill="auto"/>
        </w:rPr>
        <w:t>系统可根据不同的跑道和离场程序，设置相应的运行模式。并在运行模式改变时，提供便捷的工具对电子进程单进行确认处理。</w:t>
      </w:r>
    </w:p>
    <w:p>
      <w:pPr>
        <w:spacing w:line="360" w:lineRule="auto"/>
        <w:ind w:firstLine="422" w:firstLineChars="200"/>
        <w:rPr>
          <w:b/>
          <w:bCs/>
          <w:sz w:val="21"/>
          <w:szCs w:val="21"/>
          <w:shd w:val="clear" w:color="050000" w:fill="auto"/>
        </w:rPr>
      </w:pPr>
      <w:r>
        <w:rPr>
          <w:rFonts w:hint="eastAsia"/>
          <w:b/>
          <w:bCs/>
          <w:sz w:val="21"/>
          <w:szCs w:val="21"/>
          <w:shd w:val="clear" w:color="050000" w:fill="auto"/>
        </w:rPr>
        <w:t>3.1.6运行监控</w:t>
      </w:r>
    </w:p>
    <w:p>
      <w:pPr>
        <w:spacing w:line="360" w:lineRule="auto"/>
        <w:ind w:firstLine="420" w:firstLineChars="200"/>
        <w:rPr>
          <w:sz w:val="21"/>
          <w:szCs w:val="21"/>
          <w:shd w:val="clear" w:color="050000" w:fill="auto"/>
        </w:rPr>
      </w:pPr>
      <w:r>
        <w:rPr>
          <w:rFonts w:hint="eastAsia"/>
          <w:sz w:val="21"/>
          <w:szCs w:val="21"/>
          <w:shd w:val="clear" w:color="050000" w:fill="auto"/>
        </w:rPr>
        <w:t>系统可以以图表的形式，实时显示各席位在各延误时间段的航班延误数值、各席位所指挥航班数量、重要航班动态等。</w:t>
      </w:r>
    </w:p>
    <w:p>
      <w:pPr>
        <w:spacing w:line="360" w:lineRule="auto"/>
        <w:ind w:firstLine="422" w:firstLineChars="200"/>
        <w:rPr>
          <w:b/>
          <w:bCs/>
          <w:sz w:val="21"/>
          <w:szCs w:val="21"/>
          <w:shd w:val="clear" w:color="050000" w:fill="auto"/>
        </w:rPr>
      </w:pPr>
      <w:r>
        <w:rPr>
          <w:rFonts w:hint="eastAsia"/>
          <w:b/>
          <w:bCs/>
          <w:sz w:val="21"/>
          <w:szCs w:val="21"/>
          <w:shd w:val="clear" w:color="050000" w:fill="auto"/>
        </w:rPr>
        <w:t>3.1.7进程单状态及流程自定义</w:t>
      </w:r>
    </w:p>
    <w:p>
      <w:pPr>
        <w:spacing w:line="360" w:lineRule="auto"/>
        <w:ind w:firstLine="420" w:firstLineChars="200"/>
        <w:rPr>
          <w:sz w:val="21"/>
          <w:szCs w:val="21"/>
          <w:shd w:val="clear" w:color="050000" w:fill="auto"/>
        </w:rPr>
      </w:pPr>
      <w:r>
        <w:rPr>
          <w:rFonts w:hint="eastAsia"/>
          <w:sz w:val="21"/>
          <w:szCs w:val="21"/>
          <w:shd w:val="clear" w:color="050000" w:fill="auto"/>
        </w:rPr>
        <w:t>在系统中电子进程单状态及流程可以根据现场管制工作的实际情况进行相应的更改，以满足不同</w:t>
      </w:r>
    </w:p>
    <w:p>
      <w:pPr>
        <w:spacing w:line="360" w:lineRule="auto"/>
        <w:ind w:firstLine="422" w:firstLineChars="200"/>
        <w:rPr>
          <w:b/>
          <w:bCs/>
          <w:sz w:val="21"/>
          <w:szCs w:val="21"/>
          <w:shd w:val="clear" w:color="050000" w:fill="auto"/>
        </w:rPr>
      </w:pPr>
      <w:r>
        <w:rPr>
          <w:rFonts w:hint="eastAsia"/>
          <w:b/>
          <w:bCs/>
          <w:sz w:val="21"/>
          <w:szCs w:val="21"/>
          <w:shd w:val="clear" w:color="050000" w:fill="auto"/>
        </w:rPr>
        <w:t>3.1.8基础元素自定义</w:t>
      </w:r>
    </w:p>
    <w:p>
      <w:pPr>
        <w:spacing w:line="360" w:lineRule="auto"/>
        <w:ind w:firstLine="420" w:firstLineChars="200"/>
        <w:rPr>
          <w:sz w:val="21"/>
          <w:szCs w:val="21"/>
          <w:shd w:val="clear" w:color="050000" w:fill="auto"/>
        </w:rPr>
      </w:pPr>
      <w:r>
        <w:rPr>
          <w:rFonts w:hint="eastAsia"/>
          <w:sz w:val="21"/>
          <w:szCs w:val="21"/>
          <w:shd w:val="clear" w:color="050000" w:fill="auto"/>
        </w:rPr>
        <w:t>系统建立进程单信息综合数据库，以保存系统使用的公共数据、图表、文件等。系统通过数据管理界面，完成各种适应性数据和系统配置的离线管理，包括数据编辑及发布。</w:t>
      </w:r>
    </w:p>
    <w:p>
      <w:pPr>
        <w:spacing w:line="360" w:lineRule="auto"/>
        <w:ind w:firstLine="422" w:firstLineChars="200"/>
        <w:rPr>
          <w:b/>
          <w:bCs/>
          <w:sz w:val="21"/>
          <w:szCs w:val="21"/>
          <w:shd w:val="clear" w:color="050000" w:fill="auto"/>
        </w:rPr>
      </w:pPr>
      <w:r>
        <w:rPr>
          <w:rFonts w:hint="eastAsia"/>
          <w:b/>
          <w:bCs/>
          <w:sz w:val="21"/>
          <w:szCs w:val="21"/>
          <w:shd w:val="clear" w:color="050000" w:fill="auto"/>
        </w:rPr>
        <w:t>3.1.9席位自定义</w:t>
      </w:r>
    </w:p>
    <w:p>
      <w:pPr>
        <w:spacing w:line="360" w:lineRule="auto"/>
        <w:ind w:firstLine="420" w:firstLineChars="200"/>
        <w:rPr>
          <w:sz w:val="21"/>
          <w:szCs w:val="21"/>
          <w:shd w:val="clear" w:color="050000" w:fill="auto"/>
        </w:rPr>
      </w:pPr>
      <w:r>
        <w:rPr>
          <w:rFonts w:hint="eastAsia"/>
          <w:sz w:val="21"/>
          <w:szCs w:val="21"/>
          <w:shd w:val="clear" w:color="050000" w:fill="auto"/>
        </w:rPr>
        <w:t>系统管制席位可以离线自定义，不同席位可根据现场需求制定不同的角色，对应席位的数量可以根据机场规模和跑道数量更改。</w:t>
      </w:r>
    </w:p>
    <w:p>
      <w:pPr>
        <w:spacing w:line="360" w:lineRule="auto"/>
        <w:ind w:firstLine="422" w:firstLineChars="200"/>
        <w:rPr>
          <w:b/>
          <w:bCs/>
          <w:sz w:val="21"/>
          <w:szCs w:val="21"/>
          <w:shd w:val="clear" w:color="050000" w:fill="auto"/>
        </w:rPr>
      </w:pPr>
      <w:r>
        <w:rPr>
          <w:rFonts w:hint="eastAsia"/>
          <w:b/>
          <w:bCs/>
          <w:sz w:val="21"/>
          <w:szCs w:val="21"/>
          <w:shd w:val="clear" w:color="050000" w:fill="auto"/>
        </w:rPr>
        <w:t>3.2、系统的主要性能</w:t>
      </w:r>
    </w:p>
    <w:p>
      <w:pPr>
        <w:spacing w:line="360" w:lineRule="auto"/>
        <w:ind w:firstLine="422" w:firstLineChars="200"/>
        <w:rPr>
          <w:b/>
          <w:bCs/>
          <w:sz w:val="21"/>
          <w:szCs w:val="21"/>
          <w:shd w:val="clear" w:color="050000" w:fill="auto"/>
        </w:rPr>
      </w:pPr>
      <w:r>
        <w:rPr>
          <w:rFonts w:hint="eastAsia"/>
          <w:b/>
          <w:bCs/>
          <w:sz w:val="21"/>
          <w:szCs w:val="21"/>
          <w:shd w:val="clear" w:color="050000" w:fill="auto"/>
        </w:rPr>
        <w:t>3.2.1系统性能</w:t>
      </w:r>
    </w:p>
    <w:tbl>
      <w:tblPr>
        <w:tblStyle w:val="52"/>
        <w:tblW w:w="841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51"/>
        <w:gridCol w:w="38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4551" w:type="dxa"/>
            <w:vAlign w:val="center"/>
          </w:tcPr>
          <w:p>
            <w:pPr>
              <w:rPr>
                <w:szCs w:val="21"/>
              </w:rPr>
            </w:pPr>
            <w:r>
              <w:rPr>
                <w:rFonts w:hint="eastAsia"/>
                <w:szCs w:val="21"/>
              </w:rPr>
              <w:t>网络峰值负载</w:t>
            </w:r>
          </w:p>
        </w:tc>
        <w:tc>
          <w:tcPr>
            <w:tcW w:w="3863" w:type="dxa"/>
            <w:vAlign w:val="center"/>
          </w:tcPr>
          <w:p>
            <w:pPr>
              <w:rPr>
                <w:szCs w:val="21"/>
              </w:rPr>
            </w:pPr>
            <w:r>
              <w:rPr>
                <w:rFonts w:hint="eastAsia"/>
                <w:szCs w:val="21"/>
              </w:rPr>
              <w:t>不超过带宽的40%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3" w:hRule="atLeast"/>
          <w:jc w:val="center"/>
        </w:trPr>
        <w:tc>
          <w:tcPr>
            <w:tcW w:w="4551" w:type="dxa"/>
            <w:vAlign w:val="center"/>
          </w:tcPr>
          <w:p>
            <w:pPr>
              <w:rPr>
                <w:szCs w:val="21"/>
              </w:rPr>
            </w:pPr>
            <w:r>
              <w:rPr>
                <w:rFonts w:hint="eastAsia"/>
                <w:szCs w:val="21"/>
              </w:rPr>
              <w:t>网络平均负载</w:t>
            </w:r>
          </w:p>
        </w:tc>
        <w:tc>
          <w:tcPr>
            <w:tcW w:w="3863" w:type="dxa"/>
            <w:vAlign w:val="center"/>
          </w:tcPr>
          <w:p>
            <w:pPr>
              <w:rPr>
                <w:szCs w:val="21"/>
              </w:rPr>
            </w:pPr>
            <w:r>
              <w:rPr>
                <w:rFonts w:hint="eastAsia"/>
                <w:szCs w:val="21"/>
              </w:rPr>
              <w:t>不超过带宽的20%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8" w:hRule="atLeast"/>
          <w:jc w:val="center"/>
        </w:trPr>
        <w:tc>
          <w:tcPr>
            <w:tcW w:w="4551" w:type="dxa"/>
            <w:vAlign w:val="center"/>
          </w:tcPr>
          <w:p>
            <w:pPr>
              <w:rPr>
                <w:szCs w:val="21"/>
              </w:rPr>
            </w:pPr>
            <w:r>
              <w:rPr>
                <w:rFonts w:hint="eastAsia"/>
                <w:szCs w:val="21"/>
              </w:rPr>
              <w:t>CPU平均占用率</w:t>
            </w:r>
          </w:p>
        </w:tc>
        <w:tc>
          <w:tcPr>
            <w:tcW w:w="3863" w:type="dxa"/>
            <w:vAlign w:val="center"/>
          </w:tcPr>
          <w:p>
            <w:pPr>
              <w:rPr>
                <w:szCs w:val="21"/>
              </w:rPr>
            </w:pPr>
            <w:r>
              <w:rPr>
                <w:rFonts w:hint="eastAsia"/>
                <w:szCs w:val="21"/>
              </w:rPr>
              <w:t>不超过30%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3" w:hRule="atLeast"/>
          <w:jc w:val="center"/>
        </w:trPr>
        <w:tc>
          <w:tcPr>
            <w:tcW w:w="4551" w:type="dxa"/>
            <w:vAlign w:val="center"/>
          </w:tcPr>
          <w:p>
            <w:pPr>
              <w:rPr>
                <w:szCs w:val="21"/>
              </w:rPr>
            </w:pPr>
            <w:r>
              <w:rPr>
                <w:rFonts w:hint="eastAsia"/>
                <w:szCs w:val="21"/>
              </w:rPr>
              <w:t>硬盘实际使用容量</w:t>
            </w:r>
          </w:p>
        </w:tc>
        <w:tc>
          <w:tcPr>
            <w:tcW w:w="3863" w:type="dxa"/>
            <w:vAlign w:val="center"/>
          </w:tcPr>
          <w:p>
            <w:pPr>
              <w:rPr>
                <w:szCs w:val="21"/>
              </w:rPr>
            </w:pPr>
            <w:r>
              <w:rPr>
                <w:rFonts w:hint="eastAsia"/>
                <w:szCs w:val="21"/>
              </w:rPr>
              <w:t>不超过硬盘总容量的50%</w:t>
            </w:r>
          </w:p>
        </w:tc>
      </w:tr>
    </w:tbl>
    <w:p>
      <w:pPr>
        <w:ind w:firstLine="422" w:firstLineChars="200"/>
        <w:rPr>
          <w:b/>
          <w:bCs/>
          <w:sz w:val="21"/>
          <w:szCs w:val="21"/>
          <w:shd w:val="clear" w:color="050000" w:fill="auto"/>
        </w:rPr>
      </w:pPr>
      <w:r>
        <w:rPr>
          <w:rFonts w:hint="eastAsia"/>
          <w:b/>
          <w:bCs/>
          <w:sz w:val="21"/>
          <w:szCs w:val="21"/>
          <w:shd w:val="clear" w:color="050000" w:fill="auto"/>
        </w:rPr>
        <w:t>3.2.2系统维护性能</w:t>
      </w:r>
    </w:p>
    <w:tbl>
      <w:tblPr>
        <w:tblStyle w:val="52"/>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19"/>
        <w:gridCol w:w="39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7" w:hRule="atLeast"/>
          <w:jc w:val="center"/>
        </w:trPr>
        <w:tc>
          <w:tcPr>
            <w:tcW w:w="4619" w:type="dxa"/>
            <w:vAlign w:val="center"/>
          </w:tcPr>
          <w:p>
            <w:pPr>
              <w:rPr>
                <w:szCs w:val="21"/>
              </w:rPr>
            </w:pPr>
            <w:r>
              <w:rPr>
                <w:rFonts w:hint="eastAsia"/>
                <w:szCs w:val="21"/>
              </w:rPr>
              <w:t>单个节点加电到正常工作</w:t>
            </w:r>
          </w:p>
        </w:tc>
        <w:tc>
          <w:tcPr>
            <w:tcW w:w="3903" w:type="dxa"/>
            <w:vAlign w:val="center"/>
          </w:tcPr>
          <w:p>
            <w:pPr>
              <w:rPr>
                <w:szCs w:val="21"/>
              </w:rPr>
            </w:pPr>
            <w:r>
              <w:rPr>
                <w:rFonts w:hint="eastAsia"/>
                <w:szCs w:val="21"/>
              </w:rPr>
              <w:t>小于5分钟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2" w:hRule="atLeast"/>
          <w:jc w:val="center"/>
        </w:trPr>
        <w:tc>
          <w:tcPr>
            <w:tcW w:w="4619" w:type="dxa"/>
            <w:vAlign w:val="center"/>
          </w:tcPr>
          <w:p>
            <w:pPr>
              <w:rPr>
                <w:szCs w:val="21"/>
              </w:rPr>
            </w:pPr>
            <w:r>
              <w:rPr>
                <w:rFonts w:hint="eastAsia"/>
                <w:szCs w:val="21"/>
              </w:rPr>
              <w:t>整个系统加电到正常工作</w:t>
            </w:r>
          </w:p>
        </w:tc>
        <w:tc>
          <w:tcPr>
            <w:tcW w:w="3903" w:type="dxa"/>
            <w:vAlign w:val="center"/>
          </w:tcPr>
          <w:p>
            <w:pPr>
              <w:rPr>
                <w:szCs w:val="21"/>
              </w:rPr>
            </w:pPr>
            <w:r>
              <w:rPr>
                <w:rFonts w:hint="eastAsia"/>
                <w:szCs w:val="21"/>
              </w:rPr>
              <w:t>小于10分钟</w:t>
            </w:r>
          </w:p>
        </w:tc>
      </w:tr>
    </w:tbl>
    <w:p>
      <w:pPr>
        <w:spacing w:line="360" w:lineRule="auto"/>
        <w:ind w:firstLine="422" w:firstLineChars="200"/>
        <w:rPr>
          <w:szCs w:val="21"/>
        </w:rPr>
      </w:pPr>
      <w:bookmarkStart w:id="108" w:name="_Toc485121564"/>
      <w:r>
        <w:rPr>
          <w:rFonts w:hint="eastAsia"/>
          <w:b/>
          <w:bCs/>
          <w:sz w:val="21"/>
          <w:szCs w:val="21"/>
          <w:shd w:val="clear" w:color="050000" w:fill="auto"/>
        </w:rPr>
        <w:t>4、系统架构</w:t>
      </w:r>
      <w:bookmarkEnd w:id="108"/>
    </w:p>
    <w:p>
      <w:pPr>
        <w:spacing w:line="360" w:lineRule="auto"/>
        <w:ind w:left="-972" w:leftChars="-405"/>
        <w:jc w:val="center"/>
        <w:rPr>
          <w:szCs w:val="21"/>
        </w:rPr>
      </w:pPr>
    </w:p>
    <w:p>
      <w:pPr>
        <w:spacing w:line="360" w:lineRule="auto"/>
        <w:ind w:left="-972" w:leftChars="-405"/>
        <w:jc w:val="right"/>
        <w:rPr>
          <w:szCs w:val="21"/>
        </w:rPr>
      </w:pPr>
      <w:r>
        <w:rPr>
          <w:rFonts w:hint="eastAsia"/>
          <w:szCs w:val="21"/>
        </w:rPr>
        <w:object>
          <v:shape id="_x0000_i1025" o:spt="75" type="#_x0000_t75" style="height:300.75pt;width:393pt;" o:ole="t" filled="f" o:preferrelative="t" stroked="f" coordsize="21600,21600">
            <v:path/>
            <v:fill on="f" focussize="0,0"/>
            <v:stroke on="f" joinstyle="miter"/>
            <v:imagedata r:id="rId10" o:title=""/>
            <o:lock v:ext="edit" aspectratio="t"/>
            <w10:wrap type="none"/>
            <w10:anchorlock/>
          </v:shape>
          <o:OLEObject Type="Embed" ProgID="Visio.Drawing.15" ShapeID="_x0000_i1025" DrawAspect="Content" ObjectID="_1468075725" r:id="rId9">
            <o:LockedField>false</o:LockedField>
          </o:OLEObject>
        </w:object>
      </w:r>
    </w:p>
    <w:p>
      <w:pPr>
        <w:spacing w:line="360" w:lineRule="auto"/>
        <w:jc w:val="center"/>
        <w:rPr>
          <w:b/>
          <w:sz w:val="21"/>
          <w:szCs w:val="21"/>
        </w:rPr>
      </w:pPr>
      <w:r>
        <w:rPr>
          <w:rFonts w:hint="eastAsia"/>
          <w:b/>
          <w:sz w:val="21"/>
          <w:szCs w:val="21"/>
        </w:rPr>
        <w:t>系统与空管CMD之间的连接关系</w:t>
      </w:r>
    </w:p>
    <w:p>
      <w:pPr>
        <w:spacing w:line="360" w:lineRule="auto"/>
        <w:jc w:val="center"/>
        <w:rPr>
          <w:szCs w:val="21"/>
        </w:rPr>
      </w:pPr>
      <w:r>
        <w:rPr>
          <w:rFonts w:hint="eastAsia"/>
          <w:szCs w:val="21"/>
        </w:rPr>
        <w:object>
          <v:shape id="_x0000_i1026" o:spt="75" type="#_x0000_t75" style="height:252pt;width:264.75pt;" o:ole="t" filled="f" o:preferrelative="t" stroked="f" coordsize="21600,21600">
            <v:path/>
            <v:fill on="f" focussize="0,0"/>
            <v:stroke on="f" joinstyle="miter"/>
            <v:imagedata r:id="rId12" o:title=""/>
            <o:lock v:ext="edit" aspectratio="t"/>
            <w10:wrap type="none"/>
            <w10:anchorlock/>
          </v:shape>
          <o:OLEObject Type="Embed" ProgID="Visio.Drawing.15" ShapeID="_x0000_i1026" DrawAspect="Content" ObjectID="_1468075726" r:id="rId11">
            <o:LockedField>false</o:LockedField>
          </o:OLEObject>
        </w:object>
      </w:r>
    </w:p>
    <w:p>
      <w:pPr>
        <w:spacing w:line="360" w:lineRule="auto"/>
        <w:jc w:val="center"/>
        <w:rPr>
          <w:b/>
          <w:sz w:val="21"/>
          <w:szCs w:val="21"/>
        </w:rPr>
      </w:pPr>
      <w:r>
        <w:rPr>
          <w:rFonts w:hint="eastAsia"/>
          <w:b/>
          <w:sz w:val="21"/>
          <w:szCs w:val="21"/>
        </w:rPr>
        <w:t>CDM电子进程单集成系统架构图</w:t>
      </w:r>
    </w:p>
    <w:p>
      <w:pPr>
        <w:spacing w:line="360" w:lineRule="auto"/>
        <w:ind w:firstLine="422" w:firstLineChars="200"/>
        <w:rPr>
          <w:b/>
          <w:bCs/>
          <w:sz w:val="21"/>
          <w:szCs w:val="21"/>
          <w:shd w:val="clear" w:color="050000" w:fill="auto"/>
        </w:rPr>
      </w:pPr>
      <w:bookmarkStart w:id="109" w:name="_Toc485121565"/>
    </w:p>
    <w:p>
      <w:pPr>
        <w:spacing w:line="360" w:lineRule="auto"/>
        <w:ind w:firstLine="422" w:firstLineChars="200"/>
        <w:rPr>
          <w:b/>
          <w:bCs/>
          <w:sz w:val="21"/>
          <w:szCs w:val="21"/>
          <w:shd w:val="clear" w:color="050000" w:fill="auto"/>
        </w:rPr>
      </w:pPr>
    </w:p>
    <w:p>
      <w:pPr>
        <w:spacing w:line="360" w:lineRule="auto"/>
        <w:ind w:firstLine="422" w:firstLineChars="200"/>
        <w:rPr>
          <w:b/>
          <w:bCs/>
          <w:sz w:val="21"/>
          <w:szCs w:val="21"/>
          <w:shd w:val="clear" w:color="050000" w:fill="auto"/>
        </w:rPr>
      </w:pPr>
    </w:p>
    <w:p>
      <w:pPr>
        <w:spacing w:line="360" w:lineRule="auto"/>
        <w:ind w:firstLine="422" w:firstLineChars="200"/>
        <w:rPr>
          <w:b/>
          <w:bCs/>
          <w:sz w:val="21"/>
          <w:szCs w:val="21"/>
          <w:shd w:val="clear" w:color="050000" w:fill="auto"/>
        </w:rPr>
      </w:pPr>
    </w:p>
    <w:bookmarkEnd w:id="109"/>
    <w:p>
      <w:pPr>
        <w:numPr>
          <w:ilvl w:val="0"/>
          <w:numId w:val="6"/>
        </w:numPr>
        <w:spacing w:line="360" w:lineRule="auto"/>
        <w:ind w:firstLine="422" w:firstLineChars="200"/>
        <w:rPr>
          <w:b/>
          <w:bCs/>
          <w:sz w:val="21"/>
          <w:szCs w:val="21"/>
          <w:shd w:val="clear" w:color="050000" w:fill="auto"/>
        </w:rPr>
      </w:pPr>
      <w:r>
        <w:rPr>
          <w:rFonts w:hint="eastAsia"/>
          <w:b/>
          <w:bCs/>
          <w:sz w:val="21"/>
          <w:szCs w:val="21"/>
          <w:shd w:val="clear" w:color="050000" w:fill="auto"/>
        </w:rPr>
        <w:t>设备技术需求</w:t>
      </w:r>
    </w:p>
    <w:tbl>
      <w:tblPr>
        <w:tblStyle w:val="52"/>
        <w:tblW w:w="8784" w:type="dxa"/>
        <w:jc w:val="center"/>
        <w:tblInd w:w="0" w:type="dxa"/>
        <w:tblLayout w:type="fixed"/>
        <w:tblCellMar>
          <w:top w:w="0" w:type="dxa"/>
          <w:left w:w="108" w:type="dxa"/>
          <w:bottom w:w="0" w:type="dxa"/>
          <w:right w:w="108" w:type="dxa"/>
        </w:tblCellMar>
      </w:tblPr>
      <w:tblGrid>
        <w:gridCol w:w="709"/>
        <w:gridCol w:w="1225"/>
        <w:gridCol w:w="660"/>
        <w:gridCol w:w="660"/>
        <w:gridCol w:w="5530"/>
      </w:tblGrid>
      <w:tr>
        <w:tblPrEx>
          <w:tblLayout w:type="fixed"/>
          <w:tblCellMar>
            <w:top w:w="0" w:type="dxa"/>
            <w:left w:w="108" w:type="dxa"/>
            <w:bottom w:w="0" w:type="dxa"/>
            <w:right w:w="108" w:type="dxa"/>
          </w:tblCellMar>
        </w:tblPrEx>
        <w:trPr>
          <w:trHeight w:val="300"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C0C0C0"/>
            <w:vAlign w:val="center"/>
          </w:tcPr>
          <w:p>
            <w:pPr>
              <w:widowControl/>
              <w:jc w:val="center"/>
              <w:rPr>
                <w:rFonts w:ascii="宋体" w:hAnsi="宋体" w:cs="宋体"/>
                <w:b/>
                <w:bCs/>
                <w:kern w:val="0"/>
                <w:sz w:val="21"/>
                <w:szCs w:val="21"/>
              </w:rPr>
            </w:pPr>
            <w:r>
              <w:rPr>
                <w:rFonts w:hint="eastAsia" w:ascii="宋体" w:hAnsi="宋体" w:cs="宋体"/>
                <w:b/>
                <w:bCs/>
                <w:kern w:val="0"/>
                <w:sz w:val="21"/>
                <w:szCs w:val="21"/>
              </w:rPr>
              <w:t>序号</w:t>
            </w:r>
          </w:p>
        </w:tc>
        <w:tc>
          <w:tcPr>
            <w:tcW w:w="1225" w:type="dxa"/>
            <w:tcBorders>
              <w:top w:val="single" w:color="auto" w:sz="4" w:space="0"/>
              <w:left w:val="nil"/>
              <w:bottom w:val="single" w:color="auto" w:sz="4" w:space="0"/>
              <w:right w:val="single" w:color="auto" w:sz="4" w:space="0"/>
            </w:tcBorders>
            <w:shd w:val="clear" w:color="000000" w:fill="C0C0C0"/>
            <w:vAlign w:val="center"/>
          </w:tcPr>
          <w:p>
            <w:pPr>
              <w:widowControl/>
              <w:jc w:val="center"/>
              <w:rPr>
                <w:rFonts w:ascii="宋体" w:hAnsi="宋体" w:cs="宋体"/>
                <w:b/>
                <w:bCs/>
                <w:kern w:val="0"/>
                <w:sz w:val="21"/>
                <w:szCs w:val="21"/>
              </w:rPr>
            </w:pPr>
            <w:r>
              <w:rPr>
                <w:rFonts w:hint="eastAsia" w:ascii="宋体" w:hAnsi="宋体" w:cs="宋体"/>
                <w:b/>
                <w:bCs/>
                <w:kern w:val="0"/>
                <w:sz w:val="21"/>
                <w:szCs w:val="21"/>
              </w:rPr>
              <w:t>项目名称</w:t>
            </w:r>
          </w:p>
        </w:tc>
        <w:tc>
          <w:tcPr>
            <w:tcW w:w="660" w:type="dxa"/>
            <w:tcBorders>
              <w:top w:val="single" w:color="auto" w:sz="4" w:space="0"/>
              <w:left w:val="nil"/>
              <w:bottom w:val="single" w:color="auto" w:sz="4" w:space="0"/>
              <w:right w:val="single" w:color="auto" w:sz="4" w:space="0"/>
            </w:tcBorders>
            <w:shd w:val="clear" w:color="000000" w:fill="C0C0C0"/>
            <w:vAlign w:val="center"/>
          </w:tcPr>
          <w:p>
            <w:pPr>
              <w:widowControl/>
              <w:jc w:val="center"/>
              <w:rPr>
                <w:rFonts w:ascii="宋体" w:hAnsi="宋体" w:cs="宋体"/>
                <w:b/>
                <w:bCs/>
                <w:kern w:val="0"/>
                <w:sz w:val="21"/>
                <w:szCs w:val="21"/>
              </w:rPr>
            </w:pPr>
            <w:r>
              <w:rPr>
                <w:rFonts w:hint="eastAsia" w:ascii="宋体" w:hAnsi="宋体" w:cs="宋体"/>
                <w:b/>
                <w:bCs/>
                <w:kern w:val="0"/>
                <w:sz w:val="21"/>
                <w:szCs w:val="21"/>
              </w:rPr>
              <w:t>数量</w:t>
            </w:r>
          </w:p>
        </w:tc>
        <w:tc>
          <w:tcPr>
            <w:tcW w:w="660" w:type="dxa"/>
            <w:tcBorders>
              <w:top w:val="single" w:color="auto" w:sz="4" w:space="0"/>
              <w:left w:val="nil"/>
              <w:bottom w:val="single" w:color="auto" w:sz="4" w:space="0"/>
              <w:right w:val="single" w:color="auto" w:sz="4" w:space="0"/>
            </w:tcBorders>
            <w:shd w:val="clear" w:color="000000" w:fill="C0C0C0"/>
            <w:vAlign w:val="center"/>
          </w:tcPr>
          <w:p>
            <w:pPr>
              <w:widowControl/>
              <w:jc w:val="center"/>
              <w:rPr>
                <w:rFonts w:ascii="宋体" w:hAnsi="宋体" w:cs="宋体"/>
                <w:b/>
                <w:bCs/>
                <w:kern w:val="0"/>
                <w:sz w:val="21"/>
                <w:szCs w:val="21"/>
              </w:rPr>
            </w:pPr>
            <w:r>
              <w:rPr>
                <w:rFonts w:hint="eastAsia" w:ascii="宋体" w:hAnsi="宋体" w:cs="宋体"/>
                <w:b/>
                <w:bCs/>
                <w:kern w:val="0"/>
                <w:sz w:val="21"/>
                <w:szCs w:val="21"/>
              </w:rPr>
              <w:t>单位</w:t>
            </w:r>
          </w:p>
        </w:tc>
        <w:tc>
          <w:tcPr>
            <w:tcW w:w="5530" w:type="dxa"/>
            <w:tcBorders>
              <w:top w:val="single" w:color="auto" w:sz="4" w:space="0"/>
              <w:left w:val="nil"/>
              <w:bottom w:val="single" w:color="auto" w:sz="4" w:space="0"/>
              <w:right w:val="single" w:color="auto" w:sz="4" w:space="0"/>
            </w:tcBorders>
            <w:shd w:val="clear" w:color="000000" w:fill="C0C0C0"/>
            <w:vAlign w:val="center"/>
          </w:tcPr>
          <w:p>
            <w:pPr>
              <w:widowControl/>
              <w:jc w:val="center"/>
              <w:rPr>
                <w:rFonts w:ascii="宋体" w:hAnsi="宋体" w:cs="宋体"/>
                <w:b/>
                <w:bCs/>
                <w:kern w:val="0"/>
                <w:sz w:val="21"/>
                <w:szCs w:val="21"/>
              </w:rPr>
            </w:pPr>
            <w:r>
              <w:rPr>
                <w:rFonts w:hint="eastAsia" w:ascii="宋体" w:hAnsi="宋体" w:cs="宋体"/>
                <w:b/>
                <w:bCs/>
                <w:kern w:val="0"/>
                <w:sz w:val="21"/>
                <w:szCs w:val="21"/>
              </w:rPr>
              <w:t>备注</w:t>
            </w:r>
          </w:p>
        </w:tc>
      </w:tr>
      <w:tr>
        <w:tblPrEx>
          <w:tblLayout w:type="fixed"/>
          <w:tblCellMar>
            <w:top w:w="0" w:type="dxa"/>
            <w:left w:w="108" w:type="dxa"/>
            <w:bottom w:w="0" w:type="dxa"/>
            <w:right w:w="108" w:type="dxa"/>
          </w:tblCellMar>
        </w:tblPrEx>
        <w:trPr>
          <w:trHeight w:val="900"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1</w:t>
            </w:r>
          </w:p>
        </w:tc>
        <w:tc>
          <w:tcPr>
            <w:tcW w:w="12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虚拟化应用服务器</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3</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台</w:t>
            </w:r>
          </w:p>
        </w:tc>
        <w:tc>
          <w:tcPr>
            <w:tcW w:w="55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4U机架式服务器；安装VMWARE EXSI虚拟化平台，部署塔台电子进程单后台服务器、CDM接口服务器、数据库服务器、空管塔台接口服务器、航迹信号接口处理服务器，企业总线管理服务器。</w:t>
            </w:r>
          </w:p>
        </w:tc>
      </w:tr>
      <w:tr>
        <w:tblPrEx>
          <w:tblLayout w:type="fixed"/>
          <w:tblCellMar>
            <w:top w:w="0" w:type="dxa"/>
            <w:left w:w="108" w:type="dxa"/>
            <w:bottom w:w="0" w:type="dxa"/>
            <w:right w:w="108" w:type="dxa"/>
          </w:tblCellMar>
        </w:tblPrEx>
        <w:trPr>
          <w:trHeight w:val="900"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2</w:t>
            </w:r>
          </w:p>
        </w:tc>
        <w:tc>
          <w:tcPr>
            <w:tcW w:w="12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存储</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1</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台</w:t>
            </w:r>
          </w:p>
        </w:tc>
        <w:tc>
          <w:tcPr>
            <w:tcW w:w="55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企业级存储；双主控；互联3台虚拟化应用服务器；支撑虚拟化服务器应用存储空间，支撑机坪塔台流转数据存储3年；冗余电源；支持存储分层；支持RAID 5 6;</w:t>
            </w:r>
          </w:p>
        </w:tc>
      </w:tr>
      <w:tr>
        <w:tblPrEx>
          <w:tblLayout w:type="fixed"/>
          <w:tblCellMar>
            <w:top w:w="0" w:type="dxa"/>
            <w:left w:w="108" w:type="dxa"/>
            <w:bottom w:w="0" w:type="dxa"/>
            <w:right w:w="108" w:type="dxa"/>
          </w:tblCellMar>
        </w:tblPrEx>
        <w:trPr>
          <w:trHeight w:val="900"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3</w:t>
            </w:r>
          </w:p>
        </w:tc>
        <w:tc>
          <w:tcPr>
            <w:tcW w:w="12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安全设备</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2</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台</w:t>
            </w:r>
          </w:p>
        </w:tc>
        <w:tc>
          <w:tcPr>
            <w:tcW w:w="55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企业级防火墙；完成与空管塔台和CDM间数据安全互联；支持AAA服务，防火墙，病毒防护，入侵防御，URL过滤，安全日志及统计，NAT</w:t>
            </w:r>
          </w:p>
        </w:tc>
      </w:tr>
      <w:tr>
        <w:tblPrEx>
          <w:tblLayout w:type="fixed"/>
          <w:tblCellMar>
            <w:top w:w="0" w:type="dxa"/>
            <w:left w:w="108" w:type="dxa"/>
            <w:bottom w:w="0" w:type="dxa"/>
            <w:right w:w="108" w:type="dxa"/>
          </w:tblCellMar>
        </w:tblPrEx>
        <w:trPr>
          <w:trHeight w:val="600"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4</w:t>
            </w:r>
          </w:p>
        </w:tc>
        <w:tc>
          <w:tcPr>
            <w:tcW w:w="12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交换机</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5</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台</w:t>
            </w:r>
          </w:p>
        </w:tc>
        <w:tc>
          <w:tcPr>
            <w:tcW w:w="55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企业级交换机；24个全千兆接口；2个万兆级联接口；支持堆叠；4主+1备</w:t>
            </w:r>
          </w:p>
        </w:tc>
      </w:tr>
      <w:tr>
        <w:tblPrEx>
          <w:tblLayout w:type="fixed"/>
          <w:tblCellMar>
            <w:top w:w="0" w:type="dxa"/>
            <w:left w:w="108" w:type="dxa"/>
            <w:bottom w:w="0" w:type="dxa"/>
            <w:right w:w="108" w:type="dxa"/>
          </w:tblCellMar>
        </w:tblPrEx>
        <w:trPr>
          <w:trHeight w:val="300"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5</w:t>
            </w:r>
          </w:p>
        </w:tc>
        <w:tc>
          <w:tcPr>
            <w:tcW w:w="12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进程单打印机</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3</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台</w:t>
            </w:r>
          </w:p>
        </w:tc>
        <w:tc>
          <w:tcPr>
            <w:tcW w:w="55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应急打印机，法国IER 400或兼容型号</w:t>
            </w:r>
          </w:p>
        </w:tc>
      </w:tr>
      <w:tr>
        <w:tblPrEx>
          <w:tblLayout w:type="fixed"/>
          <w:tblCellMar>
            <w:top w:w="0" w:type="dxa"/>
            <w:left w:w="108" w:type="dxa"/>
            <w:bottom w:w="0" w:type="dxa"/>
            <w:right w:w="108" w:type="dxa"/>
          </w:tblCellMar>
        </w:tblPrEx>
        <w:trPr>
          <w:trHeight w:val="300"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6</w:t>
            </w:r>
          </w:p>
        </w:tc>
        <w:tc>
          <w:tcPr>
            <w:tcW w:w="12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配件</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1</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套</w:t>
            </w:r>
          </w:p>
        </w:tc>
        <w:tc>
          <w:tcPr>
            <w:tcW w:w="55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含光电转换设备4台、线缆等(机房，以及现场安装所需配件）</w:t>
            </w:r>
          </w:p>
        </w:tc>
      </w:tr>
      <w:tr>
        <w:tblPrEx>
          <w:tblLayout w:type="fixed"/>
          <w:tblCellMar>
            <w:top w:w="0" w:type="dxa"/>
            <w:left w:w="108" w:type="dxa"/>
            <w:bottom w:w="0" w:type="dxa"/>
            <w:right w:w="108" w:type="dxa"/>
          </w:tblCellMar>
        </w:tblPrEx>
        <w:trPr>
          <w:trHeight w:val="300"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7</w:t>
            </w:r>
          </w:p>
        </w:tc>
        <w:tc>
          <w:tcPr>
            <w:tcW w:w="12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机柜</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1</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55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Layout w:type="fixed"/>
          <w:tblCellMar>
            <w:top w:w="0" w:type="dxa"/>
            <w:left w:w="108" w:type="dxa"/>
            <w:bottom w:w="0" w:type="dxa"/>
            <w:right w:w="108" w:type="dxa"/>
          </w:tblCellMar>
        </w:tblPrEx>
        <w:trPr>
          <w:trHeight w:val="1935"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8</w:t>
            </w:r>
          </w:p>
        </w:tc>
        <w:tc>
          <w:tcPr>
            <w:tcW w:w="12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标准席位（数量用户自定义）</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3</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个</w:t>
            </w:r>
          </w:p>
        </w:tc>
        <w:tc>
          <w:tcPr>
            <w:tcW w:w="55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HP 图形工作站SFF尺寸/New Core i5(3.1G/6M/4核)/32G(4*8G DDR4)/250G(SSD)/超薄DVD/NO FDD/WIN7 pro 64 bit/USBKB/USB Optical Mouse/240W电源/3-3-3保修/机箱智能电磁锁/Tower Stand;Intel Pro 1000 CT2 GbE NIC Card,WACOM DTH-2400 显示器，DELL 24寸4K显示器。灵活席位配置。根据现场实际情况配置KVM。</w:t>
            </w:r>
          </w:p>
        </w:tc>
      </w:tr>
    </w:tbl>
    <w:p>
      <w:pPr>
        <w:numPr>
          <w:ilvl w:val="255"/>
          <w:numId w:val="0"/>
        </w:numPr>
        <w:spacing w:line="360" w:lineRule="auto"/>
        <w:rPr>
          <w:b/>
          <w:bCs/>
          <w:sz w:val="21"/>
          <w:szCs w:val="21"/>
          <w:shd w:val="clear" w:color="050000" w:fill="auto"/>
        </w:rPr>
      </w:pPr>
    </w:p>
    <w:p>
      <w:pPr>
        <w:spacing w:line="360" w:lineRule="auto"/>
        <w:ind w:firstLine="422" w:firstLineChars="200"/>
        <w:rPr>
          <w:b/>
          <w:bCs/>
          <w:sz w:val="21"/>
          <w:szCs w:val="21"/>
          <w:shd w:val="clear" w:color="050000" w:fill="auto"/>
        </w:rPr>
      </w:pPr>
      <w:bookmarkStart w:id="110" w:name="_Toc485121566"/>
      <w:r>
        <w:rPr>
          <w:rFonts w:hint="eastAsia"/>
          <w:b/>
          <w:bCs/>
          <w:sz w:val="21"/>
          <w:szCs w:val="21"/>
          <w:shd w:val="clear" w:color="050000" w:fill="auto"/>
        </w:rPr>
        <w:t>6、系统主要接口</w:t>
      </w:r>
      <w:bookmarkEnd w:id="110"/>
    </w:p>
    <w:p>
      <w:pPr>
        <w:spacing w:line="360" w:lineRule="auto"/>
        <w:ind w:firstLine="422" w:firstLineChars="200"/>
        <w:rPr>
          <w:b/>
          <w:bCs/>
          <w:sz w:val="21"/>
          <w:szCs w:val="21"/>
          <w:shd w:val="clear" w:color="050000" w:fill="auto"/>
        </w:rPr>
      </w:pPr>
      <w:r>
        <w:rPr>
          <w:rFonts w:hint="eastAsia"/>
          <w:b/>
          <w:bCs/>
          <w:sz w:val="21"/>
          <w:szCs w:val="21"/>
          <w:shd w:val="clear" w:color="050000" w:fill="auto"/>
        </w:rPr>
        <w:t>6.1、概述</w:t>
      </w:r>
    </w:p>
    <w:p>
      <w:pPr>
        <w:spacing w:line="360" w:lineRule="auto"/>
        <w:ind w:firstLine="420" w:firstLineChars="200"/>
        <w:rPr>
          <w:sz w:val="21"/>
          <w:szCs w:val="21"/>
          <w:shd w:val="clear" w:color="050000" w:fill="auto"/>
        </w:rPr>
      </w:pPr>
      <w:r>
        <w:rPr>
          <w:rFonts w:hint="eastAsia"/>
          <w:sz w:val="21"/>
          <w:szCs w:val="21"/>
          <w:shd w:val="clear" w:color="050000" w:fill="auto"/>
        </w:rPr>
        <w:t>系统外部数据源均有招标人协调提供;系统应具备以下信号处理能力;</w:t>
      </w:r>
    </w:p>
    <w:p>
      <w:pPr>
        <w:spacing w:line="360" w:lineRule="auto"/>
        <w:ind w:firstLine="420" w:firstLineChars="200"/>
        <w:rPr>
          <w:sz w:val="21"/>
          <w:szCs w:val="21"/>
          <w:shd w:val="clear" w:color="050000" w:fill="auto"/>
        </w:rPr>
      </w:pPr>
      <w:r>
        <w:rPr>
          <w:rFonts w:hint="eastAsia"/>
          <w:sz w:val="21"/>
          <w:szCs w:val="21"/>
          <w:shd w:val="clear" w:color="050000" w:fill="auto"/>
        </w:rPr>
        <w:t>系统可接入各种传输方式和协议的信息,包括HDLC/BSC数据、异步数据、X.25数据、TCP/IP数据。</w:t>
      </w:r>
    </w:p>
    <w:p>
      <w:pPr>
        <w:spacing w:line="360" w:lineRule="auto"/>
        <w:ind w:firstLine="422" w:firstLineChars="200"/>
        <w:rPr>
          <w:b/>
          <w:bCs/>
          <w:sz w:val="21"/>
          <w:szCs w:val="21"/>
          <w:shd w:val="clear" w:color="050000" w:fill="auto"/>
        </w:rPr>
      </w:pPr>
      <w:r>
        <w:rPr>
          <w:rFonts w:hint="eastAsia"/>
          <w:b/>
          <w:bCs/>
          <w:sz w:val="21"/>
          <w:szCs w:val="21"/>
          <w:shd w:val="clear" w:color="050000" w:fill="auto"/>
        </w:rPr>
        <w:t>6.2、飞行计划数据</w:t>
      </w:r>
    </w:p>
    <w:p>
      <w:pPr>
        <w:spacing w:line="360" w:lineRule="auto"/>
        <w:ind w:firstLine="420" w:firstLineChars="200"/>
        <w:rPr>
          <w:sz w:val="21"/>
          <w:szCs w:val="21"/>
          <w:shd w:val="clear" w:color="050000" w:fill="auto"/>
        </w:rPr>
      </w:pPr>
      <w:r>
        <w:rPr>
          <w:rFonts w:hint="eastAsia"/>
          <w:sz w:val="21"/>
          <w:szCs w:val="21"/>
          <w:shd w:val="clear" w:color="050000" w:fill="auto"/>
        </w:rPr>
        <w:t>系统与AFTN转报机串口连接，利用数据分配设备分路后，送至异步端口转换器转换成TCP协议后进入系统局域网，由数据接口服务器上通信接口程序接收处理。反之，则可输出数据。</w:t>
      </w:r>
    </w:p>
    <w:p>
      <w:pPr>
        <w:spacing w:line="360" w:lineRule="auto"/>
        <w:ind w:firstLine="420" w:firstLineChars="200"/>
        <w:rPr>
          <w:sz w:val="21"/>
          <w:szCs w:val="21"/>
          <w:shd w:val="clear" w:color="050000" w:fill="auto"/>
        </w:rPr>
      </w:pPr>
      <w:r>
        <w:rPr>
          <w:rFonts w:hint="eastAsia"/>
          <w:sz w:val="21"/>
          <w:szCs w:val="21"/>
          <w:shd w:val="clear" w:color="050000" w:fill="auto"/>
        </w:rPr>
        <w:t>传输协议：异步</w:t>
      </w:r>
    </w:p>
    <w:p>
      <w:pPr>
        <w:spacing w:line="360" w:lineRule="auto"/>
        <w:ind w:firstLine="420" w:firstLineChars="200"/>
        <w:rPr>
          <w:sz w:val="21"/>
          <w:szCs w:val="21"/>
          <w:shd w:val="clear" w:color="050000" w:fill="auto"/>
        </w:rPr>
      </w:pPr>
      <w:r>
        <w:rPr>
          <w:rFonts w:hint="eastAsia"/>
          <w:sz w:val="21"/>
          <w:szCs w:val="21"/>
          <w:shd w:val="clear" w:color="050000" w:fill="auto"/>
        </w:rPr>
        <w:t>物理接口：RS-232</w:t>
      </w:r>
    </w:p>
    <w:p>
      <w:pPr>
        <w:spacing w:line="360" w:lineRule="auto"/>
        <w:ind w:firstLine="420" w:firstLineChars="200"/>
        <w:rPr>
          <w:sz w:val="21"/>
          <w:szCs w:val="21"/>
          <w:shd w:val="clear" w:color="050000" w:fill="auto"/>
        </w:rPr>
      </w:pPr>
      <w:r>
        <w:rPr>
          <w:rFonts w:hint="eastAsia"/>
          <w:sz w:val="21"/>
          <w:szCs w:val="21"/>
          <w:shd w:val="clear" w:color="050000" w:fill="auto"/>
        </w:rPr>
        <w:t>接口数量：1路</w:t>
      </w:r>
    </w:p>
    <w:p>
      <w:pPr>
        <w:spacing w:line="360" w:lineRule="auto"/>
        <w:ind w:firstLine="422" w:firstLineChars="200"/>
        <w:rPr>
          <w:b/>
          <w:bCs/>
          <w:sz w:val="21"/>
          <w:szCs w:val="21"/>
          <w:shd w:val="clear" w:color="050000" w:fill="auto"/>
        </w:rPr>
      </w:pPr>
      <w:r>
        <w:rPr>
          <w:rFonts w:hint="eastAsia"/>
          <w:b/>
          <w:bCs/>
          <w:sz w:val="21"/>
          <w:szCs w:val="21"/>
          <w:shd w:val="clear" w:color="050000" w:fill="auto"/>
        </w:rPr>
        <w:t>6.3、流量管理系统数据</w:t>
      </w:r>
    </w:p>
    <w:p>
      <w:pPr>
        <w:spacing w:line="360" w:lineRule="auto"/>
        <w:ind w:firstLine="420" w:firstLineChars="200"/>
        <w:rPr>
          <w:sz w:val="21"/>
          <w:szCs w:val="21"/>
          <w:shd w:val="clear" w:color="050000" w:fill="auto"/>
        </w:rPr>
      </w:pPr>
      <w:r>
        <w:rPr>
          <w:rFonts w:hint="eastAsia"/>
          <w:sz w:val="21"/>
          <w:szCs w:val="21"/>
          <w:shd w:val="clear" w:color="050000" w:fill="auto"/>
        </w:rPr>
        <w:t>系统能接入和处理空管CDM系统信息。</w:t>
      </w:r>
    </w:p>
    <w:p>
      <w:pPr>
        <w:spacing w:line="360" w:lineRule="auto"/>
        <w:ind w:firstLine="420" w:firstLineChars="200"/>
        <w:rPr>
          <w:sz w:val="21"/>
          <w:szCs w:val="21"/>
          <w:shd w:val="clear" w:color="050000" w:fill="auto"/>
        </w:rPr>
      </w:pPr>
      <w:r>
        <w:rPr>
          <w:rFonts w:hint="eastAsia"/>
          <w:sz w:val="21"/>
          <w:szCs w:val="21"/>
          <w:shd w:val="clear" w:color="050000" w:fill="auto"/>
        </w:rPr>
        <w:t>传输协议方式：TCP/IP；</w:t>
      </w:r>
    </w:p>
    <w:p>
      <w:pPr>
        <w:spacing w:line="360" w:lineRule="auto"/>
        <w:ind w:firstLine="420" w:firstLineChars="200"/>
        <w:rPr>
          <w:sz w:val="21"/>
          <w:szCs w:val="21"/>
          <w:shd w:val="clear" w:color="050000" w:fill="auto"/>
        </w:rPr>
      </w:pPr>
      <w:r>
        <w:rPr>
          <w:rFonts w:hint="eastAsia"/>
          <w:sz w:val="21"/>
          <w:szCs w:val="21"/>
          <w:shd w:val="clear" w:color="050000" w:fill="auto"/>
        </w:rPr>
        <w:t>物理接口：RJ45</w:t>
      </w:r>
    </w:p>
    <w:p>
      <w:pPr>
        <w:spacing w:line="360" w:lineRule="auto"/>
        <w:ind w:firstLine="420" w:firstLineChars="200"/>
        <w:rPr>
          <w:sz w:val="21"/>
          <w:szCs w:val="21"/>
          <w:shd w:val="clear" w:color="050000" w:fill="auto"/>
        </w:rPr>
      </w:pPr>
      <w:r>
        <w:rPr>
          <w:rFonts w:hint="eastAsia"/>
          <w:sz w:val="21"/>
          <w:szCs w:val="21"/>
          <w:shd w:val="clear" w:color="050000" w:fill="auto"/>
        </w:rPr>
        <w:t>接口数量：1</w:t>
      </w:r>
    </w:p>
    <w:p>
      <w:pPr>
        <w:spacing w:line="360" w:lineRule="auto"/>
        <w:ind w:firstLine="422" w:firstLineChars="200"/>
        <w:rPr>
          <w:b/>
          <w:bCs/>
          <w:sz w:val="21"/>
          <w:szCs w:val="21"/>
          <w:shd w:val="clear" w:color="050000" w:fill="auto"/>
        </w:rPr>
      </w:pPr>
      <w:r>
        <w:rPr>
          <w:rFonts w:hint="eastAsia"/>
          <w:b/>
          <w:bCs/>
          <w:sz w:val="21"/>
          <w:szCs w:val="21"/>
          <w:shd w:val="clear" w:color="050000" w:fill="auto"/>
        </w:rPr>
        <w:t>6.4、雷达数据</w:t>
      </w:r>
    </w:p>
    <w:p>
      <w:pPr>
        <w:spacing w:line="360" w:lineRule="auto"/>
        <w:ind w:firstLine="420" w:firstLineChars="200"/>
        <w:rPr>
          <w:sz w:val="21"/>
          <w:szCs w:val="21"/>
          <w:shd w:val="clear" w:color="050000" w:fill="auto"/>
        </w:rPr>
      </w:pPr>
      <w:r>
        <w:rPr>
          <w:rFonts w:hint="eastAsia"/>
          <w:sz w:val="21"/>
          <w:szCs w:val="21"/>
          <w:shd w:val="clear" w:color="050000" w:fill="auto"/>
        </w:rPr>
        <w:t>系统能接入和处理所有符合Asterix格式、ICAO标准格式和中国民航MH/T 4008-2006规范标准的雷达信息。</w:t>
      </w:r>
    </w:p>
    <w:p>
      <w:pPr>
        <w:spacing w:line="360" w:lineRule="auto"/>
        <w:ind w:firstLine="420" w:firstLineChars="200"/>
        <w:rPr>
          <w:sz w:val="21"/>
          <w:szCs w:val="21"/>
          <w:shd w:val="clear" w:color="050000" w:fill="auto"/>
        </w:rPr>
      </w:pPr>
      <w:r>
        <w:rPr>
          <w:rFonts w:hint="eastAsia"/>
          <w:sz w:val="21"/>
          <w:szCs w:val="21"/>
          <w:shd w:val="clear" w:color="050000" w:fill="auto"/>
        </w:rPr>
        <w:t>传输协议方式：HDLC、BSC；</w:t>
      </w:r>
    </w:p>
    <w:p>
      <w:pPr>
        <w:spacing w:line="360" w:lineRule="auto"/>
        <w:ind w:firstLine="420" w:firstLineChars="200"/>
        <w:rPr>
          <w:sz w:val="21"/>
          <w:szCs w:val="21"/>
          <w:shd w:val="clear" w:color="050000" w:fill="auto"/>
        </w:rPr>
      </w:pPr>
      <w:r>
        <w:rPr>
          <w:rFonts w:hint="eastAsia"/>
          <w:sz w:val="21"/>
          <w:szCs w:val="21"/>
          <w:shd w:val="clear" w:color="050000" w:fill="auto"/>
        </w:rPr>
        <w:t>物理接口：RS232、RS422</w:t>
      </w:r>
    </w:p>
    <w:p>
      <w:pPr>
        <w:spacing w:line="360" w:lineRule="auto"/>
        <w:ind w:firstLine="420" w:firstLineChars="200"/>
        <w:rPr>
          <w:sz w:val="21"/>
          <w:szCs w:val="21"/>
          <w:shd w:val="clear" w:color="050000" w:fill="auto"/>
        </w:rPr>
      </w:pPr>
      <w:r>
        <w:rPr>
          <w:rFonts w:hint="eastAsia"/>
          <w:sz w:val="21"/>
          <w:szCs w:val="21"/>
          <w:shd w:val="clear" w:color="050000" w:fill="auto"/>
        </w:rPr>
        <w:t>接口数量：1</w:t>
      </w:r>
    </w:p>
    <w:p>
      <w:pPr>
        <w:spacing w:line="360" w:lineRule="auto"/>
        <w:ind w:firstLine="420" w:firstLineChars="200"/>
        <w:rPr>
          <w:sz w:val="21"/>
          <w:szCs w:val="21"/>
          <w:shd w:val="clear" w:color="050000" w:fill="auto"/>
        </w:rPr>
      </w:pPr>
      <w:r>
        <w:rPr>
          <w:rFonts w:hint="eastAsia"/>
          <w:sz w:val="21"/>
          <w:szCs w:val="21"/>
          <w:shd w:val="clear" w:color="050000" w:fill="auto"/>
        </w:rPr>
        <w:t>接口数量：1</w:t>
      </w:r>
    </w:p>
    <w:p>
      <w:pPr>
        <w:spacing w:line="360" w:lineRule="auto"/>
        <w:ind w:firstLine="422" w:firstLineChars="200"/>
        <w:rPr>
          <w:b/>
          <w:bCs/>
          <w:sz w:val="21"/>
          <w:szCs w:val="21"/>
          <w:shd w:val="clear" w:color="050000" w:fill="auto"/>
        </w:rPr>
      </w:pPr>
      <w:r>
        <w:rPr>
          <w:rFonts w:hint="eastAsia"/>
          <w:b/>
          <w:bCs/>
          <w:sz w:val="21"/>
          <w:szCs w:val="21"/>
          <w:shd w:val="clear" w:color="050000" w:fill="auto"/>
        </w:rPr>
        <w:t>6.5、ADSB接口</w:t>
      </w:r>
    </w:p>
    <w:p>
      <w:pPr>
        <w:spacing w:line="360" w:lineRule="auto"/>
        <w:ind w:firstLine="420" w:firstLineChars="200"/>
        <w:rPr>
          <w:sz w:val="21"/>
          <w:szCs w:val="21"/>
          <w:shd w:val="clear" w:color="050000" w:fill="auto"/>
        </w:rPr>
      </w:pPr>
      <w:r>
        <w:rPr>
          <w:rFonts w:hint="eastAsia"/>
          <w:sz w:val="21"/>
          <w:szCs w:val="21"/>
          <w:shd w:val="clear" w:color="050000" w:fill="auto"/>
        </w:rPr>
        <w:t>系统可通过以太网接口与ADS-B信息地面系统相连，接受ADS-B信息。对于两种格式ASTERIX 010和ASTERIX021，系统均能适应。</w:t>
      </w:r>
    </w:p>
    <w:p>
      <w:pPr>
        <w:spacing w:line="360" w:lineRule="auto"/>
        <w:ind w:firstLine="420" w:firstLineChars="200"/>
        <w:rPr>
          <w:sz w:val="21"/>
          <w:szCs w:val="21"/>
          <w:shd w:val="clear" w:color="050000" w:fill="auto"/>
        </w:rPr>
      </w:pPr>
      <w:r>
        <w:rPr>
          <w:rFonts w:hint="eastAsia"/>
          <w:sz w:val="21"/>
          <w:szCs w:val="21"/>
          <w:shd w:val="clear" w:color="050000" w:fill="auto"/>
        </w:rPr>
        <w:t>传输协议：TCP/IP</w:t>
      </w:r>
    </w:p>
    <w:p>
      <w:pPr>
        <w:spacing w:line="360" w:lineRule="auto"/>
        <w:ind w:firstLine="420" w:firstLineChars="200"/>
        <w:rPr>
          <w:sz w:val="21"/>
          <w:szCs w:val="21"/>
          <w:shd w:val="clear" w:color="050000" w:fill="auto"/>
        </w:rPr>
      </w:pPr>
      <w:r>
        <w:rPr>
          <w:rFonts w:hint="eastAsia"/>
          <w:sz w:val="21"/>
          <w:szCs w:val="21"/>
          <w:shd w:val="clear" w:color="050000" w:fill="auto"/>
        </w:rPr>
        <w:t>物理接口：RJ45</w:t>
      </w:r>
    </w:p>
    <w:p>
      <w:pPr>
        <w:spacing w:line="360" w:lineRule="auto"/>
        <w:ind w:firstLine="420" w:firstLineChars="200"/>
        <w:rPr>
          <w:sz w:val="21"/>
          <w:szCs w:val="21"/>
          <w:shd w:val="clear" w:color="050000" w:fill="auto"/>
        </w:rPr>
      </w:pPr>
      <w:r>
        <w:rPr>
          <w:rFonts w:hint="eastAsia"/>
          <w:sz w:val="21"/>
          <w:szCs w:val="21"/>
          <w:shd w:val="clear" w:color="050000" w:fill="auto"/>
        </w:rPr>
        <w:t>接口数量：1</w:t>
      </w:r>
    </w:p>
    <w:p>
      <w:pPr>
        <w:spacing w:line="360" w:lineRule="auto"/>
        <w:ind w:firstLine="422" w:firstLineChars="200"/>
        <w:rPr>
          <w:sz w:val="21"/>
          <w:szCs w:val="21"/>
          <w:shd w:val="clear" w:color="050000" w:fill="auto"/>
        </w:rPr>
      </w:pPr>
      <w:r>
        <w:rPr>
          <w:rFonts w:hint="eastAsia"/>
          <w:b/>
          <w:bCs/>
          <w:sz w:val="21"/>
          <w:szCs w:val="21"/>
          <w:shd w:val="clear" w:color="050000" w:fill="auto"/>
        </w:rPr>
        <w:t>6.6、接入杭州萧山国际机场生产系统</w:t>
      </w:r>
    </w:p>
    <w:p>
      <w:pPr>
        <w:spacing w:line="360" w:lineRule="auto"/>
        <w:ind w:firstLine="420" w:firstLineChars="200"/>
        <w:rPr>
          <w:sz w:val="21"/>
          <w:szCs w:val="21"/>
          <w:shd w:val="clear" w:color="050000" w:fill="auto"/>
        </w:rPr>
      </w:pPr>
      <w:r>
        <w:rPr>
          <w:rFonts w:hint="eastAsia"/>
          <w:sz w:val="21"/>
          <w:szCs w:val="21"/>
          <w:shd w:val="clear" w:color="050000" w:fill="auto"/>
        </w:rPr>
        <w:t>与杭州萧山国际机场生产系统实现数据互联，按照机场方要求提供满足格式需求的数据。</w:t>
      </w:r>
    </w:p>
    <w:p>
      <w:pPr>
        <w:spacing w:line="360" w:lineRule="auto"/>
        <w:ind w:firstLine="422" w:firstLineChars="200"/>
        <w:rPr>
          <w:b/>
          <w:bCs/>
          <w:sz w:val="21"/>
          <w:szCs w:val="21"/>
          <w:shd w:val="clear" w:color="050000" w:fill="auto"/>
        </w:rPr>
      </w:pPr>
      <w:r>
        <w:rPr>
          <w:rFonts w:hint="eastAsia"/>
          <w:b/>
          <w:bCs/>
          <w:sz w:val="21"/>
          <w:szCs w:val="21"/>
          <w:shd w:val="clear" w:color="050000" w:fill="auto"/>
        </w:rPr>
        <w:t>7、培训</w:t>
      </w:r>
    </w:p>
    <w:p>
      <w:pPr>
        <w:spacing w:line="360" w:lineRule="auto"/>
        <w:ind w:firstLine="420" w:firstLineChars="200"/>
        <w:rPr>
          <w:sz w:val="21"/>
          <w:szCs w:val="21"/>
          <w:shd w:val="clear" w:color="050000" w:fill="auto"/>
        </w:rPr>
      </w:pPr>
      <w:r>
        <w:rPr>
          <w:rFonts w:hint="eastAsia"/>
          <w:sz w:val="21"/>
          <w:szCs w:val="21"/>
          <w:shd w:val="clear" w:color="050000" w:fill="auto"/>
        </w:rPr>
        <w:t>投标人提供用户技术人员的现场培训。培训所涉及的一切费用均由投标人承担。投标人承诺所派出的教员必须是在所提供系统上具有3年以上实践经验的工程师。现场培训应在系统安装调试完成后进行，培训计划应在培训前提交招标人，经招标人认可后执行。现场培训不限定参加人数。投标人承担现场培训费用。</w:t>
      </w:r>
    </w:p>
    <w:p>
      <w:pPr>
        <w:spacing w:line="360" w:lineRule="auto"/>
        <w:ind w:firstLine="422" w:firstLineChars="200"/>
        <w:rPr>
          <w:b/>
          <w:bCs/>
          <w:sz w:val="21"/>
          <w:szCs w:val="21"/>
          <w:shd w:val="clear" w:color="050000" w:fill="auto"/>
        </w:rPr>
      </w:pPr>
      <w:r>
        <w:rPr>
          <w:rFonts w:hint="eastAsia"/>
          <w:b/>
          <w:bCs/>
          <w:sz w:val="21"/>
          <w:szCs w:val="21"/>
          <w:shd w:val="clear" w:color="050000" w:fill="auto"/>
        </w:rPr>
        <w:t>7.1针对招标人相关的技术人员，现场培训时间不少于2个工作日，现场培训的内容及至少达到的目标:</w:t>
      </w:r>
    </w:p>
    <w:p>
      <w:pPr>
        <w:spacing w:line="360" w:lineRule="auto"/>
        <w:ind w:firstLine="420" w:firstLineChars="200"/>
        <w:rPr>
          <w:sz w:val="21"/>
          <w:szCs w:val="21"/>
          <w:shd w:val="clear" w:color="050000" w:fill="auto"/>
        </w:rPr>
      </w:pPr>
      <w:r>
        <w:rPr>
          <w:rFonts w:hint="eastAsia"/>
          <w:sz w:val="21"/>
          <w:szCs w:val="21"/>
          <w:shd w:val="clear" w:color="050000" w:fill="auto"/>
        </w:rPr>
        <w:t>1）正确使用相关调试测试工具；</w:t>
      </w:r>
    </w:p>
    <w:p>
      <w:pPr>
        <w:spacing w:line="360" w:lineRule="auto"/>
        <w:ind w:firstLine="420" w:firstLineChars="200"/>
        <w:rPr>
          <w:sz w:val="21"/>
          <w:szCs w:val="21"/>
          <w:shd w:val="clear" w:color="050000" w:fill="auto"/>
        </w:rPr>
      </w:pPr>
      <w:r>
        <w:rPr>
          <w:rFonts w:hint="eastAsia"/>
          <w:sz w:val="21"/>
          <w:szCs w:val="21"/>
          <w:shd w:val="clear" w:color="050000" w:fill="auto"/>
        </w:rPr>
        <w:t>2）正确操作系统；</w:t>
      </w:r>
    </w:p>
    <w:p>
      <w:pPr>
        <w:spacing w:line="360" w:lineRule="auto"/>
        <w:ind w:firstLine="420" w:firstLineChars="200"/>
        <w:rPr>
          <w:sz w:val="21"/>
          <w:szCs w:val="21"/>
          <w:shd w:val="clear" w:color="050000" w:fill="auto"/>
        </w:rPr>
      </w:pPr>
      <w:r>
        <w:rPr>
          <w:rFonts w:hint="eastAsia"/>
          <w:sz w:val="21"/>
          <w:szCs w:val="21"/>
          <w:shd w:val="clear" w:color="050000" w:fill="auto"/>
        </w:rPr>
        <w:t>3）测试系统的性能及主要参数；</w:t>
      </w:r>
    </w:p>
    <w:p>
      <w:pPr>
        <w:spacing w:line="360" w:lineRule="auto"/>
        <w:ind w:firstLine="420" w:firstLineChars="200"/>
        <w:rPr>
          <w:sz w:val="21"/>
          <w:szCs w:val="21"/>
          <w:shd w:val="clear" w:color="050000" w:fill="auto"/>
        </w:rPr>
      </w:pPr>
      <w:r>
        <w:rPr>
          <w:rFonts w:hint="eastAsia"/>
          <w:sz w:val="21"/>
          <w:szCs w:val="21"/>
          <w:shd w:val="clear" w:color="050000" w:fill="auto"/>
        </w:rPr>
        <w:t>4）掌握一般性故障分析、判断和处理；</w:t>
      </w:r>
    </w:p>
    <w:p>
      <w:pPr>
        <w:spacing w:line="360" w:lineRule="auto"/>
        <w:ind w:firstLine="420" w:firstLineChars="200"/>
        <w:rPr>
          <w:sz w:val="21"/>
          <w:szCs w:val="21"/>
          <w:shd w:val="clear" w:color="050000" w:fill="auto"/>
        </w:rPr>
      </w:pPr>
      <w:r>
        <w:rPr>
          <w:rFonts w:hint="eastAsia"/>
          <w:sz w:val="21"/>
          <w:szCs w:val="21"/>
          <w:shd w:val="clear" w:color="050000" w:fill="auto"/>
        </w:rPr>
        <w:t>5）安装系统软件、对主要数据进行配置；</w:t>
      </w:r>
    </w:p>
    <w:p>
      <w:pPr>
        <w:spacing w:line="360" w:lineRule="auto"/>
        <w:ind w:firstLine="420" w:firstLineChars="200"/>
        <w:rPr>
          <w:sz w:val="21"/>
          <w:szCs w:val="21"/>
          <w:shd w:val="clear" w:color="050000" w:fill="auto"/>
        </w:rPr>
      </w:pPr>
      <w:r>
        <w:rPr>
          <w:rFonts w:hint="eastAsia"/>
          <w:sz w:val="21"/>
          <w:szCs w:val="21"/>
          <w:shd w:val="clear" w:color="050000" w:fill="auto"/>
        </w:rPr>
        <w:t>6）安装调试中遇到的疑难问题；</w:t>
      </w:r>
    </w:p>
    <w:p>
      <w:pPr>
        <w:spacing w:line="360" w:lineRule="auto"/>
        <w:ind w:firstLine="420" w:firstLineChars="200"/>
        <w:rPr>
          <w:sz w:val="21"/>
          <w:szCs w:val="21"/>
          <w:shd w:val="clear" w:color="050000" w:fill="auto"/>
        </w:rPr>
      </w:pPr>
      <w:r>
        <w:rPr>
          <w:rFonts w:hint="eastAsia"/>
          <w:sz w:val="21"/>
          <w:szCs w:val="21"/>
          <w:shd w:val="clear" w:color="050000" w:fill="auto"/>
        </w:rPr>
        <w:t>7）技术人员提出的问题。</w:t>
      </w:r>
    </w:p>
    <w:p>
      <w:pPr>
        <w:spacing w:line="360" w:lineRule="auto"/>
        <w:ind w:firstLine="422" w:firstLineChars="200"/>
        <w:rPr>
          <w:b/>
          <w:bCs/>
          <w:sz w:val="21"/>
          <w:szCs w:val="21"/>
          <w:shd w:val="clear" w:color="050000" w:fill="auto"/>
        </w:rPr>
      </w:pPr>
      <w:r>
        <w:rPr>
          <w:rFonts w:hint="eastAsia"/>
          <w:b/>
          <w:bCs/>
          <w:sz w:val="21"/>
          <w:szCs w:val="21"/>
          <w:shd w:val="clear" w:color="050000" w:fill="auto"/>
        </w:rPr>
        <w:t>7.2针对招标人相关的管制用户，现场培训时间不少于1个工作日，现场培训的内容及至少达到的目标:</w:t>
      </w:r>
    </w:p>
    <w:p>
      <w:pPr>
        <w:spacing w:line="360" w:lineRule="auto"/>
        <w:ind w:firstLine="420" w:firstLineChars="200"/>
        <w:rPr>
          <w:sz w:val="21"/>
          <w:szCs w:val="21"/>
          <w:shd w:val="clear" w:color="050000" w:fill="auto"/>
        </w:rPr>
      </w:pPr>
      <w:r>
        <w:rPr>
          <w:rFonts w:hint="eastAsia"/>
          <w:sz w:val="21"/>
          <w:szCs w:val="21"/>
          <w:shd w:val="clear" w:color="050000" w:fill="auto"/>
        </w:rPr>
        <w:t>1）正确使用系统进行指挥工作；</w:t>
      </w:r>
    </w:p>
    <w:p>
      <w:pPr>
        <w:spacing w:line="360" w:lineRule="auto"/>
        <w:ind w:firstLine="420" w:firstLineChars="200"/>
        <w:rPr>
          <w:sz w:val="21"/>
          <w:szCs w:val="21"/>
          <w:shd w:val="clear" w:color="050000" w:fill="auto"/>
        </w:rPr>
      </w:pPr>
      <w:r>
        <w:rPr>
          <w:rFonts w:hint="eastAsia"/>
          <w:sz w:val="21"/>
          <w:szCs w:val="21"/>
          <w:shd w:val="clear" w:color="050000" w:fill="auto"/>
        </w:rPr>
        <w:t>2）能够初步识别系统外设的故障，掌握系统的日常维护方法；</w:t>
      </w:r>
    </w:p>
    <w:p>
      <w:pPr>
        <w:spacing w:line="360" w:lineRule="auto"/>
        <w:ind w:firstLine="420" w:firstLineChars="200"/>
        <w:rPr>
          <w:sz w:val="21"/>
          <w:szCs w:val="21"/>
          <w:shd w:val="clear" w:color="050000" w:fill="auto"/>
        </w:rPr>
      </w:pPr>
      <w:r>
        <w:rPr>
          <w:rFonts w:hint="eastAsia"/>
          <w:sz w:val="21"/>
          <w:szCs w:val="21"/>
          <w:shd w:val="clear" w:color="050000" w:fill="auto"/>
        </w:rPr>
        <w:t>3）用户提出的问题。</w:t>
      </w:r>
    </w:p>
    <w:p>
      <w:pPr>
        <w:snapToGrid w:val="0"/>
        <w:spacing w:line="360" w:lineRule="exact"/>
        <w:jc w:val="left"/>
        <w:rPr>
          <w:rFonts w:ascii="宋体" w:hAnsi="宋体"/>
          <w:sz w:val="22"/>
        </w:rPr>
      </w:pPr>
    </w:p>
    <w:p>
      <w:pPr>
        <w:pStyle w:val="48"/>
      </w:pPr>
      <w:bookmarkStart w:id="111" w:name="_Toc8275"/>
      <w:bookmarkStart w:id="112" w:name="_Toc450630564"/>
      <w:bookmarkStart w:id="113" w:name="_Toc275274581"/>
    </w:p>
    <w:p>
      <w:pPr>
        <w:pStyle w:val="48"/>
      </w:pPr>
    </w:p>
    <w:p>
      <w:pPr>
        <w:pStyle w:val="48"/>
      </w:pPr>
    </w:p>
    <w:p>
      <w:pPr>
        <w:pStyle w:val="48"/>
      </w:pPr>
    </w:p>
    <w:p>
      <w:pPr>
        <w:pStyle w:val="48"/>
      </w:pPr>
    </w:p>
    <w:p>
      <w:pPr>
        <w:pStyle w:val="48"/>
      </w:pPr>
    </w:p>
    <w:p>
      <w:pPr>
        <w:pStyle w:val="48"/>
      </w:pPr>
    </w:p>
    <w:p>
      <w:pPr>
        <w:pStyle w:val="48"/>
      </w:pPr>
    </w:p>
    <w:p>
      <w:pPr>
        <w:pStyle w:val="48"/>
      </w:pPr>
      <w:r>
        <w:br w:type="page"/>
      </w:r>
    </w:p>
    <w:p>
      <w:pPr>
        <w:pStyle w:val="48"/>
      </w:pPr>
      <w:r>
        <w:t>第</w:t>
      </w:r>
      <w:r>
        <w:rPr>
          <w:rFonts w:hint="eastAsia"/>
        </w:rPr>
        <w:t>五</w:t>
      </w:r>
      <w:r>
        <w:t xml:space="preserve">章  </w:t>
      </w:r>
      <w:r>
        <w:rPr>
          <w:rFonts w:hint="eastAsia"/>
        </w:rPr>
        <w:t>评标办法及标准</w:t>
      </w:r>
      <w:bookmarkEnd w:id="111"/>
      <w:bookmarkEnd w:id="112"/>
    </w:p>
    <w:p>
      <w:pPr>
        <w:pStyle w:val="29"/>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9"/>
        <w:spacing w:line="360" w:lineRule="exact"/>
        <w:rPr>
          <w:rFonts w:hAnsi="宋体" w:cs="Calibri"/>
          <w:b/>
          <w:bCs/>
          <w:sz w:val="22"/>
          <w:szCs w:val="22"/>
        </w:rPr>
      </w:pPr>
      <w:r>
        <w:rPr>
          <w:rFonts w:hAnsi="宋体" w:cs="Calibri"/>
          <w:b/>
          <w:bCs/>
          <w:sz w:val="22"/>
          <w:szCs w:val="22"/>
        </w:rPr>
        <w:t>一、评标原则</w:t>
      </w:r>
    </w:p>
    <w:p>
      <w:pPr>
        <w:pStyle w:val="29"/>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综合评估法</w:t>
      </w:r>
      <w:r>
        <w:rPr>
          <w:rFonts w:hint="eastAsia" w:hAnsi="宋体" w:cs="Calibri"/>
          <w:bCs/>
          <w:sz w:val="22"/>
          <w:szCs w:val="22"/>
        </w:rPr>
        <w:t>，</w:t>
      </w:r>
      <w:r>
        <w:rPr>
          <w:rFonts w:hAnsi="宋体" w:cs="Calibri"/>
          <w:bCs/>
          <w:sz w:val="22"/>
          <w:szCs w:val="22"/>
        </w:rPr>
        <w:t>评标应遵循公平、公正、科学、择优的原则。</w:t>
      </w:r>
    </w:p>
    <w:p>
      <w:pPr>
        <w:pStyle w:val="29"/>
        <w:spacing w:line="360" w:lineRule="exact"/>
        <w:rPr>
          <w:rFonts w:hAnsi="宋体" w:cs="Calibri"/>
          <w:b/>
          <w:bCs/>
          <w:sz w:val="22"/>
          <w:szCs w:val="22"/>
        </w:rPr>
      </w:pPr>
      <w:r>
        <w:rPr>
          <w:rFonts w:hAnsi="宋体" w:cs="Calibri"/>
          <w:b/>
          <w:bCs/>
          <w:sz w:val="22"/>
          <w:szCs w:val="22"/>
        </w:rPr>
        <w:t>二、评标组织</w:t>
      </w:r>
    </w:p>
    <w:p>
      <w:pPr>
        <w:pStyle w:val="29"/>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29"/>
        <w:spacing w:line="360" w:lineRule="exact"/>
        <w:rPr>
          <w:rFonts w:hAnsi="宋体" w:cs="Calibri"/>
          <w:b/>
          <w:bCs/>
          <w:sz w:val="22"/>
          <w:szCs w:val="22"/>
        </w:rPr>
      </w:pPr>
      <w:r>
        <w:rPr>
          <w:rFonts w:hAnsi="宋体" w:cs="Calibri"/>
          <w:b/>
          <w:bCs/>
          <w:sz w:val="22"/>
          <w:szCs w:val="22"/>
        </w:rPr>
        <w:t>三、投标文件的评审</w:t>
      </w:r>
    </w:p>
    <w:p>
      <w:pPr>
        <w:pStyle w:val="29"/>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w:t>
      </w:r>
      <w:r>
        <w:rPr>
          <w:rFonts w:hint="eastAsia" w:ascii="宋体" w:hAnsi="宋体" w:cs="Calibri"/>
          <w:b/>
          <w:bCs/>
          <w:kern w:val="0"/>
          <w:sz w:val="22"/>
          <w:szCs w:val="22"/>
        </w:rPr>
        <w:t>否决投标</w:t>
      </w:r>
      <w:r>
        <w:rPr>
          <w:rFonts w:ascii="宋体" w:hAnsi="宋体" w:cs="Calibri"/>
          <w:b/>
          <w:bCs/>
          <w:kern w:val="0"/>
          <w:sz w:val="22"/>
          <w:szCs w:val="22"/>
        </w:rPr>
        <w:t>处理，</w:t>
      </w:r>
      <w:r>
        <w:rPr>
          <w:rFonts w:ascii="宋体" w:hAnsi="宋体" w:cs="Calibri"/>
          <w:bCs/>
          <w:kern w:val="0"/>
          <w:sz w:val="22"/>
          <w:szCs w:val="22"/>
        </w:rPr>
        <w:t>不再进行详细评审：</w:t>
      </w:r>
    </w:p>
    <w:p>
      <w:pPr>
        <w:spacing w:line="360" w:lineRule="exact"/>
        <w:ind w:firstLine="470"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0"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0"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供货</w:t>
      </w:r>
      <w:r>
        <w:rPr>
          <w:rFonts w:ascii="宋体" w:hAnsi="宋体" w:cs="Calibri"/>
          <w:sz w:val="22"/>
          <w:szCs w:val="22"/>
        </w:rPr>
        <w:t>期不满足招标文件要求的；</w:t>
      </w:r>
    </w:p>
    <w:p>
      <w:pPr>
        <w:spacing w:line="360" w:lineRule="exact"/>
        <w:ind w:firstLine="470"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0"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0"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spacing w:line="360" w:lineRule="exact"/>
        <w:ind w:firstLine="470" w:firstLineChars="214"/>
        <w:rPr>
          <w:rFonts w:hint="eastAsia" w:ascii="宋体" w:hAnsi="宋体" w:cs="Calibri"/>
          <w:sz w:val="22"/>
          <w:szCs w:val="22"/>
        </w:rPr>
      </w:pPr>
      <w:r>
        <w:rPr>
          <w:rFonts w:hint="eastAsia" w:ascii="宋体" w:hAnsi="宋体" w:cs="Calibri"/>
          <w:sz w:val="22"/>
          <w:szCs w:val="22"/>
        </w:rPr>
        <w:t>涉及本文件投标人资格条件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29"/>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9"/>
        <w:numPr>
          <w:ilvl w:val="0"/>
          <w:numId w:val="7"/>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29"/>
        <w:numPr>
          <w:ilvl w:val="0"/>
          <w:numId w:val="7"/>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29"/>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29"/>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9"/>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sz w:val="22"/>
          <w:szCs w:val="22"/>
        </w:rPr>
      </w:pPr>
      <w:r>
        <w:rPr>
          <w:rFonts w:ascii="宋体" w:hAnsi="宋体" w:cs="Calibri"/>
          <w:b/>
          <w:sz w:val="22"/>
          <w:szCs w:val="22"/>
        </w:rPr>
        <w:t>3.3</w:t>
      </w:r>
      <w:r>
        <w:rPr>
          <w:rFonts w:hint="eastAsia" w:ascii="宋体" w:hAnsi="宋体"/>
          <w:b/>
          <w:sz w:val="22"/>
          <w:szCs w:val="22"/>
        </w:rPr>
        <w:t>评标细则</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根据评审情况，对技术、商务等方面进行评审。评标委员会根据评审情况，对各投标人的商务报价进行统一打分，对各投标人的技术由评标委员会成员进行独立打分。所有分值均保留小数点后1位小数。若评标委员会的评分表中计分不在分值范围内的，则该评分表无效。</w:t>
      </w:r>
    </w:p>
    <w:p>
      <w:pPr>
        <w:pStyle w:val="29"/>
        <w:adjustRightInd w:val="0"/>
        <w:snapToGrid w:val="0"/>
        <w:spacing w:line="360" w:lineRule="exact"/>
        <w:ind w:firstLine="442" w:firstLineChars="200"/>
        <w:rPr>
          <w:rFonts w:hAnsi="宋体"/>
          <w:b/>
          <w:sz w:val="22"/>
          <w:szCs w:val="22"/>
        </w:rPr>
      </w:pPr>
      <w:r>
        <w:rPr>
          <w:rFonts w:hint="eastAsia" w:hAnsi="宋体"/>
          <w:b/>
          <w:sz w:val="22"/>
          <w:szCs w:val="22"/>
        </w:rPr>
        <w:t>每个投标人最终得分=商务报价分+技术分</w:t>
      </w:r>
    </w:p>
    <w:p>
      <w:pPr>
        <w:pStyle w:val="29"/>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3.3.1商务报价分（满分60分）</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报价评分应在投标报价响应招标文件要求的基础上，</w:t>
      </w:r>
      <w:r>
        <w:rPr>
          <w:rFonts w:hint="eastAsia" w:hAnsi="宋体"/>
          <w:sz w:val="22"/>
          <w:szCs w:val="22"/>
        </w:rPr>
        <w:t>取所有有效投标报价的算数平均值与次低价的算数平均值作为评标基准价，如有效投标报价的数量小于4个，则评标基准价为所有有效投标报价的算数平均值与最低价的算数平均值。</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投标人的投标价等于评标基准价的得60分，每高于评标基准价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9"/>
        <w:adjustRightInd w:val="0"/>
        <w:snapToGrid w:val="0"/>
        <w:spacing w:line="360" w:lineRule="exact"/>
        <w:ind w:firstLine="442" w:firstLineChars="200"/>
        <w:rPr>
          <w:rFonts w:hAnsi="宋体"/>
          <w:b/>
          <w:sz w:val="22"/>
          <w:szCs w:val="22"/>
        </w:rPr>
      </w:pP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3.3.2 技术及服务综合评分表（4</w:t>
      </w:r>
      <w:r>
        <w:rPr>
          <w:rFonts w:hAnsi="宋体" w:cs="Calibri"/>
          <w:sz w:val="22"/>
          <w:szCs w:val="22"/>
        </w:rPr>
        <w:t>0分）</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29"/>
        <w:ind w:firstLine="440" w:firstLineChars="200"/>
        <w:rPr>
          <w:rFonts w:hAnsi="宋体" w:cs="Calibri"/>
          <w:sz w:val="22"/>
          <w:szCs w:val="22"/>
        </w:rPr>
      </w:pPr>
      <w:r>
        <w:rPr>
          <w:rFonts w:hint="eastAsia" w:hAnsi="宋体" w:cs="Calibri"/>
          <w:sz w:val="22"/>
          <w:szCs w:val="22"/>
        </w:rPr>
        <w:t>技术及服务综合评分分值设定标准</w:t>
      </w:r>
    </w:p>
    <w:p>
      <w:pPr>
        <w:pStyle w:val="29"/>
        <w:adjustRightInd w:val="0"/>
        <w:snapToGrid w:val="0"/>
        <w:spacing w:line="360" w:lineRule="exact"/>
        <w:ind w:firstLine="440" w:firstLineChars="200"/>
        <w:rPr>
          <w:rFonts w:hAnsi="宋体" w:cs="Calibri"/>
          <w:sz w:val="22"/>
          <w:szCs w:val="22"/>
        </w:rPr>
      </w:pPr>
    </w:p>
    <w:tbl>
      <w:tblPr>
        <w:tblStyle w:val="52"/>
        <w:tblW w:w="9243" w:type="dxa"/>
        <w:jc w:val="center"/>
        <w:tblInd w:w="0" w:type="dxa"/>
        <w:tblLayout w:type="fixed"/>
        <w:tblCellMar>
          <w:top w:w="0" w:type="dxa"/>
          <w:left w:w="108" w:type="dxa"/>
          <w:bottom w:w="0" w:type="dxa"/>
          <w:right w:w="108" w:type="dxa"/>
        </w:tblCellMar>
      </w:tblPr>
      <w:tblGrid>
        <w:gridCol w:w="525"/>
        <w:gridCol w:w="751"/>
        <w:gridCol w:w="1276"/>
        <w:gridCol w:w="709"/>
        <w:gridCol w:w="5982"/>
      </w:tblGrid>
      <w:tr>
        <w:tblPrEx>
          <w:tblLayout w:type="fixed"/>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序号</w:t>
            </w:r>
          </w:p>
        </w:tc>
        <w:tc>
          <w:tcPr>
            <w:tcW w:w="751" w:type="dxa"/>
            <w:tcBorders>
              <w:top w:val="single" w:color="auto" w:sz="4" w:space="0"/>
              <w:left w:val="nil"/>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评分</w:t>
            </w:r>
          </w:p>
          <w:p>
            <w:pPr>
              <w:jc w:val="center"/>
              <w:rPr>
                <w:rFonts w:ascii="宋体" w:hAnsi="宋体" w:cs="宋体"/>
                <w:b/>
                <w:szCs w:val="21"/>
              </w:rPr>
            </w:pPr>
            <w:r>
              <w:rPr>
                <w:rFonts w:hint="eastAsia" w:ascii="宋体" w:hAnsi="宋体" w:cs="宋体"/>
                <w:b/>
                <w:szCs w:val="21"/>
              </w:rPr>
              <w:t>项目</w:t>
            </w:r>
          </w:p>
        </w:tc>
        <w:tc>
          <w:tcPr>
            <w:tcW w:w="1276" w:type="dxa"/>
            <w:tcBorders>
              <w:top w:val="single" w:color="auto" w:sz="4" w:space="0"/>
              <w:left w:val="nil"/>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评分</w:t>
            </w:r>
          </w:p>
          <w:p>
            <w:pPr>
              <w:jc w:val="center"/>
              <w:rPr>
                <w:rFonts w:ascii="宋体" w:hAnsi="宋体" w:cs="宋体"/>
                <w:b/>
                <w:szCs w:val="21"/>
              </w:rPr>
            </w:pPr>
            <w:r>
              <w:rPr>
                <w:rFonts w:hint="eastAsia" w:ascii="宋体" w:hAnsi="宋体" w:cs="宋体"/>
                <w:b/>
                <w:szCs w:val="21"/>
              </w:rPr>
              <w:t>子项</w:t>
            </w:r>
          </w:p>
        </w:tc>
        <w:tc>
          <w:tcPr>
            <w:tcW w:w="709" w:type="dxa"/>
            <w:tcBorders>
              <w:top w:val="single" w:color="auto" w:sz="4" w:space="0"/>
              <w:left w:val="nil"/>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分值</w:t>
            </w:r>
          </w:p>
        </w:tc>
        <w:tc>
          <w:tcPr>
            <w:tcW w:w="5982" w:type="dxa"/>
            <w:tcBorders>
              <w:top w:val="single" w:color="auto" w:sz="4" w:space="0"/>
              <w:left w:val="nil"/>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评分标准说明</w:t>
            </w:r>
          </w:p>
        </w:tc>
      </w:tr>
      <w:tr>
        <w:tblPrEx>
          <w:tblLayout w:type="fixed"/>
          <w:tblCellMar>
            <w:top w:w="0" w:type="dxa"/>
            <w:left w:w="108" w:type="dxa"/>
            <w:bottom w:w="0" w:type="dxa"/>
            <w:right w:w="108" w:type="dxa"/>
          </w:tblCellMar>
        </w:tblPrEx>
        <w:trPr>
          <w:jc w:val="center"/>
        </w:trPr>
        <w:tc>
          <w:tcPr>
            <w:tcW w:w="525" w:type="dxa"/>
            <w:vMerge w:val="restart"/>
            <w:tcBorders>
              <w:top w:val="single" w:color="auto" w:sz="4" w:space="0"/>
              <w:left w:val="single" w:color="auto" w:sz="4" w:space="0"/>
              <w:right w:val="single" w:color="auto" w:sz="4" w:space="0"/>
            </w:tcBorders>
            <w:vAlign w:val="center"/>
          </w:tcPr>
          <w:p>
            <w:pPr>
              <w:jc w:val="center"/>
              <w:rPr>
                <w:rFonts w:ascii="宋体" w:hAnsi="宋体" w:cs="宋体"/>
                <w:b/>
                <w:szCs w:val="21"/>
              </w:rPr>
            </w:pPr>
            <w:r>
              <w:rPr>
                <w:rFonts w:hint="eastAsia" w:ascii="宋体" w:hAnsi="宋体" w:cs="宋体"/>
                <w:szCs w:val="21"/>
              </w:rPr>
              <w:t>1</w:t>
            </w:r>
          </w:p>
        </w:tc>
        <w:tc>
          <w:tcPr>
            <w:tcW w:w="751" w:type="dxa"/>
            <w:vMerge w:val="restart"/>
            <w:tcBorders>
              <w:top w:val="single" w:color="auto" w:sz="4" w:space="0"/>
              <w:left w:val="nil"/>
              <w:right w:val="single" w:color="auto" w:sz="4" w:space="0"/>
            </w:tcBorders>
            <w:vAlign w:val="center"/>
          </w:tcPr>
          <w:p>
            <w:pPr>
              <w:jc w:val="center"/>
              <w:rPr>
                <w:rFonts w:ascii="宋体" w:hAnsi="宋体" w:cs="宋体"/>
                <w:szCs w:val="21"/>
              </w:rPr>
            </w:pPr>
            <w:r>
              <w:rPr>
                <w:rFonts w:hint="eastAsia" w:ascii="宋体" w:hAnsi="宋体" w:cs="宋体"/>
                <w:szCs w:val="21"/>
              </w:rPr>
              <w:t>技术</w:t>
            </w:r>
          </w:p>
          <w:p>
            <w:pPr>
              <w:jc w:val="center"/>
              <w:rPr>
                <w:rFonts w:ascii="宋体" w:hAnsi="宋体" w:cs="宋体"/>
                <w:b/>
                <w:szCs w:val="21"/>
              </w:rPr>
            </w:pPr>
            <w:r>
              <w:rPr>
                <w:rFonts w:hint="eastAsia" w:ascii="宋体" w:hAnsi="宋体" w:cs="宋体"/>
                <w:szCs w:val="21"/>
              </w:rPr>
              <w:t>评价</w:t>
            </w:r>
          </w:p>
        </w:tc>
        <w:tc>
          <w:tcPr>
            <w:tcW w:w="1276" w:type="dxa"/>
            <w:tcBorders>
              <w:top w:val="single" w:color="auto" w:sz="4" w:space="0"/>
              <w:left w:val="nil"/>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szCs w:val="21"/>
              </w:rPr>
              <w:t>对投标系统整体评价</w:t>
            </w:r>
          </w:p>
        </w:tc>
        <w:tc>
          <w:tcPr>
            <w:tcW w:w="709" w:type="dxa"/>
            <w:tcBorders>
              <w:top w:val="single" w:color="auto" w:sz="4" w:space="0"/>
              <w:left w:val="nil"/>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szCs w:val="21"/>
              </w:rPr>
              <w:t>9分</w:t>
            </w:r>
          </w:p>
        </w:tc>
        <w:tc>
          <w:tcPr>
            <w:tcW w:w="5982" w:type="dxa"/>
            <w:tcBorders>
              <w:top w:val="single" w:color="auto" w:sz="4" w:space="0"/>
              <w:left w:val="nil"/>
              <w:bottom w:val="single" w:color="auto" w:sz="4" w:space="0"/>
              <w:right w:val="single" w:color="auto" w:sz="4" w:space="0"/>
            </w:tcBorders>
            <w:vAlign w:val="center"/>
          </w:tcPr>
          <w:p>
            <w:pPr>
              <w:jc w:val="left"/>
              <w:rPr>
                <w:rFonts w:ascii="宋体" w:hAnsi="宋体" w:cs="宋体"/>
                <w:szCs w:val="21"/>
              </w:rPr>
            </w:pPr>
            <w:r>
              <w:rPr>
                <w:rFonts w:hint="eastAsia" w:ascii="宋体" w:hAnsi="宋体"/>
                <w:szCs w:val="21"/>
              </w:rPr>
              <w:t>根据各投标人所投产品的先进性、前沿性、市场认知度及占有率、安全稳定性、质量检测保障、运行保障等因素进行综合评价</w:t>
            </w:r>
            <w:r>
              <w:rPr>
                <w:rFonts w:hint="eastAsia" w:ascii="宋体" w:hAnsi="宋体" w:cs="宋体"/>
                <w:kern w:val="0"/>
                <w:szCs w:val="21"/>
              </w:rPr>
              <w:t>，整体评价优得9-7分，良得6-4分，一般得3-1分。</w:t>
            </w:r>
          </w:p>
        </w:tc>
      </w:tr>
      <w:tr>
        <w:tblPrEx>
          <w:tblLayout w:type="fixed"/>
          <w:tblCellMar>
            <w:top w:w="0" w:type="dxa"/>
            <w:left w:w="108" w:type="dxa"/>
            <w:bottom w:w="0" w:type="dxa"/>
            <w:right w:w="108" w:type="dxa"/>
          </w:tblCellMar>
        </w:tblPrEx>
        <w:trPr>
          <w:jc w:val="center"/>
        </w:trPr>
        <w:tc>
          <w:tcPr>
            <w:tcW w:w="525" w:type="dxa"/>
            <w:vMerge w:val="continue"/>
            <w:tcBorders>
              <w:top w:val="single" w:color="auto" w:sz="4" w:space="0"/>
              <w:left w:val="single" w:color="auto" w:sz="4" w:space="0"/>
              <w:right w:val="single" w:color="auto" w:sz="4" w:space="0"/>
            </w:tcBorders>
            <w:vAlign w:val="center"/>
          </w:tcPr>
          <w:p>
            <w:pPr>
              <w:jc w:val="center"/>
              <w:rPr>
                <w:rFonts w:ascii="宋体" w:hAnsi="宋体" w:cs="宋体"/>
                <w:szCs w:val="21"/>
              </w:rPr>
            </w:pPr>
          </w:p>
        </w:tc>
        <w:tc>
          <w:tcPr>
            <w:tcW w:w="751" w:type="dxa"/>
            <w:vMerge w:val="continue"/>
            <w:tcBorders>
              <w:top w:val="single" w:color="auto" w:sz="4" w:space="0"/>
              <w:left w:val="nil"/>
              <w:right w:val="single" w:color="auto" w:sz="4" w:space="0"/>
            </w:tcBorders>
            <w:vAlign w:val="center"/>
          </w:tcPr>
          <w:p>
            <w:pPr>
              <w:jc w:val="center"/>
              <w:rPr>
                <w:rFonts w:ascii="宋体" w:hAnsi="宋体" w:cs="宋体"/>
                <w:szCs w:val="21"/>
              </w:rPr>
            </w:pPr>
          </w:p>
        </w:tc>
        <w:tc>
          <w:tcPr>
            <w:tcW w:w="1276"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ascii="宋体" w:hAnsi="宋体"/>
                <w:szCs w:val="21"/>
              </w:rPr>
              <w:t>投标</w:t>
            </w:r>
            <w:r>
              <w:rPr>
                <w:rFonts w:hint="eastAsia" w:ascii="宋体" w:hAnsi="宋体"/>
                <w:szCs w:val="21"/>
              </w:rPr>
              <w:t>系统</w:t>
            </w:r>
            <w:r>
              <w:rPr>
                <w:rFonts w:ascii="宋体" w:hAnsi="宋体"/>
                <w:szCs w:val="21"/>
              </w:rPr>
              <w:t>质量标准的响应程度</w:t>
            </w:r>
          </w:p>
        </w:tc>
        <w:tc>
          <w:tcPr>
            <w:tcW w:w="709"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10分</w:t>
            </w:r>
          </w:p>
        </w:tc>
        <w:tc>
          <w:tcPr>
            <w:tcW w:w="5982" w:type="dxa"/>
            <w:tcBorders>
              <w:top w:val="single" w:color="auto" w:sz="4" w:space="0"/>
              <w:left w:val="nil"/>
              <w:bottom w:val="single" w:color="auto" w:sz="4" w:space="0"/>
              <w:right w:val="single" w:color="auto" w:sz="4" w:space="0"/>
            </w:tcBorders>
            <w:vAlign w:val="center"/>
          </w:tcPr>
          <w:p>
            <w:pPr>
              <w:jc w:val="left"/>
              <w:rPr>
                <w:rFonts w:ascii="宋体" w:hAnsi="宋体" w:cs="宋体"/>
                <w:kern w:val="0"/>
                <w:szCs w:val="21"/>
              </w:rPr>
            </w:pPr>
            <w:r>
              <w:rPr>
                <w:rFonts w:hint="eastAsia" w:ascii="宋体" w:hAnsi="宋体"/>
                <w:szCs w:val="21"/>
              </w:rPr>
              <w:t>满足招标文件所有技术要求，得6分；每有一项优于技术要求的，加1分，最高加至10分；每有一项不满足技术要求的，扣2分，最低扣至0分。</w:t>
            </w:r>
          </w:p>
        </w:tc>
      </w:tr>
      <w:tr>
        <w:tblPrEx>
          <w:tblLayout w:type="fixed"/>
          <w:tblCellMar>
            <w:top w:w="0" w:type="dxa"/>
            <w:left w:w="108" w:type="dxa"/>
            <w:bottom w:w="0" w:type="dxa"/>
            <w:right w:w="108" w:type="dxa"/>
          </w:tblCellMar>
        </w:tblPrEx>
        <w:trPr>
          <w:jc w:val="center"/>
        </w:trPr>
        <w:tc>
          <w:tcPr>
            <w:tcW w:w="525" w:type="dxa"/>
            <w:vMerge w:val="continue"/>
            <w:tcBorders>
              <w:top w:val="single" w:color="auto" w:sz="4" w:space="0"/>
              <w:left w:val="single" w:color="auto" w:sz="4" w:space="0"/>
              <w:right w:val="single" w:color="auto" w:sz="4" w:space="0"/>
            </w:tcBorders>
            <w:vAlign w:val="center"/>
          </w:tcPr>
          <w:p>
            <w:pPr>
              <w:jc w:val="center"/>
              <w:rPr>
                <w:rFonts w:ascii="宋体" w:hAnsi="宋体" w:cs="宋体"/>
                <w:szCs w:val="21"/>
              </w:rPr>
            </w:pPr>
          </w:p>
        </w:tc>
        <w:tc>
          <w:tcPr>
            <w:tcW w:w="751" w:type="dxa"/>
            <w:vMerge w:val="continue"/>
            <w:tcBorders>
              <w:top w:val="single" w:color="auto" w:sz="4" w:space="0"/>
              <w:left w:val="nil"/>
              <w:right w:val="single" w:color="auto" w:sz="4" w:space="0"/>
            </w:tcBorders>
            <w:vAlign w:val="center"/>
          </w:tcPr>
          <w:p>
            <w:pPr>
              <w:jc w:val="center"/>
              <w:rPr>
                <w:rFonts w:ascii="宋体" w:hAnsi="宋体" w:cs="宋体"/>
                <w:szCs w:val="21"/>
              </w:rPr>
            </w:pPr>
          </w:p>
        </w:tc>
        <w:tc>
          <w:tcPr>
            <w:tcW w:w="1276"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技术措施</w:t>
            </w:r>
          </w:p>
        </w:tc>
        <w:tc>
          <w:tcPr>
            <w:tcW w:w="709"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12分</w:t>
            </w:r>
          </w:p>
        </w:tc>
        <w:tc>
          <w:tcPr>
            <w:tcW w:w="5982" w:type="dxa"/>
            <w:tcBorders>
              <w:top w:val="single" w:color="auto" w:sz="4" w:space="0"/>
              <w:left w:val="nil"/>
              <w:bottom w:val="single" w:color="auto" w:sz="4" w:space="0"/>
              <w:right w:val="single" w:color="auto" w:sz="4" w:space="0"/>
            </w:tcBorders>
            <w:vAlign w:val="center"/>
          </w:tcPr>
          <w:p>
            <w:pPr>
              <w:jc w:val="left"/>
              <w:rPr>
                <w:rFonts w:ascii="宋体" w:hAnsi="宋体"/>
                <w:szCs w:val="21"/>
              </w:rPr>
            </w:pPr>
            <w:r>
              <w:rPr>
                <w:rFonts w:hint="eastAsia" w:ascii="宋体" w:hAnsi="宋体"/>
                <w:szCs w:val="21"/>
              </w:rPr>
              <w:t>投标人提供的技术方案</w:t>
            </w:r>
            <w:r>
              <w:rPr>
                <w:rFonts w:hint="eastAsia" w:ascii="宋体" w:hAnsi="宋体" w:cs="宋体"/>
                <w:kern w:val="0"/>
                <w:szCs w:val="21"/>
              </w:rPr>
              <w:t>合理且详细准确，优得12-10分，良得9-7分，合格得6-4分，一般得3-1分。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5" w:type="dxa"/>
            <w:vAlign w:val="center"/>
          </w:tcPr>
          <w:p>
            <w:pPr>
              <w:jc w:val="center"/>
              <w:rPr>
                <w:rFonts w:ascii="宋体" w:hAnsi="宋体" w:cs="宋体"/>
                <w:szCs w:val="21"/>
              </w:rPr>
            </w:pPr>
            <w:r>
              <w:rPr>
                <w:rFonts w:hint="eastAsia" w:ascii="宋体" w:hAnsi="宋体" w:cs="宋体"/>
                <w:szCs w:val="21"/>
              </w:rPr>
              <w:t>2</w:t>
            </w:r>
          </w:p>
        </w:tc>
        <w:tc>
          <w:tcPr>
            <w:tcW w:w="751" w:type="dxa"/>
            <w:vAlign w:val="center"/>
          </w:tcPr>
          <w:p>
            <w:pPr>
              <w:jc w:val="center"/>
              <w:rPr>
                <w:rFonts w:ascii="宋体" w:hAnsi="宋体" w:cs="宋体"/>
                <w:szCs w:val="21"/>
              </w:rPr>
            </w:pPr>
            <w:r>
              <w:rPr>
                <w:rFonts w:hint="eastAsia" w:ascii="宋体" w:hAnsi="宋体" w:cs="宋体"/>
                <w:szCs w:val="21"/>
              </w:rPr>
              <w:t>对投标人技术服务的评价</w:t>
            </w:r>
          </w:p>
        </w:tc>
        <w:tc>
          <w:tcPr>
            <w:tcW w:w="1276" w:type="dxa"/>
            <w:vAlign w:val="center"/>
          </w:tcPr>
          <w:p>
            <w:pPr>
              <w:jc w:val="center"/>
              <w:rPr>
                <w:rFonts w:ascii="宋体" w:hAnsi="宋体" w:cs="宋体"/>
                <w:szCs w:val="21"/>
              </w:rPr>
            </w:pPr>
            <w:r>
              <w:rPr>
                <w:rFonts w:hint="eastAsia" w:ascii="宋体" w:hAnsi="宋体" w:cs="宋体"/>
                <w:szCs w:val="21"/>
              </w:rPr>
              <w:t>售后服务</w:t>
            </w:r>
          </w:p>
        </w:tc>
        <w:tc>
          <w:tcPr>
            <w:tcW w:w="709" w:type="dxa"/>
            <w:vAlign w:val="center"/>
          </w:tcPr>
          <w:p>
            <w:pPr>
              <w:jc w:val="center"/>
              <w:rPr>
                <w:rFonts w:ascii="宋体" w:hAnsi="宋体" w:cs="宋体"/>
                <w:szCs w:val="21"/>
              </w:rPr>
            </w:pPr>
            <w:r>
              <w:rPr>
                <w:rFonts w:hint="eastAsia" w:ascii="宋体" w:hAnsi="宋体" w:cs="宋体"/>
                <w:szCs w:val="21"/>
              </w:rPr>
              <w:t>9分</w:t>
            </w:r>
          </w:p>
        </w:tc>
        <w:tc>
          <w:tcPr>
            <w:tcW w:w="5982" w:type="dxa"/>
            <w:vAlign w:val="center"/>
          </w:tcPr>
          <w:p>
            <w:pPr>
              <w:jc w:val="left"/>
              <w:rPr>
                <w:rFonts w:ascii="宋体" w:hAnsi="宋体"/>
                <w:szCs w:val="21"/>
              </w:rPr>
            </w:pPr>
            <w:r>
              <w:rPr>
                <w:rFonts w:hint="eastAsia" w:ascii="宋体" w:hAnsi="宋体" w:cs="宋体"/>
                <w:szCs w:val="21"/>
              </w:rPr>
              <w:t>（1）评标委员会</w:t>
            </w:r>
            <w:r>
              <w:rPr>
                <w:rFonts w:hint="eastAsia" w:ascii="宋体" w:hAnsi="宋体"/>
                <w:szCs w:val="21"/>
              </w:rPr>
              <w:t>根据各投标人交付、运输、安装及调试计划、承诺等情况综合评审</w:t>
            </w:r>
            <w:r>
              <w:rPr>
                <w:rFonts w:hint="eastAsia" w:ascii="宋体" w:hAnsi="宋体" w:cs="宋体"/>
                <w:szCs w:val="21"/>
              </w:rPr>
              <w:t>，</w:t>
            </w:r>
            <w:r>
              <w:rPr>
                <w:rFonts w:hint="eastAsia" w:ascii="宋体" w:hAnsi="宋体"/>
                <w:szCs w:val="21"/>
              </w:rPr>
              <w:t>得</w:t>
            </w:r>
            <w:r>
              <w:rPr>
                <w:rFonts w:hint="eastAsia" w:ascii="宋体" w:hAnsi="宋体" w:cs="宋体"/>
                <w:szCs w:val="21"/>
              </w:rPr>
              <w:t>0-3分；</w:t>
            </w:r>
          </w:p>
          <w:p>
            <w:pPr>
              <w:jc w:val="left"/>
              <w:rPr>
                <w:rFonts w:ascii="宋体" w:hAnsi="宋体" w:cs="宋体"/>
                <w:szCs w:val="21"/>
              </w:rPr>
            </w:pPr>
            <w:r>
              <w:rPr>
                <w:rFonts w:hint="eastAsia" w:ascii="宋体" w:hAnsi="宋体" w:cs="宋体"/>
                <w:szCs w:val="21"/>
              </w:rPr>
              <w:t>（2）投标人是否具有较强的本地化服务能力、售后服务承诺、提供的售后服务方案的可行性、完整性以及服务承诺落实的保障措施，质保期内外的后续技术支持和维护能力情况等。</w:t>
            </w:r>
            <w:r>
              <w:rPr>
                <w:rFonts w:hint="eastAsia" w:ascii="宋体" w:hAnsi="宋体"/>
                <w:szCs w:val="21"/>
              </w:rPr>
              <w:t>得</w:t>
            </w:r>
            <w:r>
              <w:rPr>
                <w:rFonts w:hint="eastAsia" w:ascii="宋体" w:hAnsi="宋体" w:cs="宋体"/>
                <w:szCs w:val="21"/>
              </w:rPr>
              <w:t>0-3分；</w:t>
            </w:r>
          </w:p>
          <w:p>
            <w:pPr>
              <w:jc w:val="left"/>
              <w:rPr>
                <w:rFonts w:ascii="宋体" w:hAnsi="宋体" w:cs="宋体"/>
                <w:szCs w:val="21"/>
              </w:rPr>
            </w:pPr>
            <w:r>
              <w:rPr>
                <w:rFonts w:hint="eastAsia" w:ascii="宋体" w:hAnsi="宋体" w:cs="宋体"/>
                <w:szCs w:val="21"/>
              </w:rPr>
              <w:t>（3）评标委员会</w:t>
            </w:r>
            <w:r>
              <w:rPr>
                <w:rFonts w:hint="eastAsia" w:ascii="宋体" w:hAnsi="宋体"/>
                <w:szCs w:val="21"/>
              </w:rPr>
              <w:t>根据各投标人服务保障体系、服务响应时间、培训计划等；备件支持及备件到货时间等情况综合评审</w:t>
            </w:r>
            <w:r>
              <w:rPr>
                <w:rFonts w:hint="eastAsia" w:ascii="宋体" w:hAnsi="宋体" w:cs="宋体"/>
                <w:szCs w:val="21"/>
              </w:rPr>
              <w:t>，</w:t>
            </w:r>
            <w:r>
              <w:rPr>
                <w:rFonts w:hint="eastAsia" w:ascii="宋体" w:hAnsi="宋体"/>
                <w:szCs w:val="21"/>
              </w:rPr>
              <w:t>得</w:t>
            </w:r>
            <w:r>
              <w:rPr>
                <w:rFonts w:hint="eastAsia" w:ascii="宋体" w:hAnsi="宋体" w:cs="宋体"/>
                <w:szCs w:val="21"/>
              </w:rPr>
              <w:t>0-3分。</w:t>
            </w:r>
          </w:p>
        </w:tc>
      </w:tr>
    </w:tbl>
    <w:p>
      <w:pPr>
        <w:pStyle w:val="29"/>
        <w:adjustRightInd w:val="0"/>
        <w:snapToGrid w:val="0"/>
        <w:spacing w:line="360" w:lineRule="exact"/>
        <w:ind w:firstLine="440" w:firstLineChars="200"/>
        <w:rPr>
          <w:rFonts w:hAnsi="宋体" w:cs="Calibri"/>
          <w:sz w:val="22"/>
          <w:szCs w:val="22"/>
        </w:rPr>
      </w:pPr>
    </w:p>
    <w:p>
      <w:pPr>
        <w:pStyle w:val="29"/>
        <w:spacing w:line="360" w:lineRule="exact"/>
        <w:rPr>
          <w:rFonts w:hAnsi="宋体" w:cs="Calibri"/>
          <w:b/>
          <w:sz w:val="22"/>
          <w:szCs w:val="22"/>
        </w:rPr>
      </w:pPr>
      <w:r>
        <w:rPr>
          <w:rFonts w:hAnsi="宋体" w:cs="Calibri"/>
          <w:b/>
          <w:sz w:val="22"/>
          <w:szCs w:val="22"/>
        </w:rPr>
        <w:t>3.4推荐中标候选人</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3.4.</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29"/>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9"/>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9"/>
        <w:adjustRightInd w:val="0"/>
        <w:snapToGrid w:val="0"/>
        <w:spacing w:line="360" w:lineRule="exact"/>
        <w:ind w:firstLine="442" w:firstLineChars="200"/>
        <w:rPr>
          <w:rFonts w:hAnsi="宋体" w:cs="Calibri"/>
          <w:b/>
          <w:sz w:val="22"/>
          <w:szCs w:val="22"/>
        </w:rPr>
      </w:pPr>
      <w:r>
        <w:rPr>
          <w:rFonts w:hAnsi="宋体" w:cs="Calibri"/>
          <w:b/>
          <w:sz w:val="22"/>
          <w:szCs w:val="22"/>
        </w:rPr>
        <w:t xml:space="preserve">4.4 </w:t>
      </w:r>
      <w:r>
        <w:rPr>
          <w:rFonts w:hint="eastAsia" w:hAnsi="宋体" w:cs="Calibri"/>
          <w:b/>
          <w:sz w:val="22"/>
          <w:szCs w:val="22"/>
        </w:rPr>
        <w:t>招标人对评标、定标结果不负责解释。</w:t>
      </w:r>
    </w:p>
    <w:p>
      <w:pPr>
        <w:pStyle w:val="29"/>
        <w:adjustRightInd w:val="0"/>
        <w:snapToGrid w:val="0"/>
        <w:spacing w:line="360" w:lineRule="exact"/>
        <w:ind w:firstLine="442" w:firstLineChars="200"/>
        <w:rPr>
          <w:rFonts w:hAnsi="宋体" w:cs="Calibri"/>
          <w:b/>
          <w:sz w:val="22"/>
          <w:szCs w:val="22"/>
        </w:rPr>
      </w:pPr>
    </w:p>
    <w:p>
      <w:pPr>
        <w:widowControl/>
        <w:jc w:val="left"/>
        <w:rPr>
          <w:rFonts w:eastAsia="黑体" w:cs="Times New Roman"/>
          <w:b/>
          <w:bCs/>
          <w:kern w:val="0"/>
          <w:sz w:val="32"/>
          <w:szCs w:val="32"/>
        </w:rPr>
      </w:pPr>
      <w:r>
        <w:br w:type="page"/>
      </w:r>
    </w:p>
    <w:p>
      <w:pPr>
        <w:pStyle w:val="48"/>
      </w:pPr>
      <w:bookmarkStart w:id="114" w:name="_Toc12372"/>
      <w:bookmarkStart w:id="115" w:name="_Toc450630565"/>
      <w:r>
        <w:t>第</w:t>
      </w:r>
      <w:r>
        <w:rPr>
          <w:rFonts w:hint="eastAsia"/>
        </w:rPr>
        <w:t>六</w:t>
      </w:r>
      <w:r>
        <w:t>章  投标文件格式</w:t>
      </w:r>
      <w:bookmarkEnd w:id="113"/>
      <w:bookmarkEnd w:id="114"/>
      <w:bookmarkEnd w:id="115"/>
    </w:p>
    <w:p>
      <w:pPr>
        <w:spacing w:line="440" w:lineRule="exact"/>
        <w:jc w:val="center"/>
        <w:rPr>
          <w:rFonts w:cs="Calibri"/>
          <w:b/>
          <w:sz w:val="28"/>
          <w:szCs w:val="28"/>
        </w:rPr>
      </w:pPr>
      <w:r>
        <w:rPr>
          <w:rFonts w:cs="Calibri"/>
          <w:b/>
          <w:sz w:val="28"/>
          <w:szCs w:val="28"/>
        </w:rPr>
        <w:t>目   录</w:t>
      </w:r>
    </w:p>
    <w:p>
      <w:pPr>
        <w:spacing w:line="440" w:lineRule="exact"/>
        <w:ind w:firstLine="440" w:firstLineChars="200"/>
        <w:rPr>
          <w:rFonts w:ascii="宋体" w:hAnsi="宋体" w:cs="Calibri"/>
          <w:sz w:val="22"/>
        </w:rPr>
      </w:pPr>
      <w:r>
        <w:rPr>
          <w:rFonts w:hint="eastAsia" w:ascii="宋体" w:hAnsi="宋体" w:cs="Calibri"/>
          <w:sz w:val="22"/>
        </w:rPr>
        <w:t>封面</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一、投标函；</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二、法定代表人资格证明书；</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三、授权委托书；</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四、投标报价表；</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五、详细技术方案；</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六、投标人资格证明文件：</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（1）投标人一般情况及有关证明投标人法律地位的文件（包括营业执照、税务登记证、资质证书等），说明投标人的注册地点和主要经营范围；</w:t>
      </w:r>
    </w:p>
    <w:p>
      <w:pPr>
        <w:adjustRightInd w:val="0"/>
        <w:snapToGrid w:val="0"/>
        <w:spacing w:line="360" w:lineRule="exact"/>
        <w:ind w:firstLine="440" w:firstLineChars="200"/>
        <w:rPr>
          <w:rFonts w:hint="eastAsia" w:ascii="宋体" w:hAnsi="宋体" w:cs="Calibri"/>
          <w:sz w:val="22"/>
        </w:rPr>
      </w:pPr>
      <w:r>
        <w:rPr>
          <w:rFonts w:hint="eastAsia" w:ascii="宋体" w:hAnsi="宋体" w:cs="Calibri"/>
          <w:sz w:val="22"/>
        </w:rPr>
        <w:t>（2）信用中国网站www.creditchina.gov.cn 、中国裁判文书网http://wenshu.court.gov.cn查询结果证材料。</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w:t>
      </w:r>
      <w:r>
        <w:rPr>
          <w:rFonts w:ascii="宋体" w:hAnsi="宋体" w:cs="Calibri"/>
          <w:sz w:val="22"/>
        </w:rPr>
        <w:t>3</w:t>
      </w:r>
      <w:r>
        <w:rPr>
          <w:rFonts w:hint="eastAsia" w:ascii="宋体" w:hAnsi="宋体" w:cs="Calibri"/>
          <w:sz w:val="22"/>
        </w:rPr>
        <w:t>）有关证明投标人的企业信誉及获得各种奖励等资料；</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w:t>
      </w:r>
      <w:r>
        <w:rPr>
          <w:rFonts w:ascii="宋体" w:hAnsi="宋体" w:cs="Calibri"/>
          <w:sz w:val="22"/>
        </w:rPr>
        <w:t>4</w:t>
      </w:r>
      <w:r>
        <w:rPr>
          <w:rFonts w:hint="eastAsia" w:ascii="宋体" w:hAnsi="宋体" w:cs="Calibri"/>
          <w:sz w:val="22"/>
        </w:rPr>
        <w:t>）投标人经济实力：包括企业注册资金、财务报告与报表中反映的财务状况；</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w:t>
      </w:r>
      <w:r>
        <w:rPr>
          <w:rFonts w:ascii="宋体" w:hAnsi="宋体" w:cs="Calibri"/>
          <w:sz w:val="22"/>
        </w:rPr>
        <w:t>5</w:t>
      </w:r>
      <w:r>
        <w:rPr>
          <w:rFonts w:hint="eastAsia" w:ascii="宋体" w:hAnsi="宋体" w:cs="Calibri"/>
          <w:sz w:val="22"/>
        </w:rPr>
        <w:t>）近三年完成类似项目业绩情况。</w:t>
      </w:r>
    </w:p>
    <w:p>
      <w:pPr>
        <w:adjustRightInd w:val="0"/>
        <w:snapToGrid w:val="0"/>
        <w:spacing w:line="360" w:lineRule="exact"/>
        <w:ind w:firstLine="440" w:firstLineChars="200"/>
        <w:rPr>
          <w:rFonts w:hint="eastAsia" w:ascii="宋体" w:hAnsi="宋体" w:cs="Calibri"/>
          <w:sz w:val="22"/>
        </w:rPr>
      </w:pPr>
      <w:r>
        <w:rPr>
          <w:rFonts w:hint="eastAsia" w:ascii="宋体" w:hAnsi="宋体" w:cs="Calibri"/>
          <w:sz w:val="22"/>
        </w:rPr>
        <w:t>（56）招标文件投标人资格要求中提供的相关材料。</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七、服务大纲</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（1）本项目概况；</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（2）工作内容和依据；</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（3）服务管理班子的组织结构形式；</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（4）服务人员的作业安排和进场计划（项目团队、培训、售后服务、质量保证等）；</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（5）服务人员工作守则；</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（6）对本项目的实施意见及重点、难点控制；</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（7）投入到本项目的项目负责人、其他人员的情况汇总表及业绩、经历、能力介绍、资格证明材料及人员到位率的承诺；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（8）投入本项目服务的仪器、仪表、设备及交通工具汇总表。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八、技术规格偏离表；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九、商务条款响应偏离表；</w:t>
      </w:r>
    </w:p>
    <w:p>
      <w:pPr>
        <w:spacing w:line="440" w:lineRule="exact"/>
        <w:ind w:right="420" w:firstLine="440" w:firstLineChars="200"/>
        <w:rPr>
          <w:rFonts w:ascii="宋体" w:hAnsi="宋体" w:cs="Calibri"/>
          <w:sz w:val="22"/>
        </w:rPr>
      </w:pPr>
      <w:r>
        <w:rPr>
          <w:rFonts w:hint="eastAsia" w:ascii="宋体" w:hAnsi="宋体" w:cs="Calibri"/>
          <w:sz w:val="22"/>
        </w:rPr>
        <w:t>十、廉洁自律承诺书</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十一、</w:t>
      </w:r>
      <w:r>
        <w:rPr>
          <w:rFonts w:hint="eastAsia" w:ascii="宋体" w:hAnsi="宋体" w:cs="Arial"/>
          <w:sz w:val="22"/>
        </w:rPr>
        <w:t>投标人认为应该提供的其他材料。</w:t>
      </w:r>
    </w:p>
    <w:p>
      <w:pPr>
        <w:rPr>
          <w:rFonts w:ascii="宋体" w:hAnsi="宋体" w:cs="Calibri"/>
          <w:sz w:val="22"/>
        </w:rPr>
      </w:pPr>
    </w:p>
    <w:p>
      <w:pPr>
        <w:spacing w:line="440" w:lineRule="exact"/>
        <w:rPr>
          <w:rFonts w:ascii="宋体" w:hAnsi="宋体" w:cs="Calibri"/>
          <w:sz w:val="22"/>
        </w:rPr>
      </w:pPr>
    </w:p>
    <w:p>
      <w:pPr>
        <w:spacing w:line="440" w:lineRule="exact"/>
        <w:ind w:right="420"/>
        <w:rPr>
          <w:rFonts w:ascii="宋体" w:hAnsi="宋体" w:cs="Calibri"/>
          <w:sz w:val="22"/>
        </w:rPr>
      </w:pPr>
      <w:r>
        <w:rPr>
          <w:rFonts w:hint="eastAsia" w:ascii="宋体" w:hAnsi="宋体" w:cs="Calibri"/>
          <w:sz w:val="22"/>
        </w:rPr>
        <w:t>注：未提供格式的由投标人自行拟定格式。</w:t>
      </w:r>
    </w:p>
    <w:p>
      <w:pPr>
        <w:widowControl/>
        <w:jc w:val="left"/>
        <w:rPr>
          <w:rFonts w:ascii="宋体" w:hAnsi="宋体" w:cs="Calibri"/>
        </w:rPr>
      </w:pPr>
      <w:r>
        <w:rPr>
          <w:rFonts w:ascii="宋体" w:hAnsi="宋体" w:cs="Calibri"/>
        </w:rPr>
        <w:br w:type="page"/>
      </w:r>
    </w:p>
    <w:p>
      <w:pPr>
        <w:spacing w:line="440" w:lineRule="exact"/>
        <w:ind w:right="420"/>
        <w:jc w:val="right"/>
        <w:rPr>
          <w:rFonts w:cs="Calibri"/>
        </w:rPr>
      </w:pPr>
      <w:r>
        <w:rPr>
          <w:rFonts w:cs="Calibri"/>
        </w:rPr>
        <w:t>正本（或副本）</w:t>
      </w:r>
    </w:p>
    <w:p>
      <w:pPr>
        <w:spacing w:line="440" w:lineRule="exact"/>
        <w:rPr>
          <w:rFonts w:cs="Calibri"/>
          <w:u w:val="single"/>
        </w:rPr>
      </w:pPr>
      <w:bookmarkStart w:id="116" w:name="_Toc171421958"/>
      <w:r>
        <w:rPr>
          <w:rFonts w:cs="Calibri"/>
        </w:rPr>
        <w:t>封面</w:t>
      </w:r>
      <w:bookmarkEnd w:id="116"/>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机坪塔台</w:t>
      </w:r>
      <w:r>
        <w:rPr>
          <w:rFonts w:eastAsia="黑体" w:cs="Calibri"/>
          <w:b/>
          <w:sz w:val="44"/>
          <w:szCs w:val="44"/>
          <w:u w:val="single"/>
        </w:rPr>
        <w:t>CDM电子进程单</w:t>
      </w:r>
      <w:r>
        <w:rPr>
          <w:rFonts w:hint="eastAsia" w:eastAsia="黑体" w:cs="Calibri"/>
          <w:b/>
          <w:sz w:val="44"/>
          <w:szCs w:val="44"/>
          <w:u w:val="single"/>
        </w:rPr>
        <w:t>系统建设项目</w:t>
      </w:r>
      <w:r>
        <w:rPr>
          <w:rFonts w:hint="eastAsia" w:eastAsia="黑体" w:cs="Calibri"/>
          <w:b/>
          <w:sz w:val="44"/>
          <w:szCs w:val="44"/>
        </w:rPr>
        <w:t>工程</w:t>
      </w:r>
    </w:p>
    <w:p>
      <w:pPr>
        <w:spacing w:line="440" w:lineRule="exact"/>
        <w:rPr>
          <w:rFonts w:cs="Calibri"/>
          <w:sz w:val="36"/>
          <w:szCs w:val="36"/>
        </w:rPr>
      </w:pPr>
    </w:p>
    <w:p>
      <w:pPr>
        <w:spacing w:line="440" w:lineRule="exact"/>
        <w:ind w:firstLine="480" w:firstLineChars="200"/>
        <w:jc w:val="center"/>
        <w:rPr>
          <w:rFonts w:cs="Calibri"/>
        </w:rPr>
      </w:pPr>
    </w:p>
    <w:p>
      <w:pPr>
        <w:spacing w:line="440" w:lineRule="exact"/>
        <w:rPr>
          <w:rFonts w:cs="Calibri"/>
          <w:sz w:val="44"/>
          <w:szCs w:val="44"/>
        </w:rPr>
      </w:pPr>
    </w:p>
    <w:p>
      <w:pPr>
        <w:spacing w:before="480" w:beforeLines="200" w:after="480" w:afterLines="200" w:line="440" w:lineRule="exact"/>
        <w:jc w:val="center"/>
        <w:rPr>
          <w:rFonts w:cs="Calibri"/>
          <w:b/>
          <w:bCs/>
          <w:sz w:val="84"/>
          <w:szCs w:val="84"/>
        </w:rPr>
      </w:pPr>
      <w:r>
        <w:rPr>
          <w:rFonts w:cs="Calibri"/>
          <w:b/>
          <w:bCs/>
          <w:sz w:val="84"/>
          <w:szCs w:val="84"/>
        </w:rPr>
        <w:t>投标文件</w:t>
      </w:r>
    </w:p>
    <w:p>
      <w:pPr>
        <w:spacing w:line="440" w:lineRule="exact"/>
        <w:ind w:firstLine="480" w:firstLineChars="200"/>
        <w:jc w:val="center"/>
        <w:rPr>
          <w:rFonts w:cs="Calibri"/>
        </w:rPr>
      </w:pPr>
    </w:p>
    <w:p>
      <w:pPr>
        <w:spacing w:line="440" w:lineRule="exact"/>
        <w:ind w:firstLine="480" w:firstLineChars="200"/>
        <w:rPr>
          <w:rFonts w:cs="Calibri"/>
        </w:rPr>
      </w:pPr>
      <w:r>
        <w:rPr>
          <w:rFonts w:cs="Calibri"/>
        </w:rPr>
        <w:t xml:space="preserve">                  </w:t>
      </w: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360" w:lineRule="auto"/>
        <w:ind w:firstLine="1400" w:firstLineChars="500"/>
        <w:rPr>
          <w:rFonts w:cs="Calibri"/>
          <w:sz w:val="28"/>
          <w:szCs w:val="28"/>
          <w:u w:val="single"/>
        </w:rPr>
      </w:pPr>
      <w:r>
        <w:rPr>
          <w:rFonts w:cs="Calibri"/>
          <w:sz w:val="28"/>
          <w:szCs w:val="28"/>
        </w:rPr>
        <w:t>投标人：</w:t>
      </w:r>
      <w:r>
        <w:rPr>
          <w:rFonts w:cs="Calibri"/>
          <w:sz w:val="28"/>
          <w:szCs w:val="28"/>
          <w:u w:val="single"/>
        </w:rPr>
        <w:t xml:space="preserve">                （盖单位章）           </w:t>
      </w:r>
    </w:p>
    <w:p>
      <w:pPr>
        <w:spacing w:line="360" w:lineRule="auto"/>
        <w:ind w:firstLine="1400" w:firstLineChars="500"/>
        <w:rPr>
          <w:rFonts w:cs="Calibri"/>
          <w:sz w:val="28"/>
          <w:szCs w:val="28"/>
        </w:rPr>
      </w:pPr>
      <w:r>
        <w:rPr>
          <w:rFonts w:cs="Calibri"/>
          <w:sz w:val="28"/>
          <w:szCs w:val="28"/>
        </w:rPr>
        <w:t>法定代表人或其委托代理人：</w:t>
      </w:r>
      <w:r>
        <w:rPr>
          <w:rFonts w:cs="Calibri"/>
          <w:sz w:val="28"/>
          <w:szCs w:val="28"/>
          <w:u w:val="single"/>
        </w:rPr>
        <w:t xml:space="preserve">   （签字或盖章）   </w:t>
      </w:r>
    </w:p>
    <w:p>
      <w:pPr>
        <w:spacing w:line="360" w:lineRule="auto"/>
        <w:ind w:firstLine="1400" w:firstLineChars="500"/>
        <w:rPr>
          <w:rFonts w:cs="Calibri"/>
          <w:sz w:val="28"/>
          <w:szCs w:val="28"/>
        </w:rPr>
      </w:pPr>
      <w:r>
        <w:rPr>
          <w:rFonts w:cs="Calibri"/>
          <w:sz w:val="28"/>
          <w:szCs w:val="28"/>
        </w:rPr>
        <w:t>日  期：</w:t>
      </w:r>
      <w:r>
        <w:rPr>
          <w:rFonts w:cs="Calibri"/>
          <w:sz w:val="28"/>
          <w:szCs w:val="28"/>
          <w:u w:val="single"/>
        </w:rPr>
        <w:t xml:space="preserve">        </w:t>
      </w:r>
      <w:r>
        <w:rPr>
          <w:rFonts w:cs="Calibri"/>
          <w:sz w:val="28"/>
          <w:szCs w:val="28"/>
        </w:rPr>
        <w:t>年</w:t>
      </w:r>
      <w:r>
        <w:rPr>
          <w:rFonts w:cs="Calibri"/>
          <w:sz w:val="28"/>
          <w:szCs w:val="28"/>
          <w:u w:val="single"/>
        </w:rPr>
        <w:t xml:space="preserve">         </w:t>
      </w:r>
      <w:r>
        <w:rPr>
          <w:rFonts w:cs="Calibri"/>
          <w:sz w:val="28"/>
          <w:szCs w:val="28"/>
        </w:rPr>
        <w:t>月</w:t>
      </w:r>
      <w:r>
        <w:rPr>
          <w:rFonts w:cs="Calibri"/>
          <w:sz w:val="28"/>
          <w:szCs w:val="28"/>
          <w:u w:val="single"/>
        </w:rPr>
        <w:t xml:space="preserve">        </w:t>
      </w:r>
      <w:r>
        <w:rPr>
          <w:rFonts w:cs="Calibri"/>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jc w:val="center"/>
        <w:rPr>
          <w:rFonts w:cs="Calibri"/>
          <w:b/>
          <w:bCs/>
          <w:color w:val="000000"/>
          <w:sz w:val="28"/>
          <w:szCs w:val="28"/>
        </w:rPr>
      </w:pPr>
    </w:p>
    <w:p>
      <w:pPr>
        <w:snapToGrid w:val="0"/>
        <w:spacing w:line="360" w:lineRule="auto"/>
        <w:rPr>
          <w:rFonts w:cs="Calibri" w:asciiTheme="minorEastAsia" w:hAnsiTheme="minorEastAsia" w:eastAsiaTheme="minorEastAsia"/>
          <w:b/>
          <w:bCs/>
        </w:rPr>
      </w:pPr>
      <w:r>
        <w:rPr>
          <w:rFonts w:hint="eastAsia" w:ascii="宋体" w:hAnsi="宋体"/>
        </w:rPr>
        <w:t>致：杭州萧山国际机场有限公司</w:t>
      </w:r>
    </w:p>
    <w:p>
      <w:pPr>
        <w:snapToGrid w:val="0"/>
        <w:spacing w:line="360" w:lineRule="auto"/>
        <w:ind w:firstLine="600" w:firstLineChars="250"/>
        <w:rPr>
          <w:rFonts w:cs="Calibri" w:asciiTheme="minorEastAsia" w:hAnsiTheme="minorEastAsia" w:eastAsiaTheme="minorEastAsia"/>
        </w:rPr>
      </w:pPr>
      <w:r>
        <w:rPr>
          <w:rFonts w:hint="eastAsia" w:cs="Calibri" w:asciiTheme="minorEastAsia" w:hAnsiTheme="minorEastAsia" w:eastAsiaTheme="minorEastAsia"/>
        </w:rPr>
        <w:t>1、根据已收到的</w:t>
      </w:r>
      <w:r>
        <w:rPr>
          <w:rFonts w:hint="eastAsia" w:cs="Calibri" w:asciiTheme="minorEastAsia" w:hAnsiTheme="minorEastAsia" w:eastAsiaTheme="minorEastAsia"/>
          <w:u w:val="single"/>
        </w:rPr>
        <w:t xml:space="preserve">                           </w:t>
      </w:r>
      <w:r>
        <w:rPr>
          <w:rFonts w:hint="eastAsia" w:cs="Calibri" w:asciiTheme="minorEastAsia" w:hAnsiTheme="minorEastAsia" w:eastAsiaTheme="minorEastAsia"/>
        </w:rPr>
        <w:t>招标文件，遵照《中华人民共和国招标投标法》等有关规定，经考察现场和研究上述招标文件后，我方愿以投标总价为人民币 (大写)：</w:t>
      </w:r>
      <w:r>
        <w:rPr>
          <w:rFonts w:hint="eastAsia" w:cs="Calibri" w:asciiTheme="minorEastAsia" w:hAnsiTheme="minorEastAsia" w:eastAsiaTheme="minorEastAsia"/>
          <w:u w:val="single"/>
        </w:rPr>
        <w:t xml:space="preserve">               </w:t>
      </w:r>
      <w:r>
        <w:rPr>
          <w:rFonts w:hint="eastAsia" w:cs="Calibri" w:asciiTheme="minorEastAsia" w:hAnsiTheme="minorEastAsia" w:eastAsiaTheme="minorEastAsia"/>
        </w:rPr>
        <w:t>元（RMB</w:t>
      </w:r>
      <w:r>
        <w:rPr>
          <w:rFonts w:hint="eastAsia" w:cs="Calibri" w:asciiTheme="minorEastAsia" w:hAnsiTheme="minorEastAsia" w:eastAsiaTheme="minorEastAsia"/>
          <w:u w:val="single"/>
        </w:rPr>
        <w:t xml:space="preserve">         </w:t>
      </w:r>
      <w:r>
        <w:rPr>
          <w:rFonts w:hint="eastAsia" w:cs="Calibri" w:asciiTheme="minorEastAsia" w:hAnsiTheme="minorEastAsia" w:eastAsiaTheme="minorEastAsia"/>
        </w:rPr>
        <w:t>元）报价并按上述招标文件要求承揽上述项目</w:t>
      </w:r>
      <w:r>
        <w:rPr>
          <w:rFonts w:hint="eastAsia" w:cs="Calibri" w:asciiTheme="minorEastAsia" w:hAnsiTheme="minorEastAsia" w:eastAsiaTheme="minorEastAsia"/>
          <w:bCs/>
        </w:rPr>
        <w:t>所有等工作</w:t>
      </w:r>
      <w:r>
        <w:rPr>
          <w:rFonts w:hint="eastAsia" w:cs="Calibri" w:asciiTheme="minorEastAsia" w:hAnsiTheme="minorEastAsia" w:eastAsiaTheme="minorEastAsia"/>
          <w:szCs w:val="21"/>
        </w:rPr>
        <w:t>。</w:t>
      </w:r>
      <w:r>
        <w:rPr>
          <w:rFonts w:hint="eastAsia" w:cs="Calibri" w:asciiTheme="minorEastAsia" w:hAnsiTheme="minorEastAsia" w:eastAsiaTheme="minorEastAsia"/>
        </w:rPr>
        <w:t xml:space="preserve"> </w:t>
      </w:r>
    </w:p>
    <w:p>
      <w:pPr>
        <w:snapToGrid w:val="0"/>
        <w:spacing w:line="360" w:lineRule="auto"/>
        <w:ind w:firstLine="600" w:firstLineChars="250"/>
        <w:rPr>
          <w:rFonts w:cs="Calibri" w:asciiTheme="minorEastAsia" w:hAnsiTheme="minorEastAsia" w:eastAsiaTheme="minorEastAsia"/>
        </w:rPr>
      </w:pPr>
      <w:r>
        <w:rPr>
          <w:rFonts w:hint="eastAsia" w:cs="Calibri" w:asciiTheme="minorEastAsia" w:hAnsiTheme="minorEastAsia" w:eastAsiaTheme="minorEastAsia"/>
        </w:rPr>
        <w:t>2. 我方承诺：</w:t>
      </w:r>
    </w:p>
    <w:p>
      <w:pPr>
        <w:snapToGrid w:val="0"/>
        <w:spacing w:line="360" w:lineRule="auto"/>
        <w:ind w:firstLine="600" w:firstLineChars="250"/>
        <w:rPr>
          <w:rFonts w:cs="Calibri" w:asciiTheme="minorEastAsia" w:hAnsiTheme="minorEastAsia" w:eastAsiaTheme="minorEastAsia"/>
        </w:rPr>
      </w:pPr>
      <w:r>
        <w:rPr>
          <w:rFonts w:hint="eastAsia" w:cs="Calibri" w:asciiTheme="minorEastAsia" w:hAnsiTheme="minorEastAsia" w:eastAsiaTheme="minorEastAsia"/>
        </w:rPr>
        <w:t>（1）我方不是失信被执行人；</w:t>
      </w:r>
    </w:p>
    <w:p>
      <w:pPr>
        <w:snapToGrid w:val="0"/>
        <w:spacing w:line="360" w:lineRule="auto"/>
        <w:ind w:firstLine="600" w:firstLineChars="250"/>
        <w:rPr>
          <w:rFonts w:cs="Calibri" w:asciiTheme="minorEastAsia" w:hAnsiTheme="minorEastAsia" w:eastAsiaTheme="minorEastAsia"/>
        </w:rPr>
      </w:pPr>
      <w:r>
        <w:rPr>
          <w:rFonts w:hint="eastAsia" w:cs="Calibri" w:asciiTheme="minorEastAsia" w:hAnsiTheme="minorEastAsia" w:eastAsiaTheme="minorEastAsia"/>
        </w:rPr>
        <w:t>（2）我方在规定期限内无行贿犯罪记录；</w:t>
      </w:r>
    </w:p>
    <w:p>
      <w:pPr>
        <w:snapToGrid w:val="0"/>
        <w:spacing w:line="360" w:lineRule="auto"/>
        <w:ind w:firstLine="600" w:firstLineChars="250"/>
        <w:rPr>
          <w:rFonts w:cs="Calibri" w:asciiTheme="minorEastAsia" w:hAnsiTheme="minorEastAsia" w:eastAsiaTheme="minorEastAsia"/>
        </w:rPr>
      </w:pPr>
      <w:r>
        <w:rPr>
          <w:rFonts w:hint="eastAsia" w:cs="Calibri" w:asciiTheme="minorEastAsia" w:hAnsiTheme="minorEastAsia" w:eastAsiaTheme="minorEastAsia"/>
        </w:rPr>
        <w:t>（3）我方具有一般纳税人资格，可提供增值税专用发票。</w:t>
      </w:r>
    </w:p>
    <w:p>
      <w:pPr>
        <w:snapToGrid w:val="0"/>
        <w:spacing w:line="360" w:lineRule="auto"/>
        <w:ind w:firstLine="600" w:firstLineChars="250"/>
        <w:rPr>
          <w:rFonts w:cs="Calibri" w:asciiTheme="minorEastAsia" w:hAnsiTheme="minorEastAsia" w:eastAsiaTheme="minorEastAsia"/>
        </w:rPr>
      </w:pPr>
      <w:r>
        <w:rPr>
          <w:rFonts w:hint="eastAsia" w:cs="Calibri" w:asciiTheme="minorEastAsia" w:hAnsiTheme="minorEastAsia" w:eastAsiaTheme="minorEastAsia"/>
        </w:rPr>
        <w:t>3．如我方中标，我方承诺：</w:t>
      </w:r>
    </w:p>
    <w:p>
      <w:pPr>
        <w:snapToGrid w:val="0"/>
        <w:spacing w:line="360" w:lineRule="auto"/>
        <w:ind w:firstLine="600" w:firstLineChars="250"/>
        <w:rPr>
          <w:rFonts w:cs="Calibri" w:asciiTheme="minorEastAsia" w:hAnsiTheme="minorEastAsia" w:eastAsiaTheme="minorEastAsia"/>
        </w:rPr>
      </w:pPr>
      <w:r>
        <w:rPr>
          <w:rFonts w:hint="eastAsia" w:cs="Calibri" w:asciiTheme="minorEastAsia" w:hAnsiTheme="minorEastAsia" w:eastAsiaTheme="minorEastAsia"/>
        </w:rPr>
        <w:t>(1)在收到中标通知书后，在中标通知书规定的期限内与你方签订合同；</w:t>
      </w:r>
    </w:p>
    <w:p>
      <w:pPr>
        <w:snapToGrid w:val="0"/>
        <w:spacing w:line="360" w:lineRule="auto"/>
        <w:ind w:firstLine="600" w:firstLineChars="250"/>
        <w:rPr>
          <w:rFonts w:cs="Calibri" w:asciiTheme="minorEastAsia" w:hAnsiTheme="minorEastAsia" w:eastAsiaTheme="minorEastAsia"/>
        </w:rPr>
      </w:pPr>
      <w:r>
        <w:rPr>
          <w:rFonts w:hint="eastAsia" w:cs="Calibri" w:asciiTheme="minorEastAsia" w:hAnsiTheme="minorEastAsia" w:eastAsiaTheme="minorEastAsia"/>
        </w:rPr>
        <w:t>(2)在签订合同时不向你方提出附加条件；</w:t>
      </w:r>
    </w:p>
    <w:p>
      <w:pPr>
        <w:snapToGrid w:val="0"/>
        <w:spacing w:line="360" w:lineRule="auto"/>
        <w:ind w:firstLine="600" w:firstLineChars="250"/>
        <w:rPr>
          <w:rFonts w:cs="Calibri" w:asciiTheme="minorEastAsia" w:hAnsiTheme="minorEastAsia" w:eastAsiaTheme="minorEastAsia"/>
        </w:rPr>
      </w:pPr>
      <w:r>
        <w:rPr>
          <w:rFonts w:hint="eastAsia" w:cs="Calibri" w:asciiTheme="minorEastAsia" w:hAnsiTheme="minorEastAsia" w:eastAsiaTheme="minorEastAsia"/>
        </w:rPr>
        <w:t>(3)按照招标文件要求提交履约保证金；</w:t>
      </w:r>
    </w:p>
    <w:p>
      <w:pPr>
        <w:snapToGrid w:val="0"/>
        <w:spacing w:line="360" w:lineRule="auto"/>
        <w:ind w:firstLine="600" w:firstLineChars="250"/>
        <w:rPr>
          <w:rFonts w:cs="Calibri" w:asciiTheme="minorEastAsia" w:hAnsiTheme="minorEastAsia" w:eastAsiaTheme="minorEastAsia"/>
        </w:rPr>
      </w:pPr>
      <w:r>
        <w:rPr>
          <w:rFonts w:hint="eastAsia" w:cs="Calibri" w:asciiTheme="minorEastAsia" w:hAnsiTheme="minorEastAsia" w:eastAsiaTheme="minorEastAsia"/>
        </w:rPr>
        <w:t>(4)在合同约定的期限内完成合同规定的全部义务。</w:t>
      </w:r>
    </w:p>
    <w:p>
      <w:pPr>
        <w:snapToGrid w:val="0"/>
        <w:spacing w:line="360" w:lineRule="auto"/>
        <w:rPr>
          <w:rFonts w:cs="Calibri" w:asciiTheme="minorEastAsia" w:hAnsiTheme="minorEastAsia" w:eastAsiaTheme="minorEastAsia"/>
          <w:szCs w:val="20"/>
        </w:rPr>
      </w:pPr>
      <w:r>
        <w:rPr>
          <w:rFonts w:hint="eastAsia" w:cs="Calibri" w:asciiTheme="minorEastAsia" w:hAnsiTheme="minorEastAsia" w:eastAsiaTheme="minorEastAsia"/>
        </w:rPr>
        <w:t>　　 4、我方同意所递交的投标文件在“前附表”规定的投标有效期内有效，在此期间内我方的投标有可能中标，我方将受此约束。</w:t>
      </w:r>
    </w:p>
    <w:p>
      <w:pPr>
        <w:snapToGrid w:val="0"/>
        <w:spacing w:line="360" w:lineRule="auto"/>
        <w:rPr>
          <w:rFonts w:cs="Calibri" w:asciiTheme="minorEastAsia" w:hAnsiTheme="minorEastAsia" w:eastAsiaTheme="minorEastAsia"/>
          <w:szCs w:val="20"/>
        </w:rPr>
      </w:pPr>
      <w:r>
        <w:rPr>
          <w:rFonts w:hint="eastAsia" w:cs="Calibri" w:asciiTheme="minorEastAsia" w:hAnsiTheme="minorEastAsia" w:eastAsiaTheme="minorEastAsia"/>
        </w:rPr>
        <w:t xml:space="preserve">     5、除非另外达成协议并生效，你方的中标通知书和本投标文件将构成约束我们双方的合同。</w:t>
      </w:r>
    </w:p>
    <w:p>
      <w:pPr>
        <w:snapToGrid w:val="0"/>
        <w:spacing w:line="360" w:lineRule="auto"/>
        <w:ind w:firstLine="600" w:firstLineChars="250"/>
        <w:rPr>
          <w:rFonts w:cs="Calibri" w:asciiTheme="minorEastAsia" w:hAnsiTheme="minorEastAsia" w:eastAsiaTheme="minorEastAsia"/>
        </w:rPr>
      </w:pPr>
      <w:r>
        <w:rPr>
          <w:rFonts w:hint="eastAsia" w:cs="Calibri" w:asciiTheme="minorEastAsia" w:hAnsiTheme="minorEastAsia" w:eastAsiaTheme="minorEastAsia"/>
        </w:rPr>
        <w:t>6、我方已详细审查招标文件包括澄清函和修改文件(若有)、所有已提供的资料以及有关附件，我司已完全理解上述文件的全部内容，并放弃提出任何误解或不明作为抗辩的权利。</w:t>
      </w:r>
    </w:p>
    <w:p>
      <w:pPr>
        <w:snapToGrid w:val="0"/>
        <w:spacing w:line="360" w:lineRule="auto"/>
        <w:ind w:firstLine="600" w:firstLineChars="250"/>
        <w:rPr>
          <w:rFonts w:cs="Calibri" w:asciiTheme="minorEastAsia" w:hAnsiTheme="minorEastAsia" w:eastAsiaTheme="minorEastAsia"/>
        </w:rPr>
      </w:pPr>
      <w:r>
        <w:rPr>
          <w:rFonts w:hint="eastAsia" w:cs="Calibri" w:asciiTheme="minorEastAsia" w:hAnsiTheme="minorEastAsia" w:eastAsiaTheme="minorEastAsia"/>
        </w:rPr>
        <w:t>7、我方同意按照你方可能提出的要求，提供有关的任何其它数字或资料，并对贵方可能不接受最低报价及任何报价表示理解。</w:t>
      </w:r>
    </w:p>
    <w:p>
      <w:pPr>
        <w:snapToGrid w:val="0"/>
        <w:spacing w:line="440" w:lineRule="exact"/>
        <w:rPr>
          <w:rFonts w:cs="Calibri" w:asciiTheme="minorEastAsia" w:hAnsiTheme="minorEastAsia" w:eastAsiaTheme="minorEastAsia"/>
          <w:color w:val="000000"/>
          <w:szCs w:val="21"/>
        </w:rPr>
      </w:pPr>
    </w:p>
    <w:p>
      <w:pPr>
        <w:snapToGrid w:val="0"/>
        <w:spacing w:line="440" w:lineRule="exact"/>
        <w:ind w:firstLine="3600" w:firstLineChars="1500"/>
        <w:rPr>
          <w:rFonts w:cs="Calibri" w:asciiTheme="minorEastAsia" w:hAnsiTheme="minorEastAsia" w:eastAsiaTheme="minorEastAsia"/>
          <w:color w:val="000000"/>
        </w:rPr>
      </w:pPr>
      <w:r>
        <w:rPr>
          <w:rFonts w:cs="Calibri" w:asciiTheme="minorEastAsia" w:hAnsiTheme="minorEastAsia" w:eastAsiaTheme="minorEastAsia"/>
          <w:color w:val="000000"/>
        </w:rPr>
        <w:t>投标人：（盖单位章）</w:t>
      </w:r>
    </w:p>
    <w:p>
      <w:pPr>
        <w:snapToGrid w:val="0"/>
        <w:spacing w:line="440" w:lineRule="exact"/>
        <w:ind w:firstLine="3600" w:firstLineChars="1500"/>
        <w:rPr>
          <w:rFonts w:cs="Calibri" w:asciiTheme="minorEastAsia" w:hAnsiTheme="minorEastAsia" w:eastAsiaTheme="minorEastAsia"/>
          <w:color w:val="000000"/>
        </w:rPr>
      </w:pPr>
      <w:r>
        <w:rPr>
          <w:rFonts w:cs="Calibri" w:asciiTheme="minorEastAsia" w:hAnsiTheme="minorEastAsia" w:eastAsiaTheme="minorEastAsia"/>
          <w:color w:val="000000"/>
        </w:rPr>
        <w:t>法定代表人或其委托代理人：（签字或盖章）</w:t>
      </w:r>
    </w:p>
    <w:p>
      <w:pPr>
        <w:snapToGrid w:val="0"/>
        <w:spacing w:line="440" w:lineRule="exact"/>
        <w:ind w:firstLine="3600" w:firstLineChars="1500"/>
        <w:rPr>
          <w:rFonts w:cs="Calibri" w:asciiTheme="minorEastAsia" w:hAnsiTheme="minorEastAsia" w:eastAsiaTheme="minorEastAsia"/>
          <w:color w:val="000000"/>
        </w:rPr>
      </w:pPr>
      <w:r>
        <w:rPr>
          <w:rFonts w:cs="Calibri" w:asciiTheme="minorEastAsia" w:hAnsiTheme="minorEastAsia" w:eastAsiaTheme="minorEastAsia"/>
          <w:color w:val="000000"/>
        </w:rPr>
        <w:t>地    址：</w:t>
      </w:r>
    </w:p>
    <w:p>
      <w:pPr>
        <w:snapToGrid w:val="0"/>
        <w:spacing w:line="440" w:lineRule="exact"/>
        <w:ind w:firstLine="3600" w:firstLineChars="1500"/>
        <w:rPr>
          <w:rFonts w:cs="Calibri" w:asciiTheme="minorEastAsia" w:hAnsiTheme="minorEastAsia" w:eastAsiaTheme="minorEastAsia"/>
          <w:color w:val="000000"/>
        </w:rPr>
      </w:pPr>
      <w:r>
        <w:rPr>
          <w:rFonts w:cs="Calibri" w:asciiTheme="minorEastAsia" w:hAnsiTheme="minorEastAsia" w:eastAsiaTheme="minorEastAsia"/>
          <w:color w:val="000000"/>
        </w:rPr>
        <w:t>邮政编码：</w:t>
      </w:r>
    </w:p>
    <w:p>
      <w:pPr>
        <w:snapToGrid w:val="0"/>
        <w:spacing w:line="440" w:lineRule="exact"/>
        <w:ind w:firstLine="3600" w:firstLineChars="1500"/>
        <w:rPr>
          <w:rFonts w:cs="Calibri" w:asciiTheme="minorEastAsia" w:hAnsiTheme="minorEastAsia" w:eastAsiaTheme="minorEastAsia"/>
          <w:color w:val="000000"/>
        </w:rPr>
      </w:pPr>
      <w:r>
        <w:rPr>
          <w:rFonts w:cs="Calibri" w:asciiTheme="minorEastAsia" w:hAnsiTheme="minorEastAsia" w:eastAsiaTheme="minorEastAsia"/>
          <w:color w:val="000000"/>
        </w:rPr>
        <w:t>电    话：</w:t>
      </w:r>
    </w:p>
    <w:p>
      <w:pPr>
        <w:snapToGrid w:val="0"/>
        <w:spacing w:line="440" w:lineRule="exact"/>
        <w:ind w:firstLine="3600" w:firstLineChars="1500"/>
        <w:rPr>
          <w:rFonts w:cs="Calibri" w:asciiTheme="minorEastAsia" w:hAnsiTheme="minorEastAsia" w:eastAsiaTheme="minorEastAsia"/>
          <w:color w:val="000000"/>
        </w:rPr>
      </w:pPr>
      <w:r>
        <w:rPr>
          <w:rFonts w:cs="Calibri" w:asciiTheme="minorEastAsia" w:hAnsiTheme="minorEastAsia" w:eastAsiaTheme="minorEastAsia"/>
          <w:color w:val="000000"/>
        </w:rPr>
        <w:t>传    真：</w:t>
      </w:r>
    </w:p>
    <w:p>
      <w:pPr>
        <w:snapToGrid w:val="0"/>
        <w:spacing w:line="440" w:lineRule="exact"/>
        <w:ind w:firstLine="3600" w:firstLineChars="1500"/>
        <w:rPr>
          <w:rFonts w:cs="Calibri" w:asciiTheme="minorEastAsia" w:hAnsiTheme="minorEastAsia" w:eastAsiaTheme="minorEastAsia"/>
          <w:color w:val="000000"/>
        </w:rPr>
      </w:pPr>
      <w:r>
        <w:rPr>
          <w:rFonts w:cs="Calibri" w:asciiTheme="minorEastAsia" w:hAnsiTheme="minorEastAsia" w:eastAsiaTheme="minorEastAsia"/>
          <w:color w:val="000000"/>
        </w:rPr>
        <w:t>开户银行：</w:t>
      </w:r>
    </w:p>
    <w:p>
      <w:pPr>
        <w:snapToGrid w:val="0"/>
        <w:spacing w:line="440" w:lineRule="exact"/>
        <w:ind w:firstLine="3600" w:firstLineChars="1500"/>
        <w:rPr>
          <w:rFonts w:cs="Calibri" w:asciiTheme="minorEastAsia" w:hAnsiTheme="minorEastAsia" w:eastAsiaTheme="minorEastAsia"/>
          <w:color w:val="000000"/>
        </w:rPr>
      </w:pPr>
      <w:r>
        <w:rPr>
          <w:rFonts w:cs="Calibri" w:asciiTheme="minorEastAsia" w:hAnsiTheme="minorEastAsia" w:eastAsiaTheme="minorEastAsia"/>
          <w:color w:val="000000"/>
        </w:rPr>
        <w:t>账    号：</w:t>
      </w:r>
    </w:p>
    <w:p>
      <w:pPr>
        <w:snapToGrid w:val="0"/>
        <w:spacing w:line="440" w:lineRule="exact"/>
        <w:ind w:firstLine="3600" w:firstLineChars="1500"/>
        <w:rPr>
          <w:rFonts w:eastAsia="黑体" w:cs="Calibri"/>
          <w:color w:val="000000"/>
          <w:sz w:val="32"/>
          <w:szCs w:val="32"/>
        </w:rPr>
      </w:pPr>
      <w:r>
        <w:rPr>
          <w:rFonts w:cs="Calibri" w:asciiTheme="minorEastAsia" w:hAnsiTheme="minorEastAsia" w:eastAsiaTheme="minorEastAsia"/>
          <w:color w:val="000000"/>
        </w:rPr>
        <w:t>日    期：    年     月     日</w:t>
      </w:r>
      <w:r>
        <w:rPr>
          <w:rFonts w:eastAsia="黑体" w:cs="Calibri"/>
          <w:color w:val="000000"/>
          <w:sz w:val="32"/>
          <w:szCs w:val="32"/>
        </w:rPr>
        <w:br w:type="page"/>
      </w:r>
    </w:p>
    <w:p>
      <w:pPr>
        <w:adjustRightInd w:val="0"/>
        <w:snapToGrid w:val="0"/>
        <w:jc w:val="center"/>
        <w:rPr>
          <w:rFonts w:eastAsia="黑体" w:cs="Calibri"/>
          <w:sz w:val="32"/>
          <w:szCs w:val="32"/>
        </w:rPr>
      </w:pPr>
      <w:r>
        <w:rPr>
          <w:rFonts w:hint="eastAsia" w:eastAsia="黑体" w:cs="Calibri"/>
          <w:sz w:val="32"/>
          <w:szCs w:val="32"/>
        </w:rPr>
        <w:t>二</w:t>
      </w:r>
      <w:r>
        <w:rPr>
          <w:rFonts w:eastAsia="黑体" w:cs="Calibri"/>
          <w:sz w:val="32"/>
          <w:szCs w:val="32"/>
        </w:rPr>
        <w:t>、法定代表人身份证明</w:t>
      </w:r>
    </w:p>
    <w:p>
      <w:pPr>
        <w:spacing w:after="120" w:afterLines="50" w:line="440" w:lineRule="exact"/>
        <w:rPr>
          <w:rFonts w:cs="Calibri"/>
        </w:rPr>
      </w:pPr>
    </w:p>
    <w:p>
      <w:pPr>
        <w:spacing w:after="120" w:afterLines="50" w:line="440" w:lineRule="exact"/>
        <w:rPr>
          <w:rFonts w:cs="Calibri"/>
          <w:sz w:val="22"/>
          <w:szCs w:val="22"/>
          <w:u w:val="single"/>
        </w:rPr>
      </w:pPr>
      <w:r>
        <w:rPr>
          <w:rFonts w:cs="Calibri"/>
          <w:sz w:val="22"/>
          <w:szCs w:val="22"/>
        </w:rPr>
        <w:t>投标人名称：</w:t>
      </w:r>
      <w:r>
        <w:rPr>
          <w:rFonts w:cs="Calibri"/>
          <w:sz w:val="22"/>
          <w:szCs w:val="22"/>
          <w:u w:val="single"/>
        </w:rPr>
        <w:t xml:space="preserve">                                  </w:t>
      </w:r>
    </w:p>
    <w:p>
      <w:pPr>
        <w:spacing w:after="120" w:afterLines="50" w:line="440" w:lineRule="exact"/>
        <w:rPr>
          <w:rFonts w:cs="Calibri"/>
          <w:sz w:val="22"/>
          <w:szCs w:val="22"/>
          <w:u w:val="single"/>
        </w:rPr>
      </w:pPr>
      <w:r>
        <w:rPr>
          <w:rFonts w:cs="Calibri"/>
          <w:sz w:val="22"/>
          <w:szCs w:val="22"/>
        </w:rPr>
        <w:t>单位性质：</w:t>
      </w:r>
      <w:r>
        <w:rPr>
          <w:rFonts w:cs="Calibri"/>
          <w:sz w:val="22"/>
          <w:szCs w:val="22"/>
          <w:u w:val="single"/>
        </w:rPr>
        <w:t xml:space="preserve">                                    </w:t>
      </w:r>
    </w:p>
    <w:p>
      <w:pPr>
        <w:spacing w:after="120" w:afterLines="50" w:line="440" w:lineRule="exact"/>
        <w:rPr>
          <w:rFonts w:cs="Calibri"/>
          <w:sz w:val="22"/>
          <w:szCs w:val="22"/>
          <w:u w:val="single"/>
        </w:rPr>
      </w:pPr>
      <w:r>
        <w:rPr>
          <w:rFonts w:cs="Calibri"/>
          <w:sz w:val="22"/>
          <w:szCs w:val="22"/>
        </w:rPr>
        <w:t>地址：</w:t>
      </w:r>
      <w:r>
        <w:rPr>
          <w:rFonts w:cs="Calibri"/>
          <w:sz w:val="22"/>
          <w:szCs w:val="22"/>
          <w:u w:val="single"/>
        </w:rPr>
        <w:t xml:space="preserve">                                        </w:t>
      </w:r>
    </w:p>
    <w:p>
      <w:pPr>
        <w:spacing w:after="120" w:afterLines="50" w:line="440" w:lineRule="exact"/>
        <w:rPr>
          <w:rFonts w:cs="Calibri"/>
          <w:sz w:val="22"/>
          <w:szCs w:val="22"/>
          <w:u w:val="single"/>
        </w:rPr>
      </w:pPr>
      <w:r>
        <w:rPr>
          <w:rFonts w:cs="Calibri"/>
          <w:sz w:val="22"/>
          <w:szCs w:val="22"/>
        </w:rPr>
        <w:t>成立时间：</w:t>
      </w:r>
      <w:r>
        <w:rPr>
          <w:rFonts w:cs="Calibri"/>
          <w:sz w:val="22"/>
          <w:szCs w:val="22"/>
          <w:u w:val="single"/>
        </w:rPr>
        <w:t xml:space="preserve">          </w:t>
      </w:r>
      <w:r>
        <w:rPr>
          <w:rFonts w:cs="Calibri"/>
          <w:sz w:val="22"/>
          <w:szCs w:val="22"/>
        </w:rPr>
        <w:t>年</w:t>
      </w:r>
      <w:r>
        <w:rPr>
          <w:rFonts w:cs="Calibri"/>
          <w:sz w:val="22"/>
          <w:szCs w:val="22"/>
          <w:u w:val="single"/>
        </w:rPr>
        <w:t xml:space="preserve">           </w:t>
      </w:r>
      <w:r>
        <w:rPr>
          <w:rFonts w:cs="Calibri"/>
          <w:sz w:val="22"/>
          <w:szCs w:val="22"/>
        </w:rPr>
        <w:t>月</w:t>
      </w:r>
      <w:r>
        <w:rPr>
          <w:rFonts w:cs="Calibri"/>
          <w:sz w:val="22"/>
          <w:szCs w:val="22"/>
          <w:u w:val="single"/>
        </w:rPr>
        <w:t xml:space="preserve">           </w:t>
      </w:r>
      <w:r>
        <w:rPr>
          <w:rFonts w:cs="Calibri"/>
          <w:sz w:val="22"/>
          <w:szCs w:val="22"/>
        </w:rPr>
        <w:t>日</w:t>
      </w:r>
    </w:p>
    <w:p>
      <w:pPr>
        <w:spacing w:after="120" w:afterLines="50" w:line="440" w:lineRule="exact"/>
        <w:rPr>
          <w:rFonts w:cs="Calibri"/>
          <w:sz w:val="22"/>
          <w:szCs w:val="22"/>
          <w:u w:val="single"/>
        </w:rPr>
      </w:pPr>
      <w:r>
        <w:rPr>
          <w:rFonts w:cs="Calibri"/>
          <w:sz w:val="22"/>
          <w:szCs w:val="22"/>
        </w:rPr>
        <w:t>经营期限：</w:t>
      </w:r>
      <w:r>
        <w:rPr>
          <w:rFonts w:cs="Calibri"/>
          <w:sz w:val="22"/>
          <w:szCs w:val="22"/>
          <w:u w:val="single"/>
        </w:rPr>
        <w:t xml:space="preserve">                                     </w:t>
      </w:r>
    </w:p>
    <w:p>
      <w:pPr>
        <w:spacing w:after="120" w:afterLines="50" w:line="440" w:lineRule="exact"/>
        <w:rPr>
          <w:rFonts w:cs="Calibri"/>
          <w:sz w:val="22"/>
          <w:szCs w:val="22"/>
          <w:u w:val="single"/>
        </w:rPr>
      </w:pPr>
      <w:r>
        <w:rPr>
          <w:rFonts w:cs="Calibri"/>
          <w:sz w:val="22"/>
          <w:szCs w:val="22"/>
        </w:rPr>
        <w:t>姓名：</w:t>
      </w:r>
      <w:r>
        <w:rPr>
          <w:rFonts w:cs="Calibri"/>
          <w:sz w:val="22"/>
          <w:szCs w:val="22"/>
          <w:u w:val="single"/>
        </w:rPr>
        <w:t xml:space="preserve">         </w:t>
      </w:r>
      <w:r>
        <w:rPr>
          <w:rFonts w:cs="Calibri"/>
          <w:sz w:val="22"/>
          <w:szCs w:val="22"/>
        </w:rPr>
        <w:t xml:space="preserve">  性别：</w:t>
      </w:r>
      <w:r>
        <w:rPr>
          <w:rFonts w:cs="Calibri"/>
          <w:sz w:val="22"/>
          <w:szCs w:val="22"/>
          <w:u w:val="single"/>
        </w:rPr>
        <w:t xml:space="preserve">         </w:t>
      </w:r>
      <w:r>
        <w:rPr>
          <w:rFonts w:cs="Calibri"/>
          <w:sz w:val="22"/>
          <w:szCs w:val="22"/>
        </w:rPr>
        <w:t xml:space="preserve">  年龄：</w:t>
      </w:r>
      <w:r>
        <w:rPr>
          <w:rFonts w:cs="Calibri"/>
          <w:sz w:val="22"/>
          <w:szCs w:val="22"/>
          <w:u w:val="single"/>
        </w:rPr>
        <w:t xml:space="preserve">         </w:t>
      </w:r>
      <w:r>
        <w:rPr>
          <w:rFonts w:cs="Calibri"/>
          <w:sz w:val="22"/>
          <w:szCs w:val="22"/>
        </w:rPr>
        <w:t xml:space="preserve">  职务：</w:t>
      </w:r>
      <w:r>
        <w:rPr>
          <w:rFonts w:cs="Calibri"/>
          <w:sz w:val="22"/>
          <w:szCs w:val="22"/>
          <w:u w:val="single"/>
        </w:rPr>
        <w:t xml:space="preserve">         </w:t>
      </w:r>
      <w:r>
        <w:rPr>
          <w:rFonts w:cs="Calibri"/>
          <w:sz w:val="22"/>
          <w:szCs w:val="22"/>
        </w:rPr>
        <w:t xml:space="preserve">  </w:t>
      </w:r>
    </w:p>
    <w:p>
      <w:pPr>
        <w:spacing w:after="120" w:afterLines="50" w:line="440" w:lineRule="exact"/>
        <w:rPr>
          <w:rFonts w:cs="Calibri"/>
          <w:sz w:val="22"/>
          <w:szCs w:val="22"/>
          <w:u w:val="single"/>
        </w:rPr>
      </w:pPr>
      <w:r>
        <w:rPr>
          <w:rFonts w:cs="Calibri"/>
          <w:sz w:val="22"/>
          <w:szCs w:val="22"/>
        </w:rPr>
        <w:t>身份证号码：</w:t>
      </w:r>
      <w:r>
        <w:rPr>
          <w:rFonts w:cs="Calibri"/>
          <w:sz w:val="22"/>
          <w:szCs w:val="22"/>
          <w:u w:val="single"/>
        </w:rPr>
        <w:t xml:space="preserve">                           </w:t>
      </w:r>
    </w:p>
    <w:p>
      <w:pPr>
        <w:spacing w:line="440" w:lineRule="exact"/>
        <w:ind w:firstLine="560"/>
        <w:rPr>
          <w:rFonts w:cs="Calibri"/>
          <w:sz w:val="22"/>
          <w:szCs w:val="22"/>
        </w:rPr>
      </w:pPr>
    </w:p>
    <w:p>
      <w:pPr>
        <w:spacing w:line="440" w:lineRule="exact"/>
        <w:rPr>
          <w:rFonts w:cs="Calibri"/>
          <w:sz w:val="22"/>
          <w:szCs w:val="22"/>
        </w:rPr>
      </w:pPr>
      <w:r>
        <w:rPr>
          <w:rFonts w:cs="Calibri"/>
          <w:sz w:val="22"/>
          <w:szCs w:val="22"/>
        </w:rPr>
        <w:t xml:space="preserve">    系</w:t>
      </w:r>
      <w:r>
        <w:rPr>
          <w:rFonts w:cs="Calibri"/>
          <w:sz w:val="22"/>
          <w:szCs w:val="22"/>
          <w:u w:val="single"/>
        </w:rPr>
        <w:t xml:space="preserve">                          </w:t>
      </w:r>
      <w:r>
        <w:rPr>
          <w:rFonts w:cs="Calibri"/>
          <w:sz w:val="22"/>
          <w:szCs w:val="22"/>
        </w:rPr>
        <w:t>（投标人名称）的法定代表人。</w:t>
      </w:r>
    </w:p>
    <w:p>
      <w:pPr>
        <w:spacing w:line="440" w:lineRule="exact"/>
        <w:ind w:firstLine="560"/>
        <w:rPr>
          <w:rFonts w:cs="Calibri"/>
          <w:sz w:val="22"/>
          <w:szCs w:val="22"/>
        </w:rPr>
      </w:pPr>
    </w:p>
    <w:p>
      <w:pPr>
        <w:spacing w:line="440" w:lineRule="exact"/>
        <w:rPr>
          <w:rFonts w:cs="Calibri"/>
          <w:sz w:val="22"/>
          <w:szCs w:val="22"/>
        </w:rPr>
      </w:pPr>
      <w:r>
        <w:rPr>
          <w:rFonts w:cs="Calibri"/>
          <w:sz w:val="22"/>
          <w:szCs w:val="22"/>
        </w:rPr>
        <w:t>特此证明。</w:t>
      </w:r>
    </w:p>
    <w:p>
      <w:pPr>
        <w:spacing w:line="440" w:lineRule="exact"/>
        <w:rPr>
          <w:rFonts w:cs="Calibri"/>
          <w:sz w:val="22"/>
          <w:szCs w:val="22"/>
        </w:rPr>
      </w:pPr>
      <w:r>
        <w:rPr>
          <w:rFonts w:cs="Calibri"/>
          <w:sz w:val="22"/>
          <w:szCs w:val="22"/>
        </w:rPr>
        <w:t>附：法定代表人身份证复印件</w:t>
      </w:r>
    </w:p>
    <w:p>
      <w:pPr>
        <w:spacing w:line="440" w:lineRule="exact"/>
        <w:rPr>
          <w:rFonts w:cs="Calibri"/>
          <w:sz w:val="22"/>
          <w:szCs w:val="22"/>
        </w:rPr>
      </w:pPr>
      <w:r>
        <w:rPr>
          <w:rFonts w:cs="Calibri"/>
          <w:sz w:val="22"/>
          <w:szCs w:val="22"/>
        </w:rPr>
        <w:t xml:space="preserve">投标人：（盖单位章） </w:t>
      </w:r>
    </w:p>
    <w:p>
      <w:pPr>
        <w:spacing w:line="440" w:lineRule="exact"/>
        <w:ind w:firstLine="4936" w:firstLineChars="2235"/>
        <w:rPr>
          <w:rFonts w:cs="Calibri"/>
          <w:b/>
          <w:sz w:val="22"/>
          <w:szCs w:val="22"/>
        </w:rPr>
      </w:pPr>
      <w:r>
        <w:rPr>
          <w:rFonts w:cs="Calibri"/>
          <w:b/>
          <w:sz w:val="22"/>
          <w:szCs w:val="22"/>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1" name="Text Box 6"/>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upright="1"/>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57216;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zMLyPX&#10;AAAACAEAAA8AAAAAAAAAAQAgAAAAIgAAAGRycy9kb3ducmV2LnhtbFBLAQIUABQAAAAIAIdO4kDw&#10;0VNN6AEAAPYDAAAOAAAAAAAAAAEAIAAAACYBAABkcnMvZTJvRG9jLnhtbFBLBQYAAAAABgAGAFkB&#10;AACABQ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sz w:val="22"/>
          <w:szCs w:val="22"/>
        </w:rPr>
        <w:t>日期：   年    月    日</w:t>
      </w:r>
    </w:p>
    <w:p>
      <w:pPr>
        <w:spacing w:line="440" w:lineRule="exact"/>
        <w:jc w:val="center"/>
        <w:rPr>
          <w:rFonts w:eastAsia="黑体" w:cs="Calibri"/>
          <w:sz w:val="28"/>
          <w:szCs w:val="28"/>
        </w:rPr>
      </w:pPr>
      <w:r>
        <w:rPr>
          <w:rFonts w:cs="Calibri"/>
          <w:szCs w:val="21"/>
        </w:rPr>
        <w:br w:type="page"/>
      </w:r>
      <w:r>
        <w:rPr>
          <w:rFonts w:hint="eastAsia" w:eastAsia="黑体" w:cs="Calibri"/>
          <w:sz w:val="32"/>
          <w:szCs w:val="32"/>
        </w:rPr>
        <w:t>三</w:t>
      </w:r>
      <w:r>
        <w:rPr>
          <w:rFonts w:eastAsia="黑体" w:cs="Calibri"/>
          <w:sz w:val="32"/>
          <w:szCs w:val="32"/>
        </w:rPr>
        <w:t>、授权委托书</w:t>
      </w:r>
    </w:p>
    <w:p>
      <w:pPr>
        <w:spacing w:line="440" w:lineRule="exact"/>
        <w:ind w:firstLine="480" w:firstLineChars="200"/>
        <w:rPr>
          <w:rFonts w:cs="Calibri"/>
          <w:szCs w:val="21"/>
        </w:rPr>
      </w:pPr>
    </w:p>
    <w:p>
      <w:pPr>
        <w:spacing w:line="440" w:lineRule="exact"/>
        <w:ind w:firstLine="440" w:firstLineChars="200"/>
        <w:rPr>
          <w:rFonts w:cs="Calibri"/>
          <w:sz w:val="22"/>
          <w:szCs w:val="22"/>
        </w:rPr>
      </w:pPr>
      <w:r>
        <w:rPr>
          <w:rFonts w:cs="Calibri"/>
          <w:sz w:val="22"/>
          <w:szCs w:val="22"/>
        </w:rPr>
        <w:t>本人</w:t>
      </w:r>
      <w:r>
        <w:rPr>
          <w:rFonts w:cs="Calibri"/>
          <w:sz w:val="22"/>
          <w:szCs w:val="22"/>
          <w:u w:val="single"/>
        </w:rPr>
        <w:t xml:space="preserve">        </w:t>
      </w:r>
      <w:r>
        <w:rPr>
          <w:rFonts w:cs="Calibri"/>
          <w:sz w:val="22"/>
          <w:szCs w:val="22"/>
        </w:rPr>
        <w:t>（姓名）系</w:t>
      </w:r>
      <w:r>
        <w:rPr>
          <w:rFonts w:cs="Calibri"/>
          <w:sz w:val="22"/>
          <w:szCs w:val="22"/>
          <w:u w:val="single"/>
        </w:rPr>
        <w:t xml:space="preserve">                </w:t>
      </w:r>
      <w:r>
        <w:rPr>
          <w:rFonts w:cs="Calibri"/>
          <w:sz w:val="22"/>
          <w:szCs w:val="22"/>
        </w:rPr>
        <w:t>（投标人名称）的法定代表人，现委托</w:t>
      </w:r>
      <w:r>
        <w:rPr>
          <w:rFonts w:cs="Calibri"/>
          <w:sz w:val="22"/>
          <w:szCs w:val="22"/>
          <w:u w:val="single"/>
        </w:rPr>
        <w:t xml:space="preserve">      </w:t>
      </w:r>
      <w:r>
        <w:rPr>
          <w:rFonts w:cs="Calibri"/>
          <w:sz w:val="22"/>
          <w:szCs w:val="22"/>
        </w:rPr>
        <w:t>（姓名）为我方代理人。代理人根据授权，以我方名义签署、澄清、说明、补正、递交、撤回、修改</w:t>
      </w:r>
      <w:r>
        <w:rPr>
          <w:rFonts w:cs="Calibri"/>
          <w:sz w:val="22"/>
          <w:szCs w:val="22"/>
          <w:u w:val="single"/>
        </w:rPr>
        <w:t xml:space="preserve">              </w:t>
      </w:r>
      <w:r>
        <w:rPr>
          <w:rFonts w:cs="Calibri"/>
          <w:sz w:val="22"/>
          <w:szCs w:val="22"/>
        </w:rPr>
        <w:t>（项目名称）投标文件、签订合同和处理有关事宜，其法律后果由我方承担。</w:t>
      </w:r>
    </w:p>
    <w:p>
      <w:pPr>
        <w:spacing w:line="440" w:lineRule="exact"/>
        <w:ind w:firstLine="440" w:firstLineChars="200"/>
        <w:rPr>
          <w:rFonts w:cs="Calibri"/>
          <w:sz w:val="22"/>
          <w:szCs w:val="22"/>
        </w:rPr>
      </w:pPr>
      <w:r>
        <w:rPr>
          <w:rFonts w:cs="Calibri"/>
          <w:sz w:val="22"/>
          <w:szCs w:val="22"/>
        </w:rPr>
        <w:t>代理人无转委托权。</w:t>
      </w:r>
    </w:p>
    <w:p>
      <w:pPr>
        <w:spacing w:line="440" w:lineRule="exact"/>
        <w:ind w:firstLine="440" w:firstLineChars="200"/>
        <w:rPr>
          <w:rFonts w:cs="Calibri"/>
          <w:sz w:val="22"/>
          <w:szCs w:val="22"/>
        </w:rPr>
      </w:pPr>
      <w:r>
        <w:rPr>
          <w:rFonts w:cs="Calibri"/>
          <w:sz w:val="22"/>
          <w:szCs w:val="22"/>
        </w:rPr>
        <w:t>附：委托代理人身份证复印件</w:t>
      </w:r>
    </w:p>
    <w:p>
      <w:pPr>
        <w:spacing w:line="440" w:lineRule="exact"/>
        <w:rPr>
          <w:rFonts w:cs="Calibri"/>
          <w:sz w:val="22"/>
          <w:szCs w:val="22"/>
        </w:rPr>
      </w:pPr>
    </w:p>
    <w:p>
      <w:pPr>
        <w:spacing w:line="440" w:lineRule="exact"/>
        <w:rPr>
          <w:rFonts w:cs="Calibri"/>
          <w:sz w:val="22"/>
          <w:szCs w:val="22"/>
        </w:rPr>
      </w:pPr>
      <w:r>
        <w:rPr>
          <w:rFonts w:cs="Calibri"/>
          <w:sz w:val="22"/>
          <w:szCs w:val="22"/>
        </w:rPr>
        <w:t>投标人：（盖单位章）</w:t>
      </w:r>
    </w:p>
    <w:p>
      <w:pPr>
        <w:spacing w:line="440" w:lineRule="exact"/>
        <w:rPr>
          <w:rFonts w:cs="Calibri"/>
          <w:sz w:val="22"/>
          <w:szCs w:val="22"/>
        </w:rPr>
      </w:pPr>
      <w:r>
        <w:rPr>
          <w:rFonts w:cs="Calibri"/>
          <w:sz w:val="22"/>
          <w:szCs w:val="22"/>
        </w:rPr>
        <w:t>法定代表人：（签字或盖章）</w:t>
      </w:r>
    </w:p>
    <w:p>
      <w:pPr>
        <w:spacing w:line="440" w:lineRule="exact"/>
        <w:rPr>
          <w:rFonts w:cs="Calibri"/>
          <w:sz w:val="22"/>
          <w:szCs w:val="22"/>
        </w:rPr>
      </w:pPr>
      <w:r>
        <w:rPr>
          <w:rFonts w:cs="Calibri"/>
          <w:sz w:val="22"/>
          <w:szCs w:val="22"/>
        </w:rPr>
        <w:t>身份证号码：</w:t>
      </w:r>
    </w:p>
    <w:p>
      <w:pPr>
        <w:spacing w:line="440" w:lineRule="exact"/>
        <w:rPr>
          <w:rFonts w:cs="Calibri"/>
          <w:sz w:val="22"/>
          <w:szCs w:val="22"/>
        </w:rPr>
      </w:pPr>
    </w:p>
    <w:p>
      <w:pPr>
        <w:spacing w:line="440" w:lineRule="exact"/>
        <w:rPr>
          <w:rFonts w:cs="Calibri"/>
          <w:sz w:val="22"/>
          <w:szCs w:val="22"/>
        </w:rPr>
      </w:pPr>
      <w:r>
        <w:rPr>
          <w:rFonts w:cs="Calibri"/>
          <w:sz w:val="22"/>
          <w:szCs w:val="22"/>
        </w:rPr>
        <w:t>委托的代理人：（签字或盖章）</w:t>
      </w:r>
    </w:p>
    <w:p>
      <w:pPr>
        <w:spacing w:line="440" w:lineRule="exact"/>
        <w:rPr>
          <w:rFonts w:cs="Calibri"/>
          <w:sz w:val="22"/>
          <w:szCs w:val="22"/>
        </w:rPr>
      </w:pPr>
      <w:r>
        <w:rPr>
          <w:rFonts w:cs="Calibri"/>
          <w:sz w:val="22"/>
          <w:szCs w:val="22"/>
        </w:rPr>
        <w:t>身份证号码：</w:t>
      </w:r>
    </w:p>
    <w:p>
      <w:pPr>
        <w:spacing w:line="440" w:lineRule="exact"/>
        <w:ind w:firstLine="4730" w:firstLineChars="2150"/>
        <w:rPr>
          <w:rFonts w:cs="Calibri"/>
          <w:sz w:val="22"/>
          <w:szCs w:val="22"/>
        </w:rPr>
      </w:pPr>
      <w:r>
        <w:rPr>
          <w:rFonts w:cs="Calibri"/>
          <w:sz w:val="22"/>
          <w:szCs w:val="22"/>
        </w:rPr>
        <w:t>日期：</w:t>
      </w:r>
      <w:r>
        <w:rPr>
          <w:rFonts w:cs="Calibri"/>
          <w:sz w:val="22"/>
          <w:szCs w:val="22"/>
          <w:u w:val="single"/>
        </w:rPr>
        <w:t xml:space="preserve">      </w:t>
      </w:r>
      <w:r>
        <w:rPr>
          <w:rFonts w:cs="Calibri"/>
          <w:sz w:val="22"/>
          <w:szCs w:val="22"/>
        </w:rPr>
        <w:t>年</w:t>
      </w:r>
      <w:r>
        <w:rPr>
          <w:rFonts w:cs="Calibri"/>
          <w:sz w:val="22"/>
          <w:szCs w:val="22"/>
          <w:u w:val="single"/>
        </w:rPr>
        <w:t xml:space="preserve">      </w:t>
      </w:r>
      <w:r>
        <w:rPr>
          <w:rFonts w:cs="Calibri"/>
          <w:sz w:val="22"/>
          <w:szCs w:val="22"/>
        </w:rPr>
        <w:t>月</w:t>
      </w:r>
      <w:r>
        <w:rPr>
          <w:rFonts w:cs="Calibri"/>
          <w:sz w:val="22"/>
          <w:szCs w:val="22"/>
          <w:u w:val="single"/>
        </w:rPr>
        <w:t xml:space="preserve">      </w:t>
      </w:r>
      <w:r>
        <w:rPr>
          <w:rFonts w:cs="Calibri"/>
          <w:sz w:val="22"/>
          <w:szCs w:val="22"/>
        </w:rPr>
        <w:t>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58240"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2" name="Text Box 7"/>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upright="1"/>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qT3rB&#10;1wAAAAkBAAAPAAAAAAAAAAEAIAAAACIAAABkcnMvZG93bnJldi54bWxQSwECFAAUAAAACACHTuJA&#10;AuPTQOkBAAD2AwAADgAAAAAAAAABACAAAAAmAQAAZHJzL2Uyb0RvYy54bWxQSwUGAAAAAAYABgBZ&#10;AQAAgQU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b/>
          <w:bCs/>
          <w:sz w:val="22"/>
          <w:szCs w:val="22"/>
        </w:rPr>
      </w:pPr>
      <w:r>
        <w:rPr>
          <w:rFonts w:cs="Calibri"/>
          <w:sz w:val="22"/>
          <w:szCs w:val="22"/>
        </w:rPr>
        <w:t>注：如投标文件由委托代理人签字或盖章的，投标文件必须附此授权委托书。</w:t>
      </w:r>
      <w:r>
        <w:rPr>
          <w:rFonts w:cs="Calibri"/>
          <w:b/>
          <w:bCs/>
          <w:sz w:val="22"/>
          <w:szCs w:val="22"/>
        </w:rPr>
        <w:t xml:space="preserve">     </w:t>
      </w:r>
    </w:p>
    <w:p>
      <w:pPr>
        <w:spacing w:line="360" w:lineRule="auto"/>
        <w:jc w:val="left"/>
        <w:rPr>
          <w:rFonts w:ascii="宋体" w:hAnsi="宋体" w:cs="宋体"/>
          <w:sz w:val="22"/>
        </w:rPr>
      </w:pPr>
    </w:p>
    <w:p>
      <w:pPr>
        <w:pStyle w:val="29"/>
        <w:spacing w:after="120" w:afterLines="50" w:line="360" w:lineRule="auto"/>
        <w:jc w:val="left"/>
        <w:rPr>
          <w:rFonts w:hAnsi="宋体" w:cs="宋体"/>
          <w:b/>
        </w:rPr>
      </w:pPr>
      <w:r>
        <w:rPr>
          <w:rFonts w:hAnsi="宋体" w:cs="宋体"/>
          <w:b/>
        </w:rPr>
        <w:br w:type="page"/>
      </w:r>
      <w:bookmarkStart w:id="117" w:name="_Toc133214309"/>
      <w:bookmarkStart w:id="118" w:name="_Toc137373398"/>
      <w:bookmarkStart w:id="119" w:name="_Toc133214102"/>
      <w:bookmarkStart w:id="120" w:name="_Toc144265958"/>
      <w:bookmarkStart w:id="121" w:name="_Toc133470542"/>
    </w:p>
    <w:p>
      <w:pPr>
        <w:pStyle w:val="29"/>
        <w:spacing w:after="120" w:afterLines="50" w:line="360" w:lineRule="auto"/>
        <w:jc w:val="left"/>
        <w:rPr>
          <w:rFonts w:hAnsi="宋体" w:cs="宋体"/>
          <w:sz w:val="22"/>
          <w:szCs w:val="22"/>
        </w:rPr>
      </w:pPr>
    </w:p>
    <w:p>
      <w:pPr>
        <w:numPr>
          <w:ilvl w:val="0"/>
          <w:numId w:val="8"/>
        </w:numPr>
        <w:spacing w:line="440" w:lineRule="exact"/>
        <w:jc w:val="center"/>
        <w:rPr>
          <w:rFonts w:eastAsia="黑体" w:cs="Calibri"/>
          <w:sz w:val="32"/>
          <w:szCs w:val="32"/>
        </w:rPr>
      </w:pPr>
      <w:r>
        <w:rPr>
          <w:rFonts w:eastAsia="黑体" w:cs="Calibri"/>
          <w:sz w:val="32"/>
          <w:szCs w:val="32"/>
        </w:rPr>
        <w:t>投标报价表</w:t>
      </w:r>
    </w:p>
    <w:p>
      <w:pPr>
        <w:pStyle w:val="29"/>
        <w:numPr>
          <w:ilvl w:val="1"/>
          <w:numId w:val="9"/>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29"/>
        <w:numPr>
          <w:ilvl w:val="1"/>
          <w:numId w:val="10"/>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9"/>
        <w:numPr>
          <w:ilvl w:val="1"/>
          <w:numId w:val="10"/>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9"/>
        <w:numPr>
          <w:ilvl w:val="1"/>
          <w:numId w:val="10"/>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9"/>
        <w:numPr>
          <w:ilvl w:val="1"/>
          <w:numId w:val="10"/>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29"/>
        <w:numPr>
          <w:ilvl w:val="1"/>
          <w:numId w:val="10"/>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9"/>
        <w:numPr>
          <w:ilvl w:val="1"/>
          <w:numId w:val="10"/>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29"/>
        <w:numPr>
          <w:ilvl w:val="1"/>
          <w:numId w:val="9"/>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ascii="宋体" w:hAnsi="宋体" w:cs="宋体"/>
          <w:sz w:val="22"/>
        </w:rPr>
      </w:pPr>
      <w:r>
        <w:rPr>
          <w:rFonts w:hint="eastAsia" w:ascii="宋体" w:hAnsi="宋体" w:cs="宋体"/>
          <w:sz w:val="22"/>
        </w:rPr>
        <w:t>(2)设备费分项报价表</w:t>
      </w:r>
    </w:p>
    <w:p>
      <w:pPr>
        <w:snapToGrid w:val="0"/>
        <w:spacing w:before="120" w:beforeLines="50" w:line="360" w:lineRule="exact"/>
        <w:ind w:left="1134"/>
        <w:rPr>
          <w:rFonts w:ascii="宋体" w:hAnsi="宋体" w:cs="宋体"/>
          <w:sz w:val="22"/>
        </w:rPr>
      </w:pPr>
      <w:r>
        <w:rPr>
          <w:rFonts w:hint="eastAsia" w:ascii="宋体" w:hAnsi="宋体" w:cs="宋体"/>
          <w:sz w:val="22"/>
        </w:rPr>
        <w:t>(3)随机配件和专用工具分项报价表</w:t>
      </w:r>
    </w:p>
    <w:p>
      <w:pPr>
        <w:snapToGrid w:val="0"/>
        <w:spacing w:before="120" w:beforeLines="50" w:line="360" w:lineRule="exact"/>
        <w:ind w:left="1134"/>
        <w:rPr>
          <w:rFonts w:ascii="宋体" w:hAnsi="宋体" w:cs="宋体"/>
          <w:sz w:val="22"/>
        </w:rPr>
      </w:pPr>
      <w:r>
        <w:rPr>
          <w:rFonts w:hint="eastAsia" w:ascii="宋体" w:hAnsi="宋体" w:cs="宋体"/>
          <w:sz w:val="22"/>
        </w:rPr>
        <w:t>(4)备品备件分项报价表（不计入总价）</w:t>
      </w:r>
    </w:p>
    <w:p>
      <w:pPr>
        <w:snapToGrid w:val="0"/>
        <w:spacing w:before="120" w:beforeLines="50" w:line="360" w:lineRule="exact"/>
        <w:ind w:left="1134"/>
        <w:rPr>
          <w:rFonts w:ascii="宋体" w:hAnsi="宋体" w:cs="宋体"/>
          <w:sz w:val="22"/>
        </w:rPr>
      </w:pPr>
      <w:r>
        <w:rPr>
          <w:rFonts w:ascii="宋体" w:hAnsi="宋体" w:cs="宋体"/>
          <w:sz w:val="22"/>
        </w:rPr>
        <w:br w:type="page"/>
      </w:r>
    </w:p>
    <w:p>
      <w:pPr>
        <w:numPr>
          <w:ilvl w:val="255"/>
          <w:numId w:val="0"/>
        </w:numPr>
        <w:spacing w:line="440" w:lineRule="exact"/>
        <w:jc w:val="center"/>
        <w:rPr>
          <w:rFonts w:eastAsia="黑体" w:cs="Calibri"/>
          <w:sz w:val="32"/>
          <w:szCs w:val="32"/>
        </w:rPr>
      </w:pPr>
      <w:r>
        <w:rPr>
          <w:rFonts w:hint="eastAsia" w:ascii="宋体" w:hAnsi="宋体" w:cs="宋体"/>
          <w:b/>
          <w:sz w:val="32"/>
          <w:szCs w:val="32"/>
        </w:rPr>
        <w:t>4.1 投标报价汇总表</w:t>
      </w:r>
    </w:p>
    <w:p>
      <w:pPr>
        <w:jc w:val="right"/>
        <w:rPr>
          <w:rFonts w:ascii="Calibri" w:hAnsi="Calibri" w:eastAsia="黑体" w:cs="Calibri"/>
          <w:sz w:val="32"/>
          <w:szCs w:val="32"/>
        </w:rPr>
      </w:pPr>
      <w:r>
        <w:rPr>
          <w:rFonts w:hint="eastAsia" w:cs="Calibri"/>
          <w:bCs/>
        </w:rPr>
        <w:t>单位：万元</w:t>
      </w:r>
    </w:p>
    <w:tbl>
      <w:tblPr>
        <w:tblStyle w:val="5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226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2268"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报价（含税）</w:t>
            </w:r>
          </w:p>
        </w:tc>
        <w:tc>
          <w:tcPr>
            <w:tcW w:w="2268"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rPr>
            </w:pPr>
            <w:r>
              <w:rPr>
                <w:rFonts w:cs="Calibri"/>
                <w:bCs/>
                <w:szCs w:val="21"/>
              </w:rPr>
              <w:t>1</w:t>
            </w:r>
          </w:p>
        </w:tc>
        <w:tc>
          <w:tcPr>
            <w:tcW w:w="3155" w:type="dxa"/>
            <w:vAlign w:val="center"/>
          </w:tcPr>
          <w:p>
            <w:pPr>
              <w:jc w:val="center"/>
              <w:rPr>
                <w:rFonts w:cs="Calibri"/>
                <w:szCs w:val="21"/>
              </w:rPr>
            </w:pPr>
          </w:p>
        </w:tc>
        <w:tc>
          <w:tcPr>
            <w:tcW w:w="2268" w:type="dxa"/>
            <w:tcBorders>
              <w:left w:val="single" w:color="auto" w:sz="4" w:space="0"/>
            </w:tcBorders>
            <w:vAlign w:val="center"/>
          </w:tcPr>
          <w:p>
            <w:pPr>
              <w:jc w:val="right"/>
              <w:rPr>
                <w:rFonts w:cs="Calibri"/>
                <w:bCs/>
                <w:szCs w:val="21"/>
              </w:rPr>
            </w:pPr>
          </w:p>
        </w:tc>
        <w:tc>
          <w:tcPr>
            <w:tcW w:w="2268"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2</w:t>
            </w:r>
          </w:p>
        </w:tc>
        <w:tc>
          <w:tcPr>
            <w:tcW w:w="3155" w:type="dxa"/>
            <w:vAlign w:val="center"/>
          </w:tcPr>
          <w:p>
            <w:pPr>
              <w:jc w:val="center"/>
              <w:rPr>
                <w:rFonts w:cs="Calibri"/>
                <w:szCs w:val="21"/>
              </w:rPr>
            </w:pPr>
          </w:p>
        </w:tc>
        <w:tc>
          <w:tcPr>
            <w:tcW w:w="2268" w:type="dxa"/>
            <w:tcBorders>
              <w:left w:val="single" w:color="auto" w:sz="4" w:space="0"/>
            </w:tcBorders>
            <w:vAlign w:val="center"/>
          </w:tcPr>
          <w:p>
            <w:pPr>
              <w:jc w:val="right"/>
              <w:rPr>
                <w:rFonts w:cs="Calibri"/>
                <w:bCs/>
                <w:szCs w:val="21"/>
              </w:rPr>
            </w:pPr>
          </w:p>
        </w:tc>
        <w:tc>
          <w:tcPr>
            <w:tcW w:w="2268"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3</w:t>
            </w:r>
          </w:p>
        </w:tc>
        <w:tc>
          <w:tcPr>
            <w:tcW w:w="3155" w:type="dxa"/>
            <w:vAlign w:val="center"/>
          </w:tcPr>
          <w:p>
            <w:pPr>
              <w:jc w:val="center"/>
              <w:rPr>
                <w:rFonts w:cs="Calibri"/>
                <w:szCs w:val="21"/>
              </w:rPr>
            </w:pPr>
          </w:p>
        </w:tc>
        <w:tc>
          <w:tcPr>
            <w:tcW w:w="2268" w:type="dxa"/>
            <w:tcBorders>
              <w:left w:val="single" w:color="auto" w:sz="4" w:space="0"/>
            </w:tcBorders>
            <w:vAlign w:val="center"/>
          </w:tcPr>
          <w:p>
            <w:pPr>
              <w:jc w:val="right"/>
              <w:rPr>
                <w:rFonts w:cs="Calibri"/>
                <w:bCs/>
                <w:szCs w:val="21"/>
              </w:rPr>
            </w:pPr>
          </w:p>
        </w:tc>
        <w:tc>
          <w:tcPr>
            <w:tcW w:w="2268"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4</w:t>
            </w:r>
          </w:p>
        </w:tc>
        <w:tc>
          <w:tcPr>
            <w:tcW w:w="3155" w:type="dxa"/>
            <w:vAlign w:val="center"/>
          </w:tcPr>
          <w:p>
            <w:pPr>
              <w:jc w:val="center"/>
              <w:rPr>
                <w:rFonts w:cs="Calibri"/>
                <w:szCs w:val="21"/>
              </w:rPr>
            </w:pPr>
          </w:p>
        </w:tc>
        <w:tc>
          <w:tcPr>
            <w:tcW w:w="2268" w:type="dxa"/>
            <w:tcBorders>
              <w:left w:val="single" w:color="auto" w:sz="4" w:space="0"/>
            </w:tcBorders>
            <w:vAlign w:val="center"/>
          </w:tcPr>
          <w:p>
            <w:pPr>
              <w:jc w:val="right"/>
              <w:rPr>
                <w:rFonts w:cs="Calibri"/>
                <w:bCs/>
                <w:szCs w:val="21"/>
              </w:rPr>
            </w:pPr>
          </w:p>
        </w:tc>
        <w:tc>
          <w:tcPr>
            <w:tcW w:w="2268"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p>
        </w:tc>
        <w:tc>
          <w:tcPr>
            <w:tcW w:w="2268" w:type="dxa"/>
            <w:tcBorders>
              <w:left w:val="single" w:color="auto" w:sz="4" w:space="0"/>
            </w:tcBorders>
            <w:vAlign w:val="center"/>
          </w:tcPr>
          <w:p>
            <w:pPr>
              <w:jc w:val="right"/>
              <w:rPr>
                <w:rFonts w:cs="Calibri"/>
                <w:bCs/>
                <w:szCs w:val="21"/>
              </w:rPr>
            </w:pPr>
          </w:p>
        </w:tc>
        <w:tc>
          <w:tcPr>
            <w:tcW w:w="2268"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计（不含税）</w:t>
            </w:r>
          </w:p>
        </w:tc>
        <w:tc>
          <w:tcPr>
            <w:tcW w:w="2268" w:type="dxa"/>
            <w:tcBorders>
              <w:left w:val="single" w:color="auto" w:sz="4" w:space="0"/>
            </w:tcBorders>
            <w:vAlign w:val="center"/>
          </w:tcPr>
          <w:p>
            <w:pPr>
              <w:jc w:val="right"/>
              <w:rPr>
                <w:rFonts w:cs="Calibri"/>
                <w:bCs/>
                <w:szCs w:val="21"/>
              </w:rPr>
            </w:pPr>
          </w:p>
        </w:tc>
        <w:tc>
          <w:tcPr>
            <w:tcW w:w="2268"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税率</w:t>
            </w:r>
          </w:p>
        </w:tc>
        <w:tc>
          <w:tcPr>
            <w:tcW w:w="2268" w:type="dxa"/>
            <w:tcBorders>
              <w:left w:val="single" w:color="auto" w:sz="4" w:space="0"/>
            </w:tcBorders>
            <w:vAlign w:val="center"/>
          </w:tcPr>
          <w:p>
            <w:pPr>
              <w:jc w:val="right"/>
              <w:rPr>
                <w:rFonts w:cs="Calibri"/>
                <w:bCs/>
                <w:szCs w:val="21"/>
              </w:rPr>
            </w:pPr>
          </w:p>
        </w:tc>
        <w:tc>
          <w:tcPr>
            <w:tcW w:w="2268"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计（含税）</w:t>
            </w:r>
          </w:p>
        </w:tc>
        <w:tc>
          <w:tcPr>
            <w:tcW w:w="2268" w:type="dxa"/>
            <w:tcBorders>
              <w:left w:val="single" w:color="auto" w:sz="4" w:space="0"/>
            </w:tcBorders>
            <w:vAlign w:val="center"/>
          </w:tcPr>
          <w:p>
            <w:pPr>
              <w:jc w:val="right"/>
              <w:rPr>
                <w:rFonts w:cs="Calibri"/>
                <w:bCs/>
                <w:szCs w:val="21"/>
              </w:rPr>
            </w:pPr>
          </w:p>
        </w:tc>
        <w:tc>
          <w:tcPr>
            <w:tcW w:w="2268" w:type="dxa"/>
            <w:tcBorders>
              <w:left w:val="single" w:color="auto" w:sz="4" w:space="0"/>
            </w:tcBorders>
            <w:vAlign w:val="center"/>
          </w:tcPr>
          <w:p>
            <w:pPr>
              <w:jc w:val="right"/>
              <w:rPr>
                <w:rFonts w:cs="Calibri"/>
                <w:bCs/>
                <w:szCs w:val="21"/>
              </w:rPr>
            </w:pPr>
          </w:p>
        </w:tc>
      </w:tr>
    </w:tbl>
    <w:p>
      <w:pPr>
        <w:pStyle w:val="29"/>
        <w:spacing w:after="120" w:afterLines="50" w:line="360" w:lineRule="auto"/>
        <w:jc w:val="center"/>
        <w:rPr>
          <w:rFonts w:hAnsi="宋体" w:cs="宋体"/>
        </w:rPr>
      </w:pPr>
    </w:p>
    <w:bookmarkEnd w:id="117"/>
    <w:bookmarkEnd w:id="118"/>
    <w:bookmarkEnd w:id="119"/>
    <w:bookmarkEnd w:id="120"/>
    <w:bookmarkEnd w:id="121"/>
    <w:p>
      <w:pPr>
        <w:snapToGrid w:val="0"/>
        <w:spacing w:before="120" w:beforeLines="50" w:line="360" w:lineRule="exact"/>
        <w:ind w:left="1134"/>
        <w:rPr>
          <w:rFonts w:ascii="宋体" w:hAnsi="宋体" w:cs="宋体"/>
          <w:sz w:val="22"/>
        </w:rPr>
      </w:pPr>
    </w:p>
    <w:p>
      <w:pPr>
        <w:spacing w:line="360" w:lineRule="auto"/>
        <w:jc w:val="center"/>
        <w:rPr>
          <w:rFonts w:eastAsia="黑体" w:cs="Calibri"/>
          <w:sz w:val="32"/>
          <w:szCs w:val="32"/>
        </w:rPr>
      </w:pPr>
      <w:r>
        <w:rPr>
          <w:rFonts w:hint="eastAsia" w:eastAsia="黑体" w:cs="Calibri"/>
          <w:sz w:val="32"/>
          <w:szCs w:val="32"/>
        </w:rPr>
        <w:br w:type="page"/>
      </w:r>
    </w:p>
    <w:p>
      <w:pPr>
        <w:spacing w:line="360" w:lineRule="auto"/>
        <w:jc w:val="center"/>
        <w:rPr>
          <w:rFonts w:ascii="宋体" w:hAnsi="宋体" w:cs="宋体"/>
          <w:sz w:val="22"/>
        </w:rPr>
      </w:pPr>
      <w:r>
        <w:rPr>
          <w:rFonts w:hint="eastAsia" w:eastAsia="黑体" w:cs="Calibri"/>
          <w:sz w:val="32"/>
          <w:szCs w:val="32"/>
        </w:rPr>
        <w:t>五、详细技术方案</w:t>
      </w:r>
      <w:r>
        <w:rPr>
          <w:rFonts w:ascii="宋体" w:hAnsi="宋体" w:cs="宋体"/>
          <w:sz w:val="22"/>
        </w:rPr>
        <w:br w:type="page"/>
      </w:r>
    </w:p>
    <w:p>
      <w:pPr>
        <w:spacing w:line="440" w:lineRule="exact"/>
        <w:jc w:val="center"/>
        <w:rPr>
          <w:rFonts w:ascii="宋体" w:hAnsi="宋体" w:cs="Arial"/>
          <w:b/>
          <w:sz w:val="22"/>
        </w:rPr>
      </w:pPr>
    </w:p>
    <w:p>
      <w:pPr>
        <w:spacing w:line="440" w:lineRule="exact"/>
        <w:jc w:val="center"/>
        <w:rPr>
          <w:rFonts w:eastAsia="黑体" w:cs="Calibri"/>
          <w:sz w:val="32"/>
          <w:szCs w:val="32"/>
        </w:rPr>
      </w:pPr>
      <w:r>
        <w:rPr>
          <w:rFonts w:hint="eastAsia" w:eastAsia="黑体" w:cs="Calibri"/>
          <w:sz w:val="32"/>
          <w:szCs w:val="32"/>
        </w:rPr>
        <w:t>六</w:t>
      </w:r>
      <w:r>
        <w:rPr>
          <w:rFonts w:eastAsia="黑体" w:cs="Calibri"/>
          <w:sz w:val="32"/>
          <w:szCs w:val="32"/>
        </w:rPr>
        <w:t>、投标人资格证明文件</w:t>
      </w:r>
    </w:p>
    <w:p>
      <w:pPr>
        <w:spacing w:line="440" w:lineRule="exact"/>
        <w:jc w:val="center"/>
        <w:rPr>
          <w:rFonts w:eastAsia="黑体" w:cs="Calibri"/>
          <w:sz w:val="32"/>
          <w:szCs w:val="32"/>
        </w:rPr>
      </w:pPr>
    </w:p>
    <w:p>
      <w:pPr>
        <w:spacing w:line="440" w:lineRule="exact"/>
        <w:jc w:val="center"/>
        <w:rPr>
          <w:rFonts w:eastAsia="黑体" w:cs="Calibri"/>
          <w:sz w:val="32"/>
          <w:szCs w:val="32"/>
        </w:rPr>
      </w:pPr>
      <w:r>
        <w:rPr>
          <w:rFonts w:eastAsia="黑体" w:cs="Calibri"/>
          <w:sz w:val="32"/>
          <w:szCs w:val="32"/>
        </w:rPr>
        <w:t>（一）投标人一般情况</w:t>
      </w:r>
    </w:p>
    <w:tbl>
      <w:tblPr>
        <w:tblStyle w:val="52"/>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企业技术</w:t>
            </w:r>
          </w:p>
          <w:p>
            <w:pPr>
              <w:snapToGrid w:val="0"/>
              <w:jc w:val="center"/>
              <w:rPr>
                <w:rFonts w:cs="Calibri"/>
                <w:szCs w:val="21"/>
              </w:rPr>
            </w:pPr>
            <w:r>
              <w:rPr>
                <w:rFonts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p>
            <w:pPr>
              <w:snapToGrid w:val="0"/>
              <w:ind w:firstLine="240" w:firstLineChars="100"/>
              <w:jc w:val="center"/>
              <w:rPr>
                <w:rFonts w:cs="Calibri"/>
                <w:szCs w:val="21"/>
              </w:rPr>
            </w:pPr>
            <w:r>
              <w:rPr>
                <w:rFonts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ind w:firstLine="240" w:firstLineChars="100"/>
              <w:jc w:val="center"/>
              <w:rPr>
                <w:rFonts w:cs="Calibri"/>
                <w:szCs w:val="21"/>
              </w:rPr>
            </w:pPr>
            <w:r>
              <w:rPr>
                <w:rFonts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联系人姓名</w:t>
            </w:r>
          </w:p>
          <w:p>
            <w:pPr>
              <w:snapToGrid w:val="0"/>
              <w:jc w:val="center"/>
              <w:rPr>
                <w:rFonts w:cs="Calibri"/>
                <w:szCs w:val="21"/>
              </w:rPr>
            </w:pPr>
            <w:r>
              <w:rPr>
                <w:rFonts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过去3年完成</w:t>
            </w:r>
          </w:p>
          <w:p>
            <w:pPr>
              <w:snapToGrid w:val="0"/>
              <w:jc w:val="center"/>
              <w:rPr>
                <w:rFonts w:cs="Calibri"/>
                <w:szCs w:val="21"/>
              </w:rPr>
            </w:pPr>
            <w:r>
              <w:rPr>
                <w:rFonts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r>
    </w:tbl>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widowControl/>
        <w:jc w:val="left"/>
        <w:rPr>
          <w:rFonts w:cs="Calibri"/>
          <w:b/>
          <w:sz w:val="36"/>
          <w:szCs w:val="36"/>
        </w:rPr>
      </w:pPr>
    </w:p>
    <w:p>
      <w:pPr>
        <w:spacing w:line="440" w:lineRule="exact"/>
        <w:jc w:val="center"/>
        <w:rPr>
          <w:rFonts w:eastAsia="黑体" w:cs="Calibri"/>
          <w:sz w:val="32"/>
          <w:szCs w:val="32"/>
        </w:rPr>
      </w:pPr>
      <w:r>
        <w:rPr>
          <w:rFonts w:eastAsia="黑体" w:cs="Calibri"/>
          <w:sz w:val="32"/>
          <w:szCs w:val="32"/>
        </w:rPr>
        <w:t>（二）</w:t>
      </w:r>
      <w:r>
        <w:rPr>
          <w:rFonts w:hint="eastAsia" w:eastAsia="黑体" w:cs="Calibri"/>
          <w:sz w:val="32"/>
          <w:szCs w:val="32"/>
        </w:rPr>
        <w:t>2016年1月1日至投标截止日</w:t>
      </w:r>
      <w:r>
        <w:rPr>
          <w:rFonts w:eastAsia="黑体" w:cs="Calibri"/>
          <w:sz w:val="32"/>
          <w:szCs w:val="32"/>
        </w:rPr>
        <w:t>CDM电子进程单</w:t>
      </w:r>
      <w:r>
        <w:rPr>
          <w:rFonts w:hint="eastAsia" w:eastAsia="黑体" w:cs="Calibri"/>
          <w:sz w:val="32"/>
          <w:szCs w:val="32"/>
        </w:rPr>
        <w:t>相关项目的业绩</w:t>
      </w:r>
      <w:r>
        <w:rPr>
          <w:rFonts w:eastAsia="黑体" w:cs="Calibri"/>
          <w:sz w:val="32"/>
          <w:szCs w:val="32"/>
        </w:rPr>
        <w:t>情况</w:t>
      </w:r>
    </w:p>
    <w:p>
      <w:pPr>
        <w:spacing w:line="360" w:lineRule="auto"/>
        <w:jc w:val="left"/>
        <w:rPr>
          <w:rFonts w:cs="Calibri"/>
          <w:szCs w:val="21"/>
        </w:rPr>
      </w:pPr>
    </w:p>
    <w:p>
      <w:pPr>
        <w:spacing w:line="360" w:lineRule="auto"/>
        <w:jc w:val="left"/>
        <w:rPr>
          <w:rFonts w:cs="Calibri"/>
          <w:b/>
          <w:sz w:val="36"/>
          <w:szCs w:val="36"/>
        </w:rPr>
      </w:pPr>
      <w:r>
        <w:rPr>
          <w:rFonts w:cs="Calibri"/>
          <w:szCs w:val="21"/>
        </w:rPr>
        <w:t>注：附</w:t>
      </w:r>
      <w:r>
        <w:rPr>
          <w:rFonts w:hint="eastAsia" w:cs="Calibri"/>
          <w:szCs w:val="21"/>
        </w:rPr>
        <w:t>服务</w:t>
      </w:r>
      <w:r>
        <w:rPr>
          <w:rFonts w:cs="Calibri"/>
          <w:szCs w:val="21"/>
        </w:rPr>
        <w:t>合同等相应证明文件</w:t>
      </w:r>
    </w:p>
    <w:p>
      <w:pPr>
        <w:widowControl/>
        <w:jc w:val="left"/>
        <w:rPr>
          <w:rFonts w:ascii="宋体" w:hAnsi="宋体"/>
          <w:sz w:val="22"/>
          <w:szCs w:val="22"/>
        </w:rPr>
      </w:pPr>
      <w:r>
        <w:rPr>
          <w:rFonts w:ascii="宋体" w:hAnsi="宋体"/>
          <w:sz w:val="22"/>
          <w:szCs w:val="22"/>
        </w:rPr>
        <w:br w:type="page"/>
      </w:r>
    </w:p>
    <w:p>
      <w:pPr>
        <w:spacing w:line="440" w:lineRule="exact"/>
        <w:jc w:val="center"/>
        <w:rPr>
          <w:rFonts w:eastAsia="黑体" w:cs="Calibri"/>
          <w:sz w:val="32"/>
          <w:szCs w:val="32"/>
        </w:rPr>
      </w:pPr>
      <w:r>
        <w:rPr>
          <w:rFonts w:hint="eastAsia" w:eastAsia="黑体" w:cs="Calibri"/>
          <w:sz w:val="32"/>
          <w:szCs w:val="32"/>
        </w:rPr>
        <w:t>七</w:t>
      </w:r>
      <w:r>
        <w:rPr>
          <w:rFonts w:eastAsia="黑体" w:cs="Calibri"/>
          <w:sz w:val="32"/>
          <w:szCs w:val="32"/>
        </w:rPr>
        <w:t>、</w:t>
      </w:r>
      <w:r>
        <w:rPr>
          <w:rFonts w:hint="eastAsia" w:eastAsia="黑体" w:cs="Calibri"/>
          <w:sz w:val="32"/>
          <w:szCs w:val="32"/>
        </w:rPr>
        <w:t>服务大纲</w:t>
      </w:r>
    </w:p>
    <w:p>
      <w:pPr>
        <w:spacing w:line="440" w:lineRule="exact"/>
        <w:jc w:val="center"/>
        <w:rPr>
          <w:rFonts w:eastAsia="黑体" w:cs="Calibri"/>
          <w:sz w:val="32"/>
          <w:szCs w:val="32"/>
        </w:rPr>
      </w:pPr>
      <w:r>
        <w:rPr>
          <w:rFonts w:eastAsia="黑体" w:cs="Calibri"/>
          <w:sz w:val="32"/>
          <w:szCs w:val="32"/>
        </w:rPr>
        <w:t>（</w:t>
      </w:r>
      <w:r>
        <w:rPr>
          <w:rFonts w:hint="eastAsia" w:eastAsia="黑体" w:cs="Calibri"/>
          <w:sz w:val="32"/>
          <w:szCs w:val="32"/>
        </w:rPr>
        <w:t>一</w:t>
      </w:r>
      <w:r>
        <w:rPr>
          <w:rFonts w:eastAsia="黑体" w:cs="Calibri"/>
          <w:sz w:val="32"/>
          <w:szCs w:val="32"/>
        </w:rPr>
        <w:t>）项目负责人简介</w:t>
      </w:r>
    </w:p>
    <w:tbl>
      <w:tblPr>
        <w:tblStyle w:val="52"/>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336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40" w:firstLineChars="100"/>
              <w:rPr>
                <w:rFonts w:cs="Calibri"/>
                <w:szCs w:val="21"/>
              </w:rPr>
            </w:pPr>
            <w:r>
              <w:rPr>
                <w:rFonts w:cs="Calibri"/>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40" w:firstLineChars="100"/>
              <w:jc w:val="center"/>
              <w:rPr>
                <w:rFonts w:cs="Calibri"/>
                <w:szCs w:val="21"/>
              </w:rPr>
            </w:pPr>
            <w:r>
              <w:rPr>
                <w:rFonts w:cs="Calibri"/>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31"/>
              <w:snapToGrid w:val="0"/>
              <w:ind w:left="6000"/>
              <w:rPr>
                <w:rFonts w:ascii="Calibri" w:hAnsi="Calibri"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31"/>
              <w:snapToGrid w:val="0"/>
              <w:ind w:left="6000"/>
              <w:rPr>
                <w:rFonts w:ascii="Calibri" w:hAnsi="Calibri" w:cs="Calibri"/>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rPr>
          <w:rFonts w:cs="Calibri"/>
        </w:rPr>
      </w:pPr>
    </w:p>
    <w:p>
      <w:pPr>
        <w:spacing w:line="360" w:lineRule="auto"/>
        <w:rPr>
          <w:rFonts w:cs="Calibri"/>
        </w:rPr>
      </w:pPr>
    </w:p>
    <w:p>
      <w:pPr>
        <w:spacing w:line="440" w:lineRule="exact"/>
        <w:jc w:val="center"/>
        <w:rPr>
          <w:rFonts w:eastAsia="黑体" w:cs="Calibri"/>
          <w:sz w:val="32"/>
          <w:szCs w:val="32"/>
        </w:rPr>
      </w:pPr>
      <w:r>
        <w:rPr>
          <w:rFonts w:eastAsia="黑体" w:cs="Calibri"/>
          <w:sz w:val="32"/>
          <w:szCs w:val="32"/>
        </w:rPr>
        <w:t>（五）主要参与</w:t>
      </w:r>
      <w:r>
        <w:rPr>
          <w:rFonts w:hint="eastAsia" w:eastAsia="黑体" w:cs="Calibri"/>
          <w:sz w:val="32"/>
          <w:szCs w:val="32"/>
        </w:rPr>
        <w:t>服务</w:t>
      </w:r>
      <w:r>
        <w:rPr>
          <w:rFonts w:eastAsia="黑体" w:cs="Calibri"/>
          <w:sz w:val="32"/>
          <w:szCs w:val="32"/>
        </w:rPr>
        <w:t>人员简介</w:t>
      </w:r>
    </w:p>
    <w:tbl>
      <w:tblPr>
        <w:tblStyle w:val="52"/>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14"/>
              <w:snapToGrid w:val="0"/>
              <w:ind w:firstLine="241"/>
              <w:jc w:val="center"/>
              <w:rPr>
                <w:rFonts w:ascii="Calibri" w:hAnsi="Calibri" w:cs="Calibri"/>
                <w:bCs/>
                <w:szCs w:val="21"/>
              </w:rPr>
            </w:pPr>
            <w:r>
              <w:rPr>
                <w:rFonts w:ascii="Calibri" w:hAnsi="Calibri" w:cs="Calibri"/>
                <w:bCs/>
                <w:szCs w:val="21"/>
              </w:rPr>
              <w:t>岗位名称</w:t>
            </w:r>
          </w:p>
        </w:tc>
        <w:tc>
          <w:tcPr>
            <w:tcW w:w="1540" w:type="dxa"/>
            <w:vAlign w:val="center"/>
          </w:tcPr>
          <w:p>
            <w:pPr>
              <w:pStyle w:val="14"/>
              <w:snapToGrid w:val="0"/>
              <w:ind w:firstLine="241"/>
              <w:jc w:val="center"/>
              <w:rPr>
                <w:rFonts w:ascii="Calibri" w:hAnsi="Calibri" w:cs="Calibri"/>
                <w:bCs/>
                <w:szCs w:val="21"/>
              </w:rPr>
            </w:pPr>
            <w:r>
              <w:rPr>
                <w:rFonts w:ascii="Calibri" w:hAnsi="Calibri" w:cs="Calibri"/>
                <w:bCs/>
                <w:szCs w:val="21"/>
              </w:rPr>
              <w:t>姓名</w:t>
            </w:r>
          </w:p>
        </w:tc>
        <w:tc>
          <w:tcPr>
            <w:tcW w:w="1520" w:type="dxa"/>
            <w:vAlign w:val="center"/>
          </w:tcPr>
          <w:p>
            <w:pPr>
              <w:pStyle w:val="14"/>
              <w:snapToGrid w:val="0"/>
              <w:ind w:firstLine="241"/>
              <w:jc w:val="center"/>
              <w:rPr>
                <w:rFonts w:ascii="Calibri" w:hAnsi="Calibri" w:cs="Calibri"/>
                <w:bCs/>
                <w:szCs w:val="21"/>
              </w:rPr>
            </w:pPr>
            <w:r>
              <w:rPr>
                <w:rFonts w:ascii="Calibri" w:hAnsi="Calibri" w:cs="Calibri"/>
                <w:bCs/>
                <w:szCs w:val="21"/>
              </w:rPr>
              <w:t>执业资格/职称</w:t>
            </w:r>
          </w:p>
        </w:tc>
        <w:tc>
          <w:tcPr>
            <w:tcW w:w="1620" w:type="dxa"/>
            <w:vAlign w:val="center"/>
          </w:tcPr>
          <w:p>
            <w:pPr>
              <w:snapToGrid w:val="0"/>
              <w:jc w:val="center"/>
              <w:rPr>
                <w:rFonts w:cs="Calibri"/>
                <w:bCs/>
                <w:szCs w:val="21"/>
              </w:rPr>
            </w:pPr>
            <w:r>
              <w:rPr>
                <w:rFonts w:cs="Calibri"/>
                <w:bCs/>
                <w:szCs w:val="21"/>
              </w:rPr>
              <w:t>本项目</w:t>
            </w:r>
          </w:p>
          <w:p>
            <w:pPr>
              <w:snapToGrid w:val="0"/>
              <w:jc w:val="center"/>
              <w:rPr>
                <w:rFonts w:cs="Calibri"/>
                <w:bCs/>
                <w:szCs w:val="21"/>
              </w:rPr>
            </w:pPr>
            <w:r>
              <w:rPr>
                <w:rFonts w:cs="Calibri"/>
                <w:bCs/>
                <w:szCs w:val="21"/>
              </w:rPr>
              <w:t>拟任职务</w:t>
            </w:r>
          </w:p>
        </w:tc>
        <w:tc>
          <w:tcPr>
            <w:tcW w:w="2880" w:type="dxa"/>
            <w:vAlign w:val="center"/>
          </w:tcPr>
          <w:p>
            <w:pPr>
              <w:snapToGrid w:val="0"/>
              <w:jc w:val="center"/>
              <w:rPr>
                <w:rFonts w:cs="Calibri"/>
                <w:bCs/>
                <w:szCs w:val="21"/>
              </w:rPr>
            </w:pPr>
            <w:r>
              <w:rPr>
                <w:rFonts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4"/>
              <w:snapToGrid w:val="0"/>
              <w:ind w:firstLine="241"/>
              <w:jc w:val="center"/>
              <w:rPr>
                <w:rFonts w:ascii="Calibri" w:hAnsi="Calibri" w:cs="Calibri"/>
                <w:szCs w:val="21"/>
              </w:rPr>
            </w:pPr>
          </w:p>
        </w:tc>
        <w:tc>
          <w:tcPr>
            <w:tcW w:w="1540" w:type="dxa"/>
          </w:tcPr>
          <w:p>
            <w:pPr>
              <w:pStyle w:val="14"/>
              <w:snapToGrid w:val="0"/>
              <w:ind w:firstLine="241"/>
              <w:jc w:val="center"/>
              <w:rPr>
                <w:rFonts w:ascii="Calibri" w:hAnsi="Calibri" w:cs="Calibri"/>
                <w:szCs w:val="21"/>
              </w:rPr>
            </w:pPr>
          </w:p>
        </w:tc>
        <w:tc>
          <w:tcPr>
            <w:tcW w:w="1520" w:type="dxa"/>
          </w:tcPr>
          <w:p>
            <w:pPr>
              <w:pStyle w:val="14"/>
              <w:snapToGrid w:val="0"/>
              <w:ind w:firstLine="241"/>
              <w:jc w:val="center"/>
              <w:rPr>
                <w:rFonts w:ascii="Calibri" w:hAnsi="Calibri" w:cs="Calibri"/>
                <w:szCs w:val="21"/>
              </w:rPr>
            </w:pPr>
          </w:p>
        </w:tc>
        <w:tc>
          <w:tcPr>
            <w:tcW w:w="1620" w:type="dxa"/>
          </w:tcPr>
          <w:p>
            <w:pPr>
              <w:pStyle w:val="14"/>
              <w:snapToGrid w:val="0"/>
              <w:ind w:firstLine="241"/>
              <w:jc w:val="center"/>
              <w:rPr>
                <w:rFonts w:ascii="Calibri" w:hAnsi="Calibri" w:cs="Calibri"/>
                <w:szCs w:val="21"/>
              </w:rPr>
            </w:pPr>
          </w:p>
        </w:tc>
        <w:tc>
          <w:tcPr>
            <w:tcW w:w="2880" w:type="dxa"/>
          </w:tcPr>
          <w:p>
            <w:pPr>
              <w:pStyle w:val="14"/>
              <w:snapToGrid w:val="0"/>
              <w:ind w:firstLine="241"/>
              <w:jc w:val="center"/>
              <w:rPr>
                <w:rFonts w:ascii="Calibri" w:hAnsi="Calibri"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4"/>
              <w:snapToGrid w:val="0"/>
              <w:ind w:firstLine="0"/>
              <w:rPr>
                <w:rFonts w:ascii="Calibri" w:hAnsi="Calibri" w:cs="Calibri"/>
                <w:szCs w:val="21"/>
              </w:rPr>
            </w:pPr>
          </w:p>
        </w:tc>
        <w:tc>
          <w:tcPr>
            <w:tcW w:w="1540" w:type="dxa"/>
          </w:tcPr>
          <w:p>
            <w:pPr>
              <w:pStyle w:val="14"/>
              <w:snapToGrid w:val="0"/>
              <w:ind w:firstLine="241"/>
              <w:jc w:val="center"/>
              <w:rPr>
                <w:rFonts w:ascii="Calibri" w:hAnsi="Calibri" w:cs="Calibri"/>
                <w:szCs w:val="21"/>
              </w:rPr>
            </w:pPr>
          </w:p>
        </w:tc>
        <w:tc>
          <w:tcPr>
            <w:tcW w:w="1520" w:type="dxa"/>
          </w:tcPr>
          <w:p>
            <w:pPr>
              <w:pStyle w:val="14"/>
              <w:snapToGrid w:val="0"/>
              <w:ind w:firstLine="241"/>
              <w:jc w:val="center"/>
              <w:rPr>
                <w:rFonts w:ascii="Calibri" w:hAnsi="Calibri" w:cs="Calibri"/>
                <w:szCs w:val="21"/>
              </w:rPr>
            </w:pPr>
          </w:p>
        </w:tc>
        <w:tc>
          <w:tcPr>
            <w:tcW w:w="1620" w:type="dxa"/>
          </w:tcPr>
          <w:p>
            <w:pPr>
              <w:pStyle w:val="14"/>
              <w:snapToGrid w:val="0"/>
              <w:ind w:firstLine="241"/>
              <w:jc w:val="center"/>
              <w:rPr>
                <w:rFonts w:ascii="Calibri" w:hAnsi="Calibri" w:cs="Calibri"/>
                <w:szCs w:val="21"/>
              </w:rPr>
            </w:pPr>
          </w:p>
        </w:tc>
        <w:tc>
          <w:tcPr>
            <w:tcW w:w="2880" w:type="dxa"/>
          </w:tcPr>
          <w:p>
            <w:pPr>
              <w:pStyle w:val="14"/>
              <w:snapToGrid w:val="0"/>
              <w:ind w:firstLine="241"/>
              <w:jc w:val="center"/>
              <w:rPr>
                <w:rFonts w:ascii="Calibri" w:hAnsi="Calibri"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4"/>
              <w:snapToGrid w:val="0"/>
              <w:ind w:firstLine="0"/>
              <w:rPr>
                <w:rFonts w:ascii="Calibri" w:hAnsi="Calibri" w:cs="Calibri"/>
                <w:szCs w:val="21"/>
              </w:rPr>
            </w:pPr>
          </w:p>
        </w:tc>
        <w:tc>
          <w:tcPr>
            <w:tcW w:w="1540" w:type="dxa"/>
          </w:tcPr>
          <w:p>
            <w:pPr>
              <w:pStyle w:val="14"/>
              <w:snapToGrid w:val="0"/>
              <w:ind w:firstLine="241"/>
              <w:jc w:val="center"/>
              <w:rPr>
                <w:rFonts w:ascii="Calibri" w:hAnsi="Calibri" w:cs="Calibri"/>
                <w:szCs w:val="21"/>
              </w:rPr>
            </w:pPr>
          </w:p>
        </w:tc>
        <w:tc>
          <w:tcPr>
            <w:tcW w:w="1520" w:type="dxa"/>
          </w:tcPr>
          <w:p>
            <w:pPr>
              <w:pStyle w:val="14"/>
              <w:snapToGrid w:val="0"/>
              <w:ind w:firstLine="241"/>
              <w:jc w:val="center"/>
              <w:rPr>
                <w:rFonts w:ascii="Calibri" w:hAnsi="Calibri" w:cs="Calibri"/>
                <w:szCs w:val="21"/>
              </w:rPr>
            </w:pPr>
          </w:p>
        </w:tc>
        <w:tc>
          <w:tcPr>
            <w:tcW w:w="1620" w:type="dxa"/>
          </w:tcPr>
          <w:p>
            <w:pPr>
              <w:pStyle w:val="14"/>
              <w:snapToGrid w:val="0"/>
              <w:ind w:firstLine="241"/>
              <w:jc w:val="center"/>
              <w:rPr>
                <w:rFonts w:ascii="Calibri" w:hAnsi="Calibri" w:cs="Calibri"/>
                <w:szCs w:val="21"/>
              </w:rPr>
            </w:pPr>
          </w:p>
        </w:tc>
        <w:tc>
          <w:tcPr>
            <w:tcW w:w="2880" w:type="dxa"/>
          </w:tcPr>
          <w:p>
            <w:pPr>
              <w:pStyle w:val="14"/>
              <w:snapToGrid w:val="0"/>
              <w:ind w:firstLine="241"/>
              <w:jc w:val="center"/>
              <w:rPr>
                <w:rFonts w:ascii="Calibri" w:hAnsi="Calibri"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4"/>
              <w:snapToGrid w:val="0"/>
              <w:ind w:firstLine="0"/>
              <w:rPr>
                <w:rFonts w:ascii="Calibri" w:hAnsi="Calibri" w:cs="Calibri"/>
                <w:szCs w:val="21"/>
              </w:rPr>
            </w:pPr>
          </w:p>
        </w:tc>
        <w:tc>
          <w:tcPr>
            <w:tcW w:w="1540" w:type="dxa"/>
          </w:tcPr>
          <w:p>
            <w:pPr>
              <w:pStyle w:val="14"/>
              <w:snapToGrid w:val="0"/>
              <w:ind w:firstLine="241"/>
              <w:jc w:val="center"/>
              <w:rPr>
                <w:rFonts w:ascii="Calibri" w:hAnsi="Calibri" w:cs="Calibri"/>
                <w:szCs w:val="21"/>
              </w:rPr>
            </w:pPr>
          </w:p>
        </w:tc>
        <w:tc>
          <w:tcPr>
            <w:tcW w:w="1520" w:type="dxa"/>
          </w:tcPr>
          <w:p>
            <w:pPr>
              <w:pStyle w:val="14"/>
              <w:snapToGrid w:val="0"/>
              <w:ind w:firstLine="241"/>
              <w:jc w:val="center"/>
              <w:rPr>
                <w:rFonts w:ascii="Calibri" w:hAnsi="Calibri" w:cs="Calibri"/>
                <w:szCs w:val="21"/>
              </w:rPr>
            </w:pPr>
          </w:p>
        </w:tc>
        <w:tc>
          <w:tcPr>
            <w:tcW w:w="1620" w:type="dxa"/>
          </w:tcPr>
          <w:p>
            <w:pPr>
              <w:pStyle w:val="14"/>
              <w:snapToGrid w:val="0"/>
              <w:ind w:firstLine="241"/>
              <w:jc w:val="center"/>
              <w:rPr>
                <w:rFonts w:ascii="Calibri" w:hAnsi="Calibri" w:cs="Calibri"/>
                <w:szCs w:val="21"/>
              </w:rPr>
            </w:pPr>
          </w:p>
        </w:tc>
        <w:tc>
          <w:tcPr>
            <w:tcW w:w="2880" w:type="dxa"/>
          </w:tcPr>
          <w:p>
            <w:pPr>
              <w:pStyle w:val="14"/>
              <w:snapToGrid w:val="0"/>
              <w:ind w:firstLine="241"/>
              <w:jc w:val="center"/>
              <w:rPr>
                <w:rFonts w:ascii="Calibri" w:hAnsi="Calibri"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4"/>
              <w:snapToGrid w:val="0"/>
              <w:ind w:firstLine="0"/>
              <w:rPr>
                <w:rFonts w:ascii="Calibri" w:hAnsi="Calibri" w:cs="Calibri"/>
                <w:szCs w:val="21"/>
              </w:rPr>
            </w:pPr>
          </w:p>
        </w:tc>
        <w:tc>
          <w:tcPr>
            <w:tcW w:w="1540" w:type="dxa"/>
          </w:tcPr>
          <w:p>
            <w:pPr>
              <w:pStyle w:val="14"/>
              <w:snapToGrid w:val="0"/>
              <w:ind w:firstLine="241"/>
              <w:jc w:val="center"/>
              <w:rPr>
                <w:rFonts w:ascii="Calibri" w:hAnsi="Calibri" w:cs="Calibri"/>
                <w:szCs w:val="21"/>
              </w:rPr>
            </w:pPr>
          </w:p>
        </w:tc>
        <w:tc>
          <w:tcPr>
            <w:tcW w:w="1520" w:type="dxa"/>
          </w:tcPr>
          <w:p>
            <w:pPr>
              <w:pStyle w:val="14"/>
              <w:snapToGrid w:val="0"/>
              <w:ind w:firstLine="241"/>
              <w:jc w:val="center"/>
              <w:rPr>
                <w:rFonts w:ascii="Calibri" w:hAnsi="Calibri" w:cs="Calibri"/>
                <w:szCs w:val="21"/>
              </w:rPr>
            </w:pPr>
          </w:p>
        </w:tc>
        <w:tc>
          <w:tcPr>
            <w:tcW w:w="1620" w:type="dxa"/>
          </w:tcPr>
          <w:p>
            <w:pPr>
              <w:pStyle w:val="14"/>
              <w:snapToGrid w:val="0"/>
              <w:ind w:firstLine="241"/>
              <w:jc w:val="center"/>
              <w:rPr>
                <w:rFonts w:ascii="Calibri" w:hAnsi="Calibri" w:cs="Calibri"/>
                <w:szCs w:val="21"/>
              </w:rPr>
            </w:pPr>
          </w:p>
        </w:tc>
        <w:tc>
          <w:tcPr>
            <w:tcW w:w="2880" w:type="dxa"/>
          </w:tcPr>
          <w:p>
            <w:pPr>
              <w:pStyle w:val="14"/>
              <w:snapToGrid w:val="0"/>
              <w:ind w:firstLine="241"/>
              <w:jc w:val="center"/>
              <w:rPr>
                <w:rFonts w:ascii="Calibri" w:hAnsi="Calibri"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4"/>
              <w:snapToGrid w:val="0"/>
              <w:ind w:firstLine="0"/>
              <w:rPr>
                <w:rFonts w:ascii="Calibri" w:hAnsi="Calibri" w:cs="Calibri"/>
                <w:szCs w:val="21"/>
              </w:rPr>
            </w:pPr>
          </w:p>
        </w:tc>
        <w:tc>
          <w:tcPr>
            <w:tcW w:w="1540" w:type="dxa"/>
          </w:tcPr>
          <w:p>
            <w:pPr>
              <w:pStyle w:val="14"/>
              <w:snapToGrid w:val="0"/>
              <w:ind w:firstLine="241"/>
              <w:jc w:val="center"/>
              <w:rPr>
                <w:rFonts w:ascii="Calibri" w:hAnsi="Calibri" w:cs="Calibri"/>
                <w:szCs w:val="21"/>
              </w:rPr>
            </w:pPr>
          </w:p>
        </w:tc>
        <w:tc>
          <w:tcPr>
            <w:tcW w:w="1520" w:type="dxa"/>
          </w:tcPr>
          <w:p>
            <w:pPr>
              <w:pStyle w:val="14"/>
              <w:snapToGrid w:val="0"/>
              <w:ind w:firstLine="241"/>
              <w:jc w:val="center"/>
              <w:rPr>
                <w:rFonts w:ascii="Calibri" w:hAnsi="Calibri" w:cs="Calibri"/>
                <w:szCs w:val="21"/>
              </w:rPr>
            </w:pPr>
          </w:p>
        </w:tc>
        <w:tc>
          <w:tcPr>
            <w:tcW w:w="1620" w:type="dxa"/>
          </w:tcPr>
          <w:p>
            <w:pPr>
              <w:pStyle w:val="14"/>
              <w:snapToGrid w:val="0"/>
              <w:ind w:firstLine="241"/>
              <w:jc w:val="center"/>
              <w:rPr>
                <w:rFonts w:ascii="Calibri" w:hAnsi="Calibri" w:cs="Calibri"/>
                <w:szCs w:val="21"/>
              </w:rPr>
            </w:pPr>
          </w:p>
        </w:tc>
        <w:tc>
          <w:tcPr>
            <w:tcW w:w="2880" w:type="dxa"/>
          </w:tcPr>
          <w:p>
            <w:pPr>
              <w:pStyle w:val="14"/>
              <w:snapToGrid w:val="0"/>
              <w:ind w:firstLine="241"/>
              <w:jc w:val="center"/>
              <w:rPr>
                <w:rFonts w:ascii="Calibri" w:hAnsi="Calibri"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4"/>
              <w:snapToGrid w:val="0"/>
              <w:ind w:firstLine="0"/>
              <w:rPr>
                <w:rFonts w:ascii="Calibri" w:hAnsi="Calibri" w:cs="Calibri"/>
                <w:szCs w:val="21"/>
              </w:rPr>
            </w:pPr>
          </w:p>
        </w:tc>
        <w:tc>
          <w:tcPr>
            <w:tcW w:w="1540" w:type="dxa"/>
          </w:tcPr>
          <w:p>
            <w:pPr>
              <w:pStyle w:val="14"/>
              <w:snapToGrid w:val="0"/>
              <w:ind w:firstLine="241"/>
              <w:jc w:val="center"/>
              <w:rPr>
                <w:rFonts w:ascii="Calibri" w:hAnsi="Calibri" w:cs="Calibri"/>
                <w:szCs w:val="21"/>
              </w:rPr>
            </w:pPr>
          </w:p>
        </w:tc>
        <w:tc>
          <w:tcPr>
            <w:tcW w:w="1520" w:type="dxa"/>
          </w:tcPr>
          <w:p>
            <w:pPr>
              <w:pStyle w:val="14"/>
              <w:snapToGrid w:val="0"/>
              <w:ind w:firstLine="241"/>
              <w:jc w:val="center"/>
              <w:rPr>
                <w:rFonts w:ascii="Calibri" w:hAnsi="Calibri" w:cs="Calibri"/>
                <w:szCs w:val="21"/>
              </w:rPr>
            </w:pPr>
          </w:p>
        </w:tc>
        <w:tc>
          <w:tcPr>
            <w:tcW w:w="1620" w:type="dxa"/>
          </w:tcPr>
          <w:p>
            <w:pPr>
              <w:pStyle w:val="14"/>
              <w:snapToGrid w:val="0"/>
              <w:ind w:firstLine="241"/>
              <w:jc w:val="center"/>
              <w:rPr>
                <w:rFonts w:ascii="Calibri" w:hAnsi="Calibri" w:cs="Calibri"/>
                <w:szCs w:val="21"/>
              </w:rPr>
            </w:pPr>
          </w:p>
        </w:tc>
        <w:tc>
          <w:tcPr>
            <w:tcW w:w="2880" w:type="dxa"/>
          </w:tcPr>
          <w:p>
            <w:pPr>
              <w:pStyle w:val="14"/>
              <w:snapToGrid w:val="0"/>
              <w:ind w:firstLine="241"/>
              <w:jc w:val="center"/>
              <w:rPr>
                <w:rFonts w:ascii="Calibri" w:hAnsi="Calibri"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4"/>
              <w:snapToGrid w:val="0"/>
              <w:ind w:firstLine="0"/>
              <w:rPr>
                <w:rFonts w:ascii="Calibri" w:hAnsi="Calibri" w:cs="Calibri"/>
                <w:szCs w:val="21"/>
              </w:rPr>
            </w:pPr>
          </w:p>
        </w:tc>
        <w:tc>
          <w:tcPr>
            <w:tcW w:w="1540" w:type="dxa"/>
          </w:tcPr>
          <w:p>
            <w:pPr>
              <w:pStyle w:val="14"/>
              <w:snapToGrid w:val="0"/>
              <w:ind w:firstLine="241"/>
              <w:jc w:val="center"/>
              <w:rPr>
                <w:rFonts w:ascii="Calibri" w:hAnsi="Calibri" w:cs="Calibri"/>
                <w:szCs w:val="21"/>
              </w:rPr>
            </w:pPr>
          </w:p>
        </w:tc>
        <w:tc>
          <w:tcPr>
            <w:tcW w:w="1520" w:type="dxa"/>
          </w:tcPr>
          <w:p>
            <w:pPr>
              <w:pStyle w:val="14"/>
              <w:snapToGrid w:val="0"/>
              <w:ind w:firstLine="241"/>
              <w:jc w:val="center"/>
              <w:rPr>
                <w:rFonts w:ascii="Calibri" w:hAnsi="Calibri" w:cs="Calibri"/>
                <w:szCs w:val="21"/>
              </w:rPr>
            </w:pPr>
          </w:p>
        </w:tc>
        <w:tc>
          <w:tcPr>
            <w:tcW w:w="1620" w:type="dxa"/>
          </w:tcPr>
          <w:p>
            <w:pPr>
              <w:pStyle w:val="14"/>
              <w:snapToGrid w:val="0"/>
              <w:ind w:firstLine="241"/>
              <w:jc w:val="center"/>
              <w:rPr>
                <w:rFonts w:ascii="Calibri" w:hAnsi="Calibri" w:cs="Calibri"/>
                <w:szCs w:val="21"/>
              </w:rPr>
            </w:pPr>
          </w:p>
        </w:tc>
        <w:tc>
          <w:tcPr>
            <w:tcW w:w="2880" w:type="dxa"/>
          </w:tcPr>
          <w:p>
            <w:pPr>
              <w:pStyle w:val="14"/>
              <w:snapToGrid w:val="0"/>
              <w:ind w:firstLine="241"/>
              <w:jc w:val="center"/>
              <w:rPr>
                <w:rFonts w:ascii="Calibri" w:hAnsi="Calibri"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4"/>
              <w:snapToGrid w:val="0"/>
              <w:ind w:firstLine="0"/>
              <w:rPr>
                <w:rFonts w:ascii="Calibri" w:hAnsi="Calibri" w:cs="Calibri"/>
                <w:szCs w:val="21"/>
              </w:rPr>
            </w:pPr>
          </w:p>
        </w:tc>
        <w:tc>
          <w:tcPr>
            <w:tcW w:w="1540" w:type="dxa"/>
          </w:tcPr>
          <w:p>
            <w:pPr>
              <w:pStyle w:val="14"/>
              <w:snapToGrid w:val="0"/>
              <w:ind w:firstLine="241"/>
              <w:jc w:val="center"/>
              <w:rPr>
                <w:rFonts w:ascii="Calibri" w:hAnsi="Calibri" w:cs="Calibri"/>
                <w:szCs w:val="21"/>
              </w:rPr>
            </w:pPr>
          </w:p>
        </w:tc>
        <w:tc>
          <w:tcPr>
            <w:tcW w:w="1520" w:type="dxa"/>
          </w:tcPr>
          <w:p>
            <w:pPr>
              <w:pStyle w:val="14"/>
              <w:snapToGrid w:val="0"/>
              <w:ind w:firstLine="241"/>
              <w:jc w:val="center"/>
              <w:rPr>
                <w:rFonts w:ascii="Calibri" w:hAnsi="Calibri" w:cs="Calibri"/>
                <w:szCs w:val="21"/>
              </w:rPr>
            </w:pPr>
          </w:p>
        </w:tc>
        <w:tc>
          <w:tcPr>
            <w:tcW w:w="1620" w:type="dxa"/>
          </w:tcPr>
          <w:p>
            <w:pPr>
              <w:pStyle w:val="14"/>
              <w:snapToGrid w:val="0"/>
              <w:ind w:firstLine="241"/>
              <w:jc w:val="center"/>
              <w:rPr>
                <w:rFonts w:ascii="Calibri" w:hAnsi="Calibri" w:cs="Calibri"/>
                <w:szCs w:val="21"/>
              </w:rPr>
            </w:pPr>
          </w:p>
        </w:tc>
        <w:tc>
          <w:tcPr>
            <w:tcW w:w="2880" w:type="dxa"/>
          </w:tcPr>
          <w:p>
            <w:pPr>
              <w:pStyle w:val="14"/>
              <w:snapToGrid w:val="0"/>
              <w:ind w:firstLine="241"/>
              <w:jc w:val="center"/>
              <w:rPr>
                <w:rFonts w:ascii="Calibri" w:hAnsi="Calibri"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440" w:lineRule="exact"/>
        <w:jc w:val="center"/>
        <w:rPr>
          <w:rFonts w:eastAsia="黑体" w:cs="Calibri"/>
          <w:sz w:val="32"/>
          <w:szCs w:val="32"/>
        </w:rPr>
      </w:pPr>
      <w:r>
        <w:rPr>
          <w:rFonts w:hint="eastAsia" w:eastAsia="黑体" w:cs="Calibri"/>
          <w:sz w:val="32"/>
          <w:szCs w:val="32"/>
        </w:rPr>
        <w:t>八、技术规格偏离表</w:t>
      </w:r>
    </w:p>
    <w:p>
      <w:pPr>
        <w:spacing w:line="560" w:lineRule="exact"/>
        <w:rPr>
          <w:rFonts w:ascii="宋体" w:hAnsi="宋体"/>
        </w:rPr>
      </w:pPr>
    </w:p>
    <w:tbl>
      <w:tblPr>
        <w:tblStyle w:val="52"/>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29"/>
        <w:adjustRightInd w:val="0"/>
        <w:snapToGrid w:val="0"/>
        <w:spacing w:line="560" w:lineRule="exact"/>
        <w:rPr>
          <w:rFonts w:hAnsi="宋体"/>
          <w:b/>
        </w:rPr>
      </w:pPr>
    </w:p>
    <w:p>
      <w:pPr>
        <w:spacing w:line="440" w:lineRule="exact"/>
        <w:jc w:val="center"/>
        <w:rPr>
          <w:rFonts w:eastAsia="黑体" w:cs="Calibri"/>
          <w:sz w:val="32"/>
          <w:szCs w:val="32"/>
        </w:rPr>
      </w:pPr>
      <w:r>
        <w:rPr>
          <w:rFonts w:hint="eastAsia" w:eastAsia="黑体" w:cs="Calibri"/>
          <w:sz w:val="32"/>
          <w:szCs w:val="32"/>
        </w:rPr>
        <w:t>九、</w:t>
      </w:r>
      <w:r>
        <w:rPr>
          <w:rFonts w:eastAsia="黑体" w:cs="Calibri"/>
          <w:sz w:val="32"/>
          <w:szCs w:val="32"/>
        </w:rPr>
        <w:t>商务条款响应</w:t>
      </w:r>
      <w:r>
        <w:rPr>
          <w:rFonts w:hint="eastAsia" w:eastAsia="黑体" w:cs="Calibri"/>
          <w:sz w:val="32"/>
          <w:szCs w:val="32"/>
        </w:rPr>
        <w:t>偏离</w:t>
      </w:r>
      <w:r>
        <w:rPr>
          <w:rFonts w:eastAsia="黑体" w:cs="Calibri"/>
          <w:sz w:val="32"/>
          <w:szCs w:val="32"/>
        </w:rPr>
        <w:t>表</w:t>
      </w:r>
    </w:p>
    <w:tbl>
      <w:tblPr>
        <w:tblStyle w:val="52"/>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r>
              <w:rPr>
                <w:rFonts w:hAnsi="宋体"/>
                <w:kern w:val="2"/>
                <w:sz w:val="21"/>
              </w:rPr>
              <w:t>序号</w:t>
            </w:r>
          </w:p>
        </w:tc>
        <w:tc>
          <w:tcPr>
            <w:tcW w:w="900" w:type="dxa"/>
            <w:vAlign w:val="center"/>
          </w:tcPr>
          <w:p>
            <w:pPr>
              <w:pStyle w:val="29"/>
              <w:adjustRightInd w:val="0"/>
              <w:snapToGrid w:val="0"/>
              <w:jc w:val="center"/>
              <w:rPr>
                <w:rFonts w:hAnsi="宋体"/>
                <w:kern w:val="2"/>
                <w:sz w:val="21"/>
              </w:rPr>
            </w:pPr>
            <w:r>
              <w:rPr>
                <w:rFonts w:hAnsi="宋体"/>
                <w:kern w:val="2"/>
                <w:sz w:val="21"/>
              </w:rPr>
              <w:t>内容</w:t>
            </w:r>
          </w:p>
        </w:tc>
        <w:tc>
          <w:tcPr>
            <w:tcW w:w="3510" w:type="dxa"/>
            <w:vAlign w:val="center"/>
          </w:tcPr>
          <w:p>
            <w:pPr>
              <w:pStyle w:val="29"/>
              <w:adjustRightInd w:val="0"/>
              <w:snapToGrid w:val="0"/>
              <w:jc w:val="center"/>
              <w:rPr>
                <w:rFonts w:hAnsi="宋体"/>
                <w:kern w:val="2"/>
                <w:sz w:val="21"/>
              </w:rPr>
            </w:pPr>
            <w:r>
              <w:rPr>
                <w:rFonts w:hAnsi="宋体"/>
                <w:kern w:val="2"/>
                <w:sz w:val="21"/>
              </w:rPr>
              <w:t>招标文件要求</w:t>
            </w:r>
          </w:p>
        </w:tc>
        <w:tc>
          <w:tcPr>
            <w:tcW w:w="3510" w:type="dxa"/>
            <w:vAlign w:val="center"/>
          </w:tcPr>
          <w:p>
            <w:pPr>
              <w:pStyle w:val="29"/>
              <w:adjustRightInd w:val="0"/>
              <w:snapToGrid w:val="0"/>
              <w:jc w:val="center"/>
              <w:rPr>
                <w:rFonts w:hAnsi="宋体"/>
                <w:kern w:val="2"/>
                <w:sz w:val="21"/>
              </w:rPr>
            </w:pPr>
            <w:r>
              <w:rPr>
                <w:rFonts w:hAnsi="宋体"/>
                <w:kern w:val="2"/>
                <w:sz w:val="21"/>
              </w:rPr>
              <w:t>投标文件对应内容</w:t>
            </w:r>
          </w:p>
        </w:tc>
        <w:tc>
          <w:tcPr>
            <w:tcW w:w="827" w:type="dxa"/>
            <w:vAlign w:val="center"/>
          </w:tcPr>
          <w:p>
            <w:pPr>
              <w:pStyle w:val="29"/>
              <w:adjustRightInd w:val="0"/>
              <w:snapToGrid w:val="0"/>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bl>
    <w:p>
      <w:pPr>
        <w:pStyle w:val="29"/>
        <w:adjustRightInd w:val="0"/>
        <w:snapToGrid w:val="0"/>
        <w:spacing w:line="560" w:lineRule="exact"/>
        <w:rPr>
          <w:rFonts w:hAnsi="宋体"/>
          <w:bCs/>
          <w:sz w:val="24"/>
          <w:szCs w:val="24"/>
        </w:rPr>
      </w:pPr>
    </w:p>
    <w:p>
      <w:pPr>
        <w:pStyle w:val="29"/>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spacing w:line="440" w:lineRule="exact"/>
        <w:jc w:val="center"/>
        <w:rPr>
          <w:rFonts w:eastAsia="黑体" w:cs="Calibri"/>
          <w:sz w:val="32"/>
          <w:szCs w:val="32"/>
        </w:rPr>
      </w:pPr>
    </w:p>
    <w:p>
      <w:pPr>
        <w:spacing w:line="440" w:lineRule="exact"/>
        <w:jc w:val="center"/>
        <w:rPr>
          <w:rFonts w:eastAsia="黑体" w:cs="Calibri"/>
          <w:sz w:val="32"/>
          <w:szCs w:val="32"/>
        </w:rPr>
      </w:pPr>
      <w:r>
        <w:rPr>
          <w:rFonts w:hint="eastAsia" w:eastAsia="黑体" w:cs="Calibri"/>
          <w:sz w:val="32"/>
          <w:szCs w:val="32"/>
        </w:rPr>
        <w:br w:type="page"/>
      </w:r>
    </w:p>
    <w:p>
      <w:pPr>
        <w:spacing w:line="440" w:lineRule="exact"/>
        <w:jc w:val="center"/>
        <w:rPr>
          <w:rFonts w:eastAsia="黑体" w:cs="Calibri"/>
          <w:sz w:val="32"/>
          <w:szCs w:val="32"/>
        </w:rPr>
      </w:pPr>
      <w:r>
        <w:rPr>
          <w:rFonts w:hint="eastAsia" w:eastAsia="黑体" w:cs="Calibri"/>
          <w:sz w:val="32"/>
          <w:szCs w:val="32"/>
        </w:rPr>
        <w:t>十、廉洁自律承诺书</w:t>
      </w:r>
    </w:p>
    <w:p>
      <w:pPr>
        <w:topLinePunct/>
        <w:jc w:val="center"/>
        <w:rPr>
          <w:rFonts w:ascii="宋体" w:hAnsi="宋体"/>
          <w:b/>
          <w:sz w:val="32"/>
          <w:szCs w:val="21"/>
        </w:rPr>
      </w:pPr>
    </w:p>
    <w:p>
      <w:pPr>
        <w:pStyle w:val="99"/>
        <w:adjustRightInd w:val="0"/>
        <w:snapToGrid w:val="0"/>
        <w:spacing w:line="240" w:lineRule="auto"/>
        <w:ind w:firstLine="0" w:firstLineChars="0"/>
        <w:rPr>
          <w:rFonts w:ascii="宋体" w:hAnsi="宋体"/>
          <w:szCs w:val="21"/>
        </w:rPr>
      </w:pPr>
    </w:p>
    <w:p>
      <w:pPr>
        <w:pStyle w:val="99"/>
        <w:adjustRightInd w:val="0"/>
        <w:snapToGrid w:val="0"/>
        <w:spacing w:line="240" w:lineRule="auto"/>
        <w:ind w:firstLine="0" w:firstLineChars="0"/>
        <w:rPr>
          <w:rFonts w:ascii="宋体" w:hAnsi="宋体"/>
          <w:szCs w:val="21"/>
        </w:rPr>
      </w:pPr>
      <w:r>
        <w:rPr>
          <w:rFonts w:hint="eastAsia" w:ascii="宋体" w:hAnsi="宋体"/>
          <w:szCs w:val="21"/>
        </w:rPr>
        <w:t>杭州萧山国际机场有限公司：</w:t>
      </w:r>
    </w:p>
    <w:p>
      <w:pPr>
        <w:pStyle w:val="99"/>
        <w:adjustRightInd w:val="0"/>
        <w:snapToGrid w:val="0"/>
        <w:spacing w:line="240" w:lineRule="auto"/>
        <w:rPr>
          <w:rFonts w:ascii="宋体" w:hAnsi="宋体"/>
          <w:szCs w:val="21"/>
        </w:rPr>
      </w:pPr>
    </w:p>
    <w:p>
      <w:pPr>
        <w:pStyle w:val="99"/>
        <w:adjustRightInd w:val="0"/>
        <w:snapToGrid w:val="0"/>
        <w:spacing w:line="240" w:lineRule="auto"/>
        <w:rPr>
          <w:rFonts w:ascii="宋体" w:hAnsi="宋体"/>
          <w:szCs w:val="21"/>
        </w:rPr>
      </w:pPr>
      <w:r>
        <w:rPr>
          <w:rFonts w:hint="eastAsia" w:ascii="宋体" w:hAnsi="宋体"/>
          <w:szCs w:val="21"/>
        </w:rPr>
        <w:t>我单位响应贵公司项目招标（竞争性谈判）要求，参加项目投标（竞争性谈判）。在投标过程中及中标后，我们将严格遵守国家法律法规要求，并郑重承诺：</w:t>
      </w:r>
    </w:p>
    <w:p>
      <w:pPr>
        <w:pStyle w:val="99"/>
        <w:adjustRightInd w:val="0"/>
        <w:snapToGrid w:val="0"/>
        <w:spacing w:line="240" w:lineRule="auto"/>
        <w:rPr>
          <w:rFonts w:ascii="宋体" w:hAnsi="宋体"/>
          <w:szCs w:val="21"/>
        </w:rPr>
      </w:pPr>
      <w:r>
        <w:rPr>
          <w:rFonts w:hint="eastAsia" w:ascii="宋体" w:hAnsi="宋体"/>
          <w:szCs w:val="21"/>
        </w:rPr>
        <w:t>一、不以任何形式向贵公司有关人员及部门赠送礼金礼物或其它代币券、回扣、中介费、咨询费等好处费；</w:t>
      </w:r>
    </w:p>
    <w:p>
      <w:pPr>
        <w:pStyle w:val="99"/>
        <w:adjustRightInd w:val="0"/>
        <w:snapToGrid w:val="0"/>
        <w:spacing w:line="240" w:lineRule="auto"/>
        <w:rPr>
          <w:rFonts w:ascii="宋体" w:hAnsi="宋体"/>
          <w:szCs w:val="21"/>
        </w:rPr>
      </w:pPr>
      <w:r>
        <w:rPr>
          <w:rFonts w:hint="eastAsia" w:ascii="宋体" w:hAnsi="宋体"/>
          <w:szCs w:val="21"/>
        </w:rPr>
        <w:t>二、不以任何名义为贵公司有关人员及部门报销应由贵公司或个人支付的费用；</w:t>
      </w:r>
    </w:p>
    <w:p>
      <w:pPr>
        <w:pStyle w:val="99"/>
        <w:adjustRightInd w:val="0"/>
        <w:snapToGrid w:val="0"/>
        <w:spacing w:line="240" w:lineRule="auto"/>
        <w:rPr>
          <w:rFonts w:ascii="宋体" w:hAnsi="宋体"/>
          <w:szCs w:val="21"/>
        </w:rPr>
      </w:pPr>
      <w:r>
        <w:rPr>
          <w:rFonts w:hint="eastAsia" w:ascii="宋体" w:hAnsi="宋体"/>
          <w:szCs w:val="21"/>
        </w:rPr>
        <w:t>三、不向贵公司有关人员及部门提供有可能影响公正的宴请和健身娱乐等活动；</w:t>
      </w:r>
    </w:p>
    <w:p>
      <w:pPr>
        <w:pStyle w:val="99"/>
        <w:adjustRightInd w:val="0"/>
        <w:snapToGrid w:val="0"/>
        <w:spacing w:line="240" w:lineRule="auto"/>
        <w:rPr>
          <w:rFonts w:ascii="宋体" w:hAnsi="宋体"/>
          <w:szCs w:val="21"/>
        </w:rPr>
      </w:pPr>
      <w:r>
        <w:rPr>
          <w:rFonts w:hint="eastAsia" w:ascii="宋体" w:hAnsi="宋体"/>
          <w:szCs w:val="21"/>
        </w:rPr>
        <w:t>四、不为贵公司有关人员出国（境）、旅游等提供方便；</w:t>
      </w:r>
    </w:p>
    <w:p>
      <w:pPr>
        <w:pStyle w:val="99"/>
        <w:adjustRightInd w:val="0"/>
        <w:snapToGrid w:val="0"/>
        <w:spacing w:line="240" w:lineRule="auto"/>
        <w:rPr>
          <w:rFonts w:ascii="宋体" w:hAnsi="宋体"/>
          <w:szCs w:val="21"/>
        </w:rPr>
      </w:pPr>
      <w:r>
        <w:rPr>
          <w:rFonts w:hint="eastAsia" w:ascii="宋体" w:hAnsi="宋体"/>
          <w:szCs w:val="21"/>
        </w:rPr>
        <w:t>五、不为贵公司有关人员个人装修住房、婚丧嫁娶、配偶子女工作安排等提供好处；</w:t>
      </w:r>
    </w:p>
    <w:p>
      <w:pPr>
        <w:pStyle w:val="99"/>
        <w:adjustRightInd w:val="0"/>
        <w:snapToGrid w:val="0"/>
        <w:spacing w:line="240" w:lineRule="auto"/>
        <w:rPr>
          <w:rFonts w:ascii="宋体" w:hAnsi="宋体"/>
          <w:szCs w:val="21"/>
        </w:rPr>
      </w:pPr>
      <w:r>
        <w:rPr>
          <w:rFonts w:hint="eastAsia" w:ascii="宋体" w:hAnsi="宋体"/>
          <w:szCs w:val="21"/>
        </w:rPr>
        <w:t>六、严格遵守国家招标投标法、政府采购法、合同法等法律规定，诚实守信，合法经营，坚决抵制各种违法违纪行为。若发现贵公司有关人员有故意设置障碍或推诿刁难我方人员参与正常投标及项目建设活动以索要好处等行为将及时向贵公司纪检监察部门举报，举报电话：0571－86661113。</w:t>
      </w:r>
    </w:p>
    <w:p>
      <w:pPr>
        <w:pStyle w:val="99"/>
        <w:adjustRightInd w:val="0"/>
        <w:snapToGrid w:val="0"/>
        <w:spacing w:line="240" w:lineRule="auto"/>
        <w:rPr>
          <w:rFonts w:ascii="宋体" w:hAnsi="宋体"/>
          <w:szCs w:val="21"/>
        </w:rPr>
      </w:pPr>
      <w:r>
        <w:rPr>
          <w:rFonts w:hint="eastAsia" w:ascii="宋体" w:hAnsi="宋体"/>
          <w:szCs w:val="21"/>
        </w:rPr>
        <w:t>如违反上述承诺，贵公司有权立即取消我单位投标、中标或在建项目的实施资格，有权拒绝我单位在一定时期内进入贵公司进行项目建设或其它经营活动，并扣除我方廉洁保证金。由此引起的相应损失均由我单位承担。</w:t>
      </w:r>
    </w:p>
    <w:p>
      <w:pPr>
        <w:pStyle w:val="99"/>
        <w:adjustRightInd w:val="0"/>
        <w:snapToGrid w:val="0"/>
        <w:spacing w:line="240" w:lineRule="auto"/>
        <w:ind w:firstLine="0" w:firstLineChars="0"/>
        <w:rPr>
          <w:rFonts w:ascii="宋体" w:hAnsi="宋体"/>
          <w:szCs w:val="21"/>
        </w:rPr>
      </w:pPr>
    </w:p>
    <w:p>
      <w:pPr>
        <w:pStyle w:val="99"/>
        <w:adjustRightInd w:val="0"/>
        <w:snapToGrid w:val="0"/>
        <w:spacing w:line="240" w:lineRule="auto"/>
        <w:ind w:firstLine="0" w:firstLineChars="0"/>
        <w:rPr>
          <w:rFonts w:ascii="宋体" w:hAnsi="宋体"/>
          <w:szCs w:val="21"/>
        </w:rPr>
      </w:pPr>
    </w:p>
    <w:p>
      <w:pPr>
        <w:pStyle w:val="99"/>
        <w:adjustRightInd w:val="0"/>
        <w:snapToGrid w:val="0"/>
        <w:spacing w:line="240" w:lineRule="auto"/>
        <w:ind w:firstLine="0" w:firstLineChars="0"/>
        <w:rPr>
          <w:rFonts w:ascii="宋体" w:hAnsi="宋体"/>
          <w:szCs w:val="21"/>
        </w:rPr>
      </w:pPr>
    </w:p>
    <w:p>
      <w:pPr>
        <w:pStyle w:val="99"/>
        <w:adjustRightInd w:val="0"/>
        <w:snapToGrid w:val="0"/>
        <w:spacing w:line="240" w:lineRule="auto"/>
        <w:ind w:firstLine="1050" w:firstLineChars="500"/>
        <w:rPr>
          <w:rFonts w:ascii="宋体" w:hAnsi="宋体"/>
          <w:szCs w:val="21"/>
        </w:rPr>
      </w:pPr>
      <w:r>
        <w:rPr>
          <w:rFonts w:hint="eastAsia" w:ascii="宋体" w:hAnsi="宋体"/>
          <w:szCs w:val="21"/>
        </w:rPr>
        <w:t>承诺人单位名称（盖章）：</w:t>
      </w:r>
    </w:p>
    <w:p>
      <w:pPr>
        <w:pStyle w:val="99"/>
        <w:adjustRightInd w:val="0"/>
        <w:snapToGrid w:val="0"/>
        <w:spacing w:line="240" w:lineRule="auto"/>
        <w:ind w:firstLine="1050" w:firstLineChars="500"/>
        <w:rPr>
          <w:rFonts w:ascii="宋体" w:hAnsi="宋体"/>
          <w:szCs w:val="21"/>
        </w:rPr>
      </w:pPr>
      <w:r>
        <w:rPr>
          <w:rFonts w:hint="eastAsia" w:ascii="宋体" w:hAnsi="宋体"/>
          <w:szCs w:val="21"/>
        </w:rPr>
        <w:t xml:space="preserve">法定代表人 ：                    </w:t>
      </w:r>
    </w:p>
    <w:p>
      <w:pPr>
        <w:pStyle w:val="99"/>
        <w:adjustRightInd w:val="0"/>
        <w:snapToGrid w:val="0"/>
        <w:spacing w:line="240" w:lineRule="auto"/>
        <w:ind w:firstLine="1050" w:firstLineChars="500"/>
        <w:rPr>
          <w:rFonts w:ascii="宋体" w:hAnsi="宋体"/>
          <w:szCs w:val="21"/>
        </w:rPr>
      </w:pPr>
      <w:r>
        <w:rPr>
          <w:rFonts w:hint="eastAsia" w:ascii="宋体" w:hAnsi="宋体"/>
          <w:szCs w:val="21"/>
        </w:rPr>
        <w:t xml:space="preserve">或                            </w:t>
      </w:r>
    </w:p>
    <w:p>
      <w:pPr>
        <w:pStyle w:val="99"/>
        <w:adjustRightInd w:val="0"/>
        <w:snapToGrid w:val="0"/>
        <w:spacing w:line="240" w:lineRule="auto"/>
        <w:ind w:firstLine="1050" w:firstLineChars="500"/>
        <w:rPr>
          <w:rFonts w:ascii="宋体" w:hAnsi="宋体"/>
          <w:szCs w:val="21"/>
        </w:rPr>
      </w:pPr>
      <w:r>
        <w:rPr>
          <w:rFonts w:hint="eastAsia" w:ascii="宋体" w:hAnsi="宋体"/>
          <w:szCs w:val="21"/>
        </w:rPr>
        <w:t xml:space="preserve">委托代理人：                   </w:t>
      </w:r>
    </w:p>
    <w:p>
      <w:pPr>
        <w:pStyle w:val="99"/>
        <w:adjustRightInd w:val="0"/>
        <w:snapToGrid w:val="0"/>
        <w:spacing w:line="240" w:lineRule="auto"/>
        <w:rPr>
          <w:rFonts w:ascii="宋体" w:hAnsi="宋体"/>
          <w:szCs w:val="21"/>
        </w:rPr>
      </w:pPr>
    </w:p>
    <w:p>
      <w:pPr>
        <w:pStyle w:val="99"/>
        <w:adjustRightInd w:val="0"/>
        <w:snapToGrid w:val="0"/>
        <w:spacing w:line="240" w:lineRule="auto"/>
        <w:ind w:firstLine="1050" w:firstLineChars="500"/>
        <w:rPr>
          <w:rFonts w:ascii="宋体" w:hAnsi="宋体"/>
          <w:szCs w:val="21"/>
        </w:rPr>
      </w:pPr>
      <w:r>
        <w:rPr>
          <w:rFonts w:hint="eastAsia" w:ascii="宋体" w:hAnsi="宋体"/>
          <w:szCs w:val="21"/>
        </w:rPr>
        <w:t xml:space="preserve">签订日期：　年  月  日  </w:t>
      </w:r>
    </w:p>
    <w:p>
      <w:pPr>
        <w:spacing w:line="440" w:lineRule="exact"/>
        <w:jc w:val="center"/>
        <w:rPr>
          <w:rFonts w:eastAsia="黑体" w:cs="Calibri"/>
          <w:sz w:val="32"/>
          <w:szCs w:val="32"/>
        </w:rPr>
      </w:pPr>
    </w:p>
    <w:p>
      <w:pPr>
        <w:widowControl/>
        <w:jc w:val="left"/>
        <w:rPr>
          <w:rFonts w:eastAsia="黑体" w:cs="Calibri"/>
          <w:sz w:val="32"/>
          <w:szCs w:val="32"/>
        </w:rPr>
      </w:pPr>
      <w:r>
        <w:rPr>
          <w:rFonts w:eastAsia="黑体" w:cs="Calibri"/>
          <w:sz w:val="32"/>
          <w:szCs w:val="32"/>
        </w:rPr>
        <w:br w:type="page"/>
      </w:r>
    </w:p>
    <w:p>
      <w:pPr>
        <w:spacing w:line="440" w:lineRule="exact"/>
        <w:jc w:val="center"/>
        <w:rPr>
          <w:rFonts w:eastAsia="黑体" w:cs="Calibri"/>
          <w:sz w:val="32"/>
          <w:szCs w:val="32"/>
        </w:rPr>
      </w:pPr>
      <w:r>
        <w:rPr>
          <w:rFonts w:hint="eastAsia" w:eastAsia="黑体" w:cs="Calibri"/>
          <w:sz w:val="32"/>
          <w:szCs w:val="32"/>
        </w:rPr>
        <w:t>十一</w:t>
      </w:r>
      <w:r>
        <w:rPr>
          <w:rFonts w:eastAsia="黑体" w:cs="Calibri"/>
          <w:sz w:val="32"/>
          <w:szCs w:val="32"/>
        </w:rPr>
        <w:t>、</w:t>
      </w:r>
      <w:r>
        <w:rPr>
          <w:rFonts w:hint="eastAsia" w:eastAsia="黑体" w:cs="Calibri"/>
          <w:sz w:val="32"/>
          <w:szCs w:val="32"/>
        </w:rPr>
        <w:t>投标人认为</w:t>
      </w:r>
      <w:r>
        <w:rPr>
          <w:rFonts w:eastAsia="黑体" w:cs="Calibri"/>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sz w:val="32"/>
          <w:szCs w:val="32"/>
        </w:rPr>
      </w:pPr>
    </w:p>
    <w:p/>
    <w:p/>
    <w:p/>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fldChar w:fldCharType="begin"/>
    </w:r>
    <w:r>
      <w:instrText xml:space="preserve"> PAGE   \* MERGEFORMAT </w:instrText>
    </w:r>
    <w:r>
      <w:fldChar w:fldCharType="separate"/>
    </w:r>
    <w:r>
      <w:rPr>
        <w:lang w:val="zh-CN"/>
      </w:rPr>
      <w:t>-</w:t>
    </w:r>
    <w:r>
      <w:t xml:space="preserve"> 3 -</w:t>
    </w:r>
    <w:r>
      <w:fldChar w:fldCharType="end"/>
    </w:r>
  </w:p>
  <w:p>
    <w:pPr>
      <w:pStyle w:val="3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5"/>
      </w:rPr>
    </w:pPr>
    <w:r>
      <w:fldChar w:fldCharType="begin"/>
    </w:r>
    <w:r>
      <w:rPr>
        <w:rStyle w:val="55"/>
      </w:rPr>
      <w:instrText xml:space="preserve">PAGE  </w:instrText>
    </w:r>
    <w:r>
      <w:fldChar w:fldCharType="end"/>
    </w:r>
  </w:p>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p>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5"/>
      </w:rPr>
    </w:pPr>
    <w:r>
      <w:fldChar w:fldCharType="begin"/>
    </w:r>
    <w:r>
      <w:rPr>
        <w:rStyle w:val="55"/>
      </w:rPr>
      <w:instrText xml:space="preserve">PAGE  </w:instrText>
    </w:r>
    <w:r>
      <w:fldChar w:fldCharType="separate"/>
    </w:r>
    <w:r>
      <w:rPr>
        <w:rStyle w:val="55"/>
      </w:rPr>
      <w:t>40</w:t>
    </w:r>
    <w:r>
      <w:fldChar w:fldCharType="end"/>
    </w:r>
  </w:p>
  <w:p>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utoSpaceDE w:val="0"/>
      <w:autoSpaceDN w:val="0"/>
      <w:jc w:val="center"/>
      <w:textAlignment w:val="bottom"/>
      <w:rPr>
        <w:rFonts w:ascii="黑体" w:hAnsi="黑体" w:eastAsia="黑体"/>
        <w:b/>
        <w:sz w:val="44"/>
        <w:szCs w:val="44"/>
      </w:rPr>
    </w:pPr>
  </w:p>
  <w:p>
    <w:pPr>
      <w:pStyle w:val="35"/>
      <w:pBdr>
        <w:bottom w:val="single" w:color="auto" w:sz="4" w:space="1"/>
      </w:pBdr>
      <w:rPr>
        <w:rFonts w:ascii="宋体" w:hAnsi="宋体"/>
        <w:color w:val="000000"/>
      </w:rPr>
    </w:pPr>
    <w:r>
      <w:rPr>
        <w:rFonts w:hint="eastAsia" w:ascii="宋体" w:hAnsi="宋体" w:cs="宋体"/>
      </w:rPr>
      <w:t>杭州萧山机场机坪塔台</w:t>
    </w:r>
    <w:r>
      <w:rPr>
        <w:rFonts w:ascii="宋体" w:hAnsi="宋体" w:cs="宋体"/>
      </w:rPr>
      <w:t>CDM</w:t>
    </w:r>
    <w:r>
      <w:rPr>
        <w:rFonts w:hint="eastAsia" w:ascii="宋体" w:hAnsi="宋体" w:cs="宋体"/>
      </w:rPr>
      <w:t>电子进程单系统建设项目</w:t>
    </w:r>
    <w:r>
      <w:rPr>
        <w:rFonts w:hint="eastAsia" w:ascii="宋体" w:hAnsi="宋体"/>
        <w:color w:val="000000"/>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tentative="0">
      <w:start w:val="1"/>
      <w:numFmt w:val="bullet"/>
      <w:pStyle w:val="26"/>
      <w:lvlText w:val=""/>
      <w:lvlJc w:val="left"/>
      <w:pPr>
        <w:tabs>
          <w:tab w:val="left" w:pos="780"/>
        </w:tabs>
        <w:ind w:left="780" w:hanging="360"/>
      </w:pPr>
      <w:rPr>
        <w:rFonts w:hint="default" w:ascii="Wingdings" w:hAnsi="Wingdings"/>
      </w:rPr>
    </w:lvl>
  </w:abstractNum>
  <w:abstractNum w:abstractNumId="1">
    <w:nsid w:val="FFFFFF89"/>
    <w:multiLevelType w:val="singleLevel"/>
    <w:tmpl w:val="FFFFFF89"/>
    <w:lvl w:ilvl="0" w:tentative="0">
      <w:start w:val="1"/>
      <w:numFmt w:val="bullet"/>
      <w:pStyle w:val="17"/>
      <w:lvlText w:val=""/>
      <w:lvlJc w:val="left"/>
      <w:pPr>
        <w:tabs>
          <w:tab w:val="left" w:pos="360"/>
        </w:tabs>
        <w:ind w:left="360" w:hanging="360"/>
      </w:pPr>
      <w:rPr>
        <w:rFonts w:hint="default" w:ascii="Wingdings" w:hAnsi="Wingdings"/>
      </w:rPr>
    </w:lvl>
  </w:abstractNum>
  <w:abstractNum w:abstractNumId="2">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5">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6">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7">
    <w:nsid w:val="5D5BA45F"/>
    <w:multiLevelType w:val="singleLevel"/>
    <w:tmpl w:val="5D5BA45F"/>
    <w:lvl w:ilvl="0" w:tentative="0">
      <w:start w:val="5"/>
      <w:numFmt w:val="decimal"/>
      <w:suff w:val="nothing"/>
      <w:lvlText w:val="%1、"/>
      <w:lvlJc w:val="left"/>
    </w:lvl>
  </w:abstractNum>
  <w:abstractNum w:abstractNumId="8">
    <w:nsid w:val="5D5E07D3"/>
    <w:multiLevelType w:val="singleLevel"/>
    <w:tmpl w:val="5D5E07D3"/>
    <w:lvl w:ilvl="0" w:tentative="0">
      <w:start w:val="4"/>
      <w:numFmt w:val="chineseCounting"/>
      <w:suff w:val="nothing"/>
      <w:lvlText w:val="%1、"/>
      <w:lvlJc w:val="left"/>
    </w:lvl>
  </w:abstractNum>
  <w:abstractNum w:abstractNumId="9">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01"/>
      <w:lvlText w:val=""/>
      <w:lvlJc w:val="left"/>
      <w:pPr>
        <w:tabs>
          <w:tab w:val="left" w:pos="3780"/>
        </w:tabs>
        <w:ind w:left="3780" w:hanging="420"/>
      </w:pPr>
      <w:rPr>
        <w:rFonts w:hint="default" w:ascii="Wingdings" w:hAnsi="Wingdings"/>
      </w:rPr>
    </w:lvl>
  </w:abstractNum>
  <w:num w:numId="1">
    <w:abstractNumId w:val="5"/>
  </w:num>
  <w:num w:numId="2">
    <w:abstractNumId w:val="1"/>
  </w:num>
  <w:num w:numId="3">
    <w:abstractNumId w:val="0"/>
  </w:num>
  <w:num w:numId="4">
    <w:abstractNumId w:val="9"/>
  </w:num>
  <w:num w:numId="5">
    <w:abstractNumId w:val="6"/>
  </w:num>
  <w:num w:numId="6">
    <w:abstractNumId w:val="7"/>
  </w:num>
  <w:num w:numId="7">
    <w:abstractNumId w:val="2"/>
  </w:num>
  <w:num w:numId="8">
    <w:abstractNumId w:val="8"/>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E7C"/>
    <w:rsid w:val="00000E11"/>
    <w:rsid w:val="000015F3"/>
    <w:rsid w:val="00001A73"/>
    <w:rsid w:val="000030D6"/>
    <w:rsid w:val="000031E1"/>
    <w:rsid w:val="000034E5"/>
    <w:rsid w:val="0000383F"/>
    <w:rsid w:val="000055A8"/>
    <w:rsid w:val="0000580A"/>
    <w:rsid w:val="000073AA"/>
    <w:rsid w:val="0001175B"/>
    <w:rsid w:val="000133F9"/>
    <w:rsid w:val="0001475B"/>
    <w:rsid w:val="00015F42"/>
    <w:rsid w:val="00016496"/>
    <w:rsid w:val="00017081"/>
    <w:rsid w:val="00020423"/>
    <w:rsid w:val="00020949"/>
    <w:rsid w:val="00021871"/>
    <w:rsid w:val="0002211A"/>
    <w:rsid w:val="0002246A"/>
    <w:rsid w:val="000225D0"/>
    <w:rsid w:val="00023C01"/>
    <w:rsid w:val="00024916"/>
    <w:rsid w:val="00024C71"/>
    <w:rsid w:val="00025488"/>
    <w:rsid w:val="000256F8"/>
    <w:rsid w:val="000258A1"/>
    <w:rsid w:val="000265B1"/>
    <w:rsid w:val="00031719"/>
    <w:rsid w:val="00031D1C"/>
    <w:rsid w:val="00034A17"/>
    <w:rsid w:val="00034D56"/>
    <w:rsid w:val="000352EE"/>
    <w:rsid w:val="00037A9A"/>
    <w:rsid w:val="00040BB8"/>
    <w:rsid w:val="00041960"/>
    <w:rsid w:val="00042AF1"/>
    <w:rsid w:val="00042AF2"/>
    <w:rsid w:val="00043847"/>
    <w:rsid w:val="0004475B"/>
    <w:rsid w:val="00044841"/>
    <w:rsid w:val="00046154"/>
    <w:rsid w:val="000465E4"/>
    <w:rsid w:val="00046AAE"/>
    <w:rsid w:val="00046C70"/>
    <w:rsid w:val="0004754F"/>
    <w:rsid w:val="00047F1C"/>
    <w:rsid w:val="00050230"/>
    <w:rsid w:val="00050465"/>
    <w:rsid w:val="00051259"/>
    <w:rsid w:val="000524CE"/>
    <w:rsid w:val="00052942"/>
    <w:rsid w:val="00053389"/>
    <w:rsid w:val="000541BF"/>
    <w:rsid w:val="00054D09"/>
    <w:rsid w:val="00055C78"/>
    <w:rsid w:val="00057BD6"/>
    <w:rsid w:val="00061F7C"/>
    <w:rsid w:val="00062EB1"/>
    <w:rsid w:val="000630C4"/>
    <w:rsid w:val="000641CE"/>
    <w:rsid w:val="000641DF"/>
    <w:rsid w:val="00064B20"/>
    <w:rsid w:val="00064D8E"/>
    <w:rsid w:val="000652DC"/>
    <w:rsid w:val="000654B8"/>
    <w:rsid w:val="00065734"/>
    <w:rsid w:val="000673E5"/>
    <w:rsid w:val="000677B8"/>
    <w:rsid w:val="00067A49"/>
    <w:rsid w:val="00070337"/>
    <w:rsid w:val="00070A0E"/>
    <w:rsid w:val="00070CD5"/>
    <w:rsid w:val="00071378"/>
    <w:rsid w:val="00071A79"/>
    <w:rsid w:val="00072B65"/>
    <w:rsid w:val="00074F71"/>
    <w:rsid w:val="00075F20"/>
    <w:rsid w:val="0007602A"/>
    <w:rsid w:val="00076145"/>
    <w:rsid w:val="00076514"/>
    <w:rsid w:val="00077CF2"/>
    <w:rsid w:val="00077EDE"/>
    <w:rsid w:val="000818A5"/>
    <w:rsid w:val="000818D4"/>
    <w:rsid w:val="00081AED"/>
    <w:rsid w:val="00082927"/>
    <w:rsid w:val="0008306E"/>
    <w:rsid w:val="00087354"/>
    <w:rsid w:val="00087818"/>
    <w:rsid w:val="00087978"/>
    <w:rsid w:val="00087E76"/>
    <w:rsid w:val="00090841"/>
    <w:rsid w:val="00091748"/>
    <w:rsid w:val="0009236A"/>
    <w:rsid w:val="00095703"/>
    <w:rsid w:val="00095A0C"/>
    <w:rsid w:val="00096CCA"/>
    <w:rsid w:val="00097323"/>
    <w:rsid w:val="00097687"/>
    <w:rsid w:val="000A1B3C"/>
    <w:rsid w:val="000A2187"/>
    <w:rsid w:val="000A234D"/>
    <w:rsid w:val="000A50FB"/>
    <w:rsid w:val="000A521D"/>
    <w:rsid w:val="000A52D7"/>
    <w:rsid w:val="000A55B3"/>
    <w:rsid w:val="000A6E10"/>
    <w:rsid w:val="000A6EE3"/>
    <w:rsid w:val="000B1193"/>
    <w:rsid w:val="000B3785"/>
    <w:rsid w:val="000B3E13"/>
    <w:rsid w:val="000B58D8"/>
    <w:rsid w:val="000B5C6E"/>
    <w:rsid w:val="000B5D8C"/>
    <w:rsid w:val="000B73EE"/>
    <w:rsid w:val="000C0D0E"/>
    <w:rsid w:val="000C2F18"/>
    <w:rsid w:val="000C41C3"/>
    <w:rsid w:val="000C52B5"/>
    <w:rsid w:val="000C54B2"/>
    <w:rsid w:val="000C64F0"/>
    <w:rsid w:val="000C6A41"/>
    <w:rsid w:val="000C75A5"/>
    <w:rsid w:val="000C7A25"/>
    <w:rsid w:val="000C7CD6"/>
    <w:rsid w:val="000C7E2F"/>
    <w:rsid w:val="000D0A10"/>
    <w:rsid w:val="000D2333"/>
    <w:rsid w:val="000D5139"/>
    <w:rsid w:val="000D5881"/>
    <w:rsid w:val="000D5D89"/>
    <w:rsid w:val="000D5DEC"/>
    <w:rsid w:val="000D62FE"/>
    <w:rsid w:val="000D6327"/>
    <w:rsid w:val="000E1A04"/>
    <w:rsid w:val="000E227A"/>
    <w:rsid w:val="000E40F5"/>
    <w:rsid w:val="000E4934"/>
    <w:rsid w:val="000E4B1D"/>
    <w:rsid w:val="000E4DAE"/>
    <w:rsid w:val="000E5603"/>
    <w:rsid w:val="000E57A1"/>
    <w:rsid w:val="000E6547"/>
    <w:rsid w:val="000E6E69"/>
    <w:rsid w:val="000E71BB"/>
    <w:rsid w:val="000E76DD"/>
    <w:rsid w:val="000F0F43"/>
    <w:rsid w:val="000F12D7"/>
    <w:rsid w:val="000F1A6C"/>
    <w:rsid w:val="000F2242"/>
    <w:rsid w:val="000F2FF0"/>
    <w:rsid w:val="000F3396"/>
    <w:rsid w:val="000F50BB"/>
    <w:rsid w:val="000F74B4"/>
    <w:rsid w:val="000F775C"/>
    <w:rsid w:val="000F7FE5"/>
    <w:rsid w:val="001015A5"/>
    <w:rsid w:val="00101D62"/>
    <w:rsid w:val="001030B6"/>
    <w:rsid w:val="00103356"/>
    <w:rsid w:val="001034E8"/>
    <w:rsid w:val="0010574B"/>
    <w:rsid w:val="00107EFC"/>
    <w:rsid w:val="00107F16"/>
    <w:rsid w:val="00107F31"/>
    <w:rsid w:val="00110ACF"/>
    <w:rsid w:val="00110BDF"/>
    <w:rsid w:val="00110CD7"/>
    <w:rsid w:val="001147BB"/>
    <w:rsid w:val="00115A77"/>
    <w:rsid w:val="00116B75"/>
    <w:rsid w:val="00117DFC"/>
    <w:rsid w:val="00120768"/>
    <w:rsid w:val="00121151"/>
    <w:rsid w:val="001218C5"/>
    <w:rsid w:val="00121CBD"/>
    <w:rsid w:val="001222CC"/>
    <w:rsid w:val="00122E3F"/>
    <w:rsid w:val="00123892"/>
    <w:rsid w:val="00126B0E"/>
    <w:rsid w:val="00130F85"/>
    <w:rsid w:val="0013188E"/>
    <w:rsid w:val="00131B54"/>
    <w:rsid w:val="001324A3"/>
    <w:rsid w:val="001343E7"/>
    <w:rsid w:val="00135866"/>
    <w:rsid w:val="0013634D"/>
    <w:rsid w:val="00137FE5"/>
    <w:rsid w:val="001421F8"/>
    <w:rsid w:val="00143D55"/>
    <w:rsid w:val="00144B32"/>
    <w:rsid w:val="00145010"/>
    <w:rsid w:val="00145076"/>
    <w:rsid w:val="00145110"/>
    <w:rsid w:val="00145607"/>
    <w:rsid w:val="00145D13"/>
    <w:rsid w:val="00146F4D"/>
    <w:rsid w:val="0014737E"/>
    <w:rsid w:val="001475B7"/>
    <w:rsid w:val="00150C2D"/>
    <w:rsid w:val="00151673"/>
    <w:rsid w:val="00153021"/>
    <w:rsid w:val="0015321C"/>
    <w:rsid w:val="001535E1"/>
    <w:rsid w:val="00153C1E"/>
    <w:rsid w:val="00154241"/>
    <w:rsid w:val="00154F37"/>
    <w:rsid w:val="00155E3A"/>
    <w:rsid w:val="00155EAC"/>
    <w:rsid w:val="00155EC7"/>
    <w:rsid w:val="00156053"/>
    <w:rsid w:val="00156DA3"/>
    <w:rsid w:val="00160481"/>
    <w:rsid w:val="001617AB"/>
    <w:rsid w:val="00161AA9"/>
    <w:rsid w:val="00162C2D"/>
    <w:rsid w:val="00162D89"/>
    <w:rsid w:val="001656A9"/>
    <w:rsid w:val="00165859"/>
    <w:rsid w:val="001660A9"/>
    <w:rsid w:val="00166FCF"/>
    <w:rsid w:val="00166FD1"/>
    <w:rsid w:val="00170C8F"/>
    <w:rsid w:val="001711A3"/>
    <w:rsid w:val="00171260"/>
    <w:rsid w:val="00173CD9"/>
    <w:rsid w:val="0017476B"/>
    <w:rsid w:val="00174B66"/>
    <w:rsid w:val="0018035A"/>
    <w:rsid w:val="001805F6"/>
    <w:rsid w:val="00180B68"/>
    <w:rsid w:val="00180E9B"/>
    <w:rsid w:val="00182641"/>
    <w:rsid w:val="00182662"/>
    <w:rsid w:val="00183113"/>
    <w:rsid w:val="001835DE"/>
    <w:rsid w:val="00184F3B"/>
    <w:rsid w:val="00185BEF"/>
    <w:rsid w:val="00187D3B"/>
    <w:rsid w:val="00190C9B"/>
    <w:rsid w:val="00191958"/>
    <w:rsid w:val="00191C96"/>
    <w:rsid w:val="001932CE"/>
    <w:rsid w:val="00193B78"/>
    <w:rsid w:val="00194C6F"/>
    <w:rsid w:val="0019503E"/>
    <w:rsid w:val="001951BD"/>
    <w:rsid w:val="00195218"/>
    <w:rsid w:val="00195684"/>
    <w:rsid w:val="00195818"/>
    <w:rsid w:val="00195D65"/>
    <w:rsid w:val="001A0179"/>
    <w:rsid w:val="001A085A"/>
    <w:rsid w:val="001A0F59"/>
    <w:rsid w:val="001A15E8"/>
    <w:rsid w:val="001A1707"/>
    <w:rsid w:val="001A3648"/>
    <w:rsid w:val="001A5AD1"/>
    <w:rsid w:val="001A6480"/>
    <w:rsid w:val="001A6D14"/>
    <w:rsid w:val="001A6FAC"/>
    <w:rsid w:val="001A7261"/>
    <w:rsid w:val="001A7A8C"/>
    <w:rsid w:val="001A7C45"/>
    <w:rsid w:val="001B1209"/>
    <w:rsid w:val="001B2D82"/>
    <w:rsid w:val="001B3B65"/>
    <w:rsid w:val="001B4475"/>
    <w:rsid w:val="001B7F9D"/>
    <w:rsid w:val="001C0177"/>
    <w:rsid w:val="001C0B47"/>
    <w:rsid w:val="001C0BC9"/>
    <w:rsid w:val="001C0CE9"/>
    <w:rsid w:val="001C17E1"/>
    <w:rsid w:val="001C1C2B"/>
    <w:rsid w:val="001C35B1"/>
    <w:rsid w:val="001C4F97"/>
    <w:rsid w:val="001C541F"/>
    <w:rsid w:val="001C6C73"/>
    <w:rsid w:val="001D00A1"/>
    <w:rsid w:val="001D0407"/>
    <w:rsid w:val="001D0876"/>
    <w:rsid w:val="001D3795"/>
    <w:rsid w:val="001D5264"/>
    <w:rsid w:val="001D52B7"/>
    <w:rsid w:val="001D6A84"/>
    <w:rsid w:val="001D6D9E"/>
    <w:rsid w:val="001D75D6"/>
    <w:rsid w:val="001E1EB5"/>
    <w:rsid w:val="001E1EBF"/>
    <w:rsid w:val="001E39AA"/>
    <w:rsid w:val="001E57D7"/>
    <w:rsid w:val="001E6760"/>
    <w:rsid w:val="001E6E53"/>
    <w:rsid w:val="001E72D2"/>
    <w:rsid w:val="001F0172"/>
    <w:rsid w:val="001F323F"/>
    <w:rsid w:val="001F34DB"/>
    <w:rsid w:val="001F4B40"/>
    <w:rsid w:val="001F4D52"/>
    <w:rsid w:val="001F632B"/>
    <w:rsid w:val="001F73FE"/>
    <w:rsid w:val="001F753B"/>
    <w:rsid w:val="001F7935"/>
    <w:rsid w:val="001F7BB1"/>
    <w:rsid w:val="0020104F"/>
    <w:rsid w:val="00201A74"/>
    <w:rsid w:val="00201E74"/>
    <w:rsid w:val="002028F7"/>
    <w:rsid w:val="00203185"/>
    <w:rsid w:val="00203780"/>
    <w:rsid w:val="00203A94"/>
    <w:rsid w:val="00203D33"/>
    <w:rsid w:val="002047D2"/>
    <w:rsid w:val="0020512E"/>
    <w:rsid w:val="00205BD4"/>
    <w:rsid w:val="00205E2E"/>
    <w:rsid w:val="002061C0"/>
    <w:rsid w:val="00207BCF"/>
    <w:rsid w:val="002104BE"/>
    <w:rsid w:val="0021223E"/>
    <w:rsid w:val="002124E2"/>
    <w:rsid w:val="002124ED"/>
    <w:rsid w:val="00212914"/>
    <w:rsid w:val="00212E94"/>
    <w:rsid w:val="00213DDD"/>
    <w:rsid w:val="00214732"/>
    <w:rsid w:val="00214FD0"/>
    <w:rsid w:val="00215797"/>
    <w:rsid w:val="0021626F"/>
    <w:rsid w:val="002162DB"/>
    <w:rsid w:val="00216DCF"/>
    <w:rsid w:val="00220549"/>
    <w:rsid w:val="00220575"/>
    <w:rsid w:val="00221923"/>
    <w:rsid w:val="00221E26"/>
    <w:rsid w:val="0022397D"/>
    <w:rsid w:val="00224A83"/>
    <w:rsid w:val="002275E4"/>
    <w:rsid w:val="00230401"/>
    <w:rsid w:val="002339A8"/>
    <w:rsid w:val="00233A7D"/>
    <w:rsid w:val="002353E5"/>
    <w:rsid w:val="00235BE5"/>
    <w:rsid w:val="0023649C"/>
    <w:rsid w:val="002367F5"/>
    <w:rsid w:val="00237D3E"/>
    <w:rsid w:val="00240125"/>
    <w:rsid w:val="00240902"/>
    <w:rsid w:val="00240F94"/>
    <w:rsid w:val="00241056"/>
    <w:rsid w:val="00241C07"/>
    <w:rsid w:val="00242306"/>
    <w:rsid w:val="00243F7D"/>
    <w:rsid w:val="00244818"/>
    <w:rsid w:val="00244953"/>
    <w:rsid w:val="00245FCE"/>
    <w:rsid w:val="002461AE"/>
    <w:rsid w:val="00246485"/>
    <w:rsid w:val="002468AD"/>
    <w:rsid w:val="00246CAF"/>
    <w:rsid w:val="00250BA1"/>
    <w:rsid w:val="00251929"/>
    <w:rsid w:val="00251D06"/>
    <w:rsid w:val="00252FA1"/>
    <w:rsid w:val="00255D6D"/>
    <w:rsid w:val="00256E24"/>
    <w:rsid w:val="00260977"/>
    <w:rsid w:val="00260D51"/>
    <w:rsid w:val="002610BB"/>
    <w:rsid w:val="00263368"/>
    <w:rsid w:val="00263532"/>
    <w:rsid w:val="002644C8"/>
    <w:rsid w:val="00267023"/>
    <w:rsid w:val="0026741F"/>
    <w:rsid w:val="00270946"/>
    <w:rsid w:val="00270CA4"/>
    <w:rsid w:val="00272534"/>
    <w:rsid w:val="00272766"/>
    <w:rsid w:val="00272E4B"/>
    <w:rsid w:val="00273838"/>
    <w:rsid w:val="00273940"/>
    <w:rsid w:val="00274556"/>
    <w:rsid w:val="00275F10"/>
    <w:rsid w:val="00276BF0"/>
    <w:rsid w:val="00277876"/>
    <w:rsid w:val="002779BD"/>
    <w:rsid w:val="00277AC3"/>
    <w:rsid w:val="0028026C"/>
    <w:rsid w:val="00280423"/>
    <w:rsid w:val="0028044E"/>
    <w:rsid w:val="00282B34"/>
    <w:rsid w:val="00282C0A"/>
    <w:rsid w:val="00282F69"/>
    <w:rsid w:val="0028301A"/>
    <w:rsid w:val="0028622D"/>
    <w:rsid w:val="002871EA"/>
    <w:rsid w:val="0029133D"/>
    <w:rsid w:val="00293C49"/>
    <w:rsid w:val="00295CCA"/>
    <w:rsid w:val="002960FF"/>
    <w:rsid w:val="00296695"/>
    <w:rsid w:val="002971ED"/>
    <w:rsid w:val="002A0240"/>
    <w:rsid w:val="002A0EA9"/>
    <w:rsid w:val="002A240D"/>
    <w:rsid w:val="002A2D76"/>
    <w:rsid w:val="002A366C"/>
    <w:rsid w:val="002A464E"/>
    <w:rsid w:val="002A4887"/>
    <w:rsid w:val="002A4AA1"/>
    <w:rsid w:val="002A4FF8"/>
    <w:rsid w:val="002A5123"/>
    <w:rsid w:val="002A5C11"/>
    <w:rsid w:val="002A7EBC"/>
    <w:rsid w:val="002B2A13"/>
    <w:rsid w:val="002B2A71"/>
    <w:rsid w:val="002B34B7"/>
    <w:rsid w:val="002B4FA7"/>
    <w:rsid w:val="002B591E"/>
    <w:rsid w:val="002B5A51"/>
    <w:rsid w:val="002B5FAF"/>
    <w:rsid w:val="002B67D2"/>
    <w:rsid w:val="002C023E"/>
    <w:rsid w:val="002C0D99"/>
    <w:rsid w:val="002C0FEB"/>
    <w:rsid w:val="002C136F"/>
    <w:rsid w:val="002C1B92"/>
    <w:rsid w:val="002C1BDB"/>
    <w:rsid w:val="002C2D6B"/>
    <w:rsid w:val="002C472A"/>
    <w:rsid w:val="002C5DA0"/>
    <w:rsid w:val="002C6244"/>
    <w:rsid w:val="002C649E"/>
    <w:rsid w:val="002C671E"/>
    <w:rsid w:val="002C6DCA"/>
    <w:rsid w:val="002D0ADB"/>
    <w:rsid w:val="002D1AE1"/>
    <w:rsid w:val="002D2835"/>
    <w:rsid w:val="002D2A8A"/>
    <w:rsid w:val="002D3A23"/>
    <w:rsid w:val="002D3E4C"/>
    <w:rsid w:val="002D420F"/>
    <w:rsid w:val="002D526A"/>
    <w:rsid w:val="002D68C6"/>
    <w:rsid w:val="002E0626"/>
    <w:rsid w:val="002E2449"/>
    <w:rsid w:val="002E24EF"/>
    <w:rsid w:val="002E2DF8"/>
    <w:rsid w:val="002E3008"/>
    <w:rsid w:val="002E4199"/>
    <w:rsid w:val="002E484C"/>
    <w:rsid w:val="002E548D"/>
    <w:rsid w:val="002E5F05"/>
    <w:rsid w:val="002F1A40"/>
    <w:rsid w:val="002F1D0E"/>
    <w:rsid w:val="002F4DB7"/>
    <w:rsid w:val="002F5631"/>
    <w:rsid w:val="002F6C1F"/>
    <w:rsid w:val="002F6DB4"/>
    <w:rsid w:val="002F73E4"/>
    <w:rsid w:val="002F7C98"/>
    <w:rsid w:val="002F7CA8"/>
    <w:rsid w:val="0030050E"/>
    <w:rsid w:val="00300995"/>
    <w:rsid w:val="00302DF3"/>
    <w:rsid w:val="0030598F"/>
    <w:rsid w:val="0030720A"/>
    <w:rsid w:val="0030745C"/>
    <w:rsid w:val="00307701"/>
    <w:rsid w:val="003077F4"/>
    <w:rsid w:val="003101A2"/>
    <w:rsid w:val="00310EFD"/>
    <w:rsid w:val="00311EC2"/>
    <w:rsid w:val="003120EE"/>
    <w:rsid w:val="003122C4"/>
    <w:rsid w:val="00314B58"/>
    <w:rsid w:val="00316686"/>
    <w:rsid w:val="00320BBF"/>
    <w:rsid w:val="0032193C"/>
    <w:rsid w:val="00322D93"/>
    <w:rsid w:val="00323382"/>
    <w:rsid w:val="00323B00"/>
    <w:rsid w:val="00325800"/>
    <w:rsid w:val="00330752"/>
    <w:rsid w:val="00330FCE"/>
    <w:rsid w:val="00334FE0"/>
    <w:rsid w:val="0033507A"/>
    <w:rsid w:val="003352E5"/>
    <w:rsid w:val="0033570E"/>
    <w:rsid w:val="00337EEA"/>
    <w:rsid w:val="00341C06"/>
    <w:rsid w:val="003433FB"/>
    <w:rsid w:val="00344FFD"/>
    <w:rsid w:val="003452CE"/>
    <w:rsid w:val="00346C92"/>
    <w:rsid w:val="00346CFA"/>
    <w:rsid w:val="00347D8E"/>
    <w:rsid w:val="003500A3"/>
    <w:rsid w:val="00350559"/>
    <w:rsid w:val="00351315"/>
    <w:rsid w:val="00352521"/>
    <w:rsid w:val="00352527"/>
    <w:rsid w:val="00352600"/>
    <w:rsid w:val="00353F20"/>
    <w:rsid w:val="003543EC"/>
    <w:rsid w:val="0035527A"/>
    <w:rsid w:val="00355792"/>
    <w:rsid w:val="00355F80"/>
    <w:rsid w:val="00356392"/>
    <w:rsid w:val="00357554"/>
    <w:rsid w:val="00360AAE"/>
    <w:rsid w:val="00360B16"/>
    <w:rsid w:val="00361A70"/>
    <w:rsid w:val="00361EEF"/>
    <w:rsid w:val="00362220"/>
    <w:rsid w:val="003622CA"/>
    <w:rsid w:val="003627D8"/>
    <w:rsid w:val="00362A04"/>
    <w:rsid w:val="00362C4A"/>
    <w:rsid w:val="00362D07"/>
    <w:rsid w:val="00363F89"/>
    <w:rsid w:val="00364858"/>
    <w:rsid w:val="0036490B"/>
    <w:rsid w:val="00364B92"/>
    <w:rsid w:val="00364EA2"/>
    <w:rsid w:val="003653B2"/>
    <w:rsid w:val="003716E5"/>
    <w:rsid w:val="00371836"/>
    <w:rsid w:val="003725B6"/>
    <w:rsid w:val="00373877"/>
    <w:rsid w:val="00373C32"/>
    <w:rsid w:val="003742C5"/>
    <w:rsid w:val="00374813"/>
    <w:rsid w:val="00374CDA"/>
    <w:rsid w:val="00374E07"/>
    <w:rsid w:val="00374EBC"/>
    <w:rsid w:val="00375077"/>
    <w:rsid w:val="00375CED"/>
    <w:rsid w:val="00376969"/>
    <w:rsid w:val="00381422"/>
    <w:rsid w:val="003820D6"/>
    <w:rsid w:val="003826D9"/>
    <w:rsid w:val="00384579"/>
    <w:rsid w:val="00384992"/>
    <w:rsid w:val="00384C63"/>
    <w:rsid w:val="00385043"/>
    <w:rsid w:val="003857CD"/>
    <w:rsid w:val="00385E1B"/>
    <w:rsid w:val="00386760"/>
    <w:rsid w:val="00386C77"/>
    <w:rsid w:val="00387A90"/>
    <w:rsid w:val="00390405"/>
    <w:rsid w:val="00390462"/>
    <w:rsid w:val="003905EA"/>
    <w:rsid w:val="0039072B"/>
    <w:rsid w:val="00391918"/>
    <w:rsid w:val="00392C5C"/>
    <w:rsid w:val="0039513C"/>
    <w:rsid w:val="0039534F"/>
    <w:rsid w:val="00397A02"/>
    <w:rsid w:val="00397D88"/>
    <w:rsid w:val="003A0CB8"/>
    <w:rsid w:val="003A0DA4"/>
    <w:rsid w:val="003A235C"/>
    <w:rsid w:val="003A2388"/>
    <w:rsid w:val="003A2C57"/>
    <w:rsid w:val="003A5C98"/>
    <w:rsid w:val="003A797A"/>
    <w:rsid w:val="003B0C59"/>
    <w:rsid w:val="003B0FC9"/>
    <w:rsid w:val="003B1197"/>
    <w:rsid w:val="003B16D2"/>
    <w:rsid w:val="003B1882"/>
    <w:rsid w:val="003B34FC"/>
    <w:rsid w:val="003B37CA"/>
    <w:rsid w:val="003B3B26"/>
    <w:rsid w:val="003C11C7"/>
    <w:rsid w:val="003C16C9"/>
    <w:rsid w:val="003C17CB"/>
    <w:rsid w:val="003C2449"/>
    <w:rsid w:val="003C2724"/>
    <w:rsid w:val="003C2779"/>
    <w:rsid w:val="003C2A33"/>
    <w:rsid w:val="003C53A3"/>
    <w:rsid w:val="003C5512"/>
    <w:rsid w:val="003C64F1"/>
    <w:rsid w:val="003C6669"/>
    <w:rsid w:val="003C6878"/>
    <w:rsid w:val="003C6B95"/>
    <w:rsid w:val="003C7382"/>
    <w:rsid w:val="003C7DA9"/>
    <w:rsid w:val="003D1151"/>
    <w:rsid w:val="003D17F4"/>
    <w:rsid w:val="003D20EA"/>
    <w:rsid w:val="003D2B57"/>
    <w:rsid w:val="003D304E"/>
    <w:rsid w:val="003D3F15"/>
    <w:rsid w:val="003D3FA3"/>
    <w:rsid w:val="003D5169"/>
    <w:rsid w:val="003D545B"/>
    <w:rsid w:val="003D60E1"/>
    <w:rsid w:val="003D732F"/>
    <w:rsid w:val="003E00A5"/>
    <w:rsid w:val="003E0D25"/>
    <w:rsid w:val="003E138C"/>
    <w:rsid w:val="003E20A9"/>
    <w:rsid w:val="003E23F1"/>
    <w:rsid w:val="003E2F3E"/>
    <w:rsid w:val="003E3284"/>
    <w:rsid w:val="003E4D35"/>
    <w:rsid w:val="003E55AF"/>
    <w:rsid w:val="003E6193"/>
    <w:rsid w:val="003E6668"/>
    <w:rsid w:val="003E6BA7"/>
    <w:rsid w:val="003E78F5"/>
    <w:rsid w:val="003F04C4"/>
    <w:rsid w:val="003F04F3"/>
    <w:rsid w:val="003F0587"/>
    <w:rsid w:val="003F07CC"/>
    <w:rsid w:val="003F1CAE"/>
    <w:rsid w:val="003F2CB3"/>
    <w:rsid w:val="003F3737"/>
    <w:rsid w:val="003F4CB4"/>
    <w:rsid w:val="003F5057"/>
    <w:rsid w:val="003F51EE"/>
    <w:rsid w:val="003F5586"/>
    <w:rsid w:val="003F6504"/>
    <w:rsid w:val="00402647"/>
    <w:rsid w:val="00403166"/>
    <w:rsid w:val="004044A1"/>
    <w:rsid w:val="004061DD"/>
    <w:rsid w:val="00407943"/>
    <w:rsid w:val="00407AA2"/>
    <w:rsid w:val="00410855"/>
    <w:rsid w:val="00411CD6"/>
    <w:rsid w:val="0041302E"/>
    <w:rsid w:val="004136BF"/>
    <w:rsid w:val="00414988"/>
    <w:rsid w:val="00416B5B"/>
    <w:rsid w:val="004173F1"/>
    <w:rsid w:val="00417ACC"/>
    <w:rsid w:val="00417BF5"/>
    <w:rsid w:val="00420BEA"/>
    <w:rsid w:val="004229E7"/>
    <w:rsid w:val="00423144"/>
    <w:rsid w:val="004239C3"/>
    <w:rsid w:val="004248FB"/>
    <w:rsid w:val="00425E52"/>
    <w:rsid w:val="004269C1"/>
    <w:rsid w:val="00426CAD"/>
    <w:rsid w:val="00430499"/>
    <w:rsid w:val="00430E14"/>
    <w:rsid w:val="00432691"/>
    <w:rsid w:val="00432EF1"/>
    <w:rsid w:val="00434568"/>
    <w:rsid w:val="004355E8"/>
    <w:rsid w:val="00435999"/>
    <w:rsid w:val="00435A8F"/>
    <w:rsid w:val="00441057"/>
    <w:rsid w:val="0044132C"/>
    <w:rsid w:val="004417CC"/>
    <w:rsid w:val="00441A3D"/>
    <w:rsid w:val="00441A6E"/>
    <w:rsid w:val="00442446"/>
    <w:rsid w:val="004428CD"/>
    <w:rsid w:val="00443481"/>
    <w:rsid w:val="004434FD"/>
    <w:rsid w:val="004435B2"/>
    <w:rsid w:val="00444C4A"/>
    <w:rsid w:val="00446AF5"/>
    <w:rsid w:val="004470FE"/>
    <w:rsid w:val="00447730"/>
    <w:rsid w:val="00450394"/>
    <w:rsid w:val="00450853"/>
    <w:rsid w:val="0045138D"/>
    <w:rsid w:val="004514E4"/>
    <w:rsid w:val="0045167F"/>
    <w:rsid w:val="00451987"/>
    <w:rsid w:val="00453188"/>
    <w:rsid w:val="00454FEF"/>
    <w:rsid w:val="00457FC2"/>
    <w:rsid w:val="00460802"/>
    <w:rsid w:val="0046163F"/>
    <w:rsid w:val="0046237D"/>
    <w:rsid w:val="00464026"/>
    <w:rsid w:val="00465310"/>
    <w:rsid w:val="004666BA"/>
    <w:rsid w:val="00467886"/>
    <w:rsid w:val="00467D00"/>
    <w:rsid w:val="00470624"/>
    <w:rsid w:val="00470DB1"/>
    <w:rsid w:val="00474936"/>
    <w:rsid w:val="004762A0"/>
    <w:rsid w:val="00481ECA"/>
    <w:rsid w:val="00481FAD"/>
    <w:rsid w:val="00482090"/>
    <w:rsid w:val="004830A2"/>
    <w:rsid w:val="00483DBB"/>
    <w:rsid w:val="004843E8"/>
    <w:rsid w:val="00484542"/>
    <w:rsid w:val="004855D4"/>
    <w:rsid w:val="0048750A"/>
    <w:rsid w:val="004914E7"/>
    <w:rsid w:val="00492444"/>
    <w:rsid w:val="00492553"/>
    <w:rsid w:val="004925CF"/>
    <w:rsid w:val="00492CBE"/>
    <w:rsid w:val="00492DEC"/>
    <w:rsid w:val="004931A1"/>
    <w:rsid w:val="004939C1"/>
    <w:rsid w:val="004945AD"/>
    <w:rsid w:val="004A0E78"/>
    <w:rsid w:val="004A13BA"/>
    <w:rsid w:val="004A27CC"/>
    <w:rsid w:val="004A3AC0"/>
    <w:rsid w:val="004A44E5"/>
    <w:rsid w:val="004A5168"/>
    <w:rsid w:val="004A607A"/>
    <w:rsid w:val="004A6D84"/>
    <w:rsid w:val="004A7C60"/>
    <w:rsid w:val="004B13B0"/>
    <w:rsid w:val="004B1908"/>
    <w:rsid w:val="004B2586"/>
    <w:rsid w:val="004B5939"/>
    <w:rsid w:val="004B5BE3"/>
    <w:rsid w:val="004B63BD"/>
    <w:rsid w:val="004B63E9"/>
    <w:rsid w:val="004C094B"/>
    <w:rsid w:val="004C44E9"/>
    <w:rsid w:val="004C4632"/>
    <w:rsid w:val="004C5DAE"/>
    <w:rsid w:val="004C61E7"/>
    <w:rsid w:val="004C6CA8"/>
    <w:rsid w:val="004C6E7C"/>
    <w:rsid w:val="004C78AD"/>
    <w:rsid w:val="004C7921"/>
    <w:rsid w:val="004D0FE4"/>
    <w:rsid w:val="004D1601"/>
    <w:rsid w:val="004D1843"/>
    <w:rsid w:val="004D32BD"/>
    <w:rsid w:val="004D71B6"/>
    <w:rsid w:val="004D7B38"/>
    <w:rsid w:val="004E02F8"/>
    <w:rsid w:val="004E1545"/>
    <w:rsid w:val="004E1A50"/>
    <w:rsid w:val="004E24D8"/>
    <w:rsid w:val="004E26D8"/>
    <w:rsid w:val="004E2A96"/>
    <w:rsid w:val="004E3BEA"/>
    <w:rsid w:val="004E5549"/>
    <w:rsid w:val="004E55DF"/>
    <w:rsid w:val="004E5B89"/>
    <w:rsid w:val="004E5F49"/>
    <w:rsid w:val="004E6AE3"/>
    <w:rsid w:val="004E7224"/>
    <w:rsid w:val="004E73FA"/>
    <w:rsid w:val="004E7CE5"/>
    <w:rsid w:val="004F039E"/>
    <w:rsid w:val="004F03FC"/>
    <w:rsid w:val="004F2453"/>
    <w:rsid w:val="004F2888"/>
    <w:rsid w:val="004F414E"/>
    <w:rsid w:val="004F41A9"/>
    <w:rsid w:val="004F747B"/>
    <w:rsid w:val="00500D9B"/>
    <w:rsid w:val="0050124E"/>
    <w:rsid w:val="0050136B"/>
    <w:rsid w:val="005018DD"/>
    <w:rsid w:val="00505F51"/>
    <w:rsid w:val="005068BB"/>
    <w:rsid w:val="00506EE9"/>
    <w:rsid w:val="0051054E"/>
    <w:rsid w:val="0051163A"/>
    <w:rsid w:val="00511784"/>
    <w:rsid w:val="005121A3"/>
    <w:rsid w:val="0051312A"/>
    <w:rsid w:val="005147A0"/>
    <w:rsid w:val="00514F13"/>
    <w:rsid w:val="0051505D"/>
    <w:rsid w:val="00515802"/>
    <w:rsid w:val="005158ED"/>
    <w:rsid w:val="00516563"/>
    <w:rsid w:val="005171C8"/>
    <w:rsid w:val="00521501"/>
    <w:rsid w:val="005223D1"/>
    <w:rsid w:val="00522A4F"/>
    <w:rsid w:val="00522AA6"/>
    <w:rsid w:val="005236B4"/>
    <w:rsid w:val="00524751"/>
    <w:rsid w:val="00525590"/>
    <w:rsid w:val="0052578E"/>
    <w:rsid w:val="00525C17"/>
    <w:rsid w:val="00526233"/>
    <w:rsid w:val="00526EAD"/>
    <w:rsid w:val="00527589"/>
    <w:rsid w:val="00527B35"/>
    <w:rsid w:val="00530DED"/>
    <w:rsid w:val="00532D6E"/>
    <w:rsid w:val="0053382A"/>
    <w:rsid w:val="00533F3E"/>
    <w:rsid w:val="00534126"/>
    <w:rsid w:val="00534BE0"/>
    <w:rsid w:val="0053618F"/>
    <w:rsid w:val="00540438"/>
    <w:rsid w:val="005412F3"/>
    <w:rsid w:val="00542B71"/>
    <w:rsid w:val="00543FCC"/>
    <w:rsid w:val="00545298"/>
    <w:rsid w:val="00545384"/>
    <w:rsid w:val="00545419"/>
    <w:rsid w:val="00545848"/>
    <w:rsid w:val="00545A5F"/>
    <w:rsid w:val="00546B46"/>
    <w:rsid w:val="00546DC4"/>
    <w:rsid w:val="005508FA"/>
    <w:rsid w:val="00550BB6"/>
    <w:rsid w:val="00552D12"/>
    <w:rsid w:val="00554170"/>
    <w:rsid w:val="005557F1"/>
    <w:rsid w:val="005559B2"/>
    <w:rsid w:val="00556010"/>
    <w:rsid w:val="005566EC"/>
    <w:rsid w:val="0055704E"/>
    <w:rsid w:val="00557701"/>
    <w:rsid w:val="00560294"/>
    <w:rsid w:val="005622D8"/>
    <w:rsid w:val="00562844"/>
    <w:rsid w:val="005639DA"/>
    <w:rsid w:val="00563F01"/>
    <w:rsid w:val="00563FA1"/>
    <w:rsid w:val="0056462D"/>
    <w:rsid w:val="0056480C"/>
    <w:rsid w:val="00564E90"/>
    <w:rsid w:val="00566601"/>
    <w:rsid w:val="0056669D"/>
    <w:rsid w:val="00566A28"/>
    <w:rsid w:val="00566E43"/>
    <w:rsid w:val="00567213"/>
    <w:rsid w:val="00567679"/>
    <w:rsid w:val="00570A40"/>
    <w:rsid w:val="0057111A"/>
    <w:rsid w:val="00572776"/>
    <w:rsid w:val="00572C91"/>
    <w:rsid w:val="00573250"/>
    <w:rsid w:val="00573355"/>
    <w:rsid w:val="005739EE"/>
    <w:rsid w:val="00575557"/>
    <w:rsid w:val="00577A99"/>
    <w:rsid w:val="00577C7D"/>
    <w:rsid w:val="00580913"/>
    <w:rsid w:val="00580BC6"/>
    <w:rsid w:val="00580E88"/>
    <w:rsid w:val="00583088"/>
    <w:rsid w:val="00583721"/>
    <w:rsid w:val="005841D1"/>
    <w:rsid w:val="0058580D"/>
    <w:rsid w:val="00586424"/>
    <w:rsid w:val="00586A88"/>
    <w:rsid w:val="00587B2A"/>
    <w:rsid w:val="00587BB2"/>
    <w:rsid w:val="00590552"/>
    <w:rsid w:val="005919A5"/>
    <w:rsid w:val="00592068"/>
    <w:rsid w:val="0059246F"/>
    <w:rsid w:val="00594448"/>
    <w:rsid w:val="0059674F"/>
    <w:rsid w:val="005A031E"/>
    <w:rsid w:val="005A1385"/>
    <w:rsid w:val="005A1B24"/>
    <w:rsid w:val="005A1B3F"/>
    <w:rsid w:val="005A4243"/>
    <w:rsid w:val="005A49C0"/>
    <w:rsid w:val="005A4DDC"/>
    <w:rsid w:val="005A63AB"/>
    <w:rsid w:val="005A6A85"/>
    <w:rsid w:val="005A7246"/>
    <w:rsid w:val="005A73C8"/>
    <w:rsid w:val="005A76F9"/>
    <w:rsid w:val="005A76FF"/>
    <w:rsid w:val="005A78C1"/>
    <w:rsid w:val="005B1408"/>
    <w:rsid w:val="005B1FD5"/>
    <w:rsid w:val="005B2221"/>
    <w:rsid w:val="005B253B"/>
    <w:rsid w:val="005B3CDE"/>
    <w:rsid w:val="005B5B30"/>
    <w:rsid w:val="005B6613"/>
    <w:rsid w:val="005B66B2"/>
    <w:rsid w:val="005B7479"/>
    <w:rsid w:val="005C013C"/>
    <w:rsid w:val="005C0B1A"/>
    <w:rsid w:val="005C210C"/>
    <w:rsid w:val="005C31A2"/>
    <w:rsid w:val="005C5A89"/>
    <w:rsid w:val="005C5ED4"/>
    <w:rsid w:val="005C616D"/>
    <w:rsid w:val="005C67AE"/>
    <w:rsid w:val="005C7ECF"/>
    <w:rsid w:val="005D0E21"/>
    <w:rsid w:val="005D1966"/>
    <w:rsid w:val="005D204E"/>
    <w:rsid w:val="005D3E2F"/>
    <w:rsid w:val="005D4787"/>
    <w:rsid w:val="005D50AE"/>
    <w:rsid w:val="005D62A5"/>
    <w:rsid w:val="005E07D3"/>
    <w:rsid w:val="005E13F1"/>
    <w:rsid w:val="005E18CA"/>
    <w:rsid w:val="005E18F6"/>
    <w:rsid w:val="005E1A4A"/>
    <w:rsid w:val="005E2017"/>
    <w:rsid w:val="005E210F"/>
    <w:rsid w:val="005E2AE3"/>
    <w:rsid w:val="005E363C"/>
    <w:rsid w:val="005E3EDD"/>
    <w:rsid w:val="005E4504"/>
    <w:rsid w:val="005E48EE"/>
    <w:rsid w:val="005E4A12"/>
    <w:rsid w:val="005E5D42"/>
    <w:rsid w:val="005E6769"/>
    <w:rsid w:val="005E6F34"/>
    <w:rsid w:val="005E74D0"/>
    <w:rsid w:val="005F000C"/>
    <w:rsid w:val="005F1514"/>
    <w:rsid w:val="005F2F6D"/>
    <w:rsid w:val="005F324E"/>
    <w:rsid w:val="00600E2C"/>
    <w:rsid w:val="00603002"/>
    <w:rsid w:val="00603119"/>
    <w:rsid w:val="00603599"/>
    <w:rsid w:val="00604A04"/>
    <w:rsid w:val="00605B78"/>
    <w:rsid w:val="00605DC6"/>
    <w:rsid w:val="00610919"/>
    <w:rsid w:val="00611F5E"/>
    <w:rsid w:val="00612226"/>
    <w:rsid w:val="00612489"/>
    <w:rsid w:val="00614DA3"/>
    <w:rsid w:val="00616D82"/>
    <w:rsid w:val="00617D41"/>
    <w:rsid w:val="00617F47"/>
    <w:rsid w:val="006232D5"/>
    <w:rsid w:val="00623793"/>
    <w:rsid w:val="00623BD0"/>
    <w:rsid w:val="0062416F"/>
    <w:rsid w:val="006251C6"/>
    <w:rsid w:val="0062579B"/>
    <w:rsid w:val="00626759"/>
    <w:rsid w:val="00626EEA"/>
    <w:rsid w:val="00626FA8"/>
    <w:rsid w:val="00631EF0"/>
    <w:rsid w:val="00632FEB"/>
    <w:rsid w:val="0063346B"/>
    <w:rsid w:val="006347F2"/>
    <w:rsid w:val="00634A29"/>
    <w:rsid w:val="00634BA5"/>
    <w:rsid w:val="00636A3B"/>
    <w:rsid w:val="0063785F"/>
    <w:rsid w:val="00637F2E"/>
    <w:rsid w:val="00640A79"/>
    <w:rsid w:val="00642B44"/>
    <w:rsid w:val="00643FE2"/>
    <w:rsid w:val="006466F4"/>
    <w:rsid w:val="00647766"/>
    <w:rsid w:val="0065022C"/>
    <w:rsid w:val="0065245A"/>
    <w:rsid w:val="006531A7"/>
    <w:rsid w:val="006535BB"/>
    <w:rsid w:val="0065655C"/>
    <w:rsid w:val="006576DE"/>
    <w:rsid w:val="0066021E"/>
    <w:rsid w:val="00663D2B"/>
    <w:rsid w:val="00665543"/>
    <w:rsid w:val="00666178"/>
    <w:rsid w:val="00666D98"/>
    <w:rsid w:val="0066743E"/>
    <w:rsid w:val="00670115"/>
    <w:rsid w:val="0067013E"/>
    <w:rsid w:val="00670CEC"/>
    <w:rsid w:val="006710C5"/>
    <w:rsid w:val="006725ED"/>
    <w:rsid w:val="00673913"/>
    <w:rsid w:val="0067502F"/>
    <w:rsid w:val="0067537C"/>
    <w:rsid w:val="00675EA7"/>
    <w:rsid w:val="006773D0"/>
    <w:rsid w:val="006804DC"/>
    <w:rsid w:val="00681390"/>
    <w:rsid w:val="006817BD"/>
    <w:rsid w:val="006836C6"/>
    <w:rsid w:val="0068374E"/>
    <w:rsid w:val="00683CDD"/>
    <w:rsid w:val="00684047"/>
    <w:rsid w:val="00684156"/>
    <w:rsid w:val="00684C0D"/>
    <w:rsid w:val="00685322"/>
    <w:rsid w:val="00686EC6"/>
    <w:rsid w:val="00687746"/>
    <w:rsid w:val="00687843"/>
    <w:rsid w:val="006909CB"/>
    <w:rsid w:val="00690D1D"/>
    <w:rsid w:val="00691018"/>
    <w:rsid w:val="00691A0A"/>
    <w:rsid w:val="00691C12"/>
    <w:rsid w:val="00691EB6"/>
    <w:rsid w:val="00692AFE"/>
    <w:rsid w:val="006939B4"/>
    <w:rsid w:val="006947E1"/>
    <w:rsid w:val="00694F16"/>
    <w:rsid w:val="00695CAF"/>
    <w:rsid w:val="006962EA"/>
    <w:rsid w:val="00696A5D"/>
    <w:rsid w:val="00697861"/>
    <w:rsid w:val="006A0E34"/>
    <w:rsid w:val="006A2B98"/>
    <w:rsid w:val="006A392F"/>
    <w:rsid w:val="006A3B1E"/>
    <w:rsid w:val="006A3E99"/>
    <w:rsid w:val="006A44B0"/>
    <w:rsid w:val="006A5313"/>
    <w:rsid w:val="006A5365"/>
    <w:rsid w:val="006A5598"/>
    <w:rsid w:val="006A6361"/>
    <w:rsid w:val="006A7965"/>
    <w:rsid w:val="006A7CCD"/>
    <w:rsid w:val="006B0D44"/>
    <w:rsid w:val="006B347F"/>
    <w:rsid w:val="006B3B26"/>
    <w:rsid w:val="006B3B48"/>
    <w:rsid w:val="006B442F"/>
    <w:rsid w:val="006B53B1"/>
    <w:rsid w:val="006B7D2D"/>
    <w:rsid w:val="006B7FE0"/>
    <w:rsid w:val="006C0620"/>
    <w:rsid w:val="006C1C1C"/>
    <w:rsid w:val="006C1CFA"/>
    <w:rsid w:val="006C34AE"/>
    <w:rsid w:val="006C4987"/>
    <w:rsid w:val="006C4EC0"/>
    <w:rsid w:val="006C6124"/>
    <w:rsid w:val="006C663D"/>
    <w:rsid w:val="006D006A"/>
    <w:rsid w:val="006D096B"/>
    <w:rsid w:val="006D0FBD"/>
    <w:rsid w:val="006D1DF0"/>
    <w:rsid w:val="006D38DE"/>
    <w:rsid w:val="006D4525"/>
    <w:rsid w:val="006D54A4"/>
    <w:rsid w:val="006D5609"/>
    <w:rsid w:val="006D7734"/>
    <w:rsid w:val="006D77C5"/>
    <w:rsid w:val="006E08DA"/>
    <w:rsid w:val="006E0F7B"/>
    <w:rsid w:val="006E3FB7"/>
    <w:rsid w:val="006E4709"/>
    <w:rsid w:val="006E5AD0"/>
    <w:rsid w:val="006E6031"/>
    <w:rsid w:val="006E6955"/>
    <w:rsid w:val="006E6A23"/>
    <w:rsid w:val="006E6A53"/>
    <w:rsid w:val="006E6FA7"/>
    <w:rsid w:val="006E7FAC"/>
    <w:rsid w:val="006F00C5"/>
    <w:rsid w:val="006F1B6E"/>
    <w:rsid w:val="006F1D55"/>
    <w:rsid w:val="006F20D2"/>
    <w:rsid w:val="006F2857"/>
    <w:rsid w:val="006F3363"/>
    <w:rsid w:val="006F370F"/>
    <w:rsid w:val="006F3733"/>
    <w:rsid w:val="006F3774"/>
    <w:rsid w:val="006F3DA7"/>
    <w:rsid w:val="006F465C"/>
    <w:rsid w:val="006F5075"/>
    <w:rsid w:val="006F7967"/>
    <w:rsid w:val="007023E3"/>
    <w:rsid w:val="00702A6F"/>
    <w:rsid w:val="00702EB6"/>
    <w:rsid w:val="007032D9"/>
    <w:rsid w:val="00703C79"/>
    <w:rsid w:val="00705E2E"/>
    <w:rsid w:val="0070667F"/>
    <w:rsid w:val="00706C6B"/>
    <w:rsid w:val="00707619"/>
    <w:rsid w:val="007113F3"/>
    <w:rsid w:val="00711641"/>
    <w:rsid w:val="00711C0F"/>
    <w:rsid w:val="00711C2C"/>
    <w:rsid w:val="0071353B"/>
    <w:rsid w:val="007143DA"/>
    <w:rsid w:val="007149AC"/>
    <w:rsid w:val="00714A6B"/>
    <w:rsid w:val="00715E3E"/>
    <w:rsid w:val="0071685C"/>
    <w:rsid w:val="00717A33"/>
    <w:rsid w:val="0072073A"/>
    <w:rsid w:val="00720D1E"/>
    <w:rsid w:val="007214FD"/>
    <w:rsid w:val="0072175B"/>
    <w:rsid w:val="00721A29"/>
    <w:rsid w:val="007222D2"/>
    <w:rsid w:val="00722AD9"/>
    <w:rsid w:val="007253F0"/>
    <w:rsid w:val="00727D71"/>
    <w:rsid w:val="0073035D"/>
    <w:rsid w:val="00731607"/>
    <w:rsid w:val="00732AF9"/>
    <w:rsid w:val="00733977"/>
    <w:rsid w:val="00733F7F"/>
    <w:rsid w:val="00734A47"/>
    <w:rsid w:val="007357ED"/>
    <w:rsid w:val="0073593A"/>
    <w:rsid w:val="0073736F"/>
    <w:rsid w:val="0074033C"/>
    <w:rsid w:val="00740CD5"/>
    <w:rsid w:val="00740EDC"/>
    <w:rsid w:val="0074268E"/>
    <w:rsid w:val="00743657"/>
    <w:rsid w:val="0074419B"/>
    <w:rsid w:val="00744701"/>
    <w:rsid w:val="007447F6"/>
    <w:rsid w:val="00744B98"/>
    <w:rsid w:val="007468DC"/>
    <w:rsid w:val="007472AC"/>
    <w:rsid w:val="0074756E"/>
    <w:rsid w:val="00747E2C"/>
    <w:rsid w:val="00747E48"/>
    <w:rsid w:val="00751C29"/>
    <w:rsid w:val="007534DE"/>
    <w:rsid w:val="007537C9"/>
    <w:rsid w:val="00754354"/>
    <w:rsid w:val="00754EEE"/>
    <w:rsid w:val="0075603D"/>
    <w:rsid w:val="007561C1"/>
    <w:rsid w:val="0075785B"/>
    <w:rsid w:val="00760417"/>
    <w:rsid w:val="00760936"/>
    <w:rsid w:val="00761400"/>
    <w:rsid w:val="007618EA"/>
    <w:rsid w:val="007627A4"/>
    <w:rsid w:val="00765A81"/>
    <w:rsid w:val="00766AB5"/>
    <w:rsid w:val="00767B14"/>
    <w:rsid w:val="0077008D"/>
    <w:rsid w:val="0077042B"/>
    <w:rsid w:val="007707FA"/>
    <w:rsid w:val="00770DD2"/>
    <w:rsid w:val="007715B3"/>
    <w:rsid w:val="00771640"/>
    <w:rsid w:val="00771BCF"/>
    <w:rsid w:val="0077225A"/>
    <w:rsid w:val="00772430"/>
    <w:rsid w:val="00773C5D"/>
    <w:rsid w:val="00774319"/>
    <w:rsid w:val="00775667"/>
    <w:rsid w:val="00775C83"/>
    <w:rsid w:val="00776DD6"/>
    <w:rsid w:val="007777EE"/>
    <w:rsid w:val="00777865"/>
    <w:rsid w:val="00777885"/>
    <w:rsid w:val="00777B8B"/>
    <w:rsid w:val="00777DCF"/>
    <w:rsid w:val="00780461"/>
    <w:rsid w:val="00781088"/>
    <w:rsid w:val="00781A33"/>
    <w:rsid w:val="00781F07"/>
    <w:rsid w:val="00782423"/>
    <w:rsid w:val="007827FB"/>
    <w:rsid w:val="007832EA"/>
    <w:rsid w:val="0078338F"/>
    <w:rsid w:val="00783ABB"/>
    <w:rsid w:val="00784323"/>
    <w:rsid w:val="00784C7E"/>
    <w:rsid w:val="007869DB"/>
    <w:rsid w:val="00790299"/>
    <w:rsid w:val="00791345"/>
    <w:rsid w:val="00791653"/>
    <w:rsid w:val="0079233A"/>
    <w:rsid w:val="00793B8E"/>
    <w:rsid w:val="007941D2"/>
    <w:rsid w:val="00795D13"/>
    <w:rsid w:val="007971A7"/>
    <w:rsid w:val="007A1556"/>
    <w:rsid w:val="007A26A5"/>
    <w:rsid w:val="007A2C24"/>
    <w:rsid w:val="007A3092"/>
    <w:rsid w:val="007A34C8"/>
    <w:rsid w:val="007A3FD2"/>
    <w:rsid w:val="007A529C"/>
    <w:rsid w:val="007A57C1"/>
    <w:rsid w:val="007A5D1E"/>
    <w:rsid w:val="007A6E10"/>
    <w:rsid w:val="007A74AD"/>
    <w:rsid w:val="007A7B22"/>
    <w:rsid w:val="007A7C66"/>
    <w:rsid w:val="007B12E8"/>
    <w:rsid w:val="007B14EB"/>
    <w:rsid w:val="007B18D7"/>
    <w:rsid w:val="007B3B22"/>
    <w:rsid w:val="007B40DC"/>
    <w:rsid w:val="007B63B6"/>
    <w:rsid w:val="007B6C98"/>
    <w:rsid w:val="007C018C"/>
    <w:rsid w:val="007C19FE"/>
    <w:rsid w:val="007C218E"/>
    <w:rsid w:val="007C3337"/>
    <w:rsid w:val="007C73D2"/>
    <w:rsid w:val="007D01D2"/>
    <w:rsid w:val="007D08E0"/>
    <w:rsid w:val="007D0D74"/>
    <w:rsid w:val="007D0F60"/>
    <w:rsid w:val="007D0F66"/>
    <w:rsid w:val="007D146D"/>
    <w:rsid w:val="007D15E3"/>
    <w:rsid w:val="007D1DB6"/>
    <w:rsid w:val="007D28BA"/>
    <w:rsid w:val="007D42EF"/>
    <w:rsid w:val="007D77F6"/>
    <w:rsid w:val="007E4CEE"/>
    <w:rsid w:val="007E4EE0"/>
    <w:rsid w:val="007E6899"/>
    <w:rsid w:val="007F013B"/>
    <w:rsid w:val="007F0C01"/>
    <w:rsid w:val="007F121E"/>
    <w:rsid w:val="007F15F5"/>
    <w:rsid w:val="007F165C"/>
    <w:rsid w:val="007F187D"/>
    <w:rsid w:val="007F2EC8"/>
    <w:rsid w:val="007F39FD"/>
    <w:rsid w:val="007F476C"/>
    <w:rsid w:val="007F7E4F"/>
    <w:rsid w:val="00802076"/>
    <w:rsid w:val="008040D9"/>
    <w:rsid w:val="00804AF2"/>
    <w:rsid w:val="0080576C"/>
    <w:rsid w:val="0080794F"/>
    <w:rsid w:val="0081143C"/>
    <w:rsid w:val="008115C1"/>
    <w:rsid w:val="00811A7C"/>
    <w:rsid w:val="00813104"/>
    <w:rsid w:val="0081311E"/>
    <w:rsid w:val="008137FB"/>
    <w:rsid w:val="00814016"/>
    <w:rsid w:val="0081427A"/>
    <w:rsid w:val="00814C5E"/>
    <w:rsid w:val="00814C7A"/>
    <w:rsid w:val="00816297"/>
    <w:rsid w:val="0081642C"/>
    <w:rsid w:val="00816487"/>
    <w:rsid w:val="00816AA0"/>
    <w:rsid w:val="00816ABC"/>
    <w:rsid w:val="00816B71"/>
    <w:rsid w:val="00817625"/>
    <w:rsid w:val="00817F6A"/>
    <w:rsid w:val="00821541"/>
    <w:rsid w:val="008216EE"/>
    <w:rsid w:val="00821B65"/>
    <w:rsid w:val="00821ED0"/>
    <w:rsid w:val="00822264"/>
    <w:rsid w:val="00822DF0"/>
    <w:rsid w:val="00822E13"/>
    <w:rsid w:val="0082338A"/>
    <w:rsid w:val="00823FE7"/>
    <w:rsid w:val="0082488A"/>
    <w:rsid w:val="00825125"/>
    <w:rsid w:val="008253BA"/>
    <w:rsid w:val="008273F1"/>
    <w:rsid w:val="00827418"/>
    <w:rsid w:val="00827669"/>
    <w:rsid w:val="008300FA"/>
    <w:rsid w:val="00830E6F"/>
    <w:rsid w:val="00831DFD"/>
    <w:rsid w:val="00833AF9"/>
    <w:rsid w:val="008348D4"/>
    <w:rsid w:val="008369B0"/>
    <w:rsid w:val="00836C3E"/>
    <w:rsid w:val="00843676"/>
    <w:rsid w:val="00850624"/>
    <w:rsid w:val="008514E4"/>
    <w:rsid w:val="008522B0"/>
    <w:rsid w:val="008538A2"/>
    <w:rsid w:val="008539A4"/>
    <w:rsid w:val="00853AEA"/>
    <w:rsid w:val="00856777"/>
    <w:rsid w:val="0086309B"/>
    <w:rsid w:val="008645CD"/>
    <w:rsid w:val="00864B1A"/>
    <w:rsid w:val="008654C0"/>
    <w:rsid w:val="00866177"/>
    <w:rsid w:val="00866513"/>
    <w:rsid w:val="00866B83"/>
    <w:rsid w:val="00866F39"/>
    <w:rsid w:val="00872F48"/>
    <w:rsid w:val="008739BC"/>
    <w:rsid w:val="00873BE7"/>
    <w:rsid w:val="008742BC"/>
    <w:rsid w:val="0087476B"/>
    <w:rsid w:val="00877995"/>
    <w:rsid w:val="0088071F"/>
    <w:rsid w:val="008810DD"/>
    <w:rsid w:val="00882E53"/>
    <w:rsid w:val="0088310F"/>
    <w:rsid w:val="00883D7B"/>
    <w:rsid w:val="0088430B"/>
    <w:rsid w:val="00885AB8"/>
    <w:rsid w:val="00885DFC"/>
    <w:rsid w:val="0088628D"/>
    <w:rsid w:val="00886A4D"/>
    <w:rsid w:val="0088728A"/>
    <w:rsid w:val="00887925"/>
    <w:rsid w:val="00890FE9"/>
    <w:rsid w:val="00891604"/>
    <w:rsid w:val="00892D6E"/>
    <w:rsid w:val="00894443"/>
    <w:rsid w:val="00894885"/>
    <w:rsid w:val="00897417"/>
    <w:rsid w:val="00897D3B"/>
    <w:rsid w:val="008A00CF"/>
    <w:rsid w:val="008A0BA1"/>
    <w:rsid w:val="008A22BA"/>
    <w:rsid w:val="008A3E17"/>
    <w:rsid w:val="008A4FB9"/>
    <w:rsid w:val="008A5076"/>
    <w:rsid w:val="008A5A70"/>
    <w:rsid w:val="008A68B8"/>
    <w:rsid w:val="008A78AE"/>
    <w:rsid w:val="008A7C92"/>
    <w:rsid w:val="008B011C"/>
    <w:rsid w:val="008B1783"/>
    <w:rsid w:val="008B1ADB"/>
    <w:rsid w:val="008B291F"/>
    <w:rsid w:val="008B3DD7"/>
    <w:rsid w:val="008B3E57"/>
    <w:rsid w:val="008B5978"/>
    <w:rsid w:val="008C022B"/>
    <w:rsid w:val="008C1FB9"/>
    <w:rsid w:val="008C42C2"/>
    <w:rsid w:val="008C5BD6"/>
    <w:rsid w:val="008C5CFE"/>
    <w:rsid w:val="008D0594"/>
    <w:rsid w:val="008D0FA8"/>
    <w:rsid w:val="008D14E3"/>
    <w:rsid w:val="008D15FB"/>
    <w:rsid w:val="008D2FAB"/>
    <w:rsid w:val="008D45A1"/>
    <w:rsid w:val="008D4C15"/>
    <w:rsid w:val="008D73D7"/>
    <w:rsid w:val="008D76FE"/>
    <w:rsid w:val="008D77A5"/>
    <w:rsid w:val="008E02A8"/>
    <w:rsid w:val="008E0A99"/>
    <w:rsid w:val="008E0B4E"/>
    <w:rsid w:val="008E1899"/>
    <w:rsid w:val="008E5002"/>
    <w:rsid w:val="008E5207"/>
    <w:rsid w:val="008E52E6"/>
    <w:rsid w:val="008E63F5"/>
    <w:rsid w:val="008E696B"/>
    <w:rsid w:val="008E6E19"/>
    <w:rsid w:val="008E72E9"/>
    <w:rsid w:val="008E7469"/>
    <w:rsid w:val="008F0399"/>
    <w:rsid w:val="008F0473"/>
    <w:rsid w:val="008F2E7A"/>
    <w:rsid w:val="008F4D70"/>
    <w:rsid w:val="008F5F02"/>
    <w:rsid w:val="008F6EF3"/>
    <w:rsid w:val="008F7EE8"/>
    <w:rsid w:val="008F7FBB"/>
    <w:rsid w:val="0090048B"/>
    <w:rsid w:val="009004C8"/>
    <w:rsid w:val="00901BAB"/>
    <w:rsid w:val="009032EF"/>
    <w:rsid w:val="0090368F"/>
    <w:rsid w:val="009036F9"/>
    <w:rsid w:val="00905EF2"/>
    <w:rsid w:val="009069B2"/>
    <w:rsid w:val="00906D94"/>
    <w:rsid w:val="00907E3E"/>
    <w:rsid w:val="00911BCF"/>
    <w:rsid w:val="00911E18"/>
    <w:rsid w:val="00912EDF"/>
    <w:rsid w:val="00915041"/>
    <w:rsid w:val="00920150"/>
    <w:rsid w:val="00920505"/>
    <w:rsid w:val="00920AA4"/>
    <w:rsid w:val="00920D5A"/>
    <w:rsid w:val="00921109"/>
    <w:rsid w:val="00923941"/>
    <w:rsid w:val="00924645"/>
    <w:rsid w:val="00924728"/>
    <w:rsid w:val="0092509F"/>
    <w:rsid w:val="00926161"/>
    <w:rsid w:val="0092660B"/>
    <w:rsid w:val="00930FD0"/>
    <w:rsid w:val="009313BE"/>
    <w:rsid w:val="009327F2"/>
    <w:rsid w:val="009340B8"/>
    <w:rsid w:val="00934900"/>
    <w:rsid w:val="00935506"/>
    <w:rsid w:val="009362A2"/>
    <w:rsid w:val="0093631D"/>
    <w:rsid w:val="0094193F"/>
    <w:rsid w:val="00942FA9"/>
    <w:rsid w:val="00942FFE"/>
    <w:rsid w:val="009452CC"/>
    <w:rsid w:val="00946580"/>
    <w:rsid w:val="0094666D"/>
    <w:rsid w:val="00946674"/>
    <w:rsid w:val="00946974"/>
    <w:rsid w:val="00947F2F"/>
    <w:rsid w:val="00951EF2"/>
    <w:rsid w:val="00952155"/>
    <w:rsid w:val="00953916"/>
    <w:rsid w:val="00953D3D"/>
    <w:rsid w:val="00953DC1"/>
    <w:rsid w:val="00953F8E"/>
    <w:rsid w:val="00954E9B"/>
    <w:rsid w:val="0095504D"/>
    <w:rsid w:val="00955872"/>
    <w:rsid w:val="00955E2C"/>
    <w:rsid w:val="00957310"/>
    <w:rsid w:val="0095742D"/>
    <w:rsid w:val="00960F45"/>
    <w:rsid w:val="00961602"/>
    <w:rsid w:val="009624DB"/>
    <w:rsid w:val="009627B0"/>
    <w:rsid w:val="00962F17"/>
    <w:rsid w:val="0096475E"/>
    <w:rsid w:val="00964A52"/>
    <w:rsid w:val="00964C90"/>
    <w:rsid w:val="0096505D"/>
    <w:rsid w:val="009651DF"/>
    <w:rsid w:val="00966552"/>
    <w:rsid w:val="009720FE"/>
    <w:rsid w:val="00972224"/>
    <w:rsid w:val="00973385"/>
    <w:rsid w:val="00980774"/>
    <w:rsid w:val="00981DAA"/>
    <w:rsid w:val="00981E0B"/>
    <w:rsid w:val="00982409"/>
    <w:rsid w:val="00982A2F"/>
    <w:rsid w:val="0098465F"/>
    <w:rsid w:val="00985189"/>
    <w:rsid w:val="009862FC"/>
    <w:rsid w:val="00992390"/>
    <w:rsid w:val="0099255C"/>
    <w:rsid w:val="00992835"/>
    <w:rsid w:val="0099297A"/>
    <w:rsid w:val="00992E42"/>
    <w:rsid w:val="00992E89"/>
    <w:rsid w:val="00993792"/>
    <w:rsid w:val="009958DB"/>
    <w:rsid w:val="009960E9"/>
    <w:rsid w:val="0099670B"/>
    <w:rsid w:val="00996DB7"/>
    <w:rsid w:val="00997A62"/>
    <w:rsid w:val="00997D51"/>
    <w:rsid w:val="009A06AF"/>
    <w:rsid w:val="009A13C0"/>
    <w:rsid w:val="009A1827"/>
    <w:rsid w:val="009A1CBB"/>
    <w:rsid w:val="009A2176"/>
    <w:rsid w:val="009A4CC1"/>
    <w:rsid w:val="009A5DDA"/>
    <w:rsid w:val="009A6172"/>
    <w:rsid w:val="009A672C"/>
    <w:rsid w:val="009A70FE"/>
    <w:rsid w:val="009A7D12"/>
    <w:rsid w:val="009B12E1"/>
    <w:rsid w:val="009B3A87"/>
    <w:rsid w:val="009B41DC"/>
    <w:rsid w:val="009B41E8"/>
    <w:rsid w:val="009B43E4"/>
    <w:rsid w:val="009B59F2"/>
    <w:rsid w:val="009B5B07"/>
    <w:rsid w:val="009B5F8C"/>
    <w:rsid w:val="009B6523"/>
    <w:rsid w:val="009B718A"/>
    <w:rsid w:val="009C0380"/>
    <w:rsid w:val="009C07BC"/>
    <w:rsid w:val="009C1920"/>
    <w:rsid w:val="009C219F"/>
    <w:rsid w:val="009C2571"/>
    <w:rsid w:val="009C2B6C"/>
    <w:rsid w:val="009C39C5"/>
    <w:rsid w:val="009C3F91"/>
    <w:rsid w:val="009C5728"/>
    <w:rsid w:val="009C6771"/>
    <w:rsid w:val="009D0ED9"/>
    <w:rsid w:val="009D188B"/>
    <w:rsid w:val="009D1C8C"/>
    <w:rsid w:val="009D2B2D"/>
    <w:rsid w:val="009D3A3D"/>
    <w:rsid w:val="009D3F21"/>
    <w:rsid w:val="009D3FD7"/>
    <w:rsid w:val="009E20AD"/>
    <w:rsid w:val="009E3ABF"/>
    <w:rsid w:val="009E4AF9"/>
    <w:rsid w:val="009E6E41"/>
    <w:rsid w:val="009F0679"/>
    <w:rsid w:val="009F275D"/>
    <w:rsid w:val="009F329F"/>
    <w:rsid w:val="009F34FE"/>
    <w:rsid w:val="009F497B"/>
    <w:rsid w:val="009F546C"/>
    <w:rsid w:val="009F5A53"/>
    <w:rsid w:val="009F6223"/>
    <w:rsid w:val="009F7636"/>
    <w:rsid w:val="009F7AE3"/>
    <w:rsid w:val="00A014E1"/>
    <w:rsid w:val="00A020C9"/>
    <w:rsid w:val="00A03141"/>
    <w:rsid w:val="00A032C7"/>
    <w:rsid w:val="00A03EF9"/>
    <w:rsid w:val="00A051A5"/>
    <w:rsid w:val="00A05815"/>
    <w:rsid w:val="00A0730C"/>
    <w:rsid w:val="00A0790F"/>
    <w:rsid w:val="00A07F26"/>
    <w:rsid w:val="00A10CC4"/>
    <w:rsid w:val="00A1102A"/>
    <w:rsid w:val="00A1136A"/>
    <w:rsid w:val="00A12288"/>
    <w:rsid w:val="00A12A43"/>
    <w:rsid w:val="00A14A6D"/>
    <w:rsid w:val="00A14F83"/>
    <w:rsid w:val="00A16808"/>
    <w:rsid w:val="00A16841"/>
    <w:rsid w:val="00A168CE"/>
    <w:rsid w:val="00A16DE2"/>
    <w:rsid w:val="00A20C1E"/>
    <w:rsid w:val="00A22935"/>
    <w:rsid w:val="00A2295C"/>
    <w:rsid w:val="00A22B61"/>
    <w:rsid w:val="00A22B66"/>
    <w:rsid w:val="00A23550"/>
    <w:rsid w:val="00A238C9"/>
    <w:rsid w:val="00A23D3C"/>
    <w:rsid w:val="00A24178"/>
    <w:rsid w:val="00A241D0"/>
    <w:rsid w:val="00A24BA6"/>
    <w:rsid w:val="00A255BC"/>
    <w:rsid w:val="00A25849"/>
    <w:rsid w:val="00A2623A"/>
    <w:rsid w:val="00A30127"/>
    <w:rsid w:val="00A321A8"/>
    <w:rsid w:val="00A358CB"/>
    <w:rsid w:val="00A35D3A"/>
    <w:rsid w:val="00A36F23"/>
    <w:rsid w:val="00A373C4"/>
    <w:rsid w:val="00A375A2"/>
    <w:rsid w:val="00A378A8"/>
    <w:rsid w:val="00A37C70"/>
    <w:rsid w:val="00A403BF"/>
    <w:rsid w:val="00A40D48"/>
    <w:rsid w:val="00A40DF5"/>
    <w:rsid w:val="00A41CDE"/>
    <w:rsid w:val="00A41DE8"/>
    <w:rsid w:val="00A41F87"/>
    <w:rsid w:val="00A4302B"/>
    <w:rsid w:val="00A4370C"/>
    <w:rsid w:val="00A43B56"/>
    <w:rsid w:val="00A446FA"/>
    <w:rsid w:val="00A468FD"/>
    <w:rsid w:val="00A50269"/>
    <w:rsid w:val="00A51282"/>
    <w:rsid w:val="00A52992"/>
    <w:rsid w:val="00A52A9C"/>
    <w:rsid w:val="00A53963"/>
    <w:rsid w:val="00A54B3D"/>
    <w:rsid w:val="00A54CB3"/>
    <w:rsid w:val="00A54D07"/>
    <w:rsid w:val="00A56522"/>
    <w:rsid w:val="00A5655B"/>
    <w:rsid w:val="00A56722"/>
    <w:rsid w:val="00A570FD"/>
    <w:rsid w:val="00A57923"/>
    <w:rsid w:val="00A57F45"/>
    <w:rsid w:val="00A57F6F"/>
    <w:rsid w:val="00A600C2"/>
    <w:rsid w:val="00A609DF"/>
    <w:rsid w:val="00A60B2A"/>
    <w:rsid w:val="00A60B59"/>
    <w:rsid w:val="00A60E1B"/>
    <w:rsid w:val="00A61FB5"/>
    <w:rsid w:val="00A6239D"/>
    <w:rsid w:val="00A63520"/>
    <w:rsid w:val="00A63B97"/>
    <w:rsid w:val="00A64298"/>
    <w:rsid w:val="00A64F37"/>
    <w:rsid w:val="00A65F8A"/>
    <w:rsid w:val="00A67BEA"/>
    <w:rsid w:val="00A7164B"/>
    <w:rsid w:val="00A719D5"/>
    <w:rsid w:val="00A726E8"/>
    <w:rsid w:val="00A736E7"/>
    <w:rsid w:val="00A74234"/>
    <w:rsid w:val="00A74687"/>
    <w:rsid w:val="00A74AA0"/>
    <w:rsid w:val="00A74D95"/>
    <w:rsid w:val="00A76BC5"/>
    <w:rsid w:val="00A80F2C"/>
    <w:rsid w:val="00A8140C"/>
    <w:rsid w:val="00A82766"/>
    <w:rsid w:val="00A82E06"/>
    <w:rsid w:val="00A82EB3"/>
    <w:rsid w:val="00A833EA"/>
    <w:rsid w:val="00A8467A"/>
    <w:rsid w:val="00A851C7"/>
    <w:rsid w:val="00A852C6"/>
    <w:rsid w:val="00A863D0"/>
    <w:rsid w:val="00A86E7C"/>
    <w:rsid w:val="00A907D6"/>
    <w:rsid w:val="00A915A3"/>
    <w:rsid w:val="00A9161D"/>
    <w:rsid w:val="00A91835"/>
    <w:rsid w:val="00A9262E"/>
    <w:rsid w:val="00A93D49"/>
    <w:rsid w:val="00A963DE"/>
    <w:rsid w:val="00A96F69"/>
    <w:rsid w:val="00A976A0"/>
    <w:rsid w:val="00AA0948"/>
    <w:rsid w:val="00AA0CEA"/>
    <w:rsid w:val="00AA1234"/>
    <w:rsid w:val="00AA2EA8"/>
    <w:rsid w:val="00AA40EF"/>
    <w:rsid w:val="00AA4B0D"/>
    <w:rsid w:val="00AA69B1"/>
    <w:rsid w:val="00AA746C"/>
    <w:rsid w:val="00AB0E5B"/>
    <w:rsid w:val="00AB3ECE"/>
    <w:rsid w:val="00AB5423"/>
    <w:rsid w:val="00AB6ADB"/>
    <w:rsid w:val="00AB71C1"/>
    <w:rsid w:val="00AB7DB8"/>
    <w:rsid w:val="00AB7F3D"/>
    <w:rsid w:val="00AB7FDF"/>
    <w:rsid w:val="00AC02A8"/>
    <w:rsid w:val="00AC1489"/>
    <w:rsid w:val="00AC17FC"/>
    <w:rsid w:val="00AC1A38"/>
    <w:rsid w:val="00AC2E69"/>
    <w:rsid w:val="00AC3799"/>
    <w:rsid w:val="00AC39A6"/>
    <w:rsid w:val="00AC46E1"/>
    <w:rsid w:val="00AC4F89"/>
    <w:rsid w:val="00AC62C8"/>
    <w:rsid w:val="00AC648B"/>
    <w:rsid w:val="00AC708C"/>
    <w:rsid w:val="00AD00DE"/>
    <w:rsid w:val="00AD0764"/>
    <w:rsid w:val="00AD08C6"/>
    <w:rsid w:val="00AD09AB"/>
    <w:rsid w:val="00AD15A2"/>
    <w:rsid w:val="00AD222F"/>
    <w:rsid w:val="00AD2327"/>
    <w:rsid w:val="00AD24C8"/>
    <w:rsid w:val="00AD39B4"/>
    <w:rsid w:val="00AD5100"/>
    <w:rsid w:val="00AD68B6"/>
    <w:rsid w:val="00AD6FA2"/>
    <w:rsid w:val="00AE092D"/>
    <w:rsid w:val="00AE0DE9"/>
    <w:rsid w:val="00AE0EE2"/>
    <w:rsid w:val="00AE239B"/>
    <w:rsid w:val="00AE3530"/>
    <w:rsid w:val="00AE649C"/>
    <w:rsid w:val="00AE7911"/>
    <w:rsid w:val="00AF0FCA"/>
    <w:rsid w:val="00AF12EB"/>
    <w:rsid w:val="00AF3F73"/>
    <w:rsid w:val="00AF72D0"/>
    <w:rsid w:val="00B00829"/>
    <w:rsid w:val="00B013C6"/>
    <w:rsid w:val="00B01A90"/>
    <w:rsid w:val="00B020D3"/>
    <w:rsid w:val="00B02D22"/>
    <w:rsid w:val="00B03198"/>
    <w:rsid w:val="00B0407D"/>
    <w:rsid w:val="00B040C2"/>
    <w:rsid w:val="00B043D0"/>
    <w:rsid w:val="00B058D3"/>
    <w:rsid w:val="00B05CA8"/>
    <w:rsid w:val="00B06731"/>
    <w:rsid w:val="00B10B1B"/>
    <w:rsid w:val="00B11300"/>
    <w:rsid w:val="00B11755"/>
    <w:rsid w:val="00B11B98"/>
    <w:rsid w:val="00B12412"/>
    <w:rsid w:val="00B12E31"/>
    <w:rsid w:val="00B131AE"/>
    <w:rsid w:val="00B135F1"/>
    <w:rsid w:val="00B137A3"/>
    <w:rsid w:val="00B15BC6"/>
    <w:rsid w:val="00B16D46"/>
    <w:rsid w:val="00B17F41"/>
    <w:rsid w:val="00B20244"/>
    <w:rsid w:val="00B20762"/>
    <w:rsid w:val="00B22106"/>
    <w:rsid w:val="00B23C0C"/>
    <w:rsid w:val="00B24D8A"/>
    <w:rsid w:val="00B265FE"/>
    <w:rsid w:val="00B270AB"/>
    <w:rsid w:val="00B307E9"/>
    <w:rsid w:val="00B309C6"/>
    <w:rsid w:val="00B32118"/>
    <w:rsid w:val="00B33384"/>
    <w:rsid w:val="00B33793"/>
    <w:rsid w:val="00B34DF3"/>
    <w:rsid w:val="00B36E97"/>
    <w:rsid w:val="00B37D92"/>
    <w:rsid w:val="00B4064B"/>
    <w:rsid w:val="00B40828"/>
    <w:rsid w:val="00B42569"/>
    <w:rsid w:val="00B42EF1"/>
    <w:rsid w:val="00B438CD"/>
    <w:rsid w:val="00B439AC"/>
    <w:rsid w:val="00B443BA"/>
    <w:rsid w:val="00B449D2"/>
    <w:rsid w:val="00B4575F"/>
    <w:rsid w:val="00B4603E"/>
    <w:rsid w:val="00B466D5"/>
    <w:rsid w:val="00B47BC7"/>
    <w:rsid w:val="00B513AF"/>
    <w:rsid w:val="00B51AB6"/>
    <w:rsid w:val="00B52DD9"/>
    <w:rsid w:val="00B54CC1"/>
    <w:rsid w:val="00B555F5"/>
    <w:rsid w:val="00B55B70"/>
    <w:rsid w:val="00B5729E"/>
    <w:rsid w:val="00B57F82"/>
    <w:rsid w:val="00B6071E"/>
    <w:rsid w:val="00B61061"/>
    <w:rsid w:val="00B61688"/>
    <w:rsid w:val="00B61D37"/>
    <w:rsid w:val="00B651BC"/>
    <w:rsid w:val="00B651E6"/>
    <w:rsid w:val="00B66494"/>
    <w:rsid w:val="00B6727D"/>
    <w:rsid w:val="00B6754B"/>
    <w:rsid w:val="00B67D6D"/>
    <w:rsid w:val="00B70437"/>
    <w:rsid w:val="00B721FD"/>
    <w:rsid w:val="00B72485"/>
    <w:rsid w:val="00B7296C"/>
    <w:rsid w:val="00B73E85"/>
    <w:rsid w:val="00B74350"/>
    <w:rsid w:val="00B74651"/>
    <w:rsid w:val="00B75C84"/>
    <w:rsid w:val="00B75D7C"/>
    <w:rsid w:val="00B80015"/>
    <w:rsid w:val="00B80DE1"/>
    <w:rsid w:val="00B817AB"/>
    <w:rsid w:val="00B84747"/>
    <w:rsid w:val="00B8528D"/>
    <w:rsid w:val="00B862C3"/>
    <w:rsid w:val="00B8752C"/>
    <w:rsid w:val="00B9044B"/>
    <w:rsid w:val="00B904B5"/>
    <w:rsid w:val="00B904BB"/>
    <w:rsid w:val="00B910E9"/>
    <w:rsid w:val="00B913DE"/>
    <w:rsid w:val="00B921F6"/>
    <w:rsid w:val="00B92299"/>
    <w:rsid w:val="00B922E0"/>
    <w:rsid w:val="00B92BED"/>
    <w:rsid w:val="00B93C5F"/>
    <w:rsid w:val="00B9427C"/>
    <w:rsid w:val="00B95069"/>
    <w:rsid w:val="00B950F0"/>
    <w:rsid w:val="00B952A3"/>
    <w:rsid w:val="00B95E42"/>
    <w:rsid w:val="00B9614A"/>
    <w:rsid w:val="00B9652A"/>
    <w:rsid w:val="00B96757"/>
    <w:rsid w:val="00B96E15"/>
    <w:rsid w:val="00B97D24"/>
    <w:rsid w:val="00BA065B"/>
    <w:rsid w:val="00BA08CF"/>
    <w:rsid w:val="00BA0BFA"/>
    <w:rsid w:val="00BA15DC"/>
    <w:rsid w:val="00BA2078"/>
    <w:rsid w:val="00BA320C"/>
    <w:rsid w:val="00BA3A30"/>
    <w:rsid w:val="00BA477F"/>
    <w:rsid w:val="00BA4ED3"/>
    <w:rsid w:val="00BA53AD"/>
    <w:rsid w:val="00BA5DBF"/>
    <w:rsid w:val="00BA7FD9"/>
    <w:rsid w:val="00BB02C9"/>
    <w:rsid w:val="00BB103B"/>
    <w:rsid w:val="00BB2FA9"/>
    <w:rsid w:val="00BB33D3"/>
    <w:rsid w:val="00BB4A29"/>
    <w:rsid w:val="00BB63EC"/>
    <w:rsid w:val="00BB6852"/>
    <w:rsid w:val="00BB6B24"/>
    <w:rsid w:val="00BB6B6D"/>
    <w:rsid w:val="00BB7BC1"/>
    <w:rsid w:val="00BC046C"/>
    <w:rsid w:val="00BC070D"/>
    <w:rsid w:val="00BC1BC9"/>
    <w:rsid w:val="00BC1F04"/>
    <w:rsid w:val="00BC4F74"/>
    <w:rsid w:val="00BC5D1A"/>
    <w:rsid w:val="00BC6131"/>
    <w:rsid w:val="00BC6FA3"/>
    <w:rsid w:val="00BC7BAC"/>
    <w:rsid w:val="00BD05BC"/>
    <w:rsid w:val="00BD0D80"/>
    <w:rsid w:val="00BD116B"/>
    <w:rsid w:val="00BD4610"/>
    <w:rsid w:val="00BD51C5"/>
    <w:rsid w:val="00BD774C"/>
    <w:rsid w:val="00BE0050"/>
    <w:rsid w:val="00BE038D"/>
    <w:rsid w:val="00BE0491"/>
    <w:rsid w:val="00BE311F"/>
    <w:rsid w:val="00BE47EE"/>
    <w:rsid w:val="00BE4929"/>
    <w:rsid w:val="00BE6E8F"/>
    <w:rsid w:val="00BF0489"/>
    <w:rsid w:val="00BF10AA"/>
    <w:rsid w:val="00BF1BFB"/>
    <w:rsid w:val="00BF2293"/>
    <w:rsid w:val="00BF24A2"/>
    <w:rsid w:val="00BF275A"/>
    <w:rsid w:val="00BF3668"/>
    <w:rsid w:val="00BF36D8"/>
    <w:rsid w:val="00BF68BD"/>
    <w:rsid w:val="00C01B06"/>
    <w:rsid w:val="00C027E4"/>
    <w:rsid w:val="00C02C2F"/>
    <w:rsid w:val="00C04C85"/>
    <w:rsid w:val="00C06EA4"/>
    <w:rsid w:val="00C070C0"/>
    <w:rsid w:val="00C078C0"/>
    <w:rsid w:val="00C1043E"/>
    <w:rsid w:val="00C10567"/>
    <w:rsid w:val="00C11DCF"/>
    <w:rsid w:val="00C126C3"/>
    <w:rsid w:val="00C12C00"/>
    <w:rsid w:val="00C151AF"/>
    <w:rsid w:val="00C172A5"/>
    <w:rsid w:val="00C178E0"/>
    <w:rsid w:val="00C2025C"/>
    <w:rsid w:val="00C20BBC"/>
    <w:rsid w:val="00C216AE"/>
    <w:rsid w:val="00C225EF"/>
    <w:rsid w:val="00C230AB"/>
    <w:rsid w:val="00C23665"/>
    <w:rsid w:val="00C23969"/>
    <w:rsid w:val="00C24662"/>
    <w:rsid w:val="00C247D9"/>
    <w:rsid w:val="00C24C23"/>
    <w:rsid w:val="00C30398"/>
    <w:rsid w:val="00C3071F"/>
    <w:rsid w:val="00C316EF"/>
    <w:rsid w:val="00C323DE"/>
    <w:rsid w:val="00C3280B"/>
    <w:rsid w:val="00C3295A"/>
    <w:rsid w:val="00C32B27"/>
    <w:rsid w:val="00C34647"/>
    <w:rsid w:val="00C3496C"/>
    <w:rsid w:val="00C34BE0"/>
    <w:rsid w:val="00C34EA4"/>
    <w:rsid w:val="00C35860"/>
    <w:rsid w:val="00C36218"/>
    <w:rsid w:val="00C36FDD"/>
    <w:rsid w:val="00C3722C"/>
    <w:rsid w:val="00C373BE"/>
    <w:rsid w:val="00C409AC"/>
    <w:rsid w:val="00C4231B"/>
    <w:rsid w:val="00C42D47"/>
    <w:rsid w:val="00C42F01"/>
    <w:rsid w:val="00C44CFC"/>
    <w:rsid w:val="00C44EF4"/>
    <w:rsid w:val="00C44F35"/>
    <w:rsid w:val="00C4578C"/>
    <w:rsid w:val="00C457E5"/>
    <w:rsid w:val="00C4708A"/>
    <w:rsid w:val="00C47121"/>
    <w:rsid w:val="00C47676"/>
    <w:rsid w:val="00C50141"/>
    <w:rsid w:val="00C516AB"/>
    <w:rsid w:val="00C5239A"/>
    <w:rsid w:val="00C53B5B"/>
    <w:rsid w:val="00C53CAA"/>
    <w:rsid w:val="00C5432A"/>
    <w:rsid w:val="00C54731"/>
    <w:rsid w:val="00C55CB8"/>
    <w:rsid w:val="00C5629B"/>
    <w:rsid w:val="00C56347"/>
    <w:rsid w:val="00C574FD"/>
    <w:rsid w:val="00C62BA8"/>
    <w:rsid w:val="00C65076"/>
    <w:rsid w:val="00C650E9"/>
    <w:rsid w:val="00C65E3A"/>
    <w:rsid w:val="00C65E4F"/>
    <w:rsid w:val="00C678D3"/>
    <w:rsid w:val="00C679B4"/>
    <w:rsid w:val="00C67A3C"/>
    <w:rsid w:val="00C67B97"/>
    <w:rsid w:val="00C703D1"/>
    <w:rsid w:val="00C70F96"/>
    <w:rsid w:val="00C71CED"/>
    <w:rsid w:val="00C725D9"/>
    <w:rsid w:val="00C75C16"/>
    <w:rsid w:val="00C7788E"/>
    <w:rsid w:val="00C77F74"/>
    <w:rsid w:val="00C80C85"/>
    <w:rsid w:val="00C80F36"/>
    <w:rsid w:val="00C81798"/>
    <w:rsid w:val="00C81A71"/>
    <w:rsid w:val="00C8525D"/>
    <w:rsid w:val="00C85BCE"/>
    <w:rsid w:val="00C861E5"/>
    <w:rsid w:val="00C86D8A"/>
    <w:rsid w:val="00C8784C"/>
    <w:rsid w:val="00C90D3C"/>
    <w:rsid w:val="00C938AE"/>
    <w:rsid w:val="00C949DF"/>
    <w:rsid w:val="00C96B34"/>
    <w:rsid w:val="00C96E51"/>
    <w:rsid w:val="00C972DB"/>
    <w:rsid w:val="00CA0945"/>
    <w:rsid w:val="00CA1E70"/>
    <w:rsid w:val="00CA245C"/>
    <w:rsid w:val="00CA43C1"/>
    <w:rsid w:val="00CA4859"/>
    <w:rsid w:val="00CA5289"/>
    <w:rsid w:val="00CA61A2"/>
    <w:rsid w:val="00CA6CAB"/>
    <w:rsid w:val="00CA7AFF"/>
    <w:rsid w:val="00CA7D82"/>
    <w:rsid w:val="00CB0411"/>
    <w:rsid w:val="00CB0E73"/>
    <w:rsid w:val="00CB20D5"/>
    <w:rsid w:val="00CB374B"/>
    <w:rsid w:val="00CB4C02"/>
    <w:rsid w:val="00CB585E"/>
    <w:rsid w:val="00CB77D5"/>
    <w:rsid w:val="00CB7FF4"/>
    <w:rsid w:val="00CC0094"/>
    <w:rsid w:val="00CC06F2"/>
    <w:rsid w:val="00CC0B3C"/>
    <w:rsid w:val="00CC0CD8"/>
    <w:rsid w:val="00CC5381"/>
    <w:rsid w:val="00CC6413"/>
    <w:rsid w:val="00CC6479"/>
    <w:rsid w:val="00CC659E"/>
    <w:rsid w:val="00CC7013"/>
    <w:rsid w:val="00CD0FEF"/>
    <w:rsid w:val="00CD116B"/>
    <w:rsid w:val="00CD1187"/>
    <w:rsid w:val="00CD2551"/>
    <w:rsid w:val="00CD280F"/>
    <w:rsid w:val="00CD3FF9"/>
    <w:rsid w:val="00CD4382"/>
    <w:rsid w:val="00CD5EFE"/>
    <w:rsid w:val="00CD7297"/>
    <w:rsid w:val="00CE00DB"/>
    <w:rsid w:val="00CE02BF"/>
    <w:rsid w:val="00CE3283"/>
    <w:rsid w:val="00CE52D1"/>
    <w:rsid w:val="00CE5C1C"/>
    <w:rsid w:val="00CE612C"/>
    <w:rsid w:val="00CE6FC1"/>
    <w:rsid w:val="00CE7E38"/>
    <w:rsid w:val="00CF1166"/>
    <w:rsid w:val="00CF1175"/>
    <w:rsid w:val="00CF162E"/>
    <w:rsid w:val="00CF1757"/>
    <w:rsid w:val="00CF1924"/>
    <w:rsid w:val="00CF1FD0"/>
    <w:rsid w:val="00CF271B"/>
    <w:rsid w:val="00CF2DC3"/>
    <w:rsid w:val="00CF4749"/>
    <w:rsid w:val="00CF4A8E"/>
    <w:rsid w:val="00CF68A4"/>
    <w:rsid w:val="00CF71D0"/>
    <w:rsid w:val="00D00200"/>
    <w:rsid w:val="00D011E2"/>
    <w:rsid w:val="00D0206D"/>
    <w:rsid w:val="00D024D2"/>
    <w:rsid w:val="00D049B6"/>
    <w:rsid w:val="00D05916"/>
    <w:rsid w:val="00D05BA5"/>
    <w:rsid w:val="00D05BBC"/>
    <w:rsid w:val="00D05E58"/>
    <w:rsid w:val="00D05F2A"/>
    <w:rsid w:val="00D06100"/>
    <w:rsid w:val="00D06509"/>
    <w:rsid w:val="00D13844"/>
    <w:rsid w:val="00D13CC3"/>
    <w:rsid w:val="00D14721"/>
    <w:rsid w:val="00D14CE4"/>
    <w:rsid w:val="00D1554F"/>
    <w:rsid w:val="00D15D6A"/>
    <w:rsid w:val="00D16AB0"/>
    <w:rsid w:val="00D17010"/>
    <w:rsid w:val="00D17318"/>
    <w:rsid w:val="00D17C7D"/>
    <w:rsid w:val="00D17E72"/>
    <w:rsid w:val="00D20350"/>
    <w:rsid w:val="00D21137"/>
    <w:rsid w:val="00D215FF"/>
    <w:rsid w:val="00D21C09"/>
    <w:rsid w:val="00D22272"/>
    <w:rsid w:val="00D2299A"/>
    <w:rsid w:val="00D22EF8"/>
    <w:rsid w:val="00D22F2F"/>
    <w:rsid w:val="00D231B4"/>
    <w:rsid w:val="00D23882"/>
    <w:rsid w:val="00D240B0"/>
    <w:rsid w:val="00D25260"/>
    <w:rsid w:val="00D25A2C"/>
    <w:rsid w:val="00D25B74"/>
    <w:rsid w:val="00D26059"/>
    <w:rsid w:val="00D30653"/>
    <w:rsid w:val="00D30CA9"/>
    <w:rsid w:val="00D3220B"/>
    <w:rsid w:val="00D33AE6"/>
    <w:rsid w:val="00D37506"/>
    <w:rsid w:val="00D37CE2"/>
    <w:rsid w:val="00D400AE"/>
    <w:rsid w:val="00D401B5"/>
    <w:rsid w:val="00D41782"/>
    <w:rsid w:val="00D41EC0"/>
    <w:rsid w:val="00D42646"/>
    <w:rsid w:val="00D428FC"/>
    <w:rsid w:val="00D43165"/>
    <w:rsid w:val="00D442C9"/>
    <w:rsid w:val="00D44A87"/>
    <w:rsid w:val="00D45E6D"/>
    <w:rsid w:val="00D4649E"/>
    <w:rsid w:val="00D47E7A"/>
    <w:rsid w:val="00D520D8"/>
    <w:rsid w:val="00D545E2"/>
    <w:rsid w:val="00D549CD"/>
    <w:rsid w:val="00D54D71"/>
    <w:rsid w:val="00D55126"/>
    <w:rsid w:val="00D55F16"/>
    <w:rsid w:val="00D563BB"/>
    <w:rsid w:val="00D60599"/>
    <w:rsid w:val="00D609AA"/>
    <w:rsid w:val="00D6100B"/>
    <w:rsid w:val="00D61F10"/>
    <w:rsid w:val="00D626E3"/>
    <w:rsid w:val="00D63EF0"/>
    <w:rsid w:val="00D64310"/>
    <w:rsid w:val="00D64FA8"/>
    <w:rsid w:val="00D65065"/>
    <w:rsid w:val="00D66366"/>
    <w:rsid w:val="00D66FD4"/>
    <w:rsid w:val="00D670A4"/>
    <w:rsid w:val="00D67917"/>
    <w:rsid w:val="00D70674"/>
    <w:rsid w:val="00D71BB0"/>
    <w:rsid w:val="00D71FB8"/>
    <w:rsid w:val="00D72918"/>
    <w:rsid w:val="00D72A0B"/>
    <w:rsid w:val="00D72AE6"/>
    <w:rsid w:val="00D7304E"/>
    <w:rsid w:val="00D73120"/>
    <w:rsid w:val="00D73605"/>
    <w:rsid w:val="00D741FC"/>
    <w:rsid w:val="00D75D66"/>
    <w:rsid w:val="00D76222"/>
    <w:rsid w:val="00D77666"/>
    <w:rsid w:val="00D80A36"/>
    <w:rsid w:val="00D80B62"/>
    <w:rsid w:val="00D817E8"/>
    <w:rsid w:val="00D81917"/>
    <w:rsid w:val="00D81A89"/>
    <w:rsid w:val="00D83B59"/>
    <w:rsid w:val="00D844DD"/>
    <w:rsid w:val="00D8692C"/>
    <w:rsid w:val="00D86BF8"/>
    <w:rsid w:val="00D87488"/>
    <w:rsid w:val="00D8777D"/>
    <w:rsid w:val="00D9173A"/>
    <w:rsid w:val="00D920CB"/>
    <w:rsid w:val="00D92AF2"/>
    <w:rsid w:val="00D937C2"/>
    <w:rsid w:val="00D944C2"/>
    <w:rsid w:val="00D95C45"/>
    <w:rsid w:val="00D96507"/>
    <w:rsid w:val="00D9689F"/>
    <w:rsid w:val="00D968A5"/>
    <w:rsid w:val="00D97387"/>
    <w:rsid w:val="00D97C5F"/>
    <w:rsid w:val="00DA0378"/>
    <w:rsid w:val="00DA047D"/>
    <w:rsid w:val="00DA1944"/>
    <w:rsid w:val="00DA245F"/>
    <w:rsid w:val="00DA2ACD"/>
    <w:rsid w:val="00DA2EF0"/>
    <w:rsid w:val="00DA3B7E"/>
    <w:rsid w:val="00DA5F82"/>
    <w:rsid w:val="00DA7147"/>
    <w:rsid w:val="00DA7568"/>
    <w:rsid w:val="00DB057B"/>
    <w:rsid w:val="00DB0F14"/>
    <w:rsid w:val="00DB295D"/>
    <w:rsid w:val="00DB4133"/>
    <w:rsid w:val="00DB4780"/>
    <w:rsid w:val="00DB683A"/>
    <w:rsid w:val="00DB6ED0"/>
    <w:rsid w:val="00DB7AC5"/>
    <w:rsid w:val="00DC0DD5"/>
    <w:rsid w:val="00DC1039"/>
    <w:rsid w:val="00DC1865"/>
    <w:rsid w:val="00DC1CDA"/>
    <w:rsid w:val="00DC273E"/>
    <w:rsid w:val="00DC2769"/>
    <w:rsid w:val="00DC3AC8"/>
    <w:rsid w:val="00DC53DC"/>
    <w:rsid w:val="00DC5C85"/>
    <w:rsid w:val="00DC5F11"/>
    <w:rsid w:val="00DC5FDC"/>
    <w:rsid w:val="00DC7369"/>
    <w:rsid w:val="00DD008D"/>
    <w:rsid w:val="00DD0582"/>
    <w:rsid w:val="00DD0704"/>
    <w:rsid w:val="00DD172A"/>
    <w:rsid w:val="00DD17B6"/>
    <w:rsid w:val="00DD192D"/>
    <w:rsid w:val="00DD2987"/>
    <w:rsid w:val="00DD2B99"/>
    <w:rsid w:val="00DD408A"/>
    <w:rsid w:val="00DD506A"/>
    <w:rsid w:val="00DD50CE"/>
    <w:rsid w:val="00DD6A7A"/>
    <w:rsid w:val="00DD74A5"/>
    <w:rsid w:val="00DD7B88"/>
    <w:rsid w:val="00DE0837"/>
    <w:rsid w:val="00DE21C9"/>
    <w:rsid w:val="00DE2D8C"/>
    <w:rsid w:val="00DE346C"/>
    <w:rsid w:val="00DE36E6"/>
    <w:rsid w:val="00DE426F"/>
    <w:rsid w:val="00DE4347"/>
    <w:rsid w:val="00DE544B"/>
    <w:rsid w:val="00DE5B56"/>
    <w:rsid w:val="00DE643B"/>
    <w:rsid w:val="00DE6EA4"/>
    <w:rsid w:val="00DE7750"/>
    <w:rsid w:val="00DE79DD"/>
    <w:rsid w:val="00DE7A3C"/>
    <w:rsid w:val="00DE7E15"/>
    <w:rsid w:val="00DE7F05"/>
    <w:rsid w:val="00DF1F82"/>
    <w:rsid w:val="00DF200E"/>
    <w:rsid w:val="00DF3E64"/>
    <w:rsid w:val="00DF3F14"/>
    <w:rsid w:val="00DF605D"/>
    <w:rsid w:val="00E00033"/>
    <w:rsid w:val="00E001B9"/>
    <w:rsid w:val="00E005CD"/>
    <w:rsid w:val="00E00D30"/>
    <w:rsid w:val="00E0215A"/>
    <w:rsid w:val="00E021BD"/>
    <w:rsid w:val="00E023C1"/>
    <w:rsid w:val="00E03451"/>
    <w:rsid w:val="00E03B26"/>
    <w:rsid w:val="00E03F5F"/>
    <w:rsid w:val="00E04728"/>
    <w:rsid w:val="00E0585F"/>
    <w:rsid w:val="00E10743"/>
    <w:rsid w:val="00E1114A"/>
    <w:rsid w:val="00E11D75"/>
    <w:rsid w:val="00E11DB2"/>
    <w:rsid w:val="00E135C4"/>
    <w:rsid w:val="00E13748"/>
    <w:rsid w:val="00E14F97"/>
    <w:rsid w:val="00E15150"/>
    <w:rsid w:val="00E1647D"/>
    <w:rsid w:val="00E174D2"/>
    <w:rsid w:val="00E177D0"/>
    <w:rsid w:val="00E17B53"/>
    <w:rsid w:val="00E21A73"/>
    <w:rsid w:val="00E21FD2"/>
    <w:rsid w:val="00E22280"/>
    <w:rsid w:val="00E22817"/>
    <w:rsid w:val="00E230A8"/>
    <w:rsid w:val="00E26430"/>
    <w:rsid w:val="00E26CC5"/>
    <w:rsid w:val="00E27860"/>
    <w:rsid w:val="00E27B04"/>
    <w:rsid w:val="00E27F3D"/>
    <w:rsid w:val="00E300CC"/>
    <w:rsid w:val="00E318EA"/>
    <w:rsid w:val="00E329C4"/>
    <w:rsid w:val="00E32BB2"/>
    <w:rsid w:val="00E340DC"/>
    <w:rsid w:val="00E3445C"/>
    <w:rsid w:val="00E34631"/>
    <w:rsid w:val="00E3489C"/>
    <w:rsid w:val="00E36306"/>
    <w:rsid w:val="00E363A9"/>
    <w:rsid w:val="00E364FC"/>
    <w:rsid w:val="00E370C8"/>
    <w:rsid w:val="00E41B94"/>
    <w:rsid w:val="00E41BCF"/>
    <w:rsid w:val="00E433A2"/>
    <w:rsid w:val="00E46546"/>
    <w:rsid w:val="00E47BE1"/>
    <w:rsid w:val="00E5127C"/>
    <w:rsid w:val="00E530FE"/>
    <w:rsid w:val="00E53FEE"/>
    <w:rsid w:val="00E543C6"/>
    <w:rsid w:val="00E54E3D"/>
    <w:rsid w:val="00E55EBD"/>
    <w:rsid w:val="00E560A4"/>
    <w:rsid w:val="00E5705D"/>
    <w:rsid w:val="00E57E5B"/>
    <w:rsid w:val="00E60915"/>
    <w:rsid w:val="00E60A76"/>
    <w:rsid w:val="00E6131F"/>
    <w:rsid w:val="00E621D4"/>
    <w:rsid w:val="00E64CB0"/>
    <w:rsid w:val="00E656CD"/>
    <w:rsid w:val="00E65E9E"/>
    <w:rsid w:val="00E6668C"/>
    <w:rsid w:val="00E713D9"/>
    <w:rsid w:val="00E72D62"/>
    <w:rsid w:val="00E7337A"/>
    <w:rsid w:val="00E75B6A"/>
    <w:rsid w:val="00E76649"/>
    <w:rsid w:val="00E76D6C"/>
    <w:rsid w:val="00E76DAB"/>
    <w:rsid w:val="00E80236"/>
    <w:rsid w:val="00E80D14"/>
    <w:rsid w:val="00E811F7"/>
    <w:rsid w:val="00E81483"/>
    <w:rsid w:val="00E81F77"/>
    <w:rsid w:val="00E8210D"/>
    <w:rsid w:val="00E8489A"/>
    <w:rsid w:val="00E85358"/>
    <w:rsid w:val="00E857B9"/>
    <w:rsid w:val="00E85B58"/>
    <w:rsid w:val="00E869C3"/>
    <w:rsid w:val="00E86F47"/>
    <w:rsid w:val="00E87D3E"/>
    <w:rsid w:val="00E87EBB"/>
    <w:rsid w:val="00E9023D"/>
    <w:rsid w:val="00E9187C"/>
    <w:rsid w:val="00E92D60"/>
    <w:rsid w:val="00E94012"/>
    <w:rsid w:val="00E9437D"/>
    <w:rsid w:val="00E94456"/>
    <w:rsid w:val="00E95955"/>
    <w:rsid w:val="00E96379"/>
    <w:rsid w:val="00E96860"/>
    <w:rsid w:val="00E96AF1"/>
    <w:rsid w:val="00E974F2"/>
    <w:rsid w:val="00E97EA9"/>
    <w:rsid w:val="00EA0B48"/>
    <w:rsid w:val="00EA0E76"/>
    <w:rsid w:val="00EA213C"/>
    <w:rsid w:val="00EA2EA7"/>
    <w:rsid w:val="00EA425B"/>
    <w:rsid w:val="00EA5318"/>
    <w:rsid w:val="00EA5D8A"/>
    <w:rsid w:val="00EB0E58"/>
    <w:rsid w:val="00EB120A"/>
    <w:rsid w:val="00EB2B43"/>
    <w:rsid w:val="00EB460C"/>
    <w:rsid w:val="00EB5878"/>
    <w:rsid w:val="00EB5B35"/>
    <w:rsid w:val="00EB5BF5"/>
    <w:rsid w:val="00EB69C8"/>
    <w:rsid w:val="00EB7CF9"/>
    <w:rsid w:val="00EC1DC7"/>
    <w:rsid w:val="00EC1E34"/>
    <w:rsid w:val="00EC2073"/>
    <w:rsid w:val="00EC2FCD"/>
    <w:rsid w:val="00EC3235"/>
    <w:rsid w:val="00EC3615"/>
    <w:rsid w:val="00EC36B5"/>
    <w:rsid w:val="00EC44B7"/>
    <w:rsid w:val="00EC4B4F"/>
    <w:rsid w:val="00EC5183"/>
    <w:rsid w:val="00EC5BA6"/>
    <w:rsid w:val="00EC610C"/>
    <w:rsid w:val="00EC643D"/>
    <w:rsid w:val="00EC6734"/>
    <w:rsid w:val="00EC7607"/>
    <w:rsid w:val="00EC79D9"/>
    <w:rsid w:val="00EC7C8F"/>
    <w:rsid w:val="00ED09FF"/>
    <w:rsid w:val="00ED19AF"/>
    <w:rsid w:val="00ED540F"/>
    <w:rsid w:val="00ED5412"/>
    <w:rsid w:val="00ED58C1"/>
    <w:rsid w:val="00ED5DE2"/>
    <w:rsid w:val="00ED6AB6"/>
    <w:rsid w:val="00EE0B3E"/>
    <w:rsid w:val="00EE14FA"/>
    <w:rsid w:val="00EE1AF1"/>
    <w:rsid w:val="00EE238E"/>
    <w:rsid w:val="00EE2A5E"/>
    <w:rsid w:val="00EE2B4B"/>
    <w:rsid w:val="00EE2EE6"/>
    <w:rsid w:val="00EE43A4"/>
    <w:rsid w:val="00EE5708"/>
    <w:rsid w:val="00EE6038"/>
    <w:rsid w:val="00EE7008"/>
    <w:rsid w:val="00EF0645"/>
    <w:rsid w:val="00EF2472"/>
    <w:rsid w:val="00EF26D3"/>
    <w:rsid w:val="00EF3655"/>
    <w:rsid w:val="00EF3ED5"/>
    <w:rsid w:val="00EF455C"/>
    <w:rsid w:val="00EF5084"/>
    <w:rsid w:val="00EF54B7"/>
    <w:rsid w:val="00EF59ED"/>
    <w:rsid w:val="00EF7130"/>
    <w:rsid w:val="00EF7435"/>
    <w:rsid w:val="00F00375"/>
    <w:rsid w:val="00F0068E"/>
    <w:rsid w:val="00F00CBB"/>
    <w:rsid w:val="00F00F3E"/>
    <w:rsid w:val="00F02051"/>
    <w:rsid w:val="00F0205C"/>
    <w:rsid w:val="00F03A61"/>
    <w:rsid w:val="00F04005"/>
    <w:rsid w:val="00F04068"/>
    <w:rsid w:val="00F040A3"/>
    <w:rsid w:val="00F05712"/>
    <w:rsid w:val="00F05CA2"/>
    <w:rsid w:val="00F0783A"/>
    <w:rsid w:val="00F10E37"/>
    <w:rsid w:val="00F114D2"/>
    <w:rsid w:val="00F11AE9"/>
    <w:rsid w:val="00F12084"/>
    <w:rsid w:val="00F13339"/>
    <w:rsid w:val="00F135C1"/>
    <w:rsid w:val="00F13B93"/>
    <w:rsid w:val="00F1697D"/>
    <w:rsid w:val="00F16B14"/>
    <w:rsid w:val="00F17C63"/>
    <w:rsid w:val="00F20039"/>
    <w:rsid w:val="00F206CA"/>
    <w:rsid w:val="00F219C2"/>
    <w:rsid w:val="00F225EF"/>
    <w:rsid w:val="00F23D5D"/>
    <w:rsid w:val="00F25F66"/>
    <w:rsid w:val="00F2615A"/>
    <w:rsid w:val="00F265E6"/>
    <w:rsid w:val="00F269FA"/>
    <w:rsid w:val="00F273D8"/>
    <w:rsid w:val="00F27437"/>
    <w:rsid w:val="00F2754B"/>
    <w:rsid w:val="00F27B30"/>
    <w:rsid w:val="00F319DD"/>
    <w:rsid w:val="00F31E3D"/>
    <w:rsid w:val="00F32426"/>
    <w:rsid w:val="00F32C26"/>
    <w:rsid w:val="00F356C7"/>
    <w:rsid w:val="00F35C0E"/>
    <w:rsid w:val="00F36B4D"/>
    <w:rsid w:val="00F41ED9"/>
    <w:rsid w:val="00F42B48"/>
    <w:rsid w:val="00F437E8"/>
    <w:rsid w:val="00F438D2"/>
    <w:rsid w:val="00F449F8"/>
    <w:rsid w:val="00F45E10"/>
    <w:rsid w:val="00F50704"/>
    <w:rsid w:val="00F51AB6"/>
    <w:rsid w:val="00F542DE"/>
    <w:rsid w:val="00F54408"/>
    <w:rsid w:val="00F54B5C"/>
    <w:rsid w:val="00F55238"/>
    <w:rsid w:val="00F56C26"/>
    <w:rsid w:val="00F56E89"/>
    <w:rsid w:val="00F56FDF"/>
    <w:rsid w:val="00F57A73"/>
    <w:rsid w:val="00F6125B"/>
    <w:rsid w:val="00F6167F"/>
    <w:rsid w:val="00F6177E"/>
    <w:rsid w:val="00F62568"/>
    <w:rsid w:val="00F62B77"/>
    <w:rsid w:val="00F62EE8"/>
    <w:rsid w:val="00F646DF"/>
    <w:rsid w:val="00F669ED"/>
    <w:rsid w:val="00F66A49"/>
    <w:rsid w:val="00F676DB"/>
    <w:rsid w:val="00F706C7"/>
    <w:rsid w:val="00F72389"/>
    <w:rsid w:val="00F7242F"/>
    <w:rsid w:val="00F72E65"/>
    <w:rsid w:val="00F730A9"/>
    <w:rsid w:val="00F744F7"/>
    <w:rsid w:val="00F74BE7"/>
    <w:rsid w:val="00F74C48"/>
    <w:rsid w:val="00F76AF8"/>
    <w:rsid w:val="00F77FC7"/>
    <w:rsid w:val="00F80A38"/>
    <w:rsid w:val="00F843C7"/>
    <w:rsid w:val="00F850CA"/>
    <w:rsid w:val="00F851D7"/>
    <w:rsid w:val="00F854C2"/>
    <w:rsid w:val="00F86C2A"/>
    <w:rsid w:val="00F86D70"/>
    <w:rsid w:val="00F86EA6"/>
    <w:rsid w:val="00F87F8C"/>
    <w:rsid w:val="00F90C6D"/>
    <w:rsid w:val="00F91279"/>
    <w:rsid w:val="00F92221"/>
    <w:rsid w:val="00F924B8"/>
    <w:rsid w:val="00F92DAA"/>
    <w:rsid w:val="00F9307E"/>
    <w:rsid w:val="00F93371"/>
    <w:rsid w:val="00F940B3"/>
    <w:rsid w:val="00F95EBD"/>
    <w:rsid w:val="00FA0166"/>
    <w:rsid w:val="00FA17E2"/>
    <w:rsid w:val="00FA33DD"/>
    <w:rsid w:val="00FA37E9"/>
    <w:rsid w:val="00FA608E"/>
    <w:rsid w:val="00FB08DA"/>
    <w:rsid w:val="00FB17B1"/>
    <w:rsid w:val="00FB1A8D"/>
    <w:rsid w:val="00FB3F7A"/>
    <w:rsid w:val="00FB4199"/>
    <w:rsid w:val="00FB4596"/>
    <w:rsid w:val="00FB7656"/>
    <w:rsid w:val="00FC0825"/>
    <w:rsid w:val="00FC10DD"/>
    <w:rsid w:val="00FC142C"/>
    <w:rsid w:val="00FC1445"/>
    <w:rsid w:val="00FC1566"/>
    <w:rsid w:val="00FC2369"/>
    <w:rsid w:val="00FC239D"/>
    <w:rsid w:val="00FC35B7"/>
    <w:rsid w:val="00FC38C7"/>
    <w:rsid w:val="00FC52E6"/>
    <w:rsid w:val="00FC6291"/>
    <w:rsid w:val="00FC78AE"/>
    <w:rsid w:val="00FD018A"/>
    <w:rsid w:val="00FD1773"/>
    <w:rsid w:val="00FD193C"/>
    <w:rsid w:val="00FD2862"/>
    <w:rsid w:val="00FD576A"/>
    <w:rsid w:val="00FD6A10"/>
    <w:rsid w:val="00FE0688"/>
    <w:rsid w:val="00FE163C"/>
    <w:rsid w:val="00FE1D80"/>
    <w:rsid w:val="00FE1F19"/>
    <w:rsid w:val="00FE22A9"/>
    <w:rsid w:val="00FE2603"/>
    <w:rsid w:val="00FE2D1E"/>
    <w:rsid w:val="00FE412B"/>
    <w:rsid w:val="00FE585D"/>
    <w:rsid w:val="00FE595D"/>
    <w:rsid w:val="00FE5A7F"/>
    <w:rsid w:val="00FE5F7A"/>
    <w:rsid w:val="00FE6A79"/>
    <w:rsid w:val="00FE6F35"/>
    <w:rsid w:val="00FE7B91"/>
    <w:rsid w:val="00FF1ABB"/>
    <w:rsid w:val="00FF259B"/>
    <w:rsid w:val="00FF3659"/>
    <w:rsid w:val="00FF3CEF"/>
    <w:rsid w:val="00FF428D"/>
    <w:rsid w:val="00FF6DAC"/>
    <w:rsid w:val="00FF75C5"/>
    <w:rsid w:val="01A333CE"/>
    <w:rsid w:val="03AC7F77"/>
    <w:rsid w:val="046E6C72"/>
    <w:rsid w:val="052E6DBB"/>
    <w:rsid w:val="08406E56"/>
    <w:rsid w:val="088A3FDB"/>
    <w:rsid w:val="0B0169F3"/>
    <w:rsid w:val="0B025691"/>
    <w:rsid w:val="0C2B5BDE"/>
    <w:rsid w:val="0E7E6BA6"/>
    <w:rsid w:val="0F484BF9"/>
    <w:rsid w:val="109B530A"/>
    <w:rsid w:val="12A83060"/>
    <w:rsid w:val="150A1724"/>
    <w:rsid w:val="16054372"/>
    <w:rsid w:val="18580981"/>
    <w:rsid w:val="1873260E"/>
    <w:rsid w:val="19DE1EE3"/>
    <w:rsid w:val="1AD27706"/>
    <w:rsid w:val="1B2C6FE4"/>
    <w:rsid w:val="1B6939E5"/>
    <w:rsid w:val="1B7D0088"/>
    <w:rsid w:val="2152011E"/>
    <w:rsid w:val="25F94756"/>
    <w:rsid w:val="2782657C"/>
    <w:rsid w:val="2A4267D1"/>
    <w:rsid w:val="2BE44287"/>
    <w:rsid w:val="2CA27205"/>
    <w:rsid w:val="2D4117D2"/>
    <w:rsid w:val="2ECA191D"/>
    <w:rsid w:val="2FAD35BE"/>
    <w:rsid w:val="2FFC332B"/>
    <w:rsid w:val="30366F5C"/>
    <w:rsid w:val="30B24179"/>
    <w:rsid w:val="31137B67"/>
    <w:rsid w:val="324D6894"/>
    <w:rsid w:val="3265642B"/>
    <w:rsid w:val="3A0D043F"/>
    <w:rsid w:val="3BF74D2C"/>
    <w:rsid w:val="3CEB1B89"/>
    <w:rsid w:val="3DA325AF"/>
    <w:rsid w:val="3DAC051D"/>
    <w:rsid w:val="3E3C6233"/>
    <w:rsid w:val="3FF579B6"/>
    <w:rsid w:val="44A53F72"/>
    <w:rsid w:val="466C12D6"/>
    <w:rsid w:val="48862EB6"/>
    <w:rsid w:val="491C1145"/>
    <w:rsid w:val="4B5E7871"/>
    <w:rsid w:val="4C985E9A"/>
    <w:rsid w:val="4E3B0C32"/>
    <w:rsid w:val="4EC244CE"/>
    <w:rsid w:val="521763F2"/>
    <w:rsid w:val="522C3831"/>
    <w:rsid w:val="53807CCC"/>
    <w:rsid w:val="550B537C"/>
    <w:rsid w:val="554569A0"/>
    <w:rsid w:val="5AED4213"/>
    <w:rsid w:val="5CCE366F"/>
    <w:rsid w:val="5FE33943"/>
    <w:rsid w:val="610D39B8"/>
    <w:rsid w:val="61476EA2"/>
    <w:rsid w:val="625B4BA7"/>
    <w:rsid w:val="66E20A0D"/>
    <w:rsid w:val="6C562064"/>
    <w:rsid w:val="6EFA5A22"/>
    <w:rsid w:val="714C7355"/>
    <w:rsid w:val="718A7122"/>
    <w:rsid w:val="73962B9C"/>
    <w:rsid w:val="73D070ED"/>
    <w:rsid w:val="75152F2F"/>
    <w:rsid w:val="7571113C"/>
    <w:rsid w:val="7C117299"/>
    <w:rsid w:val="7C732690"/>
    <w:rsid w:val="7CBC6A8B"/>
    <w:rsid w:val="7D646B98"/>
    <w:rsid w:val="7E44348F"/>
    <w:rsid w:val="7F7A7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w:hAnsi="Cambria" w:eastAsia="宋体" w:cs="黑体"/>
      <w:kern w:val="2"/>
      <w:sz w:val="24"/>
      <w:szCs w:val="24"/>
      <w:lang w:val="en-US" w:eastAsia="zh-CN" w:bidi="ar-SA"/>
    </w:rPr>
  </w:style>
  <w:style w:type="paragraph" w:styleId="2">
    <w:name w:val="heading 1"/>
    <w:basedOn w:val="1"/>
    <w:next w:val="1"/>
    <w:link w:val="59"/>
    <w:qFormat/>
    <w:uiPriority w:val="0"/>
    <w:pPr>
      <w:keepNext/>
      <w:keepLines/>
      <w:spacing w:before="340" w:after="330" w:line="360" w:lineRule="auto"/>
      <w:jc w:val="center"/>
      <w:outlineLvl w:val="0"/>
    </w:pPr>
    <w:rPr>
      <w:rFonts w:ascii="Times New Roman" w:hAnsi="Times New Roman" w:cs="Times New Roman"/>
      <w:b/>
      <w:bCs/>
      <w:kern w:val="44"/>
      <w:sz w:val="30"/>
      <w:szCs w:val="44"/>
    </w:rPr>
  </w:style>
  <w:style w:type="paragraph" w:styleId="3">
    <w:name w:val="heading 2"/>
    <w:basedOn w:val="1"/>
    <w:next w:val="1"/>
    <w:link w:val="60"/>
    <w:qFormat/>
    <w:uiPriority w:val="0"/>
    <w:pPr>
      <w:keepNext/>
      <w:keepLines/>
      <w:spacing w:before="260" w:after="260" w:line="360" w:lineRule="auto"/>
      <w:jc w:val="center"/>
      <w:outlineLvl w:val="1"/>
    </w:pPr>
    <w:rPr>
      <w:rFonts w:ascii="Arial" w:hAnsi="Arial" w:cs="Times New Roman"/>
      <w:b/>
      <w:bCs/>
      <w:kern w:val="0"/>
      <w:sz w:val="28"/>
      <w:szCs w:val="32"/>
    </w:rPr>
  </w:style>
  <w:style w:type="paragraph" w:styleId="4">
    <w:name w:val="heading 3"/>
    <w:basedOn w:val="1"/>
    <w:next w:val="1"/>
    <w:link w:val="61"/>
    <w:qFormat/>
    <w:uiPriority w:val="0"/>
    <w:pPr>
      <w:keepNext/>
      <w:numPr>
        <w:ilvl w:val="0"/>
        <w:numId w:val="1"/>
      </w:numPr>
      <w:spacing w:line="216" w:lineRule="auto"/>
      <w:outlineLvl w:val="2"/>
    </w:pPr>
    <w:rPr>
      <w:rFonts w:ascii="宋体" w:hAnsi="Times New Roman" w:cs="Times New Roman"/>
      <w:b/>
      <w:kern w:val="0"/>
      <w:sz w:val="28"/>
      <w:szCs w:val="20"/>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3"/>
    <w:qFormat/>
    <w:uiPriority w:val="0"/>
    <w:pPr>
      <w:keepNext/>
      <w:keepLines/>
      <w:spacing w:before="280" w:after="290" w:line="376" w:lineRule="auto"/>
      <w:outlineLvl w:val="4"/>
    </w:pPr>
    <w:rPr>
      <w:rFonts w:ascii="Times New Roman" w:hAnsi="Times New Roman" w:cs="Times New Roman"/>
      <w:b/>
      <w:bCs/>
      <w:kern w:val="0"/>
      <w:sz w:val="28"/>
      <w:szCs w:val="28"/>
    </w:rPr>
  </w:style>
  <w:style w:type="paragraph" w:styleId="7">
    <w:name w:val="heading 6"/>
    <w:basedOn w:val="1"/>
    <w:next w:val="1"/>
    <w:link w:val="64"/>
    <w:qFormat/>
    <w:uiPriority w:val="0"/>
    <w:pPr>
      <w:keepNext/>
      <w:keepLines/>
      <w:spacing w:before="240" w:after="64" w:line="320" w:lineRule="auto"/>
      <w:outlineLvl w:val="5"/>
    </w:pPr>
    <w:rPr>
      <w:rFonts w:ascii="Arial" w:hAnsi="Arial" w:eastAsia="黑体" w:cs="Times New Roman"/>
      <w:b/>
      <w:bCs/>
      <w:kern w:val="0"/>
    </w:rPr>
  </w:style>
  <w:style w:type="paragraph" w:styleId="8">
    <w:name w:val="heading 7"/>
    <w:basedOn w:val="1"/>
    <w:next w:val="1"/>
    <w:link w:val="65"/>
    <w:qFormat/>
    <w:uiPriority w:val="0"/>
    <w:pPr>
      <w:keepNext/>
      <w:keepLines/>
      <w:tabs>
        <w:tab w:val="left" w:pos="1296"/>
      </w:tabs>
      <w:spacing w:before="240" w:after="64" w:line="320" w:lineRule="auto"/>
      <w:ind w:left="1296" w:hanging="1296"/>
      <w:outlineLvl w:val="6"/>
    </w:pPr>
    <w:rPr>
      <w:rFonts w:ascii="Times New Roman" w:hAnsi="Times New Roman" w:cs="Times New Roman"/>
      <w:b/>
      <w:bCs/>
      <w:kern w:val="0"/>
    </w:rPr>
  </w:style>
  <w:style w:type="paragraph" w:styleId="9">
    <w:name w:val="heading 8"/>
    <w:basedOn w:val="1"/>
    <w:next w:val="1"/>
    <w:link w:val="66"/>
    <w:qFormat/>
    <w:uiPriority w:val="0"/>
    <w:pPr>
      <w:keepNext/>
      <w:keepLines/>
      <w:tabs>
        <w:tab w:val="left" w:pos="1440"/>
      </w:tabs>
      <w:spacing w:before="240" w:after="64" w:line="320" w:lineRule="auto"/>
      <w:ind w:left="1440" w:hanging="1440"/>
      <w:outlineLvl w:val="7"/>
    </w:pPr>
    <w:rPr>
      <w:rFonts w:ascii="Arial" w:hAnsi="Arial" w:eastAsia="黑体" w:cs="Times New Roman"/>
      <w:kern w:val="0"/>
    </w:rPr>
  </w:style>
  <w:style w:type="paragraph" w:styleId="10">
    <w:name w:val="heading 9"/>
    <w:basedOn w:val="1"/>
    <w:next w:val="1"/>
    <w:link w:val="67"/>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3">
    <w:name w:val="Default Paragraph Font"/>
    <w:unhideWhenUsed/>
    <w:qFormat/>
    <w:uiPriority w:val="1"/>
  </w:style>
  <w:style w:type="table" w:default="1" w:styleId="52">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cs="Times New Roman"/>
      <w:sz w:val="21"/>
    </w:rPr>
  </w:style>
  <w:style w:type="paragraph" w:styleId="12">
    <w:name w:val="toc 7"/>
    <w:basedOn w:val="1"/>
    <w:next w:val="1"/>
    <w:qFormat/>
    <w:uiPriority w:val="0"/>
    <w:pPr>
      <w:ind w:left="1260"/>
      <w:jc w:val="left"/>
    </w:pPr>
    <w:rPr>
      <w:rFonts w:ascii="Times New Roman" w:hAnsi="Times New Roman" w:cs="Times New Roman"/>
      <w:sz w:val="20"/>
      <w:szCs w:val="20"/>
    </w:rPr>
  </w:style>
  <w:style w:type="paragraph" w:styleId="13">
    <w:name w:val="table of authorities"/>
    <w:basedOn w:val="1"/>
    <w:next w:val="1"/>
    <w:qFormat/>
    <w:uiPriority w:val="0"/>
    <w:pPr>
      <w:ind w:left="420" w:leftChars="200"/>
    </w:pPr>
    <w:rPr>
      <w:rFonts w:ascii="Times New Roman" w:hAnsi="Times New Roman" w:cs="Times New Roman"/>
      <w:sz w:val="21"/>
    </w:rPr>
  </w:style>
  <w:style w:type="paragraph" w:styleId="14">
    <w:name w:val="Normal Indent"/>
    <w:basedOn w:val="1"/>
    <w:qFormat/>
    <w:uiPriority w:val="0"/>
    <w:pPr>
      <w:ind w:firstLine="420"/>
    </w:pPr>
    <w:rPr>
      <w:rFonts w:ascii="Times New Roman" w:hAnsi="Times New Roman" w:cs="Times New Roman"/>
      <w:sz w:val="21"/>
      <w:szCs w:val="20"/>
    </w:rPr>
  </w:style>
  <w:style w:type="paragraph" w:styleId="15">
    <w:name w:val="caption"/>
    <w:basedOn w:val="1"/>
    <w:next w:val="1"/>
    <w:qFormat/>
    <w:uiPriority w:val="0"/>
    <w:rPr>
      <w:rFonts w:ascii="Arial" w:hAnsi="Arial" w:eastAsia="黑体" w:cs="Arial"/>
      <w:sz w:val="20"/>
      <w:szCs w:val="20"/>
    </w:rPr>
  </w:style>
  <w:style w:type="paragraph" w:styleId="16">
    <w:name w:val="index 5"/>
    <w:basedOn w:val="1"/>
    <w:next w:val="1"/>
    <w:qFormat/>
    <w:uiPriority w:val="0"/>
    <w:pPr>
      <w:ind w:left="800" w:leftChars="800"/>
    </w:pPr>
    <w:rPr>
      <w:rFonts w:ascii="Times New Roman" w:hAnsi="Times New Roman" w:cs="Times New Roman"/>
      <w:sz w:val="21"/>
    </w:rPr>
  </w:style>
  <w:style w:type="paragraph" w:styleId="17">
    <w:name w:val="List Bullet"/>
    <w:basedOn w:val="1"/>
    <w:qFormat/>
    <w:uiPriority w:val="0"/>
    <w:pPr>
      <w:numPr>
        <w:ilvl w:val="0"/>
        <w:numId w:val="2"/>
      </w:numPr>
    </w:pPr>
    <w:rPr>
      <w:rFonts w:ascii="Times New Roman" w:hAnsi="Times New Roman" w:cs="Times New Roman"/>
      <w:sz w:val="21"/>
    </w:rPr>
  </w:style>
  <w:style w:type="paragraph" w:styleId="18">
    <w:name w:val="Document Map"/>
    <w:basedOn w:val="1"/>
    <w:link w:val="72"/>
    <w:qFormat/>
    <w:uiPriority w:val="0"/>
    <w:pPr>
      <w:shd w:val="clear" w:color="auto" w:fill="000080"/>
    </w:pPr>
    <w:rPr>
      <w:rFonts w:ascii="Times New Roman" w:hAnsi="Times New Roman" w:cs="Times New Roman"/>
      <w:kern w:val="0"/>
      <w:sz w:val="20"/>
    </w:rPr>
  </w:style>
  <w:style w:type="paragraph" w:styleId="19">
    <w:name w:val="annotation text"/>
    <w:basedOn w:val="1"/>
    <w:link w:val="68"/>
    <w:unhideWhenUsed/>
    <w:qFormat/>
    <w:uiPriority w:val="99"/>
    <w:pPr>
      <w:jc w:val="left"/>
    </w:pPr>
  </w:style>
  <w:style w:type="paragraph" w:styleId="20">
    <w:name w:val="Body Text 3"/>
    <w:basedOn w:val="1"/>
    <w:link w:val="73"/>
    <w:qFormat/>
    <w:uiPriority w:val="99"/>
    <w:pPr>
      <w:adjustRightInd w:val="0"/>
      <w:spacing w:after="120" w:line="360" w:lineRule="atLeast"/>
      <w:textAlignment w:val="baseline"/>
    </w:pPr>
    <w:rPr>
      <w:rFonts w:ascii="Times New Roman" w:hAnsi="Times New Roman" w:cs="Times New Roman"/>
      <w:kern w:val="0"/>
      <w:sz w:val="16"/>
      <w:szCs w:val="16"/>
    </w:rPr>
  </w:style>
  <w:style w:type="paragraph" w:styleId="21">
    <w:name w:val="Body Text"/>
    <w:basedOn w:val="1"/>
    <w:link w:val="70"/>
    <w:unhideWhenUsed/>
    <w:qFormat/>
    <w:uiPriority w:val="0"/>
    <w:pPr>
      <w:spacing w:after="120"/>
    </w:pPr>
  </w:style>
  <w:style w:type="paragraph" w:styleId="22">
    <w:name w:val="Body Text Indent"/>
    <w:basedOn w:val="1"/>
    <w:link w:val="74"/>
    <w:qFormat/>
    <w:uiPriority w:val="0"/>
    <w:pPr>
      <w:ind w:firstLine="560" w:firstLineChars="200"/>
    </w:pPr>
    <w:rPr>
      <w:rFonts w:ascii="宋体" w:hAnsi="宋体" w:cs="Times New Roman"/>
      <w:kern w:val="0"/>
      <w:sz w:val="28"/>
      <w:szCs w:val="28"/>
    </w:rPr>
  </w:style>
  <w:style w:type="paragraph" w:styleId="23">
    <w:name w:val="List 2"/>
    <w:basedOn w:val="1"/>
    <w:qFormat/>
    <w:uiPriority w:val="0"/>
    <w:pPr>
      <w:ind w:left="100" w:leftChars="200" w:hanging="200" w:hangingChars="200"/>
    </w:pPr>
    <w:rPr>
      <w:rFonts w:ascii="Times New Roman" w:hAnsi="Times New Roman" w:cs="Times New Roman"/>
      <w:sz w:val="21"/>
    </w:rPr>
  </w:style>
  <w:style w:type="paragraph" w:styleId="24">
    <w:name w:val="List Continue"/>
    <w:basedOn w:val="1"/>
    <w:qFormat/>
    <w:uiPriority w:val="0"/>
    <w:pPr>
      <w:spacing w:after="120"/>
      <w:ind w:left="420" w:leftChars="200"/>
    </w:pPr>
    <w:rPr>
      <w:rFonts w:ascii="Times New Roman" w:hAnsi="Times New Roman" w:cs="Times New Roman"/>
      <w:sz w:val="21"/>
    </w:rPr>
  </w:style>
  <w:style w:type="paragraph" w:styleId="25">
    <w:name w:val="Block Text"/>
    <w:basedOn w:val="1"/>
    <w:qFormat/>
    <w:uiPriority w:val="0"/>
    <w:pPr>
      <w:spacing w:before="120" w:after="120" w:line="360" w:lineRule="auto"/>
      <w:ind w:left="525" w:right="202"/>
    </w:pPr>
    <w:rPr>
      <w:rFonts w:ascii="宋体" w:hAnsi="宋体" w:cs="Times New Roman"/>
      <w:spacing w:val="-4"/>
    </w:rPr>
  </w:style>
  <w:style w:type="paragraph" w:styleId="26">
    <w:name w:val="List Bullet 2"/>
    <w:basedOn w:val="1"/>
    <w:qFormat/>
    <w:uiPriority w:val="0"/>
    <w:pPr>
      <w:numPr>
        <w:ilvl w:val="0"/>
        <w:numId w:val="3"/>
      </w:numPr>
    </w:pPr>
    <w:rPr>
      <w:rFonts w:ascii="Times New Roman" w:hAnsi="Times New Roman" w:cs="Times New Roman"/>
      <w:sz w:val="21"/>
    </w:rPr>
  </w:style>
  <w:style w:type="paragraph" w:styleId="27">
    <w:name w:val="toc 5"/>
    <w:basedOn w:val="1"/>
    <w:next w:val="1"/>
    <w:qFormat/>
    <w:uiPriority w:val="0"/>
    <w:pPr>
      <w:ind w:left="840"/>
      <w:jc w:val="left"/>
    </w:pPr>
    <w:rPr>
      <w:rFonts w:ascii="Times New Roman" w:hAnsi="Times New Roman" w:cs="Times New Roman"/>
      <w:sz w:val="20"/>
      <w:szCs w:val="20"/>
    </w:rPr>
  </w:style>
  <w:style w:type="paragraph" w:styleId="28">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29">
    <w:name w:val="Plain Text"/>
    <w:basedOn w:val="1"/>
    <w:link w:val="75"/>
    <w:qFormat/>
    <w:uiPriority w:val="0"/>
    <w:rPr>
      <w:rFonts w:ascii="宋体" w:hAnsi="Courier New" w:cs="Times New Roman"/>
      <w:kern w:val="0"/>
      <w:sz w:val="20"/>
      <w:szCs w:val="21"/>
    </w:rPr>
  </w:style>
  <w:style w:type="paragraph" w:styleId="30">
    <w:name w:val="toc 8"/>
    <w:basedOn w:val="1"/>
    <w:next w:val="1"/>
    <w:qFormat/>
    <w:uiPriority w:val="0"/>
    <w:pPr>
      <w:ind w:left="1470"/>
      <w:jc w:val="left"/>
    </w:pPr>
    <w:rPr>
      <w:rFonts w:ascii="Times New Roman" w:hAnsi="Times New Roman" w:cs="Times New Roman"/>
      <w:sz w:val="20"/>
      <w:szCs w:val="20"/>
    </w:rPr>
  </w:style>
  <w:style w:type="paragraph" w:styleId="31">
    <w:name w:val="Date"/>
    <w:basedOn w:val="1"/>
    <w:next w:val="1"/>
    <w:link w:val="76"/>
    <w:qFormat/>
    <w:uiPriority w:val="0"/>
    <w:pPr>
      <w:ind w:left="100" w:leftChars="2500"/>
    </w:pPr>
    <w:rPr>
      <w:rFonts w:ascii="Times New Roman" w:hAnsi="Times New Roman" w:cs="Times New Roman"/>
      <w:kern w:val="0"/>
      <w:sz w:val="20"/>
    </w:rPr>
  </w:style>
  <w:style w:type="paragraph" w:styleId="32">
    <w:name w:val="Body Text Indent 2"/>
    <w:basedOn w:val="1"/>
    <w:link w:val="77"/>
    <w:qFormat/>
    <w:uiPriority w:val="0"/>
    <w:pPr>
      <w:spacing w:after="120" w:line="480" w:lineRule="auto"/>
      <w:ind w:left="420" w:leftChars="200"/>
    </w:pPr>
    <w:rPr>
      <w:rFonts w:ascii="Times New Roman" w:hAnsi="Times New Roman" w:cs="Times New Roman"/>
      <w:kern w:val="0"/>
      <w:sz w:val="20"/>
    </w:rPr>
  </w:style>
  <w:style w:type="paragraph" w:styleId="33">
    <w:name w:val="Balloon Text"/>
    <w:basedOn w:val="1"/>
    <w:link w:val="78"/>
    <w:semiHidden/>
    <w:qFormat/>
    <w:uiPriority w:val="99"/>
    <w:rPr>
      <w:rFonts w:ascii="Times New Roman" w:hAnsi="Times New Roman" w:cs="Times New Roman"/>
      <w:kern w:val="0"/>
      <w:sz w:val="18"/>
      <w:szCs w:val="18"/>
    </w:rPr>
  </w:style>
  <w:style w:type="paragraph" w:styleId="34">
    <w:name w:val="footer"/>
    <w:basedOn w:val="1"/>
    <w:link w:val="79"/>
    <w:unhideWhenUsed/>
    <w:qFormat/>
    <w:uiPriority w:val="99"/>
    <w:pPr>
      <w:tabs>
        <w:tab w:val="center" w:pos="4153"/>
        <w:tab w:val="right" w:pos="8306"/>
      </w:tabs>
      <w:snapToGrid w:val="0"/>
      <w:jc w:val="left"/>
    </w:pPr>
    <w:rPr>
      <w:sz w:val="18"/>
      <w:szCs w:val="18"/>
    </w:rPr>
  </w:style>
  <w:style w:type="paragraph" w:styleId="35">
    <w:name w:val="header"/>
    <w:basedOn w:val="1"/>
    <w:link w:val="81"/>
    <w:unhideWhenUsed/>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39"/>
    <w:pPr>
      <w:adjustRightInd w:val="0"/>
      <w:snapToGrid w:val="0"/>
    </w:pPr>
    <w:rPr>
      <w:rFonts w:ascii="Times New Roman" w:hAnsi="Times New Roman" w:eastAsia="仿宋" w:cs="Times New Roman"/>
      <w:sz w:val="21"/>
    </w:rPr>
  </w:style>
  <w:style w:type="paragraph" w:styleId="37">
    <w:name w:val="toc 4"/>
    <w:basedOn w:val="1"/>
    <w:next w:val="1"/>
    <w:qFormat/>
    <w:uiPriority w:val="0"/>
    <w:pPr>
      <w:ind w:left="630"/>
      <w:jc w:val="left"/>
    </w:pPr>
    <w:rPr>
      <w:rFonts w:ascii="楷体_GB2312" w:hAnsi="Times New Roman" w:eastAsia="楷体_GB2312" w:cs="Times New Roman"/>
      <w:sz w:val="28"/>
      <w:szCs w:val="20"/>
    </w:rPr>
  </w:style>
  <w:style w:type="paragraph" w:styleId="38">
    <w:name w:val="List"/>
    <w:basedOn w:val="1"/>
    <w:qFormat/>
    <w:uiPriority w:val="0"/>
    <w:pPr>
      <w:ind w:left="200" w:hanging="200" w:hangingChars="200"/>
    </w:pPr>
    <w:rPr>
      <w:rFonts w:ascii="Times New Roman" w:hAnsi="Times New Roman" w:cs="Times New Roman"/>
      <w:sz w:val="21"/>
    </w:rPr>
  </w:style>
  <w:style w:type="paragraph" w:styleId="39">
    <w:name w:val="toc 6"/>
    <w:basedOn w:val="1"/>
    <w:next w:val="1"/>
    <w:qFormat/>
    <w:uiPriority w:val="0"/>
    <w:pPr>
      <w:ind w:left="1050"/>
      <w:jc w:val="left"/>
    </w:pPr>
    <w:rPr>
      <w:rFonts w:ascii="Times New Roman" w:hAnsi="Times New Roman" w:cs="Times New Roman"/>
      <w:sz w:val="20"/>
      <w:szCs w:val="20"/>
    </w:rPr>
  </w:style>
  <w:style w:type="paragraph" w:styleId="40">
    <w:name w:val="Body Text Indent 3"/>
    <w:basedOn w:val="1"/>
    <w:link w:val="82"/>
    <w:qFormat/>
    <w:uiPriority w:val="0"/>
    <w:pPr>
      <w:spacing w:after="120"/>
      <w:ind w:left="420" w:leftChars="200"/>
    </w:pPr>
    <w:rPr>
      <w:rFonts w:ascii="Times New Roman" w:hAnsi="Times New Roman" w:cs="Times New Roman"/>
      <w:kern w:val="0"/>
      <w:sz w:val="16"/>
      <w:szCs w:val="16"/>
    </w:rPr>
  </w:style>
  <w:style w:type="paragraph" w:styleId="41">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2">
    <w:name w:val="toc 9"/>
    <w:basedOn w:val="1"/>
    <w:next w:val="1"/>
    <w:qFormat/>
    <w:uiPriority w:val="0"/>
    <w:pPr>
      <w:ind w:left="1680"/>
      <w:jc w:val="left"/>
    </w:pPr>
    <w:rPr>
      <w:rFonts w:ascii="Times New Roman" w:hAnsi="Times New Roman" w:cs="Times New Roman"/>
      <w:sz w:val="20"/>
      <w:szCs w:val="20"/>
    </w:rPr>
  </w:style>
  <w:style w:type="paragraph" w:styleId="43">
    <w:name w:val="Body Text 2"/>
    <w:basedOn w:val="1"/>
    <w:link w:val="83"/>
    <w:unhideWhenUsed/>
    <w:qFormat/>
    <w:uiPriority w:val="0"/>
    <w:pPr>
      <w:spacing w:after="120" w:line="480" w:lineRule="auto"/>
    </w:pPr>
    <w:rPr>
      <w:rFonts w:ascii="Times New Roman" w:hAnsi="Times New Roman" w:cs="Times New Roman"/>
      <w:kern w:val="0"/>
      <w:sz w:val="20"/>
    </w:rPr>
  </w:style>
  <w:style w:type="paragraph" w:styleId="44">
    <w:name w:val="List 4"/>
    <w:basedOn w:val="1"/>
    <w:qFormat/>
    <w:uiPriority w:val="0"/>
    <w:pPr>
      <w:ind w:left="100" w:leftChars="600" w:hanging="200" w:hangingChars="200"/>
    </w:pPr>
    <w:rPr>
      <w:rFonts w:ascii="Times New Roman" w:hAnsi="Times New Roman" w:cs="Times New Roman"/>
      <w:sz w:val="21"/>
    </w:rPr>
  </w:style>
  <w:style w:type="paragraph" w:styleId="45">
    <w:name w:val="List Continue 2"/>
    <w:basedOn w:val="1"/>
    <w:qFormat/>
    <w:uiPriority w:val="0"/>
    <w:pPr>
      <w:spacing w:after="120"/>
      <w:ind w:left="840" w:leftChars="400"/>
    </w:pPr>
    <w:rPr>
      <w:rFonts w:ascii="Times New Roman" w:hAnsi="Times New Roman" w:cs="Times New Roman"/>
      <w:sz w:val="21"/>
    </w:rPr>
  </w:style>
  <w:style w:type="paragraph" w:styleId="46">
    <w:name w:val="Normal (Web)"/>
    <w:basedOn w:val="1"/>
    <w:qFormat/>
    <w:uiPriority w:val="0"/>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47">
    <w:name w:val="index 1"/>
    <w:basedOn w:val="1"/>
    <w:next w:val="1"/>
    <w:qFormat/>
    <w:uiPriority w:val="0"/>
    <w:pPr>
      <w:adjustRightInd w:val="0"/>
      <w:snapToGrid w:val="0"/>
      <w:jc w:val="center"/>
    </w:pPr>
    <w:rPr>
      <w:rFonts w:ascii="Times New Roman" w:hAnsi="Times New Roman" w:cs="Times New Roman"/>
      <w:sz w:val="21"/>
      <w:szCs w:val="20"/>
    </w:rPr>
  </w:style>
  <w:style w:type="paragraph" w:styleId="48">
    <w:name w:val="Title"/>
    <w:basedOn w:val="1"/>
    <w:next w:val="1"/>
    <w:link w:val="84"/>
    <w:qFormat/>
    <w:uiPriority w:val="0"/>
    <w:pPr>
      <w:spacing w:before="60" w:after="60"/>
      <w:jc w:val="center"/>
      <w:outlineLvl w:val="0"/>
    </w:pPr>
    <w:rPr>
      <w:rFonts w:eastAsia="黑体" w:cs="Times New Roman"/>
      <w:b/>
      <w:bCs/>
      <w:kern w:val="0"/>
      <w:sz w:val="32"/>
      <w:szCs w:val="32"/>
    </w:rPr>
  </w:style>
  <w:style w:type="paragraph" w:styleId="49">
    <w:name w:val="annotation subject"/>
    <w:basedOn w:val="19"/>
    <w:next w:val="19"/>
    <w:link w:val="69"/>
    <w:semiHidden/>
    <w:qFormat/>
    <w:uiPriority w:val="99"/>
    <w:rPr>
      <w:rFonts w:ascii="Times New Roman" w:hAnsi="Times New Roman" w:cs="Times New Roman"/>
      <w:b/>
      <w:bCs/>
      <w:kern w:val="0"/>
      <w:sz w:val="20"/>
    </w:rPr>
  </w:style>
  <w:style w:type="paragraph" w:styleId="50">
    <w:name w:val="Body Text First Indent"/>
    <w:basedOn w:val="21"/>
    <w:link w:val="71"/>
    <w:qFormat/>
    <w:uiPriority w:val="0"/>
    <w:pPr>
      <w:ind w:firstLine="420" w:firstLineChars="100"/>
    </w:pPr>
    <w:rPr>
      <w:rFonts w:ascii="Times New Roman" w:hAnsi="Times New Roman" w:cs="Times New Roman"/>
      <w:kern w:val="0"/>
      <w:sz w:val="20"/>
    </w:rPr>
  </w:style>
  <w:style w:type="paragraph" w:styleId="51">
    <w:name w:val="Body Text First Indent 2"/>
    <w:basedOn w:val="22"/>
    <w:link w:val="80"/>
    <w:qFormat/>
    <w:uiPriority w:val="0"/>
    <w:pPr>
      <w:spacing w:after="120"/>
      <w:ind w:left="420" w:leftChars="200" w:firstLine="420"/>
    </w:pPr>
    <w:rPr>
      <w:szCs w:val="24"/>
    </w:rPr>
  </w:style>
  <w:style w:type="character" w:styleId="54">
    <w:name w:val="Strong"/>
    <w:qFormat/>
    <w:uiPriority w:val="0"/>
    <w:rPr>
      <w:b/>
      <w:bCs/>
    </w:rPr>
  </w:style>
  <w:style w:type="character" w:styleId="55">
    <w:name w:val="page number"/>
    <w:basedOn w:val="53"/>
    <w:qFormat/>
    <w:uiPriority w:val="0"/>
  </w:style>
  <w:style w:type="character" w:styleId="56">
    <w:name w:val="FollowedHyperlink"/>
    <w:unhideWhenUsed/>
    <w:qFormat/>
    <w:uiPriority w:val="99"/>
    <w:rPr>
      <w:color w:val="800080"/>
      <w:u w:val="single"/>
    </w:rPr>
  </w:style>
  <w:style w:type="character" w:styleId="57">
    <w:name w:val="Hyperlink"/>
    <w:qFormat/>
    <w:uiPriority w:val="0"/>
    <w:rPr>
      <w:color w:val="0000FF"/>
      <w:u w:val="single"/>
    </w:rPr>
  </w:style>
  <w:style w:type="character" w:styleId="58">
    <w:name w:val="annotation reference"/>
    <w:semiHidden/>
    <w:qFormat/>
    <w:uiPriority w:val="0"/>
    <w:rPr>
      <w:sz w:val="21"/>
      <w:szCs w:val="21"/>
    </w:rPr>
  </w:style>
  <w:style w:type="character" w:customStyle="1" w:styleId="59">
    <w:name w:val="标题 1 字符"/>
    <w:basedOn w:val="53"/>
    <w:link w:val="2"/>
    <w:qFormat/>
    <w:uiPriority w:val="0"/>
    <w:rPr>
      <w:rFonts w:ascii="Times New Roman" w:hAnsi="Times New Roman" w:eastAsia="宋体" w:cs="Times New Roman"/>
      <w:b/>
      <w:bCs/>
      <w:kern w:val="44"/>
      <w:sz w:val="30"/>
      <w:szCs w:val="44"/>
    </w:rPr>
  </w:style>
  <w:style w:type="character" w:customStyle="1" w:styleId="60">
    <w:name w:val="标题 2 字符"/>
    <w:basedOn w:val="53"/>
    <w:link w:val="3"/>
    <w:qFormat/>
    <w:uiPriority w:val="0"/>
    <w:rPr>
      <w:rFonts w:ascii="Arial" w:hAnsi="Arial" w:eastAsia="宋体" w:cs="Times New Roman"/>
      <w:b/>
      <w:bCs/>
      <w:kern w:val="0"/>
      <w:sz w:val="28"/>
      <w:szCs w:val="32"/>
    </w:rPr>
  </w:style>
  <w:style w:type="character" w:customStyle="1" w:styleId="61">
    <w:name w:val="标题 3 字符"/>
    <w:basedOn w:val="53"/>
    <w:link w:val="4"/>
    <w:qFormat/>
    <w:uiPriority w:val="0"/>
    <w:rPr>
      <w:rFonts w:ascii="宋体" w:hAnsi="Times New Roman" w:eastAsia="宋体" w:cs="Times New Roman"/>
      <w:b/>
      <w:kern w:val="0"/>
      <w:sz w:val="28"/>
      <w:szCs w:val="20"/>
    </w:rPr>
  </w:style>
  <w:style w:type="character" w:customStyle="1" w:styleId="62">
    <w:name w:val="标题 4 字符"/>
    <w:basedOn w:val="53"/>
    <w:link w:val="5"/>
    <w:qFormat/>
    <w:uiPriority w:val="0"/>
    <w:rPr>
      <w:rFonts w:ascii="Arial" w:hAnsi="Arial" w:eastAsia="黑体" w:cs="Times New Roman"/>
      <w:b/>
      <w:bCs/>
      <w:kern w:val="0"/>
      <w:sz w:val="28"/>
      <w:szCs w:val="28"/>
    </w:rPr>
  </w:style>
  <w:style w:type="character" w:customStyle="1" w:styleId="63">
    <w:name w:val="标题 5 字符"/>
    <w:basedOn w:val="53"/>
    <w:link w:val="6"/>
    <w:qFormat/>
    <w:uiPriority w:val="0"/>
    <w:rPr>
      <w:rFonts w:ascii="Times New Roman" w:hAnsi="Times New Roman" w:eastAsia="宋体" w:cs="Times New Roman"/>
      <w:b/>
      <w:bCs/>
      <w:kern w:val="0"/>
      <w:sz w:val="28"/>
      <w:szCs w:val="28"/>
    </w:rPr>
  </w:style>
  <w:style w:type="character" w:customStyle="1" w:styleId="64">
    <w:name w:val="标题 6 字符"/>
    <w:basedOn w:val="53"/>
    <w:link w:val="7"/>
    <w:qFormat/>
    <w:uiPriority w:val="0"/>
    <w:rPr>
      <w:rFonts w:ascii="Arial" w:hAnsi="Arial" w:eastAsia="黑体" w:cs="Times New Roman"/>
      <w:b/>
      <w:bCs/>
      <w:kern w:val="0"/>
      <w:sz w:val="24"/>
      <w:szCs w:val="24"/>
    </w:rPr>
  </w:style>
  <w:style w:type="character" w:customStyle="1" w:styleId="65">
    <w:name w:val="标题 7 字符"/>
    <w:basedOn w:val="53"/>
    <w:link w:val="8"/>
    <w:qFormat/>
    <w:uiPriority w:val="0"/>
    <w:rPr>
      <w:rFonts w:ascii="Times New Roman" w:hAnsi="Times New Roman" w:eastAsia="宋体" w:cs="Times New Roman"/>
      <w:b/>
      <w:bCs/>
      <w:kern w:val="0"/>
      <w:sz w:val="24"/>
      <w:szCs w:val="24"/>
    </w:rPr>
  </w:style>
  <w:style w:type="character" w:customStyle="1" w:styleId="66">
    <w:name w:val="标题 8 字符"/>
    <w:basedOn w:val="53"/>
    <w:link w:val="9"/>
    <w:qFormat/>
    <w:uiPriority w:val="0"/>
    <w:rPr>
      <w:rFonts w:ascii="Arial" w:hAnsi="Arial" w:eastAsia="黑体" w:cs="Times New Roman"/>
      <w:kern w:val="0"/>
      <w:sz w:val="24"/>
      <w:szCs w:val="24"/>
    </w:rPr>
  </w:style>
  <w:style w:type="character" w:customStyle="1" w:styleId="67">
    <w:name w:val="标题 9 字符"/>
    <w:basedOn w:val="53"/>
    <w:link w:val="10"/>
    <w:qFormat/>
    <w:uiPriority w:val="0"/>
    <w:rPr>
      <w:rFonts w:ascii="Arial" w:hAnsi="Arial" w:eastAsia="黑体" w:cs="Times New Roman"/>
      <w:kern w:val="0"/>
      <w:sz w:val="20"/>
      <w:szCs w:val="21"/>
    </w:rPr>
  </w:style>
  <w:style w:type="character" w:customStyle="1" w:styleId="68">
    <w:name w:val="批注文字 字符"/>
    <w:basedOn w:val="53"/>
    <w:link w:val="19"/>
    <w:qFormat/>
    <w:uiPriority w:val="99"/>
    <w:rPr>
      <w:rFonts w:ascii="Cambria" w:hAnsi="Cambria" w:eastAsia="宋体" w:cs="黑体"/>
      <w:sz w:val="24"/>
      <w:szCs w:val="24"/>
    </w:rPr>
  </w:style>
  <w:style w:type="character" w:customStyle="1" w:styleId="69">
    <w:name w:val="批注主题 字符"/>
    <w:basedOn w:val="68"/>
    <w:link w:val="49"/>
    <w:semiHidden/>
    <w:qFormat/>
    <w:uiPriority w:val="99"/>
    <w:rPr>
      <w:rFonts w:ascii="Times New Roman" w:hAnsi="Times New Roman" w:eastAsia="宋体" w:cs="Times New Roman"/>
      <w:b/>
      <w:bCs/>
      <w:kern w:val="0"/>
      <w:sz w:val="20"/>
      <w:szCs w:val="24"/>
    </w:rPr>
  </w:style>
  <w:style w:type="character" w:customStyle="1" w:styleId="70">
    <w:name w:val="正文文本 字符"/>
    <w:basedOn w:val="53"/>
    <w:link w:val="21"/>
    <w:qFormat/>
    <w:uiPriority w:val="0"/>
    <w:rPr>
      <w:rFonts w:ascii="Cambria" w:hAnsi="Cambria" w:eastAsia="宋体" w:cs="黑体"/>
      <w:sz w:val="24"/>
      <w:szCs w:val="24"/>
    </w:rPr>
  </w:style>
  <w:style w:type="character" w:customStyle="1" w:styleId="71">
    <w:name w:val="正文首行缩进 字符"/>
    <w:basedOn w:val="70"/>
    <w:link w:val="50"/>
    <w:qFormat/>
    <w:uiPriority w:val="0"/>
    <w:rPr>
      <w:rFonts w:ascii="Times New Roman" w:hAnsi="Times New Roman" w:eastAsia="宋体" w:cs="Times New Roman"/>
      <w:kern w:val="0"/>
      <w:sz w:val="20"/>
      <w:szCs w:val="24"/>
    </w:rPr>
  </w:style>
  <w:style w:type="character" w:customStyle="1" w:styleId="72">
    <w:name w:val="文档结构图 字符"/>
    <w:basedOn w:val="53"/>
    <w:link w:val="18"/>
    <w:qFormat/>
    <w:uiPriority w:val="0"/>
    <w:rPr>
      <w:rFonts w:ascii="Times New Roman" w:hAnsi="Times New Roman" w:eastAsia="宋体" w:cs="Times New Roman"/>
      <w:kern w:val="0"/>
      <w:sz w:val="20"/>
      <w:szCs w:val="24"/>
      <w:shd w:val="clear" w:color="auto" w:fill="000080"/>
    </w:rPr>
  </w:style>
  <w:style w:type="character" w:customStyle="1" w:styleId="73">
    <w:name w:val="正文文本 3 字符"/>
    <w:basedOn w:val="53"/>
    <w:link w:val="20"/>
    <w:qFormat/>
    <w:uiPriority w:val="99"/>
    <w:rPr>
      <w:rFonts w:ascii="Times New Roman" w:hAnsi="Times New Roman" w:eastAsia="宋体" w:cs="Times New Roman"/>
      <w:kern w:val="0"/>
      <w:sz w:val="16"/>
      <w:szCs w:val="16"/>
    </w:rPr>
  </w:style>
  <w:style w:type="character" w:customStyle="1" w:styleId="74">
    <w:name w:val="正文文本缩进 字符"/>
    <w:basedOn w:val="53"/>
    <w:link w:val="22"/>
    <w:qFormat/>
    <w:uiPriority w:val="0"/>
    <w:rPr>
      <w:rFonts w:ascii="宋体" w:hAnsi="宋体" w:eastAsia="宋体" w:cs="Times New Roman"/>
      <w:kern w:val="0"/>
      <w:sz w:val="28"/>
      <w:szCs w:val="28"/>
    </w:rPr>
  </w:style>
  <w:style w:type="character" w:customStyle="1" w:styleId="75">
    <w:name w:val="纯文本 字符"/>
    <w:basedOn w:val="53"/>
    <w:link w:val="29"/>
    <w:qFormat/>
    <w:uiPriority w:val="0"/>
    <w:rPr>
      <w:rFonts w:ascii="宋体" w:hAnsi="Courier New" w:eastAsia="宋体" w:cs="Times New Roman"/>
      <w:kern w:val="0"/>
      <w:sz w:val="20"/>
      <w:szCs w:val="21"/>
    </w:rPr>
  </w:style>
  <w:style w:type="character" w:customStyle="1" w:styleId="76">
    <w:name w:val="日期 字符"/>
    <w:basedOn w:val="53"/>
    <w:link w:val="31"/>
    <w:qFormat/>
    <w:uiPriority w:val="0"/>
    <w:rPr>
      <w:rFonts w:ascii="Times New Roman" w:hAnsi="Times New Roman" w:eastAsia="宋体" w:cs="Times New Roman"/>
      <w:kern w:val="0"/>
      <w:sz w:val="20"/>
      <w:szCs w:val="24"/>
    </w:rPr>
  </w:style>
  <w:style w:type="character" w:customStyle="1" w:styleId="77">
    <w:name w:val="正文文本缩进 2 字符"/>
    <w:basedOn w:val="53"/>
    <w:link w:val="32"/>
    <w:qFormat/>
    <w:uiPriority w:val="0"/>
    <w:rPr>
      <w:rFonts w:ascii="Times New Roman" w:hAnsi="Times New Roman" w:eastAsia="宋体" w:cs="Times New Roman"/>
      <w:kern w:val="0"/>
      <w:sz w:val="20"/>
      <w:szCs w:val="24"/>
    </w:rPr>
  </w:style>
  <w:style w:type="character" w:customStyle="1" w:styleId="78">
    <w:name w:val="批注框文本 字符"/>
    <w:basedOn w:val="53"/>
    <w:link w:val="33"/>
    <w:semiHidden/>
    <w:qFormat/>
    <w:uiPriority w:val="99"/>
    <w:rPr>
      <w:rFonts w:ascii="Times New Roman" w:hAnsi="Times New Roman" w:eastAsia="宋体" w:cs="Times New Roman"/>
      <w:kern w:val="0"/>
      <w:sz w:val="18"/>
      <w:szCs w:val="18"/>
    </w:rPr>
  </w:style>
  <w:style w:type="character" w:customStyle="1" w:styleId="79">
    <w:name w:val="页脚 字符"/>
    <w:basedOn w:val="53"/>
    <w:link w:val="34"/>
    <w:qFormat/>
    <w:uiPriority w:val="99"/>
    <w:rPr>
      <w:rFonts w:ascii="Cambria" w:hAnsi="Cambria" w:eastAsia="宋体" w:cs="黑体"/>
      <w:sz w:val="18"/>
      <w:szCs w:val="18"/>
    </w:rPr>
  </w:style>
  <w:style w:type="character" w:customStyle="1" w:styleId="80">
    <w:name w:val="正文首行缩进 2 字符"/>
    <w:basedOn w:val="74"/>
    <w:link w:val="51"/>
    <w:qFormat/>
    <w:uiPriority w:val="0"/>
    <w:rPr>
      <w:rFonts w:ascii="宋体" w:hAnsi="宋体" w:eastAsia="宋体" w:cs="Times New Roman"/>
      <w:kern w:val="0"/>
      <w:sz w:val="28"/>
      <w:szCs w:val="24"/>
    </w:rPr>
  </w:style>
  <w:style w:type="character" w:customStyle="1" w:styleId="81">
    <w:name w:val="页眉 字符"/>
    <w:basedOn w:val="53"/>
    <w:link w:val="35"/>
    <w:qFormat/>
    <w:uiPriority w:val="99"/>
    <w:rPr>
      <w:rFonts w:ascii="Cambria" w:hAnsi="Cambria" w:eastAsia="宋体" w:cs="黑体"/>
      <w:sz w:val="18"/>
      <w:szCs w:val="18"/>
    </w:rPr>
  </w:style>
  <w:style w:type="character" w:customStyle="1" w:styleId="82">
    <w:name w:val="正文文本缩进 3 字符"/>
    <w:basedOn w:val="53"/>
    <w:link w:val="40"/>
    <w:qFormat/>
    <w:uiPriority w:val="0"/>
    <w:rPr>
      <w:rFonts w:ascii="Times New Roman" w:hAnsi="Times New Roman" w:eastAsia="宋体" w:cs="Times New Roman"/>
      <w:kern w:val="0"/>
      <w:sz w:val="16"/>
      <w:szCs w:val="16"/>
    </w:rPr>
  </w:style>
  <w:style w:type="character" w:customStyle="1" w:styleId="83">
    <w:name w:val="正文文本 2 字符"/>
    <w:basedOn w:val="53"/>
    <w:link w:val="43"/>
    <w:qFormat/>
    <w:uiPriority w:val="0"/>
    <w:rPr>
      <w:rFonts w:ascii="Times New Roman" w:hAnsi="Times New Roman" w:eastAsia="宋体" w:cs="Times New Roman"/>
      <w:kern w:val="0"/>
      <w:sz w:val="20"/>
      <w:szCs w:val="24"/>
    </w:rPr>
  </w:style>
  <w:style w:type="character" w:customStyle="1" w:styleId="84">
    <w:name w:val="标题 字符"/>
    <w:basedOn w:val="53"/>
    <w:link w:val="48"/>
    <w:qFormat/>
    <w:uiPriority w:val="0"/>
    <w:rPr>
      <w:rFonts w:ascii="Cambria" w:hAnsi="Cambria" w:eastAsia="黑体" w:cs="Times New Roman"/>
      <w:b/>
      <w:bCs/>
      <w:kern w:val="0"/>
      <w:sz w:val="32"/>
      <w:szCs w:val="32"/>
    </w:rPr>
  </w:style>
  <w:style w:type="paragraph" w:customStyle="1" w:styleId="85">
    <w:name w:val="样式1"/>
    <w:basedOn w:val="5"/>
    <w:qFormat/>
    <w:uiPriority w:val="0"/>
    <w:pPr>
      <w:tabs>
        <w:tab w:val="left" w:pos="864"/>
      </w:tabs>
      <w:spacing w:before="120" w:after="120" w:line="360" w:lineRule="auto"/>
      <w:ind w:left="864" w:hanging="864"/>
    </w:pPr>
    <w:rPr>
      <w:b w:val="0"/>
      <w:bCs w:val="0"/>
    </w:rPr>
  </w:style>
  <w:style w:type="paragraph" w:customStyle="1" w:styleId="86">
    <w:name w:val="Char Char Char1 Char Char Char Char"/>
    <w:basedOn w:val="1"/>
    <w:qFormat/>
    <w:uiPriority w:val="0"/>
    <w:rPr>
      <w:rFonts w:ascii="Times New Roman" w:hAnsi="Times New Roman" w:cs="Times New Roman"/>
      <w:sz w:val="21"/>
    </w:rPr>
  </w:style>
  <w:style w:type="paragraph" w:customStyle="1" w:styleId="87">
    <w:name w:val="Char Char Char Char Char Char"/>
    <w:basedOn w:val="1"/>
    <w:qFormat/>
    <w:uiPriority w:val="0"/>
    <w:rPr>
      <w:rFonts w:ascii="Times New Roman" w:hAnsi="Times New Roman" w:cs="Times New Roman"/>
      <w:sz w:val="21"/>
    </w:rPr>
  </w:style>
  <w:style w:type="paragraph" w:customStyle="1" w:styleId="88">
    <w:name w:val="Char Char Char Char"/>
    <w:basedOn w:val="1"/>
    <w:qFormat/>
    <w:uiPriority w:val="0"/>
    <w:rPr>
      <w:rFonts w:ascii="Times New Roman" w:hAnsi="Times New Roman" w:cs="Times New Roman"/>
      <w:sz w:val="21"/>
    </w:rPr>
  </w:style>
  <w:style w:type="paragraph" w:customStyle="1" w:styleId="89">
    <w:name w:val="p0"/>
    <w:basedOn w:val="1"/>
    <w:qFormat/>
    <w:uiPriority w:val="0"/>
    <w:pPr>
      <w:widowControl/>
    </w:pPr>
    <w:rPr>
      <w:rFonts w:ascii="Times New Roman" w:hAnsi="Times New Roman" w:cs="Times New Roman"/>
      <w:kern w:val="0"/>
      <w:sz w:val="21"/>
      <w:szCs w:val="21"/>
    </w:rPr>
  </w:style>
  <w:style w:type="paragraph" w:customStyle="1" w:styleId="90">
    <w:name w:val="Legal 3"/>
    <w:basedOn w:val="91"/>
    <w:next w:val="91"/>
    <w:qFormat/>
    <w:uiPriority w:val="0"/>
    <w:pPr>
      <w:spacing w:after="120"/>
    </w:pPr>
    <w:rPr>
      <w:rFonts w:cs="Times New Roman"/>
      <w:color w:val="auto"/>
    </w:rPr>
  </w:style>
  <w:style w:type="paragraph" w:customStyle="1" w:styleId="9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2">
    <w:name w:val="列出段落1"/>
    <w:basedOn w:val="1"/>
    <w:unhideWhenUsed/>
    <w:qFormat/>
    <w:uiPriority w:val="99"/>
    <w:pPr>
      <w:ind w:firstLine="420" w:firstLineChars="200"/>
    </w:pPr>
    <w:rPr>
      <w:rFonts w:ascii="Calibri" w:hAnsi="Calibri" w:cs="Times New Roman"/>
      <w:sz w:val="21"/>
      <w:szCs w:val="22"/>
    </w:rPr>
  </w:style>
  <w:style w:type="paragraph" w:customStyle="1" w:styleId="93">
    <w:name w:val="图表标题"/>
    <w:basedOn w:val="1"/>
    <w:next w:val="21"/>
    <w:qFormat/>
    <w:uiPriority w:val="0"/>
    <w:rPr>
      <w:rFonts w:ascii="Times New Roman" w:hAnsi="Times New Roman" w:cs="Times New Roman"/>
      <w:sz w:val="30"/>
      <w:szCs w:val="20"/>
    </w:rPr>
  </w:style>
  <w:style w:type="paragraph" w:customStyle="1" w:styleId="94">
    <w:name w:val="样式 正文文本"/>
    <w:basedOn w:val="1"/>
    <w:qFormat/>
    <w:uiPriority w:val="0"/>
    <w:pPr>
      <w:adjustRightInd w:val="0"/>
      <w:snapToGrid w:val="0"/>
      <w:spacing w:line="400" w:lineRule="exact"/>
      <w:ind w:firstLine="200" w:firstLineChars="200"/>
    </w:pPr>
    <w:rPr>
      <w:rFonts w:ascii="Arial" w:hAnsi="Arial" w:cs="Times New Roman"/>
      <w:color w:val="000000"/>
      <w:sz w:val="21"/>
      <w:szCs w:val="20"/>
    </w:rPr>
  </w:style>
  <w:style w:type="paragraph" w:customStyle="1" w:styleId="95">
    <w:name w:val="Char"/>
    <w:basedOn w:val="1"/>
    <w:qFormat/>
    <w:uiPriority w:val="0"/>
    <w:rPr>
      <w:rFonts w:ascii="仿宋_GB2312" w:hAnsi="Times New Roman" w:eastAsia="仿宋_GB2312" w:cs="Times New Roman"/>
      <w:b/>
      <w:sz w:val="32"/>
      <w:szCs w:val="32"/>
    </w:rPr>
  </w:style>
  <w:style w:type="paragraph" w:customStyle="1" w:styleId="96">
    <w:name w:val="Char4 Char Char Char"/>
    <w:basedOn w:val="18"/>
    <w:qFormat/>
    <w:uiPriority w:val="0"/>
    <w:rPr>
      <w:rFonts w:ascii="Tahoma" w:hAnsi="Tahoma"/>
      <w:sz w:val="24"/>
    </w:rPr>
  </w:style>
  <w:style w:type="paragraph" w:customStyle="1" w:styleId="97">
    <w:name w:val="表内文字"/>
    <w:basedOn w:val="1"/>
    <w:qFormat/>
    <w:uiPriority w:val="0"/>
    <w:pPr>
      <w:widowControl/>
      <w:ind w:firstLine="120" w:firstLineChars="50"/>
    </w:pPr>
    <w:rPr>
      <w:rFonts w:ascii="宋体" w:hAnsi="宋体" w:cs="Times New Roman"/>
      <w:szCs w:val="20"/>
    </w:rPr>
  </w:style>
  <w:style w:type="paragraph" w:customStyle="1" w:styleId="98">
    <w:name w:val="Char Char Char"/>
    <w:basedOn w:val="1"/>
    <w:qFormat/>
    <w:uiPriority w:val="0"/>
    <w:pPr>
      <w:ind w:firstLine="360" w:firstLineChars="150"/>
    </w:pPr>
    <w:rPr>
      <w:rFonts w:ascii="Tahoma" w:hAnsi="Tahoma" w:cs="Times New Roman"/>
      <w:szCs w:val="20"/>
    </w:rPr>
  </w:style>
  <w:style w:type="paragraph" w:customStyle="1" w:styleId="99">
    <w:name w:val="样式 样式1 + 首行缩进:  2 字符"/>
    <w:basedOn w:val="85"/>
    <w:qFormat/>
    <w:uiPriority w:val="0"/>
    <w:pPr>
      <w:spacing w:line="360" w:lineRule="exact"/>
      <w:ind w:firstLine="420" w:firstLineChars="200"/>
    </w:pPr>
    <w:rPr>
      <w:sz w:val="21"/>
      <w:szCs w:val="20"/>
    </w:rPr>
  </w:style>
  <w:style w:type="paragraph" w:customStyle="1" w:styleId="100">
    <w:name w:val="legal 2"/>
    <w:basedOn w:val="91"/>
    <w:next w:val="91"/>
    <w:qFormat/>
    <w:uiPriority w:val="0"/>
    <w:pPr>
      <w:spacing w:after="120"/>
    </w:pPr>
    <w:rPr>
      <w:rFonts w:cs="Times New Roman"/>
      <w:color w:val="auto"/>
    </w:rPr>
  </w:style>
  <w:style w:type="paragraph" w:customStyle="1" w:styleId="101">
    <w:name w:val="列表延续"/>
    <w:basedOn w:val="1"/>
    <w:qFormat/>
    <w:uiPriority w:val="0"/>
    <w:pPr>
      <w:numPr>
        <w:ilvl w:val="8"/>
        <w:numId w:val="4"/>
      </w:numPr>
      <w:tabs>
        <w:tab w:val="left" w:pos="624"/>
      </w:tabs>
      <w:adjustRightInd w:val="0"/>
      <w:spacing w:line="360" w:lineRule="auto"/>
      <w:textAlignment w:val="baseline"/>
    </w:pPr>
    <w:rPr>
      <w:rFonts w:ascii="Times New Roman" w:hAnsi="Tms Rmn" w:eastAsia="楷体_GB2312" w:cs="Times New Roman"/>
      <w:kern w:val="28"/>
      <w:sz w:val="28"/>
      <w:szCs w:val="20"/>
    </w:rPr>
  </w:style>
  <w:style w:type="paragraph" w:customStyle="1" w:styleId="102">
    <w:name w:val="Legal 5"/>
    <w:basedOn w:val="91"/>
    <w:next w:val="91"/>
    <w:qFormat/>
    <w:uiPriority w:val="0"/>
    <w:pPr>
      <w:spacing w:after="120"/>
    </w:pPr>
    <w:rPr>
      <w:rFonts w:cs="Times New Roman"/>
      <w:color w:val="auto"/>
    </w:rPr>
  </w:style>
  <w:style w:type="paragraph" w:customStyle="1" w:styleId="10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4">
    <w:name w:val="Legal 4"/>
    <w:basedOn w:val="91"/>
    <w:next w:val="91"/>
    <w:qFormat/>
    <w:uiPriority w:val="0"/>
    <w:pPr>
      <w:spacing w:after="120"/>
    </w:pPr>
    <w:rPr>
      <w:rFonts w:cs="Times New Roman"/>
      <w:color w:val="auto"/>
    </w:rPr>
  </w:style>
  <w:style w:type="paragraph" w:customStyle="1" w:styleId="105">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6">
    <w:name w:val="正文文字3"/>
    <w:basedOn w:val="21"/>
    <w:qFormat/>
    <w:uiPriority w:val="0"/>
    <w:pPr>
      <w:adjustRightInd w:val="0"/>
      <w:spacing w:after="0" w:line="360" w:lineRule="atLeast"/>
      <w:ind w:left="30" w:leftChars="30" w:right="30" w:rightChars="30"/>
      <w:textAlignment w:val="baseline"/>
    </w:pPr>
    <w:rPr>
      <w:rFonts w:ascii="Times New Roman" w:hAnsi="Times New Roman" w:cs="Times New Roman"/>
      <w:kern w:val="0"/>
      <w:sz w:val="20"/>
      <w:szCs w:val="20"/>
    </w:rPr>
  </w:style>
  <w:style w:type="paragraph" w:customStyle="1" w:styleId="107">
    <w:name w:val="1"/>
    <w:basedOn w:val="1"/>
    <w:qFormat/>
    <w:uiPriority w:val="0"/>
    <w:rPr>
      <w:rFonts w:ascii="仿宋_GB2312" w:hAnsi="Times New Roman" w:eastAsia="仿宋_GB2312" w:cs="Times New Roman"/>
      <w:b/>
      <w:sz w:val="32"/>
      <w:szCs w:val="32"/>
    </w:rPr>
  </w:style>
  <w:style w:type="paragraph" w:customStyle="1" w:styleId="108">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9">
    <w:name w:val="p16"/>
    <w:basedOn w:val="1"/>
    <w:qFormat/>
    <w:uiPriority w:val="0"/>
    <w:pPr>
      <w:widowControl/>
      <w:spacing w:line="360" w:lineRule="auto"/>
      <w:ind w:left="-2" w:firstLine="2"/>
      <w:jc w:val="left"/>
    </w:pPr>
    <w:rPr>
      <w:rFonts w:ascii="宋体" w:hAnsi="宋体" w:cs="宋体"/>
      <w:kern w:val="0"/>
      <w:sz w:val="30"/>
      <w:szCs w:val="30"/>
    </w:rPr>
  </w:style>
  <w:style w:type="paragraph" w:customStyle="1" w:styleId="110">
    <w:name w:val="列出段落2"/>
    <w:basedOn w:val="1"/>
    <w:qFormat/>
    <w:uiPriority w:val="34"/>
    <w:pPr>
      <w:ind w:firstLine="420" w:firstLineChars="200"/>
    </w:pPr>
  </w:style>
  <w:style w:type="paragraph" w:customStyle="1" w:styleId="111">
    <w:name w:val="样式 标题 3 + (中文) 黑体 小四 非加粗 段前: 7.8 磅 段后: 0 磅 行距: 固定值 20 磅"/>
    <w:basedOn w:val="4"/>
    <w:qFormat/>
    <w:uiPriority w:val="0"/>
    <w:pPr>
      <w:keepLines/>
      <w:numPr>
        <w:numId w:val="0"/>
      </w:numPr>
      <w:spacing w:line="400" w:lineRule="exact"/>
    </w:pPr>
    <w:rPr>
      <w:rFonts w:ascii="Times New Roman" w:eastAsia="黑体" w:cs="宋体"/>
      <w:b w:val="0"/>
      <w:kern w:val="2"/>
      <w:sz w:val="24"/>
    </w:rPr>
  </w:style>
  <w:style w:type="paragraph" w:customStyle="1" w:styleId="112">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kern w:val="2"/>
      <w:szCs w:val="24"/>
    </w:rPr>
  </w:style>
  <w:style w:type="character" w:customStyle="1" w:styleId="113">
    <w:name w:val="font51"/>
    <w:qFormat/>
    <w:uiPriority w:val="0"/>
    <w:rPr>
      <w:rFonts w:hint="default" w:ascii="Times New Roman" w:hAnsi="Times New Roman" w:cs="Times New Roman"/>
      <w:b/>
      <w:color w:val="000000"/>
      <w:sz w:val="24"/>
      <w:szCs w:val="24"/>
      <w:u w:val="none"/>
    </w:rPr>
  </w:style>
  <w:style w:type="character" w:customStyle="1" w:styleId="114">
    <w:name w:val="Char Char"/>
    <w:qFormat/>
    <w:uiPriority w:val="0"/>
    <w:rPr>
      <w:rFonts w:ascii="宋体" w:hAnsi="Courier New" w:eastAsia="宋体" w:cs="Courier New"/>
      <w:kern w:val="2"/>
      <w:sz w:val="21"/>
      <w:szCs w:val="21"/>
      <w:lang w:val="en-US" w:eastAsia="zh-CN" w:bidi="ar-SA"/>
    </w:rPr>
  </w:style>
  <w:style w:type="character" w:customStyle="1" w:styleId="115">
    <w:name w:val="注释文本字符"/>
    <w:semiHidden/>
    <w:qFormat/>
    <w:uiPriority w:val="0"/>
    <w:rPr>
      <w:rFonts w:ascii="Times New Roman" w:hAnsi="Times New Roman" w:eastAsia="宋体" w:cs="Times New Roman"/>
      <w:kern w:val="0"/>
      <w:sz w:val="20"/>
      <w:szCs w:val="24"/>
    </w:rPr>
  </w:style>
  <w:style w:type="character" w:customStyle="1" w:styleId="116">
    <w:name w:val="Char Char3"/>
    <w:qFormat/>
    <w:uiPriority w:val="0"/>
    <w:rPr>
      <w:rFonts w:eastAsia="宋体"/>
      <w:kern w:val="2"/>
      <w:sz w:val="18"/>
      <w:szCs w:val="18"/>
      <w:lang w:val="en-US" w:eastAsia="zh-CN" w:bidi="ar-SA"/>
    </w:rPr>
  </w:style>
  <w:style w:type="character" w:customStyle="1" w:styleId="117">
    <w:name w:val="font61"/>
    <w:qFormat/>
    <w:uiPriority w:val="0"/>
    <w:rPr>
      <w:rFonts w:hint="default" w:ascii="Times New Roman" w:hAnsi="Times New Roman" w:cs="Times New Roman"/>
      <w:color w:val="000000"/>
      <w:sz w:val="24"/>
      <w:szCs w:val="24"/>
      <w:u w:val="none"/>
    </w:rPr>
  </w:style>
  <w:style w:type="character" w:customStyle="1" w:styleId="118">
    <w:name w:val="font21"/>
    <w:qFormat/>
    <w:uiPriority w:val="0"/>
    <w:rPr>
      <w:rFonts w:hint="default" w:ascii="Times New Roman" w:hAnsi="Times New Roman" w:cs="Times New Roman"/>
      <w:color w:val="000000"/>
      <w:sz w:val="24"/>
      <w:szCs w:val="24"/>
      <w:u w:val="none"/>
      <w:vertAlign w:val="superscript"/>
    </w:rPr>
  </w:style>
  <w:style w:type="character" w:customStyle="1" w:styleId="119">
    <w:name w:val="font71"/>
    <w:qFormat/>
    <w:uiPriority w:val="0"/>
    <w:rPr>
      <w:rFonts w:hint="eastAsia" w:ascii="宋体" w:hAnsi="宋体" w:eastAsia="宋体" w:cs="宋体"/>
      <w:color w:val="000000"/>
      <w:sz w:val="24"/>
      <w:szCs w:val="24"/>
      <w:u w:val="none"/>
    </w:rPr>
  </w:style>
  <w:style w:type="character" w:customStyle="1" w:styleId="120">
    <w:name w:val="zbggmain style9"/>
    <w:basedOn w:val="53"/>
    <w:qFormat/>
    <w:uiPriority w:val="99"/>
  </w:style>
  <w:style w:type="character" w:customStyle="1" w:styleId="121">
    <w:name w:val="px1233"/>
    <w:basedOn w:val="53"/>
    <w:qFormat/>
    <w:uiPriority w:val="0"/>
  </w:style>
  <w:style w:type="character" w:customStyle="1" w:styleId="122">
    <w:name w:val="font11"/>
    <w:qFormat/>
    <w:uiPriority w:val="0"/>
    <w:rPr>
      <w:rFonts w:hint="default" w:ascii="Times New Roman" w:hAnsi="Times New Roman" w:cs="Times New Roman"/>
      <w:color w:val="000000"/>
      <w:sz w:val="21"/>
      <w:szCs w:val="21"/>
      <w:u w:val="none"/>
    </w:rPr>
  </w:style>
  <w:style w:type="character" w:customStyle="1" w:styleId="123">
    <w:name w:val="font41"/>
    <w:qFormat/>
    <w:uiPriority w:val="0"/>
    <w:rPr>
      <w:rFonts w:hint="eastAsia" w:ascii="宋体" w:hAnsi="宋体" w:eastAsia="宋体" w:cs="宋体"/>
      <w:b/>
      <w:color w:val="000000"/>
      <w:sz w:val="24"/>
      <w:szCs w:val="24"/>
      <w:u w:val="none"/>
    </w:rPr>
  </w:style>
  <w:style w:type="character" w:customStyle="1" w:styleId="124">
    <w:name w:val="正文文本字符"/>
    <w:qFormat/>
    <w:uiPriority w:val="0"/>
    <w:rPr>
      <w:rFonts w:ascii="Times New Roman" w:hAnsi="Times New Roman" w:eastAsia="宋体" w:cs="Times New Roman"/>
      <w:kern w:val="0"/>
      <w:sz w:val="20"/>
      <w:szCs w:val="24"/>
    </w:rPr>
  </w:style>
  <w:style w:type="character" w:customStyle="1" w:styleId="125">
    <w:name w:val="Char Char2"/>
    <w:qFormat/>
    <w:uiPriority w:val="0"/>
    <w:rPr>
      <w:rFonts w:eastAsia="宋体"/>
      <w:kern w:val="2"/>
      <w:sz w:val="18"/>
      <w:szCs w:val="18"/>
      <w:lang w:val="en-US" w:eastAsia="zh-CN" w:bidi="ar-SA"/>
    </w:rPr>
  </w:style>
  <w:style w:type="character" w:customStyle="1" w:styleId="126">
    <w:name w:val="font01"/>
    <w:qFormat/>
    <w:uiPriority w:val="0"/>
    <w:rPr>
      <w:rFonts w:hint="eastAsia" w:ascii="宋体" w:hAnsi="宋体" w:eastAsia="宋体" w:cs="宋体"/>
      <w:color w:val="000000"/>
      <w:sz w:val="21"/>
      <w:szCs w:val="21"/>
      <w:u w:val="none"/>
    </w:rPr>
  </w:style>
  <w:style w:type="character" w:customStyle="1" w:styleId="127">
    <w:name w:val="批注框文本字符1"/>
    <w:basedOn w:val="53"/>
    <w:semiHidden/>
    <w:qFormat/>
    <w:uiPriority w:val="99"/>
    <w:rPr>
      <w:rFonts w:ascii="Heiti SC Light" w:eastAsia="Heiti SC Light"/>
      <w:sz w:val="18"/>
      <w:szCs w:val="18"/>
    </w:rPr>
  </w:style>
  <w:style w:type="character" w:customStyle="1" w:styleId="128">
    <w:name w:val="日期字符1"/>
    <w:basedOn w:val="53"/>
    <w:semiHidden/>
    <w:qFormat/>
    <w:uiPriority w:val="99"/>
  </w:style>
  <w:style w:type="character" w:customStyle="1" w:styleId="129">
    <w:name w:val="纯文本字符1"/>
    <w:basedOn w:val="53"/>
    <w:semiHidden/>
    <w:qFormat/>
    <w:uiPriority w:val="99"/>
    <w:rPr>
      <w:rFonts w:ascii="宋体" w:hAnsi="Courier" w:eastAsia="宋体"/>
    </w:rPr>
  </w:style>
  <w:style w:type="character" w:customStyle="1" w:styleId="130">
    <w:name w:val="批注主题字符1"/>
    <w:basedOn w:val="68"/>
    <w:semiHidden/>
    <w:qFormat/>
    <w:uiPriority w:val="99"/>
    <w:rPr>
      <w:rFonts w:ascii="Cambria" w:hAnsi="Cambria" w:eastAsia="宋体" w:cs="黑体"/>
      <w:b/>
      <w:bCs/>
      <w:sz w:val="24"/>
      <w:szCs w:val="24"/>
    </w:rPr>
  </w:style>
  <w:style w:type="character" w:customStyle="1" w:styleId="131">
    <w:name w:val="正文首行缩进字符1"/>
    <w:basedOn w:val="70"/>
    <w:semiHidden/>
    <w:qFormat/>
    <w:uiPriority w:val="99"/>
    <w:rPr>
      <w:rFonts w:ascii="Cambria" w:hAnsi="Cambria" w:eastAsia="宋体" w:cs="黑体"/>
      <w:sz w:val="24"/>
      <w:szCs w:val="24"/>
    </w:rPr>
  </w:style>
  <w:style w:type="character" w:customStyle="1" w:styleId="132">
    <w:name w:val="正文文本缩进 3字符1"/>
    <w:basedOn w:val="53"/>
    <w:semiHidden/>
    <w:qFormat/>
    <w:uiPriority w:val="99"/>
    <w:rPr>
      <w:sz w:val="16"/>
      <w:szCs w:val="16"/>
    </w:rPr>
  </w:style>
  <w:style w:type="character" w:customStyle="1" w:styleId="133">
    <w:name w:val="文档结构图 字符1"/>
    <w:basedOn w:val="53"/>
    <w:semiHidden/>
    <w:qFormat/>
    <w:uiPriority w:val="99"/>
    <w:rPr>
      <w:rFonts w:ascii="Heiti SC Light" w:eastAsia="Heiti SC Light"/>
    </w:rPr>
  </w:style>
  <w:style w:type="character" w:customStyle="1" w:styleId="134">
    <w:name w:val="正文文本 3字符1"/>
    <w:basedOn w:val="53"/>
    <w:semiHidden/>
    <w:qFormat/>
    <w:uiPriority w:val="99"/>
    <w:rPr>
      <w:sz w:val="16"/>
      <w:szCs w:val="16"/>
    </w:rPr>
  </w:style>
  <w:style w:type="character" w:customStyle="1" w:styleId="135">
    <w:name w:val="正文文本缩进字符1"/>
    <w:basedOn w:val="53"/>
    <w:semiHidden/>
    <w:qFormat/>
    <w:uiPriority w:val="99"/>
  </w:style>
  <w:style w:type="character" w:customStyle="1" w:styleId="136">
    <w:name w:val="正文文本缩进 2字符1"/>
    <w:basedOn w:val="53"/>
    <w:semiHidden/>
    <w:qFormat/>
    <w:uiPriority w:val="99"/>
  </w:style>
  <w:style w:type="character" w:customStyle="1" w:styleId="137">
    <w:name w:val="页脚字符1"/>
    <w:basedOn w:val="53"/>
    <w:semiHidden/>
    <w:qFormat/>
    <w:uiPriority w:val="99"/>
    <w:rPr>
      <w:sz w:val="18"/>
      <w:szCs w:val="18"/>
    </w:rPr>
  </w:style>
  <w:style w:type="character" w:customStyle="1" w:styleId="138">
    <w:name w:val="正文首行缩进 2字符1"/>
    <w:basedOn w:val="135"/>
    <w:semiHidden/>
    <w:qFormat/>
    <w:uiPriority w:val="99"/>
  </w:style>
  <w:style w:type="character" w:customStyle="1" w:styleId="139">
    <w:name w:val="页眉字符1"/>
    <w:basedOn w:val="53"/>
    <w:semiHidden/>
    <w:qFormat/>
    <w:uiPriority w:val="99"/>
    <w:rPr>
      <w:sz w:val="18"/>
      <w:szCs w:val="18"/>
    </w:rPr>
  </w:style>
  <w:style w:type="character" w:customStyle="1" w:styleId="140">
    <w:name w:val="正文文本 2字符1"/>
    <w:basedOn w:val="53"/>
    <w:semiHidden/>
    <w:qFormat/>
    <w:uiPriority w:val="99"/>
  </w:style>
  <w:style w:type="character" w:customStyle="1" w:styleId="141">
    <w:name w:val="标题字符1"/>
    <w:basedOn w:val="53"/>
    <w:qFormat/>
    <w:uiPriority w:val="10"/>
    <w:rPr>
      <w:rFonts w:ascii="Calibri" w:hAnsi="Calibri" w:eastAsia="宋体" w:cs="黑体"/>
      <w:b/>
      <w:bCs/>
      <w:sz w:val="32"/>
      <w:szCs w:val="32"/>
    </w:rPr>
  </w:style>
  <w:style w:type="paragraph" w:customStyle="1" w:styleId="142">
    <w:name w:val="22"/>
    <w:basedOn w:val="1"/>
    <w:qFormat/>
    <w:uiPriority w:val="0"/>
    <w:pPr>
      <w:adjustRightInd w:val="0"/>
      <w:spacing w:before="100" w:beforeAutospacing="1" w:line="360" w:lineRule="auto"/>
      <w:ind w:firstLine="480" w:firstLineChars="200"/>
      <w:jc w:val="left"/>
      <w:textAlignment w:val="baseline"/>
    </w:pPr>
    <w:rPr>
      <w:rFonts w:ascii="宋体" w:hAnsi="宋体" w:cs="Times New Roman"/>
      <w:snapToGrid w:val="0"/>
      <w:kern w:val="0"/>
      <w:szCs w:val="20"/>
    </w:rPr>
  </w:style>
  <w:style w:type="paragraph" w:customStyle="1" w:styleId="143">
    <w:name w:val="小正文"/>
    <w:basedOn w:val="95"/>
    <w:qFormat/>
    <w:uiPriority w:val="0"/>
    <w:pPr>
      <w:spacing w:before="260" w:after="260" w:line="560" w:lineRule="exact"/>
      <w:ind w:firstLine="560" w:firstLineChars="200"/>
      <w:jc w:val="left"/>
    </w:pPr>
    <w:rPr>
      <w:rFonts w:hAnsi="宋体"/>
      <w:b w:val="0"/>
      <w:kern w:val="0"/>
      <w:sz w:val="28"/>
      <w:szCs w:val="28"/>
    </w:rPr>
  </w:style>
  <w:style w:type="paragraph" w:customStyle="1" w:styleId="144">
    <w:name w:val="修订1"/>
    <w:hidden/>
    <w:semiHidden/>
    <w:qFormat/>
    <w:uiPriority w:val="99"/>
    <w:rPr>
      <w:rFonts w:ascii="Cambria" w:hAnsi="Cambria" w:eastAsia="宋体" w:cs="黑体"/>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64</Pages>
  <Words>5361</Words>
  <Characters>30563</Characters>
  <Lines>254</Lines>
  <Paragraphs>71</Paragraphs>
  <TotalTime>7</TotalTime>
  <ScaleCrop>false</ScaleCrop>
  <LinksUpToDate>false</LinksUpToDate>
  <CharactersWithSpaces>35853</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2019-07-03T00:11:00Z</dcterms:created>
  <dc:creator>杨立</dc:creator>
  <cp:lastModifiedBy>zbzx-jsx</cp:lastModifiedBy>
  <dcterms:modified xsi:type="dcterms:W3CDTF">2019-10-17T08:49:23Z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