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36"/>
          <w:szCs w:val="36"/>
          <w:u w:val="single"/>
        </w:rPr>
      </w:pPr>
      <w:r>
        <w:rPr>
          <w:rFonts w:hint="eastAsia" w:eastAsia="黑体" w:cs="Calibri"/>
          <w:b/>
          <w:sz w:val="36"/>
          <w:szCs w:val="36"/>
          <w:u w:val="single"/>
        </w:rPr>
        <w:t>航站楼差异化安检通道改造工程</w:t>
      </w:r>
    </w:p>
    <w:p>
      <w:pPr>
        <w:widowControl/>
        <w:autoSpaceDE w:val="0"/>
        <w:autoSpaceDN w:val="0"/>
        <w:jc w:val="center"/>
        <w:textAlignment w:val="bottom"/>
        <w:rPr>
          <w:rFonts w:hint="eastAsia" w:eastAsia="黑体" w:cs="Calibri"/>
          <w:b/>
          <w:sz w:val="36"/>
          <w:szCs w:val="36"/>
          <w:u w:val="single"/>
          <w:lang w:eastAsia="zh-CN"/>
        </w:rPr>
      </w:pPr>
      <w:r>
        <w:rPr>
          <w:rFonts w:hint="eastAsia" w:eastAsia="黑体" w:cs="Calibri"/>
          <w:b/>
          <w:sz w:val="36"/>
          <w:szCs w:val="36"/>
          <w:u w:val="single"/>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7"/>
          <w:rFonts w:hint="eastAsia" w:ascii="宋体" w:hAnsi="宋体" w:eastAsia="宋体"/>
        </w:rPr>
        <w:t>第一章</w:t>
      </w:r>
      <w:r>
        <w:rPr>
          <w:rStyle w:val="57"/>
          <w:rFonts w:ascii="宋体" w:hAnsi="宋体" w:eastAsia="宋体"/>
        </w:rPr>
        <w:t xml:space="preserve"> </w:t>
      </w:r>
      <w:r>
        <w:rPr>
          <w:rStyle w:val="57"/>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7"/>
          <w:rFonts w:hint="eastAsia" w:ascii="宋体" w:hAnsi="宋体" w:eastAsia="宋体"/>
        </w:rPr>
        <w:t>第二章</w:t>
      </w:r>
      <w:r>
        <w:rPr>
          <w:rStyle w:val="57"/>
          <w:rFonts w:ascii="宋体" w:hAnsi="宋体" w:eastAsia="宋体"/>
        </w:rPr>
        <w:t xml:space="preserve">  </w:t>
      </w:r>
      <w:r>
        <w:rPr>
          <w:rStyle w:val="57"/>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7"/>
          <w:rFonts w:hint="eastAsia" w:ascii="宋体" w:hAnsi="宋体" w:eastAsia="宋体"/>
        </w:rPr>
        <w:t>第三章</w:t>
      </w:r>
      <w:r>
        <w:rPr>
          <w:rStyle w:val="57"/>
          <w:rFonts w:ascii="宋体" w:hAnsi="宋体" w:eastAsia="宋体"/>
        </w:rPr>
        <w:t xml:space="preserve">  </w:t>
      </w:r>
      <w:r>
        <w:rPr>
          <w:rStyle w:val="57"/>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7"/>
          <w:rFonts w:hint="eastAsia" w:ascii="宋体" w:hAnsi="宋体" w:eastAsia="宋体"/>
        </w:rPr>
        <w:t>第四章</w:t>
      </w:r>
      <w:r>
        <w:rPr>
          <w:rStyle w:val="57"/>
          <w:rFonts w:ascii="宋体" w:hAnsi="宋体" w:eastAsia="宋体"/>
        </w:rPr>
        <w:t xml:space="preserve">  </w:t>
      </w:r>
      <w:r>
        <w:rPr>
          <w:rStyle w:val="57"/>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7"/>
          <w:rFonts w:hint="eastAsia" w:ascii="宋体" w:hAnsi="宋体" w:eastAsia="宋体"/>
        </w:rPr>
        <w:t>第五章</w:t>
      </w:r>
      <w:r>
        <w:rPr>
          <w:rStyle w:val="57"/>
          <w:rFonts w:ascii="宋体" w:hAnsi="宋体" w:eastAsia="宋体"/>
        </w:rPr>
        <w:t xml:space="preserve">  </w:t>
      </w:r>
      <w:r>
        <w:rPr>
          <w:rStyle w:val="57"/>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7"/>
          <w:rFonts w:hint="eastAsia" w:ascii="宋体" w:hAnsi="宋体" w:eastAsia="宋体"/>
        </w:rPr>
        <w:t>第六章</w:t>
      </w:r>
      <w:r>
        <w:rPr>
          <w:rStyle w:val="57"/>
          <w:rFonts w:ascii="宋体" w:hAnsi="宋体" w:eastAsia="宋体"/>
        </w:rPr>
        <w:t xml:space="preserve">  </w:t>
      </w:r>
      <w:r>
        <w:rPr>
          <w:rStyle w:val="57"/>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6"/>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7"/>
          <w:rFonts w:hint="eastAsia" w:ascii="宋体" w:hAnsi="宋体" w:eastAsia="宋体"/>
        </w:rPr>
        <w:t>第七章</w:t>
      </w:r>
      <w:r>
        <w:rPr>
          <w:rStyle w:val="57"/>
          <w:rFonts w:ascii="宋体" w:hAnsi="宋体" w:eastAsia="宋体"/>
        </w:rPr>
        <w:t xml:space="preserve">  </w:t>
      </w:r>
      <w:r>
        <w:rPr>
          <w:rStyle w:val="57"/>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0"/>
          <w:numId w:val="0"/>
        </w:numPr>
        <w:snapToGrid w:val="0"/>
        <w:spacing w:line="360" w:lineRule="exact"/>
        <w:ind w:left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numPr>
          <w:ilvl w:val="0"/>
          <w:numId w:val="0"/>
        </w:numPr>
        <w:adjustRightInd w:val="0"/>
        <w:snapToGrid w:val="0"/>
        <w:spacing w:line="340" w:lineRule="exact"/>
        <w:rPr>
          <w:rFonts w:ascii="宋体" w:hAnsi="宋体" w:cs="Arial"/>
          <w:kern w:val="0"/>
          <w:sz w:val="22"/>
          <w:szCs w:val="22"/>
        </w:rPr>
      </w:pPr>
      <w:r>
        <w:rPr>
          <w:rFonts w:hint="eastAsia" w:ascii="宋体" w:hAnsi="宋体" w:cs="Arial"/>
          <w:kern w:val="0"/>
          <w:sz w:val="22"/>
          <w:szCs w:val="22"/>
          <w:lang w:eastAsia="zh-CN"/>
        </w:rPr>
        <w:t>（</w:t>
      </w:r>
      <w:r>
        <w:rPr>
          <w:rFonts w:hint="eastAsia" w:ascii="宋体" w:hAnsi="宋体" w:cs="Arial"/>
          <w:kern w:val="0"/>
          <w:sz w:val="22"/>
          <w:szCs w:val="22"/>
          <w:lang w:val="en-US" w:eastAsia="zh-CN"/>
        </w:rPr>
        <w:t>1</w:t>
      </w:r>
      <w:r>
        <w:rPr>
          <w:rFonts w:hint="eastAsia" w:ascii="宋体" w:hAnsi="宋体" w:cs="Arial"/>
          <w:kern w:val="0"/>
          <w:sz w:val="22"/>
          <w:szCs w:val="22"/>
          <w:lang w:eastAsia="zh-CN"/>
        </w:rPr>
        <w:t>）</w:t>
      </w:r>
      <w:r>
        <w:rPr>
          <w:rFonts w:hint="eastAsia" w:ascii="宋体" w:hAnsi="宋体" w:cs="Arial"/>
          <w:kern w:val="0"/>
          <w:sz w:val="22"/>
          <w:szCs w:val="22"/>
        </w:rPr>
        <w:t>项目概况：杭州萧山国际机场航站楼差异化安检通道改造工程，位于杭州萧山国际机场内，主要包括：T1、T2、T3航站楼安检玻璃隔断、不锈钢防撞护栏等工作内容。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详见招标图纸和工程量清单。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2019年11月6日下午14时00分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2019年11月6日下午14时00分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2019年11月6日下午14时00分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w:t>
      </w:r>
      <w:r>
        <w:rPr>
          <w:rFonts w:ascii="宋体" w:hAnsi="宋体"/>
          <w:sz w:val="22"/>
          <w:szCs w:val="22"/>
        </w:rPr>
        <w:t>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联系电话：0571-8666</w:t>
      </w:r>
      <w:r>
        <w:rPr>
          <w:rFonts w:ascii="宋体" w:hAnsi="宋体"/>
          <w:bCs/>
          <w:sz w:val="22"/>
          <w:szCs w:val="22"/>
        </w:rPr>
        <w:t>2133</w:t>
      </w: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450630558"/>
      <w:bookmarkStart w:id="2" w:name="_Toc450630557"/>
      <w:r>
        <w:t>第</w:t>
      </w:r>
      <w:r>
        <w:rPr>
          <w:rFonts w:hint="eastAsia"/>
        </w:rPr>
        <w:t>二</w:t>
      </w:r>
      <w:r>
        <w:t>章  投标</w:t>
      </w:r>
      <w:r>
        <w:rPr>
          <w:rFonts w:hint="eastAsia"/>
        </w:rPr>
        <w:t>人须知</w:t>
      </w:r>
      <w:bookmarkEnd w:id="1"/>
      <w:bookmarkEnd w:id="2"/>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航站楼差异化安检通道改造工程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29</w:t>
            </w:r>
            <w:bookmarkStart w:id="184" w:name="_GoBack"/>
            <w:bookmarkEnd w:id="184"/>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Calibri"/>
                <w:b/>
                <w:kern w:val="0"/>
                <w:sz w:val="22"/>
                <w:lang w:eastAsia="zh-CN"/>
              </w:rPr>
              <w:t>2019年11月6日下午14时00分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杭州萧山国际机场航站楼差异化安检通道改造工程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eastAsia="zh-CN"/>
              </w:rPr>
              <w:t>2019年11月6日下午14时00分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19809801"/>
      <w:bookmarkStart w:id="47" w:name="_Toc22012324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15553"/>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20123244"/>
      <w:bookmarkStart w:id="57" w:name="_Toc2986"/>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5509"/>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20123246"/>
      <w:bookmarkStart w:id="63" w:name="_Toc21980980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19809807"/>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20123248"/>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1980980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杭州萧山国际机场航站楼差异化安检通道改造工程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52042548"/>
      <w:bookmarkStart w:id="79" w:name="_Toc14497482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44974829"/>
      <w:bookmarkStart w:id="81" w:name="_Toc15204254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本合同属于固定单价合同，签约合同价：人民币（大写）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      ，身份证号：     。</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承包人应按照发包人指示开工，预计开工时间为【】年【】月【】日，工期为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52042550"/>
      <w:bookmarkStart w:id="83" w:name="_Toc14497483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375636693"/>
      <w:bookmarkStart w:id="85" w:name="_Toc448097406"/>
      <w:bookmarkStart w:id="86" w:name="_Toc246392119"/>
      <w:bookmarkStart w:id="87" w:name="_Toc450630561"/>
      <w:bookmarkStart w:id="88" w:name="_Toc375636694"/>
      <w:bookmarkStart w:id="89" w:name="_Toc152042545"/>
      <w:bookmarkStart w:id="90" w:name="_Toc152045766"/>
      <w:bookmarkStart w:id="91" w:name="_Toc14497473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w:t>
      </w:r>
      <w:r>
        <w:rPr>
          <w:rFonts w:hint="eastAsia" w:ascii="宋体" w:hAnsi="宋体" w:cs="Arial"/>
          <w:bCs/>
          <w:sz w:val="22"/>
        </w:rPr>
        <w:t>“分部分项工程清单与计价表”和“施工技术措施项目清单与计价表”中</w:t>
      </w:r>
      <w:r>
        <w:rPr>
          <w:rFonts w:hint="eastAsia" w:ascii="宋体" w:hAnsi="宋体" w:cs="宋体"/>
          <w:sz w:val="22"/>
          <w:szCs w:val="22"/>
        </w:rPr>
        <w:t>综合单价所</w:t>
      </w:r>
      <w:r>
        <w:rPr>
          <w:rFonts w:ascii="宋体" w:hAnsi="宋体" w:cs="宋体"/>
          <w:sz w:val="22"/>
          <w:szCs w:val="22"/>
        </w:rPr>
        <w:t>包含的工程内容；b、合同执行期内，投标</w:t>
      </w:r>
      <w:r>
        <w:rPr>
          <w:rFonts w:hint="eastAsia" w:ascii="宋体" w:hAnsi="宋体" w:cs="宋体"/>
          <w:sz w:val="22"/>
          <w:szCs w:val="22"/>
        </w:rPr>
        <w:t>人工、</w:t>
      </w:r>
      <w:r>
        <w:rPr>
          <w:rFonts w:ascii="宋体" w:hAnsi="宋体" w:cs="宋体"/>
          <w:sz w:val="22"/>
          <w:szCs w:val="22"/>
        </w:rPr>
        <w:t>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szCs w:val="22"/>
        </w:rPr>
        <w:t>招标</w:t>
      </w:r>
      <w:r>
        <w:rPr>
          <w:rFonts w:ascii="宋体" w:hAnsi="宋体" w:cs="宋体"/>
          <w:sz w:val="22"/>
          <w:szCs w:val="22"/>
        </w:rPr>
        <w:t>工程量清单数量15%及以上时，工程量按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计算，其综合单价按以下规定</w:t>
      </w:r>
      <w:r>
        <w:rPr>
          <w:rFonts w:hint="eastAsia" w:ascii="宋体" w:hAnsi="宋体" w:cs="宋体"/>
          <w:sz w:val="22"/>
          <w:szCs w:val="22"/>
        </w:rPr>
        <w:t>重新</w:t>
      </w:r>
      <w:r>
        <w:rPr>
          <w:rFonts w:ascii="宋体" w:hAnsi="宋体" w:cs="宋体"/>
          <w:sz w:val="22"/>
          <w:szCs w:val="22"/>
        </w:rPr>
        <w:t>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25.14施工及生活用水：由发包人提供用水接口，场内接管、安装水表由承包人自行解决，承包人施工前需向机场水电管理部门提出申请并通过。水费以水务集团水价4.4元/吨为基础单价，并在基础单价上加收【30</w:t>
      </w:r>
      <w:r>
        <w:rPr>
          <w:rFonts w:ascii="宋体" w:hAnsi="宋体" w:cs="宋体"/>
          <w:sz w:val="22"/>
          <w:lang w:val="zh-CN"/>
        </w:rPr>
        <w:t>%</w:t>
      </w:r>
      <w:r>
        <w:rPr>
          <w:rFonts w:hint="eastAsia" w:ascii="宋体" w:hAnsi="宋体" w:cs="宋体"/>
          <w:sz w:val="22"/>
          <w:lang w:val="zh-CN"/>
        </w:rPr>
        <w:t>】的水费转供设施维护费（加收部分主要是损耗、运行维护、维修费等）。如自来水公司水价调整，水费单价也作相应的调整，收取的【30</w:t>
      </w:r>
      <w:r>
        <w:rPr>
          <w:rFonts w:ascii="宋体" w:hAnsi="宋体" w:cs="宋体"/>
          <w:sz w:val="22"/>
          <w:lang w:val="zh-CN"/>
        </w:rPr>
        <w:t>%</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w:t>
      </w:r>
      <w:r>
        <w:rPr>
          <w:rFonts w:ascii="宋体" w:hAnsi="宋体" w:cs="宋体"/>
          <w:sz w:val="22"/>
          <w:lang w:val="zh-CN"/>
        </w:rPr>
        <w:t>%</w:t>
      </w:r>
      <w:r>
        <w:rPr>
          <w:rFonts w:hint="eastAsia" w:ascii="宋体" w:hAnsi="宋体" w:cs="宋体"/>
          <w:sz w:val="22"/>
          <w:lang w:val="zh-CN"/>
        </w:rPr>
        <w:t>】的电费转供设施维护费（加收部分主要是损耗、运行维护、维修费等）。如供电局电价调整，电费单价也作相应的调整，收取的【33</w:t>
      </w:r>
      <w:r>
        <w:rPr>
          <w:rFonts w:ascii="宋体" w:hAnsi="宋体" w:cs="宋体"/>
          <w:sz w:val="22"/>
          <w:lang w:val="zh-CN"/>
        </w:rPr>
        <w:t>%</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杭州萧山国际机场航站楼差异化安检通道改造工程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杭州萧山国际机场航站楼差异化安检通道改造工程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杭州萧山国际机场航站楼差异化安检通道改造工程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48"/>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48"/>
      </w:pPr>
      <w:bookmarkStart w:id="92" w:name="_Toc450630562"/>
      <w:r>
        <w:rPr>
          <w:rFonts w:hint="eastAsia"/>
        </w:rPr>
        <w:t>第四章  工程量清单</w:t>
      </w:r>
      <w:bookmarkEnd w:id="92"/>
    </w:p>
    <w:p>
      <w:pPr>
        <w:widowControl/>
        <w:jc w:val="left"/>
        <w:rPr>
          <w:rFonts w:eastAsia="黑体" w:cs="Times New Roman"/>
          <w:b/>
          <w:bCs/>
          <w:kern w:val="0"/>
          <w:sz w:val="32"/>
          <w:szCs w:val="32"/>
        </w:rPr>
      </w:pPr>
    </w:p>
    <w:p>
      <w:pPr>
        <w:widowControl/>
        <w:jc w:val="left"/>
        <w:rPr>
          <w:rFonts w:ascii="宋体" w:hAnsi="宋体" w:cs="宋体"/>
          <w:kern w:val="0"/>
          <w:sz w:val="28"/>
          <w:szCs w:val="28"/>
        </w:rPr>
      </w:pPr>
      <w:r>
        <w:rPr>
          <w:rFonts w:hint="eastAsia" w:ascii="宋体" w:hAnsi="宋体" w:cs="宋体"/>
          <w:kern w:val="0"/>
          <w:sz w:val="28"/>
          <w:szCs w:val="28"/>
        </w:rPr>
        <w:t>详见附件《工程量清单》</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48"/>
      </w:pPr>
      <w:bookmarkStart w:id="93" w:name="_Toc450630563"/>
      <w:r>
        <w:rPr>
          <w:rFonts w:hint="eastAsia"/>
        </w:rPr>
        <w:t xml:space="preserve">第五章  </w:t>
      </w:r>
      <w:bookmarkEnd w:id="93"/>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4" w:name="_Toc175643531"/>
      <w:bookmarkStart w:id="95" w:name="_Toc408367761"/>
      <w:bookmarkStart w:id="96"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4"/>
    <w:bookmarkEnd w:id="95"/>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b/>
          <w:bCs/>
          <w:sz w:val="22"/>
          <w:szCs w:val="22"/>
        </w:rPr>
      </w:pPr>
      <w:r>
        <w:rPr>
          <w:rFonts w:hint="eastAsia" w:hAnsi="宋体"/>
          <w:sz w:val="22"/>
          <w:szCs w:val="22"/>
        </w:rPr>
        <w:t>1、详见工程量清单和招标图纸要求，</w:t>
      </w:r>
      <w:r>
        <w:rPr>
          <w:rFonts w:hint="eastAsia" w:hAnsi="宋体"/>
          <w:b/>
          <w:bCs/>
          <w:sz w:val="22"/>
          <w:szCs w:val="22"/>
        </w:rPr>
        <w:t>特别是工程选用的不锈钢材质必须为304型号。</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2"/>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jc w:val="center"/>
              <w:rPr>
                <w:rFonts w:ascii="宋体" w:hAnsi="宋体" w:cs="宋体"/>
                <w:bCs/>
                <w:kern w:val="0"/>
                <w:sz w:val="22"/>
              </w:rPr>
            </w:pPr>
            <w:r>
              <w:rPr>
                <w:rFonts w:hint="eastAsia" w:ascii="宋体" w:hAnsi="宋体"/>
                <w:sz w:val="21"/>
              </w:rPr>
              <w:t>玻璃</w:t>
            </w:r>
          </w:p>
        </w:tc>
        <w:tc>
          <w:tcPr>
            <w:tcW w:w="5491" w:type="dxa"/>
            <w:vAlign w:val="center"/>
          </w:tcPr>
          <w:p>
            <w:pPr>
              <w:jc w:val="center"/>
              <w:rPr>
                <w:rFonts w:ascii="宋体" w:hAnsi="宋体" w:cs="宋体"/>
                <w:bCs/>
                <w:kern w:val="0"/>
                <w:sz w:val="22"/>
              </w:rPr>
            </w:pPr>
            <w:r>
              <w:rPr>
                <w:rFonts w:hint="eastAsia"/>
                <w:sz w:val="21"/>
              </w:rPr>
              <w:t>南玻、耀皮、信义同档次及以上品牌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jc w:val="center"/>
              <w:rPr>
                <w:rFonts w:ascii="宋体" w:hAnsi="宋体"/>
                <w:sz w:val="22"/>
              </w:rPr>
            </w:pPr>
            <w:r>
              <w:rPr>
                <w:rFonts w:hint="eastAsia" w:ascii="宋体" w:hAnsi="宋体"/>
                <w:kern w:val="0"/>
                <w:sz w:val="22"/>
              </w:rPr>
              <w:t>玻璃胶</w:t>
            </w:r>
          </w:p>
        </w:tc>
        <w:tc>
          <w:tcPr>
            <w:tcW w:w="5491" w:type="dxa"/>
            <w:vAlign w:val="center"/>
          </w:tcPr>
          <w:p>
            <w:pPr>
              <w:jc w:val="center"/>
              <w:rPr>
                <w:rFonts w:ascii="宋体" w:hAnsi="宋体"/>
                <w:sz w:val="22"/>
              </w:rPr>
            </w:pPr>
            <w:r>
              <w:rPr>
                <w:rFonts w:hint="eastAsia" w:ascii="宋体" w:hAnsi="宋体"/>
                <w:sz w:val="21"/>
              </w:rPr>
              <w:t>金鼠、道康宁、西卡</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rFonts w:ascii="宋体" w:hAnsi="宋体"/>
                <w:sz w:val="22"/>
              </w:rPr>
            </w:pPr>
            <w:r>
              <w:rPr>
                <w:rFonts w:hint="eastAsia"/>
                <w:sz w:val="21"/>
              </w:rPr>
              <w:t>化学锚栓</w:t>
            </w:r>
          </w:p>
        </w:tc>
        <w:tc>
          <w:tcPr>
            <w:tcW w:w="5491" w:type="dxa"/>
            <w:vAlign w:val="center"/>
          </w:tcPr>
          <w:p>
            <w:pPr>
              <w:jc w:val="center"/>
              <w:rPr>
                <w:rFonts w:ascii="宋体" w:hAnsi="宋体"/>
                <w:sz w:val="22"/>
              </w:rPr>
            </w:pPr>
            <w:r>
              <w:rPr>
                <w:rFonts w:hint="eastAsia"/>
                <w:sz w:val="21"/>
              </w:rPr>
              <w:t>喜利得、倍络得、慧鱼同档次及以上品牌</w:t>
            </w:r>
          </w:p>
        </w:tc>
      </w:tr>
    </w:tbl>
    <w:p>
      <w:pPr>
        <w:snapToGrid w:val="0"/>
        <w:spacing w:line="360" w:lineRule="exact"/>
        <w:ind w:firstLine="440" w:firstLineChars="200"/>
        <w:rPr>
          <w:rFonts w:ascii="宋体" w:hAnsi="宋体"/>
          <w:sz w:val="22"/>
          <w:szCs w:val="22"/>
        </w:rPr>
      </w:pPr>
    </w:p>
    <w:bookmarkEnd w:id="96"/>
    <w:p>
      <w:pPr>
        <w:pStyle w:val="68"/>
        <w:ind w:firstLine="420" w:firstLineChars="0"/>
        <w:rPr>
          <w:rFonts w:ascii="宋体" w:cs="宋体"/>
          <w:b/>
          <w:bCs/>
          <w:color w:val="auto"/>
          <w:sz w:val="22"/>
          <w:szCs w:val="22"/>
        </w:rPr>
      </w:pPr>
      <w:bookmarkStart w:id="97" w:name="_bookmark42"/>
      <w:bookmarkEnd w:id="97"/>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4、施工围挡按杭州萧山国际机场航站区管理中心相关规定执行。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5、施工组织实施须遵守机场特别是或者航站区管理中心相关规定要求。</w:t>
      </w:r>
    </w:p>
    <w:p>
      <w:pPr>
        <w:adjustRightInd w:val="0"/>
        <w:snapToGrid w:val="0"/>
        <w:spacing w:line="400" w:lineRule="exact"/>
        <w:rPr>
          <w:rFonts w:ascii="宋体" w:hAnsi="宋体" w:cs="宋体"/>
          <w:b/>
          <w:sz w:val="22"/>
        </w:rPr>
      </w:pPr>
      <w:r>
        <w:rPr>
          <w:rFonts w:hint="eastAsia" w:ascii="宋体" w:hAnsi="宋体" w:cs="宋体"/>
          <w:color w:val="000000"/>
          <w:sz w:val="22"/>
        </w:rPr>
        <w:t xml:space="preserve">    5、</w:t>
      </w:r>
      <w:r>
        <w:rPr>
          <w:rFonts w:hint="eastAsia" w:ascii="宋体" w:hAnsi="宋体" w:cs="宋体"/>
          <w:b/>
          <w:bCs/>
          <w:color w:val="000000"/>
          <w:sz w:val="22"/>
        </w:rPr>
        <w:t>因施工区域</w:t>
      </w:r>
      <w:r>
        <w:rPr>
          <w:rFonts w:hint="eastAsia" w:ascii="宋体" w:hAnsi="宋体" w:cs="宋体"/>
          <w:b/>
          <w:bCs/>
          <w:sz w:val="22"/>
        </w:rPr>
        <w:t>位于机场</w:t>
      </w:r>
      <w:r>
        <w:rPr>
          <w:rFonts w:hint="eastAsia" w:ascii="宋体" w:hAnsi="宋体" w:cs="宋体"/>
          <w:b/>
          <w:sz w:val="22"/>
        </w:rPr>
        <w:t>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班不得少于1人，并配备相应的保卫措施。</w:t>
      </w:r>
    </w:p>
    <w:p>
      <w:pPr>
        <w:pStyle w:val="48"/>
        <w:jc w:val="left"/>
      </w:pPr>
    </w:p>
    <w:p>
      <w:pPr>
        <w:adjustRightInd w:val="0"/>
        <w:snapToGrid w:val="0"/>
        <w:spacing w:line="360" w:lineRule="exact"/>
        <w:ind w:firstLine="452"/>
        <w:jc w:val="left"/>
        <w:rPr>
          <w:rFonts w:ascii="宋体" w:hAnsi="宋体"/>
          <w:b/>
          <w:sz w:val="22"/>
        </w:rPr>
      </w:pPr>
    </w:p>
    <w:p>
      <w:pPr>
        <w:pStyle w:val="48"/>
      </w:pPr>
      <w:r>
        <w:rPr>
          <w:rFonts w:ascii="宋体" w:hAnsi="宋体"/>
          <w:sz w:val="22"/>
          <w:szCs w:val="22"/>
        </w:rPr>
        <w:br w:type="page"/>
      </w:r>
      <w:bookmarkStart w:id="98" w:name="_Toc450630564"/>
      <w:bookmarkStart w:id="99" w:name="_Toc275274581"/>
      <w:r>
        <w:t>第</w:t>
      </w:r>
      <w:r>
        <w:rPr>
          <w:rFonts w:hint="eastAsia"/>
        </w:rPr>
        <w:t>六</w:t>
      </w:r>
      <w:r>
        <w:t xml:space="preserve">章  </w:t>
      </w:r>
      <w:r>
        <w:rPr>
          <w:rFonts w:hint="eastAsia"/>
        </w:rPr>
        <w:t>评标办法及标准</w:t>
      </w:r>
      <w:bookmarkEnd w:id="98"/>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48"/>
      </w:pPr>
      <w:bookmarkStart w:id="100" w:name="_Toc450630565"/>
      <w:r>
        <w:t>第</w:t>
      </w:r>
      <w:r>
        <w:rPr>
          <w:rFonts w:hint="eastAsia"/>
        </w:rPr>
        <w:t>七</w:t>
      </w:r>
      <w:r>
        <w:t>章  投标文件格式</w:t>
      </w:r>
      <w:bookmarkEnd w:id="99"/>
      <w:bookmarkEnd w:id="100"/>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1" w:name="_Toc171421958"/>
      <w:r>
        <w:rPr>
          <w:rFonts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负责本项目的项目经理是</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（身份</w:t>
      </w:r>
      <w:r>
        <w:rPr>
          <w:rFonts w:ascii="宋体" w:hAnsi="宋体"/>
          <w:sz w:val="22"/>
          <w:szCs w:val="22"/>
        </w:rPr>
        <w:t>证号：</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02" w:name="_Toc133470542"/>
      <w:bookmarkStart w:id="103" w:name="_Toc133214102"/>
      <w:bookmarkStart w:id="104" w:name="_Toc137373398"/>
      <w:bookmarkStart w:id="105" w:name="_Toc144265958"/>
      <w:bookmarkStart w:id="106"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7" w:name="_Toc11710"/>
      <w:bookmarkStart w:id="108" w:name="_Toc144974865"/>
      <w:bookmarkStart w:id="109" w:name="_Toc179632817"/>
      <w:bookmarkStart w:id="110" w:name="_Toc152045797"/>
      <w:bookmarkStart w:id="111" w:name="_Toc246392155"/>
      <w:bookmarkStart w:id="112" w:name="_Toc152042586"/>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3" w:name="_Toc246392156"/>
      <w:bookmarkStart w:id="114" w:name="_Toc4957"/>
      <w:bookmarkStart w:id="115" w:name="_Toc152042587"/>
      <w:bookmarkStart w:id="116" w:name="_Toc179632818"/>
      <w:bookmarkStart w:id="117" w:name="_Toc152045798"/>
      <w:bookmarkStart w:id="118" w:name="_Toc144974866"/>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9" w:name="_Toc152045799"/>
      <w:bookmarkStart w:id="120" w:name="_Toc179632819"/>
      <w:bookmarkStart w:id="121" w:name="_Toc152042588"/>
      <w:bookmarkStart w:id="122" w:name="_Toc144974867"/>
      <w:bookmarkStart w:id="123" w:name="_Toc8928"/>
      <w:bookmarkStart w:id="124" w:name="_Toc246392157"/>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5" w:name="_Toc152045800"/>
      <w:bookmarkStart w:id="126" w:name="_Toc246392158"/>
      <w:bookmarkStart w:id="127" w:name="_Toc144974868"/>
      <w:bookmarkStart w:id="128" w:name="_Toc3750"/>
      <w:bookmarkStart w:id="129" w:name="_Toc179632820"/>
      <w:bookmarkStart w:id="130" w:name="_Toc152042589"/>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1" w:name="_Toc144974869"/>
      <w:bookmarkStart w:id="132" w:name="_Toc246392159"/>
      <w:bookmarkStart w:id="133" w:name="_Toc179632821"/>
      <w:bookmarkStart w:id="134" w:name="_Toc152042590"/>
      <w:bookmarkStart w:id="135" w:name="_Toc152045801"/>
      <w:r>
        <w:rPr>
          <w:rFonts w:hint="eastAsia" w:ascii="宋体" w:hAnsi="宋体"/>
          <w:sz w:val="22"/>
          <w:szCs w:val="22"/>
        </w:rPr>
        <w:t>附表五：施工总平面图</w:t>
      </w:r>
      <w:bookmarkEnd w:id="131"/>
      <w:bookmarkEnd w:id="132"/>
      <w:bookmarkEnd w:id="133"/>
      <w:bookmarkEnd w:id="134"/>
      <w:bookmarkEnd w:id="135"/>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6" w:name="_Toc152042593"/>
      <w:bookmarkStart w:id="137" w:name="_Toc246392161"/>
      <w:bookmarkStart w:id="138" w:name="_Toc144974872"/>
      <w:bookmarkStart w:id="139" w:name="_Toc179632824"/>
      <w:bookmarkStart w:id="140" w:name="_Toc152045804"/>
      <w:bookmarkStart w:id="141" w:name="_Toc29304"/>
      <w:r>
        <w:rPr>
          <w:rFonts w:hint="eastAsia" w:ascii="宋体" w:hAnsi="宋体" w:eastAsia="宋体"/>
          <w:szCs w:val="23"/>
        </w:rPr>
        <w:t>（一）项目管理机构组成表</w:t>
      </w:r>
      <w:bookmarkEnd w:id="136"/>
      <w:bookmarkEnd w:id="137"/>
      <w:bookmarkEnd w:id="138"/>
      <w:bookmarkEnd w:id="139"/>
      <w:bookmarkEnd w:id="140"/>
      <w:bookmarkEnd w:id="141"/>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2" w:name="_Toc152045805"/>
      <w:bookmarkStart w:id="143" w:name="_Toc246392162"/>
      <w:bookmarkStart w:id="144" w:name="_Toc144974873"/>
      <w:bookmarkStart w:id="145" w:name="_Toc25718"/>
      <w:bookmarkStart w:id="146" w:name="_Toc179632825"/>
      <w:bookmarkStart w:id="147" w:name="_Toc152042594"/>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8" w:name="_Toc7025"/>
      <w:bookmarkStart w:id="149" w:name="_Toc245036711"/>
      <w:r>
        <w:rPr>
          <w:rFonts w:hint="eastAsia" w:ascii="Calibri" w:hAnsi="Calibri" w:eastAsia="黑体" w:cs="Calibri"/>
          <w:color w:val="000000"/>
          <w:sz w:val="32"/>
          <w:szCs w:val="32"/>
        </w:rPr>
        <w:t>七、资格审查资料</w:t>
      </w:r>
      <w:bookmarkEnd w:id="148"/>
      <w:bookmarkEnd w:id="149"/>
    </w:p>
    <w:p>
      <w:pPr>
        <w:topLinePunct/>
        <w:spacing w:line="440" w:lineRule="exact"/>
        <w:jc w:val="center"/>
        <w:rPr>
          <w:rFonts w:ascii="宋体" w:hAnsi="宋体"/>
          <w:sz w:val="27"/>
          <w:szCs w:val="27"/>
        </w:rPr>
      </w:pPr>
    </w:p>
    <w:p>
      <w:pPr>
        <w:pStyle w:val="85"/>
        <w:rPr>
          <w:rFonts w:ascii="宋体" w:hAnsi="宋体" w:eastAsia="宋体"/>
          <w:szCs w:val="23"/>
        </w:rPr>
      </w:pPr>
      <w:bookmarkStart w:id="150" w:name="_Toc245036712"/>
      <w:bookmarkStart w:id="151" w:name="_Toc152045808"/>
      <w:bookmarkStart w:id="152" w:name="_Toc152042597"/>
      <w:bookmarkStart w:id="153" w:name="_Toc144974876"/>
      <w:bookmarkStart w:id="154" w:name="_Toc17487"/>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5" w:name="_Toc16950"/>
      <w:bookmarkStart w:id="156" w:name="_Toc245036713"/>
      <w:bookmarkStart w:id="157" w:name="_Toc144974877"/>
      <w:bookmarkStart w:id="158" w:name="_Toc152042598"/>
      <w:bookmarkStart w:id="159" w:name="_Toc152045809"/>
      <w:r>
        <w:rPr>
          <w:rFonts w:hint="eastAsia"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hAnsi="宋体"/>
          <w:sz w:val="23"/>
          <w:szCs w:val="23"/>
        </w:rPr>
      </w:pPr>
    </w:p>
    <w:p>
      <w:pPr>
        <w:pStyle w:val="85"/>
        <w:rPr>
          <w:rFonts w:ascii="宋体" w:hAnsi="宋体" w:eastAsia="宋体"/>
          <w:szCs w:val="23"/>
        </w:rPr>
      </w:pPr>
      <w:bookmarkStart w:id="160" w:name="_Toc31021"/>
      <w:bookmarkStart w:id="161" w:name="_Toc245036714"/>
      <w:bookmarkStart w:id="162" w:name="_Toc152045810"/>
      <w:bookmarkStart w:id="163" w:name="_Toc152042599"/>
      <w:bookmarkStart w:id="164" w:name="_Toc144974878"/>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8" w:name="_Toc26600"/>
      <w:bookmarkStart w:id="169" w:name="_Toc152042600"/>
      <w:bookmarkStart w:id="170" w:name="_Toc152045811"/>
      <w:bookmarkStart w:id="171" w:name="_Toc245036715"/>
      <w:bookmarkStart w:id="172"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3" w:name="_Toc5773"/>
            <w:bookmarkStart w:id="174" w:name="_Toc144974880"/>
            <w:bookmarkStart w:id="175" w:name="_Toc152042601"/>
            <w:bookmarkStart w:id="176" w:name="_Toc152045812"/>
            <w:bookmarkStart w:id="177" w:name="_Toc245036716"/>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4"/>
      <w:bookmarkEnd w:id="175"/>
      <w:bookmarkEnd w:id="176"/>
      <w:bookmarkEnd w:id="177"/>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8" w:name="_Toc675"/>
      <w:bookmarkStart w:id="179" w:name="_Toc245036717"/>
      <w:bookmarkStart w:id="180" w:name="_Toc152045813"/>
      <w:bookmarkStart w:id="181" w:name="_Toc152042602"/>
      <w:bookmarkStart w:id="182" w:name="_Toc144974881"/>
      <w:r>
        <w:rPr>
          <w:rFonts w:hint="eastAsia" w:ascii="宋体" w:hAnsi="宋体"/>
        </w:rPr>
        <w:br w:type="page"/>
      </w:r>
      <w:r>
        <w:rPr>
          <w:rFonts w:hint="eastAsia" w:ascii="Calibri" w:hAnsi="Calibri" w:eastAsia="黑体" w:cs="Calibri"/>
          <w:color w:val="000000"/>
          <w:sz w:val="32"/>
          <w:szCs w:val="32"/>
        </w:rPr>
        <w:t>八、</w:t>
      </w:r>
      <w:bookmarkEnd w:id="178"/>
      <w:bookmarkEnd w:id="179"/>
      <w:bookmarkEnd w:id="180"/>
      <w:bookmarkEnd w:id="181"/>
      <w:bookmarkEnd w:id="182"/>
      <w:bookmarkStart w:id="183"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3"/>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23 -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8DDC17"/>
    <w:multiLevelType w:val="singleLevel"/>
    <w:tmpl w:val="5D8DDC17"/>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4">
    <w:nsid w:val="5D8DDC38"/>
    <w:multiLevelType w:val="singleLevel"/>
    <w:tmpl w:val="5D8DDC38"/>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E4175"/>
    <w:rsid w:val="173A30A1"/>
    <w:rsid w:val="379C7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toc 7"/>
    <w:basedOn w:val="1"/>
    <w:next w:val="1"/>
    <w:qFormat/>
    <w:uiPriority w:val="0"/>
    <w:pPr>
      <w:ind w:left="1260"/>
      <w:jc w:val="left"/>
    </w:pPr>
    <w:rPr>
      <w:rFonts w:ascii="Times New Roman" w:hAnsi="Times New Roman" w:cs="Times New Roman"/>
      <w:sz w:val="20"/>
      <w:szCs w:val="20"/>
    </w:rPr>
  </w:style>
  <w:style w:type="paragraph" w:styleId="13">
    <w:name w:val="table of authorities"/>
    <w:basedOn w:val="1"/>
    <w:next w:val="1"/>
    <w:qFormat/>
    <w:uiPriority w:val="0"/>
    <w:pPr>
      <w:ind w:left="420" w:leftChars="200"/>
    </w:pPr>
    <w:rPr>
      <w:rFonts w:ascii="Times New Roman" w:hAnsi="Times New Roman" w:cs="Times New Roman"/>
      <w:sz w:val="21"/>
    </w:rPr>
  </w:style>
  <w:style w:type="paragraph" w:styleId="14">
    <w:name w:val="Normal Indent"/>
    <w:basedOn w:val="1"/>
    <w:qFormat/>
    <w:uiPriority w:val="0"/>
    <w:pPr>
      <w:ind w:firstLine="420"/>
    </w:pPr>
    <w:rPr>
      <w:rFonts w:ascii="Times New Roman" w:hAnsi="Times New Roman"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cs="Times New Roman"/>
      <w:sz w:val="21"/>
    </w:rPr>
  </w:style>
  <w:style w:type="paragraph" w:styleId="17">
    <w:name w:val="List Bullet"/>
    <w:basedOn w:val="1"/>
    <w:qFormat/>
    <w:uiPriority w:val="0"/>
    <w:pPr>
      <w:numPr>
        <w:ilvl w:val="0"/>
        <w:numId w:val="2"/>
      </w:numPr>
    </w:pPr>
  </w:style>
  <w:style w:type="paragraph" w:styleId="18">
    <w:name w:val="Document Map"/>
    <w:basedOn w:val="1"/>
    <w:link w:val="99"/>
    <w:qFormat/>
    <w:uiPriority w:val="0"/>
    <w:pPr>
      <w:shd w:val="clear" w:color="auto" w:fill="000080"/>
    </w:pPr>
    <w:rPr>
      <w:rFonts w:ascii="Times New Roman" w:hAnsi="Times New Roman" w:cs="Times New Roman"/>
      <w:kern w:val="0"/>
      <w:sz w:val="20"/>
    </w:rPr>
  </w:style>
  <w:style w:type="paragraph" w:styleId="19">
    <w:name w:val="annotation text"/>
    <w:basedOn w:val="1"/>
    <w:link w:val="128"/>
    <w:unhideWhenUsed/>
    <w:qFormat/>
    <w:uiPriority w:val="0"/>
    <w:pPr>
      <w:jc w:val="left"/>
    </w:pPr>
  </w:style>
  <w:style w:type="paragraph" w:styleId="20">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1">
    <w:name w:val="Body Text"/>
    <w:basedOn w:val="1"/>
    <w:link w:val="130"/>
    <w:unhideWhenUsed/>
    <w:qFormat/>
    <w:uiPriority w:val="0"/>
    <w:pPr>
      <w:spacing w:after="120"/>
    </w:pPr>
  </w:style>
  <w:style w:type="paragraph" w:styleId="22">
    <w:name w:val="Body Text Indent"/>
    <w:basedOn w:val="1"/>
    <w:link w:val="107"/>
    <w:qFormat/>
    <w:uiPriority w:val="0"/>
    <w:pPr>
      <w:ind w:firstLine="560" w:firstLineChars="200"/>
    </w:pPr>
    <w:rPr>
      <w:rFonts w:ascii="宋体" w:hAnsi="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cs="Times New Roman"/>
      <w:sz w:val="21"/>
    </w:rPr>
  </w:style>
  <w:style w:type="paragraph" w:styleId="24">
    <w:name w:val="List Continue"/>
    <w:basedOn w:val="1"/>
    <w:qFormat/>
    <w:uiPriority w:val="0"/>
    <w:pPr>
      <w:spacing w:after="120"/>
      <w:ind w:left="420" w:leftChars="200"/>
    </w:pPr>
    <w:rPr>
      <w:rFonts w:ascii="Times New Roman" w:hAnsi="Times New Roman" w:cs="Times New Roman"/>
      <w:sz w:val="21"/>
    </w:rPr>
  </w:style>
  <w:style w:type="paragraph" w:styleId="25">
    <w:name w:val="Block Text"/>
    <w:basedOn w:val="1"/>
    <w:qFormat/>
    <w:uiPriority w:val="0"/>
    <w:pPr>
      <w:spacing w:before="120" w:after="120" w:line="360" w:lineRule="auto"/>
      <w:ind w:left="525" w:right="202"/>
    </w:pPr>
    <w:rPr>
      <w:rFonts w:ascii="宋体" w:hAnsi="宋体" w:cs="Times New Roman"/>
      <w:spacing w:val="-4"/>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102"/>
    <w:qFormat/>
    <w:uiPriority w:val="0"/>
    <w:rPr>
      <w:rFonts w:ascii="宋体" w:hAnsi="Courier New" w:cs="Times New Roman"/>
      <w:kern w:val="0"/>
      <w:sz w:val="20"/>
      <w:szCs w:val="21"/>
    </w:rPr>
  </w:style>
  <w:style w:type="paragraph" w:styleId="30">
    <w:name w:val="toc 8"/>
    <w:basedOn w:val="1"/>
    <w:next w:val="1"/>
    <w:qFormat/>
    <w:uiPriority w:val="0"/>
    <w:pPr>
      <w:ind w:left="1470"/>
      <w:jc w:val="left"/>
    </w:pPr>
    <w:rPr>
      <w:rFonts w:ascii="Times New Roman" w:hAnsi="Times New Roman" w:cs="Times New Roman"/>
      <w:sz w:val="20"/>
      <w:szCs w:val="20"/>
    </w:rPr>
  </w:style>
  <w:style w:type="paragraph" w:styleId="31">
    <w:name w:val="Date"/>
    <w:basedOn w:val="1"/>
    <w:next w:val="1"/>
    <w:link w:val="96"/>
    <w:qFormat/>
    <w:uiPriority w:val="0"/>
    <w:pPr>
      <w:ind w:left="100" w:leftChars="2500"/>
    </w:pPr>
    <w:rPr>
      <w:rFonts w:ascii="Times New Roman" w:hAnsi="Times New Roman" w:cs="Times New Roman"/>
      <w:kern w:val="0"/>
      <w:sz w:val="20"/>
    </w:rPr>
  </w:style>
  <w:style w:type="paragraph" w:styleId="32">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3">
    <w:name w:val="Balloon Text"/>
    <w:basedOn w:val="1"/>
    <w:link w:val="97"/>
    <w:semiHidden/>
    <w:qFormat/>
    <w:uiPriority w:val="0"/>
    <w:rPr>
      <w:rFonts w:ascii="Times New Roman" w:hAnsi="Times New Roman" w:cs="Times New Roman"/>
      <w:kern w:val="0"/>
      <w:sz w:val="18"/>
      <w:szCs w:val="18"/>
    </w:rPr>
  </w:style>
  <w:style w:type="paragraph" w:styleId="34">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5">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cs="Times New Roman"/>
      <w:sz w:val="21"/>
    </w:rPr>
  </w:style>
  <w:style w:type="paragraph" w:styleId="39">
    <w:name w:val="toc 6"/>
    <w:basedOn w:val="1"/>
    <w:next w:val="1"/>
    <w:qFormat/>
    <w:uiPriority w:val="0"/>
    <w:pPr>
      <w:ind w:left="1050"/>
      <w:jc w:val="left"/>
    </w:pPr>
    <w:rPr>
      <w:rFonts w:ascii="Times New Roman" w:hAnsi="Times New Roman" w:cs="Times New Roman"/>
      <w:sz w:val="20"/>
      <w:szCs w:val="20"/>
    </w:rPr>
  </w:style>
  <w:style w:type="paragraph" w:styleId="40">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cs="Times New Roman"/>
      <w:sz w:val="20"/>
      <w:szCs w:val="20"/>
    </w:rPr>
  </w:style>
  <w:style w:type="paragraph" w:styleId="43">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4">
    <w:name w:val="List 4"/>
    <w:basedOn w:val="1"/>
    <w:qFormat/>
    <w:uiPriority w:val="0"/>
    <w:pPr>
      <w:ind w:left="100" w:leftChars="600" w:hanging="200" w:hangingChars="200"/>
    </w:pPr>
    <w:rPr>
      <w:rFonts w:ascii="Times New Roman" w:hAnsi="Times New Roman" w:cs="Times New Roman"/>
      <w:sz w:val="21"/>
    </w:rPr>
  </w:style>
  <w:style w:type="paragraph" w:styleId="45">
    <w:name w:val="List Continue 2"/>
    <w:basedOn w:val="1"/>
    <w:qFormat/>
    <w:uiPriority w:val="0"/>
    <w:pPr>
      <w:spacing w:after="120"/>
      <w:ind w:left="840" w:leftChars="400"/>
    </w:pPr>
    <w:rPr>
      <w:rFonts w:ascii="Times New Roman" w:hAnsi="Times New Roman"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48">
    <w:name w:val="Title"/>
    <w:basedOn w:val="1"/>
    <w:next w:val="1"/>
    <w:link w:val="124"/>
    <w:qFormat/>
    <w:uiPriority w:val="0"/>
    <w:pPr>
      <w:spacing w:before="60" w:after="60"/>
      <w:jc w:val="center"/>
      <w:outlineLvl w:val="0"/>
    </w:pPr>
    <w:rPr>
      <w:rFonts w:eastAsia="黑体" w:cs="Times New Roman"/>
      <w:b/>
      <w:bCs/>
      <w:kern w:val="0"/>
      <w:sz w:val="32"/>
      <w:szCs w:val="32"/>
    </w:rPr>
  </w:style>
  <w:style w:type="paragraph" w:styleId="49">
    <w:name w:val="annotation subject"/>
    <w:basedOn w:val="19"/>
    <w:next w:val="19"/>
    <w:link w:val="123"/>
    <w:semiHidden/>
    <w:qFormat/>
    <w:uiPriority w:val="0"/>
    <w:rPr>
      <w:rFonts w:ascii="Times New Roman" w:hAnsi="Times New Roman" w:cs="Times New Roman"/>
      <w:b/>
      <w:bCs/>
      <w:kern w:val="0"/>
      <w:sz w:val="20"/>
    </w:rPr>
  </w:style>
  <w:style w:type="paragraph" w:styleId="50">
    <w:name w:val="Body Text First Indent"/>
    <w:basedOn w:val="21"/>
    <w:link w:val="118"/>
    <w:qFormat/>
    <w:uiPriority w:val="0"/>
    <w:pPr>
      <w:ind w:firstLine="420" w:firstLineChars="100"/>
    </w:pPr>
    <w:rPr>
      <w:rFonts w:ascii="Times New Roman" w:hAnsi="Times New Roman" w:cs="Times New Roman"/>
      <w:kern w:val="0"/>
      <w:sz w:val="20"/>
    </w:rPr>
  </w:style>
  <w:style w:type="paragraph" w:styleId="51">
    <w:name w:val="Body Text First Indent 2"/>
    <w:basedOn w:val="22"/>
    <w:link w:val="106"/>
    <w:qFormat/>
    <w:uiPriority w:val="0"/>
    <w:pPr>
      <w:spacing w:after="120"/>
      <w:ind w:left="420" w:leftChars="200" w:firstLine="420"/>
    </w:pPr>
    <w:rPr>
      <w:szCs w:val="24"/>
    </w:rPr>
  </w:style>
  <w:style w:type="character" w:styleId="54">
    <w:name w:val="Strong"/>
    <w:qFormat/>
    <w:uiPriority w:val="0"/>
    <w:rPr>
      <w:rFonts w:ascii="Times New Roman" w:hAnsi="Times New Roman" w:eastAsia="宋体" w:cs="Times New Roman"/>
      <w:b/>
      <w:bCs/>
      <w:lang w:val="en-US" w:eastAsia="zh-CN" w:bidi="ar-SA"/>
    </w:rPr>
  </w:style>
  <w:style w:type="character" w:styleId="55">
    <w:name w:val="page number"/>
    <w:basedOn w:val="53"/>
    <w:qFormat/>
    <w:uiPriority w:val="0"/>
    <w:rPr>
      <w:rFonts w:ascii="Times New Roman" w:hAnsi="Times New Roman" w:eastAsia="宋体" w:cs="Times New Roman"/>
      <w:lang w:val="en-US" w:eastAsia="zh-CN" w:bidi="ar-SA"/>
    </w:rPr>
  </w:style>
  <w:style w:type="character" w:styleId="56">
    <w:name w:val="FollowedHyperlink"/>
    <w:unhideWhenUsed/>
    <w:qFormat/>
    <w:uiPriority w:val="99"/>
    <w:rPr>
      <w:rFonts w:ascii="Times New Roman" w:hAnsi="Times New Roman" w:eastAsia="宋体" w:cs="Times New Roman"/>
      <w:color w:val="800080"/>
      <w:u w:val="single"/>
      <w:lang w:val="en-US" w:eastAsia="zh-CN" w:bidi="ar-SA"/>
    </w:rPr>
  </w:style>
  <w:style w:type="character" w:styleId="57">
    <w:name w:val="Hyperlink"/>
    <w:qFormat/>
    <w:uiPriority w:val="99"/>
    <w:rPr>
      <w:rFonts w:ascii="Times New Roman" w:hAnsi="Times New Roman" w:eastAsia="宋体" w:cs="Times New Roman"/>
      <w:color w:val="0000FF"/>
      <w:u w:val="single"/>
      <w:lang w:val="en-US" w:eastAsia="zh-CN" w:bidi="ar-SA"/>
    </w:rPr>
  </w:style>
  <w:style w:type="character" w:styleId="58">
    <w:name w:val="annotation reference"/>
    <w:semiHidden/>
    <w:qFormat/>
    <w:uiPriority w:val="0"/>
    <w:rPr>
      <w:rFonts w:ascii="Times New Roman" w:hAnsi="Times New Roman" w:eastAsia="宋体" w:cs="Times New Roman"/>
      <w:sz w:val="21"/>
      <w:szCs w:val="21"/>
      <w:lang w:val="en-US" w:eastAsia="zh-CN" w:bidi="ar-SA"/>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21"/>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18"/>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21"/>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3"/>
    <w:link w:val="2"/>
    <w:qFormat/>
    <w:uiPriority w:val="0"/>
    <w:rPr>
      <w:rFonts w:ascii="Times New Roman" w:hAnsi="Times New Roman" w:eastAsia="宋体" w:cs="Times New Roman"/>
      <w:b/>
      <w:bCs/>
      <w:kern w:val="44"/>
      <w:sz w:val="30"/>
      <w:szCs w:val="44"/>
      <w:lang w:val="en-US" w:eastAsia="zh-CN" w:bidi="ar-SA"/>
    </w:rPr>
  </w:style>
  <w:style w:type="character" w:customStyle="1" w:styleId="88">
    <w:name w:val="标题 2 字符"/>
    <w:basedOn w:val="53"/>
    <w:link w:val="3"/>
    <w:qFormat/>
    <w:uiPriority w:val="0"/>
    <w:rPr>
      <w:rFonts w:ascii="Arial" w:hAnsi="Arial" w:eastAsia="宋体" w:cs="Times New Roman"/>
      <w:b/>
      <w:bCs/>
      <w:kern w:val="0"/>
      <w:sz w:val="28"/>
      <w:szCs w:val="32"/>
      <w:lang w:val="en-US" w:eastAsia="zh-CN" w:bidi="ar-SA"/>
    </w:rPr>
  </w:style>
  <w:style w:type="character" w:customStyle="1" w:styleId="89">
    <w:name w:val="标题 3 字符"/>
    <w:basedOn w:val="53"/>
    <w:link w:val="4"/>
    <w:qFormat/>
    <w:uiPriority w:val="0"/>
    <w:rPr>
      <w:rFonts w:ascii="宋体" w:hAnsi="Times New Roman" w:eastAsia="宋体" w:cs="Times New Roman"/>
      <w:b/>
      <w:kern w:val="0"/>
      <w:sz w:val="28"/>
      <w:szCs w:val="20"/>
      <w:lang w:val="en-US" w:eastAsia="zh-CN" w:bidi="ar-SA"/>
    </w:rPr>
  </w:style>
  <w:style w:type="character" w:customStyle="1" w:styleId="90">
    <w:name w:val="标题 4 字符"/>
    <w:basedOn w:val="53"/>
    <w:link w:val="5"/>
    <w:qFormat/>
    <w:uiPriority w:val="0"/>
    <w:rPr>
      <w:rFonts w:ascii="Arial" w:hAnsi="Arial" w:eastAsia="黑体" w:cs="Times New Roman"/>
      <w:b/>
      <w:bCs/>
      <w:kern w:val="0"/>
      <w:sz w:val="28"/>
      <w:szCs w:val="28"/>
      <w:lang w:val="en-US" w:eastAsia="zh-CN" w:bidi="ar-SA"/>
    </w:rPr>
  </w:style>
  <w:style w:type="character" w:customStyle="1" w:styleId="91">
    <w:name w:val="标题 5 字符"/>
    <w:basedOn w:val="53"/>
    <w:link w:val="6"/>
    <w:qFormat/>
    <w:uiPriority w:val="0"/>
    <w:rPr>
      <w:rFonts w:ascii="Times New Roman" w:hAnsi="Times New Roman" w:eastAsia="宋体" w:cs="Times New Roman"/>
      <w:b/>
      <w:bCs/>
      <w:kern w:val="0"/>
      <w:sz w:val="28"/>
      <w:szCs w:val="28"/>
      <w:lang w:val="en-US" w:eastAsia="zh-CN" w:bidi="ar-SA"/>
    </w:rPr>
  </w:style>
  <w:style w:type="character" w:customStyle="1" w:styleId="92">
    <w:name w:val="标题 6 字符"/>
    <w:basedOn w:val="53"/>
    <w:link w:val="7"/>
    <w:qFormat/>
    <w:uiPriority w:val="0"/>
    <w:rPr>
      <w:rFonts w:ascii="Arial" w:hAnsi="Arial" w:eastAsia="黑体" w:cs="Times New Roman"/>
      <w:b/>
      <w:bCs/>
      <w:kern w:val="0"/>
      <w:lang w:val="en-US" w:eastAsia="zh-CN" w:bidi="ar-SA"/>
    </w:rPr>
  </w:style>
  <w:style w:type="character" w:customStyle="1" w:styleId="93">
    <w:name w:val="标题 7 字符"/>
    <w:basedOn w:val="53"/>
    <w:link w:val="8"/>
    <w:qFormat/>
    <w:uiPriority w:val="0"/>
    <w:rPr>
      <w:rFonts w:ascii="Times New Roman" w:hAnsi="Times New Roman" w:eastAsia="宋体" w:cs="Times New Roman"/>
      <w:b/>
      <w:bCs/>
      <w:kern w:val="0"/>
      <w:lang w:val="en-US" w:eastAsia="zh-CN" w:bidi="ar-SA"/>
    </w:rPr>
  </w:style>
  <w:style w:type="character" w:customStyle="1" w:styleId="94">
    <w:name w:val="标题 8 字符"/>
    <w:basedOn w:val="53"/>
    <w:link w:val="9"/>
    <w:qFormat/>
    <w:uiPriority w:val="0"/>
    <w:rPr>
      <w:rFonts w:ascii="Arial" w:hAnsi="Arial" w:eastAsia="黑体" w:cs="Times New Roman"/>
      <w:kern w:val="0"/>
      <w:lang w:val="en-US" w:eastAsia="zh-CN" w:bidi="ar-SA"/>
    </w:rPr>
  </w:style>
  <w:style w:type="character" w:customStyle="1" w:styleId="95">
    <w:name w:val="标题 9 字符"/>
    <w:basedOn w:val="53"/>
    <w:link w:val="10"/>
    <w:qFormat/>
    <w:uiPriority w:val="0"/>
    <w:rPr>
      <w:rFonts w:ascii="Arial" w:hAnsi="Arial" w:eastAsia="黑体" w:cs="Times New Roman"/>
      <w:kern w:val="0"/>
      <w:sz w:val="20"/>
      <w:szCs w:val="21"/>
      <w:lang w:val="en-US" w:eastAsia="zh-CN" w:bidi="ar-SA"/>
    </w:rPr>
  </w:style>
  <w:style w:type="character" w:customStyle="1" w:styleId="96">
    <w:name w:val="日期 字符"/>
    <w:link w:val="31"/>
    <w:qFormat/>
    <w:uiPriority w:val="0"/>
    <w:rPr>
      <w:rFonts w:ascii="Times New Roman" w:hAnsi="Times New Roman" w:eastAsia="宋体" w:cs="Times New Roman"/>
      <w:kern w:val="0"/>
      <w:sz w:val="20"/>
      <w:lang w:val="en-US" w:eastAsia="zh-CN" w:bidi="ar-SA"/>
    </w:rPr>
  </w:style>
  <w:style w:type="character" w:customStyle="1" w:styleId="97">
    <w:name w:val="批注框文本 字符"/>
    <w:link w:val="33"/>
    <w:semiHidden/>
    <w:qFormat/>
    <w:uiPriority w:val="0"/>
    <w:rPr>
      <w:rFonts w:ascii="Times New Roman" w:hAnsi="Times New Roman" w:eastAsia="宋体" w:cs="Times New Roman"/>
      <w:kern w:val="0"/>
      <w:sz w:val="18"/>
      <w:szCs w:val="18"/>
      <w:lang w:val="en-US" w:eastAsia="zh-CN" w:bidi="ar-SA"/>
    </w:rPr>
  </w:style>
  <w:style w:type="character" w:customStyle="1" w:styleId="98">
    <w:name w:val="正文文本 2 字符"/>
    <w:link w:val="43"/>
    <w:qFormat/>
    <w:uiPriority w:val="0"/>
    <w:rPr>
      <w:rFonts w:ascii="Times New Roman" w:hAnsi="Times New Roman" w:eastAsia="宋体" w:cs="Times New Roman"/>
      <w:kern w:val="0"/>
      <w:sz w:val="20"/>
      <w:lang w:val="en-US" w:eastAsia="zh-CN" w:bidi="ar-SA"/>
    </w:rPr>
  </w:style>
  <w:style w:type="character" w:customStyle="1" w:styleId="99">
    <w:name w:val="文档结构图 字符"/>
    <w:link w:val="18"/>
    <w:qFormat/>
    <w:uiPriority w:val="0"/>
    <w:rPr>
      <w:rFonts w:ascii="Times New Roman" w:hAnsi="Times New Roman" w:eastAsia="宋体" w:cs="Times New Roman"/>
      <w:kern w:val="0"/>
      <w:sz w:val="20"/>
      <w:lang w:val="en-US" w:eastAsia="zh-CN" w:bidi="ar-SA"/>
    </w:rPr>
  </w:style>
  <w:style w:type="character" w:customStyle="1" w:styleId="100">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29"/>
    <w:qFormat/>
    <w:uiPriority w:val="0"/>
    <w:rPr>
      <w:rFonts w:ascii="宋体" w:hAnsi="Courier New" w:eastAsia="宋体" w:cs="Times New Roman"/>
      <w:kern w:val="0"/>
      <w:sz w:val="20"/>
      <w:szCs w:val="21"/>
      <w:lang w:val="en-US" w:eastAsia="zh-CN" w:bidi="ar-SA"/>
    </w:rPr>
  </w:style>
  <w:style w:type="character" w:customStyle="1" w:styleId="103">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106">
    <w:name w:val="正文首行缩进 2 字符"/>
    <w:link w:val="51"/>
    <w:qFormat/>
    <w:uiPriority w:val="0"/>
    <w:rPr>
      <w:rFonts w:ascii="Times New Roman" w:hAnsi="Times New Roman" w:eastAsia="宋体" w:cs="Times New Roman"/>
      <w:szCs w:val="24"/>
      <w:lang w:val="en-US" w:eastAsia="zh-CN" w:bidi="ar-SA"/>
    </w:rPr>
  </w:style>
  <w:style w:type="character" w:customStyle="1" w:styleId="107">
    <w:name w:val="正文文本缩进 字符"/>
    <w:link w:val="22"/>
    <w:qFormat/>
    <w:uiPriority w:val="0"/>
    <w:rPr>
      <w:rFonts w:ascii="宋体" w:hAnsi="宋体" w:eastAsia="宋体" w:cs="Times New Roman"/>
      <w:kern w:val="0"/>
      <w:sz w:val="28"/>
      <w:szCs w:val="28"/>
      <w:lang w:val="en-US" w:eastAsia="zh-CN" w:bidi="ar-SA"/>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09">
    <w:name w:val="font71"/>
    <w:qFormat/>
    <w:uiPriority w:val="0"/>
    <w:rPr>
      <w:rFonts w:hint="eastAsia" w:ascii="宋体" w:hAnsi="宋体" w:eastAsia="宋体" w:cs="宋体"/>
      <w:color w:val="000000"/>
      <w:sz w:val="24"/>
      <w:szCs w:val="24"/>
      <w:u w:val="none"/>
      <w:lang w:val="en-US" w:eastAsia="zh-CN" w:bidi="ar-SA"/>
    </w:rPr>
  </w:style>
  <w:style w:type="character" w:customStyle="1" w:styleId="110">
    <w:name w:val="zbggmain style9"/>
    <w:basedOn w:val="53"/>
    <w:qFormat/>
    <w:uiPriority w:val="0"/>
    <w:rPr>
      <w:rFonts w:ascii="Times New Roman" w:hAnsi="Times New Roman" w:eastAsia="宋体" w:cs="Times New Roman"/>
      <w:lang w:val="en-US" w:eastAsia="zh-CN" w:bidi="ar-SA"/>
    </w:rPr>
  </w:style>
  <w:style w:type="character" w:customStyle="1" w:styleId="111">
    <w:name w:val="正文文本 3 字符"/>
    <w:link w:val="20"/>
    <w:qFormat/>
    <w:uiPriority w:val="0"/>
    <w:rPr>
      <w:rFonts w:ascii="Times New Roman" w:hAnsi="Times New Roman" w:eastAsia="宋体" w:cs="Times New Roman"/>
      <w:kern w:val="0"/>
      <w:sz w:val="16"/>
      <w:szCs w:val="16"/>
      <w:lang w:val="en-US" w:eastAsia="zh-CN" w:bidi="ar-SA"/>
    </w:rPr>
  </w:style>
  <w:style w:type="character" w:customStyle="1" w:styleId="112">
    <w:name w:val="px1233"/>
    <w:basedOn w:val="53"/>
    <w:qFormat/>
    <w:uiPriority w:val="0"/>
    <w:rPr>
      <w:rFonts w:ascii="Times New Roman" w:hAnsi="Times New Roman" w:eastAsia="宋体" w:cs="Times New Roman"/>
      <w:lang w:val="en-US" w:eastAsia="zh-CN" w:bidi="ar-SA"/>
    </w:rPr>
  </w:style>
  <w:style w:type="character" w:customStyle="1" w:styleId="113">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114">
    <w:name w:val="页眉 字符"/>
    <w:link w:val="35"/>
    <w:qFormat/>
    <w:uiPriority w:val="0"/>
    <w:rPr>
      <w:rFonts w:ascii="Times New Roman" w:hAnsi="Times New Roman" w:eastAsia="宋体" w:cs="Times New Roman"/>
      <w:kern w:val="0"/>
      <w:sz w:val="18"/>
      <w:szCs w:val="20"/>
      <w:lang w:val="en-US" w:eastAsia="zh-CN" w:bidi="ar-SA"/>
    </w:rPr>
  </w:style>
  <w:style w:type="character" w:customStyle="1" w:styleId="115">
    <w:name w:val="页脚 字符"/>
    <w:link w:val="34"/>
    <w:qFormat/>
    <w:uiPriority w:val="99"/>
    <w:rPr>
      <w:rFonts w:ascii="Times New Roman" w:hAnsi="Times New Roman" w:eastAsia="宋体" w:cs="Times New Roman"/>
      <w:kern w:val="0"/>
      <w:sz w:val="18"/>
      <w:szCs w:val="20"/>
      <w:lang w:val="en-US" w:eastAsia="zh-CN" w:bidi="ar-SA"/>
    </w:rPr>
  </w:style>
  <w:style w:type="character" w:customStyle="1" w:styleId="116">
    <w:name w:val="font41"/>
    <w:qFormat/>
    <w:uiPriority w:val="0"/>
    <w:rPr>
      <w:rFonts w:hint="eastAsia" w:ascii="宋体" w:hAnsi="宋体" w:eastAsia="宋体" w:cs="宋体"/>
      <w:b/>
      <w:color w:val="000000"/>
      <w:sz w:val="24"/>
      <w:szCs w:val="24"/>
      <w:u w:val="none"/>
      <w:lang w:val="en-US" w:eastAsia="zh-CN" w:bidi="ar-SA"/>
    </w:rPr>
  </w:style>
  <w:style w:type="character" w:customStyle="1" w:styleId="117">
    <w:name w:val="正文文本缩进 3 字符"/>
    <w:link w:val="40"/>
    <w:qFormat/>
    <w:uiPriority w:val="0"/>
    <w:rPr>
      <w:rFonts w:ascii="Times New Roman" w:hAnsi="Times New Roman" w:eastAsia="宋体" w:cs="Times New Roman"/>
      <w:kern w:val="0"/>
      <w:sz w:val="16"/>
      <w:szCs w:val="16"/>
      <w:lang w:val="en-US" w:eastAsia="zh-CN" w:bidi="ar-SA"/>
    </w:rPr>
  </w:style>
  <w:style w:type="character" w:customStyle="1" w:styleId="118">
    <w:name w:val="正文首行缩进 字符"/>
    <w:basedOn w:val="119"/>
    <w:link w:val="50"/>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lang w:val="en-US" w:eastAsia="zh-CN" w:bidi="ar-SA"/>
    </w:rPr>
  </w:style>
  <w:style w:type="character" w:customStyle="1" w:styleId="122">
    <w:name w:val="正文文本缩进 2 字符"/>
    <w:link w:val="32"/>
    <w:qFormat/>
    <w:uiPriority w:val="0"/>
    <w:rPr>
      <w:rFonts w:ascii="Times New Roman" w:hAnsi="Times New Roman" w:eastAsia="宋体" w:cs="Times New Roman"/>
      <w:kern w:val="0"/>
      <w:sz w:val="20"/>
      <w:lang w:val="en-US" w:eastAsia="zh-CN" w:bidi="ar-SA"/>
    </w:rPr>
  </w:style>
  <w:style w:type="character" w:customStyle="1" w:styleId="123">
    <w:name w:val="批注主题 字符"/>
    <w:link w:val="49"/>
    <w:semiHidden/>
    <w:qFormat/>
    <w:uiPriority w:val="0"/>
    <w:rPr>
      <w:rFonts w:ascii="Times New Roman" w:hAnsi="Times New Roman" w:eastAsia="宋体" w:cs="Times New Roman"/>
      <w:b/>
      <w:bCs/>
      <w:kern w:val="0"/>
      <w:sz w:val="20"/>
      <w:lang w:val="en-US" w:eastAsia="zh-CN" w:bidi="ar-SA"/>
    </w:rPr>
  </w:style>
  <w:style w:type="character" w:customStyle="1" w:styleId="124">
    <w:name w:val="标题 字符"/>
    <w:link w:val="48"/>
    <w:qFormat/>
    <w:uiPriority w:val="0"/>
    <w:rPr>
      <w:rFonts w:ascii="Times New Roman" w:hAnsi="Times New Roman" w:eastAsia="黑体" w:cs="Times New Roman"/>
      <w:b/>
      <w:bCs/>
      <w:kern w:val="0"/>
      <w:sz w:val="32"/>
      <w:szCs w:val="32"/>
      <w:lang w:val="en-US" w:eastAsia="zh-CN" w:bidi="ar-SA"/>
    </w:rPr>
  </w:style>
  <w:style w:type="character" w:customStyle="1" w:styleId="125">
    <w:name w:val="批注框文本字符1"/>
    <w:basedOn w:val="53"/>
    <w:semiHidden/>
    <w:qFormat/>
    <w:uiPriority w:val="99"/>
    <w:rPr>
      <w:rFonts w:ascii="Heiti SC Light" w:hAnsi="Times New Roman" w:eastAsia="Heiti SC Light" w:cs="Times New Roman"/>
      <w:sz w:val="18"/>
      <w:szCs w:val="18"/>
      <w:lang w:val="en-US" w:eastAsia="zh-CN" w:bidi="ar-SA"/>
    </w:rPr>
  </w:style>
  <w:style w:type="character" w:customStyle="1" w:styleId="126">
    <w:name w:val="日期字符1"/>
    <w:basedOn w:val="53"/>
    <w:semiHidden/>
    <w:qFormat/>
    <w:uiPriority w:val="99"/>
    <w:rPr>
      <w:rFonts w:ascii="Times New Roman" w:hAnsi="Times New Roman" w:eastAsia="宋体" w:cs="Times New Roman"/>
      <w:lang w:val="en-US" w:eastAsia="zh-CN" w:bidi="ar-SA"/>
    </w:rPr>
  </w:style>
  <w:style w:type="character" w:customStyle="1" w:styleId="127">
    <w:name w:val="纯文本字符1"/>
    <w:basedOn w:val="53"/>
    <w:semiHidden/>
    <w:qFormat/>
    <w:uiPriority w:val="99"/>
    <w:rPr>
      <w:rFonts w:ascii="宋体" w:hAnsi="Courier" w:eastAsia="宋体" w:cs="Times New Roman"/>
      <w:lang w:val="en-US" w:eastAsia="zh-CN" w:bidi="ar-SA"/>
    </w:rPr>
  </w:style>
  <w:style w:type="character" w:customStyle="1" w:styleId="128">
    <w:name w:val="批注文字 字符"/>
    <w:basedOn w:val="53"/>
    <w:link w:val="19"/>
    <w:semiHidden/>
    <w:qFormat/>
    <w:uiPriority w:val="99"/>
    <w:rPr>
      <w:rFonts w:ascii="Times New Roman" w:hAnsi="Times New Roman" w:eastAsia="宋体" w:cs="Times New Roman"/>
      <w:lang w:val="en-US" w:eastAsia="zh-CN" w:bidi="ar-SA"/>
    </w:rPr>
  </w:style>
  <w:style w:type="character" w:customStyle="1" w:styleId="129">
    <w:name w:val="批注主题字符1"/>
    <w:basedOn w:val="128"/>
    <w:semiHidden/>
    <w:qFormat/>
    <w:uiPriority w:val="99"/>
    <w:rPr>
      <w:b/>
      <w:bCs/>
    </w:rPr>
  </w:style>
  <w:style w:type="character" w:customStyle="1" w:styleId="130">
    <w:name w:val="正文文本 字符"/>
    <w:basedOn w:val="53"/>
    <w:link w:val="21"/>
    <w:semiHidden/>
    <w:qFormat/>
    <w:uiPriority w:val="99"/>
    <w:rPr>
      <w:rFonts w:ascii="Times New Roman" w:hAnsi="Times New Roman" w:eastAsia="宋体" w:cs="Times New Roman"/>
      <w:lang w:val="en-US" w:eastAsia="zh-CN" w:bidi="ar-SA"/>
    </w:rPr>
  </w:style>
  <w:style w:type="character" w:customStyle="1" w:styleId="131">
    <w:name w:val="正文首行缩进字符1"/>
    <w:basedOn w:val="130"/>
    <w:semiHidden/>
    <w:qFormat/>
    <w:uiPriority w:val="99"/>
  </w:style>
  <w:style w:type="character" w:customStyle="1" w:styleId="132">
    <w:name w:val="正文文本缩进 3字符1"/>
    <w:basedOn w:val="53"/>
    <w:semiHidden/>
    <w:qFormat/>
    <w:uiPriority w:val="99"/>
    <w:rPr>
      <w:rFonts w:ascii="Times New Roman" w:hAnsi="Times New Roman" w:eastAsia="宋体" w:cs="Times New Roman"/>
      <w:sz w:val="16"/>
      <w:szCs w:val="16"/>
      <w:lang w:val="en-US" w:eastAsia="zh-CN" w:bidi="ar-SA"/>
    </w:rPr>
  </w:style>
  <w:style w:type="character" w:customStyle="1" w:styleId="133">
    <w:name w:val="文档结构图 字符1"/>
    <w:basedOn w:val="53"/>
    <w:semiHidden/>
    <w:qFormat/>
    <w:uiPriority w:val="99"/>
    <w:rPr>
      <w:rFonts w:ascii="Heiti SC Light" w:hAnsi="Times New Roman" w:eastAsia="Heiti SC Light" w:cs="Times New Roman"/>
      <w:lang w:val="en-US" w:eastAsia="zh-CN" w:bidi="ar-SA"/>
    </w:rPr>
  </w:style>
  <w:style w:type="character" w:customStyle="1" w:styleId="134">
    <w:name w:val="正文文本 3字符1"/>
    <w:basedOn w:val="53"/>
    <w:semiHidden/>
    <w:qFormat/>
    <w:uiPriority w:val="99"/>
    <w:rPr>
      <w:rFonts w:ascii="Times New Roman" w:hAnsi="Times New Roman" w:eastAsia="宋体" w:cs="Times New Roman"/>
      <w:sz w:val="16"/>
      <w:szCs w:val="16"/>
      <w:lang w:val="en-US" w:eastAsia="zh-CN" w:bidi="ar-SA"/>
    </w:rPr>
  </w:style>
  <w:style w:type="character" w:customStyle="1" w:styleId="135">
    <w:name w:val="正文文本缩进字符1"/>
    <w:basedOn w:val="53"/>
    <w:semiHidden/>
    <w:qFormat/>
    <w:uiPriority w:val="99"/>
    <w:rPr>
      <w:rFonts w:ascii="Times New Roman" w:hAnsi="Times New Roman" w:eastAsia="宋体" w:cs="Times New Roman"/>
      <w:lang w:val="en-US" w:eastAsia="zh-CN" w:bidi="ar-SA"/>
    </w:rPr>
  </w:style>
  <w:style w:type="character" w:customStyle="1" w:styleId="136">
    <w:name w:val="正文文本缩进 2字符1"/>
    <w:basedOn w:val="53"/>
    <w:semiHidden/>
    <w:qFormat/>
    <w:uiPriority w:val="99"/>
    <w:rPr>
      <w:rFonts w:ascii="Times New Roman" w:hAnsi="Times New Roman" w:eastAsia="宋体" w:cs="Times New Roman"/>
      <w:lang w:val="en-US" w:eastAsia="zh-CN" w:bidi="ar-SA"/>
    </w:rPr>
  </w:style>
  <w:style w:type="character" w:customStyle="1" w:styleId="137">
    <w:name w:val="页脚字符1"/>
    <w:basedOn w:val="53"/>
    <w:semiHidden/>
    <w:qFormat/>
    <w:uiPriority w:val="99"/>
    <w:rPr>
      <w:rFonts w:ascii="Times New Roman" w:hAnsi="Times New Roman" w:eastAsia="宋体" w:cs="Times New Roman"/>
      <w:sz w:val="18"/>
      <w:szCs w:val="18"/>
      <w:lang w:val="en-US" w:eastAsia="zh-CN" w:bidi="ar-SA"/>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rFonts w:ascii="Times New Roman" w:hAnsi="Times New Roman" w:eastAsia="宋体" w:cs="Times New Roman"/>
      <w:sz w:val="18"/>
      <w:szCs w:val="18"/>
      <w:lang w:val="en-US" w:eastAsia="zh-CN" w:bidi="ar-SA"/>
    </w:rPr>
  </w:style>
  <w:style w:type="character" w:customStyle="1" w:styleId="140">
    <w:name w:val="正文文本 2字符1"/>
    <w:basedOn w:val="53"/>
    <w:semiHidden/>
    <w:qFormat/>
    <w:uiPriority w:val="99"/>
    <w:rPr>
      <w:rFonts w:ascii="Times New Roman" w:hAnsi="Times New Roman" w:eastAsia="宋体" w:cs="Times New Roman"/>
      <w:lang w:val="en-US" w:eastAsia="zh-CN" w:bidi="ar-SA"/>
    </w:rPr>
  </w:style>
  <w:style w:type="character" w:customStyle="1" w:styleId="141">
    <w:name w:val="标题字符1"/>
    <w:basedOn w:val="53"/>
    <w:qFormat/>
    <w:uiPriority w:val="10"/>
    <w:rPr>
      <w:rFonts w:ascii="Calibri" w:hAnsi="Calibri" w:eastAsia="宋体" w:cs="黑体"/>
      <w:b/>
      <w:bCs/>
      <w:sz w:val="32"/>
      <w:szCs w:val="32"/>
      <w:lang w:val="en-US" w:eastAsia="zh-CN" w:bidi="ar-SA"/>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54</Pages>
  <Words>5914</Words>
  <Characters>33713</Characters>
  <Lines>280</Lines>
  <Paragraphs>79</Paragraphs>
  <TotalTime>0</TotalTime>
  <ScaleCrop>false</ScaleCrop>
  <LinksUpToDate>false</LinksUpToDate>
  <CharactersWithSpaces>39548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zbzx-jsx</cp:lastModifiedBy>
  <dcterms:modified xsi:type="dcterms:W3CDTF">2019-10-17T08:51:10Z</dcterms:modified>
  <dc:title>杭州萧山国际机场</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